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line="240" w:lineRule="auto"/>
        <w:rPr>
          <w:lang w:val="lt-LT"/>
        </w:rPr>
      </w:pPr>
      <w:bookmarkStart w:id="0" w:name="_GoBack"/>
      <w:bookmarkEnd w:id="0"/>
    </w:p>
    <w:p>
      <w:pPr>
        <w:spacing w:line="240" w:lineRule="auto"/>
        <w:rPr>
          <w:lang w:val="lt-LT"/>
        </w:rPr>
      </w:pPr>
    </w:p>
    <w:p>
      <w:pPr>
        <w:spacing w:line="240" w:lineRule="auto"/>
        <w:rPr>
          <w:lang w:val="lt-LT"/>
        </w:rPr>
      </w:pPr>
    </w:p>
    <w:p>
      <w:pPr>
        <w:spacing w:line="240" w:lineRule="auto"/>
        <w:rPr>
          <w:lang w:val="lt-LT"/>
        </w:rPr>
      </w:pPr>
    </w:p>
    <w:p>
      <w:pPr>
        <w:spacing w:line="240" w:lineRule="auto"/>
        <w:rPr>
          <w:lang w:val="lt-LT"/>
        </w:rPr>
      </w:pPr>
    </w:p>
    <w:p>
      <w:pPr>
        <w:spacing w:line="240" w:lineRule="auto"/>
        <w:rPr>
          <w:lang w:val="lt-LT"/>
        </w:rPr>
      </w:pPr>
    </w:p>
    <w:p>
      <w:pPr>
        <w:spacing w:line="240" w:lineRule="auto"/>
        <w:rPr>
          <w:lang w:val="lt-LT"/>
        </w:rPr>
      </w:pPr>
    </w:p>
    <w:p>
      <w:pPr>
        <w:spacing w:line="240" w:lineRule="auto"/>
        <w:rPr>
          <w:lang w:val="lt-LT"/>
        </w:rPr>
      </w:pPr>
    </w:p>
    <w:p>
      <w:pPr>
        <w:spacing w:line="240" w:lineRule="auto"/>
        <w:rPr>
          <w:lang w:val="lt-LT"/>
        </w:rPr>
      </w:pPr>
    </w:p>
    <w:p>
      <w:pPr>
        <w:spacing w:line="240" w:lineRule="auto"/>
        <w:rPr>
          <w:lang w:val="lt-LT"/>
        </w:rPr>
      </w:pPr>
    </w:p>
    <w:p>
      <w:pPr>
        <w:spacing w:line="240" w:lineRule="auto"/>
        <w:rPr>
          <w:lang w:val="lt-LT"/>
        </w:rPr>
      </w:pPr>
    </w:p>
    <w:p>
      <w:pPr>
        <w:spacing w:line="240" w:lineRule="auto"/>
        <w:rPr>
          <w:lang w:val="lt-LT"/>
        </w:rPr>
      </w:pPr>
    </w:p>
    <w:p>
      <w:pPr>
        <w:spacing w:line="240" w:lineRule="auto"/>
        <w:rPr>
          <w:lang w:val="lt-LT"/>
        </w:rPr>
      </w:pPr>
    </w:p>
    <w:p>
      <w:pPr>
        <w:spacing w:line="240" w:lineRule="auto"/>
        <w:rPr>
          <w:lang w:val="lt-LT"/>
        </w:rPr>
      </w:pPr>
    </w:p>
    <w:p>
      <w:pPr>
        <w:spacing w:line="240" w:lineRule="auto"/>
        <w:rPr>
          <w:lang w:val="lt-LT"/>
        </w:rPr>
      </w:pPr>
    </w:p>
    <w:p>
      <w:pPr>
        <w:spacing w:line="240" w:lineRule="auto"/>
        <w:rPr>
          <w:lang w:val="lt-LT"/>
        </w:rPr>
      </w:pPr>
    </w:p>
    <w:p>
      <w:pPr>
        <w:spacing w:line="240" w:lineRule="auto"/>
        <w:rPr>
          <w:lang w:val="lt-LT"/>
        </w:rPr>
      </w:pPr>
    </w:p>
    <w:p>
      <w:pPr>
        <w:spacing w:line="240" w:lineRule="auto"/>
        <w:rPr>
          <w:lang w:val="lt-LT"/>
        </w:rPr>
      </w:pPr>
    </w:p>
    <w:p>
      <w:pPr>
        <w:spacing w:line="240" w:lineRule="auto"/>
        <w:rPr>
          <w:lang w:val="lt-LT"/>
        </w:rPr>
      </w:pPr>
    </w:p>
    <w:p>
      <w:pPr>
        <w:spacing w:line="240" w:lineRule="auto"/>
        <w:rPr>
          <w:lang w:val="lt-LT"/>
        </w:rPr>
      </w:pPr>
    </w:p>
    <w:p>
      <w:pPr>
        <w:spacing w:line="240" w:lineRule="auto"/>
        <w:rPr>
          <w:lang w:val="lt-LT"/>
        </w:rPr>
      </w:pPr>
    </w:p>
    <w:p>
      <w:pPr>
        <w:spacing w:line="240" w:lineRule="auto"/>
        <w:rPr>
          <w:lang w:val="lt-LT"/>
        </w:rPr>
      </w:pPr>
    </w:p>
    <w:p>
      <w:pPr>
        <w:spacing w:line="240" w:lineRule="auto"/>
        <w:rPr>
          <w:lang w:val="lt-LT"/>
        </w:rPr>
      </w:pPr>
    </w:p>
    <w:p>
      <w:pPr>
        <w:spacing w:line="240" w:lineRule="auto"/>
        <w:jc w:val="center"/>
        <w:rPr>
          <w:b/>
          <w:bCs/>
          <w:lang w:val="lt-LT"/>
        </w:rPr>
      </w:pPr>
      <w:r>
        <w:rPr>
          <w:b/>
          <w:bCs/>
          <w:szCs w:val="22"/>
          <w:lang w:val="lt-LT"/>
        </w:rPr>
        <w:t>I PRIEDAS</w:t>
      </w:r>
    </w:p>
    <w:p>
      <w:pPr>
        <w:spacing w:line="240" w:lineRule="auto"/>
        <w:rPr>
          <w:highlight w:val="yellow"/>
          <w:lang w:val="lt-LT"/>
        </w:rPr>
      </w:pPr>
    </w:p>
    <w:p>
      <w:pPr>
        <w:pStyle w:val="TitleA"/>
      </w:pPr>
      <w:r>
        <w:t>PREPARATO CHARAKTERISTIKŲ SANTRAUKA</w:t>
      </w:r>
      <w:r>
        <w:rPr>
          <w:highlight w:val="yellow"/>
        </w:rPr>
        <w:fldChar w:fldCharType="begin"/>
      </w:r>
      <w:r>
        <w:rPr>
          <w:highlight w:val="yellow"/>
        </w:rPr>
        <w:instrText xml:space="preserve"> DOCVARIABLE VAULT_ND_45a35422-195b-41a9-abcc-849fc2e66216 </w:instrText>
      </w:r>
      <w:r>
        <w:rPr>
          <w:highlight w:val="yellow"/>
        </w:rPr>
        <w:fldChar w:fldCharType="separate"/>
      </w:r>
      <w:r>
        <w:rPr>
          <w:highlight w:val="yellow"/>
        </w:rPr>
        <w:t xml:space="preserve"> </w:t>
      </w:r>
      <w:r>
        <w:rPr>
          <w:highlight w:val="yellow"/>
        </w:rPr>
        <w:fldChar w:fldCharType="end"/>
      </w:r>
      <w:r>
        <w:br w:type="page"/>
      </w:r>
    </w:p>
    <w:p>
      <w:pPr>
        <w:spacing w:line="240" w:lineRule="auto"/>
        <w:rPr>
          <w:szCs w:val="22"/>
          <w:lang w:val="lt-LT"/>
        </w:rPr>
      </w:pPr>
      <w:r>
        <w:rPr>
          <w:noProof/>
        </w:rPr>
        <w:lastRenderedPageBreak/>
        <w:drawing>
          <wp:inline distT="0" distB="0" distL="0" distR="0">
            <wp:extent cx="198120" cy="1841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1"/>
                    <a:stretch>
                      <a:fillRect/>
                    </a:stretch>
                  </pic:blipFill>
                  <pic:spPr bwMode="auto">
                    <a:xfrm>
                      <a:off x="0" y="0"/>
                      <a:ext cx="198120" cy="184150"/>
                    </a:xfrm>
                    <a:prstGeom prst="rect">
                      <a:avLst/>
                    </a:prstGeom>
                    <a:noFill/>
                  </pic:spPr>
                </pic:pic>
              </a:graphicData>
            </a:graphic>
          </wp:inline>
        </w:drawing>
      </w:r>
      <w:r>
        <w:rPr>
          <w:szCs w:val="22"/>
          <w:lang w:val="lt-LT"/>
        </w:rPr>
        <w:t>Vykdoma papildoma šio vaistinio preparato stebėsena. Tai padės greitai nustatyti naują saugumo informaciją. Sveikatos priežiūros specialistai turi pranešti apie bet kokias įtariamas nepageidaujamas reakcijas. Apie tai, kaip pranešti apie nepageidaujamas reakcijas, žr. 4.8 skyriuje.</w:t>
      </w:r>
    </w:p>
    <w:p>
      <w:pPr>
        <w:spacing w:line="240" w:lineRule="auto"/>
        <w:rPr>
          <w:szCs w:val="22"/>
          <w:lang w:val="lt-LT"/>
        </w:rPr>
      </w:pPr>
    </w:p>
    <w:p>
      <w:pPr>
        <w:spacing w:line="240" w:lineRule="auto"/>
        <w:rPr>
          <w:szCs w:val="22"/>
          <w:lang w:val="lt-LT"/>
        </w:rPr>
      </w:pPr>
    </w:p>
    <w:p>
      <w:pPr>
        <w:spacing w:line="240" w:lineRule="auto"/>
        <w:ind w:left="567" w:hanging="567"/>
        <w:rPr>
          <w:szCs w:val="22"/>
          <w:lang w:val="lt-LT"/>
        </w:rPr>
      </w:pPr>
      <w:r>
        <w:rPr>
          <w:b/>
          <w:bCs/>
          <w:szCs w:val="22"/>
          <w:lang w:val="lt-LT"/>
        </w:rPr>
        <w:t>1.</w:t>
      </w:r>
      <w:r>
        <w:rPr>
          <w:b/>
          <w:bCs/>
          <w:szCs w:val="22"/>
          <w:lang w:val="lt-LT"/>
        </w:rPr>
        <w:tab/>
        <w:t>VAISTINIO PREPARATO PAVADINIMAS</w:t>
      </w:r>
    </w:p>
    <w:p>
      <w:pPr>
        <w:widowControl w:val="0"/>
        <w:spacing w:line="240" w:lineRule="auto"/>
        <w:rPr>
          <w:szCs w:val="22"/>
          <w:lang w:val="lt-LT"/>
        </w:rPr>
      </w:pPr>
    </w:p>
    <w:p>
      <w:pPr>
        <w:widowControl w:val="0"/>
        <w:spacing w:line="240" w:lineRule="auto"/>
        <w:rPr>
          <w:szCs w:val="22"/>
          <w:lang w:val="lt-LT"/>
        </w:rPr>
      </w:pPr>
      <w:r>
        <w:rPr>
          <w:szCs w:val="22"/>
          <w:lang w:val="lt-LT"/>
        </w:rPr>
        <w:t>Sephience 250 mg geriamieji milteliai paketėlyje</w:t>
      </w:r>
    </w:p>
    <w:p>
      <w:pPr>
        <w:widowControl w:val="0"/>
        <w:spacing w:line="240" w:lineRule="auto"/>
        <w:rPr>
          <w:szCs w:val="22"/>
          <w:lang w:val="lt-LT"/>
        </w:rPr>
      </w:pPr>
      <w:r>
        <w:rPr>
          <w:szCs w:val="22"/>
          <w:lang w:val="lt-LT"/>
        </w:rPr>
        <w:t>Sephience 1 000 mg geriamieji milteliai paketėlyje</w:t>
      </w:r>
    </w:p>
    <w:p>
      <w:pPr>
        <w:widowControl w:val="0"/>
        <w:spacing w:line="240" w:lineRule="auto"/>
        <w:rPr>
          <w:szCs w:val="22"/>
          <w:lang w:val="lt-LT"/>
        </w:rPr>
      </w:pPr>
    </w:p>
    <w:p>
      <w:pPr>
        <w:widowControl w:val="0"/>
        <w:spacing w:line="240" w:lineRule="auto"/>
        <w:rPr>
          <w:szCs w:val="22"/>
          <w:lang w:val="lt-LT"/>
        </w:rPr>
      </w:pPr>
    </w:p>
    <w:p>
      <w:pPr>
        <w:spacing w:line="240" w:lineRule="auto"/>
        <w:ind w:left="567" w:hanging="567"/>
        <w:rPr>
          <w:szCs w:val="22"/>
          <w:lang w:val="lt-LT"/>
        </w:rPr>
      </w:pPr>
      <w:r>
        <w:rPr>
          <w:b/>
          <w:bCs/>
          <w:szCs w:val="22"/>
          <w:lang w:val="lt-LT"/>
        </w:rPr>
        <w:t>2.</w:t>
      </w:r>
      <w:r>
        <w:rPr>
          <w:b/>
          <w:bCs/>
          <w:szCs w:val="22"/>
          <w:lang w:val="lt-LT"/>
        </w:rPr>
        <w:tab/>
        <w:t>KOKYBINĖ IR KIEKYBINĖ SUDĖTIS</w:t>
      </w:r>
    </w:p>
    <w:p>
      <w:pPr>
        <w:spacing w:line="240" w:lineRule="auto"/>
        <w:rPr>
          <w:szCs w:val="22"/>
          <w:u w:val="single"/>
          <w:lang w:val="lt-LT"/>
        </w:rPr>
      </w:pPr>
    </w:p>
    <w:p>
      <w:pPr>
        <w:spacing w:line="240" w:lineRule="auto"/>
        <w:rPr>
          <w:szCs w:val="22"/>
          <w:u w:val="single"/>
          <w:lang w:val="lt-LT"/>
        </w:rPr>
      </w:pPr>
      <w:r>
        <w:rPr>
          <w:szCs w:val="22"/>
          <w:u w:val="single"/>
          <w:lang w:val="lt-LT"/>
        </w:rPr>
        <w:t>Sephience 250 mg geriamieji milteliai paketėlyje</w:t>
      </w:r>
    </w:p>
    <w:p>
      <w:pPr>
        <w:spacing w:line="240" w:lineRule="auto"/>
        <w:rPr>
          <w:szCs w:val="22"/>
          <w:lang w:val="lt-LT"/>
        </w:rPr>
      </w:pPr>
      <w:r>
        <w:rPr>
          <w:szCs w:val="22"/>
          <w:lang w:val="lt-LT"/>
        </w:rPr>
        <w:t>Kiekviename paketėlyje yra 250 mg sepiapterino.</w:t>
      </w:r>
    </w:p>
    <w:p>
      <w:pPr>
        <w:spacing w:line="240" w:lineRule="auto"/>
        <w:rPr>
          <w:szCs w:val="22"/>
          <w:u w:val="single"/>
          <w:lang w:val="lt-LT"/>
        </w:rPr>
      </w:pPr>
    </w:p>
    <w:p>
      <w:pPr>
        <w:spacing w:line="240" w:lineRule="auto"/>
        <w:rPr>
          <w:szCs w:val="22"/>
          <w:lang w:val="lt-LT"/>
        </w:rPr>
      </w:pPr>
      <w:r>
        <w:rPr>
          <w:szCs w:val="22"/>
          <w:u w:val="single"/>
          <w:lang w:val="lt-LT"/>
        </w:rPr>
        <w:t>Sephience 1 000 mg geriamieji milteliai paketėlyje</w:t>
      </w:r>
    </w:p>
    <w:p>
      <w:pPr>
        <w:spacing w:line="240" w:lineRule="auto"/>
        <w:rPr>
          <w:szCs w:val="22"/>
          <w:lang w:val="lt-LT"/>
        </w:rPr>
      </w:pPr>
      <w:r>
        <w:rPr>
          <w:szCs w:val="22"/>
          <w:lang w:val="lt-LT"/>
        </w:rPr>
        <w:t>Kiekviename paketėlyje yra 1 000 mg sepiapterino.</w:t>
      </w:r>
    </w:p>
    <w:p>
      <w:pPr>
        <w:spacing w:line="240" w:lineRule="auto"/>
        <w:rPr>
          <w:szCs w:val="22"/>
          <w:u w:val="single"/>
          <w:lang w:val="lt-LT"/>
        </w:rPr>
      </w:pPr>
    </w:p>
    <w:p>
      <w:pPr>
        <w:spacing w:line="240" w:lineRule="auto"/>
        <w:rPr>
          <w:szCs w:val="22"/>
          <w:u w:val="single"/>
          <w:lang w:val="lt-LT"/>
        </w:rPr>
      </w:pPr>
      <w:r>
        <w:rPr>
          <w:szCs w:val="22"/>
          <w:u w:val="single"/>
          <w:lang w:val="lt-LT"/>
        </w:rPr>
        <w:t>Pagalbinė (-s) medžiaga (-os), kurios (-ių) poveikis žinomas</w:t>
      </w:r>
    </w:p>
    <w:p>
      <w:pPr>
        <w:spacing w:line="240" w:lineRule="auto"/>
        <w:rPr>
          <w:szCs w:val="22"/>
          <w:u w:val="single"/>
          <w:lang w:val="lt-LT"/>
        </w:rPr>
      </w:pPr>
    </w:p>
    <w:p>
      <w:pPr>
        <w:spacing w:line="240" w:lineRule="auto"/>
        <w:rPr>
          <w:i/>
          <w:szCs w:val="22"/>
          <w:lang w:val="lt-LT"/>
        </w:rPr>
      </w:pPr>
      <w:r>
        <w:rPr>
          <w:i/>
          <w:szCs w:val="22"/>
          <w:u w:val="single"/>
          <w:lang w:val="lt-LT"/>
        </w:rPr>
        <w:t>Sephience</w:t>
      </w:r>
      <w:r>
        <w:rPr>
          <w:i/>
          <w:szCs w:val="22"/>
          <w:lang w:val="lt-LT"/>
        </w:rPr>
        <w:t xml:space="preserve"> 250 mg geriamieji milteliai paketėlyje</w:t>
      </w:r>
    </w:p>
    <w:p>
      <w:pPr>
        <w:spacing w:line="240" w:lineRule="auto"/>
        <w:rPr>
          <w:szCs w:val="22"/>
          <w:lang w:val="lt-LT"/>
        </w:rPr>
      </w:pPr>
      <w:r>
        <w:rPr>
          <w:szCs w:val="22"/>
          <w:lang w:val="lt-LT"/>
        </w:rPr>
        <w:t>Kiekviename paketėlyje yra 400 mg izomalto.</w:t>
      </w:r>
    </w:p>
    <w:p>
      <w:pPr>
        <w:spacing w:line="240" w:lineRule="auto"/>
        <w:rPr>
          <w:szCs w:val="22"/>
          <w:lang w:val="lt-LT"/>
        </w:rPr>
      </w:pPr>
    </w:p>
    <w:p>
      <w:pPr>
        <w:spacing w:line="240" w:lineRule="auto"/>
        <w:rPr>
          <w:i/>
          <w:szCs w:val="22"/>
          <w:lang w:val="lt-LT"/>
        </w:rPr>
      </w:pPr>
      <w:r>
        <w:rPr>
          <w:i/>
          <w:szCs w:val="22"/>
          <w:u w:val="single"/>
          <w:lang w:val="lt-LT"/>
        </w:rPr>
        <w:t>Sephience</w:t>
      </w:r>
      <w:r>
        <w:rPr>
          <w:i/>
          <w:szCs w:val="22"/>
          <w:lang w:val="lt-LT"/>
        </w:rPr>
        <w:t xml:space="preserve"> 1 000 mg geriamieji milteliai paketėlyje </w:t>
      </w:r>
    </w:p>
    <w:p>
      <w:pPr>
        <w:spacing w:line="240" w:lineRule="auto"/>
        <w:rPr>
          <w:szCs w:val="22"/>
          <w:lang w:val="lt-LT"/>
        </w:rPr>
      </w:pPr>
      <w:r>
        <w:rPr>
          <w:szCs w:val="22"/>
          <w:lang w:val="lt-LT"/>
        </w:rPr>
        <w:t>Kiekviename paketėlyje yra 1 600 mg izomalto.</w:t>
      </w:r>
    </w:p>
    <w:p>
      <w:pPr>
        <w:spacing w:line="240" w:lineRule="auto"/>
        <w:rPr>
          <w:szCs w:val="22"/>
          <w:lang w:val="lt-LT"/>
        </w:rPr>
      </w:pPr>
    </w:p>
    <w:p>
      <w:pPr>
        <w:spacing w:line="240" w:lineRule="auto"/>
        <w:rPr>
          <w:szCs w:val="22"/>
          <w:lang w:val="lt-LT"/>
        </w:rPr>
      </w:pPr>
      <w:r>
        <w:rPr>
          <w:szCs w:val="22"/>
          <w:lang w:val="lt-LT"/>
        </w:rPr>
        <w:t>Visos pagalbinės medžiagos išvardytos 6.1 skyriuje.</w:t>
      </w:r>
    </w:p>
    <w:p>
      <w:pPr>
        <w:spacing w:line="240" w:lineRule="auto"/>
        <w:rPr>
          <w:szCs w:val="22"/>
          <w:lang w:val="lt-LT"/>
        </w:rPr>
      </w:pPr>
    </w:p>
    <w:p>
      <w:pPr>
        <w:spacing w:line="240" w:lineRule="auto"/>
        <w:rPr>
          <w:szCs w:val="22"/>
          <w:lang w:val="lt-LT"/>
        </w:rPr>
      </w:pPr>
    </w:p>
    <w:p>
      <w:pPr>
        <w:spacing w:line="240" w:lineRule="auto"/>
        <w:ind w:left="567" w:hanging="567"/>
        <w:rPr>
          <w:caps/>
          <w:szCs w:val="22"/>
          <w:lang w:val="lt-LT"/>
        </w:rPr>
      </w:pPr>
      <w:r>
        <w:rPr>
          <w:b/>
          <w:bCs/>
          <w:szCs w:val="22"/>
          <w:lang w:val="lt-LT"/>
        </w:rPr>
        <w:t>3.</w:t>
      </w:r>
      <w:r>
        <w:rPr>
          <w:b/>
          <w:bCs/>
          <w:szCs w:val="22"/>
          <w:lang w:val="lt-LT"/>
        </w:rPr>
        <w:tab/>
        <w:t>FARMACINĖ FORMA</w:t>
      </w:r>
    </w:p>
    <w:p>
      <w:pPr>
        <w:spacing w:line="240" w:lineRule="auto"/>
        <w:rPr>
          <w:szCs w:val="22"/>
          <w:lang w:val="lt-LT"/>
        </w:rPr>
      </w:pPr>
    </w:p>
    <w:p>
      <w:pPr>
        <w:spacing w:line="240" w:lineRule="auto"/>
        <w:rPr>
          <w:szCs w:val="22"/>
          <w:lang w:val="lt-LT"/>
        </w:rPr>
      </w:pPr>
      <w:r>
        <w:rPr>
          <w:szCs w:val="22"/>
          <w:lang w:val="lt-LT"/>
        </w:rPr>
        <w:t>Geriamieji milteliai.</w:t>
      </w:r>
    </w:p>
    <w:p>
      <w:pPr>
        <w:spacing w:line="240" w:lineRule="auto"/>
        <w:rPr>
          <w:szCs w:val="22"/>
          <w:lang w:val="lt-LT"/>
        </w:rPr>
      </w:pPr>
    </w:p>
    <w:p>
      <w:pPr>
        <w:spacing w:line="240" w:lineRule="auto"/>
        <w:rPr>
          <w:szCs w:val="22"/>
          <w:lang w:val="lt-LT"/>
        </w:rPr>
      </w:pPr>
      <w:r>
        <w:rPr>
          <w:szCs w:val="22"/>
          <w:lang w:val="lt-LT"/>
        </w:rPr>
        <w:t>Geltonos arba oranžinės spalvos milteliai.</w:t>
      </w:r>
    </w:p>
    <w:p>
      <w:pPr>
        <w:spacing w:line="240" w:lineRule="auto"/>
        <w:rPr>
          <w:szCs w:val="22"/>
          <w:lang w:val="lt-LT"/>
        </w:rPr>
      </w:pPr>
    </w:p>
    <w:p>
      <w:pPr>
        <w:spacing w:line="240" w:lineRule="auto"/>
        <w:rPr>
          <w:szCs w:val="22"/>
          <w:lang w:val="lt-LT"/>
        </w:rPr>
      </w:pPr>
    </w:p>
    <w:p>
      <w:pPr>
        <w:spacing w:line="240" w:lineRule="auto"/>
        <w:ind w:left="567" w:hanging="567"/>
        <w:rPr>
          <w:b/>
          <w:szCs w:val="22"/>
          <w:highlight w:val="yellow"/>
          <w:lang w:val="lt-LT"/>
        </w:rPr>
      </w:pPr>
      <w:r>
        <w:rPr>
          <w:b/>
          <w:bCs/>
          <w:caps/>
          <w:szCs w:val="22"/>
          <w:lang w:val="lt-LT"/>
        </w:rPr>
        <w:t>4.</w:t>
      </w:r>
      <w:r>
        <w:rPr>
          <w:b/>
          <w:bCs/>
          <w:caps/>
          <w:szCs w:val="22"/>
          <w:lang w:val="lt-LT"/>
        </w:rPr>
        <w:tab/>
      </w:r>
      <w:r>
        <w:rPr>
          <w:b/>
          <w:bCs/>
          <w:szCs w:val="22"/>
          <w:lang w:val="lt-LT"/>
        </w:rPr>
        <w:t>KLINIKINĖ INFORMACIJA</w:t>
      </w:r>
    </w:p>
    <w:p>
      <w:pPr>
        <w:spacing w:line="240" w:lineRule="auto"/>
        <w:ind w:left="567" w:hanging="567"/>
        <w:rPr>
          <w:caps/>
          <w:szCs w:val="22"/>
          <w:highlight w:val="yellow"/>
          <w:lang w:val="lt-LT"/>
        </w:rPr>
      </w:pPr>
    </w:p>
    <w:p>
      <w:pPr>
        <w:spacing w:line="240" w:lineRule="auto"/>
        <w:ind w:left="567" w:hanging="567"/>
        <w:rPr>
          <w:b/>
          <w:szCs w:val="22"/>
          <w:lang w:val="lt-LT"/>
        </w:rPr>
      </w:pPr>
      <w:r>
        <w:rPr>
          <w:b/>
          <w:bCs/>
          <w:szCs w:val="22"/>
          <w:lang w:val="lt-LT"/>
        </w:rPr>
        <w:t>4.1</w:t>
      </w:r>
      <w:r>
        <w:rPr>
          <w:b/>
          <w:bCs/>
          <w:szCs w:val="22"/>
          <w:lang w:val="lt-LT"/>
        </w:rPr>
        <w:tab/>
        <w:t>Terapinės indikacijos</w:t>
      </w:r>
      <w:r>
        <w:rPr>
          <w:b/>
          <w:szCs w:val="22"/>
          <w:highlight w:val="yellow"/>
          <w:lang w:val="lt-LT"/>
        </w:rPr>
        <w:fldChar w:fldCharType="begin"/>
      </w:r>
      <w:r>
        <w:rPr>
          <w:b/>
          <w:szCs w:val="22"/>
          <w:highlight w:val="yellow"/>
          <w:lang w:val="lt-LT"/>
        </w:rPr>
        <w:instrText xml:space="preserve"> DOCVARIABLE vault_nd_9b8de20a-3872-4166-ac84-b2d8c40a917d </w:instrText>
      </w:r>
      <w:r>
        <w:rPr>
          <w:b/>
          <w:szCs w:val="22"/>
          <w:highlight w:val="yellow"/>
          <w:lang w:val="lt-LT"/>
        </w:rPr>
        <w:fldChar w:fldCharType="separate"/>
      </w:r>
      <w:r>
        <w:rPr>
          <w:b/>
          <w:szCs w:val="22"/>
          <w:highlight w:val="yellow"/>
          <w:lang w:val="lt-LT"/>
        </w:rPr>
        <w:t xml:space="preserve"> </w:t>
      </w:r>
      <w:r>
        <w:rPr>
          <w:b/>
          <w:szCs w:val="22"/>
          <w:highlight w:val="yellow"/>
          <w:lang w:val="lt-LT"/>
        </w:rPr>
        <w:fldChar w:fldCharType="end"/>
      </w:r>
    </w:p>
    <w:p>
      <w:pPr>
        <w:spacing w:line="240" w:lineRule="auto"/>
        <w:ind w:left="567" w:hanging="567"/>
        <w:rPr>
          <w:szCs w:val="22"/>
          <w:lang w:val="lt-LT"/>
        </w:rPr>
      </w:pPr>
    </w:p>
    <w:p>
      <w:pPr>
        <w:spacing w:line="240" w:lineRule="auto"/>
        <w:rPr>
          <w:szCs w:val="22"/>
          <w:lang w:val="lt-LT"/>
        </w:rPr>
      </w:pPr>
      <w:r>
        <w:rPr>
          <w:szCs w:val="22"/>
          <w:lang w:val="lt-LT"/>
        </w:rPr>
        <w:t xml:space="preserve">Sephience skirtas hiperfenilalaninemijai (HFA) gydyti suaugusiesiems ir vaikams, sergantiems fenilketonurija (FKU). </w:t>
      </w:r>
    </w:p>
    <w:p>
      <w:pPr>
        <w:spacing w:line="240" w:lineRule="auto"/>
        <w:rPr>
          <w:szCs w:val="22"/>
          <w:lang w:val="lt-LT"/>
        </w:rPr>
      </w:pPr>
    </w:p>
    <w:p>
      <w:pPr>
        <w:pStyle w:val="StyleBoldBefore12ptAfter6ptLinespacingsingle"/>
        <w:spacing w:before="0" w:after="0"/>
        <w:ind w:left="567" w:hanging="567"/>
        <w:rPr>
          <w:lang w:val="lt-LT"/>
        </w:rPr>
      </w:pPr>
      <w:r>
        <w:rPr>
          <w:szCs w:val="22"/>
          <w:lang w:val="lt-LT"/>
        </w:rPr>
        <w:t>4.2</w:t>
      </w:r>
      <w:r>
        <w:rPr>
          <w:szCs w:val="22"/>
          <w:lang w:val="lt-LT"/>
        </w:rPr>
        <w:tab/>
        <w:t>Dozavimas ir vartojimo metodas</w:t>
      </w:r>
    </w:p>
    <w:p>
      <w:pPr>
        <w:pStyle w:val="StyleBoldBefore12ptAfter6ptLinespacingsingle"/>
        <w:spacing w:before="0" w:after="0"/>
        <w:rPr>
          <w:lang w:val="lt-LT"/>
        </w:rPr>
      </w:pPr>
    </w:p>
    <w:p>
      <w:pPr>
        <w:spacing w:line="240" w:lineRule="auto"/>
        <w:rPr>
          <w:lang w:val="lt-LT"/>
        </w:rPr>
      </w:pPr>
      <w:r>
        <w:rPr>
          <w:szCs w:val="22"/>
          <w:lang w:val="lt-LT"/>
        </w:rPr>
        <w:t>Gydymą Sephience turi pradėti ir prižiūrėti gydytojas, turintis FKU gydymo patirties.</w:t>
      </w:r>
    </w:p>
    <w:p>
      <w:pPr>
        <w:spacing w:line="240" w:lineRule="auto"/>
        <w:rPr>
          <w:lang w:val="lt-LT"/>
        </w:rPr>
      </w:pPr>
    </w:p>
    <w:p>
      <w:pPr>
        <w:spacing w:line="240" w:lineRule="auto"/>
        <w:rPr>
          <w:u w:val="single"/>
          <w:lang w:val="lt-LT"/>
        </w:rPr>
      </w:pPr>
      <w:r>
        <w:rPr>
          <w:szCs w:val="22"/>
          <w:u w:val="single"/>
          <w:lang w:val="lt-LT"/>
        </w:rPr>
        <w:t>Dozavimas</w:t>
      </w:r>
    </w:p>
    <w:p>
      <w:pPr>
        <w:spacing w:line="240" w:lineRule="auto"/>
        <w:rPr>
          <w:szCs w:val="22"/>
          <w:lang w:val="lt-LT"/>
        </w:rPr>
      </w:pPr>
    </w:p>
    <w:p>
      <w:pPr>
        <w:spacing w:line="240" w:lineRule="auto"/>
        <w:rPr>
          <w:szCs w:val="22"/>
          <w:lang w:val="lt-LT"/>
        </w:rPr>
      </w:pPr>
      <w:r>
        <w:rPr>
          <w:szCs w:val="22"/>
          <w:lang w:val="lt-LT"/>
        </w:rPr>
        <w:t xml:space="preserve">Rekomenduojama Sephience dozė (mg/kg per parą), kurią reikia vartoti per burną vieną kartą per parą, priklauso nuo amžiaus ir kūno svorio (žr. 1 lentelę). Didžiausia rekomenduojama dozė yra 60 mg/kg per parą. Rekomenduojama Sephience dozė ≥2 metų pacientams yra 60 mg/kg per parą. Tačiau, jei gydantis gydytojas mano, kad tai būtina arba tikslinga, dozę galima koreguoti iki mažesnės. </w:t>
      </w:r>
    </w:p>
    <w:p>
      <w:pPr>
        <w:spacing w:line="240" w:lineRule="auto"/>
        <w:rPr>
          <w:szCs w:val="22"/>
          <w:lang w:val="lt-LT"/>
        </w:rPr>
      </w:pPr>
    </w:p>
    <w:p>
      <w:pPr>
        <w:keepNext/>
        <w:keepLines/>
        <w:spacing w:line="240" w:lineRule="auto"/>
        <w:ind w:right="720"/>
        <w:rPr>
          <w:b/>
          <w:bCs/>
          <w:szCs w:val="22"/>
          <w:lang w:val="lt-LT"/>
        </w:rPr>
      </w:pPr>
      <w:r>
        <w:rPr>
          <w:b/>
          <w:bCs/>
          <w:szCs w:val="22"/>
          <w:lang w:val="lt-LT"/>
        </w:rPr>
        <w:lastRenderedPageBreak/>
        <w:t>1 lentelė. Rekomenduojama dozė pagal paciento amžių ir kūno svorį</w:t>
      </w:r>
    </w:p>
    <w:p>
      <w:pPr>
        <w:keepNext/>
        <w:keepLines/>
        <w:spacing w:line="240" w:lineRule="auto"/>
        <w:ind w:right="720"/>
        <w:rPr>
          <w:b/>
          <w:bCs/>
          <w:szCs w:val="22"/>
          <w:lang w:val="lt-LT"/>
        </w:rPr>
      </w:pPr>
    </w:p>
    <w:tbl>
      <w:tblPr>
        <w:tblW w:w="5000" w:type="pct"/>
        <w:tblInd w:w="101" w:type="dxa"/>
        <w:tblLayout w:type="fixed"/>
        <w:tblLook w:val="0000" w:firstRow="0" w:lastRow="0" w:firstColumn="0" w:lastColumn="0" w:noHBand="0" w:noVBand="0"/>
      </w:tblPr>
      <w:tblGrid>
        <w:gridCol w:w="3138"/>
        <w:gridCol w:w="6148"/>
      </w:tblGrid>
      <w:tr>
        <w:trPr>
          <w:trHeight w:val="22"/>
          <w:tblHeader/>
        </w:trPr>
        <w:tc>
          <w:tcPr>
            <w:tcW w:w="3065" w:type="dxa"/>
            <w:tcBorders>
              <w:top w:val="single" w:sz="6" w:space="0" w:color="000000"/>
              <w:left w:val="single" w:sz="6" w:space="0" w:color="000000"/>
              <w:bottom w:val="single" w:sz="6" w:space="0" w:color="000000"/>
              <w:right w:val="single" w:sz="6" w:space="0" w:color="000000"/>
            </w:tcBorders>
          </w:tcPr>
          <w:p>
            <w:pPr>
              <w:keepNext/>
              <w:keepLines/>
              <w:spacing w:line="240" w:lineRule="auto"/>
              <w:rPr>
                <w:b/>
                <w:bCs/>
                <w:color w:val="000000"/>
                <w:szCs w:val="22"/>
                <w:lang w:val="lt-LT"/>
              </w:rPr>
            </w:pPr>
            <w:r>
              <w:rPr>
                <w:b/>
                <w:bCs/>
                <w:color w:val="000000"/>
                <w:szCs w:val="22"/>
                <w:lang w:val="lt-LT"/>
              </w:rPr>
              <w:t>Amžius</w:t>
            </w:r>
          </w:p>
        </w:tc>
        <w:tc>
          <w:tcPr>
            <w:tcW w:w="6005" w:type="dxa"/>
            <w:tcBorders>
              <w:top w:val="single" w:sz="6" w:space="0" w:color="000000"/>
              <w:left w:val="single" w:sz="6" w:space="0" w:color="000000"/>
              <w:bottom w:val="single" w:sz="6" w:space="0" w:color="000000"/>
              <w:right w:val="single" w:sz="6" w:space="0" w:color="000000"/>
            </w:tcBorders>
          </w:tcPr>
          <w:p>
            <w:pPr>
              <w:keepNext/>
              <w:keepLines/>
              <w:spacing w:line="240" w:lineRule="auto"/>
              <w:rPr>
                <w:b/>
                <w:bCs/>
                <w:color w:val="000000"/>
                <w:szCs w:val="22"/>
                <w:lang w:val="lt-LT"/>
              </w:rPr>
            </w:pPr>
            <w:r>
              <w:rPr>
                <w:b/>
                <w:bCs/>
                <w:color w:val="000000"/>
                <w:szCs w:val="22"/>
                <w:lang w:val="lt-LT"/>
              </w:rPr>
              <w:t>Rekomenduojama dozė: (mg/kg) Sephience per parą</w:t>
            </w:r>
          </w:p>
        </w:tc>
      </w:tr>
      <w:tr>
        <w:trPr>
          <w:trHeight w:val="22"/>
        </w:trPr>
        <w:tc>
          <w:tcPr>
            <w:tcW w:w="3065" w:type="dxa"/>
            <w:tcBorders>
              <w:top w:val="single" w:sz="6" w:space="0" w:color="000000"/>
              <w:left w:val="single" w:sz="6" w:space="0" w:color="000000"/>
              <w:bottom w:val="single" w:sz="6" w:space="0" w:color="000000"/>
              <w:right w:val="single" w:sz="6" w:space="0" w:color="000000"/>
            </w:tcBorders>
          </w:tcPr>
          <w:p>
            <w:pPr>
              <w:keepNext/>
              <w:keepLines/>
              <w:spacing w:line="240" w:lineRule="auto"/>
              <w:rPr>
                <w:color w:val="000000"/>
                <w:szCs w:val="22"/>
                <w:lang w:val="lt-LT"/>
              </w:rPr>
            </w:pPr>
            <w:r>
              <w:rPr>
                <w:color w:val="000000"/>
                <w:szCs w:val="22"/>
                <w:lang w:val="lt-LT"/>
              </w:rPr>
              <w:t>Nuo 0 iki &lt;6 mėn.</w:t>
            </w:r>
          </w:p>
        </w:tc>
        <w:tc>
          <w:tcPr>
            <w:tcW w:w="6005" w:type="dxa"/>
            <w:tcBorders>
              <w:top w:val="single" w:sz="6" w:space="0" w:color="000000"/>
              <w:left w:val="single" w:sz="6" w:space="0" w:color="000000"/>
              <w:bottom w:val="single" w:sz="6" w:space="0" w:color="000000"/>
              <w:right w:val="single" w:sz="6" w:space="0" w:color="000000"/>
            </w:tcBorders>
          </w:tcPr>
          <w:p>
            <w:pPr>
              <w:keepNext/>
              <w:keepLines/>
              <w:spacing w:line="240" w:lineRule="auto"/>
              <w:rPr>
                <w:color w:val="000000"/>
                <w:szCs w:val="22"/>
                <w:lang w:val="lt-LT"/>
              </w:rPr>
            </w:pPr>
            <w:r>
              <w:rPr>
                <w:color w:val="000000"/>
                <w:szCs w:val="22"/>
                <w:lang w:val="lt-LT"/>
              </w:rPr>
              <w:t>7,5 mg/kg per parą</w:t>
            </w:r>
          </w:p>
        </w:tc>
      </w:tr>
      <w:tr>
        <w:trPr>
          <w:trHeight w:val="22"/>
        </w:trPr>
        <w:tc>
          <w:tcPr>
            <w:tcW w:w="3065" w:type="dxa"/>
            <w:tcBorders>
              <w:top w:val="single" w:sz="6" w:space="0" w:color="000000"/>
              <w:left w:val="single" w:sz="4" w:space="0" w:color="000000"/>
              <w:bottom w:val="single" w:sz="4" w:space="0" w:color="000000"/>
              <w:right w:val="single" w:sz="4" w:space="0" w:color="000000"/>
            </w:tcBorders>
          </w:tcPr>
          <w:p>
            <w:pPr>
              <w:keepNext/>
              <w:keepLines/>
              <w:spacing w:line="240" w:lineRule="auto"/>
              <w:rPr>
                <w:color w:val="000000"/>
                <w:szCs w:val="22"/>
                <w:lang w:val="lt-LT"/>
              </w:rPr>
            </w:pPr>
            <w:r>
              <w:rPr>
                <w:color w:val="000000"/>
                <w:szCs w:val="22"/>
                <w:lang w:val="lt-LT"/>
              </w:rPr>
              <w:t>Nuo 6 iki &lt;12 mėn.</w:t>
            </w:r>
          </w:p>
        </w:tc>
        <w:tc>
          <w:tcPr>
            <w:tcW w:w="6005" w:type="dxa"/>
            <w:tcBorders>
              <w:top w:val="single" w:sz="6" w:space="0" w:color="000000"/>
              <w:left w:val="single" w:sz="4" w:space="0" w:color="000000"/>
              <w:bottom w:val="single" w:sz="4" w:space="0" w:color="000000"/>
              <w:right w:val="single" w:sz="4" w:space="0" w:color="000000"/>
            </w:tcBorders>
          </w:tcPr>
          <w:p>
            <w:pPr>
              <w:keepNext/>
              <w:keepLines/>
              <w:spacing w:line="240" w:lineRule="auto"/>
              <w:rPr>
                <w:color w:val="000000"/>
                <w:szCs w:val="22"/>
                <w:lang w:val="lt-LT"/>
              </w:rPr>
            </w:pPr>
            <w:r>
              <w:rPr>
                <w:color w:val="000000"/>
                <w:szCs w:val="22"/>
                <w:lang w:val="lt-LT"/>
              </w:rPr>
              <w:t>15 mg/kg per parą</w:t>
            </w:r>
          </w:p>
        </w:tc>
      </w:tr>
      <w:tr>
        <w:trPr>
          <w:trHeight w:val="22"/>
        </w:trPr>
        <w:tc>
          <w:tcPr>
            <w:tcW w:w="3065" w:type="dxa"/>
            <w:tcBorders>
              <w:top w:val="single" w:sz="4" w:space="0" w:color="000000"/>
              <w:left w:val="single" w:sz="4" w:space="0" w:color="000000"/>
              <w:bottom w:val="single" w:sz="4" w:space="0" w:color="000000"/>
              <w:right w:val="single" w:sz="4" w:space="0" w:color="000000"/>
            </w:tcBorders>
          </w:tcPr>
          <w:p>
            <w:pPr>
              <w:keepNext/>
              <w:keepLines/>
              <w:spacing w:line="240" w:lineRule="auto"/>
              <w:rPr>
                <w:color w:val="000000"/>
                <w:szCs w:val="22"/>
                <w:lang w:val="lt-LT"/>
              </w:rPr>
            </w:pPr>
            <w:r>
              <w:rPr>
                <w:color w:val="000000"/>
                <w:szCs w:val="22"/>
                <w:lang w:val="lt-LT"/>
              </w:rPr>
              <w:t>Nuo 12 mėn. iki &lt;2 metų</w:t>
            </w:r>
          </w:p>
        </w:tc>
        <w:tc>
          <w:tcPr>
            <w:tcW w:w="6005" w:type="dxa"/>
            <w:tcBorders>
              <w:top w:val="single" w:sz="4" w:space="0" w:color="000000"/>
              <w:left w:val="single" w:sz="4" w:space="0" w:color="000000"/>
              <w:bottom w:val="single" w:sz="4" w:space="0" w:color="000000"/>
              <w:right w:val="single" w:sz="4" w:space="0" w:color="000000"/>
            </w:tcBorders>
          </w:tcPr>
          <w:p>
            <w:pPr>
              <w:keepNext/>
              <w:keepLines/>
              <w:spacing w:line="240" w:lineRule="auto"/>
              <w:rPr>
                <w:color w:val="000000"/>
                <w:szCs w:val="22"/>
                <w:lang w:val="lt-LT"/>
              </w:rPr>
            </w:pPr>
            <w:r>
              <w:rPr>
                <w:color w:val="000000"/>
                <w:szCs w:val="22"/>
                <w:lang w:val="lt-LT"/>
              </w:rPr>
              <w:t>30 mg/kg per parą</w:t>
            </w:r>
          </w:p>
        </w:tc>
      </w:tr>
      <w:tr>
        <w:trPr>
          <w:trHeight w:val="22"/>
        </w:trPr>
        <w:tc>
          <w:tcPr>
            <w:tcW w:w="3065" w:type="dxa"/>
            <w:tcBorders>
              <w:top w:val="single" w:sz="4" w:space="0" w:color="000000"/>
              <w:left w:val="single" w:sz="4" w:space="0" w:color="000000"/>
              <w:bottom w:val="single" w:sz="4" w:space="0" w:color="000000"/>
              <w:right w:val="single" w:sz="4" w:space="0" w:color="000000"/>
            </w:tcBorders>
          </w:tcPr>
          <w:p>
            <w:pPr>
              <w:keepNext/>
              <w:keepLines/>
              <w:spacing w:line="240" w:lineRule="auto"/>
              <w:rPr>
                <w:color w:val="000000"/>
                <w:szCs w:val="22"/>
                <w:lang w:val="lt-LT"/>
              </w:rPr>
            </w:pPr>
            <w:r>
              <w:rPr>
                <w:color w:val="000000"/>
                <w:szCs w:val="22"/>
                <w:lang w:val="lt-LT"/>
              </w:rPr>
              <w:t>≥2 metai</w:t>
            </w:r>
          </w:p>
        </w:tc>
        <w:tc>
          <w:tcPr>
            <w:tcW w:w="6005" w:type="dxa"/>
            <w:tcBorders>
              <w:top w:val="single" w:sz="4" w:space="0" w:color="000000"/>
              <w:left w:val="single" w:sz="4" w:space="0" w:color="000000"/>
              <w:bottom w:val="single" w:sz="4" w:space="0" w:color="000000"/>
              <w:right w:val="single" w:sz="4" w:space="0" w:color="000000"/>
            </w:tcBorders>
          </w:tcPr>
          <w:p>
            <w:pPr>
              <w:keepNext/>
              <w:keepLines/>
              <w:spacing w:line="240" w:lineRule="auto"/>
              <w:rPr>
                <w:color w:val="000000"/>
                <w:szCs w:val="22"/>
                <w:lang w:val="lt-LT"/>
              </w:rPr>
            </w:pPr>
            <w:r>
              <w:rPr>
                <w:color w:val="000000"/>
                <w:szCs w:val="22"/>
                <w:lang w:val="lt-LT"/>
              </w:rPr>
              <w:t>60 mg/kg per parą</w:t>
            </w:r>
          </w:p>
        </w:tc>
      </w:tr>
    </w:tbl>
    <w:p>
      <w:pPr>
        <w:spacing w:line="240" w:lineRule="auto"/>
        <w:rPr>
          <w:szCs w:val="22"/>
          <w:lang w:val="lt-LT"/>
        </w:rPr>
      </w:pPr>
      <w:r>
        <w:rPr>
          <w:szCs w:val="22"/>
          <w:lang w:val="lt-LT"/>
        </w:rPr>
        <w:t>Toliau pateiktose 2–5 lentelėse pateikiama dozavimo informacija pagal amžiaus grupes pacientams, sveriantiems 16 kg ar mažiau skirtingomis dozėmis (7,5, 15, 30 ir 60 mg/kg per parą).</w:t>
      </w:r>
    </w:p>
    <w:p>
      <w:pPr>
        <w:spacing w:line="240" w:lineRule="auto"/>
        <w:rPr>
          <w:szCs w:val="22"/>
          <w:lang w:val="lt-LT"/>
        </w:rPr>
      </w:pPr>
    </w:p>
    <w:p>
      <w:pPr>
        <w:keepNext/>
        <w:keepLines/>
        <w:spacing w:line="240" w:lineRule="auto"/>
        <w:rPr>
          <w:b/>
          <w:bCs/>
          <w:szCs w:val="22"/>
          <w:lang w:val="lt-LT"/>
        </w:rPr>
      </w:pPr>
      <w:r>
        <w:rPr>
          <w:b/>
          <w:bCs/>
          <w:szCs w:val="22"/>
          <w:lang w:val="lt-LT"/>
        </w:rPr>
        <w:t>2 lentelė. Rekomenduojama Sephience geriamųjų miltelių paketėlyje dozė pagal kūno svorį jaunesniems kaip 6 mėnesių vaikams</w:t>
      </w:r>
    </w:p>
    <w:p>
      <w:pPr>
        <w:keepNext/>
        <w:keepLines/>
        <w:spacing w:line="240" w:lineRule="auto"/>
        <w:rPr>
          <w:b/>
          <w:bCs/>
          <w:szCs w:val="22"/>
          <w:lang w:val="lt-LT"/>
        </w:rPr>
      </w:pPr>
    </w:p>
    <w:tbl>
      <w:tblPr>
        <w:tblStyle w:val="TableGrid"/>
        <w:tblW w:w="5000" w:type="pct"/>
        <w:tblLayout w:type="fixed"/>
        <w:tblLook w:val="04A0" w:firstRow="1" w:lastRow="0" w:firstColumn="1" w:lastColumn="0" w:noHBand="0" w:noVBand="1"/>
      </w:tblPr>
      <w:tblGrid>
        <w:gridCol w:w="1316"/>
        <w:gridCol w:w="1922"/>
        <w:gridCol w:w="2916"/>
        <w:gridCol w:w="3132"/>
      </w:tblGrid>
      <w:tr>
        <w:trPr>
          <w:trHeight w:val="206"/>
          <w:tblHeader/>
        </w:trPr>
        <w:tc>
          <w:tcPr>
            <w:tcW w:w="1286" w:type="dxa"/>
          </w:tcPr>
          <w:p>
            <w:pPr>
              <w:spacing w:line="240" w:lineRule="auto"/>
              <w:rPr>
                <w:b/>
                <w:szCs w:val="22"/>
                <w:lang w:val="lt-LT"/>
              </w:rPr>
            </w:pPr>
            <w:r>
              <w:rPr>
                <w:b/>
                <w:bCs/>
                <w:szCs w:val="22"/>
                <w:lang w:val="lt-LT"/>
              </w:rPr>
              <w:t>Dozė</w:t>
            </w:r>
          </w:p>
        </w:tc>
        <w:tc>
          <w:tcPr>
            <w:tcW w:w="7784" w:type="dxa"/>
            <w:gridSpan w:val="3"/>
          </w:tcPr>
          <w:p>
            <w:pPr>
              <w:spacing w:line="240" w:lineRule="auto"/>
              <w:jc w:val="center"/>
              <w:rPr>
                <w:b/>
                <w:szCs w:val="22"/>
                <w:lang w:val="lt-LT"/>
              </w:rPr>
            </w:pPr>
            <w:r>
              <w:rPr>
                <w:b/>
                <w:bCs/>
                <w:color w:val="000000"/>
                <w:szCs w:val="22"/>
                <w:lang w:val="lt-LT"/>
              </w:rPr>
              <w:t>7,5 mg/kg per parą</w:t>
            </w:r>
          </w:p>
        </w:tc>
      </w:tr>
      <w:tr>
        <w:trPr>
          <w:trHeight w:val="152"/>
          <w:tblHeader/>
        </w:trPr>
        <w:tc>
          <w:tcPr>
            <w:tcW w:w="1286" w:type="dxa"/>
          </w:tcPr>
          <w:p>
            <w:pPr>
              <w:spacing w:line="240" w:lineRule="auto"/>
              <w:rPr>
                <w:rFonts w:eastAsia="Arial"/>
                <w:b/>
                <w:bCs/>
                <w:color w:val="000000"/>
                <w:szCs w:val="22"/>
                <w:lang w:val="lt-LT"/>
              </w:rPr>
            </w:pPr>
            <w:r>
              <w:rPr>
                <w:rFonts w:eastAsia="Arial"/>
                <w:b/>
                <w:bCs/>
                <w:color w:val="000000"/>
                <w:szCs w:val="22"/>
                <w:lang w:val="lt-LT"/>
              </w:rPr>
              <w:t>Am</w:t>
            </w:r>
            <w:r>
              <w:rPr>
                <w:b/>
                <w:bCs/>
                <w:szCs w:val="22"/>
                <w:lang w:val="lt-LT"/>
              </w:rPr>
              <w:t>ž</w:t>
            </w:r>
            <w:r>
              <w:rPr>
                <w:rFonts w:eastAsia="Arial"/>
                <w:b/>
                <w:bCs/>
                <w:color w:val="000000"/>
                <w:szCs w:val="22"/>
                <w:lang w:val="lt-LT"/>
              </w:rPr>
              <w:t>ius</w:t>
            </w:r>
          </w:p>
        </w:tc>
        <w:tc>
          <w:tcPr>
            <w:tcW w:w="7784" w:type="dxa"/>
            <w:gridSpan w:val="3"/>
          </w:tcPr>
          <w:p>
            <w:pPr>
              <w:spacing w:line="240" w:lineRule="auto"/>
              <w:jc w:val="center"/>
              <w:rPr>
                <w:rFonts w:eastAsia="Arial"/>
                <w:b/>
                <w:bCs/>
                <w:color w:val="000000"/>
                <w:szCs w:val="22"/>
                <w:lang w:val="lt-LT"/>
              </w:rPr>
            </w:pPr>
            <w:r>
              <w:rPr>
                <w:b/>
                <w:bCs/>
                <w:color w:val="000000"/>
                <w:szCs w:val="22"/>
                <w:lang w:val="lt-LT"/>
              </w:rPr>
              <w:t>Nuo 0 iki &lt;6 mėn.</w:t>
            </w:r>
          </w:p>
        </w:tc>
      </w:tr>
      <w:tr>
        <w:trPr>
          <w:trHeight w:val="652"/>
          <w:tblHeader/>
        </w:trPr>
        <w:tc>
          <w:tcPr>
            <w:tcW w:w="1286" w:type="dxa"/>
          </w:tcPr>
          <w:p>
            <w:pPr>
              <w:spacing w:line="240" w:lineRule="auto"/>
              <w:rPr>
                <w:szCs w:val="22"/>
                <w:lang w:val="lt-LT"/>
              </w:rPr>
            </w:pPr>
            <w:r>
              <w:rPr>
                <w:b/>
                <w:bCs/>
                <w:color w:val="000000"/>
                <w:szCs w:val="22"/>
                <w:lang w:val="lt-LT"/>
              </w:rPr>
              <w:t>Svoris (kg)</w:t>
            </w:r>
          </w:p>
        </w:tc>
        <w:tc>
          <w:tcPr>
            <w:tcW w:w="1877" w:type="dxa"/>
          </w:tcPr>
          <w:p>
            <w:pPr>
              <w:spacing w:line="240" w:lineRule="auto"/>
              <w:jc w:val="center"/>
              <w:rPr>
                <w:szCs w:val="22"/>
                <w:lang w:val="lt-LT"/>
              </w:rPr>
            </w:pPr>
            <w:r>
              <w:rPr>
                <w:b/>
                <w:bCs/>
                <w:color w:val="000000"/>
                <w:szCs w:val="22"/>
                <w:lang w:val="lt-LT"/>
              </w:rPr>
              <w:t>Bendra dozė (mg)</w:t>
            </w:r>
          </w:p>
        </w:tc>
        <w:tc>
          <w:tcPr>
            <w:tcW w:w="2848" w:type="dxa"/>
          </w:tcPr>
          <w:p>
            <w:pPr>
              <w:spacing w:line="240" w:lineRule="auto"/>
              <w:jc w:val="center"/>
              <w:rPr>
                <w:szCs w:val="22"/>
                <w:lang w:val="lt-LT"/>
              </w:rPr>
            </w:pPr>
            <w:r>
              <w:rPr>
                <w:b/>
                <w:bCs/>
                <w:color w:val="000000"/>
                <w:szCs w:val="22"/>
                <w:lang w:val="lt-LT"/>
              </w:rPr>
              <w:t>Paketėlių (250 mg) skaičius</w:t>
            </w:r>
          </w:p>
        </w:tc>
        <w:tc>
          <w:tcPr>
            <w:tcW w:w="3059" w:type="dxa"/>
          </w:tcPr>
          <w:p>
            <w:pPr>
              <w:spacing w:line="240" w:lineRule="auto"/>
              <w:jc w:val="center"/>
              <w:rPr>
                <w:szCs w:val="22"/>
                <w:lang w:val="lt-LT"/>
              </w:rPr>
            </w:pPr>
            <w:r>
              <w:rPr>
                <w:b/>
                <w:bCs/>
                <w:color w:val="000000"/>
                <w:szCs w:val="22"/>
                <w:lang w:val="lt-LT"/>
              </w:rPr>
              <w:t>Vartotinas tūris (ml) (25 mg/ml)</w:t>
            </w:r>
          </w:p>
        </w:tc>
      </w:tr>
      <w:tr>
        <w:trPr>
          <w:trHeight w:val="222"/>
        </w:trPr>
        <w:tc>
          <w:tcPr>
            <w:tcW w:w="1286" w:type="dxa"/>
          </w:tcPr>
          <w:p>
            <w:pPr>
              <w:spacing w:line="240" w:lineRule="auto"/>
              <w:rPr>
                <w:szCs w:val="22"/>
                <w:lang w:val="lt-LT"/>
              </w:rPr>
            </w:pPr>
            <w:r>
              <w:rPr>
                <w:color w:val="000000"/>
                <w:szCs w:val="22"/>
                <w:lang w:val="lt-LT"/>
              </w:rPr>
              <w:t>2</w:t>
            </w:r>
          </w:p>
        </w:tc>
        <w:tc>
          <w:tcPr>
            <w:tcW w:w="1877" w:type="dxa"/>
          </w:tcPr>
          <w:p>
            <w:pPr>
              <w:spacing w:line="240" w:lineRule="auto"/>
              <w:jc w:val="center"/>
              <w:rPr>
                <w:szCs w:val="22"/>
                <w:lang w:val="lt-LT"/>
              </w:rPr>
            </w:pPr>
            <w:r>
              <w:rPr>
                <w:color w:val="000000"/>
                <w:szCs w:val="22"/>
                <w:lang w:val="lt-LT"/>
              </w:rPr>
              <w:t>15</w:t>
            </w:r>
          </w:p>
        </w:tc>
        <w:tc>
          <w:tcPr>
            <w:tcW w:w="2848" w:type="dxa"/>
          </w:tcPr>
          <w:p>
            <w:pPr>
              <w:spacing w:line="240" w:lineRule="auto"/>
              <w:jc w:val="center"/>
              <w:rPr>
                <w:szCs w:val="22"/>
                <w:lang w:val="lt-LT"/>
              </w:rPr>
            </w:pPr>
            <w:r>
              <w:rPr>
                <w:color w:val="000000"/>
                <w:szCs w:val="22"/>
                <w:lang w:val="lt-LT"/>
              </w:rPr>
              <w:t>1</w:t>
            </w:r>
          </w:p>
        </w:tc>
        <w:tc>
          <w:tcPr>
            <w:tcW w:w="3059" w:type="dxa"/>
          </w:tcPr>
          <w:p>
            <w:pPr>
              <w:spacing w:line="240" w:lineRule="auto"/>
              <w:jc w:val="center"/>
              <w:rPr>
                <w:szCs w:val="22"/>
                <w:lang w:val="lt-LT"/>
              </w:rPr>
            </w:pPr>
            <w:r>
              <w:rPr>
                <w:color w:val="000000"/>
                <w:szCs w:val="22"/>
                <w:lang w:val="lt-LT"/>
              </w:rPr>
              <w:t>0,6</w:t>
            </w:r>
          </w:p>
        </w:tc>
      </w:tr>
      <w:tr>
        <w:trPr>
          <w:trHeight w:val="206"/>
        </w:trPr>
        <w:tc>
          <w:tcPr>
            <w:tcW w:w="1286" w:type="dxa"/>
          </w:tcPr>
          <w:p>
            <w:pPr>
              <w:spacing w:line="240" w:lineRule="auto"/>
              <w:rPr>
                <w:szCs w:val="22"/>
                <w:lang w:val="lt-LT"/>
              </w:rPr>
            </w:pPr>
            <w:r>
              <w:rPr>
                <w:color w:val="000000"/>
                <w:szCs w:val="22"/>
                <w:lang w:val="lt-LT"/>
              </w:rPr>
              <w:t>3</w:t>
            </w:r>
          </w:p>
        </w:tc>
        <w:tc>
          <w:tcPr>
            <w:tcW w:w="1877" w:type="dxa"/>
          </w:tcPr>
          <w:p>
            <w:pPr>
              <w:spacing w:line="240" w:lineRule="auto"/>
              <w:jc w:val="center"/>
              <w:rPr>
                <w:szCs w:val="22"/>
                <w:lang w:val="lt-LT"/>
              </w:rPr>
            </w:pPr>
            <w:r>
              <w:rPr>
                <w:color w:val="000000"/>
                <w:szCs w:val="22"/>
                <w:lang w:val="lt-LT"/>
              </w:rPr>
              <w:t>22,5</w:t>
            </w:r>
          </w:p>
        </w:tc>
        <w:tc>
          <w:tcPr>
            <w:tcW w:w="2848" w:type="dxa"/>
          </w:tcPr>
          <w:p>
            <w:pPr>
              <w:spacing w:line="240" w:lineRule="auto"/>
              <w:jc w:val="center"/>
              <w:rPr>
                <w:szCs w:val="22"/>
                <w:lang w:val="lt-LT"/>
              </w:rPr>
            </w:pPr>
            <w:r>
              <w:rPr>
                <w:color w:val="000000"/>
                <w:szCs w:val="22"/>
                <w:lang w:val="lt-LT"/>
              </w:rPr>
              <w:t>1</w:t>
            </w:r>
          </w:p>
        </w:tc>
        <w:tc>
          <w:tcPr>
            <w:tcW w:w="3059" w:type="dxa"/>
          </w:tcPr>
          <w:p>
            <w:pPr>
              <w:spacing w:line="240" w:lineRule="auto"/>
              <w:jc w:val="center"/>
              <w:rPr>
                <w:szCs w:val="22"/>
                <w:lang w:val="lt-LT"/>
              </w:rPr>
            </w:pPr>
            <w:r>
              <w:rPr>
                <w:color w:val="000000"/>
                <w:szCs w:val="22"/>
                <w:lang w:val="lt-LT"/>
              </w:rPr>
              <w:t>0,9</w:t>
            </w:r>
          </w:p>
        </w:tc>
      </w:tr>
      <w:tr>
        <w:trPr>
          <w:trHeight w:val="222"/>
        </w:trPr>
        <w:tc>
          <w:tcPr>
            <w:tcW w:w="1286" w:type="dxa"/>
          </w:tcPr>
          <w:p>
            <w:pPr>
              <w:spacing w:line="240" w:lineRule="auto"/>
              <w:rPr>
                <w:szCs w:val="22"/>
                <w:lang w:val="lt-LT"/>
              </w:rPr>
            </w:pPr>
            <w:r>
              <w:rPr>
                <w:color w:val="000000"/>
                <w:szCs w:val="22"/>
                <w:lang w:val="lt-LT"/>
              </w:rPr>
              <w:t>4</w:t>
            </w:r>
          </w:p>
        </w:tc>
        <w:tc>
          <w:tcPr>
            <w:tcW w:w="1877" w:type="dxa"/>
          </w:tcPr>
          <w:p>
            <w:pPr>
              <w:spacing w:line="240" w:lineRule="auto"/>
              <w:jc w:val="center"/>
              <w:rPr>
                <w:szCs w:val="22"/>
                <w:lang w:val="lt-LT"/>
              </w:rPr>
            </w:pPr>
            <w:r>
              <w:rPr>
                <w:color w:val="000000"/>
                <w:szCs w:val="22"/>
                <w:lang w:val="lt-LT"/>
              </w:rPr>
              <w:t>30</w:t>
            </w:r>
          </w:p>
        </w:tc>
        <w:tc>
          <w:tcPr>
            <w:tcW w:w="2848" w:type="dxa"/>
          </w:tcPr>
          <w:p>
            <w:pPr>
              <w:spacing w:line="240" w:lineRule="auto"/>
              <w:jc w:val="center"/>
              <w:rPr>
                <w:szCs w:val="22"/>
                <w:lang w:val="lt-LT"/>
              </w:rPr>
            </w:pPr>
            <w:r>
              <w:rPr>
                <w:color w:val="000000"/>
                <w:szCs w:val="22"/>
                <w:lang w:val="lt-LT"/>
              </w:rPr>
              <w:t>1</w:t>
            </w:r>
          </w:p>
        </w:tc>
        <w:tc>
          <w:tcPr>
            <w:tcW w:w="3059" w:type="dxa"/>
          </w:tcPr>
          <w:p>
            <w:pPr>
              <w:spacing w:line="240" w:lineRule="auto"/>
              <w:jc w:val="center"/>
              <w:rPr>
                <w:szCs w:val="22"/>
                <w:lang w:val="lt-LT"/>
              </w:rPr>
            </w:pPr>
            <w:r>
              <w:rPr>
                <w:color w:val="000000"/>
                <w:szCs w:val="22"/>
                <w:lang w:val="lt-LT"/>
              </w:rPr>
              <w:t>1,2</w:t>
            </w:r>
          </w:p>
        </w:tc>
      </w:tr>
      <w:tr>
        <w:trPr>
          <w:trHeight w:val="206"/>
        </w:trPr>
        <w:tc>
          <w:tcPr>
            <w:tcW w:w="1286" w:type="dxa"/>
          </w:tcPr>
          <w:p>
            <w:pPr>
              <w:spacing w:line="240" w:lineRule="auto"/>
              <w:rPr>
                <w:szCs w:val="22"/>
                <w:lang w:val="lt-LT"/>
              </w:rPr>
            </w:pPr>
            <w:r>
              <w:rPr>
                <w:color w:val="000000"/>
                <w:szCs w:val="22"/>
                <w:lang w:val="lt-LT"/>
              </w:rPr>
              <w:t>5</w:t>
            </w:r>
          </w:p>
        </w:tc>
        <w:tc>
          <w:tcPr>
            <w:tcW w:w="1877" w:type="dxa"/>
          </w:tcPr>
          <w:p>
            <w:pPr>
              <w:spacing w:line="240" w:lineRule="auto"/>
              <w:jc w:val="center"/>
              <w:rPr>
                <w:szCs w:val="22"/>
                <w:lang w:val="lt-LT"/>
              </w:rPr>
            </w:pPr>
            <w:r>
              <w:rPr>
                <w:color w:val="000000"/>
                <w:szCs w:val="22"/>
                <w:lang w:val="lt-LT"/>
              </w:rPr>
              <w:t>37,5</w:t>
            </w:r>
          </w:p>
        </w:tc>
        <w:tc>
          <w:tcPr>
            <w:tcW w:w="2848" w:type="dxa"/>
          </w:tcPr>
          <w:p>
            <w:pPr>
              <w:spacing w:line="240" w:lineRule="auto"/>
              <w:jc w:val="center"/>
              <w:rPr>
                <w:szCs w:val="22"/>
                <w:lang w:val="lt-LT"/>
              </w:rPr>
            </w:pPr>
            <w:r>
              <w:rPr>
                <w:color w:val="000000"/>
                <w:szCs w:val="22"/>
                <w:lang w:val="lt-LT"/>
              </w:rPr>
              <w:t>1</w:t>
            </w:r>
          </w:p>
        </w:tc>
        <w:tc>
          <w:tcPr>
            <w:tcW w:w="3059" w:type="dxa"/>
          </w:tcPr>
          <w:p>
            <w:pPr>
              <w:spacing w:line="240" w:lineRule="auto"/>
              <w:jc w:val="center"/>
              <w:rPr>
                <w:szCs w:val="22"/>
                <w:lang w:val="lt-LT"/>
              </w:rPr>
            </w:pPr>
            <w:r>
              <w:rPr>
                <w:color w:val="000000"/>
                <w:szCs w:val="22"/>
                <w:lang w:val="lt-LT"/>
              </w:rPr>
              <w:t>1,5</w:t>
            </w:r>
          </w:p>
        </w:tc>
      </w:tr>
      <w:tr>
        <w:trPr>
          <w:trHeight w:val="222"/>
        </w:trPr>
        <w:tc>
          <w:tcPr>
            <w:tcW w:w="1286" w:type="dxa"/>
          </w:tcPr>
          <w:p>
            <w:pPr>
              <w:spacing w:line="240" w:lineRule="auto"/>
              <w:rPr>
                <w:szCs w:val="22"/>
                <w:lang w:val="lt-LT"/>
              </w:rPr>
            </w:pPr>
            <w:r>
              <w:rPr>
                <w:color w:val="000000"/>
                <w:szCs w:val="22"/>
                <w:lang w:val="lt-LT"/>
              </w:rPr>
              <w:t>6</w:t>
            </w:r>
          </w:p>
        </w:tc>
        <w:tc>
          <w:tcPr>
            <w:tcW w:w="1877" w:type="dxa"/>
          </w:tcPr>
          <w:p>
            <w:pPr>
              <w:spacing w:line="240" w:lineRule="auto"/>
              <w:jc w:val="center"/>
              <w:rPr>
                <w:szCs w:val="22"/>
                <w:lang w:val="lt-LT"/>
              </w:rPr>
            </w:pPr>
            <w:r>
              <w:rPr>
                <w:color w:val="000000"/>
                <w:szCs w:val="22"/>
                <w:lang w:val="lt-LT"/>
              </w:rPr>
              <w:t>45</w:t>
            </w:r>
          </w:p>
        </w:tc>
        <w:tc>
          <w:tcPr>
            <w:tcW w:w="2848" w:type="dxa"/>
          </w:tcPr>
          <w:p>
            <w:pPr>
              <w:spacing w:line="240" w:lineRule="auto"/>
              <w:jc w:val="center"/>
              <w:rPr>
                <w:szCs w:val="22"/>
                <w:lang w:val="lt-LT"/>
              </w:rPr>
            </w:pPr>
            <w:r>
              <w:rPr>
                <w:color w:val="000000"/>
                <w:szCs w:val="22"/>
                <w:lang w:val="lt-LT"/>
              </w:rPr>
              <w:t>1</w:t>
            </w:r>
          </w:p>
        </w:tc>
        <w:tc>
          <w:tcPr>
            <w:tcW w:w="3059" w:type="dxa"/>
          </w:tcPr>
          <w:p>
            <w:pPr>
              <w:spacing w:line="240" w:lineRule="auto"/>
              <w:jc w:val="center"/>
              <w:rPr>
                <w:szCs w:val="22"/>
                <w:lang w:val="lt-LT"/>
              </w:rPr>
            </w:pPr>
            <w:r>
              <w:rPr>
                <w:color w:val="000000"/>
                <w:szCs w:val="22"/>
                <w:lang w:val="lt-LT"/>
              </w:rPr>
              <w:t>1,8</w:t>
            </w:r>
          </w:p>
        </w:tc>
      </w:tr>
      <w:tr>
        <w:trPr>
          <w:trHeight w:val="206"/>
        </w:trPr>
        <w:tc>
          <w:tcPr>
            <w:tcW w:w="1286" w:type="dxa"/>
          </w:tcPr>
          <w:p>
            <w:pPr>
              <w:spacing w:line="240" w:lineRule="auto"/>
              <w:rPr>
                <w:color w:val="000000"/>
                <w:szCs w:val="22"/>
                <w:lang w:val="lt-LT"/>
              </w:rPr>
            </w:pPr>
            <w:r>
              <w:rPr>
                <w:color w:val="000000"/>
                <w:szCs w:val="22"/>
                <w:lang w:val="lt-LT"/>
              </w:rPr>
              <w:t>7</w:t>
            </w:r>
          </w:p>
        </w:tc>
        <w:tc>
          <w:tcPr>
            <w:tcW w:w="1877" w:type="dxa"/>
          </w:tcPr>
          <w:p>
            <w:pPr>
              <w:spacing w:line="240" w:lineRule="auto"/>
              <w:jc w:val="center"/>
              <w:rPr>
                <w:color w:val="000000"/>
                <w:szCs w:val="22"/>
                <w:lang w:val="lt-LT"/>
              </w:rPr>
            </w:pPr>
            <w:r>
              <w:rPr>
                <w:color w:val="000000"/>
                <w:szCs w:val="22"/>
                <w:lang w:val="lt-LT"/>
              </w:rPr>
              <w:t>52,5</w:t>
            </w:r>
          </w:p>
        </w:tc>
        <w:tc>
          <w:tcPr>
            <w:tcW w:w="2848" w:type="dxa"/>
          </w:tcPr>
          <w:p>
            <w:pPr>
              <w:spacing w:line="240" w:lineRule="auto"/>
              <w:jc w:val="center"/>
              <w:rPr>
                <w:color w:val="000000"/>
                <w:szCs w:val="22"/>
                <w:lang w:val="lt-LT"/>
              </w:rPr>
            </w:pPr>
            <w:r>
              <w:rPr>
                <w:color w:val="000000"/>
                <w:szCs w:val="22"/>
                <w:lang w:val="lt-LT"/>
              </w:rPr>
              <w:t>1</w:t>
            </w:r>
          </w:p>
        </w:tc>
        <w:tc>
          <w:tcPr>
            <w:tcW w:w="3059" w:type="dxa"/>
          </w:tcPr>
          <w:p>
            <w:pPr>
              <w:spacing w:line="240" w:lineRule="auto"/>
              <w:jc w:val="center"/>
              <w:rPr>
                <w:color w:val="000000"/>
                <w:szCs w:val="22"/>
                <w:lang w:val="lt-LT"/>
              </w:rPr>
            </w:pPr>
            <w:r>
              <w:rPr>
                <w:color w:val="000000"/>
                <w:szCs w:val="22"/>
                <w:lang w:val="lt-LT"/>
              </w:rPr>
              <w:t>2,1</w:t>
            </w:r>
          </w:p>
        </w:tc>
      </w:tr>
      <w:tr>
        <w:trPr>
          <w:trHeight w:val="222"/>
        </w:trPr>
        <w:tc>
          <w:tcPr>
            <w:tcW w:w="1286" w:type="dxa"/>
          </w:tcPr>
          <w:p>
            <w:pPr>
              <w:spacing w:line="240" w:lineRule="auto"/>
              <w:rPr>
                <w:color w:val="000000"/>
                <w:szCs w:val="22"/>
                <w:lang w:val="lt-LT"/>
              </w:rPr>
            </w:pPr>
            <w:r>
              <w:rPr>
                <w:color w:val="000000"/>
                <w:szCs w:val="22"/>
                <w:lang w:val="lt-LT"/>
              </w:rPr>
              <w:t>8</w:t>
            </w:r>
          </w:p>
        </w:tc>
        <w:tc>
          <w:tcPr>
            <w:tcW w:w="1877" w:type="dxa"/>
          </w:tcPr>
          <w:p>
            <w:pPr>
              <w:spacing w:line="240" w:lineRule="auto"/>
              <w:jc w:val="center"/>
              <w:rPr>
                <w:color w:val="000000"/>
                <w:szCs w:val="22"/>
                <w:lang w:val="lt-LT"/>
              </w:rPr>
            </w:pPr>
            <w:r>
              <w:rPr>
                <w:color w:val="000000"/>
                <w:szCs w:val="22"/>
                <w:lang w:val="lt-LT"/>
              </w:rPr>
              <w:t>60</w:t>
            </w:r>
          </w:p>
        </w:tc>
        <w:tc>
          <w:tcPr>
            <w:tcW w:w="2848" w:type="dxa"/>
          </w:tcPr>
          <w:p>
            <w:pPr>
              <w:spacing w:line="240" w:lineRule="auto"/>
              <w:jc w:val="center"/>
              <w:rPr>
                <w:color w:val="000000"/>
                <w:szCs w:val="22"/>
                <w:lang w:val="lt-LT"/>
              </w:rPr>
            </w:pPr>
            <w:r>
              <w:rPr>
                <w:color w:val="000000"/>
                <w:szCs w:val="22"/>
                <w:lang w:val="lt-LT"/>
              </w:rPr>
              <w:t>1</w:t>
            </w:r>
          </w:p>
        </w:tc>
        <w:tc>
          <w:tcPr>
            <w:tcW w:w="3059" w:type="dxa"/>
          </w:tcPr>
          <w:p>
            <w:pPr>
              <w:spacing w:line="240" w:lineRule="auto"/>
              <w:jc w:val="center"/>
              <w:rPr>
                <w:color w:val="000000"/>
                <w:szCs w:val="22"/>
                <w:lang w:val="lt-LT"/>
              </w:rPr>
            </w:pPr>
            <w:r>
              <w:rPr>
                <w:color w:val="000000"/>
                <w:szCs w:val="22"/>
                <w:lang w:val="lt-LT"/>
              </w:rPr>
              <w:t>2,4</w:t>
            </w:r>
          </w:p>
        </w:tc>
      </w:tr>
      <w:tr>
        <w:trPr>
          <w:trHeight w:val="206"/>
        </w:trPr>
        <w:tc>
          <w:tcPr>
            <w:tcW w:w="1286" w:type="dxa"/>
          </w:tcPr>
          <w:p>
            <w:pPr>
              <w:spacing w:line="240" w:lineRule="auto"/>
              <w:rPr>
                <w:color w:val="000000"/>
                <w:szCs w:val="22"/>
                <w:lang w:val="lt-LT"/>
              </w:rPr>
            </w:pPr>
            <w:r>
              <w:rPr>
                <w:color w:val="000000"/>
                <w:szCs w:val="22"/>
                <w:lang w:val="lt-LT"/>
              </w:rPr>
              <w:t>9</w:t>
            </w:r>
          </w:p>
        </w:tc>
        <w:tc>
          <w:tcPr>
            <w:tcW w:w="1877" w:type="dxa"/>
          </w:tcPr>
          <w:p>
            <w:pPr>
              <w:spacing w:line="240" w:lineRule="auto"/>
              <w:jc w:val="center"/>
              <w:rPr>
                <w:color w:val="000000"/>
                <w:szCs w:val="22"/>
                <w:lang w:val="lt-LT"/>
              </w:rPr>
            </w:pPr>
            <w:r>
              <w:rPr>
                <w:color w:val="000000"/>
                <w:szCs w:val="22"/>
                <w:lang w:val="lt-LT"/>
              </w:rPr>
              <w:t>67,5</w:t>
            </w:r>
          </w:p>
        </w:tc>
        <w:tc>
          <w:tcPr>
            <w:tcW w:w="2848" w:type="dxa"/>
          </w:tcPr>
          <w:p>
            <w:pPr>
              <w:spacing w:line="240" w:lineRule="auto"/>
              <w:jc w:val="center"/>
              <w:rPr>
                <w:color w:val="000000"/>
                <w:szCs w:val="22"/>
                <w:lang w:val="lt-LT"/>
              </w:rPr>
            </w:pPr>
            <w:r>
              <w:rPr>
                <w:color w:val="000000"/>
                <w:szCs w:val="22"/>
                <w:lang w:val="lt-LT"/>
              </w:rPr>
              <w:t>1</w:t>
            </w:r>
          </w:p>
        </w:tc>
        <w:tc>
          <w:tcPr>
            <w:tcW w:w="3059" w:type="dxa"/>
          </w:tcPr>
          <w:p>
            <w:pPr>
              <w:spacing w:line="240" w:lineRule="auto"/>
              <w:jc w:val="center"/>
              <w:rPr>
                <w:color w:val="000000"/>
                <w:szCs w:val="22"/>
                <w:lang w:val="lt-LT"/>
              </w:rPr>
            </w:pPr>
            <w:r>
              <w:rPr>
                <w:color w:val="000000"/>
                <w:szCs w:val="22"/>
                <w:lang w:val="lt-LT"/>
              </w:rPr>
              <w:t>2,7</w:t>
            </w:r>
          </w:p>
        </w:tc>
      </w:tr>
      <w:tr>
        <w:trPr>
          <w:trHeight w:val="222"/>
        </w:trPr>
        <w:tc>
          <w:tcPr>
            <w:tcW w:w="1286" w:type="dxa"/>
          </w:tcPr>
          <w:p>
            <w:pPr>
              <w:spacing w:line="240" w:lineRule="auto"/>
              <w:rPr>
                <w:color w:val="000000"/>
                <w:szCs w:val="22"/>
                <w:lang w:val="lt-LT"/>
              </w:rPr>
            </w:pPr>
            <w:r>
              <w:rPr>
                <w:color w:val="000000"/>
                <w:szCs w:val="22"/>
                <w:lang w:val="lt-LT"/>
              </w:rPr>
              <w:t>10</w:t>
            </w:r>
          </w:p>
        </w:tc>
        <w:tc>
          <w:tcPr>
            <w:tcW w:w="1877" w:type="dxa"/>
          </w:tcPr>
          <w:p>
            <w:pPr>
              <w:spacing w:line="240" w:lineRule="auto"/>
              <w:jc w:val="center"/>
              <w:rPr>
                <w:color w:val="000000"/>
                <w:szCs w:val="22"/>
                <w:lang w:val="lt-LT"/>
              </w:rPr>
            </w:pPr>
            <w:r>
              <w:rPr>
                <w:color w:val="000000"/>
                <w:szCs w:val="22"/>
                <w:lang w:val="lt-LT"/>
              </w:rPr>
              <w:t>75</w:t>
            </w:r>
          </w:p>
        </w:tc>
        <w:tc>
          <w:tcPr>
            <w:tcW w:w="2848" w:type="dxa"/>
          </w:tcPr>
          <w:p>
            <w:pPr>
              <w:spacing w:line="240" w:lineRule="auto"/>
              <w:jc w:val="center"/>
              <w:rPr>
                <w:color w:val="000000"/>
                <w:szCs w:val="22"/>
                <w:lang w:val="lt-LT"/>
              </w:rPr>
            </w:pPr>
            <w:r>
              <w:rPr>
                <w:color w:val="000000"/>
                <w:szCs w:val="22"/>
                <w:lang w:val="lt-LT"/>
              </w:rPr>
              <w:t>1</w:t>
            </w:r>
          </w:p>
        </w:tc>
        <w:tc>
          <w:tcPr>
            <w:tcW w:w="3059" w:type="dxa"/>
          </w:tcPr>
          <w:p>
            <w:pPr>
              <w:spacing w:line="240" w:lineRule="auto"/>
              <w:jc w:val="center"/>
              <w:rPr>
                <w:color w:val="000000"/>
                <w:szCs w:val="22"/>
                <w:lang w:val="lt-LT"/>
              </w:rPr>
            </w:pPr>
            <w:r>
              <w:rPr>
                <w:color w:val="000000"/>
                <w:szCs w:val="22"/>
                <w:lang w:val="lt-LT"/>
              </w:rPr>
              <w:t>3</w:t>
            </w:r>
          </w:p>
        </w:tc>
      </w:tr>
      <w:tr>
        <w:trPr>
          <w:trHeight w:val="206"/>
        </w:trPr>
        <w:tc>
          <w:tcPr>
            <w:tcW w:w="1286" w:type="dxa"/>
          </w:tcPr>
          <w:p>
            <w:pPr>
              <w:spacing w:line="240" w:lineRule="auto"/>
              <w:rPr>
                <w:color w:val="000000"/>
                <w:szCs w:val="22"/>
                <w:lang w:val="lt-LT"/>
              </w:rPr>
            </w:pPr>
            <w:r>
              <w:rPr>
                <w:color w:val="000000"/>
                <w:szCs w:val="22"/>
                <w:lang w:val="lt-LT"/>
              </w:rPr>
              <w:t>11</w:t>
            </w:r>
          </w:p>
        </w:tc>
        <w:tc>
          <w:tcPr>
            <w:tcW w:w="1877" w:type="dxa"/>
          </w:tcPr>
          <w:p>
            <w:pPr>
              <w:spacing w:line="240" w:lineRule="auto"/>
              <w:jc w:val="center"/>
              <w:rPr>
                <w:color w:val="000000"/>
                <w:szCs w:val="22"/>
                <w:lang w:val="lt-LT"/>
              </w:rPr>
            </w:pPr>
            <w:r>
              <w:rPr>
                <w:color w:val="000000"/>
                <w:szCs w:val="22"/>
                <w:lang w:val="lt-LT"/>
              </w:rPr>
              <w:t>82,5</w:t>
            </w:r>
          </w:p>
        </w:tc>
        <w:tc>
          <w:tcPr>
            <w:tcW w:w="2848" w:type="dxa"/>
          </w:tcPr>
          <w:p>
            <w:pPr>
              <w:spacing w:line="240" w:lineRule="auto"/>
              <w:jc w:val="center"/>
              <w:rPr>
                <w:color w:val="000000"/>
                <w:szCs w:val="22"/>
                <w:lang w:val="lt-LT"/>
              </w:rPr>
            </w:pPr>
            <w:r>
              <w:rPr>
                <w:color w:val="000000"/>
                <w:szCs w:val="22"/>
                <w:lang w:val="lt-LT"/>
              </w:rPr>
              <w:t>1</w:t>
            </w:r>
          </w:p>
        </w:tc>
        <w:tc>
          <w:tcPr>
            <w:tcW w:w="3059" w:type="dxa"/>
          </w:tcPr>
          <w:p>
            <w:pPr>
              <w:spacing w:line="240" w:lineRule="auto"/>
              <w:jc w:val="center"/>
              <w:rPr>
                <w:color w:val="000000"/>
                <w:szCs w:val="22"/>
                <w:lang w:val="lt-LT"/>
              </w:rPr>
            </w:pPr>
            <w:r>
              <w:rPr>
                <w:color w:val="000000"/>
                <w:szCs w:val="22"/>
                <w:lang w:val="lt-LT"/>
              </w:rPr>
              <w:t>3,3</w:t>
            </w:r>
          </w:p>
        </w:tc>
      </w:tr>
      <w:tr>
        <w:trPr>
          <w:trHeight w:val="222"/>
        </w:trPr>
        <w:tc>
          <w:tcPr>
            <w:tcW w:w="1286" w:type="dxa"/>
          </w:tcPr>
          <w:p>
            <w:pPr>
              <w:spacing w:line="240" w:lineRule="auto"/>
              <w:rPr>
                <w:color w:val="000000"/>
                <w:szCs w:val="22"/>
                <w:lang w:val="lt-LT"/>
              </w:rPr>
            </w:pPr>
            <w:r>
              <w:rPr>
                <w:color w:val="000000"/>
                <w:szCs w:val="22"/>
                <w:lang w:val="lt-LT"/>
              </w:rPr>
              <w:t>12</w:t>
            </w:r>
          </w:p>
        </w:tc>
        <w:tc>
          <w:tcPr>
            <w:tcW w:w="1877" w:type="dxa"/>
          </w:tcPr>
          <w:p>
            <w:pPr>
              <w:spacing w:line="240" w:lineRule="auto"/>
              <w:jc w:val="center"/>
              <w:rPr>
                <w:color w:val="000000"/>
                <w:szCs w:val="22"/>
                <w:lang w:val="lt-LT"/>
              </w:rPr>
            </w:pPr>
            <w:r>
              <w:rPr>
                <w:color w:val="000000"/>
                <w:szCs w:val="22"/>
                <w:lang w:val="lt-LT"/>
              </w:rPr>
              <w:t>90</w:t>
            </w:r>
          </w:p>
        </w:tc>
        <w:tc>
          <w:tcPr>
            <w:tcW w:w="2848" w:type="dxa"/>
          </w:tcPr>
          <w:p>
            <w:pPr>
              <w:spacing w:line="240" w:lineRule="auto"/>
              <w:jc w:val="center"/>
              <w:rPr>
                <w:color w:val="000000"/>
                <w:szCs w:val="22"/>
                <w:lang w:val="lt-LT"/>
              </w:rPr>
            </w:pPr>
            <w:r>
              <w:rPr>
                <w:color w:val="000000"/>
                <w:szCs w:val="22"/>
                <w:lang w:val="lt-LT"/>
              </w:rPr>
              <w:t>1</w:t>
            </w:r>
          </w:p>
        </w:tc>
        <w:tc>
          <w:tcPr>
            <w:tcW w:w="3059" w:type="dxa"/>
          </w:tcPr>
          <w:p>
            <w:pPr>
              <w:spacing w:line="240" w:lineRule="auto"/>
              <w:jc w:val="center"/>
              <w:rPr>
                <w:color w:val="000000"/>
                <w:szCs w:val="22"/>
                <w:lang w:val="lt-LT"/>
              </w:rPr>
            </w:pPr>
            <w:r>
              <w:rPr>
                <w:color w:val="000000"/>
                <w:szCs w:val="22"/>
                <w:lang w:val="lt-LT"/>
              </w:rPr>
              <w:t>3,6</w:t>
            </w:r>
          </w:p>
        </w:tc>
      </w:tr>
      <w:tr>
        <w:trPr>
          <w:trHeight w:val="206"/>
        </w:trPr>
        <w:tc>
          <w:tcPr>
            <w:tcW w:w="1286" w:type="dxa"/>
          </w:tcPr>
          <w:p>
            <w:pPr>
              <w:spacing w:line="240" w:lineRule="auto"/>
              <w:rPr>
                <w:color w:val="000000"/>
                <w:szCs w:val="22"/>
                <w:lang w:val="lt-LT"/>
              </w:rPr>
            </w:pPr>
            <w:r>
              <w:rPr>
                <w:color w:val="000000"/>
                <w:szCs w:val="22"/>
                <w:lang w:val="lt-LT"/>
              </w:rPr>
              <w:t>13</w:t>
            </w:r>
          </w:p>
        </w:tc>
        <w:tc>
          <w:tcPr>
            <w:tcW w:w="1877" w:type="dxa"/>
          </w:tcPr>
          <w:p>
            <w:pPr>
              <w:spacing w:line="240" w:lineRule="auto"/>
              <w:jc w:val="center"/>
              <w:rPr>
                <w:color w:val="000000"/>
                <w:szCs w:val="22"/>
                <w:lang w:val="lt-LT"/>
              </w:rPr>
            </w:pPr>
            <w:r>
              <w:rPr>
                <w:color w:val="000000"/>
                <w:szCs w:val="22"/>
                <w:lang w:val="lt-LT"/>
              </w:rPr>
              <w:t>97,5</w:t>
            </w:r>
          </w:p>
        </w:tc>
        <w:tc>
          <w:tcPr>
            <w:tcW w:w="2848" w:type="dxa"/>
          </w:tcPr>
          <w:p>
            <w:pPr>
              <w:spacing w:line="240" w:lineRule="auto"/>
              <w:jc w:val="center"/>
              <w:rPr>
                <w:color w:val="000000"/>
                <w:szCs w:val="22"/>
                <w:lang w:val="lt-LT"/>
              </w:rPr>
            </w:pPr>
            <w:r>
              <w:rPr>
                <w:color w:val="000000"/>
                <w:szCs w:val="22"/>
                <w:lang w:val="lt-LT"/>
              </w:rPr>
              <w:t>1</w:t>
            </w:r>
          </w:p>
        </w:tc>
        <w:tc>
          <w:tcPr>
            <w:tcW w:w="3059" w:type="dxa"/>
          </w:tcPr>
          <w:p>
            <w:pPr>
              <w:spacing w:line="240" w:lineRule="auto"/>
              <w:jc w:val="center"/>
              <w:rPr>
                <w:color w:val="000000"/>
                <w:szCs w:val="22"/>
                <w:lang w:val="lt-LT"/>
              </w:rPr>
            </w:pPr>
            <w:r>
              <w:rPr>
                <w:color w:val="000000"/>
                <w:szCs w:val="22"/>
                <w:lang w:val="lt-LT"/>
              </w:rPr>
              <w:t>3,9</w:t>
            </w:r>
          </w:p>
        </w:tc>
      </w:tr>
      <w:tr>
        <w:trPr>
          <w:trHeight w:val="222"/>
        </w:trPr>
        <w:tc>
          <w:tcPr>
            <w:tcW w:w="1286" w:type="dxa"/>
          </w:tcPr>
          <w:p>
            <w:pPr>
              <w:spacing w:line="240" w:lineRule="auto"/>
              <w:rPr>
                <w:color w:val="000000"/>
                <w:szCs w:val="22"/>
                <w:lang w:val="lt-LT"/>
              </w:rPr>
            </w:pPr>
            <w:r>
              <w:rPr>
                <w:color w:val="000000"/>
                <w:szCs w:val="22"/>
                <w:lang w:val="lt-LT"/>
              </w:rPr>
              <w:t>14</w:t>
            </w:r>
          </w:p>
        </w:tc>
        <w:tc>
          <w:tcPr>
            <w:tcW w:w="1877" w:type="dxa"/>
          </w:tcPr>
          <w:p>
            <w:pPr>
              <w:spacing w:line="240" w:lineRule="auto"/>
              <w:jc w:val="center"/>
              <w:rPr>
                <w:color w:val="000000"/>
                <w:szCs w:val="22"/>
                <w:lang w:val="lt-LT"/>
              </w:rPr>
            </w:pPr>
            <w:r>
              <w:rPr>
                <w:color w:val="000000"/>
                <w:szCs w:val="22"/>
                <w:lang w:val="lt-LT"/>
              </w:rPr>
              <w:t>105</w:t>
            </w:r>
          </w:p>
        </w:tc>
        <w:tc>
          <w:tcPr>
            <w:tcW w:w="2848" w:type="dxa"/>
          </w:tcPr>
          <w:p>
            <w:pPr>
              <w:spacing w:line="240" w:lineRule="auto"/>
              <w:jc w:val="center"/>
              <w:rPr>
                <w:color w:val="000000"/>
                <w:szCs w:val="22"/>
                <w:lang w:val="lt-LT"/>
              </w:rPr>
            </w:pPr>
            <w:r>
              <w:rPr>
                <w:color w:val="000000"/>
                <w:szCs w:val="22"/>
                <w:lang w:val="lt-LT"/>
              </w:rPr>
              <w:t>1</w:t>
            </w:r>
          </w:p>
        </w:tc>
        <w:tc>
          <w:tcPr>
            <w:tcW w:w="3059" w:type="dxa"/>
          </w:tcPr>
          <w:p>
            <w:pPr>
              <w:spacing w:line="240" w:lineRule="auto"/>
              <w:jc w:val="center"/>
              <w:rPr>
                <w:color w:val="000000"/>
                <w:szCs w:val="22"/>
                <w:lang w:val="lt-LT"/>
              </w:rPr>
            </w:pPr>
            <w:r>
              <w:rPr>
                <w:color w:val="000000"/>
                <w:szCs w:val="22"/>
                <w:lang w:val="lt-LT"/>
              </w:rPr>
              <w:t>4,2</w:t>
            </w:r>
          </w:p>
        </w:tc>
      </w:tr>
      <w:tr>
        <w:trPr>
          <w:trHeight w:val="206"/>
        </w:trPr>
        <w:tc>
          <w:tcPr>
            <w:tcW w:w="1286" w:type="dxa"/>
          </w:tcPr>
          <w:p>
            <w:pPr>
              <w:spacing w:line="240" w:lineRule="auto"/>
              <w:rPr>
                <w:color w:val="000000"/>
                <w:szCs w:val="22"/>
                <w:lang w:val="lt-LT"/>
              </w:rPr>
            </w:pPr>
            <w:r>
              <w:rPr>
                <w:color w:val="000000"/>
                <w:szCs w:val="22"/>
                <w:lang w:val="lt-LT"/>
              </w:rPr>
              <w:t>15</w:t>
            </w:r>
          </w:p>
        </w:tc>
        <w:tc>
          <w:tcPr>
            <w:tcW w:w="1877" w:type="dxa"/>
          </w:tcPr>
          <w:p>
            <w:pPr>
              <w:spacing w:line="240" w:lineRule="auto"/>
              <w:jc w:val="center"/>
              <w:rPr>
                <w:color w:val="000000"/>
                <w:szCs w:val="22"/>
                <w:lang w:val="lt-LT"/>
              </w:rPr>
            </w:pPr>
            <w:r>
              <w:rPr>
                <w:color w:val="000000"/>
                <w:szCs w:val="22"/>
                <w:lang w:val="lt-LT"/>
              </w:rPr>
              <w:t>112,5</w:t>
            </w:r>
          </w:p>
        </w:tc>
        <w:tc>
          <w:tcPr>
            <w:tcW w:w="2848" w:type="dxa"/>
          </w:tcPr>
          <w:p>
            <w:pPr>
              <w:spacing w:line="240" w:lineRule="auto"/>
              <w:jc w:val="center"/>
              <w:rPr>
                <w:color w:val="000000"/>
                <w:szCs w:val="22"/>
                <w:lang w:val="lt-LT"/>
              </w:rPr>
            </w:pPr>
            <w:r>
              <w:rPr>
                <w:color w:val="000000"/>
                <w:szCs w:val="22"/>
                <w:lang w:val="lt-LT"/>
              </w:rPr>
              <w:t>1</w:t>
            </w:r>
          </w:p>
        </w:tc>
        <w:tc>
          <w:tcPr>
            <w:tcW w:w="3059" w:type="dxa"/>
          </w:tcPr>
          <w:p>
            <w:pPr>
              <w:spacing w:line="240" w:lineRule="auto"/>
              <w:jc w:val="center"/>
              <w:rPr>
                <w:color w:val="000000"/>
                <w:szCs w:val="22"/>
                <w:lang w:val="lt-LT"/>
              </w:rPr>
            </w:pPr>
            <w:r>
              <w:rPr>
                <w:color w:val="000000"/>
                <w:szCs w:val="22"/>
                <w:lang w:val="lt-LT"/>
              </w:rPr>
              <w:t>4,5</w:t>
            </w:r>
          </w:p>
        </w:tc>
      </w:tr>
      <w:tr>
        <w:trPr>
          <w:trHeight w:val="206"/>
        </w:trPr>
        <w:tc>
          <w:tcPr>
            <w:tcW w:w="1286" w:type="dxa"/>
          </w:tcPr>
          <w:p>
            <w:pPr>
              <w:spacing w:line="240" w:lineRule="auto"/>
              <w:rPr>
                <w:color w:val="000000"/>
                <w:szCs w:val="22"/>
                <w:lang w:val="lt-LT"/>
              </w:rPr>
            </w:pPr>
            <w:r>
              <w:rPr>
                <w:color w:val="000000"/>
                <w:szCs w:val="22"/>
                <w:lang w:val="lt-LT"/>
              </w:rPr>
              <w:t>16</w:t>
            </w:r>
          </w:p>
        </w:tc>
        <w:tc>
          <w:tcPr>
            <w:tcW w:w="1877" w:type="dxa"/>
          </w:tcPr>
          <w:p>
            <w:pPr>
              <w:spacing w:line="240" w:lineRule="auto"/>
              <w:jc w:val="center"/>
              <w:rPr>
                <w:color w:val="000000"/>
                <w:szCs w:val="22"/>
                <w:lang w:val="lt-LT"/>
              </w:rPr>
            </w:pPr>
            <w:r>
              <w:rPr>
                <w:color w:val="000000"/>
                <w:szCs w:val="22"/>
                <w:lang w:val="lt-LT"/>
              </w:rPr>
              <w:t>120</w:t>
            </w:r>
          </w:p>
        </w:tc>
        <w:tc>
          <w:tcPr>
            <w:tcW w:w="2848" w:type="dxa"/>
          </w:tcPr>
          <w:p>
            <w:pPr>
              <w:spacing w:line="240" w:lineRule="auto"/>
              <w:jc w:val="center"/>
              <w:rPr>
                <w:color w:val="000000"/>
                <w:szCs w:val="22"/>
                <w:lang w:val="lt-LT"/>
              </w:rPr>
            </w:pPr>
            <w:r>
              <w:rPr>
                <w:color w:val="000000"/>
                <w:szCs w:val="22"/>
                <w:lang w:val="lt-LT"/>
              </w:rPr>
              <w:t>1</w:t>
            </w:r>
          </w:p>
        </w:tc>
        <w:tc>
          <w:tcPr>
            <w:tcW w:w="3059" w:type="dxa"/>
          </w:tcPr>
          <w:p>
            <w:pPr>
              <w:spacing w:line="240" w:lineRule="auto"/>
              <w:jc w:val="center"/>
              <w:rPr>
                <w:color w:val="000000"/>
                <w:szCs w:val="22"/>
                <w:lang w:val="lt-LT"/>
              </w:rPr>
            </w:pPr>
            <w:r>
              <w:rPr>
                <w:color w:val="000000"/>
                <w:szCs w:val="22"/>
                <w:lang w:val="lt-LT"/>
              </w:rPr>
              <w:t>4,8</w:t>
            </w:r>
          </w:p>
        </w:tc>
      </w:tr>
    </w:tbl>
    <w:p>
      <w:pPr>
        <w:spacing w:line="240" w:lineRule="auto"/>
        <w:rPr>
          <w:lang w:val="lt-LT"/>
        </w:rPr>
      </w:pPr>
    </w:p>
    <w:p>
      <w:pPr>
        <w:spacing w:line="240" w:lineRule="auto"/>
        <w:rPr>
          <w:b/>
          <w:bCs/>
          <w:szCs w:val="22"/>
          <w:lang w:val="lt-LT"/>
        </w:rPr>
      </w:pPr>
      <w:r>
        <w:rPr>
          <w:b/>
          <w:bCs/>
          <w:szCs w:val="22"/>
          <w:lang w:val="lt-LT"/>
        </w:rPr>
        <w:t>3 lentelė. Rekomenduojama Sephience geriamųjų miltelių paketėlyje dozė pagal kūno svorį vaikams nuo 6 mėnesių iki mažiau nei 12 mėnesių</w:t>
      </w:r>
    </w:p>
    <w:p>
      <w:pPr>
        <w:spacing w:line="240" w:lineRule="auto"/>
        <w:rPr>
          <w:lang w:val="lt-LT"/>
        </w:rPr>
      </w:pPr>
    </w:p>
    <w:tbl>
      <w:tblPr>
        <w:tblStyle w:val="TableGrid"/>
        <w:tblW w:w="5000" w:type="pct"/>
        <w:tblLayout w:type="fixed"/>
        <w:tblLook w:val="04A0" w:firstRow="1" w:lastRow="0" w:firstColumn="1" w:lastColumn="0" w:noHBand="0" w:noVBand="1"/>
      </w:tblPr>
      <w:tblGrid>
        <w:gridCol w:w="1184"/>
        <w:gridCol w:w="1965"/>
        <w:gridCol w:w="2961"/>
        <w:gridCol w:w="3176"/>
      </w:tblGrid>
      <w:tr>
        <w:trPr>
          <w:trHeight w:val="206"/>
          <w:tblHeader/>
        </w:trPr>
        <w:tc>
          <w:tcPr>
            <w:tcW w:w="1157" w:type="dxa"/>
          </w:tcPr>
          <w:p>
            <w:pPr>
              <w:keepNext/>
              <w:keepLines/>
              <w:spacing w:line="240" w:lineRule="auto"/>
              <w:rPr>
                <w:b/>
                <w:szCs w:val="22"/>
                <w:lang w:val="lt-LT"/>
              </w:rPr>
            </w:pPr>
            <w:r>
              <w:rPr>
                <w:b/>
                <w:bCs/>
                <w:szCs w:val="22"/>
                <w:lang w:val="lt-LT"/>
              </w:rPr>
              <w:t>Dozė</w:t>
            </w:r>
          </w:p>
        </w:tc>
        <w:tc>
          <w:tcPr>
            <w:tcW w:w="7913" w:type="dxa"/>
            <w:gridSpan w:val="3"/>
          </w:tcPr>
          <w:p>
            <w:pPr>
              <w:keepNext/>
              <w:keepLines/>
              <w:spacing w:line="240" w:lineRule="auto"/>
              <w:jc w:val="center"/>
              <w:rPr>
                <w:b/>
                <w:szCs w:val="22"/>
                <w:lang w:val="lt-LT"/>
              </w:rPr>
            </w:pPr>
            <w:r>
              <w:rPr>
                <w:b/>
                <w:bCs/>
                <w:color w:val="000000"/>
                <w:szCs w:val="22"/>
                <w:lang w:val="lt-LT"/>
              </w:rPr>
              <w:t>15 mg/kg per parą</w:t>
            </w:r>
          </w:p>
        </w:tc>
      </w:tr>
      <w:tr>
        <w:trPr>
          <w:trHeight w:val="152"/>
          <w:tblHeader/>
        </w:trPr>
        <w:tc>
          <w:tcPr>
            <w:tcW w:w="1157" w:type="dxa"/>
          </w:tcPr>
          <w:p>
            <w:pPr>
              <w:keepNext/>
              <w:keepLines/>
              <w:spacing w:line="240" w:lineRule="auto"/>
              <w:rPr>
                <w:rFonts w:eastAsia="Arial"/>
                <w:b/>
                <w:bCs/>
                <w:color w:val="000000"/>
                <w:szCs w:val="22"/>
                <w:lang w:val="lt-LT"/>
              </w:rPr>
            </w:pPr>
            <w:r>
              <w:rPr>
                <w:rFonts w:eastAsia="Arial"/>
                <w:b/>
                <w:bCs/>
                <w:color w:val="000000"/>
                <w:szCs w:val="22"/>
                <w:lang w:val="lt-LT"/>
              </w:rPr>
              <w:t>Am</w:t>
            </w:r>
            <w:r>
              <w:rPr>
                <w:b/>
                <w:bCs/>
                <w:szCs w:val="22"/>
                <w:lang w:val="lt-LT"/>
              </w:rPr>
              <w:t>ž</w:t>
            </w:r>
            <w:r>
              <w:rPr>
                <w:rFonts w:eastAsia="Arial"/>
                <w:b/>
                <w:bCs/>
                <w:color w:val="000000"/>
                <w:szCs w:val="22"/>
                <w:lang w:val="lt-LT"/>
              </w:rPr>
              <w:t>ius</w:t>
            </w:r>
          </w:p>
        </w:tc>
        <w:tc>
          <w:tcPr>
            <w:tcW w:w="7913" w:type="dxa"/>
            <w:gridSpan w:val="3"/>
          </w:tcPr>
          <w:p>
            <w:pPr>
              <w:keepNext/>
              <w:keepLines/>
              <w:spacing w:line="240" w:lineRule="auto"/>
              <w:jc w:val="center"/>
              <w:rPr>
                <w:rFonts w:eastAsia="Arial"/>
                <w:b/>
                <w:bCs/>
                <w:color w:val="000000"/>
                <w:szCs w:val="22"/>
                <w:lang w:val="lt-LT"/>
              </w:rPr>
            </w:pPr>
            <w:r>
              <w:rPr>
                <w:b/>
                <w:bCs/>
                <w:color w:val="000000"/>
                <w:szCs w:val="22"/>
                <w:lang w:val="lt-LT"/>
              </w:rPr>
              <w:t>Nuo 6 mėn. iki &lt;12 mėn.</w:t>
            </w:r>
          </w:p>
        </w:tc>
      </w:tr>
      <w:tr>
        <w:trPr>
          <w:trHeight w:val="652"/>
          <w:tblHeader/>
        </w:trPr>
        <w:tc>
          <w:tcPr>
            <w:tcW w:w="1157" w:type="dxa"/>
          </w:tcPr>
          <w:p>
            <w:pPr>
              <w:spacing w:line="240" w:lineRule="auto"/>
              <w:rPr>
                <w:szCs w:val="22"/>
                <w:lang w:val="lt-LT"/>
              </w:rPr>
            </w:pPr>
            <w:r>
              <w:rPr>
                <w:b/>
                <w:bCs/>
                <w:color w:val="000000"/>
                <w:szCs w:val="22"/>
                <w:lang w:val="lt-LT"/>
              </w:rPr>
              <w:t>Svoris (kg)</w:t>
            </w:r>
          </w:p>
        </w:tc>
        <w:tc>
          <w:tcPr>
            <w:tcW w:w="1919" w:type="dxa"/>
          </w:tcPr>
          <w:p>
            <w:pPr>
              <w:spacing w:line="240" w:lineRule="auto"/>
              <w:jc w:val="center"/>
              <w:rPr>
                <w:szCs w:val="22"/>
                <w:lang w:val="lt-LT"/>
              </w:rPr>
            </w:pPr>
            <w:r>
              <w:rPr>
                <w:b/>
                <w:bCs/>
                <w:color w:val="000000"/>
                <w:szCs w:val="22"/>
                <w:lang w:val="lt-LT"/>
              </w:rPr>
              <w:t>Bendra dozė (mg)</w:t>
            </w:r>
          </w:p>
        </w:tc>
        <w:tc>
          <w:tcPr>
            <w:tcW w:w="2892" w:type="dxa"/>
          </w:tcPr>
          <w:p>
            <w:pPr>
              <w:spacing w:line="240" w:lineRule="auto"/>
              <w:jc w:val="center"/>
              <w:rPr>
                <w:szCs w:val="22"/>
                <w:lang w:val="lt-LT"/>
              </w:rPr>
            </w:pPr>
            <w:r>
              <w:rPr>
                <w:b/>
                <w:bCs/>
                <w:color w:val="000000"/>
                <w:szCs w:val="22"/>
                <w:lang w:val="lt-LT"/>
              </w:rPr>
              <w:t>Paketėlių (250 mg) skaičius</w:t>
            </w:r>
          </w:p>
        </w:tc>
        <w:tc>
          <w:tcPr>
            <w:tcW w:w="3102" w:type="dxa"/>
          </w:tcPr>
          <w:p>
            <w:pPr>
              <w:spacing w:line="240" w:lineRule="auto"/>
              <w:jc w:val="center"/>
              <w:rPr>
                <w:szCs w:val="22"/>
                <w:lang w:val="lt-LT"/>
              </w:rPr>
            </w:pPr>
            <w:r>
              <w:rPr>
                <w:b/>
                <w:bCs/>
                <w:color w:val="000000"/>
                <w:szCs w:val="22"/>
                <w:lang w:val="lt-LT"/>
              </w:rPr>
              <w:t>Vartotinas tūris (ml) (25 mg/ml)</w:t>
            </w:r>
          </w:p>
        </w:tc>
      </w:tr>
      <w:tr>
        <w:trPr>
          <w:trHeight w:val="222"/>
        </w:trPr>
        <w:tc>
          <w:tcPr>
            <w:tcW w:w="1157" w:type="dxa"/>
          </w:tcPr>
          <w:p>
            <w:pPr>
              <w:spacing w:line="240" w:lineRule="auto"/>
              <w:rPr>
                <w:szCs w:val="22"/>
                <w:lang w:val="lt-LT"/>
              </w:rPr>
            </w:pPr>
            <w:r>
              <w:rPr>
                <w:color w:val="000000"/>
                <w:szCs w:val="22"/>
                <w:lang w:val="lt-LT"/>
              </w:rPr>
              <w:t>2</w:t>
            </w:r>
          </w:p>
        </w:tc>
        <w:tc>
          <w:tcPr>
            <w:tcW w:w="1919" w:type="dxa"/>
          </w:tcPr>
          <w:p>
            <w:pPr>
              <w:spacing w:line="240" w:lineRule="auto"/>
              <w:jc w:val="center"/>
              <w:rPr>
                <w:szCs w:val="22"/>
                <w:lang w:val="lt-LT"/>
              </w:rPr>
            </w:pPr>
            <w:r>
              <w:rPr>
                <w:color w:val="000000"/>
                <w:szCs w:val="22"/>
                <w:lang w:val="lt-LT"/>
              </w:rPr>
              <w:t>30</w:t>
            </w:r>
          </w:p>
        </w:tc>
        <w:tc>
          <w:tcPr>
            <w:tcW w:w="2892" w:type="dxa"/>
          </w:tcPr>
          <w:p>
            <w:pPr>
              <w:spacing w:line="240" w:lineRule="auto"/>
              <w:jc w:val="center"/>
              <w:rPr>
                <w:szCs w:val="22"/>
                <w:lang w:val="lt-LT"/>
              </w:rPr>
            </w:pPr>
            <w:r>
              <w:rPr>
                <w:color w:val="000000"/>
                <w:szCs w:val="22"/>
                <w:lang w:val="lt-LT"/>
              </w:rPr>
              <w:t>1</w:t>
            </w:r>
          </w:p>
        </w:tc>
        <w:tc>
          <w:tcPr>
            <w:tcW w:w="3102" w:type="dxa"/>
          </w:tcPr>
          <w:p>
            <w:pPr>
              <w:spacing w:line="240" w:lineRule="auto"/>
              <w:jc w:val="center"/>
              <w:rPr>
                <w:szCs w:val="22"/>
                <w:lang w:val="lt-LT"/>
              </w:rPr>
            </w:pPr>
            <w:r>
              <w:rPr>
                <w:color w:val="000000"/>
                <w:szCs w:val="22"/>
                <w:lang w:val="lt-LT"/>
              </w:rPr>
              <w:t>1,2</w:t>
            </w:r>
          </w:p>
        </w:tc>
      </w:tr>
      <w:tr>
        <w:trPr>
          <w:trHeight w:val="206"/>
        </w:trPr>
        <w:tc>
          <w:tcPr>
            <w:tcW w:w="1157" w:type="dxa"/>
          </w:tcPr>
          <w:p>
            <w:pPr>
              <w:spacing w:line="240" w:lineRule="auto"/>
              <w:rPr>
                <w:szCs w:val="22"/>
                <w:lang w:val="lt-LT"/>
              </w:rPr>
            </w:pPr>
            <w:r>
              <w:rPr>
                <w:color w:val="000000"/>
                <w:szCs w:val="22"/>
                <w:lang w:val="lt-LT"/>
              </w:rPr>
              <w:t>3</w:t>
            </w:r>
          </w:p>
        </w:tc>
        <w:tc>
          <w:tcPr>
            <w:tcW w:w="1919" w:type="dxa"/>
          </w:tcPr>
          <w:p>
            <w:pPr>
              <w:spacing w:line="240" w:lineRule="auto"/>
              <w:jc w:val="center"/>
              <w:rPr>
                <w:szCs w:val="22"/>
                <w:lang w:val="lt-LT"/>
              </w:rPr>
            </w:pPr>
            <w:r>
              <w:rPr>
                <w:color w:val="000000"/>
                <w:szCs w:val="22"/>
                <w:lang w:val="lt-LT"/>
              </w:rPr>
              <w:t>45</w:t>
            </w:r>
          </w:p>
        </w:tc>
        <w:tc>
          <w:tcPr>
            <w:tcW w:w="2892" w:type="dxa"/>
          </w:tcPr>
          <w:p>
            <w:pPr>
              <w:spacing w:line="240" w:lineRule="auto"/>
              <w:jc w:val="center"/>
              <w:rPr>
                <w:szCs w:val="22"/>
                <w:lang w:val="lt-LT"/>
              </w:rPr>
            </w:pPr>
            <w:r>
              <w:rPr>
                <w:color w:val="000000"/>
                <w:szCs w:val="22"/>
                <w:lang w:val="lt-LT"/>
              </w:rPr>
              <w:t>1</w:t>
            </w:r>
          </w:p>
        </w:tc>
        <w:tc>
          <w:tcPr>
            <w:tcW w:w="3102" w:type="dxa"/>
          </w:tcPr>
          <w:p>
            <w:pPr>
              <w:spacing w:line="240" w:lineRule="auto"/>
              <w:jc w:val="center"/>
              <w:rPr>
                <w:szCs w:val="22"/>
                <w:lang w:val="lt-LT"/>
              </w:rPr>
            </w:pPr>
            <w:r>
              <w:rPr>
                <w:color w:val="000000"/>
                <w:szCs w:val="22"/>
                <w:lang w:val="lt-LT"/>
              </w:rPr>
              <w:t>1,8</w:t>
            </w:r>
          </w:p>
        </w:tc>
      </w:tr>
      <w:tr>
        <w:trPr>
          <w:trHeight w:val="222"/>
        </w:trPr>
        <w:tc>
          <w:tcPr>
            <w:tcW w:w="1157" w:type="dxa"/>
          </w:tcPr>
          <w:p>
            <w:pPr>
              <w:spacing w:line="240" w:lineRule="auto"/>
              <w:rPr>
                <w:szCs w:val="22"/>
                <w:lang w:val="lt-LT"/>
              </w:rPr>
            </w:pPr>
            <w:r>
              <w:rPr>
                <w:color w:val="000000"/>
                <w:szCs w:val="22"/>
                <w:lang w:val="lt-LT"/>
              </w:rPr>
              <w:t>4</w:t>
            </w:r>
          </w:p>
        </w:tc>
        <w:tc>
          <w:tcPr>
            <w:tcW w:w="1919" w:type="dxa"/>
          </w:tcPr>
          <w:p>
            <w:pPr>
              <w:spacing w:line="240" w:lineRule="auto"/>
              <w:jc w:val="center"/>
              <w:rPr>
                <w:szCs w:val="22"/>
                <w:lang w:val="lt-LT"/>
              </w:rPr>
            </w:pPr>
            <w:r>
              <w:rPr>
                <w:color w:val="000000"/>
                <w:szCs w:val="22"/>
                <w:lang w:val="lt-LT"/>
              </w:rPr>
              <w:t>60</w:t>
            </w:r>
          </w:p>
        </w:tc>
        <w:tc>
          <w:tcPr>
            <w:tcW w:w="2892" w:type="dxa"/>
          </w:tcPr>
          <w:p>
            <w:pPr>
              <w:spacing w:line="240" w:lineRule="auto"/>
              <w:jc w:val="center"/>
              <w:rPr>
                <w:szCs w:val="22"/>
                <w:lang w:val="lt-LT"/>
              </w:rPr>
            </w:pPr>
            <w:r>
              <w:rPr>
                <w:color w:val="000000"/>
                <w:szCs w:val="22"/>
                <w:lang w:val="lt-LT"/>
              </w:rPr>
              <w:t>1</w:t>
            </w:r>
          </w:p>
        </w:tc>
        <w:tc>
          <w:tcPr>
            <w:tcW w:w="3102" w:type="dxa"/>
          </w:tcPr>
          <w:p>
            <w:pPr>
              <w:spacing w:line="240" w:lineRule="auto"/>
              <w:jc w:val="center"/>
              <w:rPr>
                <w:szCs w:val="22"/>
                <w:lang w:val="lt-LT"/>
              </w:rPr>
            </w:pPr>
            <w:r>
              <w:rPr>
                <w:color w:val="000000"/>
                <w:szCs w:val="22"/>
                <w:lang w:val="lt-LT"/>
              </w:rPr>
              <w:t>2,4</w:t>
            </w:r>
          </w:p>
        </w:tc>
      </w:tr>
      <w:tr>
        <w:trPr>
          <w:trHeight w:val="206"/>
        </w:trPr>
        <w:tc>
          <w:tcPr>
            <w:tcW w:w="1157" w:type="dxa"/>
          </w:tcPr>
          <w:p>
            <w:pPr>
              <w:spacing w:line="240" w:lineRule="auto"/>
              <w:rPr>
                <w:szCs w:val="22"/>
                <w:lang w:val="lt-LT"/>
              </w:rPr>
            </w:pPr>
            <w:r>
              <w:rPr>
                <w:color w:val="000000"/>
                <w:szCs w:val="22"/>
                <w:lang w:val="lt-LT"/>
              </w:rPr>
              <w:t>5</w:t>
            </w:r>
          </w:p>
        </w:tc>
        <w:tc>
          <w:tcPr>
            <w:tcW w:w="1919" w:type="dxa"/>
          </w:tcPr>
          <w:p>
            <w:pPr>
              <w:spacing w:line="240" w:lineRule="auto"/>
              <w:jc w:val="center"/>
              <w:rPr>
                <w:szCs w:val="22"/>
                <w:lang w:val="lt-LT"/>
              </w:rPr>
            </w:pPr>
            <w:r>
              <w:rPr>
                <w:color w:val="000000"/>
                <w:szCs w:val="22"/>
                <w:lang w:val="lt-LT"/>
              </w:rPr>
              <w:t>75</w:t>
            </w:r>
          </w:p>
        </w:tc>
        <w:tc>
          <w:tcPr>
            <w:tcW w:w="2892" w:type="dxa"/>
          </w:tcPr>
          <w:p>
            <w:pPr>
              <w:spacing w:line="240" w:lineRule="auto"/>
              <w:jc w:val="center"/>
              <w:rPr>
                <w:szCs w:val="22"/>
                <w:lang w:val="lt-LT"/>
              </w:rPr>
            </w:pPr>
            <w:r>
              <w:rPr>
                <w:color w:val="000000"/>
                <w:szCs w:val="22"/>
                <w:lang w:val="lt-LT"/>
              </w:rPr>
              <w:t>1</w:t>
            </w:r>
          </w:p>
        </w:tc>
        <w:tc>
          <w:tcPr>
            <w:tcW w:w="3102" w:type="dxa"/>
          </w:tcPr>
          <w:p>
            <w:pPr>
              <w:spacing w:line="240" w:lineRule="auto"/>
              <w:jc w:val="center"/>
              <w:rPr>
                <w:szCs w:val="22"/>
                <w:lang w:val="lt-LT"/>
              </w:rPr>
            </w:pPr>
            <w:r>
              <w:rPr>
                <w:color w:val="000000"/>
                <w:szCs w:val="22"/>
                <w:lang w:val="lt-LT"/>
              </w:rPr>
              <w:t>3</w:t>
            </w:r>
          </w:p>
        </w:tc>
      </w:tr>
      <w:tr>
        <w:trPr>
          <w:trHeight w:val="222"/>
        </w:trPr>
        <w:tc>
          <w:tcPr>
            <w:tcW w:w="1157" w:type="dxa"/>
          </w:tcPr>
          <w:p>
            <w:pPr>
              <w:spacing w:line="240" w:lineRule="auto"/>
              <w:rPr>
                <w:szCs w:val="22"/>
                <w:lang w:val="lt-LT"/>
              </w:rPr>
            </w:pPr>
            <w:r>
              <w:rPr>
                <w:color w:val="000000"/>
                <w:szCs w:val="22"/>
                <w:lang w:val="lt-LT"/>
              </w:rPr>
              <w:t>6</w:t>
            </w:r>
          </w:p>
        </w:tc>
        <w:tc>
          <w:tcPr>
            <w:tcW w:w="1919" w:type="dxa"/>
          </w:tcPr>
          <w:p>
            <w:pPr>
              <w:spacing w:line="240" w:lineRule="auto"/>
              <w:jc w:val="center"/>
              <w:rPr>
                <w:szCs w:val="22"/>
                <w:lang w:val="lt-LT"/>
              </w:rPr>
            </w:pPr>
            <w:r>
              <w:rPr>
                <w:color w:val="000000"/>
                <w:szCs w:val="22"/>
                <w:lang w:val="lt-LT"/>
              </w:rPr>
              <w:t>90</w:t>
            </w:r>
          </w:p>
        </w:tc>
        <w:tc>
          <w:tcPr>
            <w:tcW w:w="2892" w:type="dxa"/>
          </w:tcPr>
          <w:p>
            <w:pPr>
              <w:spacing w:line="240" w:lineRule="auto"/>
              <w:jc w:val="center"/>
              <w:rPr>
                <w:szCs w:val="22"/>
                <w:lang w:val="lt-LT"/>
              </w:rPr>
            </w:pPr>
            <w:r>
              <w:rPr>
                <w:color w:val="000000"/>
                <w:szCs w:val="22"/>
                <w:lang w:val="lt-LT"/>
              </w:rPr>
              <w:t>1</w:t>
            </w:r>
          </w:p>
        </w:tc>
        <w:tc>
          <w:tcPr>
            <w:tcW w:w="3102" w:type="dxa"/>
          </w:tcPr>
          <w:p>
            <w:pPr>
              <w:spacing w:line="240" w:lineRule="auto"/>
              <w:jc w:val="center"/>
              <w:rPr>
                <w:szCs w:val="22"/>
                <w:lang w:val="lt-LT"/>
              </w:rPr>
            </w:pPr>
            <w:r>
              <w:rPr>
                <w:color w:val="000000"/>
                <w:szCs w:val="22"/>
                <w:lang w:val="lt-LT"/>
              </w:rPr>
              <w:t>3,6</w:t>
            </w:r>
          </w:p>
        </w:tc>
      </w:tr>
      <w:tr>
        <w:trPr>
          <w:trHeight w:val="206"/>
        </w:trPr>
        <w:tc>
          <w:tcPr>
            <w:tcW w:w="1157" w:type="dxa"/>
          </w:tcPr>
          <w:p>
            <w:pPr>
              <w:spacing w:line="240" w:lineRule="auto"/>
              <w:rPr>
                <w:color w:val="000000"/>
                <w:szCs w:val="22"/>
                <w:lang w:val="lt-LT"/>
              </w:rPr>
            </w:pPr>
            <w:r>
              <w:rPr>
                <w:color w:val="000000"/>
                <w:szCs w:val="22"/>
                <w:lang w:val="lt-LT"/>
              </w:rPr>
              <w:t>7</w:t>
            </w:r>
          </w:p>
        </w:tc>
        <w:tc>
          <w:tcPr>
            <w:tcW w:w="1919" w:type="dxa"/>
          </w:tcPr>
          <w:p>
            <w:pPr>
              <w:spacing w:line="240" w:lineRule="auto"/>
              <w:jc w:val="center"/>
              <w:rPr>
                <w:color w:val="000000"/>
                <w:szCs w:val="22"/>
                <w:lang w:val="lt-LT"/>
              </w:rPr>
            </w:pPr>
            <w:r>
              <w:rPr>
                <w:color w:val="000000"/>
                <w:szCs w:val="22"/>
                <w:lang w:val="lt-LT"/>
              </w:rPr>
              <w:t>105</w:t>
            </w:r>
          </w:p>
        </w:tc>
        <w:tc>
          <w:tcPr>
            <w:tcW w:w="2892" w:type="dxa"/>
          </w:tcPr>
          <w:p>
            <w:pPr>
              <w:spacing w:line="240" w:lineRule="auto"/>
              <w:jc w:val="center"/>
              <w:rPr>
                <w:color w:val="000000"/>
                <w:szCs w:val="22"/>
                <w:lang w:val="lt-LT"/>
              </w:rPr>
            </w:pPr>
            <w:r>
              <w:rPr>
                <w:color w:val="000000"/>
                <w:szCs w:val="22"/>
                <w:lang w:val="lt-LT"/>
              </w:rPr>
              <w:t>1</w:t>
            </w:r>
          </w:p>
        </w:tc>
        <w:tc>
          <w:tcPr>
            <w:tcW w:w="3102" w:type="dxa"/>
          </w:tcPr>
          <w:p>
            <w:pPr>
              <w:spacing w:line="240" w:lineRule="auto"/>
              <w:jc w:val="center"/>
              <w:rPr>
                <w:color w:val="000000"/>
                <w:szCs w:val="22"/>
                <w:lang w:val="lt-LT"/>
              </w:rPr>
            </w:pPr>
            <w:r>
              <w:rPr>
                <w:color w:val="000000"/>
                <w:szCs w:val="22"/>
                <w:lang w:val="lt-LT"/>
              </w:rPr>
              <w:t>4,2</w:t>
            </w:r>
          </w:p>
        </w:tc>
      </w:tr>
      <w:tr>
        <w:trPr>
          <w:trHeight w:val="222"/>
        </w:trPr>
        <w:tc>
          <w:tcPr>
            <w:tcW w:w="1157" w:type="dxa"/>
          </w:tcPr>
          <w:p>
            <w:pPr>
              <w:spacing w:line="240" w:lineRule="auto"/>
              <w:rPr>
                <w:color w:val="000000"/>
                <w:szCs w:val="22"/>
                <w:lang w:val="lt-LT"/>
              </w:rPr>
            </w:pPr>
            <w:r>
              <w:rPr>
                <w:color w:val="000000"/>
                <w:szCs w:val="22"/>
                <w:lang w:val="lt-LT"/>
              </w:rPr>
              <w:t>8</w:t>
            </w:r>
          </w:p>
        </w:tc>
        <w:tc>
          <w:tcPr>
            <w:tcW w:w="1919" w:type="dxa"/>
          </w:tcPr>
          <w:p>
            <w:pPr>
              <w:spacing w:line="240" w:lineRule="auto"/>
              <w:jc w:val="center"/>
              <w:rPr>
                <w:color w:val="000000"/>
                <w:szCs w:val="22"/>
                <w:lang w:val="lt-LT"/>
              </w:rPr>
            </w:pPr>
            <w:r>
              <w:rPr>
                <w:color w:val="000000"/>
                <w:szCs w:val="22"/>
                <w:lang w:val="lt-LT"/>
              </w:rPr>
              <w:t>120</w:t>
            </w:r>
          </w:p>
        </w:tc>
        <w:tc>
          <w:tcPr>
            <w:tcW w:w="2892" w:type="dxa"/>
          </w:tcPr>
          <w:p>
            <w:pPr>
              <w:spacing w:line="240" w:lineRule="auto"/>
              <w:jc w:val="center"/>
              <w:rPr>
                <w:color w:val="000000"/>
                <w:szCs w:val="22"/>
                <w:lang w:val="lt-LT"/>
              </w:rPr>
            </w:pPr>
            <w:r>
              <w:rPr>
                <w:color w:val="000000"/>
                <w:szCs w:val="22"/>
                <w:lang w:val="lt-LT"/>
              </w:rPr>
              <w:t>1</w:t>
            </w:r>
          </w:p>
        </w:tc>
        <w:tc>
          <w:tcPr>
            <w:tcW w:w="3102" w:type="dxa"/>
          </w:tcPr>
          <w:p>
            <w:pPr>
              <w:spacing w:line="240" w:lineRule="auto"/>
              <w:jc w:val="center"/>
              <w:rPr>
                <w:color w:val="000000"/>
                <w:szCs w:val="22"/>
                <w:lang w:val="lt-LT"/>
              </w:rPr>
            </w:pPr>
            <w:r>
              <w:rPr>
                <w:color w:val="000000"/>
                <w:szCs w:val="22"/>
                <w:lang w:val="lt-LT"/>
              </w:rPr>
              <w:t>4,8</w:t>
            </w:r>
          </w:p>
        </w:tc>
      </w:tr>
      <w:tr>
        <w:trPr>
          <w:trHeight w:val="206"/>
        </w:trPr>
        <w:tc>
          <w:tcPr>
            <w:tcW w:w="1157" w:type="dxa"/>
          </w:tcPr>
          <w:p>
            <w:pPr>
              <w:spacing w:line="240" w:lineRule="auto"/>
              <w:rPr>
                <w:color w:val="000000"/>
                <w:szCs w:val="22"/>
                <w:lang w:val="lt-LT"/>
              </w:rPr>
            </w:pPr>
            <w:r>
              <w:rPr>
                <w:color w:val="000000"/>
                <w:szCs w:val="22"/>
                <w:lang w:val="lt-LT"/>
              </w:rPr>
              <w:t>9</w:t>
            </w:r>
          </w:p>
        </w:tc>
        <w:tc>
          <w:tcPr>
            <w:tcW w:w="1919" w:type="dxa"/>
          </w:tcPr>
          <w:p>
            <w:pPr>
              <w:spacing w:line="240" w:lineRule="auto"/>
              <w:jc w:val="center"/>
              <w:rPr>
                <w:color w:val="000000"/>
                <w:szCs w:val="22"/>
                <w:lang w:val="lt-LT"/>
              </w:rPr>
            </w:pPr>
            <w:r>
              <w:rPr>
                <w:color w:val="000000"/>
                <w:szCs w:val="22"/>
                <w:lang w:val="lt-LT"/>
              </w:rPr>
              <w:t>135</w:t>
            </w:r>
          </w:p>
        </w:tc>
        <w:tc>
          <w:tcPr>
            <w:tcW w:w="2892" w:type="dxa"/>
          </w:tcPr>
          <w:p>
            <w:pPr>
              <w:spacing w:line="240" w:lineRule="auto"/>
              <w:jc w:val="center"/>
              <w:rPr>
                <w:color w:val="000000"/>
                <w:szCs w:val="22"/>
                <w:lang w:val="lt-LT"/>
              </w:rPr>
            </w:pPr>
            <w:r>
              <w:rPr>
                <w:color w:val="000000"/>
                <w:szCs w:val="22"/>
                <w:lang w:val="lt-LT"/>
              </w:rPr>
              <w:t>1</w:t>
            </w:r>
          </w:p>
        </w:tc>
        <w:tc>
          <w:tcPr>
            <w:tcW w:w="3102" w:type="dxa"/>
          </w:tcPr>
          <w:p>
            <w:pPr>
              <w:spacing w:line="240" w:lineRule="auto"/>
              <w:jc w:val="center"/>
              <w:rPr>
                <w:color w:val="000000"/>
                <w:szCs w:val="22"/>
                <w:lang w:val="lt-LT"/>
              </w:rPr>
            </w:pPr>
            <w:r>
              <w:rPr>
                <w:color w:val="000000"/>
                <w:szCs w:val="22"/>
                <w:lang w:val="lt-LT"/>
              </w:rPr>
              <w:t>5,4</w:t>
            </w:r>
          </w:p>
        </w:tc>
      </w:tr>
      <w:tr>
        <w:trPr>
          <w:trHeight w:val="222"/>
        </w:trPr>
        <w:tc>
          <w:tcPr>
            <w:tcW w:w="1157" w:type="dxa"/>
          </w:tcPr>
          <w:p>
            <w:pPr>
              <w:spacing w:line="240" w:lineRule="auto"/>
              <w:rPr>
                <w:color w:val="000000"/>
                <w:szCs w:val="22"/>
                <w:lang w:val="lt-LT"/>
              </w:rPr>
            </w:pPr>
            <w:r>
              <w:rPr>
                <w:color w:val="000000"/>
                <w:szCs w:val="22"/>
                <w:lang w:val="lt-LT"/>
              </w:rPr>
              <w:t>10</w:t>
            </w:r>
          </w:p>
        </w:tc>
        <w:tc>
          <w:tcPr>
            <w:tcW w:w="1919" w:type="dxa"/>
          </w:tcPr>
          <w:p>
            <w:pPr>
              <w:spacing w:line="240" w:lineRule="auto"/>
              <w:jc w:val="center"/>
              <w:rPr>
                <w:color w:val="000000"/>
                <w:szCs w:val="22"/>
                <w:lang w:val="lt-LT"/>
              </w:rPr>
            </w:pPr>
            <w:r>
              <w:rPr>
                <w:color w:val="000000"/>
                <w:szCs w:val="22"/>
                <w:lang w:val="lt-LT"/>
              </w:rPr>
              <w:t>150</w:t>
            </w:r>
          </w:p>
        </w:tc>
        <w:tc>
          <w:tcPr>
            <w:tcW w:w="2892" w:type="dxa"/>
          </w:tcPr>
          <w:p>
            <w:pPr>
              <w:spacing w:line="240" w:lineRule="auto"/>
              <w:jc w:val="center"/>
              <w:rPr>
                <w:color w:val="000000"/>
                <w:szCs w:val="22"/>
                <w:lang w:val="lt-LT"/>
              </w:rPr>
            </w:pPr>
            <w:r>
              <w:rPr>
                <w:color w:val="000000"/>
                <w:szCs w:val="22"/>
                <w:lang w:val="lt-LT"/>
              </w:rPr>
              <w:t>1</w:t>
            </w:r>
          </w:p>
        </w:tc>
        <w:tc>
          <w:tcPr>
            <w:tcW w:w="3102" w:type="dxa"/>
          </w:tcPr>
          <w:p>
            <w:pPr>
              <w:spacing w:line="240" w:lineRule="auto"/>
              <w:jc w:val="center"/>
              <w:rPr>
                <w:color w:val="000000"/>
                <w:szCs w:val="22"/>
                <w:lang w:val="lt-LT"/>
              </w:rPr>
            </w:pPr>
            <w:r>
              <w:rPr>
                <w:color w:val="000000"/>
                <w:szCs w:val="22"/>
                <w:lang w:val="lt-LT"/>
              </w:rPr>
              <w:t>6</w:t>
            </w:r>
          </w:p>
        </w:tc>
      </w:tr>
      <w:tr>
        <w:trPr>
          <w:trHeight w:val="206"/>
        </w:trPr>
        <w:tc>
          <w:tcPr>
            <w:tcW w:w="1157" w:type="dxa"/>
          </w:tcPr>
          <w:p>
            <w:pPr>
              <w:spacing w:line="240" w:lineRule="auto"/>
              <w:rPr>
                <w:color w:val="000000"/>
                <w:szCs w:val="22"/>
                <w:lang w:val="lt-LT"/>
              </w:rPr>
            </w:pPr>
            <w:r>
              <w:rPr>
                <w:color w:val="000000"/>
                <w:szCs w:val="22"/>
                <w:lang w:val="lt-LT"/>
              </w:rPr>
              <w:t>11</w:t>
            </w:r>
          </w:p>
        </w:tc>
        <w:tc>
          <w:tcPr>
            <w:tcW w:w="1919" w:type="dxa"/>
          </w:tcPr>
          <w:p>
            <w:pPr>
              <w:spacing w:line="240" w:lineRule="auto"/>
              <w:jc w:val="center"/>
              <w:rPr>
                <w:color w:val="000000"/>
                <w:szCs w:val="22"/>
                <w:lang w:val="lt-LT"/>
              </w:rPr>
            </w:pPr>
            <w:r>
              <w:rPr>
                <w:color w:val="000000"/>
                <w:szCs w:val="22"/>
                <w:lang w:val="lt-LT"/>
              </w:rPr>
              <w:t>165</w:t>
            </w:r>
          </w:p>
        </w:tc>
        <w:tc>
          <w:tcPr>
            <w:tcW w:w="2892" w:type="dxa"/>
          </w:tcPr>
          <w:p>
            <w:pPr>
              <w:spacing w:line="240" w:lineRule="auto"/>
              <w:jc w:val="center"/>
              <w:rPr>
                <w:color w:val="000000"/>
                <w:szCs w:val="22"/>
                <w:lang w:val="lt-LT"/>
              </w:rPr>
            </w:pPr>
            <w:r>
              <w:rPr>
                <w:color w:val="000000"/>
                <w:szCs w:val="22"/>
                <w:lang w:val="lt-LT"/>
              </w:rPr>
              <w:t>1</w:t>
            </w:r>
          </w:p>
        </w:tc>
        <w:tc>
          <w:tcPr>
            <w:tcW w:w="3102" w:type="dxa"/>
          </w:tcPr>
          <w:p>
            <w:pPr>
              <w:spacing w:line="240" w:lineRule="auto"/>
              <w:jc w:val="center"/>
              <w:rPr>
                <w:color w:val="000000"/>
                <w:szCs w:val="22"/>
                <w:lang w:val="lt-LT"/>
              </w:rPr>
            </w:pPr>
            <w:r>
              <w:rPr>
                <w:color w:val="000000"/>
                <w:szCs w:val="22"/>
                <w:lang w:val="lt-LT"/>
              </w:rPr>
              <w:t>6,6</w:t>
            </w:r>
          </w:p>
        </w:tc>
      </w:tr>
      <w:tr>
        <w:trPr>
          <w:trHeight w:val="222"/>
        </w:trPr>
        <w:tc>
          <w:tcPr>
            <w:tcW w:w="1157" w:type="dxa"/>
          </w:tcPr>
          <w:p>
            <w:pPr>
              <w:spacing w:line="240" w:lineRule="auto"/>
              <w:rPr>
                <w:color w:val="000000"/>
                <w:szCs w:val="22"/>
                <w:lang w:val="lt-LT"/>
              </w:rPr>
            </w:pPr>
            <w:r>
              <w:rPr>
                <w:color w:val="000000"/>
                <w:szCs w:val="22"/>
                <w:lang w:val="lt-LT"/>
              </w:rPr>
              <w:t>12</w:t>
            </w:r>
          </w:p>
        </w:tc>
        <w:tc>
          <w:tcPr>
            <w:tcW w:w="1919" w:type="dxa"/>
          </w:tcPr>
          <w:p>
            <w:pPr>
              <w:spacing w:line="240" w:lineRule="auto"/>
              <w:jc w:val="center"/>
              <w:rPr>
                <w:color w:val="000000"/>
                <w:szCs w:val="22"/>
                <w:lang w:val="lt-LT"/>
              </w:rPr>
            </w:pPr>
            <w:r>
              <w:rPr>
                <w:color w:val="000000"/>
                <w:szCs w:val="22"/>
                <w:lang w:val="lt-LT"/>
              </w:rPr>
              <w:t>180</w:t>
            </w:r>
          </w:p>
        </w:tc>
        <w:tc>
          <w:tcPr>
            <w:tcW w:w="2892" w:type="dxa"/>
          </w:tcPr>
          <w:p>
            <w:pPr>
              <w:spacing w:line="240" w:lineRule="auto"/>
              <w:jc w:val="center"/>
              <w:rPr>
                <w:color w:val="000000"/>
                <w:szCs w:val="22"/>
                <w:lang w:val="lt-LT"/>
              </w:rPr>
            </w:pPr>
            <w:r>
              <w:rPr>
                <w:color w:val="000000"/>
                <w:szCs w:val="22"/>
                <w:lang w:val="lt-LT"/>
              </w:rPr>
              <w:t>1</w:t>
            </w:r>
          </w:p>
        </w:tc>
        <w:tc>
          <w:tcPr>
            <w:tcW w:w="3102" w:type="dxa"/>
          </w:tcPr>
          <w:p>
            <w:pPr>
              <w:spacing w:line="240" w:lineRule="auto"/>
              <w:jc w:val="center"/>
              <w:rPr>
                <w:color w:val="000000"/>
                <w:szCs w:val="22"/>
                <w:lang w:val="lt-LT"/>
              </w:rPr>
            </w:pPr>
            <w:r>
              <w:rPr>
                <w:color w:val="000000"/>
                <w:szCs w:val="22"/>
                <w:lang w:val="lt-LT"/>
              </w:rPr>
              <w:t>7,2</w:t>
            </w:r>
          </w:p>
        </w:tc>
      </w:tr>
      <w:tr>
        <w:trPr>
          <w:trHeight w:val="206"/>
        </w:trPr>
        <w:tc>
          <w:tcPr>
            <w:tcW w:w="1157" w:type="dxa"/>
          </w:tcPr>
          <w:p>
            <w:pPr>
              <w:spacing w:line="240" w:lineRule="auto"/>
              <w:rPr>
                <w:color w:val="000000"/>
                <w:szCs w:val="22"/>
                <w:lang w:val="lt-LT"/>
              </w:rPr>
            </w:pPr>
            <w:r>
              <w:rPr>
                <w:color w:val="000000"/>
                <w:szCs w:val="22"/>
                <w:lang w:val="lt-LT"/>
              </w:rPr>
              <w:t>13</w:t>
            </w:r>
          </w:p>
        </w:tc>
        <w:tc>
          <w:tcPr>
            <w:tcW w:w="1919" w:type="dxa"/>
          </w:tcPr>
          <w:p>
            <w:pPr>
              <w:spacing w:line="240" w:lineRule="auto"/>
              <w:jc w:val="center"/>
              <w:rPr>
                <w:color w:val="000000"/>
                <w:szCs w:val="22"/>
                <w:lang w:val="lt-LT"/>
              </w:rPr>
            </w:pPr>
            <w:r>
              <w:rPr>
                <w:color w:val="000000"/>
                <w:szCs w:val="22"/>
                <w:lang w:val="lt-LT"/>
              </w:rPr>
              <w:t>195</w:t>
            </w:r>
          </w:p>
        </w:tc>
        <w:tc>
          <w:tcPr>
            <w:tcW w:w="2892" w:type="dxa"/>
          </w:tcPr>
          <w:p>
            <w:pPr>
              <w:spacing w:line="240" w:lineRule="auto"/>
              <w:jc w:val="center"/>
              <w:rPr>
                <w:color w:val="000000"/>
                <w:szCs w:val="22"/>
                <w:lang w:val="lt-LT"/>
              </w:rPr>
            </w:pPr>
            <w:r>
              <w:rPr>
                <w:color w:val="000000"/>
                <w:szCs w:val="22"/>
                <w:lang w:val="lt-LT"/>
              </w:rPr>
              <w:t>1</w:t>
            </w:r>
          </w:p>
        </w:tc>
        <w:tc>
          <w:tcPr>
            <w:tcW w:w="3102" w:type="dxa"/>
          </w:tcPr>
          <w:p>
            <w:pPr>
              <w:spacing w:line="240" w:lineRule="auto"/>
              <w:jc w:val="center"/>
              <w:rPr>
                <w:color w:val="000000"/>
                <w:szCs w:val="22"/>
                <w:lang w:val="lt-LT"/>
              </w:rPr>
            </w:pPr>
            <w:r>
              <w:rPr>
                <w:color w:val="000000"/>
                <w:szCs w:val="22"/>
                <w:lang w:val="lt-LT"/>
              </w:rPr>
              <w:t>7,8</w:t>
            </w:r>
          </w:p>
        </w:tc>
      </w:tr>
      <w:tr>
        <w:trPr>
          <w:trHeight w:val="222"/>
        </w:trPr>
        <w:tc>
          <w:tcPr>
            <w:tcW w:w="1157" w:type="dxa"/>
          </w:tcPr>
          <w:p>
            <w:pPr>
              <w:spacing w:line="240" w:lineRule="auto"/>
              <w:rPr>
                <w:color w:val="000000"/>
                <w:szCs w:val="22"/>
                <w:lang w:val="lt-LT"/>
              </w:rPr>
            </w:pPr>
            <w:r>
              <w:rPr>
                <w:color w:val="000000"/>
                <w:szCs w:val="22"/>
                <w:lang w:val="lt-LT"/>
              </w:rPr>
              <w:t>14</w:t>
            </w:r>
          </w:p>
        </w:tc>
        <w:tc>
          <w:tcPr>
            <w:tcW w:w="1919" w:type="dxa"/>
          </w:tcPr>
          <w:p>
            <w:pPr>
              <w:spacing w:line="240" w:lineRule="auto"/>
              <w:jc w:val="center"/>
              <w:rPr>
                <w:color w:val="000000"/>
                <w:szCs w:val="22"/>
                <w:lang w:val="lt-LT"/>
              </w:rPr>
            </w:pPr>
            <w:r>
              <w:rPr>
                <w:color w:val="000000"/>
                <w:szCs w:val="22"/>
                <w:lang w:val="lt-LT"/>
              </w:rPr>
              <w:t>210</w:t>
            </w:r>
          </w:p>
        </w:tc>
        <w:tc>
          <w:tcPr>
            <w:tcW w:w="2892" w:type="dxa"/>
          </w:tcPr>
          <w:p>
            <w:pPr>
              <w:spacing w:line="240" w:lineRule="auto"/>
              <w:jc w:val="center"/>
              <w:rPr>
                <w:color w:val="000000"/>
                <w:szCs w:val="22"/>
                <w:lang w:val="lt-LT"/>
              </w:rPr>
            </w:pPr>
            <w:r>
              <w:rPr>
                <w:color w:val="000000"/>
                <w:szCs w:val="22"/>
                <w:lang w:val="lt-LT"/>
              </w:rPr>
              <w:t>1</w:t>
            </w:r>
          </w:p>
        </w:tc>
        <w:tc>
          <w:tcPr>
            <w:tcW w:w="3102" w:type="dxa"/>
          </w:tcPr>
          <w:p>
            <w:pPr>
              <w:spacing w:line="240" w:lineRule="auto"/>
              <w:jc w:val="center"/>
              <w:rPr>
                <w:color w:val="000000"/>
                <w:szCs w:val="22"/>
                <w:lang w:val="lt-LT"/>
              </w:rPr>
            </w:pPr>
            <w:r>
              <w:rPr>
                <w:color w:val="000000"/>
                <w:szCs w:val="22"/>
                <w:lang w:val="lt-LT"/>
              </w:rPr>
              <w:t>8,4</w:t>
            </w:r>
          </w:p>
        </w:tc>
      </w:tr>
      <w:tr>
        <w:trPr>
          <w:trHeight w:val="206"/>
        </w:trPr>
        <w:tc>
          <w:tcPr>
            <w:tcW w:w="1157" w:type="dxa"/>
          </w:tcPr>
          <w:p>
            <w:pPr>
              <w:spacing w:line="240" w:lineRule="auto"/>
              <w:rPr>
                <w:color w:val="000000"/>
                <w:szCs w:val="22"/>
                <w:lang w:val="lt-LT"/>
              </w:rPr>
            </w:pPr>
            <w:r>
              <w:rPr>
                <w:color w:val="000000"/>
                <w:szCs w:val="22"/>
                <w:lang w:val="lt-LT"/>
              </w:rPr>
              <w:t>15</w:t>
            </w:r>
          </w:p>
        </w:tc>
        <w:tc>
          <w:tcPr>
            <w:tcW w:w="1919" w:type="dxa"/>
          </w:tcPr>
          <w:p>
            <w:pPr>
              <w:spacing w:line="240" w:lineRule="auto"/>
              <w:jc w:val="center"/>
              <w:rPr>
                <w:color w:val="000000"/>
                <w:szCs w:val="22"/>
                <w:lang w:val="lt-LT"/>
              </w:rPr>
            </w:pPr>
            <w:r>
              <w:rPr>
                <w:color w:val="000000"/>
                <w:szCs w:val="22"/>
                <w:lang w:val="lt-LT"/>
              </w:rPr>
              <w:t>225</w:t>
            </w:r>
          </w:p>
        </w:tc>
        <w:tc>
          <w:tcPr>
            <w:tcW w:w="2892" w:type="dxa"/>
          </w:tcPr>
          <w:p>
            <w:pPr>
              <w:spacing w:line="240" w:lineRule="auto"/>
              <w:jc w:val="center"/>
              <w:rPr>
                <w:color w:val="000000"/>
                <w:szCs w:val="22"/>
                <w:lang w:val="lt-LT"/>
              </w:rPr>
            </w:pPr>
            <w:r>
              <w:rPr>
                <w:color w:val="000000"/>
                <w:szCs w:val="22"/>
                <w:lang w:val="lt-LT"/>
              </w:rPr>
              <w:t>1</w:t>
            </w:r>
          </w:p>
        </w:tc>
        <w:tc>
          <w:tcPr>
            <w:tcW w:w="3102" w:type="dxa"/>
          </w:tcPr>
          <w:p>
            <w:pPr>
              <w:spacing w:line="240" w:lineRule="auto"/>
              <w:jc w:val="center"/>
              <w:rPr>
                <w:color w:val="000000"/>
                <w:szCs w:val="22"/>
                <w:lang w:val="lt-LT"/>
              </w:rPr>
            </w:pPr>
            <w:r>
              <w:rPr>
                <w:color w:val="000000"/>
                <w:szCs w:val="22"/>
                <w:lang w:val="lt-LT"/>
              </w:rPr>
              <w:t>9</w:t>
            </w:r>
          </w:p>
        </w:tc>
      </w:tr>
      <w:tr>
        <w:trPr>
          <w:trHeight w:val="206"/>
        </w:trPr>
        <w:tc>
          <w:tcPr>
            <w:tcW w:w="1157" w:type="dxa"/>
          </w:tcPr>
          <w:p>
            <w:pPr>
              <w:spacing w:line="240" w:lineRule="auto"/>
              <w:rPr>
                <w:color w:val="000000"/>
                <w:szCs w:val="22"/>
                <w:lang w:val="lt-LT"/>
              </w:rPr>
            </w:pPr>
            <w:r>
              <w:rPr>
                <w:color w:val="000000"/>
                <w:szCs w:val="22"/>
                <w:lang w:val="lt-LT"/>
              </w:rPr>
              <w:lastRenderedPageBreak/>
              <w:t>16</w:t>
            </w:r>
          </w:p>
        </w:tc>
        <w:tc>
          <w:tcPr>
            <w:tcW w:w="1919" w:type="dxa"/>
          </w:tcPr>
          <w:p>
            <w:pPr>
              <w:spacing w:line="240" w:lineRule="auto"/>
              <w:jc w:val="center"/>
              <w:rPr>
                <w:color w:val="000000"/>
                <w:szCs w:val="22"/>
                <w:lang w:val="lt-LT"/>
              </w:rPr>
            </w:pPr>
            <w:r>
              <w:rPr>
                <w:color w:val="000000"/>
                <w:szCs w:val="22"/>
                <w:lang w:val="lt-LT"/>
              </w:rPr>
              <w:t>240</w:t>
            </w:r>
          </w:p>
        </w:tc>
        <w:tc>
          <w:tcPr>
            <w:tcW w:w="2892" w:type="dxa"/>
          </w:tcPr>
          <w:p>
            <w:pPr>
              <w:spacing w:line="240" w:lineRule="auto"/>
              <w:jc w:val="center"/>
              <w:rPr>
                <w:color w:val="000000"/>
                <w:szCs w:val="22"/>
                <w:lang w:val="lt-LT"/>
              </w:rPr>
            </w:pPr>
            <w:r>
              <w:rPr>
                <w:color w:val="000000"/>
                <w:szCs w:val="22"/>
                <w:lang w:val="lt-LT"/>
              </w:rPr>
              <w:t>1</w:t>
            </w:r>
          </w:p>
        </w:tc>
        <w:tc>
          <w:tcPr>
            <w:tcW w:w="3102" w:type="dxa"/>
          </w:tcPr>
          <w:p>
            <w:pPr>
              <w:spacing w:line="240" w:lineRule="auto"/>
              <w:jc w:val="center"/>
              <w:rPr>
                <w:color w:val="000000"/>
                <w:szCs w:val="22"/>
                <w:lang w:val="lt-LT"/>
              </w:rPr>
            </w:pPr>
            <w:r>
              <w:rPr>
                <w:color w:val="000000"/>
                <w:szCs w:val="22"/>
                <w:lang w:val="lt-LT"/>
              </w:rPr>
              <w:t>9,6</w:t>
            </w:r>
          </w:p>
        </w:tc>
      </w:tr>
    </w:tbl>
    <w:p>
      <w:pPr>
        <w:tabs>
          <w:tab w:val="clear" w:pos="567"/>
        </w:tabs>
        <w:spacing w:line="240" w:lineRule="auto"/>
        <w:ind w:right="716"/>
        <w:rPr>
          <w:b/>
          <w:bCs/>
          <w:szCs w:val="22"/>
          <w:lang w:val="lt-LT"/>
        </w:rPr>
      </w:pPr>
    </w:p>
    <w:p>
      <w:pPr>
        <w:tabs>
          <w:tab w:val="clear" w:pos="567"/>
        </w:tabs>
        <w:spacing w:line="240" w:lineRule="auto"/>
        <w:ind w:right="716"/>
        <w:rPr>
          <w:b/>
          <w:bCs/>
          <w:szCs w:val="22"/>
          <w:lang w:val="lt-LT"/>
        </w:rPr>
      </w:pPr>
      <w:r>
        <w:rPr>
          <w:b/>
          <w:bCs/>
          <w:szCs w:val="22"/>
          <w:lang w:val="lt-LT"/>
        </w:rPr>
        <w:t>4 lentelė. Rekomenduojama Sephience geriamųjų miltelių paketėlyje dozė pagal kūno svorį vaikams nuo 12 mėnesių iki mažiau nei 2 metų</w:t>
      </w:r>
    </w:p>
    <w:p>
      <w:pPr>
        <w:tabs>
          <w:tab w:val="clear" w:pos="567"/>
        </w:tabs>
        <w:spacing w:line="240" w:lineRule="auto"/>
        <w:ind w:right="716"/>
        <w:rPr>
          <w:lang w:val="lt-LT"/>
        </w:rPr>
      </w:pPr>
    </w:p>
    <w:tbl>
      <w:tblPr>
        <w:tblStyle w:val="TableGrid"/>
        <w:tblW w:w="5000" w:type="pct"/>
        <w:tblLayout w:type="fixed"/>
        <w:tblLook w:val="04A0" w:firstRow="1" w:lastRow="0" w:firstColumn="1" w:lastColumn="0" w:noHBand="0" w:noVBand="1"/>
      </w:tblPr>
      <w:tblGrid>
        <w:gridCol w:w="1289"/>
        <w:gridCol w:w="1932"/>
        <w:gridCol w:w="2920"/>
        <w:gridCol w:w="3145"/>
      </w:tblGrid>
      <w:tr>
        <w:trPr>
          <w:trHeight w:val="225"/>
          <w:tblHeader/>
        </w:trPr>
        <w:tc>
          <w:tcPr>
            <w:tcW w:w="1259" w:type="dxa"/>
          </w:tcPr>
          <w:p>
            <w:pPr>
              <w:spacing w:line="240" w:lineRule="auto"/>
              <w:rPr>
                <w:b/>
                <w:szCs w:val="22"/>
                <w:lang w:val="lt-LT"/>
              </w:rPr>
            </w:pPr>
            <w:r>
              <w:rPr>
                <w:b/>
                <w:bCs/>
                <w:szCs w:val="22"/>
                <w:lang w:val="lt-LT"/>
              </w:rPr>
              <w:t>Dozė</w:t>
            </w:r>
          </w:p>
        </w:tc>
        <w:tc>
          <w:tcPr>
            <w:tcW w:w="7811" w:type="dxa"/>
            <w:gridSpan w:val="3"/>
          </w:tcPr>
          <w:p>
            <w:pPr>
              <w:spacing w:line="240" w:lineRule="auto"/>
              <w:jc w:val="center"/>
              <w:rPr>
                <w:b/>
                <w:szCs w:val="22"/>
                <w:lang w:val="lt-LT"/>
              </w:rPr>
            </w:pPr>
            <w:r>
              <w:rPr>
                <w:b/>
                <w:bCs/>
                <w:color w:val="000000"/>
                <w:szCs w:val="22"/>
                <w:lang w:val="lt-LT"/>
              </w:rPr>
              <w:t>30 mg/kg per parą</w:t>
            </w:r>
          </w:p>
        </w:tc>
      </w:tr>
      <w:tr>
        <w:trPr>
          <w:trHeight w:val="166"/>
          <w:tblHeader/>
        </w:trPr>
        <w:tc>
          <w:tcPr>
            <w:tcW w:w="1259" w:type="dxa"/>
          </w:tcPr>
          <w:p>
            <w:pPr>
              <w:spacing w:line="240" w:lineRule="auto"/>
              <w:rPr>
                <w:rFonts w:eastAsia="Arial"/>
                <w:b/>
                <w:bCs/>
                <w:color w:val="000000"/>
                <w:szCs w:val="22"/>
                <w:lang w:val="lt-LT"/>
              </w:rPr>
            </w:pPr>
            <w:r>
              <w:rPr>
                <w:rFonts w:eastAsia="Arial"/>
                <w:b/>
                <w:bCs/>
                <w:color w:val="000000"/>
                <w:szCs w:val="22"/>
                <w:lang w:val="lt-LT"/>
              </w:rPr>
              <w:t>Am</w:t>
            </w:r>
            <w:r>
              <w:rPr>
                <w:b/>
                <w:bCs/>
                <w:szCs w:val="22"/>
                <w:lang w:val="lt-LT"/>
              </w:rPr>
              <w:t>ž</w:t>
            </w:r>
            <w:r>
              <w:rPr>
                <w:rFonts w:eastAsia="Arial"/>
                <w:b/>
                <w:bCs/>
                <w:color w:val="000000"/>
                <w:szCs w:val="22"/>
                <w:lang w:val="lt-LT"/>
              </w:rPr>
              <w:t>ius</w:t>
            </w:r>
          </w:p>
        </w:tc>
        <w:tc>
          <w:tcPr>
            <w:tcW w:w="7811" w:type="dxa"/>
            <w:gridSpan w:val="3"/>
          </w:tcPr>
          <w:p>
            <w:pPr>
              <w:spacing w:line="240" w:lineRule="auto"/>
              <w:jc w:val="center"/>
              <w:rPr>
                <w:rFonts w:eastAsia="Arial"/>
                <w:b/>
                <w:bCs/>
                <w:color w:val="000000"/>
                <w:szCs w:val="22"/>
                <w:lang w:val="lt-LT"/>
              </w:rPr>
            </w:pPr>
            <w:r>
              <w:rPr>
                <w:b/>
                <w:bCs/>
                <w:color w:val="000000"/>
                <w:szCs w:val="22"/>
                <w:lang w:val="lt-LT"/>
              </w:rPr>
              <w:t>Nuo 12 mėn. iki &lt;2 metų</w:t>
            </w:r>
          </w:p>
        </w:tc>
      </w:tr>
      <w:tr>
        <w:trPr>
          <w:trHeight w:val="712"/>
          <w:tblHeader/>
        </w:trPr>
        <w:tc>
          <w:tcPr>
            <w:tcW w:w="1259" w:type="dxa"/>
          </w:tcPr>
          <w:p>
            <w:pPr>
              <w:spacing w:line="240" w:lineRule="auto"/>
              <w:rPr>
                <w:szCs w:val="22"/>
                <w:lang w:val="lt-LT"/>
              </w:rPr>
            </w:pPr>
            <w:r>
              <w:rPr>
                <w:b/>
                <w:bCs/>
                <w:color w:val="000000"/>
                <w:szCs w:val="22"/>
                <w:lang w:val="lt-LT"/>
              </w:rPr>
              <w:t>Svoris (kg)</w:t>
            </w:r>
          </w:p>
        </w:tc>
        <w:tc>
          <w:tcPr>
            <w:tcW w:w="1887" w:type="dxa"/>
          </w:tcPr>
          <w:p>
            <w:pPr>
              <w:spacing w:line="240" w:lineRule="auto"/>
              <w:jc w:val="center"/>
              <w:rPr>
                <w:szCs w:val="22"/>
                <w:lang w:val="lt-LT"/>
              </w:rPr>
            </w:pPr>
            <w:r>
              <w:rPr>
                <w:b/>
                <w:bCs/>
                <w:color w:val="000000"/>
                <w:szCs w:val="22"/>
                <w:lang w:val="lt-LT"/>
              </w:rPr>
              <w:t>Bendra dozė (mg)</w:t>
            </w:r>
          </w:p>
        </w:tc>
        <w:tc>
          <w:tcPr>
            <w:tcW w:w="2852" w:type="dxa"/>
          </w:tcPr>
          <w:p>
            <w:pPr>
              <w:spacing w:line="240" w:lineRule="auto"/>
              <w:jc w:val="center"/>
              <w:rPr>
                <w:szCs w:val="22"/>
                <w:lang w:val="lt-LT"/>
              </w:rPr>
            </w:pPr>
            <w:r>
              <w:rPr>
                <w:b/>
                <w:bCs/>
                <w:color w:val="000000"/>
                <w:szCs w:val="22"/>
                <w:lang w:val="lt-LT"/>
              </w:rPr>
              <w:t>Paketėlių (250 mg) skaičius</w:t>
            </w:r>
          </w:p>
        </w:tc>
        <w:tc>
          <w:tcPr>
            <w:tcW w:w="3072" w:type="dxa"/>
          </w:tcPr>
          <w:p>
            <w:pPr>
              <w:spacing w:line="240" w:lineRule="auto"/>
              <w:jc w:val="center"/>
              <w:rPr>
                <w:szCs w:val="22"/>
                <w:lang w:val="lt-LT"/>
              </w:rPr>
            </w:pPr>
            <w:r>
              <w:rPr>
                <w:b/>
                <w:bCs/>
                <w:color w:val="000000"/>
                <w:szCs w:val="22"/>
                <w:lang w:val="lt-LT"/>
              </w:rPr>
              <w:t>Vartotinas tūris (ml) (25 mg/ml)</w:t>
            </w:r>
          </w:p>
        </w:tc>
      </w:tr>
      <w:tr>
        <w:trPr>
          <w:trHeight w:val="243"/>
        </w:trPr>
        <w:tc>
          <w:tcPr>
            <w:tcW w:w="1259" w:type="dxa"/>
          </w:tcPr>
          <w:p>
            <w:pPr>
              <w:spacing w:line="240" w:lineRule="auto"/>
              <w:rPr>
                <w:szCs w:val="22"/>
                <w:lang w:val="lt-LT"/>
              </w:rPr>
            </w:pPr>
            <w:r>
              <w:rPr>
                <w:color w:val="000000"/>
                <w:szCs w:val="22"/>
                <w:lang w:val="lt-LT"/>
              </w:rPr>
              <w:t>2</w:t>
            </w:r>
          </w:p>
        </w:tc>
        <w:tc>
          <w:tcPr>
            <w:tcW w:w="1887" w:type="dxa"/>
          </w:tcPr>
          <w:p>
            <w:pPr>
              <w:spacing w:line="240" w:lineRule="auto"/>
              <w:jc w:val="center"/>
              <w:rPr>
                <w:szCs w:val="22"/>
                <w:lang w:val="lt-LT"/>
              </w:rPr>
            </w:pPr>
            <w:r>
              <w:rPr>
                <w:color w:val="000000"/>
                <w:szCs w:val="22"/>
                <w:lang w:val="lt-LT"/>
              </w:rPr>
              <w:t>60</w:t>
            </w:r>
          </w:p>
        </w:tc>
        <w:tc>
          <w:tcPr>
            <w:tcW w:w="2852" w:type="dxa"/>
          </w:tcPr>
          <w:p>
            <w:pPr>
              <w:spacing w:line="240" w:lineRule="auto"/>
              <w:jc w:val="center"/>
              <w:rPr>
                <w:szCs w:val="22"/>
                <w:lang w:val="lt-LT"/>
              </w:rPr>
            </w:pPr>
            <w:r>
              <w:rPr>
                <w:color w:val="000000"/>
                <w:szCs w:val="22"/>
                <w:lang w:val="lt-LT"/>
              </w:rPr>
              <w:t>1</w:t>
            </w:r>
          </w:p>
        </w:tc>
        <w:tc>
          <w:tcPr>
            <w:tcW w:w="3072" w:type="dxa"/>
          </w:tcPr>
          <w:p>
            <w:pPr>
              <w:spacing w:line="240" w:lineRule="auto"/>
              <w:jc w:val="center"/>
              <w:rPr>
                <w:szCs w:val="22"/>
                <w:lang w:val="lt-LT"/>
              </w:rPr>
            </w:pPr>
            <w:r>
              <w:rPr>
                <w:color w:val="000000"/>
                <w:szCs w:val="22"/>
                <w:lang w:val="lt-LT"/>
              </w:rPr>
              <w:t>2,4</w:t>
            </w:r>
          </w:p>
        </w:tc>
      </w:tr>
      <w:tr>
        <w:trPr>
          <w:trHeight w:val="225"/>
        </w:trPr>
        <w:tc>
          <w:tcPr>
            <w:tcW w:w="1259" w:type="dxa"/>
          </w:tcPr>
          <w:p>
            <w:pPr>
              <w:spacing w:line="240" w:lineRule="auto"/>
              <w:rPr>
                <w:szCs w:val="22"/>
                <w:lang w:val="lt-LT"/>
              </w:rPr>
            </w:pPr>
            <w:r>
              <w:rPr>
                <w:color w:val="000000"/>
                <w:szCs w:val="22"/>
                <w:lang w:val="lt-LT"/>
              </w:rPr>
              <w:t>3</w:t>
            </w:r>
          </w:p>
        </w:tc>
        <w:tc>
          <w:tcPr>
            <w:tcW w:w="1887" w:type="dxa"/>
          </w:tcPr>
          <w:p>
            <w:pPr>
              <w:spacing w:line="240" w:lineRule="auto"/>
              <w:jc w:val="center"/>
              <w:rPr>
                <w:szCs w:val="22"/>
                <w:lang w:val="lt-LT"/>
              </w:rPr>
            </w:pPr>
            <w:r>
              <w:rPr>
                <w:color w:val="000000"/>
                <w:szCs w:val="22"/>
                <w:lang w:val="lt-LT"/>
              </w:rPr>
              <w:t>90</w:t>
            </w:r>
          </w:p>
        </w:tc>
        <w:tc>
          <w:tcPr>
            <w:tcW w:w="2852" w:type="dxa"/>
          </w:tcPr>
          <w:p>
            <w:pPr>
              <w:spacing w:line="240" w:lineRule="auto"/>
              <w:jc w:val="center"/>
              <w:rPr>
                <w:szCs w:val="22"/>
                <w:lang w:val="lt-LT"/>
              </w:rPr>
            </w:pPr>
            <w:r>
              <w:rPr>
                <w:color w:val="000000"/>
                <w:szCs w:val="22"/>
                <w:lang w:val="lt-LT"/>
              </w:rPr>
              <w:t>1</w:t>
            </w:r>
          </w:p>
        </w:tc>
        <w:tc>
          <w:tcPr>
            <w:tcW w:w="3072" w:type="dxa"/>
          </w:tcPr>
          <w:p>
            <w:pPr>
              <w:spacing w:line="240" w:lineRule="auto"/>
              <w:jc w:val="center"/>
              <w:rPr>
                <w:szCs w:val="22"/>
                <w:lang w:val="lt-LT"/>
              </w:rPr>
            </w:pPr>
            <w:r>
              <w:rPr>
                <w:color w:val="000000"/>
                <w:szCs w:val="22"/>
                <w:lang w:val="lt-LT"/>
              </w:rPr>
              <w:t>3,6</w:t>
            </w:r>
          </w:p>
        </w:tc>
      </w:tr>
      <w:tr>
        <w:trPr>
          <w:trHeight w:val="243"/>
        </w:trPr>
        <w:tc>
          <w:tcPr>
            <w:tcW w:w="1259" w:type="dxa"/>
          </w:tcPr>
          <w:p>
            <w:pPr>
              <w:spacing w:line="240" w:lineRule="auto"/>
              <w:rPr>
                <w:szCs w:val="22"/>
                <w:lang w:val="lt-LT"/>
              </w:rPr>
            </w:pPr>
            <w:r>
              <w:rPr>
                <w:color w:val="000000"/>
                <w:szCs w:val="22"/>
                <w:lang w:val="lt-LT"/>
              </w:rPr>
              <w:t>4</w:t>
            </w:r>
          </w:p>
        </w:tc>
        <w:tc>
          <w:tcPr>
            <w:tcW w:w="1887" w:type="dxa"/>
          </w:tcPr>
          <w:p>
            <w:pPr>
              <w:spacing w:line="240" w:lineRule="auto"/>
              <w:jc w:val="center"/>
              <w:rPr>
                <w:szCs w:val="22"/>
                <w:lang w:val="lt-LT"/>
              </w:rPr>
            </w:pPr>
            <w:r>
              <w:rPr>
                <w:color w:val="000000"/>
                <w:szCs w:val="22"/>
                <w:lang w:val="lt-LT"/>
              </w:rPr>
              <w:t>120</w:t>
            </w:r>
          </w:p>
        </w:tc>
        <w:tc>
          <w:tcPr>
            <w:tcW w:w="2852" w:type="dxa"/>
          </w:tcPr>
          <w:p>
            <w:pPr>
              <w:spacing w:line="240" w:lineRule="auto"/>
              <w:jc w:val="center"/>
              <w:rPr>
                <w:szCs w:val="22"/>
                <w:lang w:val="lt-LT"/>
              </w:rPr>
            </w:pPr>
            <w:r>
              <w:rPr>
                <w:color w:val="000000"/>
                <w:szCs w:val="22"/>
                <w:lang w:val="lt-LT"/>
              </w:rPr>
              <w:t>1</w:t>
            </w:r>
          </w:p>
        </w:tc>
        <w:tc>
          <w:tcPr>
            <w:tcW w:w="3072" w:type="dxa"/>
          </w:tcPr>
          <w:p>
            <w:pPr>
              <w:spacing w:line="240" w:lineRule="auto"/>
              <w:jc w:val="center"/>
              <w:rPr>
                <w:szCs w:val="22"/>
                <w:lang w:val="lt-LT"/>
              </w:rPr>
            </w:pPr>
            <w:r>
              <w:rPr>
                <w:color w:val="000000"/>
                <w:szCs w:val="22"/>
                <w:lang w:val="lt-LT"/>
              </w:rPr>
              <w:t>4,8</w:t>
            </w:r>
          </w:p>
        </w:tc>
      </w:tr>
      <w:tr>
        <w:trPr>
          <w:trHeight w:val="225"/>
        </w:trPr>
        <w:tc>
          <w:tcPr>
            <w:tcW w:w="1259" w:type="dxa"/>
          </w:tcPr>
          <w:p>
            <w:pPr>
              <w:spacing w:line="240" w:lineRule="auto"/>
              <w:rPr>
                <w:szCs w:val="22"/>
                <w:lang w:val="lt-LT"/>
              </w:rPr>
            </w:pPr>
            <w:r>
              <w:rPr>
                <w:color w:val="000000"/>
                <w:szCs w:val="22"/>
                <w:lang w:val="lt-LT"/>
              </w:rPr>
              <w:t>5</w:t>
            </w:r>
          </w:p>
        </w:tc>
        <w:tc>
          <w:tcPr>
            <w:tcW w:w="1887" w:type="dxa"/>
          </w:tcPr>
          <w:p>
            <w:pPr>
              <w:spacing w:line="240" w:lineRule="auto"/>
              <w:jc w:val="center"/>
              <w:rPr>
                <w:szCs w:val="22"/>
                <w:lang w:val="lt-LT"/>
              </w:rPr>
            </w:pPr>
            <w:r>
              <w:rPr>
                <w:color w:val="000000"/>
                <w:szCs w:val="22"/>
                <w:lang w:val="lt-LT"/>
              </w:rPr>
              <w:t>150</w:t>
            </w:r>
          </w:p>
        </w:tc>
        <w:tc>
          <w:tcPr>
            <w:tcW w:w="2852" w:type="dxa"/>
          </w:tcPr>
          <w:p>
            <w:pPr>
              <w:spacing w:line="240" w:lineRule="auto"/>
              <w:jc w:val="center"/>
              <w:rPr>
                <w:szCs w:val="22"/>
                <w:lang w:val="lt-LT"/>
              </w:rPr>
            </w:pPr>
            <w:r>
              <w:rPr>
                <w:color w:val="000000"/>
                <w:szCs w:val="22"/>
                <w:lang w:val="lt-LT"/>
              </w:rPr>
              <w:t>1</w:t>
            </w:r>
          </w:p>
        </w:tc>
        <w:tc>
          <w:tcPr>
            <w:tcW w:w="3072" w:type="dxa"/>
          </w:tcPr>
          <w:p>
            <w:pPr>
              <w:spacing w:line="240" w:lineRule="auto"/>
              <w:jc w:val="center"/>
              <w:rPr>
                <w:szCs w:val="22"/>
                <w:lang w:val="lt-LT"/>
              </w:rPr>
            </w:pPr>
            <w:r>
              <w:rPr>
                <w:color w:val="000000"/>
                <w:szCs w:val="22"/>
                <w:lang w:val="lt-LT"/>
              </w:rPr>
              <w:t>6</w:t>
            </w:r>
          </w:p>
        </w:tc>
      </w:tr>
      <w:tr>
        <w:trPr>
          <w:trHeight w:val="243"/>
        </w:trPr>
        <w:tc>
          <w:tcPr>
            <w:tcW w:w="1259" w:type="dxa"/>
          </w:tcPr>
          <w:p>
            <w:pPr>
              <w:spacing w:line="240" w:lineRule="auto"/>
              <w:rPr>
                <w:szCs w:val="22"/>
                <w:lang w:val="lt-LT"/>
              </w:rPr>
            </w:pPr>
            <w:r>
              <w:rPr>
                <w:color w:val="000000"/>
                <w:szCs w:val="22"/>
                <w:lang w:val="lt-LT"/>
              </w:rPr>
              <w:t>6</w:t>
            </w:r>
          </w:p>
        </w:tc>
        <w:tc>
          <w:tcPr>
            <w:tcW w:w="1887" w:type="dxa"/>
          </w:tcPr>
          <w:p>
            <w:pPr>
              <w:spacing w:line="240" w:lineRule="auto"/>
              <w:jc w:val="center"/>
              <w:rPr>
                <w:szCs w:val="22"/>
                <w:lang w:val="lt-LT"/>
              </w:rPr>
            </w:pPr>
            <w:r>
              <w:rPr>
                <w:color w:val="000000"/>
                <w:szCs w:val="22"/>
                <w:lang w:val="lt-LT"/>
              </w:rPr>
              <w:t>180</w:t>
            </w:r>
          </w:p>
        </w:tc>
        <w:tc>
          <w:tcPr>
            <w:tcW w:w="2852" w:type="dxa"/>
          </w:tcPr>
          <w:p>
            <w:pPr>
              <w:spacing w:line="240" w:lineRule="auto"/>
              <w:jc w:val="center"/>
              <w:rPr>
                <w:szCs w:val="22"/>
                <w:lang w:val="lt-LT"/>
              </w:rPr>
            </w:pPr>
            <w:r>
              <w:rPr>
                <w:color w:val="000000"/>
                <w:szCs w:val="22"/>
                <w:lang w:val="lt-LT"/>
              </w:rPr>
              <w:t>1</w:t>
            </w:r>
          </w:p>
        </w:tc>
        <w:tc>
          <w:tcPr>
            <w:tcW w:w="3072" w:type="dxa"/>
          </w:tcPr>
          <w:p>
            <w:pPr>
              <w:spacing w:line="240" w:lineRule="auto"/>
              <w:jc w:val="center"/>
              <w:rPr>
                <w:szCs w:val="22"/>
                <w:lang w:val="lt-LT"/>
              </w:rPr>
            </w:pPr>
            <w:r>
              <w:rPr>
                <w:color w:val="000000"/>
                <w:szCs w:val="22"/>
                <w:lang w:val="lt-LT"/>
              </w:rPr>
              <w:t>7,2</w:t>
            </w:r>
          </w:p>
        </w:tc>
      </w:tr>
      <w:tr>
        <w:trPr>
          <w:trHeight w:val="225"/>
        </w:trPr>
        <w:tc>
          <w:tcPr>
            <w:tcW w:w="1259" w:type="dxa"/>
          </w:tcPr>
          <w:p>
            <w:pPr>
              <w:spacing w:line="240" w:lineRule="auto"/>
              <w:rPr>
                <w:color w:val="000000"/>
                <w:szCs w:val="22"/>
                <w:lang w:val="lt-LT"/>
              </w:rPr>
            </w:pPr>
            <w:r>
              <w:rPr>
                <w:color w:val="000000"/>
                <w:szCs w:val="22"/>
                <w:lang w:val="lt-LT"/>
              </w:rPr>
              <w:t>7</w:t>
            </w:r>
          </w:p>
        </w:tc>
        <w:tc>
          <w:tcPr>
            <w:tcW w:w="1887" w:type="dxa"/>
          </w:tcPr>
          <w:p>
            <w:pPr>
              <w:spacing w:line="240" w:lineRule="auto"/>
              <w:jc w:val="center"/>
              <w:rPr>
                <w:color w:val="000000"/>
                <w:szCs w:val="22"/>
                <w:lang w:val="lt-LT"/>
              </w:rPr>
            </w:pPr>
            <w:r>
              <w:rPr>
                <w:color w:val="000000"/>
                <w:szCs w:val="22"/>
                <w:lang w:val="lt-LT"/>
              </w:rPr>
              <w:t>210</w:t>
            </w:r>
          </w:p>
        </w:tc>
        <w:tc>
          <w:tcPr>
            <w:tcW w:w="2852" w:type="dxa"/>
          </w:tcPr>
          <w:p>
            <w:pPr>
              <w:spacing w:line="240" w:lineRule="auto"/>
              <w:jc w:val="center"/>
              <w:rPr>
                <w:color w:val="000000"/>
                <w:szCs w:val="22"/>
                <w:lang w:val="lt-LT"/>
              </w:rPr>
            </w:pPr>
            <w:r>
              <w:rPr>
                <w:color w:val="000000"/>
                <w:szCs w:val="22"/>
                <w:lang w:val="lt-LT"/>
              </w:rPr>
              <w:t>1</w:t>
            </w:r>
          </w:p>
        </w:tc>
        <w:tc>
          <w:tcPr>
            <w:tcW w:w="3072" w:type="dxa"/>
          </w:tcPr>
          <w:p>
            <w:pPr>
              <w:spacing w:line="240" w:lineRule="auto"/>
              <w:jc w:val="center"/>
              <w:rPr>
                <w:color w:val="000000"/>
                <w:szCs w:val="22"/>
                <w:lang w:val="lt-LT"/>
              </w:rPr>
            </w:pPr>
            <w:r>
              <w:rPr>
                <w:color w:val="000000"/>
                <w:szCs w:val="22"/>
                <w:lang w:val="lt-LT"/>
              </w:rPr>
              <w:t>8,4</w:t>
            </w:r>
          </w:p>
        </w:tc>
      </w:tr>
      <w:tr>
        <w:trPr>
          <w:trHeight w:val="243"/>
        </w:trPr>
        <w:tc>
          <w:tcPr>
            <w:tcW w:w="1259" w:type="dxa"/>
          </w:tcPr>
          <w:p>
            <w:pPr>
              <w:spacing w:line="240" w:lineRule="auto"/>
              <w:rPr>
                <w:color w:val="000000"/>
                <w:szCs w:val="22"/>
                <w:lang w:val="lt-LT"/>
              </w:rPr>
            </w:pPr>
            <w:r>
              <w:rPr>
                <w:color w:val="000000"/>
                <w:szCs w:val="22"/>
                <w:lang w:val="lt-LT"/>
              </w:rPr>
              <w:t>8</w:t>
            </w:r>
          </w:p>
        </w:tc>
        <w:tc>
          <w:tcPr>
            <w:tcW w:w="1887" w:type="dxa"/>
          </w:tcPr>
          <w:p>
            <w:pPr>
              <w:spacing w:line="240" w:lineRule="auto"/>
              <w:jc w:val="center"/>
              <w:rPr>
                <w:color w:val="000000"/>
                <w:szCs w:val="22"/>
                <w:lang w:val="lt-LT"/>
              </w:rPr>
            </w:pPr>
            <w:r>
              <w:rPr>
                <w:color w:val="000000"/>
                <w:szCs w:val="22"/>
                <w:lang w:val="lt-LT"/>
              </w:rPr>
              <w:t>240</w:t>
            </w:r>
          </w:p>
        </w:tc>
        <w:tc>
          <w:tcPr>
            <w:tcW w:w="2852" w:type="dxa"/>
          </w:tcPr>
          <w:p>
            <w:pPr>
              <w:spacing w:line="240" w:lineRule="auto"/>
              <w:jc w:val="center"/>
              <w:rPr>
                <w:color w:val="000000"/>
                <w:szCs w:val="22"/>
                <w:lang w:val="lt-LT"/>
              </w:rPr>
            </w:pPr>
            <w:r>
              <w:rPr>
                <w:color w:val="000000"/>
                <w:szCs w:val="22"/>
                <w:lang w:val="lt-LT"/>
              </w:rPr>
              <w:t>1</w:t>
            </w:r>
          </w:p>
        </w:tc>
        <w:tc>
          <w:tcPr>
            <w:tcW w:w="3072" w:type="dxa"/>
          </w:tcPr>
          <w:p>
            <w:pPr>
              <w:spacing w:line="240" w:lineRule="auto"/>
              <w:jc w:val="center"/>
              <w:rPr>
                <w:color w:val="000000"/>
                <w:szCs w:val="22"/>
                <w:lang w:val="lt-LT"/>
              </w:rPr>
            </w:pPr>
            <w:r>
              <w:rPr>
                <w:color w:val="000000"/>
                <w:szCs w:val="22"/>
                <w:lang w:val="lt-LT"/>
              </w:rPr>
              <w:t>9,6</w:t>
            </w:r>
          </w:p>
        </w:tc>
      </w:tr>
      <w:tr>
        <w:trPr>
          <w:trHeight w:val="225"/>
        </w:trPr>
        <w:tc>
          <w:tcPr>
            <w:tcW w:w="1259" w:type="dxa"/>
          </w:tcPr>
          <w:p>
            <w:pPr>
              <w:spacing w:line="240" w:lineRule="auto"/>
              <w:rPr>
                <w:color w:val="000000"/>
                <w:szCs w:val="22"/>
                <w:lang w:val="lt-LT"/>
              </w:rPr>
            </w:pPr>
            <w:r>
              <w:rPr>
                <w:color w:val="000000"/>
                <w:szCs w:val="22"/>
                <w:lang w:val="lt-LT"/>
              </w:rPr>
              <w:t>9</w:t>
            </w:r>
          </w:p>
        </w:tc>
        <w:tc>
          <w:tcPr>
            <w:tcW w:w="1887" w:type="dxa"/>
          </w:tcPr>
          <w:p>
            <w:pPr>
              <w:spacing w:line="240" w:lineRule="auto"/>
              <w:jc w:val="center"/>
              <w:rPr>
                <w:color w:val="000000"/>
                <w:szCs w:val="22"/>
                <w:lang w:val="lt-LT"/>
              </w:rPr>
            </w:pPr>
            <w:r>
              <w:rPr>
                <w:color w:val="000000"/>
                <w:szCs w:val="22"/>
                <w:lang w:val="lt-LT"/>
              </w:rPr>
              <w:t>270</w:t>
            </w:r>
          </w:p>
        </w:tc>
        <w:tc>
          <w:tcPr>
            <w:tcW w:w="2852" w:type="dxa"/>
          </w:tcPr>
          <w:p>
            <w:pPr>
              <w:spacing w:line="240" w:lineRule="auto"/>
              <w:jc w:val="center"/>
              <w:rPr>
                <w:color w:val="000000"/>
                <w:szCs w:val="22"/>
                <w:lang w:val="lt-LT"/>
              </w:rPr>
            </w:pPr>
            <w:r>
              <w:rPr>
                <w:color w:val="000000"/>
                <w:szCs w:val="22"/>
                <w:lang w:val="lt-LT"/>
              </w:rPr>
              <w:t>2</w:t>
            </w:r>
          </w:p>
        </w:tc>
        <w:tc>
          <w:tcPr>
            <w:tcW w:w="3072" w:type="dxa"/>
          </w:tcPr>
          <w:p>
            <w:pPr>
              <w:spacing w:line="240" w:lineRule="auto"/>
              <w:jc w:val="center"/>
              <w:rPr>
                <w:color w:val="000000"/>
                <w:szCs w:val="22"/>
                <w:lang w:val="lt-LT"/>
              </w:rPr>
            </w:pPr>
            <w:r>
              <w:rPr>
                <w:color w:val="000000"/>
                <w:szCs w:val="22"/>
                <w:lang w:val="lt-LT"/>
              </w:rPr>
              <w:t>10,8</w:t>
            </w:r>
          </w:p>
        </w:tc>
      </w:tr>
      <w:tr>
        <w:trPr>
          <w:trHeight w:val="243"/>
        </w:trPr>
        <w:tc>
          <w:tcPr>
            <w:tcW w:w="1259" w:type="dxa"/>
          </w:tcPr>
          <w:p>
            <w:pPr>
              <w:spacing w:line="240" w:lineRule="auto"/>
              <w:rPr>
                <w:color w:val="000000"/>
                <w:szCs w:val="22"/>
                <w:lang w:val="lt-LT"/>
              </w:rPr>
            </w:pPr>
            <w:r>
              <w:rPr>
                <w:color w:val="000000"/>
                <w:szCs w:val="22"/>
                <w:lang w:val="lt-LT"/>
              </w:rPr>
              <w:t>10</w:t>
            </w:r>
          </w:p>
        </w:tc>
        <w:tc>
          <w:tcPr>
            <w:tcW w:w="1887" w:type="dxa"/>
          </w:tcPr>
          <w:p>
            <w:pPr>
              <w:spacing w:line="240" w:lineRule="auto"/>
              <w:jc w:val="center"/>
              <w:rPr>
                <w:color w:val="000000"/>
                <w:szCs w:val="22"/>
                <w:lang w:val="lt-LT"/>
              </w:rPr>
            </w:pPr>
            <w:r>
              <w:rPr>
                <w:color w:val="000000"/>
                <w:szCs w:val="22"/>
                <w:lang w:val="lt-LT"/>
              </w:rPr>
              <w:t>300</w:t>
            </w:r>
          </w:p>
        </w:tc>
        <w:tc>
          <w:tcPr>
            <w:tcW w:w="2852" w:type="dxa"/>
          </w:tcPr>
          <w:p>
            <w:pPr>
              <w:spacing w:line="240" w:lineRule="auto"/>
              <w:jc w:val="center"/>
              <w:rPr>
                <w:color w:val="000000"/>
                <w:szCs w:val="22"/>
                <w:lang w:val="lt-LT"/>
              </w:rPr>
            </w:pPr>
            <w:r>
              <w:rPr>
                <w:color w:val="000000"/>
                <w:szCs w:val="22"/>
                <w:lang w:val="lt-LT"/>
              </w:rPr>
              <w:t>2</w:t>
            </w:r>
          </w:p>
        </w:tc>
        <w:tc>
          <w:tcPr>
            <w:tcW w:w="3072" w:type="dxa"/>
          </w:tcPr>
          <w:p>
            <w:pPr>
              <w:spacing w:line="240" w:lineRule="auto"/>
              <w:jc w:val="center"/>
              <w:rPr>
                <w:color w:val="000000"/>
                <w:szCs w:val="22"/>
                <w:lang w:val="lt-LT"/>
              </w:rPr>
            </w:pPr>
            <w:r>
              <w:rPr>
                <w:color w:val="000000"/>
                <w:szCs w:val="22"/>
                <w:lang w:val="lt-LT"/>
              </w:rPr>
              <w:t>12</w:t>
            </w:r>
          </w:p>
        </w:tc>
      </w:tr>
      <w:tr>
        <w:trPr>
          <w:trHeight w:val="225"/>
        </w:trPr>
        <w:tc>
          <w:tcPr>
            <w:tcW w:w="1259" w:type="dxa"/>
          </w:tcPr>
          <w:p>
            <w:pPr>
              <w:spacing w:line="240" w:lineRule="auto"/>
              <w:rPr>
                <w:color w:val="000000"/>
                <w:szCs w:val="22"/>
                <w:lang w:val="lt-LT"/>
              </w:rPr>
            </w:pPr>
            <w:r>
              <w:rPr>
                <w:color w:val="000000"/>
                <w:szCs w:val="22"/>
                <w:lang w:val="lt-LT"/>
              </w:rPr>
              <w:t>11</w:t>
            </w:r>
          </w:p>
        </w:tc>
        <w:tc>
          <w:tcPr>
            <w:tcW w:w="1887" w:type="dxa"/>
          </w:tcPr>
          <w:p>
            <w:pPr>
              <w:spacing w:line="240" w:lineRule="auto"/>
              <w:jc w:val="center"/>
              <w:rPr>
                <w:color w:val="000000"/>
                <w:szCs w:val="22"/>
                <w:lang w:val="lt-LT"/>
              </w:rPr>
            </w:pPr>
            <w:r>
              <w:rPr>
                <w:color w:val="000000"/>
                <w:szCs w:val="22"/>
                <w:lang w:val="lt-LT"/>
              </w:rPr>
              <w:t>330</w:t>
            </w:r>
          </w:p>
        </w:tc>
        <w:tc>
          <w:tcPr>
            <w:tcW w:w="2852" w:type="dxa"/>
          </w:tcPr>
          <w:p>
            <w:pPr>
              <w:spacing w:line="240" w:lineRule="auto"/>
              <w:jc w:val="center"/>
              <w:rPr>
                <w:color w:val="000000"/>
                <w:szCs w:val="22"/>
                <w:lang w:val="lt-LT"/>
              </w:rPr>
            </w:pPr>
            <w:r>
              <w:rPr>
                <w:color w:val="000000"/>
                <w:szCs w:val="22"/>
                <w:lang w:val="lt-LT"/>
              </w:rPr>
              <w:t>2</w:t>
            </w:r>
          </w:p>
        </w:tc>
        <w:tc>
          <w:tcPr>
            <w:tcW w:w="3072" w:type="dxa"/>
          </w:tcPr>
          <w:p>
            <w:pPr>
              <w:spacing w:line="240" w:lineRule="auto"/>
              <w:jc w:val="center"/>
              <w:rPr>
                <w:color w:val="000000"/>
                <w:szCs w:val="22"/>
                <w:lang w:val="lt-LT"/>
              </w:rPr>
            </w:pPr>
            <w:r>
              <w:rPr>
                <w:color w:val="000000"/>
                <w:szCs w:val="22"/>
                <w:lang w:val="lt-LT"/>
              </w:rPr>
              <w:t>13,2</w:t>
            </w:r>
          </w:p>
        </w:tc>
      </w:tr>
      <w:tr>
        <w:trPr>
          <w:trHeight w:val="243"/>
        </w:trPr>
        <w:tc>
          <w:tcPr>
            <w:tcW w:w="1259" w:type="dxa"/>
          </w:tcPr>
          <w:p>
            <w:pPr>
              <w:spacing w:line="240" w:lineRule="auto"/>
              <w:rPr>
                <w:color w:val="000000"/>
                <w:szCs w:val="22"/>
                <w:lang w:val="lt-LT"/>
              </w:rPr>
            </w:pPr>
            <w:r>
              <w:rPr>
                <w:color w:val="000000"/>
                <w:szCs w:val="22"/>
                <w:lang w:val="lt-LT"/>
              </w:rPr>
              <w:t>12</w:t>
            </w:r>
          </w:p>
        </w:tc>
        <w:tc>
          <w:tcPr>
            <w:tcW w:w="1887" w:type="dxa"/>
          </w:tcPr>
          <w:p>
            <w:pPr>
              <w:spacing w:line="240" w:lineRule="auto"/>
              <w:jc w:val="center"/>
              <w:rPr>
                <w:color w:val="000000"/>
                <w:szCs w:val="22"/>
                <w:lang w:val="lt-LT"/>
              </w:rPr>
            </w:pPr>
            <w:r>
              <w:rPr>
                <w:color w:val="000000"/>
                <w:szCs w:val="22"/>
                <w:lang w:val="lt-LT"/>
              </w:rPr>
              <w:t>360</w:t>
            </w:r>
          </w:p>
        </w:tc>
        <w:tc>
          <w:tcPr>
            <w:tcW w:w="2852" w:type="dxa"/>
          </w:tcPr>
          <w:p>
            <w:pPr>
              <w:spacing w:line="240" w:lineRule="auto"/>
              <w:jc w:val="center"/>
              <w:rPr>
                <w:color w:val="000000"/>
                <w:szCs w:val="22"/>
                <w:lang w:val="lt-LT"/>
              </w:rPr>
            </w:pPr>
            <w:r>
              <w:rPr>
                <w:color w:val="000000"/>
                <w:szCs w:val="22"/>
                <w:lang w:val="lt-LT"/>
              </w:rPr>
              <w:t>2</w:t>
            </w:r>
          </w:p>
        </w:tc>
        <w:tc>
          <w:tcPr>
            <w:tcW w:w="3072" w:type="dxa"/>
          </w:tcPr>
          <w:p>
            <w:pPr>
              <w:spacing w:line="240" w:lineRule="auto"/>
              <w:jc w:val="center"/>
              <w:rPr>
                <w:color w:val="000000"/>
                <w:szCs w:val="22"/>
                <w:lang w:val="lt-LT"/>
              </w:rPr>
            </w:pPr>
            <w:r>
              <w:rPr>
                <w:color w:val="000000"/>
                <w:szCs w:val="22"/>
                <w:lang w:val="lt-LT"/>
              </w:rPr>
              <w:t>14,4</w:t>
            </w:r>
          </w:p>
        </w:tc>
      </w:tr>
      <w:tr>
        <w:trPr>
          <w:trHeight w:val="225"/>
        </w:trPr>
        <w:tc>
          <w:tcPr>
            <w:tcW w:w="1259" w:type="dxa"/>
          </w:tcPr>
          <w:p>
            <w:pPr>
              <w:spacing w:line="240" w:lineRule="auto"/>
              <w:rPr>
                <w:color w:val="000000"/>
                <w:szCs w:val="22"/>
                <w:lang w:val="lt-LT"/>
              </w:rPr>
            </w:pPr>
            <w:r>
              <w:rPr>
                <w:color w:val="000000"/>
                <w:szCs w:val="22"/>
                <w:lang w:val="lt-LT"/>
              </w:rPr>
              <w:t>13</w:t>
            </w:r>
          </w:p>
        </w:tc>
        <w:tc>
          <w:tcPr>
            <w:tcW w:w="1887" w:type="dxa"/>
          </w:tcPr>
          <w:p>
            <w:pPr>
              <w:spacing w:line="240" w:lineRule="auto"/>
              <w:jc w:val="center"/>
              <w:rPr>
                <w:color w:val="000000"/>
                <w:szCs w:val="22"/>
                <w:lang w:val="lt-LT"/>
              </w:rPr>
            </w:pPr>
            <w:r>
              <w:rPr>
                <w:color w:val="000000"/>
                <w:szCs w:val="22"/>
                <w:lang w:val="lt-LT"/>
              </w:rPr>
              <w:t>390</w:t>
            </w:r>
          </w:p>
        </w:tc>
        <w:tc>
          <w:tcPr>
            <w:tcW w:w="2852" w:type="dxa"/>
          </w:tcPr>
          <w:p>
            <w:pPr>
              <w:spacing w:line="240" w:lineRule="auto"/>
              <w:jc w:val="center"/>
              <w:rPr>
                <w:color w:val="000000"/>
                <w:szCs w:val="22"/>
                <w:lang w:val="lt-LT"/>
              </w:rPr>
            </w:pPr>
            <w:r>
              <w:rPr>
                <w:color w:val="000000"/>
                <w:szCs w:val="22"/>
                <w:lang w:val="lt-LT"/>
              </w:rPr>
              <w:t>2</w:t>
            </w:r>
          </w:p>
        </w:tc>
        <w:tc>
          <w:tcPr>
            <w:tcW w:w="3072" w:type="dxa"/>
          </w:tcPr>
          <w:p>
            <w:pPr>
              <w:spacing w:line="240" w:lineRule="auto"/>
              <w:jc w:val="center"/>
              <w:rPr>
                <w:color w:val="000000"/>
                <w:szCs w:val="22"/>
                <w:lang w:val="lt-LT"/>
              </w:rPr>
            </w:pPr>
            <w:r>
              <w:rPr>
                <w:color w:val="000000"/>
                <w:szCs w:val="22"/>
                <w:lang w:val="lt-LT"/>
              </w:rPr>
              <w:t>15,6</w:t>
            </w:r>
          </w:p>
        </w:tc>
      </w:tr>
      <w:tr>
        <w:trPr>
          <w:trHeight w:val="243"/>
        </w:trPr>
        <w:tc>
          <w:tcPr>
            <w:tcW w:w="1259" w:type="dxa"/>
          </w:tcPr>
          <w:p>
            <w:pPr>
              <w:spacing w:line="240" w:lineRule="auto"/>
              <w:rPr>
                <w:color w:val="000000"/>
                <w:szCs w:val="22"/>
                <w:lang w:val="lt-LT"/>
              </w:rPr>
            </w:pPr>
            <w:r>
              <w:rPr>
                <w:color w:val="000000"/>
                <w:szCs w:val="22"/>
                <w:lang w:val="lt-LT"/>
              </w:rPr>
              <w:t>14</w:t>
            </w:r>
          </w:p>
        </w:tc>
        <w:tc>
          <w:tcPr>
            <w:tcW w:w="1887" w:type="dxa"/>
          </w:tcPr>
          <w:p>
            <w:pPr>
              <w:spacing w:line="240" w:lineRule="auto"/>
              <w:jc w:val="center"/>
              <w:rPr>
                <w:color w:val="000000"/>
                <w:szCs w:val="22"/>
                <w:lang w:val="lt-LT"/>
              </w:rPr>
            </w:pPr>
            <w:r>
              <w:rPr>
                <w:color w:val="000000"/>
                <w:szCs w:val="22"/>
                <w:lang w:val="lt-LT"/>
              </w:rPr>
              <w:t>420</w:t>
            </w:r>
          </w:p>
        </w:tc>
        <w:tc>
          <w:tcPr>
            <w:tcW w:w="2852" w:type="dxa"/>
          </w:tcPr>
          <w:p>
            <w:pPr>
              <w:spacing w:line="240" w:lineRule="auto"/>
              <w:jc w:val="center"/>
              <w:rPr>
                <w:color w:val="000000"/>
                <w:szCs w:val="22"/>
                <w:lang w:val="lt-LT"/>
              </w:rPr>
            </w:pPr>
            <w:r>
              <w:rPr>
                <w:color w:val="000000"/>
                <w:szCs w:val="22"/>
                <w:lang w:val="lt-LT"/>
              </w:rPr>
              <w:t>2</w:t>
            </w:r>
          </w:p>
        </w:tc>
        <w:tc>
          <w:tcPr>
            <w:tcW w:w="3072" w:type="dxa"/>
          </w:tcPr>
          <w:p>
            <w:pPr>
              <w:spacing w:line="240" w:lineRule="auto"/>
              <w:jc w:val="center"/>
              <w:rPr>
                <w:color w:val="000000"/>
                <w:szCs w:val="22"/>
                <w:lang w:val="lt-LT"/>
              </w:rPr>
            </w:pPr>
            <w:r>
              <w:rPr>
                <w:color w:val="000000"/>
                <w:szCs w:val="22"/>
                <w:lang w:val="lt-LT"/>
              </w:rPr>
              <w:t>16,8</w:t>
            </w:r>
          </w:p>
        </w:tc>
      </w:tr>
      <w:tr>
        <w:trPr>
          <w:trHeight w:val="225"/>
        </w:trPr>
        <w:tc>
          <w:tcPr>
            <w:tcW w:w="1259" w:type="dxa"/>
          </w:tcPr>
          <w:p>
            <w:pPr>
              <w:spacing w:line="240" w:lineRule="auto"/>
              <w:rPr>
                <w:color w:val="000000"/>
                <w:szCs w:val="22"/>
                <w:lang w:val="lt-LT"/>
              </w:rPr>
            </w:pPr>
            <w:r>
              <w:rPr>
                <w:color w:val="000000"/>
                <w:szCs w:val="22"/>
                <w:lang w:val="lt-LT"/>
              </w:rPr>
              <w:t>15</w:t>
            </w:r>
          </w:p>
        </w:tc>
        <w:tc>
          <w:tcPr>
            <w:tcW w:w="1887" w:type="dxa"/>
          </w:tcPr>
          <w:p>
            <w:pPr>
              <w:spacing w:line="240" w:lineRule="auto"/>
              <w:jc w:val="center"/>
              <w:rPr>
                <w:color w:val="000000"/>
                <w:szCs w:val="22"/>
                <w:lang w:val="lt-LT"/>
              </w:rPr>
            </w:pPr>
            <w:r>
              <w:rPr>
                <w:color w:val="000000"/>
                <w:szCs w:val="22"/>
                <w:lang w:val="lt-LT"/>
              </w:rPr>
              <w:t>450</w:t>
            </w:r>
          </w:p>
        </w:tc>
        <w:tc>
          <w:tcPr>
            <w:tcW w:w="2852" w:type="dxa"/>
          </w:tcPr>
          <w:p>
            <w:pPr>
              <w:spacing w:line="240" w:lineRule="auto"/>
              <w:jc w:val="center"/>
              <w:rPr>
                <w:color w:val="000000"/>
                <w:szCs w:val="22"/>
                <w:lang w:val="lt-LT"/>
              </w:rPr>
            </w:pPr>
            <w:r>
              <w:rPr>
                <w:color w:val="000000"/>
                <w:szCs w:val="22"/>
                <w:lang w:val="lt-LT"/>
              </w:rPr>
              <w:t>2</w:t>
            </w:r>
          </w:p>
        </w:tc>
        <w:tc>
          <w:tcPr>
            <w:tcW w:w="3072" w:type="dxa"/>
          </w:tcPr>
          <w:p>
            <w:pPr>
              <w:spacing w:line="240" w:lineRule="auto"/>
              <w:jc w:val="center"/>
              <w:rPr>
                <w:color w:val="000000"/>
                <w:szCs w:val="22"/>
                <w:lang w:val="lt-LT"/>
              </w:rPr>
            </w:pPr>
            <w:r>
              <w:rPr>
                <w:color w:val="000000"/>
                <w:szCs w:val="22"/>
                <w:lang w:val="lt-LT"/>
              </w:rPr>
              <w:t>18</w:t>
            </w:r>
          </w:p>
        </w:tc>
      </w:tr>
      <w:tr>
        <w:trPr>
          <w:trHeight w:val="225"/>
        </w:trPr>
        <w:tc>
          <w:tcPr>
            <w:tcW w:w="1259" w:type="dxa"/>
          </w:tcPr>
          <w:p>
            <w:pPr>
              <w:spacing w:line="240" w:lineRule="auto"/>
              <w:rPr>
                <w:color w:val="000000"/>
                <w:szCs w:val="22"/>
                <w:lang w:val="lt-LT"/>
              </w:rPr>
            </w:pPr>
            <w:r>
              <w:rPr>
                <w:color w:val="000000"/>
                <w:szCs w:val="22"/>
                <w:lang w:val="lt-LT"/>
              </w:rPr>
              <w:t>16</w:t>
            </w:r>
          </w:p>
        </w:tc>
        <w:tc>
          <w:tcPr>
            <w:tcW w:w="1887" w:type="dxa"/>
          </w:tcPr>
          <w:p>
            <w:pPr>
              <w:spacing w:line="240" w:lineRule="auto"/>
              <w:jc w:val="center"/>
              <w:rPr>
                <w:color w:val="000000"/>
                <w:szCs w:val="22"/>
                <w:lang w:val="lt-LT"/>
              </w:rPr>
            </w:pPr>
            <w:r>
              <w:rPr>
                <w:color w:val="000000"/>
                <w:szCs w:val="22"/>
                <w:lang w:val="lt-LT"/>
              </w:rPr>
              <w:t>480</w:t>
            </w:r>
          </w:p>
        </w:tc>
        <w:tc>
          <w:tcPr>
            <w:tcW w:w="2852" w:type="dxa"/>
          </w:tcPr>
          <w:p>
            <w:pPr>
              <w:spacing w:line="240" w:lineRule="auto"/>
              <w:jc w:val="center"/>
              <w:rPr>
                <w:color w:val="000000"/>
                <w:szCs w:val="22"/>
                <w:lang w:val="lt-LT"/>
              </w:rPr>
            </w:pPr>
            <w:r>
              <w:rPr>
                <w:color w:val="000000"/>
                <w:szCs w:val="22"/>
                <w:lang w:val="lt-LT"/>
              </w:rPr>
              <w:t>2</w:t>
            </w:r>
          </w:p>
        </w:tc>
        <w:tc>
          <w:tcPr>
            <w:tcW w:w="3072" w:type="dxa"/>
          </w:tcPr>
          <w:p>
            <w:pPr>
              <w:spacing w:line="240" w:lineRule="auto"/>
              <w:jc w:val="center"/>
              <w:rPr>
                <w:color w:val="000000"/>
                <w:szCs w:val="22"/>
                <w:lang w:val="lt-LT"/>
              </w:rPr>
            </w:pPr>
            <w:r>
              <w:rPr>
                <w:color w:val="000000"/>
                <w:szCs w:val="22"/>
                <w:lang w:val="lt-LT"/>
              </w:rPr>
              <w:t>19,2</w:t>
            </w:r>
          </w:p>
        </w:tc>
      </w:tr>
    </w:tbl>
    <w:p>
      <w:pPr>
        <w:spacing w:line="240" w:lineRule="auto"/>
        <w:rPr>
          <w:lang w:val="lt-LT"/>
        </w:rPr>
      </w:pPr>
    </w:p>
    <w:p>
      <w:pPr>
        <w:keepNext/>
        <w:tabs>
          <w:tab w:val="clear" w:pos="567"/>
        </w:tabs>
        <w:spacing w:line="240" w:lineRule="auto"/>
        <w:ind w:right="716"/>
        <w:rPr>
          <w:b/>
          <w:bCs/>
          <w:szCs w:val="22"/>
          <w:lang w:val="lt-LT"/>
        </w:rPr>
      </w:pPr>
      <w:r>
        <w:rPr>
          <w:b/>
          <w:bCs/>
          <w:szCs w:val="22"/>
          <w:lang w:val="lt-LT"/>
        </w:rPr>
        <w:t>5 lentelė. Rekomenduojama Sephience geriamųjų miltelių paketėlyje dozė pagal kūno svorį 2 metų ir vyresniems vaikams</w:t>
      </w:r>
    </w:p>
    <w:p>
      <w:pPr>
        <w:keepNext/>
        <w:tabs>
          <w:tab w:val="clear" w:pos="567"/>
        </w:tabs>
        <w:spacing w:line="240" w:lineRule="auto"/>
        <w:ind w:right="716"/>
        <w:rPr>
          <w:b/>
          <w:bCs/>
          <w:szCs w:val="22"/>
          <w:lang w:val="lt-LT"/>
        </w:rPr>
      </w:pPr>
    </w:p>
    <w:tbl>
      <w:tblPr>
        <w:tblStyle w:val="TableGrid"/>
        <w:tblW w:w="5000" w:type="pct"/>
        <w:tblLayout w:type="fixed"/>
        <w:tblLook w:val="04A0" w:firstRow="1" w:lastRow="0" w:firstColumn="1" w:lastColumn="0" w:noHBand="0" w:noVBand="1"/>
      </w:tblPr>
      <w:tblGrid>
        <w:gridCol w:w="1147"/>
        <w:gridCol w:w="1876"/>
        <w:gridCol w:w="2807"/>
        <w:gridCol w:w="3456"/>
      </w:tblGrid>
      <w:tr>
        <w:trPr>
          <w:trHeight w:val="202"/>
          <w:tblHeader/>
        </w:trPr>
        <w:tc>
          <w:tcPr>
            <w:tcW w:w="1120" w:type="dxa"/>
          </w:tcPr>
          <w:p>
            <w:pPr>
              <w:keepNext/>
              <w:spacing w:line="240" w:lineRule="auto"/>
              <w:rPr>
                <w:b/>
                <w:bCs/>
                <w:szCs w:val="22"/>
                <w:lang w:val="lt-LT"/>
              </w:rPr>
            </w:pPr>
            <w:r>
              <w:rPr>
                <w:b/>
                <w:bCs/>
                <w:szCs w:val="22"/>
                <w:lang w:val="lt-LT"/>
              </w:rPr>
              <w:t>Dozė</w:t>
            </w:r>
          </w:p>
        </w:tc>
        <w:tc>
          <w:tcPr>
            <w:tcW w:w="7950" w:type="dxa"/>
            <w:gridSpan w:val="3"/>
          </w:tcPr>
          <w:p>
            <w:pPr>
              <w:keepNext/>
              <w:spacing w:line="240" w:lineRule="auto"/>
              <w:jc w:val="center"/>
              <w:rPr>
                <w:b/>
                <w:bCs/>
                <w:szCs w:val="22"/>
                <w:lang w:val="lt-LT"/>
              </w:rPr>
            </w:pPr>
            <w:r>
              <w:rPr>
                <w:b/>
                <w:bCs/>
                <w:color w:val="000000"/>
                <w:szCs w:val="22"/>
                <w:lang w:val="lt-LT"/>
              </w:rPr>
              <w:t>60 mg/kg per parą</w:t>
            </w:r>
          </w:p>
        </w:tc>
      </w:tr>
      <w:tr>
        <w:trPr>
          <w:trHeight w:val="145"/>
          <w:tblHeader/>
        </w:trPr>
        <w:tc>
          <w:tcPr>
            <w:tcW w:w="1120" w:type="dxa"/>
          </w:tcPr>
          <w:p>
            <w:pPr>
              <w:keepNext/>
              <w:spacing w:line="240" w:lineRule="auto"/>
              <w:rPr>
                <w:rFonts w:eastAsia="Arial"/>
                <w:b/>
                <w:bCs/>
                <w:color w:val="000000"/>
                <w:szCs w:val="22"/>
                <w:lang w:val="lt-LT"/>
              </w:rPr>
            </w:pPr>
            <w:r>
              <w:rPr>
                <w:rFonts w:eastAsia="Arial"/>
                <w:b/>
                <w:bCs/>
                <w:color w:val="000000"/>
                <w:szCs w:val="22"/>
                <w:lang w:val="lt-LT"/>
              </w:rPr>
              <w:t>Am</w:t>
            </w:r>
            <w:r>
              <w:rPr>
                <w:b/>
                <w:bCs/>
                <w:szCs w:val="22"/>
                <w:lang w:val="lt-LT"/>
              </w:rPr>
              <w:t>ž</w:t>
            </w:r>
            <w:r>
              <w:rPr>
                <w:rFonts w:eastAsia="Arial"/>
                <w:b/>
                <w:bCs/>
                <w:color w:val="000000"/>
                <w:szCs w:val="22"/>
                <w:lang w:val="lt-LT"/>
              </w:rPr>
              <w:t>ius</w:t>
            </w:r>
          </w:p>
        </w:tc>
        <w:tc>
          <w:tcPr>
            <w:tcW w:w="7950" w:type="dxa"/>
            <w:gridSpan w:val="3"/>
          </w:tcPr>
          <w:p>
            <w:pPr>
              <w:keepNext/>
              <w:spacing w:line="240" w:lineRule="auto"/>
              <w:jc w:val="center"/>
              <w:rPr>
                <w:rFonts w:eastAsia="Arial"/>
                <w:b/>
                <w:bCs/>
                <w:color w:val="000000"/>
                <w:szCs w:val="22"/>
                <w:lang w:val="lt-LT"/>
              </w:rPr>
            </w:pPr>
            <w:r>
              <w:rPr>
                <w:b/>
                <w:bCs/>
                <w:color w:val="000000"/>
                <w:szCs w:val="22"/>
                <w:lang w:val="lt-LT"/>
              </w:rPr>
              <w:t>≥2 metai</w:t>
            </w:r>
          </w:p>
        </w:tc>
      </w:tr>
      <w:tr>
        <w:trPr>
          <w:trHeight w:val="837"/>
          <w:tblHeader/>
        </w:trPr>
        <w:tc>
          <w:tcPr>
            <w:tcW w:w="1120" w:type="dxa"/>
          </w:tcPr>
          <w:p>
            <w:pPr>
              <w:keepNext/>
              <w:spacing w:line="240" w:lineRule="auto"/>
              <w:rPr>
                <w:szCs w:val="22"/>
                <w:lang w:val="lt-LT"/>
              </w:rPr>
            </w:pPr>
            <w:r>
              <w:rPr>
                <w:b/>
                <w:bCs/>
                <w:color w:val="000000"/>
                <w:szCs w:val="22"/>
                <w:lang w:val="lt-LT"/>
              </w:rPr>
              <w:t>Svoris (kg)</w:t>
            </w:r>
          </w:p>
        </w:tc>
        <w:tc>
          <w:tcPr>
            <w:tcW w:w="1832" w:type="dxa"/>
          </w:tcPr>
          <w:p>
            <w:pPr>
              <w:keepNext/>
              <w:spacing w:line="240" w:lineRule="auto"/>
              <w:jc w:val="center"/>
              <w:rPr>
                <w:szCs w:val="22"/>
                <w:lang w:val="lt-LT"/>
              </w:rPr>
            </w:pPr>
            <w:r>
              <w:rPr>
                <w:b/>
                <w:bCs/>
                <w:color w:val="000000"/>
                <w:szCs w:val="22"/>
                <w:lang w:val="lt-LT"/>
              </w:rPr>
              <w:t>Bendra dozė (mg)</w:t>
            </w:r>
          </w:p>
        </w:tc>
        <w:tc>
          <w:tcPr>
            <w:tcW w:w="2742" w:type="dxa"/>
          </w:tcPr>
          <w:p>
            <w:pPr>
              <w:keepNext/>
              <w:spacing w:line="240" w:lineRule="auto"/>
              <w:jc w:val="center"/>
              <w:rPr>
                <w:szCs w:val="22"/>
                <w:lang w:val="lt-LT"/>
              </w:rPr>
            </w:pPr>
            <w:r>
              <w:rPr>
                <w:b/>
                <w:bCs/>
                <w:color w:val="000000"/>
                <w:szCs w:val="22"/>
                <w:lang w:val="lt-LT"/>
              </w:rPr>
              <w:t>Ištirpintų paketėlių (250 mg) skaičius</w:t>
            </w:r>
          </w:p>
        </w:tc>
        <w:tc>
          <w:tcPr>
            <w:tcW w:w="3376" w:type="dxa"/>
          </w:tcPr>
          <w:p>
            <w:pPr>
              <w:keepNext/>
              <w:spacing w:line="240" w:lineRule="auto"/>
              <w:jc w:val="center"/>
              <w:rPr>
                <w:szCs w:val="22"/>
                <w:lang w:val="lt-LT"/>
              </w:rPr>
            </w:pPr>
            <w:r>
              <w:rPr>
                <w:b/>
                <w:bCs/>
                <w:color w:val="000000"/>
                <w:szCs w:val="22"/>
                <w:lang w:val="lt-LT"/>
              </w:rPr>
              <w:t>Vartotinas tūris (ml) (25 mg/ml)</w:t>
            </w:r>
          </w:p>
        </w:tc>
      </w:tr>
      <w:tr>
        <w:trPr>
          <w:trHeight w:val="202"/>
        </w:trPr>
        <w:tc>
          <w:tcPr>
            <w:tcW w:w="1120" w:type="dxa"/>
          </w:tcPr>
          <w:p>
            <w:pPr>
              <w:spacing w:line="240" w:lineRule="auto"/>
              <w:rPr>
                <w:szCs w:val="22"/>
                <w:lang w:val="lt-LT"/>
              </w:rPr>
            </w:pPr>
            <w:r>
              <w:rPr>
                <w:color w:val="000000"/>
                <w:szCs w:val="22"/>
                <w:lang w:val="lt-LT"/>
              </w:rPr>
              <w:t>5</w:t>
            </w:r>
          </w:p>
        </w:tc>
        <w:tc>
          <w:tcPr>
            <w:tcW w:w="1832" w:type="dxa"/>
          </w:tcPr>
          <w:p>
            <w:pPr>
              <w:spacing w:line="240" w:lineRule="auto"/>
              <w:jc w:val="center"/>
              <w:rPr>
                <w:szCs w:val="22"/>
                <w:lang w:val="lt-LT"/>
              </w:rPr>
            </w:pPr>
            <w:r>
              <w:rPr>
                <w:color w:val="000000"/>
                <w:szCs w:val="22"/>
                <w:lang w:val="lt-LT"/>
              </w:rPr>
              <w:t>300</w:t>
            </w:r>
          </w:p>
        </w:tc>
        <w:tc>
          <w:tcPr>
            <w:tcW w:w="2742" w:type="dxa"/>
          </w:tcPr>
          <w:p>
            <w:pPr>
              <w:spacing w:line="240" w:lineRule="auto"/>
              <w:jc w:val="center"/>
              <w:rPr>
                <w:szCs w:val="22"/>
                <w:lang w:val="lt-LT"/>
              </w:rPr>
            </w:pPr>
            <w:r>
              <w:rPr>
                <w:color w:val="000000"/>
                <w:szCs w:val="22"/>
                <w:lang w:val="lt-LT"/>
              </w:rPr>
              <w:t>2</w:t>
            </w:r>
          </w:p>
        </w:tc>
        <w:tc>
          <w:tcPr>
            <w:tcW w:w="3376" w:type="dxa"/>
          </w:tcPr>
          <w:p>
            <w:pPr>
              <w:spacing w:line="240" w:lineRule="auto"/>
              <w:jc w:val="center"/>
              <w:rPr>
                <w:szCs w:val="22"/>
                <w:lang w:val="lt-LT"/>
              </w:rPr>
            </w:pPr>
            <w:r>
              <w:rPr>
                <w:color w:val="000000"/>
                <w:szCs w:val="22"/>
                <w:lang w:val="lt-LT"/>
              </w:rPr>
              <w:t>12</w:t>
            </w:r>
          </w:p>
        </w:tc>
      </w:tr>
      <w:tr>
        <w:trPr>
          <w:trHeight w:val="215"/>
        </w:trPr>
        <w:tc>
          <w:tcPr>
            <w:tcW w:w="1120" w:type="dxa"/>
          </w:tcPr>
          <w:p>
            <w:pPr>
              <w:spacing w:line="240" w:lineRule="auto"/>
              <w:rPr>
                <w:szCs w:val="22"/>
                <w:lang w:val="lt-LT"/>
              </w:rPr>
            </w:pPr>
            <w:r>
              <w:rPr>
                <w:color w:val="000000"/>
                <w:szCs w:val="22"/>
                <w:lang w:val="lt-LT"/>
              </w:rPr>
              <w:t>6</w:t>
            </w:r>
          </w:p>
        </w:tc>
        <w:tc>
          <w:tcPr>
            <w:tcW w:w="1832" w:type="dxa"/>
          </w:tcPr>
          <w:p>
            <w:pPr>
              <w:spacing w:line="240" w:lineRule="auto"/>
              <w:jc w:val="center"/>
              <w:rPr>
                <w:szCs w:val="22"/>
                <w:lang w:val="lt-LT"/>
              </w:rPr>
            </w:pPr>
            <w:r>
              <w:rPr>
                <w:color w:val="000000"/>
                <w:szCs w:val="22"/>
                <w:lang w:val="lt-LT"/>
              </w:rPr>
              <w:t>360</w:t>
            </w:r>
          </w:p>
        </w:tc>
        <w:tc>
          <w:tcPr>
            <w:tcW w:w="2742" w:type="dxa"/>
          </w:tcPr>
          <w:p>
            <w:pPr>
              <w:spacing w:line="240" w:lineRule="auto"/>
              <w:jc w:val="center"/>
              <w:rPr>
                <w:szCs w:val="22"/>
                <w:lang w:val="lt-LT"/>
              </w:rPr>
            </w:pPr>
            <w:r>
              <w:rPr>
                <w:color w:val="000000"/>
                <w:szCs w:val="22"/>
                <w:lang w:val="lt-LT"/>
              </w:rPr>
              <w:t>2</w:t>
            </w:r>
          </w:p>
        </w:tc>
        <w:tc>
          <w:tcPr>
            <w:tcW w:w="3376" w:type="dxa"/>
          </w:tcPr>
          <w:p>
            <w:pPr>
              <w:spacing w:line="240" w:lineRule="auto"/>
              <w:jc w:val="center"/>
              <w:rPr>
                <w:szCs w:val="22"/>
                <w:lang w:val="lt-LT"/>
              </w:rPr>
            </w:pPr>
            <w:r>
              <w:rPr>
                <w:color w:val="000000"/>
                <w:szCs w:val="22"/>
                <w:lang w:val="lt-LT"/>
              </w:rPr>
              <w:t>14,4</w:t>
            </w:r>
          </w:p>
        </w:tc>
      </w:tr>
      <w:tr>
        <w:trPr>
          <w:trHeight w:val="202"/>
        </w:trPr>
        <w:tc>
          <w:tcPr>
            <w:tcW w:w="1120" w:type="dxa"/>
          </w:tcPr>
          <w:p>
            <w:pPr>
              <w:spacing w:line="240" w:lineRule="auto"/>
              <w:rPr>
                <w:color w:val="000000"/>
                <w:szCs w:val="22"/>
                <w:lang w:val="lt-LT"/>
              </w:rPr>
            </w:pPr>
            <w:r>
              <w:rPr>
                <w:color w:val="000000"/>
                <w:szCs w:val="22"/>
                <w:lang w:val="lt-LT"/>
              </w:rPr>
              <w:t>7</w:t>
            </w:r>
          </w:p>
        </w:tc>
        <w:tc>
          <w:tcPr>
            <w:tcW w:w="1832" w:type="dxa"/>
          </w:tcPr>
          <w:p>
            <w:pPr>
              <w:spacing w:line="240" w:lineRule="auto"/>
              <w:jc w:val="center"/>
              <w:rPr>
                <w:color w:val="000000"/>
                <w:szCs w:val="22"/>
                <w:lang w:val="lt-LT"/>
              </w:rPr>
            </w:pPr>
            <w:r>
              <w:rPr>
                <w:color w:val="000000"/>
                <w:szCs w:val="22"/>
                <w:lang w:val="lt-LT"/>
              </w:rPr>
              <w:t>420</w:t>
            </w:r>
          </w:p>
        </w:tc>
        <w:tc>
          <w:tcPr>
            <w:tcW w:w="2742" w:type="dxa"/>
          </w:tcPr>
          <w:p>
            <w:pPr>
              <w:spacing w:line="240" w:lineRule="auto"/>
              <w:jc w:val="center"/>
              <w:rPr>
                <w:color w:val="000000"/>
                <w:szCs w:val="22"/>
                <w:lang w:val="lt-LT"/>
              </w:rPr>
            </w:pPr>
            <w:r>
              <w:rPr>
                <w:color w:val="000000"/>
                <w:szCs w:val="22"/>
                <w:lang w:val="lt-LT"/>
              </w:rPr>
              <w:t>2</w:t>
            </w:r>
          </w:p>
        </w:tc>
        <w:tc>
          <w:tcPr>
            <w:tcW w:w="3376" w:type="dxa"/>
          </w:tcPr>
          <w:p>
            <w:pPr>
              <w:spacing w:line="240" w:lineRule="auto"/>
              <w:jc w:val="center"/>
              <w:rPr>
                <w:color w:val="000000"/>
                <w:szCs w:val="22"/>
                <w:lang w:val="lt-LT"/>
              </w:rPr>
            </w:pPr>
            <w:r>
              <w:rPr>
                <w:color w:val="000000"/>
                <w:szCs w:val="22"/>
                <w:lang w:val="lt-LT"/>
              </w:rPr>
              <w:t>16,8</w:t>
            </w:r>
          </w:p>
        </w:tc>
      </w:tr>
      <w:tr>
        <w:trPr>
          <w:trHeight w:val="202"/>
        </w:trPr>
        <w:tc>
          <w:tcPr>
            <w:tcW w:w="1120" w:type="dxa"/>
          </w:tcPr>
          <w:p>
            <w:pPr>
              <w:spacing w:line="240" w:lineRule="auto"/>
              <w:rPr>
                <w:color w:val="000000"/>
                <w:szCs w:val="22"/>
                <w:lang w:val="lt-LT"/>
              </w:rPr>
            </w:pPr>
            <w:r>
              <w:rPr>
                <w:color w:val="000000"/>
                <w:szCs w:val="22"/>
                <w:lang w:val="lt-LT"/>
              </w:rPr>
              <w:t>8</w:t>
            </w:r>
          </w:p>
        </w:tc>
        <w:tc>
          <w:tcPr>
            <w:tcW w:w="1832" w:type="dxa"/>
          </w:tcPr>
          <w:p>
            <w:pPr>
              <w:spacing w:line="240" w:lineRule="auto"/>
              <w:jc w:val="center"/>
              <w:rPr>
                <w:color w:val="000000"/>
                <w:szCs w:val="22"/>
                <w:lang w:val="lt-LT"/>
              </w:rPr>
            </w:pPr>
            <w:r>
              <w:rPr>
                <w:color w:val="000000"/>
                <w:szCs w:val="22"/>
                <w:lang w:val="lt-LT"/>
              </w:rPr>
              <w:t>480</w:t>
            </w:r>
          </w:p>
        </w:tc>
        <w:tc>
          <w:tcPr>
            <w:tcW w:w="2742" w:type="dxa"/>
          </w:tcPr>
          <w:p>
            <w:pPr>
              <w:spacing w:line="240" w:lineRule="auto"/>
              <w:jc w:val="center"/>
              <w:rPr>
                <w:color w:val="000000"/>
                <w:szCs w:val="22"/>
                <w:lang w:val="lt-LT"/>
              </w:rPr>
            </w:pPr>
            <w:r>
              <w:rPr>
                <w:color w:val="000000"/>
                <w:szCs w:val="22"/>
                <w:lang w:val="lt-LT"/>
              </w:rPr>
              <w:t>2</w:t>
            </w:r>
          </w:p>
        </w:tc>
        <w:tc>
          <w:tcPr>
            <w:tcW w:w="3376" w:type="dxa"/>
          </w:tcPr>
          <w:p>
            <w:pPr>
              <w:spacing w:line="240" w:lineRule="auto"/>
              <w:jc w:val="center"/>
              <w:rPr>
                <w:color w:val="000000"/>
                <w:szCs w:val="22"/>
                <w:lang w:val="lt-LT"/>
              </w:rPr>
            </w:pPr>
            <w:r>
              <w:rPr>
                <w:color w:val="000000"/>
                <w:szCs w:val="22"/>
                <w:lang w:val="lt-LT"/>
              </w:rPr>
              <w:t>19,2</w:t>
            </w:r>
          </w:p>
        </w:tc>
      </w:tr>
      <w:tr>
        <w:trPr>
          <w:trHeight w:val="215"/>
        </w:trPr>
        <w:tc>
          <w:tcPr>
            <w:tcW w:w="1120" w:type="dxa"/>
          </w:tcPr>
          <w:p>
            <w:pPr>
              <w:spacing w:line="240" w:lineRule="auto"/>
              <w:rPr>
                <w:color w:val="000000"/>
                <w:szCs w:val="22"/>
                <w:lang w:val="lt-LT"/>
              </w:rPr>
            </w:pPr>
            <w:r>
              <w:rPr>
                <w:color w:val="000000"/>
                <w:szCs w:val="22"/>
                <w:lang w:val="lt-LT"/>
              </w:rPr>
              <w:t>9</w:t>
            </w:r>
          </w:p>
        </w:tc>
        <w:tc>
          <w:tcPr>
            <w:tcW w:w="1832" w:type="dxa"/>
          </w:tcPr>
          <w:p>
            <w:pPr>
              <w:spacing w:line="240" w:lineRule="auto"/>
              <w:jc w:val="center"/>
              <w:rPr>
                <w:color w:val="000000"/>
                <w:szCs w:val="22"/>
                <w:lang w:val="lt-LT"/>
              </w:rPr>
            </w:pPr>
            <w:r>
              <w:rPr>
                <w:color w:val="000000"/>
                <w:szCs w:val="22"/>
                <w:lang w:val="lt-LT"/>
              </w:rPr>
              <w:t>540</w:t>
            </w:r>
          </w:p>
        </w:tc>
        <w:tc>
          <w:tcPr>
            <w:tcW w:w="2742" w:type="dxa"/>
          </w:tcPr>
          <w:p>
            <w:pPr>
              <w:spacing w:line="240" w:lineRule="auto"/>
              <w:jc w:val="center"/>
              <w:rPr>
                <w:color w:val="000000"/>
                <w:szCs w:val="22"/>
                <w:lang w:val="lt-LT"/>
              </w:rPr>
            </w:pPr>
            <w:r>
              <w:rPr>
                <w:color w:val="000000"/>
                <w:szCs w:val="22"/>
                <w:lang w:val="lt-LT"/>
              </w:rPr>
              <w:t>3</w:t>
            </w:r>
          </w:p>
        </w:tc>
        <w:tc>
          <w:tcPr>
            <w:tcW w:w="3376" w:type="dxa"/>
          </w:tcPr>
          <w:p>
            <w:pPr>
              <w:spacing w:line="240" w:lineRule="auto"/>
              <w:jc w:val="center"/>
              <w:rPr>
                <w:color w:val="000000"/>
                <w:szCs w:val="22"/>
                <w:lang w:val="lt-LT"/>
              </w:rPr>
            </w:pPr>
            <w:r>
              <w:rPr>
                <w:color w:val="000000"/>
                <w:szCs w:val="22"/>
                <w:lang w:val="lt-LT"/>
              </w:rPr>
              <w:t>21,6</w:t>
            </w:r>
          </w:p>
        </w:tc>
      </w:tr>
      <w:tr>
        <w:trPr>
          <w:trHeight w:val="202"/>
        </w:trPr>
        <w:tc>
          <w:tcPr>
            <w:tcW w:w="1120" w:type="dxa"/>
          </w:tcPr>
          <w:p>
            <w:pPr>
              <w:spacing w:line="240" w:lineRule="auto"/>
              <w:rPr>
                <w:color w:val="000000"/>
                <w:szCs w:val="22"/>
                <w:lang w:val="lt-LT"/>
              </w:rPr>
            </w:pPr>
            <w:r>
              <w:rPr>
                <w:color w:val="000000"/>
                <w:szCs w:val="22"/>
                <w:lang w:val="lt-LT"/>
              </w:rPr>
              <w:t>10</w:t>
            </w:r>
          </w:p>
        </w:tc>
        <w:tc>
          <w:tcPr>
            <w:tcW w:w="1832" w:type="dxa"/>
          </w:tcPr>
          <w:p>
            <w:pPr>
              <w:spacing w:line="240" w:lineRule="auto"/>
              <w:jc w:val="center"/>
              <w:rPr>
                <w:color w:val="000000"/>
                <w:szCs w:val="22"/>
                <w:lang w:val="lt-LT"/>
              </w:rPr>
            </w:pPr>
            <w:r>
              <w:rPr>
                <w:color w:val="000000"/>
                <w:szCs w:val="22"/>
                <w:lang w:val="lt-LT"/>
              </w:rPr>
              <w:t>600</w:t>
            </w:r>
          </w:p>
        </w:tc>
        <w:tc>
          <w:tcPr>
            <w:tcW w:w="2742" w:type="dxa"/>
          </w:tcPr>
          <w:p>
            <w:pPr>
              <w:spacing w:line="240" w:lineRule="auto"/>
              <w:jc w:val="center"/>
              <w:rPr>
                <w:color w:val="000000"/>
                <w:szCs w:val="22"/>
                <w:lang w:val="lt-LT"/>
              </w:rPr>
            </w:pPr>
            <w:r>
              <w:rPr>
                <w:color w:val="000000"/>
                <w:szCs w:val="22"/>
                <w:lang w:val="lt-LT"/>
              </w:rPr>
              <w:t>3</w:t>
            </w:r>
          </w:p>
        </w:tc>
        <w:tc>
          <w:tcPr>
            <w:tcW w:w="3376" w:type="dxa"/>
          </w:tcPr>
          <w:p>
            <w:pPr>
              <w:spacing w:line="240" w:lineRule="auto"/>
              <w:jc w:val="center"/>
              <w:rPr>
                <w:color w:val="000000"/>
                <w:szCs w:val="22"/>
                <w:lang w:val="lt-LT"/>
              </w:rPr>
            </w:pPr>
            <w:r>
              <w:rPr>
                <w:color w:val="000000"/>
                <w:szCs w:val="22"/>
                <w:lang w:val="lt-LT"/>
              </w:rPr>
              <w:t>24</w:t>
            </w:r>
          </w:p>
        </w:tc>
      </w:tr>
      <w:tr>
        <w:trPr>
          <w:trHeight w:val="202"/>
        </w:trPr>
        <w:tc>
          <w:tcPr>
            <w:tcW w:w="1120" w:type="dxa"/>
          </w:tcPr>
          <w:p>
            <w:pPr>
              <w:spacing w:line="240" w:lineRule="auto"/>
              <w:rPr>
                <w:color w:val="000000"/>
                <w:szCs w:val="22"/>
                <w:lang w:val="lt-LT"/>
              </w:rPr>
            </w:pPr>
            <w:r>
              <w:rPr>
                <w:color w:val="000000"/>
                <w:szCs w:val="22"/>
                <w:lang w:val="lt-LT"/>
              </w:rPr>
              <w:t>11</w:t>
            </w:r>
          </w:p>
        </w:tc>
        <w:tc>
          <w:tcPr>
            <w:tcW w:w="1832" w:type="dxa"/>
          </w:tcPr>
          <w:p>
            <w:pPr>
              <w:spacing w:line="240" w:lineRule="auto"/>
              <w:jc w:val="center"/>
              <w:rPr>
                <w:color w:val="000000"/>
                <w:szCs w:val="22"/>
                <w:lang w:val="lt-LT"/>
              </w:rPr>
            </w:pPr>
            <w:r>
              <w:rPr>
                <w:color w:val="000000"/>
                <w:szCs w:val="22"/>
                <w:lang w:val="lt-LT"/>
              </w:rPr>
              <w:t>660</w:t>
            </w:r>
          </w:p>
        </w:tc>
        <w:tc>
          <w:tcPr>
            <w:tcW w:w="2742" w:type="dxa"/>
          </w:tcPr>
          <w:p>
            <w:pPr>
              <w:spacing w:line="240" w:lineRule="auto"/>
              <w:jc w:val="center"/>
              <w:rPr>
                <w:color w:val="000000"/>
                <w:szCs w:val="22"/>
                <w:lang w:val="lt-LT"/>
              </w:rPr>
            </w:pPr>
            <w:r>
              <w:rPr>
                <w:color w:val="000000"/>
                <w:szCs w:val="22"/>
                <w:lang w:val="lt-LT"/>
              </w:rPr>
              <w:t>3</w:t>
            </w:r>
          </w:p>
        </w:tc>
        <w:tc>
          <w:tcPr>
            <w:tcW w:w="3376" w:type="dxa"/>
          </w:tcPr>
          <w:p>
            <w:pPr>
              <w:spacing w:line="240" w:lineRule="auto"/>
              <w:jc w:val="center"/>
              <w:rPr>
                <w:color w:val="000000"/>
                <w:szCs w:val="22"/>
                <w:lang w:val="lt-LT"/>
              </w:rPr>
            </w:pPr>
            <w:r>
              <w:rPr>
                <w:color w:val="000000"/>
                <w:szCs w:val="22"/>
                <w:lang w:val="lt-LT"/>
              </w:rPr>
              <w:t>26,4</w:t>
            </w:r>
          </w:p>
        </w:tc>
      </w:tr>
      <w:tr>
        <w:trPr>
          <w:trHeight w:val="215"/>
        </w:trPr>
        <w:tc>
          <w:tcPr>
            <w:tcW w:w="1120" w:type="dxa"/>
          </w:tcPr>
          <w:p>
            <w:pPr>
              <w:spacing w:line="240" w:lineRule="auto"/>
              <w:rPr>
                <w:color w:val="000000"/>
                <w:szCs w:val="22"/>
                <w:lang w:val="lt-LT"/>
              </w:rPr>
            </w:pPr>
            <w:r>
              <w:rPr>
                <w:color w:val="000000"/>
                <w:szCs w:val="22"/>
                <w:lang w:val="lt-LT"/>
              </w:rPr>
              <w:t>12</w:t>
            </w:r>
          </w:p>
        </w:tc>
        <w:tc>
          <w:tcPr>
            <w:tcW w:w="1832" w:type="dxa"/>
          </w:tcPr>
          <w:p>
            <w:pPr>
              <w:spacing w:line="240" w:lineRule="auto"/>
              <w:jc w:val="center"/>
              <w:rPr>
                <w:color w:val="000000"/>
                <w:szCs w:val="22"/>
                <w:lang w:val="lt-LT"/>
              </w:rPr>
            </w:pPr>
            <w:r>
              <w:rPr>
                <w:color w:val="000000"/>
                <w:szCs w:val="22"/>
                <w:lang w:val="lt-LT"/>
              </w:rPr>
              <w:t>720</w:t>
            </w:r>
          </w:p>
        </w:tc>
        <w:tc>
          <w:tcPr>
            <w:tcW w:w="2742" w:type="dxa"/>
          </w:tcPr>
          <w:p>
            <w:pPr>
              <w:spacing w:line="240" w:lineRule="auto"/>
              <w:jc w:val="center"/>
              <w:rPr>
                <w:color w:val="000000"/>
                <w:szCs w:val="22"/>
                <w:lang w:val="lt-LT"/>
              </w:rPr>
            </w:pPr>
            <w:r>
              <w:rPr>
                <w:color w:val="000000"/>
                <w:szCs w:val="22"/>
                <w:lang w:val="lt-LT"/>
              </w:rPr>
              <w:t>3</w:t>
            </w:r>
          </w:p>
        </w:tc>
        <w:tc>
          <w:tcPr>
            <w:tcW w:w="3376" w:type="dxa"/>
          </w:tcPr>
          <w:p>
            <w:pPr>
              <w:spacing w:line="240" w:lineRule="auto"/>
              <w:jc w:val="center"/>
              <w:rPr>
                <w:color w:val="000000"/>
                <w:szCs w:val="22"/>
                <w:lang w:val="lt-LT"/>
              </w:rPr>
            </w:pPr>
            <w:r>
              <w:rPr>
                <w:color w:val="000000"/>
                <w:szCs w:val="22"/>
                <w:lang w:val="lt-LT"/>
              </w:rPr>
              <w:t>28,8</w:t>
            </w:r>
          </w:p>
        </w:tc>
      </w:tr>
      <w:tr>
        <w:trPr>
          <w:trHeight w:val="202"/>
        </w:trPr>
        <w:tc>
          <w:tcPr>
            <w:tcW w:w="1120" w:type="dxa"/>
          </w:tcPr>
          <w:p>
            <w:pPr>
              <w:spacing w:line="240" w:lineRule="auto"/>
              <w:rPr>
                <w:color w:val="000000"/>
                <w:szCs w:val="22"/>
                <w:lang w:val="lt-LT"/>
              </w:rPr>
            </w:pPr>
            <w:r>
              <w:rPr>
                <w:color w:val="000000"/>
                <w:szCs w:val="22"/>
                <w:lang w:val="lt-LT"/>
              </w:rPr>
              <w:t>13</w:t>
            </w:r>
          </w:p>
        </w:tc>
        <w:tc>
          <w:tcPr>
            <w:tcW w:w="1832" w:type="dxa"/>
          </w:tcPr>
          <w:p>
            <w:pPr>
              <w:spacing w:line="240" w:lineRule="auto"/>
              <w:jc w:val="center"/>
              <w:rPr>
                <w:color w:val="000000"/>
                <w:szCs w:val="22"/>
                <w:lang w:val="lt-LT"/>
              </w:rPr>
            </w:pPr>
            <w:r>
              <w:rPr>
                <w:color w:val="000000"/>
                <w:szCs w:val="22"/>
                <w:lang w:val="lt-LT"/>
              </w:rPr>
              <w:t>780</w:t>
            </w:r>
          </w:p>
        </w:tc>
        <w:tc>
          <w:tcPr>
            <w:tcW w:w="2742" w:type="dxa"/>
          </w:tcPr>
          <w:p>
            <w:pPr>
              <w:spacing w:line="240" w:lineRule="auto"/>
              <w:jc w:val="center"/>
              <w:rPr>
                <w:color w:val="000000"/>
                <w:szCs w:val="22"/>
                <w:lang w:val="lt-LT"/>
              </w:rPr>
            </w:pPr>
            <w:r>
              <w:rPr>
                <w:color w:val="000000"/>
                <w:szCs w:val="22"/>
                <w:lang w:val="lt-LT"/>
              </w:rPr>
              <w:t>4*</w:t>
            </w:r>
          </w:p>
        </w:tc>
        <w:tc>
          <w:tcPr>
            <w:tcW w:w="3376" w:type="dxa"/>
          </w:tcPr>
          <w:p>
            <w:pPr>
              <w:spacing w:line="240" w:lineRule="auto"/>
              <w:jc w:val="center"/>
              <w:rPr>
                <w:color w:val="000000"/>
                <w:szCs w:val="22"/>
                <w:lang w:val="lt-LT"/>
              </w:rPr>
            </w:pPr>
            <w:r>
              <w:rPr>
                <w:color w:val="000000"/>
                <w:szCs w:val="22"/>
                <w:lang w:val="lt-LT"/>
              </w:rPr>
              <w:t>31,2</w:t>
            </w:r>
          </w:p>
        </w:tc>
      </w:tr>
      <w:tr>
        <w:trPr>
          <w:trHeight w:val="202"/>
        </w:trPr>
        <w:tc>
          <w:tcPr>
            <w:tcW w:w="1120" w:type="dxa"/>
          </w:tcPr>
          <w:p>
            <w:pPr>
              <w:spacing w:line="240" w:lineRule="auto"/>
              <w:rPr>
                <w:color w:val="000000"/>
                <w:szCs w:val="22"/>
                <w:lang w:val="lt-LT"/>
              </w:rPr>
            </w:pPr>
            <w:r>
              <w:rPr>
                <w:color w:val="000000"/>
                <w:szCs w:val="22"/>
                <w:lang w:val="lt-LT"/>
              </w:rPr>
              <w:t>14</w:t>
            </w:r>
          </w:p>
        </w:tc>
        <w:tc>
          <w:tcPr>
            <w:tcW w:w="1832" w:type="dxa"/>
          </w:tcPr>
          <w:p>
            <w:pPr>
              <w:spacing w:line="240" w:lineRule="auto"/>
              <w:jc w:val="center"/>
              <w:rPr>
                <w:color w:val="000000"/>
                <w:szCs w:val="22"/>
                <w:lang w:val="lt-LT"/>
              </w:rPr>
            </w:pPr>
            <w:r>
              <w:rPr>
                <w:color w:val="000000"/>
                <w:szCs w:val="22"/>
                <w:lang w:val="lt-LT"/>
              </w:rPr>
              <w:t>840</w:t>
            </w:r>
          </w:p>
        </w:tc>
        <w:tc>
          <w:tcPr>
            <w:tcW w:w="2742" w:type="dxa"/>
          </w:tcPr>
          <w:p>
            <w:pPr>
              <w:spacing w:line="240" w:lineRule="auto"/>
              <w:jc w:val="center"/>
              <w:rPr>
                <w:color w:val="000000"/>
                <w:szCs w:val="22"/>
                <w:lang w:val="lt-LT"/>
              </w:rPr>
            </w:pPr>
            <w:r>
              <w:rPr>
                <w:color w:val="000000"/>
                <w:szCs w:val="22"/>
                <w:lang w:val="lt-LT"/>
              </w:rPr>
              <w:t>4*</w:t>
            </w:r>
          </w:p>
        </w:tc>
        <w:tc>
          <w:tcPr>
            <w:tcW w:w="3376" w:type="dxa"/>
          </w:tcPr>
          <w:p>
            <w:pPr>
              <w:spacing w:line="240" w:lineRule="auto"/>
              <w:jc w:val="center"/>
              <w:rPr>
                <w:color w:val="000000"/>
                <w:szCs w:val="22"/>
                <w:lang w:val="lt-LT"/>
              </w:rPr>
            </w:pPr>
            <w:r>
              <w:rPr>
                <w:color w:val="000000"/>
                <w:szCs w:val="22"/>
                <w:lang w:val="lt-LT"/>
              </w:rPr>
              <w:t>33,6</w:t>
            </w:r>
          </w:p>
        </w:tc>
      </w:tr>
      <w:tr>
        <w:trPr>
          <w:trHeight w:val="215"/>
        </w:trPr>
        <w:tc>
          <w:tcPr>
            <w:tcW w:w="1120" w:type="dxa"/>
          </w:tcPr>
          <w:p>
            <w:pPr>
              <w:spacing w:line="240" w:lineRule="auto"/>
              <w:rPr>
                <w:color w:val="000000"/>
                <w:szCs w:val="22"/>
                <w:lang w:val="lt-LT"/>
              </w:rPr>
            </w:pPr>
            <w:r>
              <w:rPr>
                <w:color w:val="000000"/>
                <w:szCs w:val="22"/>
                <w:lang w:val="lt-LT"/>
              </w:rPr>
              <w:t>15</w:t>
            </w:r>
          </w:p>
        </w:tc>
        <w:tc>
          <w:tcPr>
            <w:tcW w:w="1832" w:type="dxa"/>
          </w:tcPr>
          <w:p>
            <w:pPr>
              <w:spacing w:line="240" w:lineRule="auto"/>
              <w:jc w:val="center"/>
              <w:rPr>
                <w:color w:val="000000"/>
                <w:szCs w:val="22"/>
                <w:lang w:val="lt-LT"/>
              </w:rPr>
            </w:pPr>
            <w:r>
              <w:rPr>
                <w:color w:val="000000"/>
                <w:szCs w:val="22"/>
                <w:lang w:val="lt-LT"/>
              </w:rPr>
              <w:t>900</w:t>
            </w:r>
          </w:p>
        </w:tc>
        <w:tc>
          <w:tcPr>
            <w:tcW w:w="2742" w:type="dxa"/>
          </w:tcPr>
          <w:p>
            <w:pPr>
              <w:spacing w:line="240" w:lineRule="auto"/>
              <w:jc w:val="center"/>
              <w:rPr>
                <w:color w:val="000000"/>
                <w:szCs w:val="22"/>
                <w:lang w:val="lt-LT"/>
              </w:rPr>
            </w:pPr>
            <w:r>
              <w:rPr>
                <w:color w:val="000000"/>
                <w:szCs w:val="22"/>
                <w:lang w:val="lt-LT"/>
              </w:rPr>
              <w:t>4*</w:t>
            </w:r>
          </w:p>
        </w:tc>
        <w:tc>
          <w:tcPr>
            <w:tcW w:w="3376" w:type="dxa"/>
          </w:tcPr>
          <w:p>
            <w:pPr>
              <w:spacing w:line="240" w:lineRule="auto"/>
              <w:jc w:val="center"/>
              <w:rPr>
                <w:color w:val="000000"/>
                <w:szCs w:val="22"/>
                <w:lang w:val="lt-LT"/>
              </w:rPr>
            </w:pPr>
            <w:r>
              <w:rPr>
                <w:color w:val="000000"/>
                <w:szCs w:val="22"/>
                <w:lang w:val="lt-LT"/>
              </w:rPr>
              <w:t>36</w:t>
            </w:r>
          </w:p>
        </w:tc>
      </w:tr>
      <w:tr>
        <w:trPr>
          <w:trHeight w:val="215"/>
        </w:trPr>
        <w:tc>
          <w:tcPr>
            <w:tcW w:w="1120" w:type="dxa"/>
          </w:tcPr>
          <w:p>
            <w:pPr>
              <w:spacing w:line="240" w:lineRule="auto"/>
              <w:rPr>
                <w:color w:val="000000"/>
                <w:szCs w:val="22"/>
                <w:lang w:val="lt-LT"/>
              </w:rPr>
            </w:pPr>
            <w:r>
              <w:rPr>
                <w:color w:val="000000"/>
                <w:szCs w:val="22"/>
                <w:lang w:val="lt-LT"/>
              </w:rPr>
              <w:t>16</w:t>
            </w:r>
          </w:p>
        </w:tc>
        <w:tc>
          <w:tcPr>
            <w:tcW w:w="1832" w:type="dxa"/>
          </w:tcPr>
          <w:p>
            <w:pPr>
              <w:spacing w:line="240" w:lineRule="auto"/>
              <w:jc w:val="center"/>
              <w:rPr>
                <w:color w:val="000000"/>
                <w:szCs w:val="22"/>
                <w:lang w:val="lt-LT"/>
              </w:rPr>
            </w:pPr>
            <w:r>
              <w:rPr>
                <w:color w:val="000000"/>
                <w:szCs w:val="22"/>
                <w:lang w:val="lt-LT"/>
              </w:rPr>
              <w:t>960</w:t>
            </w:r>
          </w:p>
        </w:tc>
        <w:tc>
          <w:tcPr>
            <w:tcW w:w="2742" w:type="dxa"/>
          </w:tcPr>
          <w:p>
            <w:pPr>
              <w:spacing w:line="240" w:lineRule="auto"/>
              <w:jc w:val="center"/>
              <w:rPr>
                <w:color w:val="000000"/>
                <w:szCs w:val="22"/>
                <w:lang w:val="lt-LT"/>
              </w:rPr>
            </w:pPr>
            <w:r>
              <w:rPr>
                <w:color w:val="000000"/>
                <w:szCs w:val="22"/>
                <w:lang w:val="lt-LT"/>
              </w:rPr>
              <w:t>4*</w:t>
            </w:r>
          </w:p>
        </w:tc>
        <w:tc>
          <w:tcPr>
            <w:tcW w:w="3376" w:type="dxa"/>
          </w:tcPr>
          <w:p>
            <w:pPr>
              <w:spacing w:line="240" w:lineRule="auto"/>
              <w:jc w:val="center"/>
              <w:rPr>
                <w:color w:val="000000"/>
                <w:szCs w:val="22"/>
                <w:lang w:val="lt-LT"/>
              </w:rPr>
            </w:pPr>
            <w:r>
              <w:rPr>
                <w:color w:val="000000"/>
                <w:szCs w:val="22"/>
                <w:lang w:val="lt-LT"/>
              </w:rPr>
              <w:t>38,4</w:t>
            </w:r>
          </w:p>
        </w:tc>
      </w:tr>
    </w:tbl>
    <w:p>
      <w:pPr>
        <w:pStyle w:val="C-Footnote"/>
        <w:rPr>
          <w:rFonts w:ascii="Times New Roman" w:hAnsi="Times New Roman" w:cs="Times New Roman"/>
          <w:sz w:val="20"/>
          <w:lang w:val="lt-LT"/>
        </w:rPr>
      </w:pPr>
      <w:r>
        <w:rPr>
          <w:rFonts w:ascii="Times New Roman" w:hAnsi="Times New Roman" w:cs="Times New Roman"/>
          <w:sz w:val="20"/>
          <w:lang w:val="lt-LT"/>
        </w:rPr>
        <w:t>* Vietoj keturių 250 mg paketėlių galima 1 pilną 1 000 mg paketėlį sumaišyti su 36 ml vandens arba obuolių sulčių. Šis mišinys turi būti suvartotas su švirkštu, remiantis 5 lentelėje nurodytu vartotinu kiekiu.</w:t>
      </w:r>
    </w:p>
    <w:p>
      <w:pPr>
        <w:spacing w:line="240" w:lineRule="auto"/>
        <w:rPr>
          <w:szCs w:val="22"/>
          <w:lang w:val="lt-LT"/>
        </w:rPr>
      </w:pPr>
    </w:p>
    <w:p>
      <w:pPr>
        <w:keepNext/>
        <w:keepLines/>
        <w:tabs>
          <w:tab w:val="clear" w:pos="567"/>
          <w:tab w:val="left" w:pos="720"/>
        </w:tabs>
        <w:spacing w:line="240" w:lineRule="auto"/>
        <w:rPr>
          <w:szCs w:val="22"/>
          <w:lang w:val="lt-LT"/>
        </w:rPr>
      </w:pPr>
      <w:r>
        <w:rPr>
          <w:i/>
          <w:iCs/>
          <w:szCs w:val="22"/>
          <w:lang w:val="lt-LT"/>
        </w:rPr>
        <w:lastRenderedPageBreak/>
        <w:t>Rekomenduojama Sephience geriamųjų miltelių paketėlyje dozė pagal kūno svorį 2 metų ir vyresniems vaikams, sveriantiems daugiau kaip 16 kg</w:t>
      </w:r>
      <w:r>
        <w:rPr>
          <w:i/>
          <w:iCs/>
          <w:szCs w:val="22"/>
          <w:lang w:val="lt-LT"/>
        </w:rPr>
        <w:fldChar w:fldCharType="begin"/>
      </w:r>
      <w:r>
        <w:rPr>
          <w:i/>
          <w:iCs/>
          <w:szCs w:val="22"/>
          <w:lang w:val="lt-LT"/>
        </w:rPr>
        <w:instrText xml:space="preserve"> DOCVARIABLE vault_nd_bcdfb54a-e9d7-484b-ba2d-5c27e0894972 </w:instrText>
      </w:r>
      <w:r>
        <w:rPr>
          <w:i/>
          <w:iCs/>
          <w:szCs w:val="22"/>
          <w:lang w:val="lt-LT"/>
        </w:rPr>
        <w:fldChar w:fldCharType="separate"/>
      </w:r>
      <w:r>
        <w:rPr>
          <w:i/>
          <w:iCs/>
          <w:szCs w:val="22"/>
          <w:lang w:val="lt-LT"/>
        </w:rPr>
        <w:t xml:space="preserve"> </w:t>
      </w:r>
      <w:r>
        <w:rPr>
          <w:i/>
          <w:iCs/>
          <w:szCs w:val="22"/>
          <w:lang w:val="lt-LT"/>
        </w:rPr>
        <w:fldChar w:fldCharType="end"/>
      </w:r>
    </w:p>
    <w:p>
      <w:pPr>
        <w:tabs>
          <w:tab w:val="clear" w:pos="567"/>
        </w:tabs>
        <w:spacing w:line="240" w:lineRule="auto"/>
        <w:ind w:right="716"/>
        <w:rPr>
          <w:szCs w:val="22"/>
          <w:lang w:val="lt-LT"/>
        </w:rPr>
      </w:pPr>
    </w:p>
    <w:p>
      <w:pPr>
        <w:rPr>
          <w:i/>
          <w:szCs w:val="22"/>
          <w:lang w:val="lt-LT"/>
        </w:rPr>
      </w:pPr>
      <w:r>
        <w:rPr>
          <w:bCs/>
          <w:szCs w:val="22"/>
          <w:lang w:val="lt-LT"/>
        </w:rPr>
        <w:t>Rekomenduojama dozė yra 60 mg/kg per parą.</w:t>
      </w:r>
    </w:p>
    <w:p>
      <w:pPr>
        <w:tabs>
          <w:tab w:val="clear" w:pos="567"/>
        </w:tabs>
        <w:spacing w:line="240" w:lineRule="auto"/>
        <w:ind w:right="716"/>
        <w:rPr>
          <w:szCs w:val="22"/>
          <w:lang w:val="lt-LT"/>
        </w:rPr>
      </w:pPr>
      <w:r>
        <w:rPr>
          <w:szCs w:val="22"/>
          <w:lang w:val="lt-LT"/>
        </w:rPr>
        <w:t>Apskaičiuotą paros dozę reikia suapvalinti iki artimiausio 250 mg arba 1 000 mg kartotinio. Pavyzdžiui, apskaičiuota dozė nuo 1 251 iki 1 374 mg turi būti suapvalinta iki 1 250 mg, kas atitinka 1 × 250 mg paketėlį ir 1 × 1 000 mg paketėlį. Apskaičiuota dozė nuo 1 375 iki 1 499 mg dozė turi būti suapvalinta iki 1 500 mg, kas atitinka 2 × 250 mg paketėlius ir 1 × 1 000 mg paketėlį.</w:t>
      </w:r>
    </w:p>
    <w:p>
      <w:pPr>
        <w:tabs>
          <w:tab w:val="clear" w:pos="567"/>
        </w:tabs>
        <w:spacing w:line="240" w:lineRule="auto"/>
        <w:ind w:right="716"/>
        <w:rPr>
          <w:szCs w:val="22"/>
          <w:lang w:val="lt-LT"/>
        </w:rPr>
      </w:pPr>
    </w:p>
    <w:p>
      <w:pPr>
        <w:keepNext/>
        <w:tabs>
          <w:tab w:val="clear" w:pos="567"/>
        </w:tabs>
        <w:spacing w:line="240" w:lineRule="auto"/>
        <w:ind w:right="720"/>
        <w:rPr>
          <w:i/>
          <w:iCs/>
          <w:szCs w:val="22"/>
          <w:lang w:val="lt-LT"/>
        </w:rPr>
      </w:pPr>
      <w:r>
        <w:rPr>
          <w:i/>
          <w:iCs/>
          <w:szCs w:val="22"/>
          <w:lang w:val="lt-LT"/>
        </w:rPr>
        <w:t>Praleista dozė</w:t>
      </w:r>
    </w:p>
    <w:p>
      <w:pPr>
        <w:spacing w:line="240" w:lineRule="auto"/>
        <w:rPr>
          <w:szCs w:val="22"/>
          <w:lang w:val="lt-LT"/>
        </w:rPr>
      </w:pPr>
      <w:r>
        <w:rPr>
          <w:szCs w:val="22"/>
          <w:lang w:val="lt-LT"/>
        </w:rPr>
        <w:t>Praleistą dozę reikia suvartoti kuo greičiau. Įprastą dozavimo grafiką reikia atnaujinti kitą dieną.</w:t>
      </w:r>
    </w:p>
    <w:p>
      <w:pPr>
        <w:spacing w:line="240" w:lineRule="auto"/>
        <w:rPr>
          <w:szCs w:val="22"/>
          <w:lang w:val="lt-LT"/>
        </w:rPr>
      </w:pPr>
    </w:p>
    <w:p>
      <w:pPr>
        <w:spacing w:line="240" w:lineRule="auto"/>
        <w:rPr>
          <w:szCs w:val="22"/>
          <w:u w:val="single"/>
          <w:lang w:val="lt-LT"/>
        </w:rPr>
      </w:pPr>
      <w:r>
        <w:rPr>
          <w:szCs w:val="22"/>
          <w:u w:val="single"/>
          <w:lang w:val="lt-LT"/>
        </w:rPr>
        <w:t>Gydymo nutraukimas</w:t>
      </w:r>
    </w:p>
    <w:p>
      <w:pPr>
        <w:spacing w:line="240" w:lineRule="auto"/>
        <w:rPr>
          <w:szCs w:val="22"/>
          <w:lang w:val="lt-LT"/>
        </w:rPr>
      </w:pPr>
    </w:p>
    <w:p>
      <w:pPr>
        <w:rPr>
          <w:szCs w:val="22"/>
          <w:u w:val="single"/>
          <w:lang w:val="lt-LT"/>
        </w:rPr>
      </w:pPr>
      <w:r>
        <w:rPr>
          <w:szCs w:val="22"/>
          <w:lang w:val="lt-LT"/>
        </w:rPr>
        <w:t>Pagrindiniame 3 fazės klinikiniame tyrime atsakas buvo nustatomas, kai fenilalanino (Phe) koncentracija kraujyje sumažėjo 15 % arba daugiau.</w:t>
      </w:r>
    </w:p>
    <w:p>
      <w:pPr>
        <w:spacing w:line="240" w:lineRule="auto"/>
        <w:rPr>
          <w:szCs w:val="22"/>
          <w:lang w:val="lt-LT"/>
        </w:rPr>
      </w:pPr>
      <w:r>
        <w:rPr>
          <w:szCs w:val="22"/>
          <w:lang w:val="lt-LT"/>
        </w:rPr>
        <w:t>Kontroliuojamų tyrimų duomenų apie saugumą ir veiksmingumą pacientams, kurie nepatiria 15 % ar didesnį Phe kraujyje sumažėjimą po 14 dienų sepiapterino vartojimo, nėra.</w:t>
      </w:r>
    </w:p>
    <w:p>
      <w:pPr>
        <w:spacing w:line="240" w:lineRule="auto"/>
        <w:rPr>
          <w:szCs w:val="22"/>
          <w:u w:val="single"/>
          <w:lang w:val="lt-LT"/>
        </w:rPr>
      </w:pPr>
      <w:r>
        <w:rPr>
          <w:szCs w:val="22"/>
          <w:lang w:val="lt-LT"/>
        </w:rPr>
        <w:t>FKU sergančio paciento atsakas nustatomas ir sprendimas dėl vaistinio preparato vartojimo nutraukimo priimamas gydančio gydytojo nuožiūra.</w:t>
      </w:r>
    </w:p>
    <w:p>
      <w:pPr>
        <w:spacing w:line="240" w:lineRule="auto"/>
        <w:rPr>
          <w:szCs w:val="22"/>
          <w:u w:val="single"/>
          <w:lang w:val="lt-LT"/>
        </w:rPr>
      </w:pPr>
    </w:p>
    <w:p>
      <w:pPr>
        <w:spacing w:line="240" w:lineRule="auto"/>
        <w:rPr>
          <w:szCs w:val="22"/>
          <w:u w:val="single"/>
          <w:lang w:val="lt-LT"/>
        </w:rPr>
      </w:pPr>
      <w:r>
        <w:rPr>
          <w:szCs w:val="22"/>
          <w:u w:val="single"/>
          <w:lang w:val="lt-LT"/>
        </w:rPr>
        <w:t>Ypatingos populiacijos</w:t>
      </w:r>
    </w:p>
    <w:p>
      <w:pPr>
        <w:spacing w:line="240" w:lineRule="auto"/>
        <w:rPr>
          <w:szCs w:val="22"/>
          <w:u w:val="single"/>
          <w:lang w:val="lt-LT"/>
        </w:rPr>
      </w:pPr>
    </w:p>
    <w:p>
      <w:pPr>
        <w:spacing w:line="240" w:lineRule="auto"/>
        <w:rPr>
          <w:i/>
          <w:szCs w:val="22"/>
          <w:lang w:val="lt-LT"/>
        </w:rPr>
      </w:pPr>
      <w:r>
        <w:rPr>
          <w:i/>
          <w:iCs/>
          <w:szCs w:val="22"/>
          <w:lang w:val="lt-LT"/>
        </w:rPr>
        <w:t>Senyviems pacientams</w:t>
      </w:r>
    </w:p>
    <w:p>
      <w:pPr>
        <w:spacing w:line="240" w:lineRule="auto"/>
        <w:rPr>
          <w:szCs w:val="22"/>
          <w:lang w:val="lt-LT"/>
        </w:rPr>
      </w:pPr>
      <w:r>
        <w:rPr>
          <w:szCs w:val="22"/>
          <w:lang w:val="lt-LT"/>
        </w:rPr>
        <w:t>Sephience saugumas ir veiksmingumas 65 metų ir vyresniems pacientams neištirti. 65 metų ir vyresnius pacientus šiuo vaistiniu preparatu reikia gydyti atsargiai.</w:t>
      </w:r>
    </w:p>
    <w:p>
      <w:pPr>
        <w:spacing w:line="240" w:lineRule="auto"/>
        <w:rPr>
          <w:szCs w:val="22"/>
          <w:lang w:val="lt-LT"/>
        </w:rPr>
      </w:pPr>
    </w:p>
    <w:p>
      <w:pPr>
        <w:rPr>
          <w:i/>
          <w:iCs/>
          <w:szCs w:val="22"/>
          <w:lang w:val="lt-LT"/>
        </w:rPr>
      </w:pPr>
      <w:r>
        <w:rPr>
          <w:i/>
          <w:iCs/>
          <w:szCs w:val="22"/>
          <w:lang w:val="lt-LT"/>
        </w:rPr>
        <w:t xml:space="preserve">Pacientams, kurių inkstų funkcija sutrikusi </w:t>
      </w:r>
    </w:p>
    <w:p>
      <w:pPr>
        <w:rPr>
          <w:szCs w:val="22"/>
          <w:lang w:val="lt-LT"/>
        </w:rPr>
      </w:pPr>
      <w:r>
        <w:rPr>
          <w:szCs w:val="22"/>
          <w:lang w:val="lt-LT"/>
        </w:rPr>
        <w:t>Pacientams, kurių inkstų funkcija sutrikusi, Sephience saugumas ir veiksmingumas dar netirti. Duomenų nėra (žr. 5.2 skyrių).</w:t>
      </w:r>
    </w:p>
    <w:p>
      <w:pPr>
        <w:rPr>
          <w:szCs w:val="22"/>
          <w:lang w:val="lt-LT"/>
        </w:rPr>
      </w:pPr>
    </w:p>
    <w:p>
      <w:pPr>
        <w:rPr>
          <w:i/>
          <w:iCs/>
          <w:szCs w:val="22"/>
          <w:lang w:val="lt-LT"/>
        </w:rPr>
      </w:pPr>
      <w:r>
        <w:rPr>
          <w:i/>
          <w:iCs/>
          <w:szCs w:val="22"/>
          <w:lang w:val="lt-LT"/>
        </w:rPr>
        <w:t xml:space="preserve">Pacientams, kurių kepenų funkcija sutrikusi </w:t>
      </w:r>
    </w:p>
    <w:p>
      <w:pPr>
        <w:rPr>
          <w:szCs w:val="22"/>
          <w:lang w:val="lt-LT"/>
        </w:rPr>
      </w:pPr>
      <w:r>
        <w:rPr>
          <w:szCs w:val="22"/>
          <w:lang w:val="lt-LT"/>
        </w:rPr>
        <w:t>Pacientams, kurių kepenų funkcija sutrikusi, Sephience saugumas ir veiksmingumas dar netirti. Duomenų nėra (žr. 5.2 skyrių).</w:t>
      </w:r>
    </w:p>
    <w:p>
      <w:pPr>
        <w:spacing w:line="240" w:lineRule="auto"/>
        <w:rPr>
          <w:szCs w:val="22"/>
          <w:lang w:val="lt-LT"/>
        </w:rPr>
      </w:pPr>
    </w:p>
    <w:p>
      <w:pPr>
        <w:spacing w:line="240" w:lineRule="auto"/>
        <w:rPr>
          <w:i/>
          <w:szCs w:val="22"/>
          <w:lang w:val="lt-LT"/>
        </w:rPr>
      </w:pPr>
      <w:r>
        <w:rPr>
          <w:i/>
          <w:szCs w:val="22"/>
          <w:lang w:val="lt-LT"/>
        </w:rPr>
        <w:t>Vaikų populiacija</w:t>
      </w:r>
    </w:p>
    <w:p>
      <w:pPr>
        <w:spacing w:line="240" w:lineRule="auto"/>
        <w:rPr>
          <w:szCs w:val="22"/>
          <w:lang w:val="lt-LT"/>
        </w:rPr>
      </w:pPr>
      <w:r>
        <w:rPr>
          <w:szCs w:val="22"/>
          <w:lang w:val="lt-LT"/>
        </w:rPr>
        <w:t>3 fazės Sephience klinikinių tyrimų metu kai kuriems pacientams vaikams pasireiškė hipofenilalaninemija, įskaitant kai kuriuos pacientus, kuriems pasireiškė daugybinis Phe koncentracijos kraujyje sumažėjimas (žr. 4.8 skyrių).</w:t>
      </w:r>
    </w:p>
    <w:p>
      <w:pPr>
        <w:spacing w:line="240" w:lineRule="auto"/>
        <w:rPr>
          <w:szCs w:val="22"/>
          <w:lang w:val="lt-LT"/>
        </w:rPr>
      </w:pPr>
    </w:p>
    <w:p>
      <w:pPr>
        <w:spacing w:line="240" w:lineRule="auto"/>
        <w:rPr>
          <w:szCs w:val="22"/>
          <w:u w:val="single"/>
          <w:lang w:val="lt-LT"/>
        </w:rPr>
      </w:pPr>
      <w:r>
        <w:rPr>
          <w:szCs w:val="22"/>
          <w:u w:val="single"/>
          <w:lang w:val="lt-LT"/>
        </w:rPr>
        <w:t xml:space="preserve">Vartojimo metodas </w:t>
      </w:r>
    </w:p>
    <w:p>
      <w:pPr>
        <w:spacing w:line="240" w:lineRule="auto"/>
        <w:rPr>
          <w:szCs w:val="22"/>
          <w:u w:val="single"/>
          <w:lang w:val="lt-LT"/>
        </w:rPr>
      </w:pPr>
    </w:p>
    <w:p>
      <w:pPr>
        <w:rPr>
          <w:szCs w:val="22"/>
          <w:lang w:val="lt-LT"/>
        </w:rPr>
      </w:pPr>
      <w:r>
        <w:rPr>
          <w:szCs w:val="22"/>
          <w:lang w:val="lt-LT"/>
        </w:rPr>
        <w:t>Vartoti per burną.</w:t>
      </w:r>
    </w:p>
    <w:p>
      <w:pPr>
        <w:spacing w:line="240" w:lineRule="auto"/>
        <w:rPr>
          <w:szCs w:val="22"/>
          <w:lang w:val="lt-LT"/>
        </w:rPr>
      </w:pPr>
      <w:r>
        <w:rPr>
          <w:szCs w:val="22"/>
          <w:lang w:val="lt-LT"/>
        </w:rPr>
        <w:t>Sephience reikia vartoti vieną kartą per parą valgio metu, naudojant mg/kg dozę.</w:t>
      </w:r>
    </w:p>
    <w:p>
      <w:pPr>
        <w:spacing w:line="240" w:lineRule="auto"/>
        <w:rPr>
          <w:szCs w:val="22"/>
          <w:lang w:val="lt-LT"/>
        </w:rPr>
      </w:pPr>
    </w:p>
    <w:p>
      <w:pPr>
        <w:spacing w:line="240" w:lineRule="auto"/>
        <w:rPr>
          <w:szCs w:val="22"/>
          <w:lang w:val="lt-LT"/>
        </w:rPr>
      </w:pPr>
      <w:r>
        <w:rPr>
          <w:szCs w:val="22"/>
          <w:lang w:val="lt-LT"/>
        </w:rPr>
        <w:t>Sephience geriamieji milteliai yra atskiruose paketėliuose po 250 mg arba 1 000 mg ir turi būti sumaišyti su vandeniu, obuolių sultimis arba nedideliu kiekiu minkšto maisto, pvz., obuolių tyrele ir uogiene.</w:t>
      </w:r>
    </w:p>
    <w:p>
      <w:pPr>
        <w:spacing w:line="240" w:lineRule="auto"/>
        <w:rPr>
          <w:szCs w:val="22"/>
          <w:lang w:val="lt-LT"/>
        </w:rPr>
      </w:pPr>
    </w:p>
    <w:p>
      <w:pPr>
        <w:keepNext/>
        <w:spacing w:line="240" w:lineRule="auto"/>
        <w:rPr>
          <w:szCs w:val="22"/>
          <w:lang w:val="lt-LT"/>
        </w:rPr>
      </w:pPr>
      <w:r>
        <w:rPr>
          <w:szCs w:val="22"/>
          <w:lang w:val="lt-LT"/>
        </w:rPr>
        <w:t xml:space="preserve">Sephience skirtas ilgalaikiam vartojimui. </w:t>
      </w:r>
    </w:p>
    <w:p>
      <w:pPr>
        <w:keepNext/>
        <w:spacing w:line="240" w:lineRule="auto"/>
        <w:rPr>
          <w:szCs w:val="22"/>
          <w:lang w:val="lt-LT"/>
        </w:rPr>
      </w:pPr>
    </w:p>
    <w:p>
      <w:pPr>
        <w:rPr>
          <w:i/>
          <w:iCs/>
          <w:szCs w:val="22"/>
          <w:lang w:val="lt-LT"/>
        </w:rPr>
      </w:pPr>
      <w:r>
        <w:rPr>
          <w:i/>
          <w:iCs/>
          <w:szCs w:val="22"/>
          <w:lang w:val="lt-LT"/>
        </w:rPr>
        <w:t>Pacientams, sveriantiems ne daugiau kaip 16 kg</w:t>
      </w:r>
    </w:p>
    <w:p>
      <w:pPr>
        <w:rPr>
          <w:szCs w:val="22"/>
          <w:lang w:val="lt-LT"/>
        </w:rPr>
      </w:pPr>
      <w:r>
        <w:rPr>
          <w:szCs w:val="22"/>
          <w:lang w:val="lt-LT"/>
        </w:rPr>
        <w:t xml:space="preserve">Sephience reikia maišyti su vandeniu arba obuolių sultimis (250 mg paketėlį reikia sumaišyti su 9 ml, o 1 000 mg paketėlį – su 36 ml), o šio mišinio dalį, atitinkančią reikiamą dozę, suvartoti per burną naudojant geriamojo tirpalo dozavimo švirkštą. Prieš įtraukiant į dozavimo švirkštą, vaistinį preparatą reikia gerai maišyti bent 30 sekundžių, kol jis taps vientisas ir be gumulėlių. Sumaišius, dozę reikia </w:t>
      </w:r>
      <w:r>
        <w:rPr>
          <w:szCs w:val="22"/>
          <w:lang w:val="lt-LT"/>
        </w:rPr>
        <w:lastRenderedPageBreak/>
        <w:t xml:space="preserve">suvartoti nedelsiant. Jeigu skystasis mišinys nesuvartojamas iš karto, jis gali būti suvartotas per 6 valandas, jeigu laikomas kambario temperatūroje (žemiau 25 °C), arba per 24 valandas, jeigu laikomas šaldytuve (2 °C–8 °C temperatūroje). Prieš vartojimą vaistinis preparatas turi vėl būti sumaišytas bent 30 sekundžių. Švirkštas turi būti išplautas papildomu vandens arba sulčių kiekiu (ne mažiau kaip 15 ml) visiems likučiams surinkti ir švirkšto turinys nedelsiant nurytas. </w:t>
      </w:r>
    </w:p>
    <w:p>
      <w:pPr>
        <w:rPr>
          <w:szCs w:val="22"/>
          <w:lang w:val="lt-LT"/>
        </w:rPr>
      </w:pPr>
    </w:p>
    <w:p>
      <w:pPr>
        <w:rPr>
          <w:i/>
          <w:iCs/>
          <w:szCs w:val="22"/>
          <w:lang w:val="lt-LT"/>
        </w:rPr>
      </w:pPr>
      <w:r>
        <w:rPr>
          <w:i/>
          <w:iCs/>
          <w:szCs w:val="22"/>
          <w:lang w:val="lt-LT"/>
        </w:rPr>
        <w:t>Pacientams, sveriantiems daugiau kaip 16 kg</w:t>
      </w:r>
    </w:p>
    <w:p>
      <w:pPr>
        <w:rPr>
          <w:szCs w:val="22"/>
          <w:lang w:val="lt-LT"/>
        </w:rPr>
      </w:pPr>
      <w:r>
        <w:rPr>
          <w:szCs w:val="22"/>
          <w:lang w:val="lt-LT"/>
        </w:rPr>
        <w:t xml:space="preserve">Sephience reikia maišyti su vandeniu arba obuolių sultimis (250 mg paketėlį reikia sumaišyti su 9 ml, o 1 000 mg paketėlį – su 20 ml) arba minkštu maistu (iš viso 2 valgomaisiais šaukštais). Vaistinį preparatą reikia gerai maišyti bent 30 sekundžių su vandeniu arba obuolių sultimis, o su minkštu maistu – bent 60 sekundžių, kol jis taps vientisas ir be gumulėlių. Sumaišius, dozę reikia suvartoti nedelsiant. Jeigu skystis ir minkšto maisto mišinys nesuvartojamas iš karto, jis gali būti suvartotas per 6 valandas, jeigu laikomas kambario temperatūroje (žemiau 25 °C), arba per 24 valandas, jeigu laikomas šaldytuve (2 °C–8 °C temperatūroje). Prieš vartojimą skystas mišinys turi vėl būti sumaišytas bent 30 sekundžių, o minkšto maisto mišinys – bent 60 sekundžių. Talpykla turi būti išplauta papildomu vandens arba sulčių kiekiu (ne mažiau kaip 15 ml) visiems likučiams surinkti ir turinys nedelsiant nurytas. </w:t>
      </w:r>
    </w:p>
    <w:p>
      <w:pPr>
        <w:rPr>
          <w:szCs w:val="22"/>
          <w:lang w:val="lt-LT"/>
        </w:rPr>
      </w:pPr>
    </w:p>
    <w:p>
      <w:pPr>
        <w:rPr>
          <w:szCs w:val="22"/>
          <w:u w:val="single"/>
          <w:lang w:val="lt-LT"/>
        </w:rPr>
      </w:pPr>
      <w:r>
        <w:rPr>
          <w:szCs w:val="22"/>
          <w:u w:val="single"/>
          <w:lang w:val="lt-LT"/>
        </w:rPr>
        <w:t>Vartojimas per enterinio maitinimo vamzdelį</w:t>
      </w:r>
    </w:p>
    <w:p>
      <w:pPr>
        <w:spacing w:line="240" w:lineRule="auto"/>
        <w:rPr>
          <w:szCs w:val="22"/>
          <w:lang w:val="lt-LT"/>
        </w:rPr>
      </w:pPr>
      <w:r>
        <w:rPr>
          <w:szCs w:val="22"/>
          <w:lang w:val="lt-LT"/>
        </w:rPr>
        <w:t>Sumaišius su vandeniu Sephience geriamieji milteliai gali būti vartojami pro 6 Fr arba 8 Fr dydžio enterinio maitinimo vamzdelį. Būtina laikytis gamintojo nurodymų dėl maitinimo vamzdelio naudojimo prieš skiriant vaistinį preparatą. Sephience ruošimo prieš vartojant instrukcija pateikiama 6.6 skyriuje.</w:t>
      </w:r>
    </w:p>
    <w:p>
      <w:pPr>
        <w:spacing w:line="240" w:lineRule="auto"/>
        <w:rPr>
          <w:szCs w:val="22"/>
          <w:lang w:val="lt-LT"/>
        </w:rPr>
      </w:pPr>
    </w:p>
    <w:p>
      <w:pPr>
        <w:keepNext/>
        <w:spacing w:line="240" w:lineRule="auto"/>
        <w:ind w:left="562" w:hanging="562"/>
        <w:rPr>
          <w:b/>
          <w:szCs w:val="22"/>
          <w:lang w:val="lt-LT"/>
        </w:rPr>
      </w:pPr>
      <w:r>
        <w:rPr>
          <w:b/>
          <w:bCs/>
          <w:szCs w:val="22"/>
          <w:lang w:val="lt-LT"/>
        </w:rPr>
        <w:t>4.3</w:t>
      </w:r>
      <w:r>
        <w:rPr>
          <w:b/>
          <w:bCs/>
          <w:szCs w:val="22"/>
          <w:lang w:val="lt-LT"/>
        </w:rPr>
        <w:tab/>
        <w:t>Kontraindikacijos</w:t>
      </w:r>
    </w:p>
    <w:p>
      <w:pPr>
        <w:keepNext/>
        <w:spacing w:line="240" w:lineRule="auto"/>
        <w:ind w:left="562" w:hanging="562"/>
        <w:rPr>
          <w:szCs w:val="22"/>
          <w:lang w:val="lt-LT"/>
        </w:rPr>
      </w:pPr>
    </w:p>
    <w:p>
      <w:pPr>
        <w:spacing w:line="240" w:lineRule="auto"/>
        <w:rPr>
          <w:szCs w:val="22"/>
          <w:lang w:val="lt-LT"/>
        </w:rPr>
      </w:pPr>
      <w:r>
        <w:rPr>
          <w:szCs w:val="22"/>
          <w:lang w:val="lt-LT"/>
        </w:rPr>
        <w:t>Padidėjęs jautrumas veikliajai arba bet kuriai 6.1 skyriuje nurodytai pagalbinei medžiagai.</w:t>
      </w:r>
    </w:p>
    <w:p>
      <w:pPr>
        <w:spacing w:line="240" w:lineRule="auto"/>
        <w:rPr>
          <w:szCs w:val="22"/>
          <w:lang w:val="lt-LT"/>
        </w:rPr>
      </w:pPr>
    </w:p>
    <w:p>
      <w:pPr>
        <w:spacing w:line="240" w:lineRule="auto"/>
        <w:ind w:left="567" w:hanging="567"/>
        <w:rPr>
          <w:b/>
          <w:szCs w:val="22"/>
          <w:lang w:val="lt-LT"/>
        </w:rPr>
      </w:pPr>
      <w:r>
        <w:rPr>
          <w:b/>
          <w:bCs/>
          <w:szCs w:val="22"/>
          <w:lang w:val="lt-LT"/>
        </w:rPr>
        <w:t>4.4</w:t>
      </w:r>
      <w:r>
        <w:rPr>
          <w:b/>
          <w:bCs/>
          <w:szCs w:val="22"/>
          <w:lang w:val="lt-LT"/>
        </w:rPr>
        <w:tab/>
        <w:t>Specialūs įspėjimai ir atsargumo priemonės</w:t>
      </w:r>
    </w:p>
    <w:p>
      <w:pPr>
        <w:spacing w:line="240" w:lineRule="auto"/>
        <w:ind w:left="567" w:hanging="567"/>
        <w:rPr>
          <w:b/>
          <w:szCs w:val="22"/>
          <w:lang w:val="lt-LT"/>
        </w:rPr>
      </w:pPr>
    </w:p>
    <w:p>
      <w:pPr>
        <w:tabs>
          <w:tab w:val="clear" w:pos="567"/>
        </w:tabs>
        <w:spacing w:line="240" w:lineRule="auto"/>
        <w:rPr>
          <w:u w:val="single"/>
          <w:lang w:val="lt-LT"/>
        </w:rPr>
      </w:pPr>
      <w:r>
        <w:rPr>
          <w:szCs w:val="22"/>
          <w:u w:val="single"/>
          <w:lang w:val="lt-LT"/>
        </w:rPr>
        <w:t>Vartojimas su maistu</w:t>
      </w:r>
    </w:p>
    <w:p>
      <w:pPr>
        <w:tabs>
          <w:tab w:val="clear" w:pos="567"/>
        </w:tabs>
        <w:spacing w:line="240" w:lineRule="auto"/>
        <w:rPr>
          <w:szCs w:val="22"/>
          <w:lang w:val="lt-LT"/>
        </w:rPr>
      </w:pPr>
    </w:p>
    <w:p>
      <w:pPr>
        <w:tabs>
          <w:tab w:val="clear" w:pos="567"/>
        </w:tabs>
        <w:spacing w:line="240" w:lineRule="auto"/>
        <w:rPr>
          <w:lang w:val="lt-LT"/>
        </w:rPr>
      </w:pPr>
      <w:r>
        <w:rPr>
          <w:szCs w:val="22"/>
          <w:lang w:val="lt-LT"/>
        </w:rPr>
        <w:t xml:space="preserve">Pacientams, gydomiems Sephience, turi būti reguliariai atliekami klinikiniai vertinimai, kad kartu su sveikatos priežiūros specialistu būtų galima nustatyti tinkamą Phe suvartojimą su maistu (pvz., stebėti Phe ir tirozino koncentraciją kraujyje bei suvartojamas maistines medžiagas). </w:t>
      </w:r>
    </w:p>
    <w:p>
      <w:pPr>
        <w:tabs>
          <w:tab w:val="clear" w:pos="567"/>
        </w:tabs>
        <w:spacing w:line="240" w:lineRule="auto"/>
        <w:rPr>
          <w:lang w:val="lt-LT"/>
        </w:rPr>
      </w:pPr>
    </w:p>
    <w:p>
      <w:pPr>
        <w:keepNext/>
        <w:keepLines/>
        <w:spacing w:line="240" w:lineRule="auto"/>
        <w:rPr>
          <w:szCs w:val="22"/>
          <w:u w:val="single"/>
          <w:lang w:val="lt-LT"/>
        </w:rPr>
      </w:pPr>
      <w:r>
        <w:rPr>
          <w:szCs w:val="22"/>
          <w:u w:val="single"/>
          <w:lang w:val="lt-LT"/>
        </w:rPr>
        <w:t>Vartojimas kartu su dihidrofolato reduktazės (DHFR) inhibitoriais</w:t>
      </w:r>
    </w:p>
    <w:p>
      <w:pPr>
        <w:keepNext/>
        <w:keepLines/>
        <w:spacing w:line="240" w:lineRule="auto"/>
        <w:rPr>
          <w:szCs w:val="22"/>
          <w:u w:val="single"/>
          <w:lang w:val="lt-LT"/>
        </w:rPr>
      </w:pPr>
    </w:p>
    <w:p>
      <w:pPr>
        <w:tabs>
          <w:tab w:val="clear" w:pos="567"/>
        </w:tabs>
        <w:spacing w:line="240" w:lineRule="auto"/>
        <w:rPr>
          <w:szCs w:val="22"/>
          <w:lang w:val="lt-LT"/>
        </w:rPr>
      </w:pPr>
      <w:r>
        <w:rPr>
          <w:szCs w:val="22"/>
          <w:lang w:val="lt-LT"/>
        </w:rPr>
        <w:t>Vartojant sepiapteriną kartu su DHFR inhibitoriais (pvz., trimetoprimu, metotreksatu, pemetreksedu, pralatreksatu ir trimetreksatu), gali prireikti dažniau stebėti Phe koncentraciją kraujyje (žr. 4.5 skyrių).</w:t>
      </w:r>
    </w:p>
    <w:p>
      <w:pPr>
        <w:tabs>
          <w:tab w:val="clear" w:pos="567"/>
        </w:tabs>
        <w:spacing w:line="240" w:lineRule="auto"/>
        <w:rPr>
          <w:szCs w:val="22"/>
          <w:lang w:val="lt-LT"/>
        </w:rPr>
      </w:pPr>
    </w:p>
    <w:p>
      <w:pPr>
        <w:spacing w:line="240" w:lineRule="auto"/>
        <w:rPr>
          <w:szCs w:val="22"/>
          <w:u w:val="single"/>
          <w:lang w:val="lt-LT"/>
        </w:rPr>
      </w:pPr>
      <w:r>
        <w:rPr>
          <w:szCs w:val="22"/>
          <w:u w:val="single"/>
          <w:lang w:val="lt-LT"/>
        </w:rPr>
        <w:t>Ilgalaikiai saugumo duomenys</w:t>
      </w:r>
    </w:p>
    <w:p>
      <w:pPr>
        <w:spacing w:line="240" w:lineRule="auto"/>
        <w:rPr>
          <w:szCs w:val="22"/>
          <w:u w:val="single"/>
          <w:lang w:val="lt-LT"/>
        </w:rPr>
      </w:pPr>
    </w:p>
    <w:p>
      <w:pPr>
        <w:spacing w:line="240" w:lineRule="auto"/>
        <w:rPr>
          <w:szCs w:val="22"/>
          <w:u w:val="single"/>
          <w:lang w:val="lt-LT"/>
        </w:rPr>
      </w:pPr>
      <w:r>
        <w:rPr>
          <w:szCs w:val="22"/>
          <w:lang w:val="lt-LT"/>
        </w:rPr>
        <w:t>Ilgalaikio saugumo duomenų apie skyrimą FKU sergantiems pacientams yra nedaug (žr. 4.8 skyrių apie iki šiol įvertintas sepiapterino nepageidaujamas reakcijas).</w:t>
      </w:r>
    </w:p>
    <w:p>
      <w:pPr>
        <w:spacing w:line="240" w:lineRule="auto"/>
        <w:rPr>
          <w:szCs w:val="22"/>
          <w:lang w:val="lt-LT"/>
        </w:rPr>
      </w:pPr>
    </w:p>
    <w:p>
      <w:pPr>
        <w:spacing w:line="240" w:lineRule="auto"/>
        <w:rPr>
          <w:szCs w:val="22"/>
          <w:u w:val="single"/>
          <w:lang w:val="lt-LT"/>
        </w:rPr>
      </w:pPr>
      <w:r>
        <w:rPr>
          <w:szCs w:val="22"/>
          <w:u w:val="single"/>
          <w:lang w:val="lt-LT"/>
        </w:rPr>
        <w:t>Pagalbinės medžiagos, kurių poveikis žinomas</w:t>
      </w:r>
    </w:p>
    <w:p>
      <w:pPr>
        <w:spacing w:line="240" w:lineRule="auto"/>
        <w:rPr>
          <w:szCs w:val="22"/>
          <w:lang w:val="lt-LT"/>
        </w:rPr>
      </w:pPr>
    </w:p>
    <w:p>
      <w:pPr>
        <w:spacing w:line="240" w:lineRule="auto"/>
        <w:rPr>
          <w:szCs w:val="22"/>
          <w:u w:val="single"/>
          <w:lang w:val="lt-LT"/>
        </w:rPr>
      </w:pPr>
      <w:r>
        <w:rPr>
          <w:i/>
          <w:iCs/>
          <w:szCs w:val="22"/>
          <w:lang w:val="lt-LT"/>
        </w:rPr>
        <w:t>Natris</w:t>
      </w:r>
    </w:p>
    <w:p>
      <w:pPr>
        <w:spacing w:line="240" w:lineRule="auto"/>
        <w:rPr>
          <w:szCs w:val="22"/>
          <w:lang w:val="lt-LT"/>
        </w:rPr>
      </w:pPr>
      <w:r>
        <w:rPr>
          <w:szCs w:val="22"/>
          <w:lang w:val="lt-LT"/>
        </w:rPr>
        <w:t xml:space="preserve">Šio vaistinio preparato paketėlyje yra mažiau kaip 1 mmol (23 mg) natrio, t.y. jis beveik neturi reikšmės. </w:t>
      </w:r>
    </w:p>
    <w:p>
      <w:pPr>
        <w:spacing w:line="240" w:lineRule="auto"/>
        <w:rPr>
          <w:szCs w:val="22"/>
          <w:lang w:val="lt-LT"/>
        </w:rPr>
      </w:pPr>
    </w:p>
    <w:p>
      <w:pPr>
        <w:spacing w:line="240" w:lineRule="auto"/>
        <w:rPr>
          <w:szCs w:val="22"/>
          <w:lang w:val="lt-LT"/>
        </w:rPr>
      </w:pPr>
      <w:r>
        <w:rPr>
          <w:i/>
          <w:iCs/>
          <w:szCs w:val="22"/>
          <w:lang w:val="lt-LT"/>
        </w:rPr>
        <w:t>Izomaltas</w:t>
      </w:r>
    </w:p>
    <w:p>
      <w:pPr>
        <w:spacing w:line="240" w:lineRule="auto"/>
        <w:rPr>
          <w:szCs w:val="22"/>
          <w:lang w:val="lt-LT"/>
        </w:rPr>
      </w:pPr>
      <w:r>
        <w:rPr>
          <w:szCs w:val="22"/>
          <w:lang w:val="lt-LT"/>
        </w:rPr>
        <w:t>Šio vaistinio preparato negalima vartoti pacientams, kuriems nustatytas retas paveldimas sutrikimas – fruktozės netoleravimas.</w:t>
      </w:r>
    </w:p>
    <w:p>
      <w:pPr>
        <w:spacing w:line="240" w:lineRule="auto"/>
        <w:rPr>
          <w:szCs w:val="22"/>
          <w:lang w:val="lt-LT"/>
        </w:rPr>
      </w:pPr>
    </w:p>
    <w:p>
      <w:pPr>
        <w:keepNext/>
        <w:keepLines/>
        <w:spacing w:line="240" w:lineRule="auto"/>
        <w:rPr>
          <w:szCs w:val="22"/>
          <w:u w:val="single"/>
          <w:lang w:val="lt-LT"/>
        </w:rPr>
      </w:pPr>
      <w:r>
        <w:rPr>
          <w:b/>
          <w:bCs/>
          <w:szCs w:val="22"/>
          <w:lang w:val="lt-LT"/>
        </w:rPr>
        <w:t>4.5</w:t>
      </w:r>
      <w:r>
        <w:rPr>
          <w:b/>
          <w:bCs/>
          <w:szCs w:val="22"/>
          <w:lang w:val="lt-LT"/>
        </w:rPr>
        <w:tab/>
        <w:t>Sąveika su kitais vaistiniais preparatais ir kitokia sąveika</w:t>
      </w:r>
      <w:r>
        <w:rPr>
          <w:b/>
          <w:szCs w:val="22"/>
          <w:highlight w:val="yellow"/>
          <w:lang w:val="lt-LT"/>
        </w:rPr>
        <w:fldChar w:fldCharType="begin"/>
      </w:r>
      <w:r>
        <w:rPr>
          <w:b/>
          <w:szCs w:val="22"/>
          <w:highlight w:val="yellow"/>
          <w:lang w:val="lt-LT"/>
        </w:rPr>
        <w:instrText xml:space="preserve"> DOCVARIABLE vault_nd_e9a8b698-bf64-4ee0-8af5-130ea1f86e1a </w:instrText>
      </w:r>
      <w:r>
        <w:rPr>
          <w:b/>
          <w:szCs w:val="22"/>
          <w:highlight w:val="yellow"/>
          <w:lang w:val="lt-LT"/>
        </w:rPr>
        <w:fldChar w:fldCharType="separate"/>
      </w:r>
      <w:r>
        <w:rPr>
          <w:b/>
          <w:szCs w:val="22"/>
          <w:highlight w:val="yellow"/>
          <w:lang w:val="lt-LT"/>
        </w:rPr>
        <w:t xml:space="preserve"> </w:t>
      </w:r>
      <w:r>
        <w:rPr>
          <w:b/>
          <w:szCs w:val="22"/>
          <w:highlight w:val="yellow"/>
          <w:lang w:val="lt-LT"/>
        </w:rPr>
        <w:fldChar w:fldCharType="end"/>
      </w:r>
    </w:p>
    <w:p>
      <w:pPr>
        <w:keepNext/>
        <w:keepLines/>
        <w:spacing w:line="240" w:lineRule="auto"/>
        <w:rPr>
          <w:szCs w:val="22"/>
          <w:u w:val="single"/>
          <w:lang w:val="lt-LT"/>
        </w:rPr>
      </w:pPr>
    </w:p>
    <w:p>
      <w:pPr>
        <w:keepNext/>
        <w:keepLines/>
        <w:spacing w:line="240" w:lineRule="auto"/>
        <w:rPr>
          <w:szCs w:val="22"/>
          <w:u w:val="single"/>
          <w:lang w:val="lt-LT"/>
        </w:rPr>
      </w:pPr>
      <w:r>
        <w:rPr>
          <w:szCs w:val="22"/>
          <w:u w:val="single"/>
          <w:lang w:val="lt-LT"/>
        </w:rPr>
        <w:t>Sepiapterino reduktazės (SR) inhibitoriai</w:t>
      </w:r>
    </w:p>
    <w:p>
      <w:pPr>
        <w:spacing w:line="240" w:lineRule="auto"/>
        <w:rPr>
          <w:szCs w:val="22"/>
          <w:lang w:val="lt-LT"/>
        </w:rPr>
      </w:pPr>
    </w:p>
    <w:p>
      <w:pPr>
        <w:rPr>
          <w:szCs w:val="22"/>
          <w:lang w:val="lt-LT"/>
        </w:rPr>
      </w:pPr>
      <w:r>
        <w:rPr>
          <w:szCs w:val="22"/>
          <w:lang w:val="lt-LT"/>
        </w:rPr>
        <w:t>Per burną vartojamas sepiapterinas yra sparčiai absorbuojamas ir greitai bei intensyviai SR ir karbonilo reduktaze paverčiamas į 7,8-dihidrobiopteriną (BH2), kuris DHFR vienkrypčiu būdu verčiamas į BH4. Numatoma, kad kartu vartojant SR inhibitorių poveikis sepiapterino biologinei transformacijai bus minimalus dėl karbonilo reduktazės kompensacinio poveikio. SR trūkumą turinčių pacientų Phe lygis kraujyje fiksuotas normalus. Nepaisant to, rekomenduojama laikytis atsargumo ir dažniau stebėti Phe koncentraciją kraujyje, kai Sephience vartojamas kartu su SR inhibitoriais, tokiais kaip sulfasalazinas ar sulfametoksazolas.</w:t>
      </w:r>
    </w:p>
    <w:p>
      <w:pPr>
        <w:spacing w:line="240" w:lineRule="auto"/>
        <w:rPr>
          <w:szCs w:val="22"/>
          <w:lang w:val="lt-LT"/>
        </w:rPr>
      </w:pPr>
    </w:p>
    <w:p>
      <w:pPr>
        <w:spacing w:line="240" w:lineRule="auto"/>
        <w:rPr>
          <w:szCs w:val="22"/>
          <w:u w:val="single"/>
          <w:lang w:val="lt-LT"/>
        </w:rPr>
      </w:pPr>
      <w:r>
        <w:rPr>
          <w:szCs w:val="22"/>
          <w:u w:val="single"/>
          <w:lang w:val="lt-LT"/>
        </w:rPr>
        <w:t>DHFR inhibitoriai</w:t>
      </w:r>
    </w:p>
    <w:p>
      <w:pPr>
        <w:spacing w:line="240" w:lineRule="auto"/>
        <w:rPr>
          <w:szCs w:val="22"/>
          <w:lang w:val="lt-LT"/>
        </w:rPr>
      </w:pPr>
    </w:p>
    <w:p>
      <w:pPr>
        <w:rPr>
          <w:szCs w:val="22"/>
          <w:lang w:val="lt-LT"/>
        </w:rPr>
      </w:pPr>
      <w:bookmarkStart w:id="1" w:name="_Hlk160619283"/>
      <w:r>
        <w:rPr>
          <w:szCs w:val="22"/>
          <w:lang w:val="lt-LT"/>
        </w:rPr>
        <w:t>DHFR medijuojant BH2 virsmui į BH4, DHFR slopinimas gali lemti mažesnę BH4 koncentraciją. Vis dėlto, poveikio sepiapterino koncentracijai tikimasi minimalaus, nes egzistuoja keli eliminacijos keliai. Kai sepiapterinas yra vartojamas kartu su DHFR inhibitoriumi, tokiu kaip trimetoprimas, metotreksatas, pemetreksedas, pralatreksatas ir trimetreksatas (žr. 4.4 skyrių), reikia laikytis atsargumo ir dažniau stebėti Phe koncentraciją kraujyje.</w:t>
      </w:r>
    </w:p>
    <w:p>
      <w:pPr>
        <w:rPr>
          <w:szCs w:val="22"/>
          <w:lang w:val="lt-LT"/>
        </w:rPr>
      </w:pPr>
    </w:p>
    <w:p>
      <w:pPr>
        <w:rPr>
          <w:szCs w:val="22"/>
          <w:u w:val="single"/>
          <w:lang w:val="lt-LT"/>
        </w:rPr>
      </w:pPr>
      <w:r>
        <w:rPr>
          <w:szCs w:val="22"/>
          <w:u w:val="single"/>
          <w:lang w:val="lt-LT"/>
        </w:rPr>
        <w:t>Kraujagysles plečiantys vaistiniai preparatai </w:t>
      </w:r>
    </w:p>
    <w:p>
      <w:pPr>
        <w:rPr>
          <w:szCs w:val="22"/>
          <w:u w:val="single"/>
          <w:lang w:val="lt-LT"/>
        </w:rPr>
      </w:pPr>
    </w:p>
    <w:p>
      <w:pPr>
        <w:rPr>
          <w:szCs w:val="22"/>
          <w:lang w:val="lt-LT"/>
        </w:rPr>
      </w:pPr>
      <w:r>
        <w:rPr>
          <w:szCs w:val="22"/>
          <w:lang w:val="lt-LT"/>
        </w:rPr>
        <w:t>Rekomenduojama laikytis atsargumo, kai Sephience vartojamas kartu su vaistiniais preparatais, kurie plečia kraujagysles dėl poveikio azoto oksido (NO) metabolizmui arba veikimui, įskaitant klasikinius NO donorus (pvz., glicerilio trinitratą (GTN), izosorbido dinitratą (ISDN), natrio nitroprusidą (SNP) ir molsidominą), 5 tipo fosfodiesterazės (PDE</w:t>
      </w:r>
      <w:r>
        <w:rPr>
          <w:szCs w:val="22"/>
          <w:lang w:val="lt-LT"/>
        </w:rPr>
        <w:noBreakHyphen/>
        <w:t>5) inhibitorius (pvz., sildenafilį, vardenafilį arba tadalafilį) ir minoksidilį. Tyrimuose su gyvūnais kartu su PDE-5 inhibitoriumi per burną vartotas BH4 neturėjo jokio poveikio kraujospūdžiui. </w:t>
      </w:r>
    </w:p>
    <w:p>
      <w:pPr>
        <w:rPr>
          <w:szCs w:val="22"/>
          <w:lang w:val="lt-LT"/>
        </w:rPr>
      </w:pPr>
      <w:r>
        <w:rPr>
          <w:szCs w:val="22"/>
          <w:lang w:val="lt-LT"/>
        </w:rPr>
        <w:t> </w:t>
      </w:r>
    </w:p>
    <w:p>
      <w:pPr>
        <w:rPr>
          <w:szCs w:val="22"/>
          <w:u w:val="single"/>
          <w:lang w:val="lt-LT"/>
        </w:rPr>
      </w:pPr>
      <w:r>
        <w:rPr>
          <w:szCs w:val="22"/>
          <w:u w:val="single"/>
          <w:lang w:val="lt-LT"/>
        </w:rPr>
        <w:t>Levodopa </w:t>
      </w:r>
    </w:p>
    <w:p>
      <w:pPr>
        <w:rPr>
          <w:szCs w:val="22"/>
          <w:u w:val="single"/>
          <w:lang w:val="lt-LT"/>
        </w:rPr>
      </w:pPr>
    </w:p>
    <w:p>
      <w:pPr>
        <w:rPr>
          <w:szCs w:val="22"/>
          <w:lang w:val="lt-LT"/>
        </w:rPr>
      </w:pPr>
      <w:r>
        <w:rPr>
          <w:szCs w:val="22"/>
          <w:lang w:val="lt-LT"/>
        </w:rPr>
        <w:t>Reikia atsargiai skirti Sephience pacientams, kurie yra gydomi levadopa tokiems neurologiniams sutrikimams kaip konvulsijų paūmėjimas, padidėjęs jaudrumas ir irzlumas, traukuliai ir traukulių paūmėjimas kontroliuoti.</w:t>
      </w:r>
      <w:bookmarkEnd w:id="1"/>
    </w:p>
    <w:p>
      <w:pPr>
        <w:spacing w:line="240" w:lineRule="auto"/>
        <w:rPr>
          <w:szCs w:val="22"/>
          <w:lang w:val="lt-LT"/>
        </w:rPr>
      </w:pPr>
    </w:p>
    <w:p>
      <w:pPr>
        <w:spacing w:line="240" w:lineRule="auto"/>
        <w:ind w:left="567" w:hanging="567"/>
        <w:rPr>
          <w:b/>
          <w:szCs w:val="22"/>
          <w:highlight w:val="yellow"/>
          <w:lang w:val="lt-LT"/>
        </w:rPr>
      </w:pPr>
      <w:r>
        <w:rPr>
          <w:b/>
          <w:bCs/>
          <w:szCs w:val="22"/>
          <w:lang w:val="lt-LT"/>
        </w:rPr>
        <w:t>4.6</w:t>
      </w:r>
      <w:r>
        <w:rPr>
          <w:szCs w:val="22"/>
          <w:lang w:val="lt-LT"/>
        </w:rPr>
        <w:tab/>
      </w:r>
      <w:r>
        <w:rPr>
          <w:b/>
          <w:bCs/>
          <w:szCs w:val="22"/>
          <w:lang w:val="lt-LT"/>
        </w:rPr>
        <w:t>Vaisingumas, nėštumo ir žindymo laikotarpis</w:t>
      </w:r>
      <w:r>
        <w:rPr>
          <w:b/>
          <w:szCs w:val="22"/>
          <w:highlight w:val="yellow"/>
          <w:lang w:val="lt-LT"/>
        </w:rPr>
        <w:fldChar w:fldCharType="begin"/>
      </w:r>
      <w:r>
        <w:rPr>
          <w:b/>
          <w:szCs w:val="22"/>
          <w:highlight w:val="yellow"/>
          <w:lang w:val="lt-LT"/>
        </w:rPr>
        <w:instrText xml:space="preserve"> DOCVARIABLE vault_nd_3de272d4-46a8-4c0a-9ca3-987b0032bcd1 </w:instrText>
      </w:r>
      <w:r>
        <w:rPr>
          <w:b/>
          <w:szCs w:val="22"/>
          <w:highlight w:val="yellow"/>
          <w:lang w:val="lt-LT"/>
        </w:rPr>
        <w:fldChar w:fldCharType="separate"/>
      </w:r>
      <w:r>
        <w:rPr>
          <w:b/>
          <w:szCs w:val="22"/>
          <w:highlight w:val="yellow"/>
          <w:lang w:val="lt-LT"/>
        </w:rPr>
        <w:t xml:space="preserve"> </w:t>
      </w:r>
      <w:r>
        <w:rPr>
          <w:b/>
          <w:szCs w:val="22"/>
          <w:highlight w:val="yellow"/>
          <w:lang w:val="lt-LT"/>
        </w:rPr>
        <w:fldChar w:fldCharType="end"/>
      </w:r>
    </w:p>
    <w:p>
      <w:pPr>
        <w:spacing w:line="240" w:lineRule="auto"/>
        <w:ind w:left="567" w:hanging="567"/>
        <w:rPr>
          <w:szCs w:val="22"/>
          <w:highlight w:val="yellow"/>
          <w:lang w:val="lt-LT"/>
        </w:rPr>
      </w:pPr>
    </w:p>
    <w:p>
      <w:pPr>
        <w:spacing w:line="240" w:lineRule="auto"/>
        <w:rPr>
          <w:szCs w:val="22"/>
          <w:u w:val="single"/>
          <w:lang w:val="lt-LT"/>
        </w:rPr>
      </w:pPr>
      <w:r>
        <w:rPr>
          <w:szCs w:val="22"/>
          <w:u w:val="single"/>
          <w:lang w:val="lt-LT"/>
        </w:rPr>
        <w:t>Nėštumas</w:t>
      </w:r>
    </w:p>
    <w:p>
      <w:pPr>
        <w:spacing w:line="240" w:lineRule="auto"/>
        <w:rPr>
          <w:szCs w:val="22"/>
          <w:lang w:val="lt-LT"/>
        </w:rPr>
      </w:pPr>
    </w:p>
    <w:p>
      <w:pPr>
        <w:spacing w:line="240" w:lineRule="auto"/>
        <w:rPr>
          <w:szCs w:val="22"/>
          <w:lang w:val="lt-LT"/>
        </w:rPr>
      </w:pPr>
      <w:r>
        <w:rPr>
          <w:szCs w:val="22"/>
          <w:lang w:val="lt-LT"/>
        </w:rPr>
        <w:t>Duomenų apie sepiapterino vartojimą nėštumo metu nepakanka.</w:t>
      </w:r>
    </w:p>
    <w:p>
      <w:pPr>
        <w:spacing w:line="240" w:lineRule="auto"/>
        <w:rPr>
          <w:szCs w:val="22"/>
          <w:lang w:val="lt-LT"/>
        </w:rPr>
      </w:pPr>
      <w:r>
        <w:rPr>
          <w:szCs w:val="22"/>
          <w:lang w:val="lt-LT"/>
        </w:rPr>
        <w:t>Tyrimai su gyvūnais tiesioginio ar netiesioginio kenksmingo toksinio poveikio reprodukcijai neparodė (žr. 5.3 skyrių). Tinkamų ir gerai kontroliuojamų sepiapterino tyrimų su nėščiomis moterimis nėra.</w:t>
      </w:r>
    </w:p>
    <w:p>
      <w:pPr>
        <w:spacing w:line="240" w:lineRule="auto"/>
        <w:rPr>
          <w:szCs w:val="22"/>
          <w:lang w:val="lt-LT"/>
        </w:rPr>
      </w:pPr>
      <w:r>
        <w:rPr>
          <w:szCs w:val="22"/>
          <w:lang w:val="lt-LT"/>
        </w:rPr>
        <w:t>Nėštumo metu Sephience geriau nevartoti.</w:t>
      </w:r>
    </w:p>
    <w:p>
      <w:pPr>
        <w:spacing w:line="240" w:lineRule="auto"/>
        <w:rPr>
          <w:lang w:val="lt-LT"/>
        </w:rPr>
      </w:pPr>
    </w:p>
    <w:p>
      <w:pPr>
        <w:keepNext/>
        <w:keepLines/>
        <w:spacing w:line="240" w:lineRule="auto"/>
        <w:rPr>
          <w:szCs w:val="22"/>
          <w:u w:val="single"/>
          <w:lang w:val="lt-LT"/>
        </w:rPr>
      </w:pPr>
      <w:r>
        <w:rPr>
          <w:szCs w:val="22"/>
          <w:u w:val="single"/>
          <w:lang w:val="lt-LT"/>
        </w:rPr>
        <w:t>Žindymas</w:t>
      </w:r>
    </w:p>
    <w:p>
      <w:pPr>
        <w:spacing w:line="240" w:lineRule="auto"/>
        <w:rPr>
          <w:szCs w:val="22"/>
          <w:lang w:val="lt-LT"/>
        </w:rPr>
      </w:pPr>
    </w:p>
    <w:p>
      <w:pPr>
        <w:spacing w:line="240" w:lineRule="auto"/>
        <w:rPr>
          <w:szCs w:val="22"/>
          <w:lang w:val="lt-LT"/>
        </w:rPr>
      </w:pPr>
      <w:r>
        <w:rPr>
          <w:szCs w:val="22"/>
          <w:lang w:val="lt-LT"/>
        </w:rPr>
        <w:t>Nežinoma, ar sepiapterino ir (ar) metabolitų išsiskiria į gydytų moterų pieną. Pavojaus žindomiems naujagimiams ar kūdikiams negalima atmesti. Atsižvelgiant į žindymo naudą kūdikiui ir gydymo naudą motinai, reikia nuspręsti, ar nutraukti žindymą ar nutraukti arba susilaikyti nuo gydymo Sephience.</w:t>
      </w:r>
    </w:p>
    <w:p>
      <w:pPr>
        <w:spacing w:line="240" w:lineRule="auto"/>
        <w:rPr>
          <w:szCs w:val="22"/>
          <w:lang w:val="lt-LT"/>
        </w:rPr>
      </w:pPr>
    </w:p>
    <w:p>
      <w:pPr>
        <w:spacing w:line="240" w:lineRule="auto"/>
        <w:rPr>
          <w:szCs w:val="22"/>
          <w:u w:val="single"/>
          <w:lang w:val="lt-LT"/>
        </w:rPr>
      </w:pPr>
      <w:r>
        <w:rPr>
          <w:szCs w:val="22"/>
          <w:u w:val="single"/>
          <w:lang w:val="lt-LT"/>
        </w:rPr>
        <w:t>Vaisingumas</w:t>
      </w:r>
    </w:p>
    <w:p>
      <w:pPr>
        <w:spacing w:line="240" w:lineRule="auto"/>
        <w:rPr>
          <w:szCs w:val="22"/>
          <w:lang w:val="lt-LT"/>
        </w:rPr>
      </w:pPr>
    </w:p>
    <w:p>
      <w:pPr>
        <w:spacing w:line="240" w:lineRule="auto"/>
        <w:rPr>
          <w:szCs w:val="22"/>
          <w:lang w:val="lt-LT"/>
        </w:rPr>
      </w:pPr>
      <w:r>
        <w:rPr>
          <w:szCs w:val="22"/>
          <w:lang w:val="lt-LT"/>
        </w:rPr>
        <w:t>Klinikinių sepiapterino poveikio žmonių vaisingumui tyrimų neatlikta. Tyrimai su gyvūnais tiesioginio ar netiesioginio kenksmingo poveikio vaisingumui neparodė (žr. 5.3 skyrių).</w:t>
      </w:r>
    </w:p>
    <w:p>
      <w:pPr>
        <w:spacing w:line="240" w:lineRule="auto"/>
        <w:rPr>
          <w:szCs w:val="22"/>
          <w:lang w:val="lt-LT"/>
        </w:rPr>
      </w:pPr>
    </w:p>
    <w:p>
      <w:pPr>
        <w:keepNext/>
        <w:spacing w:line="240" w:lineRule="auto"/>
        <w:ind w:left="562" w:hanging="562"/>
        <w:rPr>
          <w:b/>
          <w:szCs w:val="22"/>
          <w:lang w:val="lt-LT"/>
        </w:rPr>
      </w:pPr>
      <w:r>
        <w:rPr>
          <w:b/>
          <w:bCs/>
          <w:szCs w:val="22"/>
          <w:lang w:val="lt-LT"/>
        </w:rPr>
        <w:t>4.7</w:t>
      </w:r>
      <w:r>
        <w:rPr>
          <w:b/>
          <w:bCs/>
          <w:szCs w:val="22"/>
          <w:lang w:val="lt-LT"/>
        </w:rPr>
        <w:tab/>
        <w:t>Poveikis gebėjimui vairuoti ir valdyti mechanizmus</w:t>
      </w:r>
      <w:r>
        <w:rPr>
          <w:b/>
          <w:szCs w:val="22"/>
          <w:highlight w:val="yellow"/>
          <w:lang w:val="lt-LT"/>
        </w:rPr>
        <w:fldChar w:fldCharType="begin"/>
      </w:r>
      <w:r>
        <w:rPr>
          <w:b/>
          <w:szCs w:val="22"/>
          <w:highlight w:val="yellow"/>
          <w:lang w:val="lt-LT"/>
        </w:rPr>
        <w:instrText xml:space="preserve"> DOCVARIABLE vault_nd_44b004c9-f2ef-4978-a180-5aee3c9cda50 </w:instrText>
      </w:r>
      <w:r>
        <w:rPr>
          <w:b/>
          <w:szCs w:val="22"/>
          <w:highlight w:val="yellow"/>
          <w:lang w:val="lt-LT"/>
        </w:rPr>
        <w:fldChar w:fldCharType="separate"/>
      </w:r>
      <w:r>
        <w:rPr>
          <w:b/>
          <w:szCs w:val="22"/>
          <w:highlight w:val="yellow"/>
          <w:lang w:val="lt-LT"/>
        </w:rPr>
        <w:t xml:space="preserve"> </w:t>
      </w:r>
      <w:r>
        <w:rPr>
          <w:b/>
          <w:szCs w:val="22"/>
          <w:highlight w:val="yellow"/>
          <w:lang w:val="lt-LT"/>
        </w:rPr>
        <w:fldChar w:fldCharType="end"/>
      </w:r>
    </w:p>
    <w:p>
      <w:pPr>
        <w:keepNext/>
        <w:spacing w:line="240" w:lineRule="auto"/>
        <w:ind w:left="561" w:hanging="561"/>
        <w:rPr>
          <w:szCs w:val="22"/>
          <w:lang w:val="lt-LT"/>
        </w:rPr>
      </w:pPr>
    </w:p>
    <w:p>
      <w:pPr>
        <w:spacing w:line="240" w:lineRule="auto"/>
        <w:rPr>
          <w:szCs w:val="22"/>
          <w:lang w:val="lt-LT"/>
        </w:rPr>
      </w:pPr>
      <w:r>
        <w:rPr>
          <w:szCs w:val="22"/>
          <w:lang w:val="lt-LT"/>
        </w:rPr>
        <w:t>Sephience gebėjimo vairuoti ir valdyti mechanizmus neveikia arba veikia nereikšmingai.</w:t>
      </w:r>
    </w:p>
    <w:p>
      <w:pPr>
        <w:spacing w:line="240" w:lineRule="auto"/>
        <w:rPr>
          <w:szCs w:val="22"/>
          <w:lang w:val="lt-LT"/>
        </w:rPr>
      </w:pPr>
    </w:p>
    <w:p>
      <w:pPr>
        <w:spacing w:line="240" w:lineRule="auto"/>
        <w:rPr>
          <w:b/>
          <w:szCs w:val="22"/>
          <w:lang w:val="lt-LT"/>
        </w:rPr>
      </w:pPr>
      <w:r>
        <w:rPr>
          <w:b/>
          <w:bCs/>
          <w:szCs w:val="22"/>
          <w:lang w:val="lt-LT"/>
        </w:rPr>
        <w:t>4.8</w:t>
      </w:r>
      <w:r>
        <w:rPr>
          <w:b/>
          <w:bCs/>
          <w:szCs w:val="22"/>
          <w:lang w:val="lt-LT"/>
        </w:rPr>
        <w:tab/>
        <w:t>Nepageidaujamas poveikis</w:t>
      </w:r>
      <w:r>
        <w:rPr>
          <w:b/>
          <w:szCs w:val="22"/>
          <w:highlight w:val="yellow"/>
          <w:lang w:val="lt-LT"/>
        </w:rPr>
        <w:fldChar w:fldCharType="begin"/>
      </w:r>
      <w:r>
        <w:rPr>
          <w:b/>
          <w:szCs w:val="22"/>
          <w:highlight w:val="yellow"/>
          <w:lang w:val="lt-LT"/>
        </w:rPr>
        <w:instrText xml:space="preserve"> DOCVARIABLE vault_nd_faf92d7f-6b3c-4efb-8d85-3ec87c580de5 </w:instrText>
      </w:r>
      <w:r>
        <w:rPr>
          <w:b/>
          <w:szCs w:val="22"/>
          <w:highlight w:val="yellow"/>
          <w:lang w:val="lt-LT"/>
        </w:rPr>
        <w:fldChar w:fldCharType="separate"/>
      </w:r>
      <w:r>
        <w:rPr>
          <w:b/>
          <w:szCs w:val="22"/>
          <w:highlight w:val="yellow"/>
          <w:lang w:val="lt-LT"/>
        </w:rPr>
        <w:t xml:space="preserve"> </w:t>
      </w:r>
      <w:r>
        <w:rPr>
          <w:b/>
          <w:szCs w:val="22"/>
          <w:highlight w:val="yellow"/>
          <w:lang w:val="lt-LT"/>
        </w:rPr>
        <w:fldChar w:fldCharType="end"/>
      </w:r>
    </w:p>
    <w:p>
      <w:pPr>
        <w:spacing w:line="240" w:lineRule="auto"/>
        <w:rPr>
          <w:b/>
          <w:szCs w:val="22"/>
          <w:lang w:val="lt-LT"/>
        </w:rPr>
      </w:pPr>
    </w:p>
    <w:p>
      <w:pPr>
        <w:spacing w:line="240" w:lineRule="auto"/>
        <w:rPr>
          <w:iCs/>
          <w:szCs w:val="22"/>
          <w:u w:val="single"/>
          <w:lang w:val="lt-LT"/>
        </w:rPr>
      </w:pPr>
      <w:r>
        <w:rPr>
          <w:iCs/>
          <w:szCs w:val="22"/>
          <w:u w:val="single"/>
          <w:lang w:val="lt-LT"/>
        </w:rPr>
        <w:t xml:space="preserve">Saugumo duomenų santrauka </w:t>
      </w:r>
    </w:p>
    <w:p>
      <w:pPr>
        <w:spacing w:line="240" w:lineRule="auto"/>
        <w:rPr>
          <w:szCs w:val="22"/>
          <w:u w:val="single"/>
          <w:lang w:val="lt-LT"/>
        </w:rPr>
      </w:pPr>
    </w:p>
    <w:p>
      <w:pPr>
        <w:tabs>
          <w:tab w:val="clear" w:pos="567"/>
          <w:tab w:val="left" w:pos="144"/>
        </w:tabs>
        <w:spacing w:line="240" w:lineRule="auto"/>
        <w:rPr>
          <w:szCs w:val="22"/>
          <w:lang w:val="lt-LT"/>
        </w:rPr>
      </w:pPr>
      <w:r>
        <w:rPr>
          <w:szCs w:val="22"/>
          <w:lang w:val="lt-LT"/>
        </w:rPr>
        <w:t>Kaip nurodyta lentelėje toliau, dažniausios nepageidaujamos reakcijos buvo viršutinių kvėpavimo takų infekcija (19,8 %), galvos skausmas (15,3 %), viduriavimas (14,9 %), pilvo skausmas (12,2 %), pakitusios spalvos išmatos (4,5 %) ir hipofenilalaninemija (2,7 %).</w:t>
      </w:r>
    </w:p>
    <w:p>
      <w:pPr>
        <w:tabs>
          <w:tab w:val="clear" w:pos="567"/>
          <w:tab w:val="left" w:pos="144"/>
        </w:tabs>
        <w:spacing w:line="240" w:lineRule="auto"/>
        <w:rPr>
          <w:szCs w:val="22"/>
          <w:lang w:val="lt-LT"/>
        </w:rPr>
      </w:pPr>
    </w:p>
    <w:p>
      <w:pPr>
        <w:keepNext/>
        <w:keepLines/>
        <w:tabs>
          <w:tab w:val="clear" w:pos="567"/>
          <w:tab w:val="left" w:pos="144"/>
        </w:tabs>
        <w:spacing w:line="240" w:lineRule="auto"/>
        <w:rPr>
          <w:szCs w:val="22"/>
          <w:lang w:val="lt-LT"/>
        </w:rPr>
      </w:pPr>
      <w:r>
        <w:rPr>
          <w:szCs w:val="22"/>
          <w:u w:val="single"/>
          <w:lang w:val="lt-LT"/>
        </w:rPr>
        <w:t>Nepageidaujamų reakcijų santrauka lentelėje</w:t>
      </w:r>
    </w:p>
    <w:p>
      <w:pPr>
        <w:keepNext/>
        <w:keepLines/>
        <w:tabs>
          <w:tab w:val="clear" w:pos="567"/>
          <w:tab w:val="left" w:pos="144"/>
        </w:tabs>
        <w:spacing w:line="240" w:lineRule="auto"/>
        <w:rPr>
          <w:i/>
          <w:iCs/>
          <w:szCs w:val="22"/>
          <w:lang w:val="lt-LT"/>
        </w:rPr>
      </w:pPr>
    </w:p>
    <w:p>
      <w:pPr>
        <w:keepNext/>
        <w:keepLines/>
        <w:rPr>
          <w:szCs w:val="22"/>
          <w:lang w:val="lt-LT"/>
        </w:rPr>
      </w:pPr>
      <w:r>
        <w:rPr>
          <w:szCs w:val="22"/>
          <w:lang w:val="lt-LT"/>
        </w:rPr>
        <w:t>Sepiapterino nepageidaujamos reakcijos nustatytos pagal klinikinių tyrimų duomenis. Nepageidaujamų reakcijų dažnis, pateiktas lentelėje toliau, buvo apskaičiuotas remiantis 2 pagrindinių klinikinių tyrimų su FKU sergančiais pacientais (tyrimo PTC923-MD-003-PKU ir tyrimo PTC923</w:t>
      </w:r>
      <w:r>
        <w:rPr>
          <w:szCs w:val="22"/>
          <w:lang w:val="lt-LT"/>
        </w:rPr>
        <w:noBreakHyphen/>
        <w:t>MD</w:t>
      </w:r>
      <w:r>
        <w:rPr>
          <w:szCs w:val="22"/>
          <w:lang w:val="lt-LT"/>
        </w:rPr>
        <w:noBreakHyphen/>
        <w:t>004</w:t>
      </w:r>
      <w:r>
        <w:rPr>
          <w:szCs w:val="22"/>
          <w:lang w:val="lt-LT"/>
        </w:rPr>
        <w:noBreakHyphen/>
        <w:t>PKU) kauptiniais duomenimis. Šie duomenys gauti iš 222 pacientų, kurie vartojo sepiapteriną iki 60 mg/kg per parą dozėmis; iš jų 15 (6,8 %) buvo &lt;2 metų, 25 (11,3 %) – nuo 2 iki &lt; 6 metų, 46 (20,7 %) – nuo 6 iki &lt;12 metų, 55 (24,8 %) – nuo 12 iki &lt;18 metų ir 81 (36,5 %) – ≥ 18 metų, o gydymo trukmės mediana (savaitėmis) buvo 34,286.</w:t>
      </w:r>
    </w:p>
    <w:p>
      <w:pPr>
        <w:rPr>
          <w:szCs w:val="22"/>
          <w:lang w:val="lt-LT"/>
        </w:rPr>
      </w:pPr>
    </w:p>
    <w:p>
      <w:pPr>
        <w:rPr>
          <w:lang w:val="lt-LT"/>
        </w:rPr>
      </w:pPr>
      <w:r>
        <w:rPr>
          <w:szCs w:val="22"/>
          <w:lang w:val="lt-LT"/>
        </w:rPr>
        <w:t>Nepageidaujamos reakcijos toliau (6 lentelėje) išvardytos pagal MedDRA organų sistemų klases (OSK). Kiekvienoje OSK nepageidaujamos reakcijos pateikiamos mažėjančio dažnumo tvarka. Reiškinio dažnis apibrėžiamas taip: labai dažnas (≥ 1/10); dažnas (nuo ≥ 1/100 iki &lt; 1/10); nedažnas (nuo ≥1/1 000 iki &lt;1/100); retas (nuo ≥ 1/10 000 iki &lt;1/1 000); labai retas (&lt; 1/10 000) ir dažnis nežinomas (negali būti apskaičiuotas pagal turimus duomenis).</w:t>
      </w:r>
      <w:r>
        <w:rPr>
          <w:szCs w:val="22"/>
          <w:lang w:val="lt-LT"/>
        </w:rPr>
        <w:br/>
      </w:r>
    </w:p>
    <w:p>
      <w:pPr>
        <w:jc w:val="both"/>
        <w:rPr>
          <w:b/>
          <w:szCs w:val="22"/>
          <w:lang w:val="lt-LT"/>
        </w:rPr>
      </w:pPr>
      <w:r>
        <w:rPr>
          <w:b/>
          <w:bCs/>
          <w:szCs w:val="22"/>
          <w:lang w:val="lt-LT"/>
        </w:rPr>
        <w:t>6 lentelė. Nepageidaujamos reakcijos</w:t>
      </w:r>
    </w:p>
    <w:p>
      <w:pPr>
        <w:jc w:val="both"/>
        <w:rPr>
          <w:i/>
          <w:szCs w:val="22"/>
          <w:lang w:val="lt-LT"/>
        </w:rPr>
      </w:pPr>
    </w:p>
    <w:tbl>
      <w:tblPr>
        <w:tblW w:w="5000" w:type="pct"/>
        <w:tblInd w:w="103" w:type="dxa"/>
        <w:tblLayout w:type="fixed"/>
        <w:tblLook w:val="0000" w:firstRow="0" w:lastRow="0" w:firstColumn="0" w:lastColumn="0" w:noHBand="0" w:noVBand="0"/>
      </w:tblPr>
      <w:tblGrid>
        <w:gridCol w:w="2891"/>
        <w:gridCol w:w="3051"/>
        <w:gridCol w:w="3344"/>
      </w:tblGrid>
      <w:tr>
        <w:trPr>
          <w:trHeight w:val="582"/>
          <w:tblHeader/>
        </w:trPr>
        <w:tc>
          <w:tcPr>
            <w:tcW w:w="2824" w:type="dxa"/>
            <w:tcBorders>
              <w:top w:val="single" w:sz="4" w:space="0" w:color="000000"/>
              <w:left w:val="single" w:sz="4" w:space="0" w:color="000000"/>
              <w:bottom w:val="single" w:sz="4" w:space="0" w:color="000000"/>
              <w:right w:val="single" w:sz="4" w:space="0" w:color="000000"/>
            </w:tcBorders>
          </w:tcPr>
          <w:p>
            <w:pPr>
              <w:keepNext/>
              <w:keepLines/>
              <w:rPr>
                <w:b/>
                <w:bCs/>
                <w:color w:val="000000"/>
                <w:szCs w:val="22"/>
                <w:lang w:val="lt-LT"/>
              </w:rPr>
            </w:pPr>
            <w:r>
              <w:rPr>
                <w:b/>
                <w:bCs/>
                <w:color w:val="000000"/>
                <w:szCs w:val="22"/>
                <w:lang w:val="lt-LT"/>
              </w:rPr>
              <w:t>MedDRA</w:t>
            </w:r>
          </w:p>
          <w:p>
            <w:pPr>
              <w:keepNext/>
              <w:keepLines/>
              <w:rPr>
                <w:b/>
                <w:bCs/>
                <w:color w:val="000000"/>
                <w:szCs w:val="22"/>
                <w:lang w:val="lt-LT"/>
              </w:rPr>
            </w:pPr>
            <w:r>
              <w:rPr>
                <w:b/>
                <w:bCs/>
                <w:color w:val="000000"/>
                <w:szCs w:val="22"/>
                <w:lang w:val="lt-LT"/>
              </w:rPr>
              <w:t>organų sistemų klasė</w:t>
            </w:r>
          </w:p>
        </w:tc>
        <w:tc>
          <w:tcPr>
            <w:tcW w:w="2980" w:type="dxa"/>
            <w:tcBorders>
              <w:top w:val="single" w:sz="4" w:space="0" w:color="000000"/>
              <w:left w:val="single" w:sz="4" w:space="0" w:color="000000"/>
              <w:bottom w:val="single" w:sz="4" w:space="0" w:color="000000"/>
              <w:right w:val="single" w:sz="4" w:space="0" w:color="000000"/>
            </w:tcBorders>
          </w:tcPr>
          <w:p>
            <w:pPr>
              <w:keepNext/>
              <w:keepLines/>
              <w:rPr>
                <w:b/>
                <w:bCs/>
                <w:color w:val="000000"/>
                <w:szCs w:val="22"/>
                <w:lang w:val="lt-LT"/>
              </w:rPr>
            </w:pPr>
            <w:r>
              <w:rPr>
                <w:b/>
                <w:bCs/>
                <w:color w:val="000000"/>
                <w:szCs w:val="22"/>
                <w:lang w:val="lt-LT"/>
              </w:rPr>
              <w:t>Dažnis</w:t>
            </w:r>
          </w:p>
          <w:p>
            <w:pPr>
              <w:keepNext/>
              <w:keepLines/>
              <w:rPr>
                <w:b/>
                <w:bCs/>
                <w:color w:val="000000"/>
                <w:szCs w:val="22"/>
                <w:lang w:val="lt-LT"/>
              </w:rPr>
            </w:pPr>
          </w:p>
        </w:tc>
        <w:tc>
          <w:tcPr>
            <w:tcW w:w="3266" w:type="dxa"/>
            <w:tcBorders>
              <w:top w:val="single" w:sz="4" w:space="0" w:color="000000"/>
              <w:left w:val="single" w:sz="4" w:space="0" w:color="000000"/>
              <w:bottom w:val="single" w:sz="4" w:space="0" w:color="000000"/>
              <w:right w:val="single" w:sz="4" w:space="0" w:color="000000"/>
            </w:tcBorders>
          </w:tcPr>
          <w:p>
            <w:pPr>
              <w:keepNext/>
              <w:keepLines/>
              <w:rPr>
                <w:b/>
                <w:bCs/>
                <w:color w:val="000000"/>
                <w:szCs w:val="22"/>
                <w:lang w:val="lt-LT"/>
              </w:rPr>
            </w:pPr>
            <w:r>
              <w:rPr>
                <w:b/>
                <w:bCs/>
                <w:color w:val="000000"/>
                <w:szCs w:val="22"/>
                <w:lang w:val="lt-LT"/>
              </w:rPr>
              <w:t>Nepageidaujamos reakcijos</w:t>
            </w:r>
          </w:p>
        </w:tc>
      </w:tr>
      <w:tr>
        <w:trPr>
          <w:trHeight w:val="285"/>
        </w:trPr>
        <w:tc>
          <w:tcPr>
            <w:tcW w:w="2824" w:type="dxa"/>
            <w:tcBorders>
              <w:top w:val="single" w:sz="4" w:space="0" w:color="000000"/>
              <w:left w:val="single" w:sz="4" w:space="0" w:color="000000"/>
              <w:bottom w:val="single" w:sz="4" w:space="0" w:color="000000"/>
              <w:right w:val="single" w:sz="4" w:space="0" w:color="000000"/>
            </w:tcBorders>
          </w:tcPr>
          <w:p>
            <w:pPr>
              <w:keepNext/>
              <w:keepLines/>
              <w:rPr>
                <w:b/>
                <w:bCs/>
                <w:color w:val="000000"/>
                <w:szCs w:val="22"/>
                <w:lang w:val="lt-LT"/>
              </w:rPr>
            </w:pPr>
            <w:r>
              <w:rPr>
                <w:b/>
                <w:bCs/>
                <w:color w:val="000000"/>
                <w:szCs w:val="22"/>
                <w:lang w:val="lt-LT"/>
              </w:rPr>
              <w:t>Infekcijos ir infestacijos</w:t>
            </w:r>
          </w:p>
        </w:tc>
        <w:tc>
          <w:tcPr>
            <w:tcW w:w="2980" w:type="dxa"/>
            <w:tcBorders>
              <w:top w:val="single" w:sz="4" w:space="0" w:color="000000"/>
              <w:left w:val="single" w:sz="4" w:space="0" w:color="000000"/>
              <w:bottom w:val="single" w:sz="4" w:space="0" w:color="000000"/>
              <w:right w:val="single" w:sz="4" w:space="0" w:color="000000"/>
            </w:tcBorders>
          </w:tcPr>
          <w:p>
            <w:pPr>
              <w:keepNext/>
              <w:keepLines/>
              <w:rPr>
                <w:color w:val="000000"/>
                <w:szCs w:val="22"/>
                <w:lang w:val="lt-LT"/>
              </w:rPr>
            </w:pPr>
            <w:r>
              <w:rPr>
                <w:color w:val="000000"/>
                <w:szCs w:val="22"/>
                <w:lang w:val="lt-LT"/>
              </w:rPr>
              <w:t>Labai dažnas</w:t>
            </w:r>
          </w:p>
        </w:tc>
        <w:tc>
          <w:tcPr>
            <w:tcW w:w="3266" w:type="dxa"/>
            <w:tcBorders>
              <w:top w:val="single" w:sz="4" w:space="0" w:color="000000"/>
              <w:left w:val="single" w:sz="4" w:space="0" w:color="000000"/>
              <w:bottom w:val="single" w:sz="4" w:space="0" w:color="000000"/>
              <w:right w:val="single" w:sz="4" w:space="0" w:color="000000"/>
            </w:tcBorders>
          </w:tcPr>
          <w:p>
            <w:pPr>
              <w:keepNext/>
              <w:keepLines/>
              <w:rPr>
                <w:color w:val="000000"/>
                <w:szCs w:val="22"/>
                <w:lang w:val="lt-LT"/>
              </w:rPr>
            </w:pPr>
            <w:r>
              <w:rPr>
                <w:color w:val="000000"/>
                <w:szCs w:val="22"/>
                <w:lang w:val="lt-LT"/>
              </w:rPr>
              <w:t>Viršutinių kvėpavimo takų infekcija</w:t>
            </w:r>
          </w:p>
        </w:tc>
      </w:tr>
      <w:tr>
        <w:trPr>
          <w:trHeight w:val="180"/>
        </w:trPr>
        <w:tc>
          <w:tcPr>
            <w:tcW w:w="2824" w:type="dxa"/>
            <w:tcBorders>
              <w:top w:val="single" w:sz="4" w:space="0" w:color="000000"/>
              <w:left w:val="single" w:sz="4" w:space="0" w:color="000000"/>
              <w:bottom w:val="single" w:sz="4" w:space="0" w:color="000000"/>
              <w:right w:val="single" w:sz="4" w:space="0" w:color="000000"/>
            </w:tcBorders>
          </w:tcPr>
          <w:p>
            <w:pPr>
              <w:keepNext/>
              <w:keepLines/>
              <w:rPr>
                <w:b/>
                <w:bCs/>
                <w:color w:val="000000"/>
                <w:szCs w:val="22"/>
                <w:lang w:val="lt-LT"/>
              </w:rPr>
            </w:pPr>
            <w:r>
              <w:rPr>
                <w:b/>
                <w:bCs/>
                <w:color w:val="000000"/>
                <w:szCs w:val="22"/>
                <w:lang w:val="lt-LT"/>
              </w:rPr>
              <w:t>Nervų sistemos sutrikimai</w:t>
            </w:r>
          </w:p>
        </w:tc>
        <w:tc>
          <w:tcPr>
            <w:tcW w:w="2980" w:type="dxa"/>
            <w:tcBorders>
              <w:top w:val="single" w:sz="4" w:space="0" w:color="000000"/>
              <w:left w:val="single" w:sz="4" w:space="0" w:color="000000"/>
              <w:bottom w:val="single" w:sz="4" w:space="0" w:color="000000"/>
              <w:right w:val="single" w:sz="4" w:space="0" w:color="000000"/>
            </w:tcBorders>
          </w:tcPr>
          <w:p>
            <w:pPr>
              <w:keepNext/>
              <w:keepLines/>
              <w:rPr>
                <w:color w:val="000000"/>
                <w:szCs w:val="22"/>
                <w:lang w:val="lt-LT"/>
              </w:rPr>
            </w:pPr>
            <w:r>
              <w:rPr>
                <w:color w:val="000000"/>
                <w:szCs w:val="22"/>
                <w:lang w:val="lt-LT"/>
              </w:rPr>
              <w:t>Labai dažnas</w:t>
            </w:r>
          </w:p>
        </w:tc>
        <w:tc>
          <w:tcPr>
            <w:tcW w:w="3266" w:type="dxa"/>
            <w:tcBorders>
              <w:top w:val="single" w:sz="4" w:space="0" w:color="000000"/>
              <w:left w:val="single" w:sz="4" w:space="0" w:color="000000"/>
              <w:bottom w:val="single" w:sz="4" w:space="0" w:color="000000"/>
              <w:right w:val="single" w:sz="4" w:space="0" w:color="000000"/>
            </w:tcBorders>
          </w:tcPr>
          <w:p>
            <w:pPr>
              <w:keepNext/>
              <w:keepLines/>
              <w:rPr>
                <w:color w:val="000000"/>
                <w:szCs w:val="22"/>
                <w:lang w:val="lt-LT"/>
              </w:rPr>
            </w:pPr>
            <w:r>
              <w:rPr>
                <w:color w:val="000000"/>
                <w:szCs w:val="22"/>
                <w:lang w:val="lt-LT"/>
              </w:rPr>
              <w:t>Galvos skausmas</w:t>
            </w:r>
          </w:p>
        </w:tc>
      </w:tr>
      <w:tr>
        <w:trPr>
          <w:trHeight w:val="432"/>
        </w:trPr>
        <w:tc>
          <w:tcPr>
            <w:tcW w:w="2824" w:type="dxa"/>
            <w:vMerge w:val="restart"/>
            <w:tcBorders>
              <w:top w:val="single" w:sz="4" w:space="0" w:color="000000"/>
              <w:left w:val="single" w:sz="4" w:space="0" w:color="000000"/>
              <w:bottom w:val="single" w:sz="4" w:space="0" w:color="000000"/>
              <w:right w:val="single" w:sz="4" w:space="0" w:color="000000"/>
            </w:tcBorders>
          </w:tcPr>
          <w:p>
            <w:pPr>
              <w:keepNext/>
              <w:keepLines/>
              <w:rPr>
                <w:b/>
                <w:bCs/>
                <w:color w:val="000000"/>
                <w:szCs w:val="22"/>
                <w:lang w:val="lt-LT"/>
              </w:rPr>
            </w:pPr>
            <w:r>
              <w:rPr>
                <w:b/>
                <w:bCs/>
                <w:color w:val="000000"/>
                <w:szCs w:val="22"/>
                <w:lang w:val="lt-LT"/>
              </w:rPr>
              <w:t>Virškinimo trakto sutrikimai</w:t>
            </w:r>
          </w:p>
        </w:tc>
        <w:tc>
          <w:tcPr>
            <w:tcW w:w="2980" w:type="dxa"/>
            <w:tcBorders>
              <w:top w:val="single" w:sz="4" w:space="0" w:color="000000"/>
              <w:left w:val="single" w:sz="4" w:space="0" w:color="000000"/>
              <w:bottom w:val="single" w:sz="4" w:space="0" w:color="000000"/>
              <w:right w:val="single" w:sz="4" w:space="0" w:color="000000"/>
            </w:tcBorders>
          </w:tcPr>
          <w:p>
            <w:pPr>
              <w:keepNext/>
              <w:keepLines/>
              <w:rPr>
                <w:color w:val="000000"/>
                <w:szCs w:val="22"/>
                <w:lang w:val="lt-LT"/>
              </w:rPr>
            </w:pPr>
            <w:r>
              <w:rPr>
                <w:color w:val="000000"/>
                <w:szCs w:val="22"/>
                <w:lang w:val="lt-LT"/>
              </w:rPr>
              <w:t>Labai dažnas</w:t>
            </w:r>
          </w:p>
        </w:tc>
        <w:tc>
          <w:tcPr>
            <w:tcW w:w="3266" w:type="dxa"/>
            <w:tcBorders>
              <w:top w:val="single" w:sz="4" w:space="0" w:color="000000"/>
              <w:left w:val="single" w:sz="4" w:space="0" w:color="000000"/>
              <w:bottom w:val="single" w:sz="4" w:space="0" w:color="000000"/>
              <w:right w:val="single" w:sz="4" w:space="0" w:color="000000"/>
            </w:tcBorders>
          </w:tcPr>
          <w:p>
            <w:pPr>
              <w:keepNext/>
              <w:keepLines/>
              <w:rPr>
                <w:color w:val="000000"/>
                <w:szCs w:val="22"/>
                <w:lang w:val="lt-LT"/>
              </w:rPr>
            </w:pPr>
            <w:r>
              <w:rPr>
                <w:color w:val="000000"/>
                <w:szCs w:val="22"/>
                <w:lang w:val="lt-LT"/>
              </w:rPr>
              <w:t>Viduriavimas</w:t>
            </w:r>
          </w:p>
          <w:p>
            <w:pPr>
              <w:keepNext/>
              <w:keepLines/>
              <w:rPr>
                <w:color w:val="000000"/>
                <w:szCs w:val="22"/>
                <w:lang w:val="lt-LT"/>
              </w:rPr>
            </w:pPr>
            <w:r>
              <w:rPr>
                <w:color w:val="000000"/>
                <w:szCs w:val="22"/>
                <w:lang w:val="lt-LT"/>
              </w:rPr>
              <w:t>Pilvo skausmai*</w:t>
            </w:r>
          </w:p>
        </w:tc>
      </w:tr>
      <w:tr>
        <w:trPr>
          <w:trHeight w:val="432"/>
        </w:trPr>
        <w:tc>
          <w:tcPr>
            <w:tcW w:w="2824" w:type="dxa"/>
            <w:vMerge/>
            <w:tcBorders>
              <w:top w:val="single" w:sz="4" w:space="0" w:color="000000"/>
              <w:left w:val="single" w:sz="4" w:space="0" w:color="000000"/>
              <w:bottom w:val="single" w:sz="4" w:space="0" w:color="000000"/>
              <w:right w:val="single" w:sz="4" w:space="0" w:color="000000"/>
            </w:tcBorders>
          </w:tcPr>
          <w:p>
            <w:pPr>
              <w:keepNext/>
              <w:keepLines/>
              <w:rPr>
                <w:b/>
                <w:bCs/>
                <w:color w:val="000000"/>
                <w:szCs w:val="22"/>
                <w:lang w:val="lt-LT"/>
              </w:rPr>
            </w:pPr>
          </w:p>
        </w:tc>
        <w:tc>
          <w:tcPr>
            <w:tcW w:w="2980" w:type="dxa"/>
            <w:tcBorders>
              <w:top w:val="single" w:sz="4" w:space="0" w:color="000000"/>
              <w:left w:val="single" w:sz="4" w:space="0" w:color="000000"/>
              <w:bottom w:val="single" w:sz="4" w:space="0" w:color="000000"/>
              <w:right w:val="single" w:sz="4" w:space="0" w:color="000000"/>
            </w:tcBorders>
          </w:tcPr>
          <w:p>
            <w:pPr>
              <w:keepNext/>
              <w:keepLines/>
              <w:rPr>
                <w:color w:val="000000"/>
                <w:szCs w:val="22"/>
                <w:lang w:val="lt-LT"/>
              </w:rPr>
            </w:pPr>
            <w:r>
              <w:rPr>
                <w:color w:val="000000"/>
                <w:szCs w:val="22"/>
                <w:lang w:val="lt-LT"/>
              </w:rPr>
              <w:t>Dažnas</w:t>
            </w:r>
          </w:p>
        </w:tc>
        <w:tc>
          <w:tcPr>
            <w:tcW w:w="3266" w:type="dxa"/>
            <w:tcBorders>
              <w:top w:val="single" w:sz="4" w:space="0" w:color="000000"/>
              <w:left w:val="single" w:sz="4" w:space="0" w:color="000000"/>
              <w:bottom w:val="single" w:sz="4" w:space="0" w:color="000000"/>
              <w:right w:val="single" w:sz="4" w:space="0" w:color="000000"/>
            </w:tcBorders>
          </w:tcPr>
          <w:p>
            <w:pPr>
              <w:keepNext/>
              <w:keepLines/>
              <w:rPr>
                <w:color w:val="000000"/>
                <w:szCs w:val="22"/>
                <w:lang w:val="lt-LT"/>
              </w:rPr>
            </w:pPr>
            <w:r>
              <w:rPr>
                <w:color w:val="000000"/>
                <w:szCs w:val="22"/>
                <w:lang w:val="lt-LT"/>
              </w:rPr>
              <w:t>Pakitusi išmatų spalva</w:t>
            </w:r>
          </w:p>
        </w:tc>
      </w:tr>
      <w:tr>
        <w:trPr>
          <w:trHeight w:val="432"/>
        </w:trPr>
        <w:tc>
          <w:tcPr>
            <w:tcW w:w="2824" w:type="dxa"/>
            <w:tcBorders>
              <w:top w:val="single" w:sz="4" w:space="0" w:color="000000"/>
              <w:left w:val="single" w:sz="4" w:space="0" w:color="000000"/>
              <w:bottom w:val="single" w:sz="4" w:space="0" w:color="000000"/>
              <w:right w:val="single" w:sz="4" w:space="0" w:color="000000"/>
            </w:tcBorders>
          </w:tcPr>
          <w:p>
            <w:pPr>
              <w:keepNext/>
              <w:keepLines/>
              <w:rPr>
                <w:b/>
                <w:bCs/>
                <w:color w:val="000000"/>
                <w:szCs w:val="22"/>
                <w:lang w:val="lt-LT"/>
              </w:rPr>
            </w:pPr>
            <w:r>
              <w:rPr>
                <w:b/>
                <w:lang w:val="lt-LT"/>
              </w:rPr>
              <w:t>Metabolizmo ir mitybos sutrikimai</w:t>
            </w:r>
          </w:p>
        </w:tc>
        <w:tc>
          <w:tcPr>
            <w:tcW w:w="2980" w:type="dxa"/>
            <w:tcBorders>
              <w:top w:val="single" w:sz="4" w:space="0" w:color="000000"/>
              <w:left w:val="single" w:sz="4" w:space="0" w:color="000000"/>
              <w:bottom w:val="single" w:sz="4" w:space="0" w:color="000000"/>
              <w:right w:val="single" w:sz="4" w:space="0" w:color="000000"/>
            </w:tcBorders>
          </w:tcPr>
          <w:p>
            <w:pPr>
              <w:keepNext/>
              <w:keepLines/>
              <w:rPr>
                <w:color w:val="000000"/>
                <w:szCs w:val="22"/>
                <w:lang w:val="lt-LT"/>
              </w:rPr>
            </w:pPr>
            <w:r>
              <w:rPr>
                <w:color w:val="000000"/>
                <w:szCs w:val="22"/>
                <w:lang w:val="lt-LT"/>
              </w:rPr>
              <w:t>Dažnas</w:t>
            </w:r>
          </w:p>
        </w:tc>
        <w:tc>
          <w:tcPr>
            <w:tcW w:w="3266" w:type="dxa"/>
            <w:tcBorders>
              <w:top w:val="single" w:sz="4" w:space="0" w:color="000000"/>
              <w:left w:val="single" w:sz="4" w:space="0" w:color="000000"/>
              <w:bottom w:val="single" w:sz="4" w:space="0" w:color="000000"/>
              <w:right w:val="single" w:sz="4" w:space="0" w:color="000000"/>
            </w:tcBorders>
          </w:tcPr>
          <w:p>
            <w:pPr>
              <w:keepNext/>
              <w:keepLines/>
              <w:rPr>
                <w:color w:val="000000"/>
                <w:szCs w:val="22"/>
                <w:lang w:val="lt-LT"/>
              </w:rPr>
            </w:pPr>
            <w:r>
              <w:rPr>
                <w:szCs w:val="22"/>
                <w:lang w:val="lt-LT"/>
              </w:rPr>
              <w:t>Hipofenilalaninemija</w:t>
            </w:r>
          </w:p>
        </w:tc>
      </w:tr>
    </w:tbl>
    <w:p>
      <w:pPr>
        <w:tabs>
          <w:tab w:val="left" w:pos="144"/>
        </w:tabs>
        <w:rPr>
          <w:szCs w:val="22"/>
          <w:lang w:val="lt-LT"/>
        </w:rPr>
      </w:pPr>
      <w:r>
        <w:rPr>
          <w:szCs w:val="22"/>
          <w:lang w:val="lt-LT"/>
        </w:rPr>
        <w:t>* 3 MedDRA vartojamų terminų grupavimas: pilvo skausmas, viršutinės pilvo dalies skausmas, nemalonus pojūtis pilve.</w:t>
      </w:r>
    </w:p>
    <w:p>
      <w:pPr>
        <w:tabs>
          <w:tab w:val="clear" w:pos="567"/>
          <w:tab w:val="left" w:pos="144"/>
        </w:tabs>
        <w:spacing w:line="240" w:lineRule="auto"/>
        <w:rPr>
          <w:i/>
          <w:iCs/>
          <w:szCs w:val="22"/>
          <w:lang w:val="lt-LT"/>
        </w:rPr>
      </w:pPr>
    </w:p>
    <w:p>
      <w:pPr>
        <w:keepNext/>
        <w:keepLines/>
        <w:tabs>
          <w:tab w:val="clear" w:pos="567"/>
          <w:tab w:val="left" w:pos="144"/>
        </w:tabs>
        <w:spacing w:line="240" w:lineRule="auto"/>
        <w:rPr>
          <w:szCs w:val="22"/>
          <w:u w:val="single"/>
          <w:lang w:val="lt-LT"/>
        </w:rPr>
      </w:pPr>
      <w:r>
        <w:rPr>
          <w:szCs w:val="22"/>
          <w:u w:val="single"/>
          <w:lang w:val="lt-LT"/>
        </w:rPr>
        <w:t>Vaikų populiacija</w:t>
      </w:r>
    </w:p>
    <w:p>
      <w:pPr>
        <w:keepNext/>
        <w:keepLines/>
        <w:spacing w:line="240" w:lineRule="auto"/>
        <w:jc w:val="both"/>
        <w:rPr>
          <w:szCs w:val="22"/>
          <w:lang w:val="lt-LT"/>
        </w:rPr>
      </w:pPr>
    </w:p>
    <w:p>
      <w:pPr>
        <w:spacing w:line="240" w:lineRule="auto"/>
        <w:rPr>
          <w:szCs w:val="22"/>
          <w:lang w:val="lt-LT"/>
        </w:rPr>
      </w:pPr>
      <w:r>
        <w:rPr>
          <w:szCs w:val="22"/>
          <w:lang w:val="lt-LT"/>
        </w:rPr>
        <w:t>Apskritai FKU klinikinių tyrimų metu vaikai gerai toleravo sepiapteriną. Nepageidaujamų reiškinių dažnis, pobūdis ir sunkumas visose pacientų vaikų amžiaus grupėse atitiko suaugusiųjų stebėtus rodiklius. Ilgalaikio saugumo duomenų yra nedaug.</w:t>
      </w:r>
    </w:p>
    <w:p>
      <w:pPr>
        <w:spacing w:line="240" w:lineRule="auto"/>
        <w:jc w:val="both"/>
        <w:rPr>
          <w:szCs w:val="22"/>
          <w:lang w:val="lt-LT"/>
        </w:rPr>
      </w:pPr>
    </w:p>
    <w:p>
      <w:pPr>
        <w:keepNext/>
        <w:spacing w:line="240" w:lineRule="auto"/>
        <w:rPr>
          <w:szCs w:val="22"/>
          <w:u w:val="single"/>
          <w:lang w:val="lt-LT"/>
        </w:rPr>
      </w:pPr>
      <w:r>
        <w:rPr>
          <w:szCs w:val="22"/>
          <w:u w:val="single"/>
          <w:lang w:val="lt-LT"/>
        </w:rPr>
        <w:t>Pranešimas apie įtariamas nepageidaujamas reakcijas</w:t>
      </w:r>
    </w:p>
    <w:p>
      <w:pPr>
        <w:spacing w:line="240" w:lineRule="auto"/>
        <w:rPr>
          <w:szCs w:val="22"/>
          <w:lang w:val="lt-LT"/>
        </w:rPr>
      </w:pPr>
      <w:r>
        <w:rPr>
          <w:szCs w:val="22"/>
          <w:lang w:val="lt-LT"/>
        </w:rPr>
        <w:t xml:space="preserve">Svarbu pranešti apie įtariamas nepageidaujamas reakcijas po vaistinio preparato registracijos, nes tai leidžia nuolat stebėti vaistinio preparato naudos ir rizikos santykį. Sveikatos priežiūros specialistai turi pranešti apie bet kokias įtariamas nepageidaujamas reakcijas naudodamiesi </w:t>
      </w:r>
      <w:hyperlink r:id="rId12">
        <w:r>
          <w:rPr>
            <w:color w:val="0000FF"/>
            <w:szCs w:val="22"/>
            <w:u w:val="single"/>
            <w:shd w:val="pct15" w:color="auto" w:fill="FFFFFF"/>
            <w:lang w:val="lt-LT"/>
          </w:rPr>
          <w:t>V priede</w:t>
        </w:r>
      </w:hyperlink>
      <w:r>
        <w:rPr>
          <w:szCs w:val="22"/>
          <w:shd w:val="pct15" w:color="auto" w:fill="FFFFFF"/>
          <w:lang w:val="lt-LT"/>
        </w:rPr>
        <w:t xml:space="preserve"> nurodyta nacionaline pranešimo sistema</w:t>
      </w:r>
      <w:r>
        <w:rPr>
          <w:szCs w:val="22"/>
          <w:lang w:val="lt-LT"/>
        </w:rPr>
        <w:t>.</w:t>
      </w:r>
    </w:p>
    <w:p>
      <w:pPr>
        <w:spacing w:line="240" w:lineRule="auto"/>
        <w:rPr>
          <w:szCs w:val="22"/>
          <w:lang w:val="lt-LT"/>
        </w:rPr>
      </w:pPr>
    </w:p>
    <w:p>
      <w:pPr>
        <w:spacing w:line="240" w:lineRule="auto"/>
        <w:ind w:left="567" w:hanging="567"/>
        <w:rPr>
          <w:b/>
          <w:szCs w:val="22"/>
          <w:lang w:val="lt-LT"/>
        </w:rPr>
      </w:pPr>
      <w:r>
        <w:rPr>
          <w:b/>
          <w:bCs/>
          <w:szCs w:val="22"/>
          <w:lang w:val="lt-LT"/>
        </w:rPr>
        <w:t>4.9</w:t>
      </w:r>
      <w:r>
        <w:rPr>
          <w:b/>
          <w:bCs/>
          <w:szCs w:val="22"/>
          <w:lang w:val="lt-LT"/>
        </w:rPr>
        <w:tab/>
        <w:t>Perdozavimas</w:t>
      </w:r>
      <w:r>
        <w:rPr>
          <w:b/>
          <w:szCs w:val="22"/>
          <w:highlight w:val="yellow"/>
          <w:lang w:val="lt-LT"/>
        </w:rPr>
        <w:fldChar w:fldCharType="begin"/>
      </w:r>
      <w:r>
        <w:rPr>
          <w:b/>
          <w:szCs w:val="22"/>
          <w:highlight w:val="yellow"/>
          <w:lang w:val="lt-LT"/>
        </w:rPr>
        <w:instrText xml:space="preserve"> DOCVARIABLE vault_nd_2af66b3e-8b05-4d77-abc9-e2a2b09252b1 </w:instrText>
      </w:r>
      <w:r>
        <w:rPr>
          <w:b/>
          <w:szCs w:val="22"/>
          <w:highlight w:val="yellow"/>
          <w:lang w:val="lt-LT"/>
        </w:rPr>
        <w:fldChar w:fldCharType="separate"/>
      </w:r>
      <w:r>
        <w:rPr>
          <w:b/>
          <w:szCs w:val="22"/>
          <w:highlight w:val="yellow"/>
          <w:lang w:val="lt-LT"/>
        </w:rPr>
        <w:t xml:space="preserve"> </w:t>
      </w:r>
      <w:r>
        <w:rPr>
          <w:b/>
          <w:szCs w:val="22"/>
          <w:highlight w:val="yellow"/>
          <w:lang w:val="lt-LT"/>
        </w:rPr>
        <w:fldChar w:fldCharType="end"/>
      </w:r>
    </w:p>
    <w:p>
      <w:pPr>
        <w:spacing w:line="240" w:lineRule="auto"/>
        <w:ind w:left="567" w:hanging="567"/>
        <w:rPr>
          <w:szCs w:val="22"/>
          <w:lang w:val="lt-LT"/>
        </w:rPr>
      </w:pPr>
    </w:p>
    <w:p>
      <w:pPr>
        <w:spacing w:line="240" w:lineRule="auto"/>
        <w:rPr>
          <w:szCs w:val="22"/>
          <w:lang w:val="lt-LT"/>
        </w:rPr>
      </w:pPr>
      <w:r>
        <w:rPr>
          <w:szCs w:val="22"/>
          <w:lang w:val="lt-LT"/>
        </w:rPr>
        <w:t>Perdozavus Sephience, specifinio priešnuodžio nėra. Perdozavimo Sephience gydymas turėtų susidėti iš palaikomosios medicininės priežiūros, įskaitant gyvybinių funkcijų ir paciento klinikinės būklės stebėjimą.</w:t>
      </w:r>
    </w:p>
    <w:p>
      <w:pPr>
        <w:spacing w:line="240" w:lineRule="auto"/>
        <w:rPr>
          <w:szCs w:val="22"/>
          <w:lang w:val="lt-LT"/>
        </w:rPr>
      </w:pPr>
    </w:p>
    <w:p>
      <w:pPr>
        <w:spacing w:line="240" w:lineRule="auto"/>
        <w:rPr>
          <w:szCs w:val="22"/>
          <w:lang w:val="lt-LT"/>
        </w:rPr>
      </w:pPr>
    </w:p>
    <w:p>
      <w:pPr>
        <w:keepNext/>
        <w:keepLines/>
        <w:spacing w:line="240" w:lineRule="auto"/>
        <w:rPr>
          <w:b/>
          <w:szCs w:val="22"/>
          <w:highlight w:val="yellow"/>
          <w:lang w:val="lt-LT"/>
        </w:rPr>
      </w:pPr>
      <w:r>
        <w:rPr>
          <w:b/>
          <w:bCs/>
          <w:szCs w:val="22"/>
          <w:lang w:val="lt-LT"/>
        </w:rPr>
        <w:t>5.</w:t>
      </w:r>
      <w:r>
        <w:rPr>
          <w:b/>
          <w:bCs/>
          <w:szCs w:val="22"/>
          <w:lang w:val="lt-LT"/>
        </w:rPr>
        <w:tab/>
        <w:t>FARMAKOLOGINĖS SAVYBĖS</w:t>
      </w:r>
    </w:p>
    <w:p>
      <w:pPr>
        <w:keepNext/>
        <w:keepLines/>
        <w:spacing w:line="240" w:lineRule="auto"/>
        <w:rPr>
          <w:szCs w:val="22"/>
          <w:highlight w:val="yellow"/>
          <w:lang w:val="lt-LT"/>
        </w:rPr>
      </w:pPr>
    </w:p>
    <w:p>
      <w:pPr>
        <w:keepNext/>
        <w:keepLines/>
        <w:spacing w:line="240" w:lineRule="auto"/>
        <w:ind w:left="567" w:hanging="567"/>
        <w:rPr>
          <w:szCs w:val="22"/>
          <w:lang w:val="lt-LT"/>
        </w:rPr>
      </w:pPr>
      <w:r>
        <w:rPr>
          <w:b/>
          <w:bCs/>
          <w:szCs w:val="22"/>
          <w:lang w:val="lt-LT"/>
        </w:rPr>
        <w:t>5.1</w:t>
      </w:r>
      <w:r>
        <w:rPr>
          <w:b/>
          <w:bCs/>
          <w:szCs w:val="22"/>
          <w:lang w:val="lt-LT"/>
        </w:rPr>
        <w:tab/>
        <w:t>Farmakodinaminės savybės</w:t>
      </w:r>
      <w:r>
        <w:rPr>
          <w:b/>
          <w:szCs w:val="22"/>
          <w:highlight w:val="yellow"/>
          <w:lang w:val="lt-LT"/>
        </w:rPr>
        <w:fldChar w:fldCharType="begin"/>
      </w:r>
      <w:r>
        <w:rPr>
          <w:b/>
          <w:szCs w:val="22"/>
          <w:highlight w:val="yellow"/>
          <w:lang w:val="lt-LT"/>
        </w:rPr>
        <w:instrText xml:space="preserve"> DOCVARIABLE vault_nd_98afb4ae-5e0c-4d55-9007-18ab7b20d41d </w:instrText>
      </w:r>
      <w:r>
        <w:rPr>
          <w:b/>
          <w:szCs w:val="22"/>
          <w:highlight w:val="yellow"/>
          <w:lang w:val="lt-LT"/>
        </w:rPr>
        <w:fldChar w:fldCharType="separate"/>
      </w:r>
      <w:r>
        <w:rPr>
          <w:b/>
          <w:szCs w:val="22"/>
          <w:highlight w:val="yellow"/>
          <w:lang w:val="lt-LT"/>
        </w:rPr>
        <w:t xml:space="preserve"> </w:t>
      </w:r>
      <w:r>
        <w:rPr>
          <w:b/>
          <w:szCs w:val="22"/>
          <w:highlight w:val="yellow"/>
          <w:lang w:val="lt-LT"/>
        </w:rPr>
        <w:fldChar w:fldCharType="end"/>
      </w:r>
    </w:p>
    <w:p>
      <w:pPr>
        <w:keepNext/>
        <w:keepLines/>
        <w:spacing w:line="240" w:lineRule="auto"/>
        <w:rPr>
          <w:szCs w:val="22"/>
          <w:lang w:val="lt-LT"/>
        </w:rPr>
      </w:pPr>
    </w:p>
    <w:p>
      <w:pPr>
        <w:spacing w:line="240" w:lineRule="auto"/>
        <w:rPr>
          <w:szCs w:val="22"/>
          <w:lang w:val="lt-LT"/>
        </w:rPr>
      </w:pPr>
      <w:r>
        <w:rPr>
          <w:szCs w:val="22"/>
          <w:lang w:val="lt-LT"/>
        </w:rPr>
        <w:t>Farmakoterapinė grupė – Kiti maisto ir medžiagų apykaitos produktai, įvairūs maisto ir metabolizmo produktai, ATC kodas – A16AX28</w:t>
      </w:r>
      <w:r>
        <w:rPr>
          <w:szCs w:val="22"/>
          <w:lang w:val="lt-LT"/>
        </w:rPr>
        <w:fldChar w:fldCharType="begin"/>
      </w:r>
      <w:r>
        <w:rPr>
          <w:szCs w:val="22"/>
          <w:lang w:val="lt-LT"/>
        </w:rPr>
        <w:instrText xml:space="preserve"> DOCVARIABLE vault_nd_41631c0d-c757-4661-a763-f21acb5620da </w:instrText>
      </w:r>
      <w:r>
        <w:rPr>
          <w:szCs w:val="22"/>
          <w:lang w:val="lt-LT"/>
        </w:rPr>
        <w:fldChar w:fldCharType="separate"/>
      </w:r>
      <w:r>
        <w:rPr>
          <w:szCs w:val="22"/>
          <w:lang w:val="lt-LT"/>
        </w:rPr>
        <w:t xml:space="preserve"> </w:t>
      </w:r>
      <w:r>
        <w:rPr>
          <w:szCs w:val="22"/>
          <w:lang w:val="lt-LT"/>
        </w:rPr>
        <w:fldChar w:fldCharType="end"/>
      </w:r>
    </w:p>
    <w:p>
      <w:pPr>
        <w:spacing w:line="240" w:lineRule="auto"/>
        <w:rPr>
          <w:szCs w:val="22"/>
          <w:lang w:val="lt-LT"/>
        </w:rPr>
      </w:pPr>
    </w:p>
    <w:p>
      <w:pPr>
        <w:spacing w:line="240" w:lineRule="auto"/>
        <w:rPr>
          <w:szCs w:val="22"/>
          <w:u w:val="single"/>
          <w:lang w:val="lt-LT"/>
        </w:rPr>
      </w:pPr>
      <w:r>
        <w:rPr>
          <w:szCs w:val="22"/>
          <w:u w:val="single"/>
          <w:lang w:val="lt-LT"/>
        </w:rPr>
        <w:t>Veikimo mechanizmas</w:t>
      </w:r>
    </w:p>
    <w:p>
      <w:pPr>
        <w:spacing w:line="240" w:lineRule="auto"/>
        <w:rPr>
          <w:szCs w:val="22"/>
          <w:lang w:val="lt-LT"/>
        </w:rPr>
      </w:pPr>
    </w:p>
    <w:p>
      <w:pPr>
        <w:spacing w:line="240" w:lineRule="auto"/>
        <w:rPr>
          <w:szCs w:val="22"/>
          <w:lang w:val="lt-LT"/>
        </w:rPr>
      </w:pPr>
      <w:r>
        <w:rPr>
          <w:szCs w:val="22"/>
          <w:lang w:val="lt-LT"/>
        </w:rPr>
        <w:t>Sepiapterinas yra natūralus fermentinio kofaktoriaus BH</w:t>
      </w:r>
      <w:r>
        <w:rPr>
          <w:szCs w:val="22"/>
          <w:vertAlign w:val="subscript"/>
          <w:lang w:val="lt-LT"/>
        </w:rPr>
        <w:t>4</w:t>
      </w:r>
      <w:r>
        <w:rPr>
          <w:szCs w:val="22"/>
          <w:lang w:val="lt-LT"/>
        </w:rPr>
        <w:t>, labai svarbaus fenilalanino hidroksilazės (FAH) kofaktoriaus, pirmtakas. Sepiapterinas veikia kaip dvigubas farmakologinis šaperonas (sepiapterinas ir BH</w:t>
      </w:r>
      <w:r>
        <w:rPr>
          <w:szCs w:val="22"/>
          <w:vertAlign w:val="subscript"/>
          <w:lang w:val="lt-LT"/>
        </w:rPr>
        <w:t>4</w:t>
      </w:r>
      <w:r>
        <w:rPr>
          <w:szCs w:val="22"/>
          <w:lang w:val="lt-LT"/>
        </w:rPr>
        <w:t>, kurių kiekvienas turi savo afinitetą FAH variantams), įskaitant FAH variantus, kurie dažniausiai aptinkami esant FKU ir kurie, kaip žinoma, yra nejautrūs BH</w:t>
      </w:r>
      <w:r>
        <w:rPr>
          <w:szCs w:val="22"/>
          <w:vertAlign w:val="subscript"/>
          <w:lang w:val="lt-LT"/>
        </w:rPr>
        <w:t>4</w:t>
      </w:r>
      <w:r>
        <w:rPr>
          <w:szCs w:val="22"/>
          <w:lang w:val="lt-LT"/>
        </w:rPr>
        <w:t>, kad pagerintų defektinio FAH fermento aktyvumą ir pasiektų didelę BH</w:t>
      </w:r>
      <w:r>
        <w:rPr>
          <w:szCs w:val="22"/>
          <w:vertAlign w:val="subscript"/>
          <w:lang w:val="lt-LT"/>
        </w:rPr>
        <w:t>4</w:t>
      </w:r>
      <w:r>
        <w:rPr>
          <w:szCs w:val="22"/>
          <w:lang w:val="lt-LT"/>
        </w:rPr>
        <w:t xml:space="preserve"> koncentraciją ląstelėse. Padidindamas neteisingai susisukusio FAH fermento konformacinį stabilumą ir viduląstelinę BH</w:t>
      </w:r>
      <w:r>
        <w:rPr>
          <w:szCs w:val="22"/>
          <w:vertAlign w:val="subscript"/>
          <w:lang w:val="lt-LT"/>
        </w:rPr>
        <w:t>4</w:t>
      </w:r>
      <w:r>
        <w:rPr>
          <w:szCs w:val="22"/>
          <w:lang w:val="lt-LT"/>
        </w:rPr>
        <w:t xml:space="preserve"> koncentraciją, sepiapterinas gali veiksmingai sumažinti Phe kiekį kraujyje.</w:t>
      </w:r>
    </w:p>
    <w:p>
      <w:pPr>
        <w:spacing w:line="240" w:lineRule="auto"/>
        <w:rPr>
          <w:szCs w:val="22"/>
          <w:lang w:val="lt-LT"/>
        </w:rPr>
      </w:pPr>
    </w:p>
    <w:p>
      <w:pPr>
        <w:keepNext/>
        <w:spacing w:line="240" w:lineRule="auto"/>
        <w:rPr>
          <w:szCs w:val="22"/>
          <w:u w:val="single"/>
          <w:lang w:val="lt-LT"/>
        </w:rPr>
      </w:pPr>
      <w:r>
        <w:rPr>
          <w:szCs w:val="22"/>
          <w:u w:val="single"/>
          <w:lang w:val="lt-LT"/>
        </w:rPr>
        <w:t>Klinikinis veiksmingumas ir saugumas</w:t>
      </w:r>
    </w:p>
    <w:p>
      <w:pPr>
        <w:keepNext/>
        <w:spacing w:line="240" w:lineRule="auto"/>
        <w:rPr>
          <w:szCs w:val="22"/>
          <w:lang w:val="lt-LT"/>
        </w:rPr>
      </w:pPr>
    </w:p>
    <w:p>
      <w:pPr>
        <w:spacing w:line="240" w:lineRule="auto"/>
        <w:rPr>
          <w:szCs w:val="22"/>
          <w:lang w:val="lt-LT"/>
        </w:rPr>
      </w:pPr>
      <w:r>
        <w:rPr>
          <w:szCs w:val="22"/>
          <w:lang w:val="lt-LT"/>
        </w:rPr>
        <w:t>Sepiapterino veiksmingumas buvo įvertintas keturiuose klinikiniuose tyrimuose su FKU sergančiais pacientais.</w:t>
      </w:r>
    </w:p>
    <w:p>
      <w:pPr>
        <w:spacing w:line="240" w:lineRule="auto"/>
        <w:rPr>
          <w:b/>
          <w:bCs/>
          <w:szCs w:val="22"/>
          <w:lang w:val="lt-LT"/>
        </w:rPr>
      </w:pPr>
    </w:p>
    <w:p>
      <w:pPr>
        <w:spacing w:line="240" w:lineRule="auto"/>
        <w:rPr>
          <w:szCs w:val="22"/>
          <w:lang w:val="lt-LT"/>
        </w:rPr>
      </w:pPr>
      <w:r>
        <w:rPr>
          <w:b/>
          <w:bCs/>
          <w:szCs w:val="22"/>
          <w:lang w:val="lt-LT"/>
        </w:rPr>
        <w:t>1 tyrimas (PTC923-MD-003-PKU)</w:t>
      </w:r>
      <w:r>
        <w:rPr>
          <w:szCs w:val="22"/>
          <w:lang w:val="lt-LT"/>
        </w:rPr>
        <w:t xml:space="preserve"> buvo 2 dalių, pasaulinis, dvigubai koduotas, atsitiktinių imčių, placebu kontroliuojamas klinikinis tyrimas, kuriame dalyvavo 157 visų amžiaus grupių pacientai, sergantys FKU. </w:t>
      </w:r>
    </w:p>
    <w:p>
      <w:pPr>
        <w:spacing w:line="240" w:lineRule="auto"/>
        <w:rPr>
          <w:szCs w:val="22"/>
          <w:lang w:val="lt-LT"/>
        </w:rPr>
      </w:pPr>
    </w:p>
    <w:p>
      <w:pPr>
        <w:spacing w:line="240" w:lineRule="auto"/>
        <w:rPr>
          <w:szCs w:val="22"/>
          <w:lang w:val="lt-LT"/>
        </w:rPr>
      </w:pPr>
      <w:r>
        <w:rPr>
          <w:szCs w:val="22"/>
          <w:lang w:val="lt-LT"/>
        </w:rPr>
        <w:t xml:space="preserve">Tyrimo 1 dalyje buvo tiriamas atsako sepiapterinui pasireiškimas, 14 dienų skiriant nekoduotą sepiapteriną, po to išlaikant mažiausiai 14 dienų sepiapterino pasišalinimo iš organizmo laikotarpį. Be to, 73,1 % (114/156) tyrimo dalyvių Phe kiekis kraujyje, reaguojant į sepiapteriną, sumažėjo ≥15 %. Sepiapterino dozė ≥2 metų pacientams buvo 60 mg/kg per parą. </w:t>
      </w:r>
    </w:p>
    <w:p>
      <w:pPr>
        <w:spacing w:line="240" w:lineRule="auto"/>
        <w:rPr>
          <w:szCs w:val="22"/>
          <w:lang w:val="lt-LT"/>
        </w:rPr>
      </w:pPr>
    </w:p>
    <w:p>
      <w:pPr>
        <w:spacing w:line="240" w:lineRule="auto"/>
        <w:rPr>
          <w:szCs w:val="22"/>
          <w:lang w:val="lt-LT"/>
        </w:rPr>
      </w:pPr>
      <w:r>
        <w:rPr>
          <w:szCs w:val="22"/>
          <w:lang w:val="lt-LT"/>
        </w:rPr>
        <w:t>Tiriamiesiems buvo nurodyta tęsti įprastą mitybą be pakeitimų.</w:t>
      </w:r>
    </w:p>
    <w:p>
      <w:pPr>
        <w:spacing w:line="240" w:lineRule="auto"/>
        <w:rPr>
          <w:szCs w:val="22"/>
          <w:lang w:val="lt-LT"/>
        </w:rPr>
      </w:pPr>
      <w:r>
        <w:rPr>
          <w:szCs w:val="22"/>
          <w:lang w:val="lt-LT"/>
        </w:rPr>
        <w:t>≥2 metų pacientai, kuriems Phe lygis kraujyje sumažėjo ≥15 %, buvo laikomi patyrę atsaką ir perėjo į 2 dalį (n = 110). Po 1 dalies vaistinio preparato pasišalinimo iš organizmo laikotarpio pacientai buvo vienodai paskirstyti atsitiktine tvarka: 1 ir 2 savaitę vartoti sepiapterino 20 mg/kg per parą, 3 ir 4 savaitę – 40 mg/kg per parą, 5 ir 6 savaitę – 60 mg/kg per parą (n = 56) arba 6 savaites vartoti placebą (n = 54). Pirminis veiksmingumas buvo vertinamas pagal vidutinį Phe koncentracijos kraujyje pokytį nuo pradinio įvertinimo iki 5 ir 6 savaitės sepiapteriną vartojusiųjų grupėje, palyginti su vidutiniu pokyčiu placebo grupėje pacientams, kurių Phe koncentracija kraujyje 1 dalyje sumažėjo ≥30 %. 2 dalyje demografiniai duomenys buvo gerai subalansuoti tarp abiejų gydymo grupių (7 lentelė). Amžiaus mediana informuoto asmens sutikimo davimo metu buvo 14 metų (intervalas: 2–54 metai), o pagal rasę dalyviai daugiausia buvo baltaodžiai (91,8 %). Daugiau nei pusei (65,5 %) iš 110 dalyvių FKU buvo diagnozuota gimus ir daugumai (82,7 %) buvo nustatyta biochemiškai apibrėžta neklasikinė FKU.</w:t>
      </w:r>
    </w:p>
    <w:p>
      <w:pPr>
        <w:spacing w:line="240" w:lineRule="auto"/>
        <w:rPr>
          <w:szCs w:val="22"/>
          <w:lang w:val="lt-LT"/>
        </w:rPr>
      </w:pPr>
    </w:p>
    <w:p>
      <w:pPr>
        <w:keepNext/>
        <w:tabs>
          <w:tab w:val="clear" w:pos="567"/>
        </w:tabs>
        <w:spacing w:line="240" w:lineRule="auto"/>
        <w:ind w:left="1440" w:hanging="1440"/>
        <w:rPr>
          <w:b/>
          <w:bCs/>
          <w:szCs w:val="22"/>
          <w:lang w:val="lt-LT"/>
        </w:rPr>
      </w:pPr>
      <w:bookmarkStart w:id="2" w:name="_Ref135739286"/>
      <w:bookmarkStart w:id="3" w:name="_Toc161055365"/>
      <w:bookmarkEnd w:id="2"/>
      <w:r>
        <w:rPr>
          <w:b/>
          <w:bCs/>
          <w:szCs w:val="22"/>
          <w:lang w:val="lt-LT"/>
        </w:rPr>
        <w:t xml:space="preserve">7 lentelė. Demografiniai duomenys ir pradinės charakteristikos </w:t>
      </w:r>
      <w:bookmarkEnd w:id="3"/>
    </w:p>
    <w:p>
      <w:pPr>
        <w:keepNext/>
        <w:tabs>
          <w:tab w:val="clear" w:pos="567"/>
        </w:tabs>
        <w:spacing w:line="240" w:lineRule="auto"/>
        <w:ind w:left="1440" w:hanging="1440"/>
        <w:rPr>
          <w:b/>
          <w:szCs w:val="22"/>
          <w:lang w:val="lt-LT"/>
        </w:rPr>
      </w:pPr>
    </w:p>
    <w:tbl>
      <w:tblPr>
        <w:tblStyle w:val="C-Table"/>
        <w:tblW w:w="9360" w:type="dxa"/>
        <w:tblLayout w:type="fixed"/>
        <w:tblLook w:val="04A0" w:firstRow="1" w:lastRow="0" w:firstColumn="1" w:lastColumn="0" w:noHBand="0" w:noVBand="1"/>
      </w:tblPr>
      <w:tblGrid>
        <w:gridCol w:w="1974"/>
        <w:gridCol w:w="1621"/>
        <w:gridCol w:w="1529"/>
        <w:gridCol w:w="1441"/>
        <w:gridCol w:w="1259"/>
        <w:gridCol w:w="1536"/>
      </w:tblGrid>
      <w:tr>
        <w:trPr>
          <w:tblHeader/>
        </w:trPr>
        <w:tc>
          <w:tcPr>
            <w:tcW w:w="1974" w:type="dxa"/>
            <w:vMerge w:val="restart"/>
            <w:tcBorders>
              <w:top w:val="single" w:sz="4" w:space="0" w:color="000000"/>
              <w:left w:val="single" w:sz="4" w:space="0" w:color="000000"/>
              <w:bottom w:val="single" w:sz="4" w:space="0" w:color="000000"/>
              <w:right w:val="single" w:sz="4" w:space="0" w:color="000000"/>
            </w:tcBorders>
          </w:tcPr>
          <w:p>
            <w:pPr>
              <w:keepNext/>
              <w:tabs>
                <w:tab w:val="clear" w:pos="567"/>
              </w:tabs>
              <w:spacing w:line="240" w:lineRule="auto"/>
              <w:jc w:val="center"/>
              <w:rPr>
                <w:b/>
                <w:szCs w:val="22"/>
                <w:lang w:val="lt-LT"/>
              </w:rPr>
            </w:pPr>
          </w:p>
        </w:tc>
        <w:tc>
          <w:tcPr>
            <w:tcW w:w="1621" w:type="dxa"/>
            <w:vMerge w:val="restart"/>
            <w:tcBorders>
              <w:top w:val="single" w:sz="4" w:space="0" w:color="000000"/>
              <w:left w:val="single" w:sz="4" w:space="0" w:color="000000"/>
              <w:bottom w:val="single" w:sz="4" w:space="0" w:color="000000"/>
              <w:right w:val="single" w:sz="4" w:space="0" w:color="000000"/>
            </w:tcBorders>
          </w:tcPr>
          <w:p>
            <w:pPr>
              <w:keepNext/>
              <w:tabs>
                <w:tab w:val="clear" w:pos="567"/>
              </w:tabs>
              <w:spacing w:line="240" w:lineRule="auto"/>
              <w:jc w:val="center"/>
              <w:rPr>
                <w:b/>
                <w:bCs/>
                <w:szCs w:val="22"/>
                <w:lang w:val="lt-LT"/>
              </w:rPr>
            </w:pPr>
            <w:r>
              <w:rPr>
                <w:b/>
                <w:bCs/>
                <w:szCs w:val="22"/>
                <w:lang w:val="lt-LT"/>
              </w:rPr>
              <w:t>Tik 1 dalies dalyviai</w:t>
            </w:r>
          </w:p>
          <w:p>
            <w:pPr>
              <w:keepNext/>
              <w:tabs>
                <w:tab w:val="clear" w:pos="567"/>
              </w:tabs>
              <w:spacing w:line="240" w:lineRule="auto"/>
              <w:jc w:val="center"/>
              <w:rPr>
                <w:b/>
                <w:szCs w:val="22"/>
                <w:lang w:val="lt-LT"/>
              </w:rPr>
            </w:pPr>
            <w:r>
              <w:rPr>
                <w:b/>
                <w:bCs/>
                <w:szCs w:val="22"/>
                <w:lang w:val="lt-LT"/>
              </w:rPr>
              <w:t>(N = 47)</w:t>
            </w:r>
          </w:p>
        </w:tc>
        <w:tc>
          <w:tcPr>
            <w:tcW w:w="4229" w:type="dxa"/>
            <w:gridSpan w:val="3"/>
            <w:tcBorders>
              <w:top w:val="single" w:sz="4" w:space="0" w:color="000000"/>
              <w:left w:val="single" w:sz="4" w:space="0" w:color="000000"/>
              <w:bottom w:val="single" w:sz="4" w:space="0" w:color="000000"/>
              <w:right w:val="single" w:sz="4" w:space="0" w:color="000000"/>
            </w:tcBorders>
          </w:tcPr>
          <w:p>
            <w:pPr>
              <w:keepNext/>
              <w:tabs>
                <w:tab w:val="clear" w:pos="567"/>
              </w:tabs>
              <w:spacing w:line="240" w:lineRule="auto"/>
              <w:jc w:val="center"/>
              <w:rPr>
                <w:b/>
                <w:szCs w:val="22"/>
                <w:lang w:val="lt-LT"/>
              </w:rPr>
            </w:pPr>
            <w:r>
              <w:rPr>
                <w:b/>
                <w:bCs/>
                <w:szCs w:val="22"/>
                <w:lang w:val="lt-LT"/>
              </w:rPr>
              <w:t>Randomizuoti ir gydyti dalyviai 2 dalyje</w:t>
            </w:r>
          </w:p>
        </w:tc>
        <w:tc>
          <w:tcPr>
            <w:tcW w:w="1536" w:type="dxa"/>
            <w:vMerge w:val="restart"/>
            <w:tcBorders>
              <w:top w:val="single" w:sz="4" w:space="0" w:color="000000"/>
              <w:left w:val="single" w:sz="4" w:space="0" w:color="000000"/>
              <w:bottom w:val="single" w:sz="4" w:space="0" w:color="000000"/>
              <w:right w:val="single" w:sz="4" w:space="0" w:color="000000"/>
            </w:tcBorders>
          </w:tcPr>
          <w:p>
            <w:pPr>
              <w:keepNext/>
              <w:tabs>
                <w:tab w:val="clear" w:pos="567"/>
              </w:tabs>
              <w:spacing w:line="240" w:lineRule="auto"/>
              <w:jc w:val="center"/>
              <w:rPr>
                <w:b/>
                <w:bCs/>
                <w:szCs w:val="22"/>
                <w:lang w:val="lt-LT"/>
              </w:rPr>
            </w:pPr>
            <w:r>
              <w:rPr>
                <w:b/>
                <w:bCs/>
                <w:szCs w:val="22"/>
                <w:lang w:val="lt-LT"/>
              </w:rPr>
              <w:t>Iš viso gydytų dalyvių</w:t>
            </w:r>
          </w:p>
          <w:p>
            <w:pPr>
              <w:keepNext/>
              <w:tabs>
                <w:tab w:val="clear" w:pos="567"/>
              </w:tabs>
              <w:spacing w:line="240" w:lineRule="auto"/>
              <w:jc w:val="center"/>
              <w:rPr>
                <w:b/>
                <w:szCs w:val="22"/>
                <w:lang w:val="lt-LT"/>
              </w:rPr>
            </w:pPr>
            <w:r>
              <w:rPr>
                <w:b/>
                <w:bCs/>
                <w:szCs w:val="22"/>
                <w:lang w:val="lt-LT"/>
              </w:rPr>
              <w:t>(N = 157)</w:t>
            </w:r>
          </w:p>
        </w:tc>
      </w:tr>
      <w:tr>
        <w:trPr>
          <w:tblHeader/>
        </w:trPr>
        <w:tc>
          <w:tcPr>
            <w:tcW w:w="1974" w:type="dxa"/>
            <w:vMerge/>
            <w:tcBorders>
              <w:top w:val="single" w:sz="4" w:space="0" w:color="000000"/>
              <w:left w:val="single" w:sz="4" w:space="0" w:color="000000"/>
              <w:bottom w:val="single" w:sz="4" w:space="0" w:color="000000"/>
              <w:right w:val="single" w:sz="4" w:space="0" w:color="000000"/>
            </w:tcBorders>
          </w:tcPr>
          <w:p>
            <w:pPr>
              <w:keepNext/>
              <w:tabs>
                <w:tab w:val="clear" w:pos="567"/>
              </w:tabs>
              <w:spacing w:line="240" w:lineRule="auto"/>
              <w:jc w:val="both"/>
              <w:rPr>
                <w:b/>
                <w:szCs w:val="22"/>
                <w:lang w:val="lt-LT"/>
              </w:rPr>
            </w:pPr>
          </w:p>
        </w:tc>
        <w:tc>
          <w:tcPr>
            <w:tcW w:w="1621" w:type="dxa"/>
            <w:vMerge/>
            <w:tcBorders>
              <w:top w:val="single" w:sz="4" w:space="0" w:color="000000"/>
              <w:left w:val="single" w:sz="4" w:space="0" w:color="000000"/>
              <w:bottom w:val="single" w:sz="4" w:space="0" w:color="000000"/>
              <w:right w:val="single" w:sz="4" w:space="0" w:color="000000"/>
            </w:tcBorders>
          </w:tcPr>
          <w:p>
            <w:pPr>
              <w:keepNext/>
              <w:tabs>
                <w:tab w:val="clear" w:pos="567"/>
              </w:tabs>
              <w:spacing w:line="240" w:lineRule="auto"/>
              <w:jc w:val="both"/>
              <w:rPr>
                <w:b/>
                <w:szCs w:val="22"/>
                <w:lang w:val="lt-LT"/>
              </w:rPr>
            </w:pPr>
          </w:p>
        </w:tc>
        <w:tc>
          <w:tcPr>
            <w:tcW w:w="1529" w:type="dxa"/>
            <w:tcBorders>
              <w:top w:val="single" w:sz="4" w:space="0" w:color="000000"/>
              <w:left w:val="single" w:sz="4" w:space="0" w:color="000000"/>
              <w:bottom w:val="single" w:sz="4" w:space="0" w:color="000000"/>
              <w:right w:val="single" w:sz="4" w:space="0" w:color="000000"/>
            </w:tcBorders>
          </w:tcPr>
          <w:p>
            <w:pPr>
              <w:keepNext/>
              <w:tabs>
                <w:tab w:val="clear" w:pos="567"/>
              </w:tabs>
              <w:spacing w:line="240" w:lineRule="auto"/>
              <w:jc w:val="center"/>
              <w:rPr>
                <w:b/>
                <w:bCs/>
                <w:szCs w:val="22"/>
                <w:lang w:val="lt-LT"/>
              </w:rPr>
            </w:pPr>
            <w:r>
              <w:rPr>
                <w:b/>
                <w:bCs/>
                <w:szCs w:val="22"/>
                <w:lang w:val="lt-LT"/>
              </w:rPr>
              <w:t>Sepiapterinas</w:t>
            </w:r>
          </w:p>
          <w:p>
            <w:pPr>
              <w:keepNext/>
              <w:tabs>
                <w:tab w:val="clear" w:pos="567"/>
              </w:tabs>
              <w:spacing w:line="240" w:lineRule="auto"/>
              <w:jc w:val="center"/>
              <w:rPr>
                <w:b/>
                <w:szCs w:val="22"/>
                <w:lang w:val="lt-LT"/>
              </w:rPr>
            </w:pPr>
            <w:r>
              <w:rPr>
                <w:b/>
                <w:bCs/>
                <w:szCs w:val="22"/>
                <w:lang w:val="lt-LT"/>
              </w:rPr>
              <w:t>(N = 56)</w:t>
            </w:r>
          </w:p>
        </w:tc>
        <w:tc>
          <w:tcPr>
            <w:tcW w:w="1441" w:type="dxa"/>
            <w:tcBorders>
              <w:top w:val="single" w:sz="4" w:space="0" w:color="000000"/>
              <w:left w:val="single" w:sz="4" w:space="0" w:color="000000"/>
              <w:bottom w:val="single" w:sz="4" w:space="0" w:color="000000"/>
              <w:right w:val="single" w:sz="4" w:space="0" w:color="000000"/>
            </w:tcBorders>
          </w:tcPr>
          <w:p>
            <w:pPr>
              <w:keepNext/>
              <w:tabs>
                <w:tab w:val="clear" w:pos="567"/>
              </w:tabs>
              <w:spacing w:line="240" w:lineRule="auto"/>
              <w:jc w:val="center"/>
              <w:rPr>
                <w:b/>
                <w:bCs/>
                <w:szCs w:val="22"/>
                <w:lang w:val="lt-LT"/>
              </w:rPr>
            </w:pPr>
            <w:r>
              <w:rPr>
                <w:b/>
                <w:bCs/>
                <w:szCs w:val="22"/>
                <w:lang w:val="lt-LT"/>
              </w:rPr>
              <w:t>Placebas</w:t>
            </w:r>
          </w:p>
          <w:p>
            <w:pPr>
              <w:keepNext/>
              <w:tabs>
                <w:tab w:val="clear" w:pos="567"/>
              </w:tabs>
              <w:spacing w:line="240" w:lineRule="auto"/>
              <w:jc w:val="center"/>
              <w:rPr>
                <w:b/>
                <w:szCs w:val="22"/>
                <w:lang w:val="lt-LT"/>
              </w:rPr>
            </w:pPr>
            <w:r>
              <w:rPr>
                <w:b/>
                <w:bCs/>
                <w:szCs w:val="22"/>
                <w:lang w:val="lt-LT"/>
              </w:rPr>
              <w:t>(N = 54)</w:t>
            </w:r>
          </w:p>
        </w:tc>
        <w:tc>
          <w:tcPr>
            <w:tcW w:w="1259" w:type="dxa"/>
            <w:tcBorders>
              <w:top w:val="single" w:sz="4" w:space="0" w:color="000000"/>
              <w:left w:val="single" w:sz="4" w:space="0" w:color="000000"/>
              <w:bottom w:val="single" w:sz="4" w:space="0" w:color="000000"/>
              <w:right w:val="single" w:sz="4" w:space="0" w:color="000000"/>
            </w:tcBorders>
          </w:tcPr>
          <w:p>
            <w:pPr>
              <w:keepNext/>
              <w:tabs>
                <w:tab w:val="clear" w:pos="567"/>
              </w:tabs>
              <w:spacing w:line="240" w:lineRule="auto"/>
              <w:jc w:val="center"/>
              <w:rPr>
                <w:b/>
                <w:bCs/>
                <w:szCs w:val="22"/>
                <w:lang w:val="lt-LT"/>
              </w:rPr>
            </w:pPr>
            <w:r>
              <w:rPr>
                <w:b/>
                <w:bCs/>
                <w:szCs w:val="22"/>
                <w:lang w:val="lt-LT"/>
              </w:rPr>
              <w:t>Iš viso</w:t>
            </w:r>
          </w:p>
          <w:p>
            <w:pPr>
              <w:keepNext/>
              <w:tabs>
                <w:tab w:val="clear" w:pos="567"/>
              </w:tabs>
              <w:spacing w:line="240" w:lineRule="auto"/>
              <w:jc w:val="center"/>
              <w:rPr>
                <w:b/>
                <w:szCs w:val="22"/>
                <w:lang w:val="lt-LT"/>
              </w:rPr>
            </w:pPr>
            <w:r>
              <w:rPr>
                <w:b/>
                <w:bCs/>
                <w:szCs w:val="22"/>
                <w:lang w:val="lt-LT"/>
              </w:rPr>
              <w:t>(N = 110)</w:t>
            </w:r>
          </w:p>
        </w:tc>
        <w:tc>
          <w:tcPr>
            <w:tcW w:w="1536" w:type="dxa"/>
            <w:vMerge/>
            <w:tcBorders>
              <w:top w:val="single" w:sz="4" w:space="0" w:color="000000"/>
              <w:left w:val="single" w:sz="4" w:space="0" w:color="000000"/>
              <w:bottom w:val="single" w:sz="4" w:space="0" w:color="000000"/>
              <w:right w:val="single" w:sz="4" w:space="0" w:color="000000"/>
            </w:tcBorders>
          </w:tcPr>
          <w:p>
            <w:pPr>
              <w:keepNext/>
              <w:tabs>
                <w:tab w:val="clear" w:pos="567"/>
              </w:tabs>
              <w:spacing w:line="240" w:lineRule="auto"/>
              <w:jc w:val="both"/>
              <w:rPr>
                <w:b/>
                <w:szCs w:val="22"/>
                <w:lang w:val="lt-LT"/>
              </w:rPr>
            </w:pPr>
          </w:p>
        </w:tc>
      </w:tr>
      <w:tr>
        <w:tc>
          <w:tcPr>
            <w:tcW w:w="9360" w:type="dxa"/>
            <w:gridSpan w:val="6"/>
            <w:tcBorders>
              <w:top w:val="single" w:sz="4" w:space="0" w:color="000000"/>
              <w:left w:val="single" w:sz="4" w:space="0" w:color="000000"/>
              <w:bottom w:val="single" w:sz="4" w:space="0" w:color="000000"/>
              <w:right w:val="single" w:sz="4" w:space="0" w:color="000000"/>
            </w:tcBorders>
          </w:tcPr>
          <w:p>
            <w:pPr>
              <w:tabs>
                <w:tab w:val="clear" w:pos="567"/>
              </w:tabs>
              <w:spacing w:line="240" w:lineRule="auto"/>
              <w:jc w:val="both"/>
              <w:rPr>
                <w:b/>
                <w:szCs w:val="22"/>
                <w:lang w:val="lt-LT"/>
              </w:rPr>
            </w:pPr>
            <w:r>
              <w:rPr>
                <w:b/>
                <w:bCs/>
                <w:szCs w:val="22"/>
                <w:lang w:val="lt-LT"/>
              </w:rPr>
              <w:t>Amžius (metai)</w:t>
            </w:r>
          </w:p>
        </w:tc>
      </w:tr>
      <w:tr>
        <w:tc>
          <w:tcPr>
            <w:tcW w:w="1974" w:type="dxa"/>
            <w:tcBorders>
              <w:top w:val="single" w:sz="4" w:space="0" w:color="000000"/>
              <w:left w:val="single" w:sz="4" w:space="0" w:color="000000"/>
              <w:bottom w:val="single" w:sz="4" w:space="0" w:color="000000"/>
              <w:right w:val="single" w:sz="4" w:space="0" w:color="000000"/>
            </w:tcBorders>
          </w:tcPr>
          <w:p>
            <w:pPr>
              <w:tabs>
                <w:tab w:val="clear" w:pos="567"/>
              </w:tabs>
              <w:spacing w:line="240" w:lineRule="auto"/>
              <w:rPr>
                <w:szCs w:val="22"/>
                <w:lang w:val="lt-LT"/>
              </w:rPr>
            </w:pPr>
            <w:r>
              <w:rPr>
                <w:szCs w:val="22"/>
                <w:lang w:val="lt-LT"/>
              </w:rPr>
              <w:t>N</w:t>
            </w:r>
          </w:p>
        </w:tc>
        <w:tc>
          <w:tcPr>
            <w:tcW w:w="1621" w:type="dxa"/>
            <w:tcBorders>
              <w:top w:val="single" w:sz="4" w:space="0" w:color="000000"/>
              <w:left w:val="single" w:sz="4" w:space="0" w:color="000000"/>
              <w:bottom w:val="single" w:sz="4" w:space="0" w:color="000000"/>
              <w:right w:val="single" w:sz="4" w:space="0" w:color="000000"/>
            </w:tcBorders>
          </w:tcPr>
          <w:p>
            <w:pPr>
              <w:tabs>
                <w:tab w:val="clear" w:pos="567"/>
              </w:tabs>
              <w:spacing w:line="240" w:lineRule="auto"/>
              <w:jc w:val="center"/>
              <w:rPr>
                <w:szCs w:val="22"/>
                <w:lang w:val="lt-LT"/>
              </w:rPr>
            </w:pPr>
            <w:r>
              <w:rPr>
                <w:szCs w:val="22"/>
                <w:lang w:val="lt-LT"/>
              </w:rPr>
              <w:t>47</w:t>
            </w:r>
          </w:p>
        </w:tc>
        <w:tc>
          <w:tcPr>
            <w:tcW w:w="1529" w:type="dxa"/>
            <w:tcBorders>
              <w:top w:val="single" w:sz="4" w:space="0" w:color="000000"/>
              <w:left w:val="single" w:sz="4" w:space="0" w:color="000000"/>
              <w:bottom w:val="single" w:sz="4" w:space="0" w:color="000000"/>
              <w:right w:val="single" w:sz="4" w:space="0" w:color="000000"/>
            </w:tcBorders>
          </w:tcPr>
          <w:p>
            <w:pPr>
              <w:tabs>
                <w:tab w:val="clear" w:pos="567"/>
              </w:tabs>
              <w:spacing w:line="240" w:lineRule="auto"/>
              <w:jc w:val="center"/>
              <w:rPr>
                <w:szCs w:val="22"/>
                <w:lang w:val="lt-LT"/>
              </w:rPr>
            </w:pPr>
            <w:r>
              <w:rPr>
                <w:szCs w:val="22"/>
                <w:lang w:val="lt-LT"/>
              </w:rPr>
              <w:t>56</w:t>
            </w:r>
          </w:p>
        </w:tc>
        <w:tc>
          <w:tcPr>
            <w:tcW w:w="1441" w:type="dxa"/>
            <w:tcBorders>
              <w:top w:val="single" w:sz="4" w:space="0" w:color="000000"/>
              <w:left w:val="single" w:sz="4" w:space="0" w:color="000000"/>
              <w:bottom w:val="single" w:sz="4" w:space="0" w:color="000000"/>
              <w:right w:val="single" w:sz="4" w:space="0" w:color="000000"/>
            </w:tcBorders>
          </w:tcPr>
          <w:p>
            <w:pPr>
              <w:tabs>
                <w:tab w:val="clear" w:pos="567"/>
              </w:tabs>
              <w:spacing w:line="240" w:lineRule="auto"/>
              <w:jc w:val="center"/>
              <w:rPr>
                <w:szCs w:val="22"/>
                <w:lang w:val="lt-LT"/>
              </w:rPr>
            </w:pPr>
            <w:r>
              <w:rPr>
                <w:szCs w:val="22"/>
                <w:lang w:val="lt-LT"/>
              </w:rPr>
              <w:t>54</w:t>
            </w:r>
          </w:p>
        </w:tc>
        <w:tc>
          <w:tcPr>
            <w:tcW w:w="1259" w:type="dxa"/>
            <w:tcBorders>
              <w:top w:val="single" w:sz="4" w:space="0" w:color="000000"/>
              <w:left w:val="single" w:sz="4" w:space="0" w:color="000000"/>
              <w:bottom w:val="single" w:sz="4" w:space="0" w:color="000000"/>
              <w:right w:val="single" w:sz="4" w:space="0" w:color="000000"/>
            </w:tcBorders>
          </w:tcPr>
          <w:p>
            <w:pPr>
              <w:tabs>
                <w:tab w:val="clear" w:pos="567"/>
              </w:tabs>
              <w:spacing w:line="240" w:lineRule="auto"/>
              <w:jc w:val="center"/>
              <w:rPr>
                <w:szCs w:val="22"/>
                <w:lang w:val="lt-LT"/>
              </w:rPr>
            </w:pPr>
            <w:r>
              <w:rPr>
                <w:szCs w:val="22"/>
                <w:lang w:val="lt-LT"/>
              </w:rPr>
              <w:t>110</w:t>
            </w:r>
          </w:p>
        </w:tc>
        <w:tc>
          <w:tcPr>
            <w:tcW w:w="1536" w:type="dxa"/>
            <w:tcBorders>
              <w:top w:val="single" w:sz="4" w:space="0" w:color="000000"/>
              <w:left w:val="single" w:sz="4" w:space="0" w:color="000000"/>
              <w:bottom w:val="single" w:sz="4" w:space="0" w:color="000000"/>
              <w:right w:val="single" w:sz="4" w:space="0" w:color="000000"/>
            </w:tcBorders>
          </w:tcPr>
          <w:p>
            <w:pPr>
              <w:tabs>
                <w:tab w:val="clear" w:pos="567"/>
              </w:tabs>
              <w:spacing w:line="240" w:lineRule="auto"/>
              <w:jc w:val="center"/>
              <w:rPr>
                <w:szCs w:val="22"/>
                <w:lang w:val="lt-LT"/>
              </w:rPr>
            </w:pPr>
            <w:r>
              <w:rPr>
                <w:szCs w:val="22"/>
                <w:lang w:val="lt-LT"/>
              </w:rPr>
              <w:t>157</w:t>
            </w:r>
          </w:p>
        </w:tc>
      </w:tr>
      <w:tr>
        <w:tc>
          <w:tcPr>
            <w:tcW w:w="1974" w:type="dxa"/>
            <w:tcBorders>
              <w:top w:val="single" w:sz="4" w:space="0" w:color="000000"/>
              <w:left w:val="single" w:sz="4" w:space="0" w:color="000000"/>
              <w:bottom w:val="single" w:sz="4" w:space="0" w:color="000000"/>
              <w:right w:val="single" w:sz="4" w:space="0" w:color="000000"/>
            </w:tcBorders>
          </w:tcPr>
          <w:p>
            <w:pPr>
              <w:tabs>
                <w:tab w:val="clear" w:pos="567"/>
              </w:tabs>
              <w:spacing w:line="240" w:lineRule="auto"/>
              <w:rPr>
                <w:szCs w:val="22"/>
                <w:lang w:val="lt-LT"/>
              </w:rPr>
            </w:pPr>
            <w:r>
              <w:rPr>
                <w:szCs w:val="22"/>
                <w:lang w:val="lt-LT"/>
              </w:rPr>
              <w:t>Vidurkis (SN)</w:t>
            </w:r>
          </w:p>
        </w:tc>
        <w:tc>
          <w:tcPr>
            <w:tcW w:w="1621" w:type="dxa"/>
            <w:tcBorders>
              <w:top w:val="single" w:sz="4" w:space="0" w:color="000000"/>
              <w:left w:val="single" w:sz="4" w:space="0" w:color="000000"/>
              <w:bottom w:val="single" w:sz="4" w:space="0" w:color="000000"/>
              <w:right w:val="single" w:sz="4" w:space="0" w:color="000000"/>
            </w:tcBorders>
          </w:tcPr>
          <w:p>
            <w:pPr>
              <w:tabs>
                <w:tab w:val="clear" w:pos="567"/>
              </w:tabs>
              <w:spacing w:line="240" w:lineRule="auto"/>
              <w:jc w:val="center"/>
              <w:rPr>
                <w:szCs w:val="22"/>
                <w:lang w:val="lt-LT"/>
              </w:rPr>
            </w:pPr>
            <w:r>
              <w:rPr>
                <w:szCs w:val="22"/>
                <w:lang w:val="lt-LT"/>
              </w:rPr>
              <w:t>18,4 (15,07)</w:t>
            </w:r>
          </w:p>
        </w:tc>
        <w:tc>
          <w:tcPr>
            <w:tcW w:w="1529" w:type="dxa"/>
            <w:tcBorders>
              <w:top w:val="single" w:sz="4" w:space="0" w:color="000000"/>
              <w:left w:val="single" w:sz="4" w:space="0" w:color="000000"/>
              <w:bottom w:val="single" w:sz="4" w:space="0" w:color="000000"/>
              <w:right w:val="single" w:sz="4" w:space="0" w:color="000000"/>
            </w:tcBorders>
          </w:tcPr>
          <w:p>
            <w:pPr>
              <w:tabs>
                <w:tab w:val="clear" w:pos="567"/>
              </w:tabs>
              <w:spacing w:line="240" w:lineRule="auto"/>
              <w:jc w:val="center"/>
              <w:rPr>
                <w:szCs w:val="22"/>
                <w:lang w:val="lt-LT"/>
              </w:rPr>
            </w:pPr>
            <w:r>
              <w:rPr>
                <w:szCs w:val="22"/>
                <w:lang w:val="lt-LT"/>
              </w:rPr>
              <w:t>16,5 (11,12)</w:t>
            </w:r>
          </w:p>
        </w:tc>
        <w:tc>
          <w:tcPr>
            <w:tcW w:w="1441" w:type="dxa"/>
            <w:tcBorders>
              <w:top w:val="single" w:sz="4" w:space="0" w:color="000000"/>
              <w:left w:val="single" w:sz="4" w:space="0" w:color="000000"/>
              <w:bottom w:val="single" w:sz="4" w:space="0" w:color="000000"/>
              <w:right w:val="single" w:sz="4" w:space="0" w:color="000000"/>
            </w:tcBorders>
          </w:tcPr>
          <w:p>
            <w:pPr>
              <w:tabs>
                <w:tab w:val="clear" w:pos="567"/>
              </w:tabs>
              <w:spacing w:line="240" w:lineRule="auto"/>
              <w:jc w:val="center"/>
              <w:rPr>
                <w:szCs w:val="22"/>
                <w:lang w:val="lt-LT"/>
              </w:rPr>
            </w:pPr>
            <w:r>
              <w:rPr>
                <w:szCs w:val="22"/>
                <w:lang w:val="lt-LT"/>
              </w:rPr>
              <w:t>18,4 (10,65)</w:t>
            </w:r>
          </w:p>
        </w:tc>
        <w:tc>
          <w:tcPr>
            <w:tcW w:w="1259" w:type="dxa"/>
            <w:tcBorders>
              <w:top w:val="single" w:sz="4" w:space="0" w:color="000000"/>
              <w:left w:val="single" w:sz="4" w:space="0" w:color="000000"/>
              <w:bottom w:val="single" w:sz="4" w:space="0" w:color="000000"/>
              <w:right w:val="single" w:sz="4" w:space="0" w:color="000000"/>
            </w:tcBorders>
          </w:tcPr>
          <w:p>
            <w:pPr>
              <w:tabs>
                <w:tab w:val="clear" w:pos="567"/>
              </w:tabs>
              <w:spacing w:line="240" w:lineRule="auto"/>
              <w:jc w:val="center"/>
              <w:rPr>
                <w:szCs w:val="22"/>
                <w:lang w:val="lt-LT"/>
              </w:rPr>
            </w:pPr>
            <w:r>
              <w:rPr>
                <w:szCs w:val="22"/>
                <w:lang w:val="lt-LT"/>
              </w:rPr>
              <w:t>17,4 (10,88)</w:t>
            </w:r>
          </w:p>
        </w:tc>
        <w:tc>
          <w:tcPr>
            <w:tcW w:w="1536" w:type="dxa"/>
            <w:tcBorders>
              <w:top w:val="single" w:sz="4" w:space="0" w:color="000000"/>
              <w:left w:val="single" w:sz="4" w:space="0" w:color="000000"/>
              <w:bottom w:val="single" w:sz="4" w:space="0" w:color="000000"/>
              <w:right w:val="single" w:sz="4" w:space="0" w:color="000000"/>
            </w:tcBorders>
          </w:tcPr>
          <w:p>
            <w:pPr>
              <w:tabs>
                <w:tab w:val="clear" w:pos="567"/>
              </w:tabs>
              <w:spacing w:line="240" w:lineRule="auto"/>
              <w:jc w:val="center"/>
              <w:rPr>
                <w:szCs w:val="22"/>
                <w:lang w:val="lt-LT"/>
              </w:rPr>
            </w:pPr>
            <w:r>
              <w:rPr>
                <w:szCs w:val="22"/>
                <w:lang w:val="lt-LT"/>
              </w:rPr>
              <w:t>17,7 (12,24)</w:t>
            </w:r>
          </w:p>
        </w:tc>
      </w:tr>
      <w:tr>
        <w:tc>
          <w:tcPr>
            <w:tcW w:w="1974" w:type="dxa"/>
            <w:tcBorders>
              <w:top w:val="single" w:sz="4" w:space="0" w:color="000000"/>
              <w:left w:val="single" w:sz="4" w:space="0" w:color="000000"/>
              <w:bottom w:val="single" w:sz="4" w:space="0" w:color="000000"/>
              <w:right w:val="single" w:sz="4" w:space="0" w:color="000000"/>
            </w:tcBorders>
          </w:tcPr>
          <w:p>
            <w:pPr>
              <w:tabs>
                <w:tab w:val="clear" w:pos="567"/>
              </w:tabs>
              <w:spacing w:line="240" w:lineRule="auto"/>
              <w:rPr>
                <w:szCs w:val="22"/>
                <w:lang w:val="lt-LT"/>
              </w:rPr>
            </w:pPr>
            <w:r>
              <w:rPr>
                <w:szCs w:val="22"/>
                <w:lang w:val="lt-LT"/>
              </w:rPr>
              <w:t>Mediana (min., maks.)</w:t>
            </w:r>
          </w:p>
        </w:tc>
        <w:tc>
          <w:tcPr>
            <w:tcW w:w="1621" w:type="dxa"/>
            <w:tcBorders>
              <w:top w:val="single" w:sz="4" w:space="0" w:color="000000"/>
              <w:left w:val="single" w:sz="4" w:space="0" w:color="000000"/>
              <w:bottom w:val="single" w:sz="4" w:space="0" w:color="000000"/>
              <w:right w:val="single" w:sz="4" w:space="0" w:color="000000"/>
            </w:tcBorders>
          </w:tcPr>
          <w:p>
            <w:pPr>
              <w:tabs>
                <w:tab w:val="clear" w:pos="567"/>
              </w:tabs>
              <w:spacing w:line="240" w:lineRule="auto"/>
              <w:jc w:val="center"/>
              <w:rPr>
                <w:szCs w:val="22"/>
                <w:lang w:val="lt-LT"/>
              </w:rPr>
            </w:pPr>
            <w:r>
              <w:rPr>
                <w:szCs w:val="22"/>
                <w:lang w:val="lt-LT"/>
              </w:rPr>
              <w:t>15,0 (1, 61)</w:t>
            </w:r>
          </w:p>
        </w:tc>
        <w:tc>
          <w:tcPr>
            <w:tcW w:w="1529" w:type="dxa"/>
            <w:tcBorders>
              <w:top w:val="single" w:sz="4" w:space="0" w:color="000000"/>
              <w:left w:val="single" w:sz="4" w:space="0" w:color="000000"/>
              <w:bottom w:val="single" w:sz="4" w:space="0" w:color="000000"/>
              <w:right w:val="single" w:sz="4" w:space="0" w:color="000000"/>
            </w:tcBorders>
          </w:tcPr>
          <w:p>
            <w:pPr>
              <w:tabs>
                <w:tab w:val="clear" w:pos="567"/>
              </w:tabs>
              <w:spacing w:line="240" w:lineRule="auto"/>
              <w:jc w:val="center"/>
              <w:rPr>
                <w:szCs w:val="22"/>
                <w:lang w:val="lt-LT"/>
              </w:rPr>
            </w:pPr>
            <w:r>
              <w:rPr>
                <w:szCs w:val="22"/>
                <w:lang w:val="lt-LT"/>
              </w:rPr>
              <w:t>13,0 (2, 47)</w:t>
            </w:r>
          </w:p>
        </w:tc>
        <w:tc>
          <w:tcPr>
            <w:tcW w:w="1441" w:type="dxa"/>
            <w:tcBorders>
              <w:top w:val="single" w:sz="4" w:space="0" w:color="000000"/>
              <w:left w:val="single" w:sz="4" w:space="0" w:color="000000"/>
              <w:bottom w:val="single" w:sz="4" w:space="0" w:color="000000"/>
              <w:right w:val="single" w:sz="4" w:space="0" w:color="000000"/>
            </w:tcBorders>
          </w:tcPr>
          <w:p>
            <w:pPr>
              <w:tabs>
                <w:tab w:val="clear" w:pos="567"/>
              </w:tabs>
              <w:spacing w:line="240" w:lineRule="auto"/>
              <w:jc w:val="center"/>
              <w:rPr>
                <w:szCs w:val="22"/>
                <w:lang w:val="lt-LT"/>
              </w:rPr>
            </w:pPr>
            <w:r>
              <w:rPr>
                <w:szCs w:val="22"/>
                <w:lang w:val="lt-LT"/>
              </w:rPr>
              <w:t>15,0 (4, 54)</w:t>
            </w:r>
          </w:p>
        </w:tc>
        <w:tc>
          <w:tcPr>
            <w:tcW w:w="1259" w:type="dxa"/>
            <w:tcBorders>
              <w:top w:val="single" w:sz="4" w:space="0" w:color="000000"/>
              <w:left w:val="single" w:sz="4" w:space="0" w:color="000000"/>
              <w:bottom w:val="single" w:sz="4" w:space="0" w:color="000000"/>
              <w:right w:val="single" w:sz="4" w:space="0" w:color="000000"/>
            </w:tcBorders>
          </w:tcPr>
          <w:p>
            <w:pPr>
              <w:tabs>
                <w:tab w:val="clear" w:pos="567"/>
              </w:tabs>
              <w:spacing w:line="240" w:lineRule="auto"/>
              <w:jc w:val="center"/>
              <w:rPr>
                <w:szCs w:val="22"/>
                <w:lang w:val="lt-LT"/>
              </w:rPr>
            </w:pPr>
            <w:r>
              <w:rPr>
                <w:szCs w:val="22"/>
                <w:lang w:val="lt-LT"/>
              </w:rPr>
              <w:t>14,0 (2, 54)</w:t>
            </w:r>
          </w:p>
        </w:tc>
        <w:tc>
          <w:tcPr>
            <w:tcW w:w="1536" w:type="dxa"/>
            <w:tcBorders>
              <w:top w:val="single" w:sz="4" w:space="0" w:color="000000"/>
              <w:left w:val="single" w:sz="4" w:space="0" w:color="000000"/>
              <w:bottom w:val="single" w:sz="4" w:space="0" w:color="000000"/>
              <w:right w:val="single" w:sz="4" w:space="0" w:color="000000"/>
            </w:tcBorders>
          </w:tcPr>
          <w:p>
            <w:pPr>
              <w:tabs>
                <w:tab w:val="clear" w:pos="567"/>
              </w:tabs>
              <w:spacing w:line="240" w:lineRule="auto"/>
              <w:jc w:val="center"/>
              <w:rPr>
                <w:szCs w:val="22"/>
                <w:lang w:val="lt-LT"/>
              </w:rPr>
            </w:pPr>
            <w:r>
              <w:rPr>
                <w:szCs w:val="22"/>
                <w:lang w:val="lt-LT"/>
              </w:rPr>
              <w:t>14,0 (1, 61)</w:t>
            </w:r>
          </w:p>
        </w:tc>
      </w:tr>
      <w:tr>
        <w:tc>
          <w:tcPr>
            <w:tcW w:w="9360" w:type="dxa"/>
            <w:gridSpan w:val="6"/>
            <w:tcBorders>
              <w:top w:val="single" w:sz="4" w:space="0" w:color="000000"/>
              <w:left w:val="single" w:sz="4" w:space="0" w:color="000000"/>
              <w:bottom w:val="single" w:sz="4" w:space="0" w:color="000000"/>
              <w:right w:val="single" w:sz="4" w:space="0" w:color="000000"/>
            </w:tcBorders>
          </w:tcPr>
          <w:p>
            <w:pPr>
              <w:tabs>
                <w:tab w:val="clear" w:pos="567"/>
              </w:tabs>
              <w:spacing w:line="240" w:lineRule="auto"/>
              <w:jc w:val="both"/>
              <w:rPr>
                <w:b/>
                <w:szCs w:val="22"/>
                <w:lang w:val="lt-LT"/>
              </w:rPr>
            </w:pPr>
            <w:r>
              <w:rPr>
                <w:b/>
                <w:bCs/>
                <w:szCs w:val="22"/>
                <w:lang w:val="lt-LT"/>
              </w:rPr>
              <w:t>Amžiaus kategorija, n (%)</w:t>
            </w:r>
          </w:p>
        </w:tc>
      </w:tr>
      <w:tr>
        <w:tc>
          <w:tcPr>
            <w:tcW w:w="1974" w:type="dxa"/>
            <w:tcBorders>
              <w:top w:val="single" w:sz="4" w:space="0" w:color="000000"/>
              <w:left w:val="single" w:sz="4" w:space="0" w:color="000000"/>
              <w:bottom w:val="single" w:sz="4" w:space="0" w:color="000000"/>
              <w:right w:val="single" w:sz="4" w:space="0" w:color="000000"/>
            </w:tcBorders>
          </w:tcPr>
          <w:p>
            <w:pPr>
              <w:tabs>
                <w:tab w:val="clear" w:pos="567"/>
              </w:tabs>
              <w:spacing w:line="240" w:lineRule="auto"/>
              <w:jc w:val="both"/>
              <w:rPr>
                <w:szCs w:val="22"/>
                <w:lang w:val="lt-LT"/>
              </w:rPr>
            </w:pPr>
            <w:r>
              <w:rPr>
                <w:szCs w:val="22"/>
                <w:lang w:val="lt-LT"/>
              </w:rPr>
              <w:t>≥1 – &lt;2 metai</w:t>
            </w:r>
          </w:p>
        </w:tc>
        <w:tc>
          <w:tcPr>
            <w:tcW w:w="1621" w:type="dxa"/>
            <w:tcBorders>
              <w:top w:val="single" w:sz="4" w:space="0" w:color="000000"/>
              <w:left w:val="single" w:sz="4" w:space="0" w:color="000000"/>
              <w:bottom w:val="single" w:sz="4" w:space="0" w:color="000000"/>
              <w:right w:val="single" w:sz="4" w:space="0" w:color="000000"/>
            </w:tcBorders>
          </w:tcPr>
          <w:p>
            <w:pPr>
              <w:tabs>
                <w:tab w:val="clear" w:pos="567"/>
              </w:tabs>
              <w:spacing w:line="240" w:lineRule="auto"/>
              <w:jc w:val="center"/>
              <w:rPr>
                <w:szCs w:val="22"/>
                <w:lang w:val="lt-LT"/>
              </w:rPr>
            </w:pPr>
            <w:r>
              <w:rPr>
                <w:szCs w:val="22"/>
                <w:lang w:val="lt-LT"/>
              </w:rPr>
              <w:t>3 (6,4)</w:t>
            </w:r>
          </w:p>
        </w:tc>
        <w:tc>
          <w:tcPr>
            <w:tcW w:w="1529" w:type="dxa"/>
            <w:tcBorders>
              <w:top w:val="single" w:sz="4" w:space="0" w:color="000000"/>
              <w:left w:val="single" w:sz="4" w:space="0" w:color="000000"/>
              <w:bottom w:val="single" w:sz="4" w:space="0" w:color="000000"/>
              <w:right w:val="single" w:sz="4" w:space="0" w:color="000000"/>
            </w:tcBorders>
          </w:tcPr>
          <w:p>
            <w:pPr>
              <w:tabs>
                <w:tab w:val="clear" w:pos="567"/>
              </w:tabs>
              <w:spacing w:line="240" w:lineRule="auto"/>
              <w:jc w:val="center"/>
              <w:rPr>
                <w:szCs w:val="22"/>
                <w:lang w:val="lt-LT"/>
              </w:rPr>
            </w:pPr>
            <w:r>
              <w:rPr>
                <w:szCs w:val="22"/>
                <w:lang w:val="lt-LT"/>
              </w:rPr>
              <w:t>0</w:t>
            </w:r>
          </w:p>
        </w:tc>
        <w:tc>
          <w:tcPr>
            <w:tcW w:w="1441" w:type="dxa"/>
            <w:tcBorders>
              <w:top w:val="single" w:sz="4" w:space="0" w:color="000000"/>
              <w:left w:val="single" w:sz="4" w:space="0" w:color="000000"/>
              <w:bottom w:val="single" w:sz="4" w:space="0" w:color="000000"/>
              <w:right w:val="single" w:sz="4" w:space="0" w:color="000000"/>
            </w:tcBorders>
          </w:tcPr>
          <w:p>
            <w:pPr>
              <w:tabs>
                <w:tab w:val="clear" w:pos="567"/>
              </w:tabs>
              <w:spacing w:line="240" w:lineRule="auto"/>
              <w:jc w:val="center"/>
              <w:rPr>
                <w:szCs w:val="22"/>
                <w:lang w:val="lt-LT"/>
              </w:rPr>
            </w:pPr>
            <w:r>
              <w:rPr>
                <w:szCs w:val="22"/>
                <w:lang w:val="lt-LT"/>
              </w:rPr>
              <w:t>0</w:t>
            </w:r>
          </w:p>
        </w:tc>
        <w:tc>
          <w:tcPr>
            <w:tcW w:w="1259" w:type="dxa"/>
            <w:tcBorders>
              <w:top w:val="single" w:sz="4" w:space="0" w:color="000000"/>
              <w:left w:val="single" w:sz="4" w:space="0" w:color="000000"/>
              <w:bottom w:val="single" w:sz="4" w:space="0" w:color="000000"/>
              <w:right w:val="single" w:sz="4" w:space="0" w:color="000000"/>
            </w:tcBorders>
          </w:tcPr>
          <w:p>
            <w:pPr>
              <w:tabs>
                <w:tab w:val="clear" w:pos="567"/>
              </w:tabs>
              <w:spacing w:line="240" w:lineRule="auto"/>
              <w:jc w:val="center"/>
              <w:rPr>
                <w:szCs w:val="22"/>
                <w:lang w:val="lt-LT"/>
              </w:rPr>
            </w:pPr>
            <w:r>
              <w:rPr>
                <w:szCs w:val="22"/>
                <w:lang w:val="lt-LT"/>
              </w:rPr>
              <w:t>0</w:t>
            </w:r>
          </w:p>
        </w:tc>
        <w:tc>
          <w:tcPr>
            <w:tcW w:w="1536" w:type="dxa"/>
            <w:tcBorders>
              <w:top w:val="single" w:sz="4" w:space="0" w:color="000000"/>
              <w:left w:val="single" w:sz="4" w:space="0" w:color="000000"/>
              <w:bottom w:val="single" w:sz="4" w:space="0" w:color="000000"/>
              <w:right w:val="single" w:sz="4" w:space="0" w:color="000000"/>
            </w:tcBorders>
          </w:tcPr>
          <w:p>
            <w:pPr>
              <w:tabs>
                <w:tab w:val="clear" w:pos="567"/>
              </w:tabs>
              <w:spacing w:line="240" w:lineRule="auto"/>
              <w:jc w:val="center"/>
              <w:rPr>
                <w:szCs w:val="22"/>
                <w:lang w:val="lt-LT"/>
              </w:rPr>
            </w:pPr>
            <w:r>
              <w:rPr>
                <w:szCs w:val="22"/>
                <w:lang w:val="lt-LT"/>
              </w:rPr>
              <w:t>3 (1,9)</w:t>
            </w:r>
          </w:p>
        </w:tc>
      </w:tr>
      <w:tr>
        <w:tc>
          <w:tcPr>
            <w:tcW w:w="1974" w:type="dxa"/>
            <w:tcBorders>
              <w:top w:val="single" w:sz="4" w:space="0" w:color="000000"/>
              <w:left w:val="single" w:sz="4" w:space="0" w:color="000000"/>
              <w:bottom w:val="single" w:sz="4" w:space="0" w:color="000000"/>
              <w:right w:val="single" w:sz="4" w:space="0" w:color="000000"/>
            </w:tcBorders>
          </w:tcPr>
          <w:p>
            <w:pPr>
              <w:tabs>
                <w:tab w:val="clear" w:pos="567"/>
              </w:tabs>
              <w:spacing w:line="240" w:lineRule="auto"/>
              <w:jc w:val="both"/>
              <w:rPr>
                <w:szCs w:val="22"/>
                <w:lang w:val="lt-LT"/>
              </w:rPr>
            </w:pPr>
            <w:r>
              <w:rPr>
                <w:szCs w:val="22"/>
                <w:lang w:val="lt-LT"/>
              </w:rPr>
              <w:t>≥2 – &lt;6 metai</w:t>
            </w:r>
          </w:p>
        </w:tc>
        <w:tc>
          <w:tcPr>
            <w:tcW w:w="1621" w:type="dxa"/>
            <w:tcBorders>
              <w:top w:val="single" w:sz="4" w:space="0" w:color="000000"/>
              <w:left w:val="single" w:sz="4" w:space="0" w:color="000000"/>
              <w:bottom w:val="single" w:sz="4" w:space="0" w:color="000000"/>
              <w:right w:val="single" w:sz="4" w:space="0" w:color="000000"/>
            </w:tcBorders>
          </w:tcPr>
          <w:p>
            <w:pPr>
              <w:tabs>
                <w:tab w:val="clear" w:pos="567"/>
              </w:tabs>
              <w:spacing w:line="240" w:lineRule="auto"/>
              <w:jc w:val="center"/>
              <w:rPr>
                <w:szCs w:val="22"/>
                <w:lang w:val="lt-LT"/>
              </w:rPr>
            </w:pPr>
            <w:r>
              <w:rPr>
                <w:szCs w:val="22"/>
                <w:lang w:val="lt-LT"/>
              </w:rPr>
              <w:t>5 (10,6)</w:t>
            </w:r>
          </w:p>
        </w:tc>
        <w:tc>
          <w:tcPr>
            <w:tcW w:w="1529" w:type="dxa"/>
            <w:tcBorders>
              <w:top w:val="single" w:sz="4" w:space="0" w:color="000000"/>
              <w:left w:val="single" w:sz="4" w:space="0" w:color="000000"/>
              <w:bottom w:val="single" w:sz="4" w:space="0" w:color="000000"/>
              <w:right w:val="single" w:sz="4" w:space="0" w:color="000000"/>
            </w:tcBorders>
          </w:tcPr>
          <w:p>
            <w:pPr>
              <w:tabs>
                <w:tab w:val="clear" w:pos="567"/>
              </w:tabs>
              <w:spacing w:line="240" w:lineRule="auto"/>
              <w:jc w:val="center"/>
              <w:rPr>
                <w:szCs w:val="22"/>
                <w:lang w:val="lt-LT"/>
              </w:rPr>
            </w:pPr>
            <w:r>
              <w:rPr>
                <w:szCs w:val="22"/>
                <w:lang w:val="lt-LT"/>
              </w:rPr>
              <w:t>7 (12,5)</w:t>
            </w:r>
          </w:p>
        </w:tc>
        <w:tc>
          <w:tcPr>
            <w:tcW w:w="1441" w:type="dxa"/>
            <w:tcBorders>
              <w:top w:val="single" w:sz="4" w:space="0" w:color="000000"/>
              <w:left w:val="single" w:sz="4" w:space="0" w:color="000000"/>
              <w:bottom w:val="single" w:sz="4" w:space="0" w:color="000000"/>
              <w:right w:val="single" w:sz="4" w:space="0" w:color="000000"/>
            </w:tcBorders>
          </w:tcPr>
          <w:p>
            <w:pPr>
              <w:tabs>
                <w:tab w:val="clear" w:pos="567"/>
              </w:tabs>
              <w:spacing w:line="240" w:lineRule="auto"/>
              <w:jc w:val="center"/>
              <w:rPr>
                <w:szCs w:val="22"/>
                <w:lang w:val="lt-LT"/>
              </w:rPr>
            </w:pPr>
            <w:r>
              <w:rPr>
                <w:szCs w:val="22"/>
                <w:lang w:val="lt-LT"/>
              </w:rPr>
              <w:t>3 (5,6)</w:t>
            </w:r>
          </w:p>
        </w:tc>
        <w:tc>
          <w:tcPr>
            <w:tcW w:w="1259" w:type="dxa"/>
            <w:tcBorders>
              <w:top w:val="single" w:sz="4" w:space="0" w:color="000000"/>
              <w:left w:val="single" w:sz="4" w:space="0" w:color="000000"/>
              <w:bottom w:val="single" w:sz="4" w:space="0" w:color="000000"/>
              <w:right w:val="single" w:sz="4" w:space="0" w:color="000000"/>
            </w:tcBorders>
          </w:tcPr>
          <w:p>
            <w:pPr>
              <w:tabs>
                <w:tab w:val="clear" w:pos="567"/>
              </w:tabs>
              <w:spacing w:line="240" w:lineRule="auto"/>
              <w:jc w:val="center"/>
              <w:rPr>
                <w:szCs w:val="22"/>
                <w:lang w:val="lt-LT"/>
              </w:rPr>
            </w:pPr>
            <w:r>
              <w:rPr>
                <w:szCs w:val="22"/>
                <w:lang w:val="lt-LT"/>
              </w:rPr>
              <w:t>10 (9,1)</w:t>
            </w:r>
          </w:p>
        </w:tc>
        <w:tc>
          <w:tcPr>
            <w:tcW w:w="1536" w:type="dxa"/>
            <w:tcBorders>
              <w:top w:val="single" w:sz="4" w:space="0" w:color="000000"/>
              <w:left w:val="single" w:sz="4" w:space="0" w:color="000000"/>
              <w:bottom w:val="single" w:sz="4" w:space="0" w:color="000000"/>
              <w:right w:val="single" w:sz="4" w:space="0" w:color="000000"/>
            </w:tcBorders>
          </w:tcPr>
          <w:p>
            <w:pPr>
              <w:tabs>
                <w:tab w:val="clear" w:pos="567"/>
              </w:tabs>
              <w:spacing w:line="240" w:lineRule="auto"/>
              <w:jc w:val="center"/>
              <w:rPr>
                <w:szCs w:val="22"/>
                <w:lang w:val="lt-LT"/>
              </w:rPr>
            </w:pPr>
            <w:r>
              <w:rPr>
                <w:szCs w:val="22"/>
                <w:lang w:val="lt-LT"/>
              </w:rPr>
              <w:t>15 (9,6)</w:t>
            </w:r>
          </w:p>
        </w:tc>
      </w:tr>
      <w:tr>
        <w:tc>
          <w:tcPr>
            <w:tcW w:w="1974" w:type="dxa"/>
            <w:tcBorders>
              <w:top w:val="single" w:sz="4" w:space="0" w:color="000000"/>
              <w:left w:val="single" w:sz="4" w:space="0" w:color="000000"/>
              <w:bottom w:val="single" w:sz="4" w:space="0" w:color="000000"/>
              <w:right w:val="single" w:sz="4" w:space="0" w:color="000000"/>
            </w:tcBorders>
          </w:tcPr>
          <w:p>
            <w:pPr>
              <w:tabs>
                <w:tab w:val="clear" w:pos="567"/>
              </w:tabs>
              <w:spacing w:line="240" w:lineRule="auto"/>
              <w:jc w:val="both"/>
              <w:rPr>
                <w:szCs w:val="22"/>
                <w:lang w:val="lt-LT"/>
              </w:rPr>
            </w:pPr>
            <w:r>
              <w:rPr>
                <w:szCs w:val="22"/>
                <w:lang w:val="lt-LT"/>
              </w:rPr>
              <w:t>≥6 – &lt;12 metų</w:t>
            </w:r>
          </w:p>
        </w:tc>
        <w:tc>
          <w:tcPr>
            <w:tcW w:w="1621" w:type="dxa"/>
            <w:tcBorders>
              <w:top w:val="single" w:sz="4" w:space="0" w:color="000000"/>
              <w:left w:val="single" w:sz="4" w:space="0" w:color="000000"/>
              <w:bottom w:val="single" w:sz="4" w:space="0" w:color="000000"/>
              <w:right w:val="single" w:sz="4" w:space="0" w:color="000000"/>
            </w:tcBorders>
          </w:tcPr>
          <w:p>
            <w:pPr>
              <w:tabs>
                <w:tab w:val="clear" w:pos="567"/>
              </w:tabs>
              <w:spacing w:line="240" w:lineRule="auto"/>
              <w:jc w:val="center"/>
              <w:rPr>
                <w:szCs w:val="22"/>
                <w:lang w:val="lt-LT"/>
              </w:rPr>
            </w:pPr>
            <w:r>
              <w:rPr>
                <w:szCs w:val="22"/>
                <w:lang w:val="lt-LT"/>
              </w:rPr>
              <w:t>11 (23,4)</w:t>
            </w:r>
          </w:p>
        </w:tc>
        <w:tc>
          <w:tcPr>
            <w:tcW w:w="1529" w:type="dxa"/>
            <w:tcBorders>
              <w:top w:val="single" w:sz="4" w:space="0" w:color="000000"/>
              <w:left w:val="single" w:sz="4" w:space="0" w:color="000000"/>
              <w:bottom w:val="single" w:sz="4" w:space="0" w:color="000000"/>
              <w:right w:val="single" w:sz="4" w:space="0" w:color="000000"/>
            </w:tcBorders>
          </w:tcPr>
          <w:p>
            <w:pPr>
              <w:tabs>
                <w:tab w:val="clear" w:pos="567"/>
              </w:tabs>
              <w:spacing w:line="240" w:lineRule="auto"/>
              <w:jc w:val="center"/>
              <w:rPr>
                <w:szCs w:val="22"/>
                <w:lang w:val="lt-LT"/>
              </w:rPr>
            </w:pPr>
            <w:r>
              <w:rPr>
                <w:szCs w:val="22"/>
                <w:lang w:val="lt-LT"/>
              </w:rPr>
              <w:t>17 (30,4)</w:t>
            </w:r>
          </w:p>
        </w:tc>
        <w:tc>
          <w:tcPr>
            <w:tcW w:w="1441" w:type="dxa"/>
            <w:tcBorders>
              <w:top w:val="single" w:sz="4" w:space="0" w:color="000000"/>
              <w:left w:val="single" w:sz="4" w:space="0" w:color="000000"/>
              <w:bottom w:val="single" w:sz="4" w:space="0" w:color="000000"/>
              <w:right w:val="single" w:sz="4" w:space="0" w:color="000000"/>
            </w:tcBorders>
          </w:tcPr>
          <w:p>
            <w:pPr>
              <w:tabs>
                <w:tab w:val="clear" w:pos="567"/>
              </w:tabs>
              <w:spacing w:line="240" w:lineRule="auto"/>
              <w:jc w:val="center"/>
              <w:rPr>
                <w:szCs w:val="22"/>
                <w:lang w:val="lt-LT"/>
              </w:rPr>
            </w:pPr>
            <w:r>
              <w:rPr>
                <w:szCs w:val="22"/>
                <w:lang w:val="lt-LT"/>
              </w:rPr>
              <w:t>12 (22,2)</w:t>
            </w:r>
          </w:p>
        </w:tc>
        <w:tc>
          <w:tcPr>
            <w:tcW w:w="1259" w:type="dxa"/>
            <w:tcBorders>
              <w:top w:val="single" w:sz="4" w:space="0" w:color="000000"/>
              <w:left w:val="single" w:sz="4" w:space="0" w:color="000000"/>
              <w:bottom w:val="single" w:sz="4" w:space="0" w:color="000000"/>
              <w:right w:val="single" w:sz="4" w:space="0" w:color="000000"/>
            </w:tcBorders>
          </w:tcPr>
          <w:p>
            <w:pPr>
              <w:tabs>
                <w:tab w:val="clear" w:pos="567"/>
              </w:tabs>
              <w:spacing w:line="240" w:lineRule="auto"/>
              <w:jc w:val="center"/>
              <w:rPr>
                <w:szCs w:val="22"/>
                <w:lang w:val="lt-LT"/>
              </w:rPr>
            </w:pPr>
            <w:r>
              <w:rPr>
                <w:szCs w:val="22"/>
                <w:lang w:val="lt-LT"/>
              </w:rPr>
              <w:t>29 (26,4)</w:t>
            </w:r>
          </w:p>
        </w:tc>
        <w:tc>
          <w:tcPr>
            <w:tcW w:w="1536" w:type="dxa"/>
            <w:tcBorders>
              <w:top w:val="single" w:sz="4" w:space="0" w:color="000000"/>
              <w:left w:val="single" w:sz="4" w:space="0" w:color="000000"/>
              <w:bottom w:val="single" w:sz="4" w:space="0" w:color="000000"/>
              <w:right w:val="single" w:sz="4" w:space="0" w:color="000000"/>
            </w:tcBorders>
          </w:tcPr>
          <w:p>
            <w:pPr>
              <w:tabs>
                <w:tab w:val="clear" w:pos="567"/>
              </w:tabs>
              <w:spacing w:line="240" w:lineRule="auto"/>
              <w:jc w:val="center"/>
              <w:rPr>
                <w:szCs w:val="22"/>
                <w:lang w:val="lt-LT"/>
              </w:rPr>
            </w:pPr>
            <w:r>
              <w:rPr>
                <w:szCs w:val="22"/>
                <w:lang w:val="lt-LT"/>
              </w:rPr>
              <w:t>40 (25,5)</w:t>
            </w:r>
          </w:p>
        </w:tc>
      </w:tr>
      <w:tr>
        <w:tc>
          <w:tcPr>
            <w:tcW w:w="1974" w:type="dxa"/>
            <w:tcBorders>
              <w:top w:val="single" w:sz="4" w:space="0" w:color="000000"/>
              <w:left w:val="single" w:sz="4" w:space="0" w:color="000000"/>
              <w:bottom w:val="single" w:sz="4" w:space="0" w:color="000000"/>
              <w:right w:val="single" w:sz="4" w:space="0" w:color="000000"/>
            </w:tcBorders>
          </w:tcPr>
          <w:p>
            <w:pPr>
              <w:tabs>
                <w:tab w:val="clear" w:pos="567"/>
              </w:tabs>
              <w:spacing w:line="240" w:lineRule="auto"/>
              <w:jc w:val="both"/>
              <w:rPr>
                <w:szCs w:val="22"/>
                <w:lang w:val="lt-LT"/>
              </w:rPr>
            </w:pPr>
            <w:r>
              <w:rPr>
                <w:szCs w:val="22"/>
                <w:lang w:val="lt-LT"/>
              </w:rPr>
              <w:t>≥12 – &lt;18 metų</w:t>
            </w:r>
          </w:p>
        </w:tc>
        <w:tc>
          <w:tcPr>
            <w:tcW w:w="1621" w:type="dxa"/>
            <w:tcBorders>
              <w:top w:val="single" w:sz="4" w:space="0" w:color="000000"/>
              <w:left w:val="single" w:sz="4" w:space="0" w:color="000000"/>
              <w:bottom w:val="single" w:sz="4" w:space="0" w:color="000000"/>
              <w:right w:val="single" w:sz="4" w:space="0" w:color="000000"/>
            </w:tcBorders>
          </w:tcPr>
          <w:p>
            <w:pPr>
              <w:tabs>
                <w:tab w:val="clear" w:pos="567"/>
              </w:tabs>
              <w:spacing w:line="240" w:lineRule="auto"/>
              <w:jc w:val="center"/>
              <w:rPr>
                <w:szCs w:val="22"/>
                <w:lang w:val="lt-LT"/>
              </w:rPr>
            </w:pPr>
            <w:r>
              <w:rPr>
                <w:szCs w:val="22"/>
                <w:lang w:val="lt-LT"/>
              </w:rPr>
              <w:t>10 (21,3)</w:t>
            </w:r>
          </w:p>
        </w:tc>
        <w:tc>
          <w:tcPr>
            <w:tcW w:w="1529" w:type="dxa"/>
            <w:tcBorders>
              <w:top w:val="single" w:sz="4" w:space="0" w:color="000000"/>
              <w:left w:val="single" w:sz="4" w:space="0" w:color="000000"/>
              <w:bottom w:val="single" w:sz="4" w:space="0" w:color="000000"/>
              <w:right w:val="single" w:sz="4" w:space="0" w:color="000000"/>
            </w:tcBorders>
          </w:tcPr>
          <w:p>
            <w:pPr>
              <w:tabs>
                <w:tab w:val="clear" w:pos="567"/>
              </w:tabs>
              <w:spacing w:line="240" w:lineRule="auto"/>
              <w:jc w:val="center"/>
              <w:rPr>
                <w:szCs w:val="22"/>
                <w:lang w:val="lt-LT"/>
              </w:rPr>
            </w:pPr>
            <w:r>
              <w:rPr>
                <w:szCs w:val="22"/>
                <w:lang w:val="lt-LT"/>
              </w:rPr>
              <w:t>14 (25,0)</w:t>
            </w:r>
          </w:p>
        </w:tc>
        <w:tc>
          <w:tcPr>
            <w:tcW w:w="1441" w:type="dxa"/>
            <w:tcBorders>
              <w:top w:val="single" w:sz="4" w:space="0" w:color="000000"/>
              <w:left w:val="single" w:sz="4" w:space="0" w:color="000000"/>
              <w:bottom w:val="single" w:sz="4" w:space="0" w:color="000000"/>
              <w:right w:val="single" w:sz="4" w:space="0" w:color="000000"/>
            </w:tcBorders>
          </w:tcPr>
          <w:p>
            <w:pPr>
              <w:tabs>
                <w:tab w:val="clear" w:pos="567"/>
              </w:tabs>
              <w:spacing w:line="240" w:lineRule="auto"/>
              <w:jc w:val="center"/>
              <w:rPr>
                <w:szCs w:val="22"/>
                <w:lang w:val="lt-LT"/>
              </w:rPr>
            </w:pPr>
            <w:r>
              <w:rPr>
                <w:szCs w:val="22"/>
                <w:lang w:val="lt-LT"/>
              </w:rPr>
              <w:t>19 (35,2)</w:t>
            </w:r>
          </w:p>
        </w:tc>
        <w:tc>
          <w:tcPr>
            <w:tcW w:w="1259" w:type="dxa"/>
            <w:tcBorders>
              <w:top w:val="single" w:sz="4" w:space="0" w:color="000000"/>
              <w:left w:val="single" w:sz="4" w:space="0" w:color="000000"/>
              <w:bottom w:val="single" w:sz="4" w:space="0" w:color="000000"/>
              <w:right w:val="single" w:sz="4" w:space="0" w:color="000000"/>
            </w:tcBorders>
          </w:tcPr>
          <w:p>
            <w:pPr>
              <w:tabs>
                <w:tab w:val="clear" w:pos="567"/>
              </w:tabs>
              <w:spacing w:line="240" w:lineRule="auto"/>
              <w:jc w:val="center"/>
              <w:rPr>
                <w:szCs w:val="22"/>
                <w:lang w:val="lt-LT"/>
              </w:rPr>
            </w:pPr>
            <w:r>
              <w:rPr>
                <w:szCs w:val="22"/>
                <w:lang w:val="lt-LT"/>
              </w:rPr>
              <w:t>33 (30,0)</w:t>
            </w:r>
          </w:p>
        </w:tc>
        <w:tc>
          <w:tcPr>
            <w:tcW w:w="1536" w:type="dxa"/>
            <w:tcBorders>
              <w:top w:val="single" w:sz="4" w:space="0" w:color="000000"/>
              <w:left w:val="single" w:sz="4" w:space="0" w:color="000000"/>
              <w:bottom w:val="single" w:sz="4" w:space="0" w:color="000000"/>
              <w:right w:val="single" w:sz="4" w:space="0" w:color="000000"/>
            </w:tcBorders>
          </w:tcPr>
          <w:p>
            <w:pPr>
              <w:tabs>
                <w:tab w:val="clear" w:pos="567"/>
              </w:tabs>
              <w:spacing w:line="240" w:lineRule="auto"/>
              <w:jc w:val="center"/>
              <w:rPr>
                <w:szCs w:val="22"/>
                <w:lang w:val="lt-LT"/>
              </w:rPr>
            </w:pPr>
            <w:r>
              <w:rPr>
                <w:szCs w:val="22"/>
                <w:lang w:val="lt-LT"/>
              </w:rPr>
              <w:t>43 (27.4)</w:t>
            </w:r>
          </w:p>
        </w:tc>
      </w:tr>
      <w:tr>
        <w:tc>
          <w:tcPr>
            <w:tcW w:w="1974" w:type="dxa"/>
            <w:tcBorders>
              <w:top w:val="single" w:sz="4" w:space="0" w:color="000000"/>
              <w:left w:val="single" w:sz="4" w:space="0" w:color="000000"/>
              <w:bottom w:val="single" w:sz="4" w:space="0" w:color="000000"/>
              <w:right w:val="single" w:sz="4" w:space="0" w:color="000000"/>
            </w:tcBorders>
          </w:tcPr>
          <w:p>
            <w:pPr>
              <w:tabs>
                <w:tab w:val="clear" w:pos="567"/>
              </w:tabs>
              <w:spacing w:line="240" w:lineRule="auto"/>
              <w:jc w:val="both"/>
              <w:rPr>
                <w:szCs w:val="22"/>
                <w:lang w:val="lt-LT"/>
              </w:rPr>
            </w:pPr>
            <w:r>
              <w:rPr>
                <w:szCs w:val="22"/>
                <w:lang w:val="lt-LT"/>
              </w:rPr>
              <w:t>≥18 metų</w:t>
            </w:r>
          </w:p>
        </w:tc>
        <w:tc>
          <w:tcPr>
            <w:tcW w:w="1621" w:type="dxa"/>
            <w:tcBorders>
              <w:top w:val="single" w:sz="4" w:space="0" w:color="000000"/>
              <w:left w:val="single" w:sz="4" w:space="0" w:color="000000"/>
              <w:bottom w:val="single" w:sz="4" w:space="0" w:color="000000"/>
              <w:right w:val="single" w:sz="4" w:space="0" w:color="000000"/>
            </w:tcBorders>
          </w:tcPr>
          <w:p>
            <w:pPr>
              <w:tabs>
                <w:tab w:val="clear" w:pos="567"/>
              </w:tabs>
              <w:spacing w:line="240" w:lineRule="auto"/>
              <w:jc w:val="center"/>
              <w:rPr>
                <w:szCs w:val="22"/>
                <w:lang w:val="lt-LT"/>
              </w:rPr>
            </w:pPr>
            <w:r>
              <w:rPr>
                <w:szCs w:val="22"/>
                <w:lang w:val="lt-LT"/>
              </w:rPr>
              <w:t>18 (38,3)</w:t>
            </w:r>
          </w:p>
        </w:tc>
        <w:tc>
          <w:tcPr>
            <w:tcW w:w="1529" w:type="dxa"/>
            <w:tcBorders>
              <w:top w:val="single" w:sz="4" w:space="0" w:color="000000"/>
              <w:left w:val="single" w:sz="4" w:space="0" w:color="000000"/>
              <w:bottom w:val="single" w:sz="4" w:space="0" w:color="000000"/>
              <w:right w:val="single" w:sz="4" w:space="0" w:color="000000"/>
            </w:tcBorders>
          </w:tcPr>
          <w:p>
            <w:pPr>
              <w:tabs>
                <w:tab w:val="clear" w:pos="567"/>
              </w:tabs>
              <w:spacing w:line="240" w:lineRule="auto"/>
              <w:jc w:val="center"/>
              <w:rPr>
                <w:szCs w:val="22"/>
                <w:lang w:val="lt-LT"/>
              </w:rPr>
            </w:pPr>
            <w:r>
              <w:rPr>
                <w:szCs w:val="22"/>
                <w:lang w:val="lt-LT"/>
              </w:rPr>
              <w:t>18 (32,1)</w:t>
            </w:r>
          </w:p>
        </w:tc>
        <w:tc>
          <w:tcPr>
            <w:tcW w:w="1441" w:type="dxa"/>
            <w:tcBorders>
              <w:top w:val="single" w:sz="4" w:space="0" w:color="000000"/>
              <w:left w:val="single" w:sz="4" w:space="0" w:color="000000"/>
              <w:bottom w:val="single" w:sz="4" w:space="0" w:color="000000"/>
              <w:right w:val="single" w:sz="4" w:space="0" w:color="000000"/>
            </w:tcBorders>
          </w:tcPr>
          <w:p>
            <w:pPr>
              <w:tabs>
                <w:tab w:val="clear" w:pos="567"/>
              </w:tabs>
              <w:spacing w:line="240" w:lineRule="auto"/>
              <w:jc w:val="center"/>
              <w:rPr>
                <w:szCs w:val="22"/>
                <w:lang w:val="lt-LT"/>
              </w:rPr>
            </w:pPr>
            <w:r>
              <w:rPr>
                <w:szCs w:val="22"/>
                <w:lang w:val="lt-LT"/>
              </w:rPr>
              <w:t>20 (37,0)</w:t>
            </w:r>
          </w:p>
        </w:tc>
        <w:tc>
          <w:tcPr>
            <w:tcW w:w="1259" w:type="dxa"/>
            <w:tcBorders>
              <w:top w:val="single" w:sz="4" w:space="0" w:color="000000"/>
              <w:left w:val="single" w:sz="4" w:space="0" w:color="000000"/>
              <w:bottom w:val="single" w:sz="4" w:space="0" w:color="000000"/>
              <w:right w:val="single" w:sz="4" w:space="0" w:color="000000"/>
            </w:tcBorders>
          </w:tcPr>
          <w:p>
            <w:pPr>
              <w:tabs>
                <w:tab w:val="clear" w:pos="567"/>
              </w:tabs>
              <w:spacing w:line="240" w:lineRule="auto"/>
              <w:jc w:val="center"/>
              <w:rPr>
                <w:szCs w:val="22"/>
                <w:lang w:val="lt-LT"/>
              </w:rPr>
            </w:pPr>
            <w:r>
              <w:rPr>
                <w:szCs w:val="22"/>
                <w:lang w:val="lt-LT"/>
              </w:rPr>
              <w:t>38 (34,5)</w:t>
            </w:r>
          </w:p>
        </w:tc>
        <w:tc>
          <w:tcPr>
            <w:tcW w:w="1536" w:type="dxa"/>
            <w:tcBorders>
              <w:top w:val="single" w:sz="4" w:space="0" w:color="000000"/>
              <w:left w:val="single" w:sz="4" w:space="0" w:color="000000"/>
              <w:bottom w:val="single" w:sz="4" w:space="0" w:color="000000"/>
              <w:right w:val="single" w:sz="4" w:space="0" w:color="000000"/>
            </w:tcBorders>
          </w:tcPr>
          <w:p>
            <w:pPr>
              <w:tabs>
                <w:tab w:val="clear" w:pos="567"/>
              </w:tabs>
              <w:spacing w:line="240" w:lineRule="auto"/>
              <w:jc w:val="center"/>
              <w:rPr>
                <w:szCs w:val="22"/>
                <w:lang w:val="lt-LT"/>
              </w:rPr>
            </w:pPr>
            <w:r>
              <w:rPr>
                <w:szCs w:val="22"/>
                <w:lang w:val="lt-LT"/>
              </w:rPr>
              <w:t>56 (35,7)</w:t>
            </w:r>
          </w:p>
        </w:tc>
      </w:tr>
    </w:tbl>
    <w:p>
      <w:pPr>
        <w:spacing w:line="240" w:lineRule="auto"/>
        <w:rPr>
          <w:szCs w:val="22"/>
          <w:lang w:val="lt-LT"/>
        </w:rPr>
      </w:pPr>
      <w:r>
        <w:rPr>
          <w:szCs w:val="22"/>
          <w:lang w:val="lt-LT"/>
        </w:rPr>
        <w:t>SN – standartinis nuokrypis.</w:t>
      </w:r>
    </w:p>
    <w:p>
      <w:pPr>
        <w:spacing w:line="240" w:lineRule="auto"/>
        <w:rPr>
          <w:szCs w:val="22"/>
          <w:lang w:val="lt-LT"/>
        </w:rPr>
      </w:pPr>
    </w:p>
    <w:p>
      <w:pPr>
        <w:spacing w:line="240" w:lineRule="auto"/>
        <w:rPr>
          <w:szCs w:val="22"/>
          <w:lang w:val="lt-LT"/>
        </w:rPr>
      </w:pPr>
      <w:r>
        <w:rPr>
          <w:szCs w:val="22"/>
          <w:lang w:val="lt-LT"/>
        </w:rPr>
        <w:t>Skirtumas tarp 2 gydymo grupių buvo statistiškai reikšmingas (p &lt; 0,0001) (8 lentelė).</w:t>
      </w:r>
    </w:p>
    <w:p>
      <w:pPr>
        <w:spacing w:line="240" w:lineRule="auto"/>
        <w:rPr>
          <w:szCs w:val="22"/>
          <w:lang w:val="lt-LT"/>
        </w:rPr>
      </w:pPr>
    </w:p>
    <w:p>
      <w:pPr>
        <w:keepNext/>
        <w:spacing w:line="240" w:lineRule="auto"/>
        <w:rPr>
          <w:b/>
          <w:bCs/>
          <w:szCs w:val="22"/>
          <w:lang w:val="lt-LT"/>
        </w:rPr>
      </w:pPr>
      <w:r>
        <w:rPr>
          <w:b/>
          <w:bCs/>
          <w:szCs w:val="22"/>
          <w:lang w:val="lt-LT"/>
        </w:rPr>
        <w:t>8 lentelė. Vidutinis Phe koncentracijos kraujyje pokytis nuo pradinio įvertinimo iki 5 savaitės ir 6 savaitės 2 dalyje (pirminė analizės grupė, kurioje Phe sumažėjimas nuo pradinio įvertinimo ≥30 % 1 dalyje)</w:t>
      </w:r>
    </w:p>
    <w:p>
      <w:pPr>
        <w:keepNext/>
        <w:spacing w:line="240" w:lineRule="auto"/>
        <w:rPr>
          <w:b/>
          <w:bCs/>
          <w:szCs w:val="22"/>
          <w:lang w:val="lt-LT"/>
        </w:rPr>
      </w:pPr>
    </w:p>
    <w:tbl>
      <w:tblPr>
        <w:tblW w:w="5000" w:type="pct"/>
        <w:tblInd w:w="101" w:type="dxa"/>
        <w:tblLayout w:type="fixed"/>
        <w:tblLook w:val="0000" w:firstRow="0" w:lastRow="0" w:firstColumn="0" w:lastColumn="0" w:noHBand="0" w:noVBand="0"/>
      </w:tblPr>
      <w:tblGrid>
        <w:gridCol w:w="2512"/>
        <w:gridCol w:w="1500"/>
        <w:gridCol w:w="2341"/>
        <w:gridCol w:w="1793"/>
        <w:gridCol w:w="1140"/>
      </w:tblGrid>
      <w:tr>
        <w:trPr>
          <w:cantSplit/>
          <w:trHeight w:val="743"/>
          <w:tblHeader/>
        </w:trPr>
        <w:tc>
          <w:tcPr>
            <w:tcW w:w="2454" w:type="dxa"/>
            <w:tcBorders>
              <w:top w:val="single" w:sz="4" w:space="0" w:color="000000"/>
              <w:left w:val="single" w:sz="6" w:space="0" w:color="000000"/>
              <w:bottom w:val="single" w:sz="6" w:space="0" w:color="000000"/>
              <w:right w:val="single" w:sz="6" w:space="0" w:color="000000"/>
            </w:tcBorders>
          </w:tcPr>
          <w:p>
            <w:pPr>
              <w:keepNext/>
              <w:tabs>
                <w:tab w:val="clear" w:pos="567"/>
              </w:tabs>
              <w:spacing w:line="240" w:lineRule="auto"/>
              <w:jc w:val="both"/>
              <w:rPr>
                <w:color w:val="000000"/>
                <w:szCs w:val="22"/>
                <w:lang w:val="lt-LT"/>
              </w:rPr>
            </w:pPr>
          </w:p>
        </w:tc>
        <w:tc>
          <w:tcPr>
            <w:tcW w:w="1465" w:type="dxa"/>
            <w:tcBorders>
              <w:top w:val="single" w:sz="4" w:space="0" w:color="000000"/>
              <w:left w:val="single" w:sz="6" w:space="0" w:color="000000"/>
              <w:bottom w:val="single" w:sz="6" w:space="0" w:color="000000"/>
              <w:right w:val="single" w:sz="6" w:space="0" w:color="000000"/>
            </w:tcBorders>
          </w:tcPr>
          <w:p>
            <w:pPr>
              <w:keepNext/>
              <w:tabs>
                <w:tab w:val="clear" w:pos="567"/>
              </w:tabs>
              <w:spacing w:line="240" w:lineRule="auto"/>
              <w:jc w:val="center"/>
              <w:rPr>
                <w:b/>
                <w:bCs/>
                <w:color w:val="000000"/>
                <w:szCs w:val="22"/>
                <w:lang w:val="lt-LT"/>
              </w:rPr>
            </w:pPr>
            <w:r>
              <w:rPr>
                <w:b/>
                <w:bCs/>
                <w:color w:val="000000"/>
                <w:szCs w:val="22"/>
                <w:lang w:val="lt-LT"/>
              </w:rPr>
              <w:t>Sepiapterinas</w:t>
            </w:r>
          </w:p>
          <w:p>
            <w:pPr>
              <w:keepNext/>
              <w:tabs>
                <w:tab w:val="clear" w:pos="567"/>
              </w:tabs>
              <w:spacing w:line="240" w:lineRule="auto"/>
              <w:jc w:val="center"/>
              <w:rPr>
                <w:b/>
                <w:bCs/>
                <w:color w:val="000000"/>
                <w:szCs w:val="22"/>
                <w:lang w:val="lt-LT"/>
              </w:rPr>
            </w:pPr>
            <w:r>
              <w:rPr>
                <w:b/>
                <w:bCs/>
                <w:color w:val="000000"/>
                <w:szCs w:val="22"/>
                <w:lang w:val="lt-LT"/>
              </w:rPr>
              <w:t>(N = 49)</w:t>
            </w:r>
          </w:p>
        </w:tc>
        <w:tc>
          <w:tcPr>
            <w:tcW w:w="2287" w:type="dxa"/>
            <w:tcBorders>
              <w:top w:val="single" w:sz="4" w:space="0" w:color="000000"/>
              <w:left w:val="single" w:sz="6" w:space="0" w:color="000000"/>
              <w:bottom w:val="single" w:sz="6" w:space="0" w:color="000000"/>
              <w:right w:val="single" w:sz="6" w:space="0" w:color="000000"/>
            </w:tcBorders>
          </w:tcPr>
          <w:p>
            <w:pPr>
              <w:keepNext/>
              <w:tabs>
                <w:tab w:val="clear" w:pos="567"/>
              </w:tabs>
              <w:spacing w:line="240" w:lineRule="auto"/>
              <w:jc w:val="center"/>
              <w:rPr>
                <w:b/>
                <w:bCs/>
                <w:color w:val="000000"/>
                <w:szCs w:val="22"/>
                <w:lang w:val="lt-LT"/>
              </w:rPr>
            </w:pPr>
            <w:r>
              <w:rPr>
                <w:b/>
                <w:bCs/>
                <w:color w:val="000000"/>
                <w:szCs w:val="22"/>
                <w:lang w:val="lt-LT"/>
              </w:rPr>
              <w:t>Placebas</w:t>
            </w:r>
          </w:p>
          <w:p>
            <w:pPr>
              <w:keepNext/>
              <w:tabs>
                <w:tab w:val="clear" w:pos="567"/>
              </w:tabs>
              <w:spacing w:line="240" w:lineRule="auto"/>
              <w:jc w:val="center"/>
              <w:rPr>
                <w:b/>
                <w:bCs/>
                <w:color w:val="000000"/>
                <w:szCs w:val="22"/>
                <w:lang w:val="lt-LT"/>
              </w:rPr>
            </w:pPr>
            <w:r>
              <w:rPr>
                <w:b/>
                <w:bCs/>
                <w:color w:val="000000"/>
                <w:szCs w:val="22"/>
                <w:lang w:val="lt-LT"/>
              </w:rPr>
              <w:t>(N = 49)</w:t>
            </w:r>
          </w:p>
        </w:tc>
        <w:tc>
          <w:tcPr>
            <w:tcW w:w="1751" w:type="dxa"/>
            <w:tcBorders>
              <w:top w:val="single" w:sz="4" w:space="0" w:color="000000"/>
              <w:left w:val="single" w:sz="6" w:space="0" w:color="000000"/>
              <w:bottom w:val="single" w:sz="6" w:space="0" w:color="000000"/>
              <w:right w:val="single" w:sz="6" w:space="0" w:color="000000"/>
            </w:tcBorders>
          </w:tcPr>
          <w:p>
            <w:pPr>
              <w:keepNext/>
              <w:tabs>
                <w:tab w:val="clear" w:pos="567"/>
              </w:tabs>
              <w:spacing w:line="240" w:lineRule="auto"/>
              <w:jc w:val="center"/>
              <w:rPr>
                <w:b/>
                <w:bCs/>
                <w:color w:val="000000"/>
                <w:szCs w:val="22"/>
                <w:lang w:val="lt-LT"/>
              </w:rPr>
            </w:pPr>
            <w:r>
              <w:rPr>
                <w:b/>
                <w:bCs/>
                <w:color w:val="000000"/>
                <w:szCs w:val="22"/>
                <w:lang w:val="lt-LT"/>
              </w:rPr>
              <w:t>Skirtumas tarp sepiapterino ir placebo</w:t>
            </w:r>
          </w:p>
        </w:tc>
        <w:tc>
          <w:tcPr>
            <w:tcW w:w="1113" w:type="dxa"/>
            <w:tcBorders>
              <w:top w:val="single" w:sz="4" w:space="0" w:color="000000"/>
              <w:left w:val="single" w:sz="6" w:space="0" w:color="000000"/>
              <w:bottom w:val="single" w:sz="6" w:space="0" w:color="000000"/>
              <w:right w:val="single" w:sz="6" w:space="0" w:color="000000"/>
            </w:tcBorders>
          </w:tcPr>
          <w:p>
            <w:pPr>
              <w:keepNext/>
              <w:tabs>
                <w:tab w:val="clear" w:pos="567"/>
              </w:tabs>
              <w:spacing w:line="240" w:lineRule="auto"/>
              <w:jc w:val="center"/>
              <w:rPr>
                <w:b/>
                <w:bCs/>
                <w:color w:val="000000"/>
                <w:szCs w:val="22"/>
                <w:lang w:val="lt-LT"/>
              </w:rPr>
            </w:pPr>
            <w:r>
              <w:rPr>
                <w:b/>
                <w:bCs/>
                <w:color w:val="000000"/>
                <w:szCs w:val="22"/>
                <w:lang w:val="lt-LT"/>
              </w:rPr>
              <w:t>p reikšmė</w:t>
            </w:r>
          </w:p>
        </w:tc>
      </w:tr>
      <w:tr>
        <w:trPr>
          <w:cantSplit/>
          <w:trHeight w:val="362"/>
        </w:trPr>
        <w:tc>
          <w:tcPr>
            <w:tcW w:w="9070" w:type="dxa"/>
            <w:gridSpan w:val="5"/>
            <w:tcBorders>
              <w:top w:val="single" w:sz="6" w:space="0" w:color="000000"/>
              <w:left w:val="single" w:sz="6" w:space="0" w:color="000000"/>
              <w:bottom w:val="single" w:sz="6" w:space="0" w:color="000000"/>
              <w:right w:val="single" w:sz="6" w:space="0" w:color="000000"/>
            </w:tcBorders>
          </w:tcPr>
          <w:p>
            <w:pPr>
              <w:tabs>
                <w:tab w:val="clear" w:pos="567"/>
              </w:tabs>
              <w:spacing w:line="240" w:lineRule="auto"/>
              <w:rPr>
                <w:color w:val="000000"/>
                <w:szCs w:val="22"/>
                <w:lang w:val="lt-LT"/>
              </w:rPr>
            </w:pPr>
            <w:r>
              <w:rPr>
                <w:b/>
                <w:bCs/>
                <w:color w:val="000000"/>
                <w:szCs w:val="22"/>
                <w:lang w:val="lt-LT"/>
              </w:rPr>
              <w:t>Pradinis įvertinimas</w:t>
            </w:r>
            <w:r>
              <w:rPr>
                <w:color w:val="000000"/>
                <w:szCs w:val="22"/>
                <w:lang w:val="lt-LT"/>
              </w:rPr>
              <w:t>*</w:t>
            </w:r>
          </w:p>
        </w:tc>
      </w:tr>
      <w:tr>
        <w:trPr>
          <w:cantSplit/>
          <w:trHeight w:val="362"/>
        </w:trPr>
        <w:tc>
          <w:tcPr>
            <w:tcW w:w="2454" w:type="dxa"/>
            <w:tcBorders>
              <w:top w:val="single" w:sz="6" w:space="0" w:color="000000"/>
              <w:left w:val="single" w:sz="6" w:space="0" w:color="000000"/>
              <w:bottom w:val="single" w:sz="6" w:space="0" w:color="000000"/>
              <w:right w:val="single" w:sz="6" w:space="0" w:color="000000"/>
            </w:tcBorders>
          </w:tcPr>
          <w:p>
            <w:pPr>
              <w:tabs>
                <w:tab w:val="clear" w:pos="567"/>
              </w:tabs>
              <w:spacing w:line="240" w:lineRule="auto"/>
              <w:ind w:left="113"/>
              <w:rPr>
                <w:color w:val="000000"/>
                <w:szCs w:val="22"/>
                <w:lang w:val="lt-LT"/>
              </w:rPr>
            </w:pPr>
            <w:r>
              <w:rPr>
                <w:color w:val="000000"/>
                <w:szCs w:val="22"/>
                <w:lang w:val="lt-LT"/>
              </w:rPr>
              <w:t>Vidurkis (SN)</w:t>
            </w:r>
          </w:p>
        </w:tc>
        <w:tc>
          <w:tcPr>
            <w:tcW w:w="1465" w:type="dxa"/>
            <w:tcBorders>
              <w:top w:val="single" w:sz="6" w:space="0" w:color="000000"/>
              <w:left w:val="single" w:sz="6" w:space="0" w:color="000000"/>
              <w:bottom w:val="single" w:sz="6" w:space="0" w:color="000000"/>
              <w:right w:val="single" w:sz="6" w:space="0" w:color="000000"/>
            </w:tcBorders>
          </w:tcPr>
          <w:p>
            <w:pPr>
              <w:tabs>
                <w:tab w:val="clear" w:pos="567"/>
              </w:tabs>
              <w:spacing w:line="240" w:lineRule="auto"/>
              <w:jc w:val="center"/>
              <w:rPr>
                <w:color w:val="000000"/>
                <w:szCs w:val="22"/>
                <w:lang w:val="lt-LT"/>
              </w:rPr>
            </w:pPr>
            <w:r>
              <w:rPr>
                <w:color w:val="000000"/>
                <w:szCs w:val="22"/>
                <w:lang w:val="lt-LT"/>
              </w:rPr>
              <w:t>646,11 (253,007)</w:t>
            </w:r>
          </w:p>
        </w:tc>
        <w:tc>
          <w:tcPr>
            <w:tcW w:w="2287" w:type="dxa"/>
            <w:tcBorders>
              <w:top w:val="single" w:sz="6" w:space="0" w:color="000000"/>
              <w:left w:val="single" w:sz="6" w:space="0" w:color="000000"/>
              <w:bottom w:val="single" w:sz="6" w:space="0" w:color="000000"/>
              <w:right w:val="single" w:sz="6" w:space="0" w:color="000000"/>
            </w:tcBorders>
          </w:tcPr>
          <w:p>
            <w:pPr>
              <w:tabs>
                <w:tab w:val="clear" w:pos="567"/>
              </w:tabs>
              <w:spacing w:line="240" w:lineRule="auto"/>
              <w:jc w:val="center"/>
              <w:rPr>
                <w:color w:val="000000"/>
                <w:szCs w:val="22"/>
                <w:lang w:val="lt-LT"/>
              </w:rPr>
            </w:pPr>
            <w:r>
              <w:rPr>
                <w:color w:val="000000"/>
                <w:szCs w:val="22"/>
                <w:lang w:val="lt-LT"/>
              </w:rPr>
              <w:t>654,04 (261,542)</w:t>
            </w:r>
          </w:p>
        </w:tc>
        <w:tc>
          <w:tcPr>
            <w:tcW w:w="2864" w:type="dxa"/>
            <w:gridSpan w:val="2"/>
            <w:tcBorders>
              <w:top w:val="single" w:sz="6" w:space="0" w:color="000000"/>
              <w:left w:val="single" w:sz="6" w:space="0" w:color="000000"/>
              <w:bottom w:val="single" w:sz="6" w:space="0" w:color="000000"/>
              <w:right w:val="single" w:sz="6" w:space="0" w:color="000000"/>
            </w:tcBorders>
          </w:tcPr>
          <w:p>
            <w:pPr>
              <w:tabs>
                <w:tab w:val="clear" w:pos="567"/>
              </w:tabs>
              <w:spacing w:line="240" w:lineRule="auto"/>
              <w:jc w:val="both"/>
              <w:rPr>
                <w:color w:val="000000"/>
                <w:szCs w:val="22"/>
                <w:lang w:val="lt-LT"/>
              </w:rPr>
            </w:pPr>
          </w:p>
        </w:tc>
      </w:tr>
      <w:tr>
        <w:trPr>
          <w:cantSplit/>
          <w:trHeight w:val="362"/>
        </w:trPr>
        <w:tc>
          <w:tcPr>
            <w:tcW w:w="9070" w:type="dxa"/>
            <w:gridSpan w:val="5"/>
            <w:tcBorders>
              <w:top w:val="single" w:sz="6" w:space="0" w:color="000000"/>
              <w:left w:val="single" w:sz="6" w:space="0" w:color="000000"/>
              <w:bottom w:val="single" w:sz="6" w:space="0" w:color="000000"/>
              <w:right w:val="single" w:sz="6" w:space="0" w:color="000000"/>
            </w:tcBorders>
          </w:tcPr>
          <w:p>
            <w:pPr>
              <w:tabs>
                <w:tab w:val="clear" w:pos="567"/>
              </w:tabs>
              <w:spacing w:line="240" w:lineRule="auto"/>
              <w:rPr>
                <w:color w:val="000000"/>
                <w:szCs w:val="22"/>
                <w:lang w:val="lt-LT"/>
              </w:rPr>
            </w:pPr>
            <w:r>
              <w:rPr>
                <w:b/>
                <w:bCs/>
                <w:color w:val="000000"/>
                <w:szCs w:val="22"/>
                <w:lang w:val="lt-LT"/>
              </w:rPr>
              <w:t>5 ir 6 savaitės</w:t>
            </w:r>
            <w:r>
              <w:rPr>
                <w:color w:val="000000"/>
                <w:szCs w:val="22"/>
                <w:lang w:val="lt-LT"/>
              </w:rPr>
              <w:t>**</w:t>
            </w:r>
          </w:p>
        </w:tc>
      </w:tr>
      <w:tr>
        <w:trPr>
          <w:cantSplit/>
          <w:trHeight w:val="336"/>
        </w:trPr>
        <w:tc>
          <w:tcPr>
            <w:tcW w:w="2454" w:type="dxa"/>
            <w:tcBorders>
              <w:top w:val="single" w:sz="6" w:space="0" w:color="000000"/>
              <w:left w:val="single" w:sz="6" w:space="0" w:color="000000"/>
              <w:bottom w:val="single" w:sz="6" w:space="0" w:color="000000"/>
              <w:right w:val="single" w:sz="6" w:space="0" w:color="000000"/>
            </w:tcBorders>
          </w:tcPr>
          <w:p>
            <w:pPr>
              <w:tabs>
                <w:tab w:val="clear" w:pos="567"/>
              </w:tabs>
              <w:spacing w:line="240" w:lineRule="auto"/>
              <w:ind w:left="113"/>
              <w:rPr>
                <w:color w:val="000000"/>
                <w:szCs w:val="22"/>
                <w:lang w:val="lt-LT"/>
              </w:rPr>
            </w:pPr>
            <w:r>
              <w:rPr>
                <w:color w:val="000000"/>
                <w:szCs w:val="22"/>
                <w:lang w:val="lt-LT"/>
              </w:rPr>
              <w:t>Vidurkis (SN)</w:t>
            </w:r>
          </w:p>
        </w:tc>
        <w:tc>
          <w:tcPr>
            <w:tcW w:w="1465" w:type="dxa"/>
            <w:tcBorders>
              <w:top w:val="single" w:sz="6" w:space="0" w:color="000000"/>
              <w:left w:val="single" w:sz="6" w:space="0" w:color="000000"/>
              <w:bottom w:val="single" w:sz="6" w:space="0" w:color="000000"/>
              <w:right w:val="single" w:sz="6" w:space="0" w:color="000000"/>
            </w:tcBorders>
          </w:tcPr>
          <w:p>
            <w:pPr>
              <w:tabs>
                <w:tab w:val="clear" w:pos="567"/>
              </w:tabs>
              <w:spacing w:line="240" w:lineRule="auto"/>
              <w:jc w:val="center"/>
              <w:rPr>
                <w:color w:val="000000"/>
                <w:szCs w:val="22"/>
                <w:lang w:val="lt-LT"/>
              </w:rPr>
            </w:pPr>
            <w:r>
              <w:rPr>
                <w:color w:val="000000"/>
                <w:szCs w:val="22"/>
                <w:lang w:val="lt-LT"/>
              </w:rPr>
              <w:t>236,04 (174,942)</w:t>
            </w:r>
          </w:p>
        </w:tc>
        <w:tc>
          <w:tcPr>
            <w:tcW w:w="2287" w:type="dxa"/>
            <w:tcBorders>
              <w:top w:val="single" w:sz="6" w:space="0" w:color="000000"/>
              <w:left w:val="single" w:sz="6" w:space="0" w:color="000000"/>
              <w:bottom w:val="single" w:sz="6" w:space="0" w:color="000000"/>
              <w:right w:val="single" w:sz="6" w:space="0" w:color="000000"/>
            </w:tcBorders>
          </w:tcPr>
          <w:p>
            <w:pPr>
              <w:tabs>
                <w:tab w:val="clear" w:pos="567"/>
              </w:tabs>
              <w:spacing w:line="240" w:lineRule="auto"/>
              <w:jc w:val="center"/>
              <w:rPr>
                <w:color w:val="000000"/>
                <w:szCs w:val="22"/>
                <w:lang w:val="lt-LT"/>
              </w:rPr>
            </w:pPr>
            <w:r>
              <w:rPr>
                <w:color w:val="000000"/>
                <w:szCs w:val="22"/>
                <w:lang w:val="lt-LT"/>
              </w:rPr>
              <w:t>637,85 (259,886)</w:t>
            </w:r>
          </w:p>
        </w:tc>
        <w:tc>
          <w:tcPr>
            <w:tcW w:w="2864" w:type="dxa"/>
            <w:gridSpan w:val="2"/>
            <w:vMerge w:val="restart"/>
            <w:tcBorders>
              <w:top w:val="single" w:sz="6" w:space="0" w:color="000000"/>
              <w:left w:val="single" w:sz="6" w:space="0" w:color="000000"/>
              <w:bottom w:val="single" w:sz="6" w:space="0" w:color="000000"/>
              <w:right w:val="single" w:sz="6" w:space="0" w:color="000000"/>
            </w:tcBorders>
          </w:tcPr>
          <w:p>
            <w:pPr>
              <w:tabs>
                <w:tab w:val="clear" w:pos="567"/>
              </w:tabs>
              <w:spacing w:line="240" w:lineRule="auto"/>
              <w:jc w:val="center"/>
              <w:rPr>
                <w:color w:val="000000"/>
                <w:szCs w:val="22"/>
                <w:lang w:val="lt-LT"/>
              </w:rPr>
            </w:pPr>
          </w:p>
        </w:tc>
      </w:tr>
      <w:tr>
        <w:trPr>
          <w:cantSplit/>
          <w:trHeight w:val="362"/>
        </w:trPr>
        <w:tc>
          <w:tcPr>
            <w:tcW w:w="2454" w:type="dxa"/>
            <w:tcBorders>
              <w:top w:val="single" w:sz="6" w:space="0" w:color="000000"/>
              <w:left w:val="single" w:sz="6" w:space="0" w:color="000000"/>
              <w:bottom w:val="single" w:sz="6" w:space="0" w:color="000000"/>
              <w:right w:val="single" w:sz="6" w:space="0" w:color="000000"/>
            </w:tcBorders>
          </w:tcPr>
          <w:p>
            <w:pPr>
              <w:tabs>
                <w:tab w:val="clear" w:pos="567"/>
              </w:tabs>
              <w:spacing w:line="240" w:lineRule="auto"/>
              <w:ind w:left="113"/>
              <w:rPr>
                <w:color w:val="000000"/>
                <w:szCs w:val="22"/>
                <w:lang w:val="lt-LT"/>
              </w:rPr>
            </w:pPr>
            <w:r>
              <w:rPr>
                <w:color w:val="000000"/>
                <w:szCs w:val="22"/>
                <w:lang w:val="lt-LT"/>
              </w:rPr>
              <w:t>Vidutinis pokytis nuo pradinio įvertinimo (μmol/l)</w:t>
            </w:r>
          </w:p>
        </w:tc>
        <w:tc>
          <w:tcPr>
            <w:tcW w:w="1465" w:type="dxa"/>
            <w:tcBorders>
              <w:top w:val="single" w:sz="6" w:space="0" w:color="000000"/>
              <w:left w:val="single" w:sz="6" w:space="0" w:color="000000"/>
              <w:bottom w:val="single" w:sz="6" w:space="0" w:color="000000"/>
              <w:right w:val="single" w:sz="6" w:space="0" w:color="000000"/>
            </w:tcBorders>
          </w:tcPr>
          <w:p>
            <w:pPr>
              <w:tabs>
                <w:tab w:val="clear" w:pos="567"/>
              </w:tabs>
              <w:spacing w:line="240" w:lineRule="auto"/>
              <w:jc w:val="center"/>
              <w:rPr>
                <w:color w:val="000000"/>
                <w:szCs w:val="22"/>
                <w:lang w:val="lt-LT"/>
              </w:rPr>
            </w:pPr>
            <w:r>
              <w:rPr>
                <w:color w:val="000000"/>
                <w:szCs w:val="22"/>
                <w:lang w:val="lt-LT"/>
              </w:rPr>
              <w:t>-410,07 (204,442)</w:t>
            </w:r>
          </w:p>
        </w:tc>
        <w:tc>
          <w:tcPr>
            <w:tcW w:w="2287" w:type="dxa"/>
            <w:tcBorders>
              <w:top w:val="single" w:sz="6" w:space="0" w:color="000000"/>
              <w:left w:val="single" w:sz="6" w:space="0" w:color="000000"/>
              <w:bottom w:val="single" w:sz="6" w:space="0" w:color="000000"/>
              <w:right w:val="single" w:sz="6" w:space="0" w:color="000000"/>
            </w:tcBorders>
          </w:tcPr>
          <w:p>
            <w:pPr>
              <w:tabs>
                <w:tab w:val="clear" w:pos="567"/>
              </w:tabs>
              <w:spacing w:line="240" w:lineRule="auto"/>
              <w:jc w:val="center"/>
              <w:rPr>
                <w:color w:val="000000"/>
                <w:szCs w:val="22"/>
                <w:lang w:val="lt-LT"/>
              </w:rPr>
            </w:pPr>
            <w:r>
              <w:rPr>
                <w:color w:val="000000"/>
                <w:szCs w:val="22"/>
                <w:lang w:val="lt-LT"/>
              </w:rPr>
              <w:t>-16,19 (198,642)</w:t>
            </w:r>
          </w:p>
        </w:tc>
        <w:tc>
          <w:tcPr>
            <w:tcW w:w="2864" w:type="dxa"/>
            <w:gridSpan w:val="2"/>
            <w:vMerge/>
            <w:tcBorders>
              <w:top w:val="single" w:sz="6" w:space="0" w:color="000000"/>
              <w:left w:val="single" w:sz="6" w:space="0" w:color="000000"/>
              <w:bottom w:val="single" w:sz="6" w:space="0" w:color="000000"/>
              <w:right w:val="single" w:sz="6" w:space="0" w:color="000000"/>
            </w:tcBorders>
          </w:tcPr>
          <w:p>
            <w:pPr>
              <w:tabs>
                <w:tab w:val="clear" w:pos="567"/>
              </w:tabs>
              <w:spacing w:line="240" w:lineRule="auto"/>
              <w:jc w:val="center"/>
              <w:rPr>
                <w:color w:val="000000"/>
                <w:szCs w:val="22"/>
                <w:lang w:val="lt-LT"/>
              </w:rPr>
            </w:pPr>
          </w:p>
        </w:tc>
      </w:tr>
      <w:tr>
        <w:trPr>
          <w:cantSplit/>
          <w:trHeight w:val="362"/>
        </w:trPr>
        <w:tc>
          <w:tcPr>
            <w:tcW w:w="2454" w:type="dxa"/>
            <w:tcBorders>
              <w:top w:val="single" w:sz="6" w:space="0" w:color="000000"/>
              <w:left w:val="single" w:sz="6" w:space="0" w:color="000000"/>
              <w:bottom w:val="single" w:sz="6" w:space="0" w:color="000000"/>
              <w:right w:val="single" w:sz="6" w:space="0" w:color="000000"/>
            </w:tcBorders>
          </w:tcPr>
          <w:p>
            <w:pPr>
              <w:tabs>
                <w:tab w:val="clear" w:pos="567"/>
              </w:tabs>
              <w:spacing w:line="240" w:lineRule="auto"/>
              <w:ind w:left="113"/>
              <w:rPr>
                <w:color w:val="000000"/>
                <w:szCs w:val="22"/>
                <w:lang w:val="lt-LT"/>
              </w:rPr>
            </w:pPr>
            <w:r>
              <w:rPr>
                <w:color w:val="000000"/>
                <w:szCs w:val="22"/>
                <w:lang w:val="lt-LT"/>
              </w:rPr>
              <w:t>Vidutinis procentinis pokytis nuo pradinio įvertinimo (%)</w:t>
            </w:r>
          </w:p>
        </w:tc>
        <w:tc>
          <w:tcPr>
            <w:tcW w:w="1465" w:type="dxa"/>
            <w:tcBorders>
              <w:top w:val="single" w:sz="6" w:space="0" w:color="000000"/>
              <w:left w:val="single" w:sz="6" w:space="0" w:color="000000"/>
              <w:bottom w:val="single" w:sz="6" w:space="0" w:color="000000"/>
              <w:right w:val="single" w:sz="6" w:space="0" w:color="000000"/>
            </w:tcBorders>
          </w:tcPr>
          <w:p>
            <w:pPr>
              <w:tabs>
                <w:tab w:val="clear" w:pos="567"/>
              </w:tabs>
              <w:spacing w:line="240" w:lineRule="auto"/>
              <w:jc w:val="center"/>
              <w:rPr>
                <w:color w:val="000000"/>
                <w:szCs w:val="22"/>
                <w:lang w:val="lt-LT"/>
              </w:rPr>
            </w:pPr>
            <w:r>
              <w:rPr>
                <w:color w:val="000000"/>
                <w:szCs w:val="22"/>
                <w:lang w:val="lt-LT"/>
              </w:rPr>
              <w:t>-62,8 %</w:t>
            </w:r>
          </w:p>
        </w:tc>
        <w:tc>
          <w:tcPr>
            <w:tcW w:w="2287" w:type="dxa"/>
            <w:tcBorders>
              <w:top w:val="single" w:sz="6" w:space="0" w:color="000000"/>
              <w:left w:val="single" w:sz="6" w:space="0" w:color="000000"/>
              <w:bottom w:val="single" w:sz="6" w:space="0" w:color="000000"/>
              <w:right w:val="single" w:sz="6" w:space="0" w:color="000000"/>
            </w:tcBorders>
          </w:tcPr>
          <w:p>
            <w:pPr>
              <w:tabs>
                <w:tab w:val="clear" w:pos="567"/>
              </w:tabs>
              <w:spacing w:line="240" w:lineRule="auto"/>
              <w:jc w:val="center"/>
              <w:rPr>
                <w:color w:val="000000"/>
                <w:szCs w:val="22"/>
                <w:lang w:val="lt-LT"/>
              </w:rPr>
            </w:pPr>
            <w:r>
              <w:rPr>
                <w:color w:val="000000"/>
                <w:szCs w:val="22"/>
                <w:lang w:val="lt-LT"/>
              </w:rPr>
              <w:t>1,4 %</w:t>
            </w:r>
          </w:p>
        </w:tc>
        <w:tc>
          <w:tcPr>
            <w:tcW w:w="2864" w:type="dxa"/>
            <w:gridSpan w:val="2"/>
            <w:vMerge/>
            <w:tcBorders>
              <w:top w:val="single" w:sz="6" w:space="0" w:color="000000"/>
              <w:left w:val="single" w:sz="6" w:space="0" w:color="000000"/>
              <w:bottom w:val="single" w:sz="6" w:space="0" w:color="000000"/>
              <w:right w:val="single" w:sz="6" w:space="0" w:color="000000"/>
            </w:tcBorders>
          </w:tcPr>
          <w:p>
            <w:pPr>
              <w:tabs>
                <w:tab w:val="clear" w:pos="567"/>
              </w:tabs>
              <w:spacing w:line="240" w:lineRule="auto"/>
              <w:jc w:val="center"/>
              <w:rPr>
                <w:color w:val="000000"/>
                <w:szCs w:val="22"/>
                <w:lang w:val="lt-LT"/>
              </w:rPr>
            </w:pPr>
          </w:p>
        </w:tc>
      </w:tr>
      <w:tr>
        <w:trPr>
          <w:cantSplit/>
          <w:trHeight w:val="362"/>
        </w:trPr>
        <w:tc>
          <w:tcPr>
            <w:tcW w:w="9070" w:type="dxa"/>
            <w:gridSpan w:val="5"/>
            <w:tcBorders>
              <w:top w:val="single" w:sz="6" w:space="0" w:color="000000"/>
              <w:left w:val="single" w:sz="6" w:space="0" w:color="000000"/>
              <w:bottom w:val="single" w:sz="6" w:space="0" w:color="000000"/>
              <w:right w:val="single" w:sz="6" w:space="0" w:color="000000"/>
            </w:tcBorders>
          </w:tcPr>
          <w:p>
            <w:pPr>
              <w:tabs>
                <w:tab w:val="clear" w:pos="567"/>
              </w:tabs>
              <w:spacing w:line="240" w:lineRule="auto"/>
              <w:rPr>
                <w:b/>
                <w:bCs/>
                <w:color w:val="000000"/>
                <w:szCs w:val="22"/>
                <w:lang w:val="lt-LT"/>
              </w:rPr>
            </w:pPr>
            <w:r>
              <w:rPr>
                <w:b/>
                <w:bCs/>
                <w:color w:val="000000"/>
                <w:szCs w:val="22"/>
                <w:lang w:val="lt-LT"/>
              </w:rPr>
              <w:t>Vidutinio pokyčio nuo pradinio įvertinimo vidurkių vertinimas MK metodu</w:t>
            </w:r>
          </w:p>
        </w:tc>
      </w:tr>
      <w:tr>
        <w:trPr>
          <w:cantSplit/>
          <w:trHeight w:val="362"/>
        </w:trPr>
        <w:tc>
          <w:tcPr>
            <w:tcW w:w="2454" w:type="dxa"/>
            <w:tcBorders>
              <w:top w:val="single" w:sz="6" w:space="0" w:color="000000"/>
              <w:left w:val="single" w:sz="6" w:space="0" w:color="000000"/>
              <w:bottom w:val="single" w:sz="6" w:space="0" w:color="000000"/>
              <w:right w:val="single" w:sz="6" w:space="0" w:color="000000"/>
            </w:tcBorders>
          </w:tcPr>
          <w:p>
            <w:pPr>
              <w:tabs>
                <w:tab w:val="clear" w:pos="567"/>
              </w:tabs>
              <w:spacing w:line="240" w:lineRule="auto"/>
              <w:ind w:left="113"/>
              <w:rPr>
                <w:color w:val="000000"/>
                <w:szCs w:val="22"/>
                <w:lang w:val="lt-LT"/>
              </w:rPr>
            </w:pPr>
            <w:r>
              <w:rPr>
                <w:color w:val="000000"/>
                <w:szCs w:val="22"/>
                <w:lang w:val="lt-LT"/>
              </w:rPr>
              <w:t>MK vidurkis (SP)</w:t>
            </w:r>
          </w:p>
        </w:tc>
        <w:tc>
          <w:tcPr>
            <w:tcW w:w="1465" w:type="dxa"/>
            <w:tcBorders>
              <w:top w:val="single" w:sz="6" w:space="0" w:color="000000"/>
              <w:left w:val="single" w:sz="6" w:space="0" w:color="000000"/>
              <w:bottom w:val="single" w:sz="6" w:space="0" w:color="000000"/>
              <w:right w:val="single" w:sz="6" w:space="0" w:color="000000"/>
            </w:tcBorders>
          </w:tcPr>
          <w:p>
            <w:pPr>
              <w:tabs>
                <w:tab w:val="clear" w:pos="567"/>
              </w:tabs>
              <w:spacing w:line="240" w:lineRule="auto"/>
              <w:jc w:val="center"/>
              <w:rPr>
                <w:color w:val="000000"/>
                <w:szCs w:val="22"/>
                <w:lang w:val="lt-LT"/>
              </w:rPr>
            </w:pPr>
            <w:r>
              <w:rPr>
                <w:color w:val="000000"/>
                <w:szCs w:val="22"/>
                <w:lang w:val="lt-LT"/>
              </w:rPr>
              <w:t>-415,75 (24,066)</w:t>
            </w:r>
          </w:p>
        </w:tc>
        <w:tc>
          <w:tcPr>
            <w:tcW w:w="2287" w:type="dxa"/>
            <w:tcBorders>
              <w:top w:val="single" w:sz="6" w:space="0" w:color="000000"/>
              <w:left w:val="single" w:sz="6" w:space="0" w:color="000000"/>
              <w:bottom w:val="single" w:sz="6" w:space="0" w:color="000000"/>
              <w:right w:val="single" w:sz="6" w:space="0" w:color="000000"/>
            </w:tcBorders>
          </w:tcPr>
          <w:p>
            <w:pPr>
              <w:tabs>
                <w:tab w:val="clear" w:pos="567"/>
              </w:tabs>
              <w:spacing w:line="240" w:lineRule="auto"/>
              <w:jc w:val="center"/>
              <w:rPr>
                <w:color w:val="000000"/>
                <w:szCs w:val="22"/>
                <w:lang w:val="lt-LT"/>
              </w:rPr>
            </w:pPr>
            <w:r>
              <w:rPr>
                <w:color w:val="000000"/>
                <w:szCs w:val="22"/>
                <w:lang w:val="lt-LT"/>
              </w:rPr>
              <w:t>-19,88 (24,223)</w:t>
            </w:r>
          </w:p>
        </w:tc>
        <w:tc>
          <w:tcPr>
            <w:tcW w:w="1751" w:type="dxa"/>
            <w:tcBorders>
              <w:top w:val="single" w:sz="6" w:space="0" w:color="000000"/>
              <w:left w:val="single" w:sz="6" w:space="0" w:color="000000"/>
              <w:bottom w:val="single" w:sz="6" w:space="0" w:color="000000"/>
              <w:right w:val="single" w:sz="6" w:space="0" w:color="000000"/>
            </w:tcBorders>
          </w:tcPr>
          <w:p>
            <w:pPr>
              <w:tabs>
                <w:tab w:val="clear" w:pos="567"/>
              </w:tabs>
              <w:spacing w:line="240" w:lineRule="auto"/>
              <w:jc w:val="center"/>
              <w:rPr>
                <w:color w:val="000000"/>
                <w:szCs w:val="22"/>
                <w:lang w:val="lt-LT"/>
              </w:rPr>
            </w:pPr>
            <w:r>
              <w:rPr>
                <w:color w:val="000000"/>
                <w:szCs w:val="22"/>
                <w:lang w:val="lt-LT"/>
              </w:rPr>
              <w:t>-395,87 (33,848)</w:t>
            </w:r>
          </w:p>
        </w:tc>
        <w:tc>
          <w:tcPr>
            <w:tcW w:w="1113" w:type="dxa"/>
            <w:tcBorders>
              <w:top w:val="single" w:sz="6" w:space="0" w:color="000000"/>
              <w:left w:val="single" w:sz="6" w:space="0" w:color="000000"/>
              <w:bottom w:val="single" w:sz="6" w:space="0" w:color="000000"/>
              <w:right w:val="single" w:sz="6" w:space="0" w:color="000000"/>
            </w:tcBorders>
          </w:tcPr>
          <w:p>
            <w:pPr>
              <w:tabs>
                <w:tab w:val="clear" w:pos="567"/>
              </w:tabs>
              <w:spacing w:line="240" w:lineRule="auto"/>
              <w:jc w:val="center"/>
              <w:rPr>
                <w:color w:val="000000"/>
                <w:szCs w:val="22"/>
                <w:lang w:val="lt-LT"/>
              </w:rPr>
            </w:pPr>
            <w:r>
              <w:rPr>
                <w:color w:val="000000"/>
                <w:szCs w:val="22"/>
                <w:lang w:val="lt-LT"/>
              </w:rPr>
              <w:t>&lt;0,0001</w:t>
            </w:r>
          </w:p>
        </w:tc>
      </w:tr>
      <w:tr>
        <w:trPr>
          <w:cantSplit/>
          <w:trHeight w:val="362"/>
        </w:trPr>
        <w:tc>
          <w:tcPr>
            <w:tcW w:w="2454" w:type="dxa"/>
            <w:tcBorders>
              <w:top w:val="single" w:sz="6" w:space="0" w:color="000000"/>
              <w:left w:val="single" w:sz="6" w:space="0" w:color="000000"/>
              <w:bottom w:val="single" w:sz="6" w:space="0" w:color="000000"/>
              <w:right w:val="single" w:sz="6" w:space="0" w:color="000000"/>
            </w:tcBorders>
          </w:tcPr>
          <w:p>
            <w:pPr>
              <w:tabs>
                <w:tab w:val="clear" w:pos="567"/>
              </w:tabs>
              <w:spacing w:line="240" w:lineRule="auto"/>
              <w:ind w:left="113"/>
              <w:rPr>
                <w:color w:val="000000"/>
                <w:szCs w:val="22"/>
                <w:lang w:val="lt-LT"/>
              </w:rPr>
            </w:pPr>
            <w:r>
              <w:rPr>
                <w:color w:val="000000"/>
                <w:szCs w:val="22"/>
                <w:lang w:val="lt-LT"/>
              </w:rPr>
              <w:t>95 % PI</w:t>
            </w:r>
          </w:p>
        </w:tc>
        <w:tc>
          <w:tcPr>
            <w:tcW w:w="1465" w:type="dxa"/>
            <w:tcBorders>
              <w:top w:val="single" w:sz="6" w:space="0" w:color="000000"/>
              <w:left w:val="single" w:sz="6" w:space="0" w:color="000000"/>
              <w:bottom w:val="single" w:sz="6" w:space="0" w:color="000000"/>
              <w:right w:val="single" w:sz="6" w:space="0" w:color="000000"/>
            </w:tcBorders>
          </w:tcPr>
          <w:p>
            <w:pPr>
              <w:tabs>
                <w:tab w:val="clear" w:pos="567"/>
              </w:tabs>
              <w:spacing w:line="240" w:lineRule="auto"/>
              <w:jc w:val="center"/>
              <w:rPr>
                <w:color w:val="000000"/>
                <w:szCs w:val="22"/>
                <w:lang w:val="lt-LT"/>
              </w:rPr>
            </w:pPr>
            <w:r>
              <w:rPr>
                <w:color w:val="000000"/>
                <w:szCs w:val="22"/>
                <w:lang w:val="lt-LT"/>
              </w:rPr>
              <w:t xml:space="preserve">(-463,52, </w:t>
            </w:r>
            <w:r>
              <w:rPr>
                <w:color w:val="000000"/>
                <w:szCs w:val="22"/>
                <w:lang w:val="lt-LT"/>
              </w:rPr>
              <w:softHyphen/>
              <w:t>367,97)</w:t>
            </w:r>
          </w:p>
        </w:tc>
        <w:tc>
          <w:tcPr>
            <w:tcW w:w="2287" w:type="dxa"/>
            <w:tcBorders>
              <w:top w:val="single" w:sz="6" w:space="0" w:color="000000"/>
              <w:left w:val="single" w:sz="6" w:space="0" w:color="000000"/>
              <w:bottom w:val="single" w:sz="6" w:space="0" w:color="000000"/>
              <w:right w:val="single" w:sz="6" w:space="0" w:color="000000"/>
            </w:tcBorders>
          </w:tcPr>
          <w:p>
            <w:pPr>
              <w:tabs>
                <w:tab w:val="clear" w:pos="567"/>
              </w:tabs>
              <w:spacing w:line="240" w:lineRule="auto"/>
              <w:jc w:val="center"/>
              <w:rPr>
                <w:color w:val="000000"/>
                <w:szCs w:val="22"/>
                <w:lang w:val="lt-LT"/>
              </w:rPr>
            </w:pPr>
            <w:r>
              <w:rPr>
                <w:color w:val="000000"/>
                <w:szCs w:val="22"/>
                <w:lang w:val="lt-LT"/>
              </w:rPr>
              <w:t>(-67,97, 28,21)</w:t>
            </w:r>
          </w:p>
        </w:tc>
        <w:tc>
          <w:tcPr>
            <w:tcW w:w="1751" w:type="dxa"/>
            <w:tcBorders>
              <w:top w:val="single" w:sz="6" w:space="0" w:color="000000"/>
              <w:left w:val="single" w:sz="6" w:space="0" w:color="000000"/>
              <w:bottom w:val="single" w:sz="6" w:space="0" w:color="000000"/>
              <w:right w:val="single" w:sz="6" w:space="0" w:color="000000"/>
            </w:tcBorders>
          </w:tcPr>
          <w:p>
            <w:pPr>
              <w:tabs>
                <w:tab w:val="clear" w:pos="567"/>
              </w:tabs>
              <w:spacing w:line="240" w:lineRule="auto"/>
              <w:jc w:val="center"/>
              <w:rPr>
                <w:color w:val="000000"/>
                <w:szCs w:val="22"/>
                <w:lang w:val="lt-LT"/>
              </w:rPr>
            </w:pPr>
            <w:r>
              <w:rPr>
                <w:color w:val="000000"/>
                <w:szCs w:val="22"/>
                <w:lang w:val="lt-LT"/>
              </w:rPr>
              <w:t xml:space="preserve">(-463,07, </w:t>
            </w:r>
            <w:r>
              <w:rPr>
                <w:szCs w:val="22"/>
                <w:lang w:val="lt-LT"/>
              </w:rPr>
              <w:softHyphen/>
            </w:r>
            <w:r>
              <w:rPr>
                <w:color w:val="000000"/>
                <w:szCs w:val="22"/>
                <w:lang w:val="lt-LT"/>
              </w:rPr>
              <w:t>328,66)</w:t>
            </w:r>
          </w:p>
        </w:tc>
        <w:tc>
          <w:tcPr>
            <w:tcW w:w="1113" w:type="dxa"/>
            <w:tcBorders>
              <w:top w:val="single" w:sz="6" w:space="0" w:color="000000"/>
              <w:left w:val="single" w:sz="6" w:space="0" w:color="000000"/>
              <w:bottom w:val="single" w:sz="6" w:space="0" w:color="000000"/>
              <w:right w:val="single" w:sz="6" w:space="0" w:color="000000"/>
            </w:tcBorders>
          </w:tcPr>
          <w:p>
            <w:pPr>
              <w:tabs>
                <w:tab w:val="clear" w:pos="567"/>
              </w:tabs>
              <w:spacing w:line="240" w:lineRule="auto"/>
              <w:jc w:val="both"/>
              <w:rPr>
                <w:color w:val="000000"/>
                <w:szCs w:val="22"/>
                <w:lang w:val="lt-LT"/>
              </w:rPr>
            </w:pPr>
          </w:p>
        </w:tc>
      </w:tr>
    </w:tbl>
    <w:p>
      <w:pPr>
        <w:tabs>
          <w:tab w:val="clear" w:pos="567"/>
          <w:tab w:val="left" w:pos="144"/>
        </w:tabs>
        <w:spacing w:line="240" w:lineRule="auto"/>
        <w:rPr>
          <w:sz w:val="20"/>
          <w:lang w:val="lt-LT"/>
        </w:rPr>
      </w:pPr>
      <w:r>
        <w:rPr>
          <w:sz w:val="20"/>
          <w:lang w:val="lt-LT"/>
        </w:rPr>
        <w:t xml:space="preserve">PI – pasikliautinasis intervalas; MK – mažiausiųjų kvadratų; MMRM (angl. </w:t>
      </w:r>
      <w:r>
        <w:rPr>
          <w:i/>
          <w:iCs/>
          <w:sz w:val="20"/>
          <w:lang w:val="lt-LT"/>
        </w:rPr>
        <w:t>mixed model for repeated measures</w:t>
      </w:r>
      <w:r>
        <w:rPr>
          <w:sz w:val="20"/>
          <w:lang w:val="lt-LT"/>
        </w:rPr>
        <w:t>) – kartotinių priemonių mišrus modelis; Phe – fenilalaninas; SN – standartinis nuokrypis; SP – standartinė paklaida</w:t>
      </w:r>
    </w:p>
    <w:p>
      <w:pPr>
        <w:spacing w:line="240" w:lineRule="auto"/>
        <w:rPr>
          <w:sz w:val="20"/>
          <w:lang w:val="lt-LT"/>
        </w:rPr>
      </w:pPr>
      <w:r>
        <w:rPr>
          <w:sz w:val="20"/>
          <w:lang w:val="lt-LT"/>
        </w:rPr>
        <w:t>* Pradinis įvertinimas yra 2 dalies -1 dienos ir 1 dienos Phe koncentracijos kraujyje vidurkis.</w:t>
      </w:r>
    </w:p>
    <w:p>
      <w:pPr>
        <w:spacing w:line="240" w:lineRule="auto"/>
        <w:rPr>
          <w:sz w:val="20"/>
          <w:lang w:val="lt-LT"/>
        </w:rPr>
      </w:pPr>
      <w:r>
        <w:rPr>
          <w:sz w:val="20"/>
          <w:lang w:val="lt-LT"/>
        </w:rPr>
        <w:t>** Phe koncentracija kraujyje buvo nustatyta pagal vidutines 5 ir 6 savaičių vertes.</w:t>
      </w:r>
    </w:p>
    <w:p>
      <w:pPr>
        <w:spacing w:line="240" w:lineRule="auto"/>
        <w:rPr>
          <w:sz w:val="20"/>
          <w:lang w:val="lt-LT"/>
        </w:rPr>
      </w:pPr>
      <w:r>
        <w:rPr>
          <w:sz w:val="20"/>
          <w:lang w:val="lt-LT"/>
        </w:rPr>
        <w:t>MK vidurkiai, standartinės paklaidos, pasikliautinieji intervalai ir p reikšmės buvo apskaičiuoti taikant MMRM, kai atsako kintamasis yra Phe kiekio kraujyje pokytis nuo pradinio iki vėlesnio įvertinimo, o fiksuoti efektai – gydymas, pradinis Phe kiekis kraujyje, pradinis Phe sluoksnis, vizitas bei gydymo ir vizito sąveika.</w:t>
      </w:r>
    </w:p>
    <w:p>
      <w:pPr>
        <w:spacing w:line="240" w:lineRule="auto"/>
        <w:rPr>
          <w:szCs w:val="22"/>
          <w:lang w:val="lt-LT"/>
        </w:rPr>
      </w:pPr>
    </w:p>
    <w:p>
      <w:pPr>
        <w:spacing w:line="240" w:lineRule="auto"/>
        <w:rPr>
          <w:szCs w:val="22"/>
          <w:lang w:val="lt-LT"/>
        </w:rPr>
      </w:pPr>
      <w:r>
        <w:rPr>
          <w:szCs w:val="22"/>
          <w:lang w:val="lt-LT"/>
        </w:rPr>
        <w:t>Panašus atsakas buvo stebimas ir pacientų, sergančių klasikine FKU (kFKU), populiacijoje: 6 savaitę sepiapteriną vartojusių pacientų (n = 6) Phe kiekis kraujyje sumažėjo 69 %, palyginti su 3 % padidėjimu po placebo (n = 9).</w:t>
      </w:r>
    </w:p>
    <w:p>
      <w:pPr>
        <w:spacing w:line="240" w:lineRule="auto"/>
        <w:rPr>
          <w:szCs w:val="22"/>
          <w:lang w:val="lt-LT"/>
        </w:rPr>
      </w:pPr>
    </w:p>
    <w:p>
      <w:pPr>
        <w:spacing w:line="240" w:lineRule="auto"/>
        <w:rPr>
          <w:szCs w:val="22"/>
          <w:lang w:val="lt-LT"/>
        </w:rPr>
      </w:pPr>
      <w:r>
        <w:rPr>
          <w:b/>
          <w:bCs/>
          <w:szCs w:val="22"/>
          <w:lang w:val="lt-LT"/>
        </w:rPr>
        <w:t>2 tyrimas (PKU-002)</w:t>
      </w:r>
      <w:r>
        <w:rPr>
          <w:szCs w:val="22"/>
          <w:lang w:val="lt-LT"/>
        </w:rPr>
        <w:t xml:space="preserve"> buvo 2 fazės, atsitiktinių imčių, dvigubas kryžminis, atvirasis, veikliuoju preparatu kontroliuojamas sepiapterino koncepcijos patvirtinimo klinikinis tyrimas, kuriame dalyvavo FKU sergantys pacientai.</w:t>
      </w:r>
    </w:p>
    <w:p>
      <w:pPr>
        <w:spacing w:line="240" w:lineRule="auto"/>
        <w:rPr>
          <w:szCs w:val="22"/>
          <w:lang w:val="lt-LT"/>
        </w:rPr>
      </w:pPr>
      <w:r>
        <w:rPr>
          <w:szCs w:val="22"/>
          <w:lang w:val="lt-LT"/>
        </w:rPr>
        <w:t>Tyrimą sudarė 6 sekos grupės po 4 pacientus kiekvienoje grupėje, iš viso 24 pacientai. Kiekvienai sekos grupei atsitiktinių imčių būdu buvo paskirta 7 dienas vartoti sepiapterino 60 mg/kg per parą, sepiapterino 20 mg/kg per parą ir sapropterino dihidrochlorido 20 mg/kg per parą atsitiktine tvarka, po kiekvieno vartojimo išlaikant 7 dienų vaistinio preparato pasišalinimo iš organizmo laikotarpį. Preliminarus veiksmingumas buvo įvertintas pagal Phe koncentracijos kraujyje sumažėjimą. Pirminės veiksmingumo savaitinės vidutinės analizės rezultatai parodė, kad vartojant sepiapteriną Phe koncentracija kraujyje sumažėjo, palyginti su pradine verte, ir tai buvo statistiškai reikšminga visų dozių vartojimo atveju (N = 24). Didesnės dalies pacientų, vartojančių sepiapteriną, nepriklausomai nuo dozės, Phe kiekis plazmoje sumažėjo bent 10 %, 20 % ir 30 %, palyginti su pacientais, kuriems buvo skiriama sapropterino 20 mg/kg per parą. Daugiau pacientų, vartojusių sepiapterino 60 mg/kg per parą, pasiekė normalizuotą Phe koncentraciją plazmoje (&lt;120 μmol/l) ir Phe koncentraciją kraujyje tikslinėse intervale (≤360μmol/l), palyginti su vartojusiaisiais sapropterino 20 mg/kg per parą. kFKU sergantiems tiriamiesiems vartojus sepiapteriną (60 mg/kg per parą), reikšmingai sumažėjo Phe koncentracija kraujyje, palyginti su pradiniu įvertinimu.</w:t>
      </w:r>
    </w:p>
    <w:p>
      <w:pPr>
        <w:spacing w:line="240" w:lineRule="auto"/>
        <w:rPr>
          <w:szCs w:val="22"/>
          <w:lang w:val="lt-LT"/>
        </w:rPr>
      </w:pPr>
    </w:p>
    <w:p>
      <w:pPr>
        <w:spacing w:line="240" w:lineRule="auto"/>
        <w:rPr>
          <w:szCs w:val="22"/>
          <w:lang w:val="lt-LT"/>
        </w:rPr>
      </w:pPr>
      <w:r>
        <w:rPr>
          <w:b/>
          <w:bCs/>
          <w:szCs w:val="22"/>
          <w:lang w:val="lt-LT"/>
        </w:rPr>
        <w:t>3 tyrimas (PTC923-MD-004-PKU)</w:t>
      </w:r>
      <w:r>
        <w:rPr>
          <w:szCs w:val="22"/>
          <w:lang w:val="lt-LT"/>
        </w:rPr>
        <w:t xml:space="preserve"> yra tebevykdomas 3 fazės daugiacentris atvirasis klinikinis tyrimas, skirtas įvertinti ilgalaikio sepiapterino skyrimo FKU sergantiems pacientams saugumą ir su maisto gaunamo Phe toleravimą. Šimtui šešiasdešimt devyniems (169) pacientams buvo skiriama sepiapterino: 7,5 mg/kg per parą – dalyviams nuo 0 iki &lt;6 mėnesių, 15 mg/kg per parą – dalyviams nuo 6 iki &lt;12 mėnesių, 30 mg/kg per parą – dalyviams nuo 12 mėnesių iki &lt;2 metų arba 60 mg/kg per parą – ≥2 metų dalyviams. Tarpiniai duomenys rodo, kad kasdien vartojant sepiapteriną maždaug 2,3 karto padidėja vidutinis paros Phe suvartojimas (27,6 mg/kg per parą pradiniu laikotarpiu, palyginti su 62,5 mg/kg per parą 26 savaitę), išlaikant Phe koncentraciją &lt;360 μmol/l. Dauguma tiriamųjų pasiekė bent 15 % (76,7 % dalyvių) arba 30 % (67,4 % dalyvių) Phe kiekio kraujyje sumažėjimą (1 pav.). </w:t>
      </w:r>
    </w:p>
    <w:p>
      <w:pPr>
        <w:spacing w:line="240" w:lineRule="auto"/>
        <w:rPr>
          <w:szCs w:val="22"/>
          <w:lang w:val="lt-LT"/>
        </w:rPr>
      </w:pPr>
    </w:p>
    <w:p>
      <w:pPr>
        <w:keepNext/>
        <w:spacing w:line="240" w:lineRule="auto"/>
        <w:rPr>
          <w:b/>
          <w:szCs w:val="22"/>
          <w:lang w:val="lt-LT"/>
        </w:rPr>
      </w:pPr>
      <w:r>
        <w:rPr>
          <w:b/>
          <w:bCs/>
          <w:szCs w:val="22"/>
          <w:lang w:val="lt-LT"/>
        </w:rPr>
        <w:t>1 pav. Vidutinis (SN) Phe suvartojimas su maistu per tam tikrą laiką vertinant su maistu gaunamo Phe toleranciją (su maistu gaunamo Phe analizės aibė)</w:t>
      </w:r>
    </w:p>
    <w:p>
      <w:pPr>
        <w:rPr>
          <w:lang w:val="lt-LT"/>
        </w:rPr>
      </w:pPr>
    </w:p>
    <w:p>
      <w:pPr>
        <w:jc w:val="both"/>
        <w:rPr>
          <w:lang w:val="lt-LT"/>
        </w:rPr>
      </w:pPr>
      <w:r>
        <w:rPr>
          <w:noProof/>
          <w:lang w:val="lt-LT"/>
        </w:rPr>
        <mc:AlternateContent>
          <mc:Choice Requires="wpg">
            <w:drawing>
              <wp:anchor distT="287020" distB="323215" distL="114300" distR="114300" simplePos="0" relativeHeight="4" behindDoc="1" locked="0" layoutInCell="0" allowOverlap="1">
                <wp:simplePos x="0" y="0"/>
                <wp:positionH relativeFrom="column">
                  <wp:posOffset>101600</wp:posOffset>
                </wp:positionH>
                <wp:positionV relativeFrom="paragraph">
                  <wp:posOffset>31750</wp:posOffset>
                </wp:positionV>
                <wp:extent cx="5864225" cy="2953385"/>
                <wp:effectExtent l="0" t="0" r="0" b="0"/>
                <wp:wrapTight wrapText="bothSides">
                  <wp:wrapPolygon edited="0">
                    <wp:start x="19916" y="2169"/>
                    <wp:lineTo x="3378" y="3037"/>
                    <wp:lineTo x="3519" y="16341"/>
                    <wp:lineTo x="0" y="17787"/>
                    <wp:lineTo x="0" y="19233"/>
                    <wp:lineTo x="3941" y="19956"/>
                    <wp:lineTo x="20408" y="19956"/>
                    <wp:lineTo x="20690" y="19667"/>
                    <wp:lineTo x="21182" y="18944"/>
                    <wp:lineTo x="21253" y="17787"/>
                    <wp:lineTo x="5489" y="16341"/>
                    <wp:lineTo x="17312" y="16341"/>
                    <wp:lineTo x="20479" y="15907"/>
                    <wp:lineTo x="20268" y="14027"/>
                    <wp:lineTo x="20619" y="13738"/>
                    <wp:lineTo x="20408" y="2169"/>
                    <wp:lineTo x="19916" y="2169"/>
                  </wp:wrapPolygon>
                </wp:wrapTight>
                <wp:docPr id="2" name="Group 97"/>
                <wp:cNvGraphicFramePr/>
                <a:graphic xmlns:a="http://schemas.openxmlformats.org/drawingml/2006/main">
                  <a:graphicData uri="http://schemas.microsoft.com/office/word/2010/wordprocessingGroup">
                    <wpg:wgp>
                      <wpg:cNvGrpSpPr/>
                      <wpg:grpSpPr>
                        <a:xfrm>
                          <a:off x="0" y="0"/>
                          <a:ext cx="5864400" cy="2953440"/>
                          <a:chOff x="0" y="0"/>
                          <a:chExt cx="5864400" cy="2953440"/>
                        </a:xfrm>
                      </wpg:grpSpPr>
                      <wps:wsp>
                        <wps:cNvPr id="3" name="Text Box 1"/>
                        <wps:cNvSpPr/>
                        <wps:spPr>
                          <a:xfrm>
                            <a:off x="0" y="2373120"/>
                            <a:ext cx="5696640" cy="170640"/>
                          </a:xfrm>
                          <a:prstGeom prst="rect">
                            <a:avLst/>
                          </a:prstGeom>
                          <a:solidFill>
                            <a:schemeClr val="lt1"/>
                          </a:solidFill>
                          <a:ln w="6350">
                            <a:noFill/>
                          </a:ln>
                        </wps:spPr>
                        <wps:style>
                          <a:lnRef idx="0">
                            <a:scrgbClr r="0" g="0" b="0"/>
                          </a:lnRef>
                          <a:fillRef idx="0">
                            <a:scrgbClr r="0" g="0" b="0"/>
                          </a:fillRef>
                          <a:effectRef idx="0">
                            <a:scrgbClr r="0" g="0" b="0"/>
                          </a:effectRef>
                          <a:fontRef idx="minor"/>
                        </wps:style>
                        <wps:txbx>
                          <w:txbxContent>
                            <w:p>
                              <w:pPr>
                                <w:jc w:val="both"/>
                                <w:rPr>
                                  <w:rFonts w:ascii="Arial" w:hAnsi="Arial" w:cs="Arial"/>
                                  <w:sz w:val="12"/>
                                  <w:szCs w:val="12"/>
                                  <w:lang w:val="en-US"/>
                                </w:rPr>
                              </w:pPr>
                              <w:r>
                                <w:rPr>
                                  <w:rFonts w:ascii="Arial" w:eastAsia="Arial" w:hAnsi="Arial" w:cs="Arial"/>
                                  <w:sz w:val="12"/>
                                  <w:szCs w:val="12"/>
                                  <w:lang w:val="lt-LT"/>
                                </w:rPr>
                                <w:t>Phe suvartojimas su maistu    102           96            97            98           91            92            91           91           94             92            90            87            86            81</w:t>
                              </w:r>
                            </w:p>
                          </w:txbxContent>
                        </wps:txbx>
                        <wps:bodyPr lIns="0" tIns="0" rIns="0" bIns="0" anchor="t">
                          <a:noAutofit/>
                        </wps:bodyPr>
                      </wps:wsp>
                      <wps:wsp>
                        <wps:cNvPr id="4" name="TextBox 39"/>
                        <wps:cNvSpPr/>
                        <wps:spPr>
                          <a:xfrm rot="16200000">
                            <a:off x="-690120" y="1019160"/>
                            <a:ext cx="2424960" cy="386640"/>
                          </a:xfrm>
                          <a:prstGeom prst="rect">
                            <a:avLst/>
                          </a:prstGeom>
                          <a:noFill/>
                          <a:ln w="0">
                            <a:noFill/>
                          </a:ln>
                        </wps:spPr>
                        <wps:style>
                          <a:lnRef idx="0">
                            <a:scrgbClr r="0" g="0" b="0"/>
                          </a:lnRef>
                          <a:fillRef idx="0">
                            <a:scrgbClr r="0" g="0" b="0"/>
                          </a:fillRef>
                          <a:effectRef idx="0">
                            <a:scrgbClr r="0" g="0" b="0"/>
                          </a:effectRef>
                          <a:fontRef idx="minor"/>
                        </wps:style>
                        <wps:txbx>
                          <w:txbxContent>
                            <w:p>
                              <w:pPr>
                                <w:spacing w:line="240" w:lineRule="exact"/>
                                <w:jc w:val="center"/>
                                <w:textAlignment w:val="baseline"/>
                                <w:rPr>
                                  <w:rFonts w:ascii="Arial" w:hAnsi="Arial" w:cs="Arial"/>
                                  <w:b/>
                                  <w:bCs/>
                                  <w:color w:val="000000"/>
                                  <w:kern w:val="2"/>
                                  <w:sz w:val="16"/>
                                  <w:szCs w:val="16"/>
                                </w:rPr>
                              </w:pPr>
                              <w:r>
                                <w:rPr>
                                  <w:rFonts w:ascii="Arial" w:eastAsia="Arial" w:hAnsi="Arial" w:cs="Arial"/>
                                  <w:b/>
                                  <w:bCs/>
                                  <w:color w:val="000000"/>
                                  <w:kern w:val="2"/>
                                  <w:sz w:val="16"/>
                                  <w:szCs w:val="16"/>
                                  <w:lang w:val="lt-LT"/>
                                </w:rPr>
                                <w:t xml:space="preserve">Vidutinis (SN) </w:t>
                              </w:r>
                              <w:r>
                                <w:rPr>
                                  <w:rFonts w:ascii="Arial" w:eastAsia="Arial" w:hAnsi="Arial" w:cs="Arial"/>
                                  <w:b/>
                                  <w:bCs/>
                                  <w:color w:val="000000"/>
                                  <w:kern w:val="2"/>
                                  <w:sz w:val="16"/>
                                  <w:szCs w:val="16"/>
                                  <w:lang w:val="lt-LT"/>
                                </w:rPr>
                                <w:br/>
                                <w:t>Phe suvartojimas su maistu (mg/kg per parą)</w:t>
                              </w:r>
                            </w:p>
                            <w:p>
                              <w:pPr>
                                <w:spacing w:line="240" w:lineRule="exact"/>
                                <w:rPr>
                                  <w:sz w:val="16"/>
                                  <w:szCs w:val="16"/>
                                </w:rPr>
                              </w:pPr>
                            </w:p>
                            <w:p>
                              <w:pPr>
                                <w:spacing w:line="240" w:lineRule="exact"/>
                                <w:rPr>
                                  <w:sz w:val="16"/>
                                  <w:szCs w:val="16"/>
                                </w:rPr>
                              </w:pPr>
                            </w:p>
                          </w:txbxContent>
                        </wps:txbx>
                        <wps:bodyPr lIns="0" tIns="0" rIns="0" bIns="0" anchor="t">
                          <a:noAutofit/>
                        </wps:bodyPr>
                      </wps:wsp>
                      <wpg:grpSp>
                        <wpg:cNvPr id="5" name="Group 5"/>
                        <wpg:cNvGrpSpPr/>
                        <wpg:grpSpPr>
                          <a:xfrm>
                            <a:off x="673200" y="312480"/>
                            <a:ext cx="4936320" cy="2194560"/>
                            <a:chOff x="0" y="0"/>
                            <a:chExt cx="0" cy="0"/>
                          </a:xfrm>
                        </wpg:grpSpPr>
                        <wpg:grpSp>
                          <wpg:cNvPr id="6" name="Group 6"/>
                          <wpg:cNvGrpSpPr/>
                          <wpg:grpSpPr>
                            <a:xfrm>
                              <a:off x="0" y="0"/>
                              <a:ext cx="4936320" cy="2194560"/>
                              <a:chOff x="0" y="0"/>
                              <a:chExt cx="0" cy="0"/>
                            </a:xfrm>
                          </wpg:grpSpPr>
                          <wpg:grpSp>
                            <wpg:cNvPr id="7" name="Group 7"/>
                            <wpg:cNvGrpSpPr/>
                            <wpg:grpSpPr>
                              <a:xfrm>
                                <a:off x="0" y="0"/>
                                <a:ext cx="4936320" cy="2194560"/>
                                <a:chOff x="0" y="0"/>
                                <a:chExt cx="0" cy="0"/>
                              </a:xfrm>
                            </wpg:grpSpPr>
                            <wpg:grpSp>
                              <wpg:cNvPr id="8" name="Group 8"/>
                              <wpg:cNvGrpSpPr/>
                              <wpg:grpSpPr>
                                <a:xfrm>
                                  <a:off x="0" y="0"/>
                                  <a:ext cx="4936320" cy="2194560"/>
                                  <a:chOff x="0" y="0"/>
                                  <a:chExt cx="0" cy="0"/>
                                </a:xfrm>
                              </wpg:grpSpPr>
                              <wpg:grpSp>
                                <wpg:cNvPr id="9" name="Group 9"/>
                                <wpg:cNvGrpSpPr/>
                                <wpg:grpSpPr>
                                  <a:xfrm>
                                    <a:off x="401760" y="16560"/>
                                    <a:ext cx="4415040" cy="1995120"/>
                                    <a:chOff x="0" y="0"/>
                                    <a:chExt cx="0" cy="0"/>
                                  </a:xfrm>
                                </wpg:grpSpPr>
                                <wps:wsp>
                                  <wps:cNvPr id="10" name="Freeform: Shape 48"/>
                                  <wps:cNvSpPr/>
                                  <wps:spPr>
                                    <a:xfrm>
                                      <a:off x="30600" y="874440"/>
                                      <a:ext cx="4344120" cy="734040"/>
                                    </a:xfrm>
                                    <a:custGeom>
                                      <a:avLst/>
                                      <a:gdLst>
                                        <a:gd name="textAreaLeft" fmla="*/ 0 w 2462760"/>
                                        <a:gd name="textAreaRight" fmla="*/ 2463120 w 2462760"/>
                                        <a:gd name="textAreaTop" fmla="*/ 0 h 416160"/>
                                        <a:gd name="textAreaBottom" fmla="*/ 416520 h 416160"/>
                                        <a:gd name="GluePoint1X" fmla="*/ 0 w 6967030"/>
                                        <a:gd name="GluePoint1Y" fmla="*/ 1145525 h 1145524"/>
                                        <a:gd name="GluePoint2X" fmla="*/ 540574 w 6967030"/>
                                        <a:gd name="GluePoint2Y" fmla="*/ 1002571 h 1145524"/>
                                        <a:gd name="GluePoint3X" fmla="*/ 1080359 w 6967030"/>
                                        <a:gd name="GluePoint3Y" fmla="*/ 790665 h 1145524"/>
                                        <a:gd name="GluePoint4X" fmla="*/ 1612728 w 6967030"/>
                                        <a:gd name="GluePoint4Y" fmla="*/ 690628 h 1145524"/>
                                        <a:gd name="GluePoint5X" fmla="*/ 2160561 w 6967030"/>
                                        <a:gd name="GluePoint5Y" fmla="*/ 535209 h 1145524"/>
                                        <a:gd name="GluePoint6X" fmla="*/ 2686934 w 6967030"/>
                                        <a:gd name="GluePoint6Y" fmla="*/ 501917 h 1145524"/>
                                        <a:gd name="GluePoint7X" fmla="*/ 3238395 w 6967030"/>
                                        <a:gd name="GluePoint7Y" fmla="*/ 444798 h 1145524"/>
                                        <a:gd name="GluePoint8X" fmla="*/ 3760824 w 6967030"/>
                                        <a:gd name="GluePoint8Y" fmla="*/ 235732 h 1145524"/>
                                        <a:gd name="GluePoint9X" fmla="*/ 4297927 w 6967030"/>
                                        <a:gd name="GluePoint9Y" fmla="*/ 195497 h 1145524"/>
                                        <a:gd name="GluePoint10X" fmla="*/ 4837712 w 6967030"/>
                                        <a:gd name="GluePoint10Y" fmla="*/ 231787 h 1145524"/>
                                        <a:gd name="GluePoint11X" fmla="*/ 5355092 w 6967030"/>
                                        <a:gd name="GluePoint11Y" fmla="*/ 76842 h 1145524"/>
                                        <a:gd name="GluePoint12X" fmla="*/ 5887303 w 6967030"/>
                                        <a:gd name="GluePoint12Y" fmla="*/ 92620 h 1145524"/>
                                        <a:gd name="GluePoint13X" fmla="*/ 6430086 w 6967030"/>
                                        <a:gd name="GluePoint13Y" fmla="*/ 80629 h 1145524"/>
                                        <a:gd name="GluePoint14X" fmla="*/ 6967031 w 6967030"/>
                                        <a:gd name="GluePoint14Y" fmla="*/ 0 h 1145524"/>
                                      </a:gdLst>
                                      <a:ahLst/>
                                      <a:cxnLst>
                                        <a:cxn ang="0">
                                          <a:pos x="GluePoint1X" y="GluePoint1Y"/>
                                        </a:cxn>
                                        <a:cxn ang="0">
                                          <a:pos x="GluePoint2X" y="GluePoint2Y"/>
                                        </a:cxn>
                                        <a:cxn ang="0">
                                          <a:pos x="GluePoint3X" y="GluePoint3Y"/>
                                        </a:cxn>
                                        <a:cxn ang="0">
                                          <a:pos x="GluePoint4X" y="GluePoint4Y"/>
                                        </a:cxn>
                                        <a:cxn ang="0">
                                          <a:pos x="GluePoint5X" y="GluePoint5Y"/>
                                        </a:cxn>
                                        <a:cxn ang="0">
                                          <a:pos x="GluePoint6X" y="GluePoint6Y"/>
                                        </a:cxn>
                                        <a:cxn ang="0">
                                          <a:pos x="GluePoint7X" y="GluePoint7Y"/>
                                        </a:cxn>
                                        <a:cxn ang="0">
                                          <a:pos x="GluePoint8X" y="GluePoint8Y"/>
                                        </a:cxn>
                                        <a:cxn ang="0">
                                          <a:pos x="GluePoint9X" y="GluePoint9Y"/>
                                        </a:cxn>
                                        <a:cxn ang="0">
                                          <a:pos x="GluePoint10X" y="GluePoint10Y"/>
                                        </a:cxn>
                                        <a:cxn ang="0">
                                          <a:pos x="GluePoint11X" y="GluePoint11Y"/>
                                        </a:cxn>
                                        <a:cxn ang="0">
                                          <a:pos x="GluePoint12X" y="GluePoint12Y"/>
                                        </a:cxn>
                                        <a:cxn ang="0">
                                          <a:pos x="GluePoint13X" y="GluePoint13Y"/>
                                        </a:cxn>
                                        <a:cxn ang="0">
                                          <a:pos x="GluePoint14X" y="GluePoint14Y"/>
                                        </a:cxn>
                                      </a:cxnLst>
                                      <a:rect l="textAreaLeft" t="textAreaTop" r="textAreaRight" b="textAreaBottom"/>
                                      <a:pathLst>
                                        <a:path w="6967030" h="1145524">
                                          <a:moveTo>
                                            <a:pt x="0" y="1145525"/>
                                          </a:moveTo>
                                          <a:lnTo>
                                            <a:pt x="540574" y="1002571"/>
                                          </a:lnTo>
                                          <a:lnTo>
                                            <a:pt x="1080359" y="790665"/>
                                          </a:lnTo>
                                          <a:lnTo>
                                            <a:pt x="1612728" y="690628"/>
                                          </a:lnTo>
                                          <a:lnTo>
                                            <a:pt x="2160561" y="535209"/>
                                          </a:lnTo>
                                          <a:lnTo>
                                            <a:pt x="2686934" y="501917"/>
                                          </a:lnTo>
                                          <a:lnTo>
                                            <a:pt x="3238395" y="444798"/>
                                          </a:lnTo>
                                          <a:lnTo>
                                            <a:pt x="3760824" y="235732"/>
                                          </a:lnTo>
                                          <a:lnTo>
                                            <a:pt x="4297927" y="195497"/>
                                          </a:lnTo>
                                          <a:lnTo>
                                            <a:pt x="4837712" y="231787"/>
                                          </a:lnTo>
                                          <a:lnTo>
                                            <a:pt x="5355092" y="76842"/>
                                          </a:lnTo>
                                          <a:lnTo>
                                            <a:pt x="5887303" y="92620"/>
                                          </a:lnTo>
                                          <a:lnTo>
                                            <a:pt x="6430086" y="80629"/>
                                          </a:lnTo>
                                          <a:lnTo>
                                            <a:pt x="6967031" y="0"/>
                                          </a:lnTo>
                                        </a:path>
                                      </a:pathLst>
                                    </a:custGeom>
                                    <a:noFill/>
                                    <a:ln w="25400">
                                      <a:solidFill>
                                        <a:srgbClr val="000000"/>
                                      </a:solidFill>
                                      <a:prstDash val="sysDot"/>
                                      <a:miter/>
                                    </a:ln>
                                  </wps:spPr>
                                  <wps:style>
                                    <a:lnRef idx="0">
                                      <a:scrgbClr r="0" g="0" b="0"/>
                                    </a:lnRef>
                                    <a:fillRef idx="0">
                                      <a:scrgbClr r="0" g="0" b="0"/>
                                    </a:fillRef>
                                    <a:effectRef idx="0">
                                      <a:scrgbClr r="0" g="0" b="0"/>
                                    </a:effectRef>
                                    <a:fontRef idx="minor"/>
                                  </wps:style>
                                  <wps:bodyPr/>
                                </wps:wsp>
                                <wpg:grpSp>
                                  <wpg:cNvPr id="11" name="Group 11"/>
                                  <wpg:cNvGrpSpPr/>
                                  <wpg:grpSpPr>
                                    <a:xfrm>
                                      <a:off x="0" y="0"/>
                                      <a:ext cx="4415040" cy="1995120"/>
                                      <a:chOff x="0" y="0"/>
                                      <a:chExt cx="0" cy="0"/>
                                    </a:xfrm>
                                  </wpg:grpSpPr>
                                  <wps:wsp>
                                    <wps:cNvPr id="12" name="Freeform: Shape 161"/>
                                    <wps:cNvSpPr/>
                                    <wps:spPr>
                                      <a:xfrm>
                                        <a:off x="35640" y="1227960"/>
                                        <a:ext cx="9000" cy="757080"/>
                                      </a:xfrm>
                                      <a:custGeom>
                                        <a:avLst/>
                                        <a:gdLst>
                                          <a:gd name="textAreaLeft" fmla="*/ 0 w 5040"/>
                                          <a:gd name="textAreaRight" fmla="*/ 5400 w 5040"/>
                                          <a:gd name="textAreaTop" fmla="*/ 0 h 429120"/>
                                          <a:gd name="textAreaBottom" fmla="*/ 429480 h 429120"/>
                                          <a:gd name="GluePoint1X" fmla="*/ 0 w 15778"/>
                                          <a:gd name="GluePoint1Y" fmla="*/ 0 h 1181342"/>
                                          <a:gd name="GluePoint2X" fmla="*/ 0 w 15778"/>
                                          <a:gd name="GluePoint2Y" fmla="*/ 1181342 h 1181342"/>
                                        </a:gdLst>
                                        <a:ahLst/>
                                        <a:cxnLst>
                                          <a:cxn ang="0">
                                            <a:pos x="GluePoint1X" y="GluePoint1Y"/>
                                          </a:cxn>
                                          <a:cxn ang="0">
                                            <a:pos x="GluePoint2X" y="GluePoint2Y"/>
                                          </a:cxn>
                                        </a:cxnLst>
                                        <a:rect l="textAreaLeft" t="textAreaTop" r="textAreaRight" b="textAreaBottom"/>
                                        <a:pathLst>
                                          <a:path w="15778" h="1181342">
                                            <a:moveTo>
                                              <a:pt x="0" y="0"/>
                                            </a:moveTo>
                                            <a:lnTo>
                                              <a:pt x="0" y="1181342"/>
                                            </a:lnTo>
                                          </a:path>
                                        </a:pathLst>
                                      </a:custGeom>
                                      <a:solidFill>
                                        <a:schemeClr val="tx1"/>
                                      </a:solidFill>
                                      <a:ln w="15773">
                                        <a:solidFill>
                                          <a:srgbClr val="000000"/>
                                        </a:solidFill>
                                        <a:miter/>
                                      </a:ln>
                                    </wps:spPr>
                                    <wps:style>
                                      <a:lnRef idx="0">
                                        <a:scrgbClr r="0" g="0" b="0"/>
                                      </a:lnRef>
                                      <a:fillRef idx="0">
                                        <a:scrgbClr r="0" g="0" b="0"/>
                                      </a:fillRef>
                                      <a:effectRef idx="0">
                                        <a:scrgbClr r="0" g="0" b="0"/>
                                      </a:effectRef>
                                      <a:fontRef idx="minor"/>
                                    </wps:style>
                                    <wps:bodyPr/>
                                  </wps:wsp>
                                  <wps:wsp>
                                    <wps:cNvPr id="13" name="Freeform: Shape 162"/>
                                    <wps:cNvSpPr/>
                                    <wps:spPr>
                                      <a:xfrm>
                                        <a:off x="1440" y="1227960"/>
                                        <a:ext cx="68040" cy="9360"/>
                                      </a:xfrm>
                                      <a:custGeom>
                                        <a:avLst/>
                                        <a:gdLst>
                                          <a:gd name="textAreaLeft" fmla="*/ 0 w 38520"/>
                                          <a:gd name="textAreaRight" fmla="*/ 38880 w 38520"/>
                                          <a:gd name="textAreaTop" fmla="*/ 0 h 5400"/>
                                          <a:gd name="textAreaBottom" fmla="*/ 5760 h 5400"/>
                                          <a:gd name="GluePoint1X" fmla="*/ 0 w 109503"/>
                                          <a:gd name="GluePoint1Y" fmla="*/ 0 h 15778"/>
                                          <a:gd name="GluePoint2X" fmla="*/ 109503 w 109503"/>
                                          <a:gd name="GluePoint2Y" fmla="*/ 0 h 15778"/>
                                        </a:gdLst>
                                        <a:ahLst/>
                                        <a:cxnLst>
                                          <a:cxn ang="0">
                                            <a:pos x="GluePoint1X" y="GluePoint1Y"/>
                                          </a:cxn>
                                          <a:cxn ang="0">
                                            <a:pos x="GluePoint2X" y="GluePoint2Y"/>
                                          </a:cxn>
                                        </a:cxnLst>
                                        <a:rect l="textAreaLeft" t="textAreaTop" r="textAreaRight" b="textAreaBottom"/>
                                        <a:pathLst>
                                          <a:path w="109503" h="15778">
                                            <a:moveTo>
                                              <a:pt x="0" y="0"/>
                                            </a:moveTo>
                                            <a:lnTo>
                                              <a:pt x="109503" y="0"/>
                                            </a:lnTo>
                                          </a:path>
                                        </a:pathLst>
                                      </a:custGeom>
                                      <a:solidFill>
                                        <a:schemeClr val="tx1"/>
                                      </a:solidFill>
                                      <a:ln w="15773">
                                        <a:solidFill>
                                          <a:srgbClr val="000000"/>
                                        </a:solidFill>
                                        <a:miter/>
                                      </a:ln>
                                    </wps:spPr>
                                    <wps:style>
                                      <a:lnRef idx="0">
                                        <a:scrgbClr r="0" g="0" b="0"/>
                                      </a:lnRef>
                                      <a:fillRef idx="0">
                                        <a:scrgbClr r="0" g="0" b="0"/>
                                      </a:fillRef>
                                      <a:effectRef idx="0">
                                        <a:scrgbClr r="0" g="0" b="0"/>
                                      </a:effectRef>
                                      <a:fontRef idx="minor"/>
                                    </wps:style>
                                    <wps:bodyPr/>
                                  </wps:wsp>
                                  <wps:wsp>
                                    <wps:cNvPr id="14" name="Freeform: Shape 163"/>
                                    <wps:cNvSpPr/>
                                    <wps:spPr>
                                      <a:xfrm>
                                        <a:off x="1440" y="1985400"/>
                                        <a:ext cx="68040" cy="9360"/>
                                      </a:xfrm>
                                      <a:custGeom>
                                        <a:avLst/>
                                        <a:gdLst>
                                          <a:gd name="textAreaLeft" fmla="*/ 0 w 38520"/>
                                          <a:gd name="textAreaRight" fmla="*/ 38880 w 38520"/>
                                          <a:gd name="textAreaTop" fmla="*/ 0 h 5400"/>
                                          <a:gd name="textAreaBottom" fmla="*/ 5760 h 5400"/>
                                          <a:gd name="GluePoint1X" fmla="*/ 0 w 109503"/>
                                          <a:gd name="GluePoint1Y" fmla="*/ 0 h 15778"/>
                                          <a:gd name="GluePoint2X" fmla="*/ 109503 w 109503"/>
                                          <a:gd name="GluePoint2Y" fmla="*/ 0 h 15778"/>
                                        </a:gdLst>
                                        <a:ahLst/>
                                        <a:cxnLst>
                                          <a:cxn ang="0">
                                            <a:pos x="GluePoint1X" y="GluePoint1Y"/>
                                          </a:cxn>
                                          <a:cxn ang="0">
                                            <a:pos x="GluePoint2X" y="GluePoint2Y"/>
                                          </a:cxn>
                                        </a:cxnLst>
                                        <a:rect l="textAreaLeft" t="textAreaTop" r="textAreaRight" b="textAreaBottom"/>
                                        <a:pathLst>
                                          <a:path w="109503" h="15778">
                                            <a:moveTo>
                                              <a:pt x="0" y="0"/>
                                            </a:moveTo>
                                            <a:lnTo>
                                              <a:pt x="109503" y="0"/>
                                            </a:lnTo>
                                          </a:path>
                                        </a:pathLst>
                                      </a:custGeom>
                                      <a:solidFill>
                                        <a:schemeClr val="tx1"/>
                                      </a:solidFill>
                                      <a:ln w="15773">
                                        <a:solidFill>
                                          <a:srgbClr val="000000"/>
                                        </a:solidFill>
                                        <a:miter/>
                                      </a:ln>
                                    </wps:spPr>
                                    <wps:style>
                                      <a:lnRef idx="0">
                                        <a:scrgbClr r="0" g="0" b="0"/>
                                      </a:lnRef>
                                      <a:fillRef idx="0">
                                        <a:scrgbClr r="0" g="0" b="0"/>
                                      </a:fillRef>
                                      <a:effectRef idx="0">
                                        <a:scrgbClr r="0" g="0" b="0"/>
                                      </a:effectRef>
                                      <a:fontRef idx="minor"/>
                                    </wps:style>
                                    <wps:bodyPr/>
                                  </wps:wsp>
                                  <wpg:grpSp>
                                    <wpg:cNvPr id="15" name="Group 15"/>
                                    <wpg:cNvGrpSpPr/>
                                    <wpg:grpSpPr>
                                      <a:xfrm>
                                        <a:off x="338400" y="1172880"/>
                                        <a:ext cx="68040" cy="672480"/>
                                        <a:chOff x="0" y="0"/>
                                        <a:chExt cx="0" cy="0"/>
                                      </a:xfrm>
                                    </wpg:grpSpPr>
                                    <wps:wsp>
                                      <wps:cNvPr id="16" name="Freeform: Shape 216"/>
                                      <wps:cNvSpPr/>
                                      <wps:spPr>
                                        <a:xfrm>
                                          <a:off x="34560" y="0"/>
                                          <a:ext cx="9000" cy="662400"/>
                                        </a:xfrm>
                                        <a:custGeom>
                                          <a:avLst/>
                                          <a:gdLst>
                                            <a:gd name="textAreaLeft" fmla="*/ 0 w 5040"/>
                                            <a:gd name="textAreaRight" fmla="*/ 5400 w 5040"/>
                                            <a:gd name="textAreaTop" fmla="*/ 0 h 375480"/>
                                            <a:gd name="textAreaBottom" fmla="*/ 375840 h 375480"/>
                                            <a:gd name="GluePoint1X" fmla="*/ 0 w 15778"/>
                                            <a:gd name="GluePoint1Y" fmla="*/ 0 h 1033654"/>
                                            <a:gd name="GluePoint2X" fmla="*/ 0 w 15778"/>
                                            <a:gd name="GluePoint2Y" fmla="*/ 1033655 h 1033654"/>
                                          </a:gdLst>
                                          <a:ahLst/>
                                          <a:cxnLst>
                                            <a:cxn ang="0">
                                              <a:pos x="GluePoint1X" y="GluePoint1Y"/>
                                            </a:cxn>
                                            <a:cxn ang="0">
                                              <a:pos x="GluePoint2X" y="GluePoint2Y"/>
                                            </a:cxn>
                                          </a:cxnLst>
                                          <a:rect l="textAreaLeft" t="textAreaTop" r="textAreaRight" b="textAreaBottom"/>
                                          <a:pathLst>
                                            <a:path w="15778" h="1033654">
                                              <a:moveTo>
                                                <a:pt x="0" y="0"/>
                                              </a:moveTo>
                                              <a:lnTo>
                                                <a:pt x="0" y="1033655"/>
                                              </a:lnTo>
                                            </a:path>
                                          </a:pathLst>
                                        </a:custGeom>
                                        <a:solidFill>
                                          <a:schemeClr val="tx1"/>
                                        </a:solidFill>
                                        <a:ln w="15773">
                                          <a:solidFill>
                                            <a:srgbClr val="000000"/>
                                          </a:solidFill>
                                          <a:miter/>
                                        </a:ln>
                                      </wps:spPr>
                                      <wps:style>
                                        <a:lnRef idx="0">
                                          <a:scrgbClr r="0" g="0" b="0"/>
                                        </a:lnRef>
                                        <a:fillRef idx="0">
                                          <a:scrgbClr r="0" g="0" b="0"/>
                                        </a:fillRef>
                                        <a:effectRef idx="0">
                                          <a:scrgbClr r="0" g="0" b="0"/>
                                        </a:effectRef>
                                        <a:fontRef idx="minor"/>
                                      </wps:style>
                                      <wps:bodyPr/>
                                    </wps:wsp>
                                    <wps:wsp>
                                      <wps:cNvPr id="17" name="Freeform: Shape 217"/>
                                      <wps:cNvSpPr/>
                                      <wps:spPr>
                                        <a:xfrm>
                                          <a:off x="0" y="0"/>
                                          <a:ext cx="68040" cy="9360"/>
                                        </a:xfrm>
                                        <a:custGeom>
                                          <a:avLst/>
                                          <a:gdLst>
                                            <a:gd name="textAreaLeft" fmla="*/ 0 w 38520"/>
                                            <a:gd name="textAreaRight" fmla="*/ 38880 w 38520"/>
                                            <a:gd name="textAreaTop" fmla="*/ 0 h 5400"/>
                                            <a:gd name="textAreaBottom" fmla="*/ 5760 h 5400"/>
                                            <a:gd name="GluePoint1X" fmla="*/ 0 w 109503"/>
                                            <a:gd name="GluePoint1Y" fmla="*/ 0 h 15778"/>
                                            <a:gd name="GluePoint2X" fmla="*/ 109503 w 109503"/>
                                            <a:gd name="GluePoint2Y" fmla="*/ 0 h 15778"/>
                                          </a:gdLst>
                                          <a:ahLst/>
                                          <a:cxnLst>
                                            <a:cxn ang="0">
                                              <a:pos x="GluePoint1X" y="GluePoint1Y"/>
                                            </a:cxn>
                                            <a:cxn ang="0">
                                              <a:pos x="GluePoint2X" y="GluePoint2Y"/>
                                            </a:cxn>
                                          </a:cxnLst>
                                          <a:rect l="textAreaLeft" t="textAreaTop" r="textAreaRight" b="textAreaBottom"/>
                                          <a:pathLst>
                                            <a:path w="109503" h="15778">
                                              <a:moveTo>
                                                <a:pt x="0" y="0"/>
                                              </a:moveTo>
                                              <a:lnTo>
                                                <a:pt x="109503" y="0"/>
                                              </a:lnTo>
                                            </a:path>
                                          </a:pathLst>
                                        </a:custGeom>
                                        <a:solidFill>
                                          <a:schemeClr val="tx1"/>
                                        </a:solidFill>
                                        <a:ln w="15773">
                                          <a:solidFill>
                                            <a:srgbClr val="000000"/>
                                          </a:solidFill>
                                          <a:miter/>
                                        </a:ln>
                                      </wps:spPr>
                                      <wps:style>
                                        <a:lnRef idx="0">
                                          <a:scrgbClr r="0" g="0" b="0"/>
                                        </a:lnRef>
                                        <a:fillRef idx="0">
                                          <a:scrgbClr r="0" g="0" b="0"/>
                                        </a:fillRef>
                                        <a:effectRef idx="0">
                                          <a:scrgbClr r="0" g="0" b="0"/>
                                        </a:effectRef>
                                        <a:fontRef idx="minor"/>
                                      </wps:style>
                                      <wps:bodyPr/>
                                    </wps:wsp>
                                    <wps:wsp>
                                      <wps:cNvPr id="18" name="Freeform: Shape 218"/>
                                      <wps:cNvSpPr/>
                                      <wps:spPr>
                                        <a:xfrm>
                                          <a:off x="0" y="662760"/>
                                          <a:ext cx="68040" cy="9360"/>
                                        </a:xfrm>
                                        <a:custGeom>
                                          <a:avLst/>
                                          <a:gdLst>
                                            <a:gd name="textAreaLeft" fmla="*/ 0 w 38520"/>
                                            <a:gd name="textAreaRight" fmla="*/ 38880 w 38520"/>
                                            <a:gd name="textAreaTop" fmla="*/ 0 h 5400"/>
                                            <a:gd name="textAreaBottom" fmla="*/ 5760 h 5400"/>
                                            <a:gd name="GluePoint1X" fmla="*/ 0 w 109503"/>
                                            <a:gd name="GluePoint1Y" fmla="*/ 0 h 15778"/>
                                            <a:gd name="GluePoint2X" fmla="*/ 109503 w 109503"/>
                                            <a:gd name="GluePoint2Y" fmla="*/ 0 h 15778"/>
                                          </a:gdLst>
                                          <a:ahLst/>
                                          <a:cxnLst>
                                            <a:cxn ang="0">
                                              <a:pos x="GluePoint1X" y="GluePoint1Y"/>
                                            </a:cxn>
                                            <a:cxn ang="0">
                                              <a:pos x="GluePoint2X" y="GluePoint2Y"/>
                                            </a:cxn>
                                          </a:cxnLst>
                                          <a:rect l="textAreaLeft" t="textAreaTop" r="textAreaRight" b="textAreaBottom"/>
                                          <a:pathLst>
                                            <a:path w="109503" h="15778">
                                              <a:moveTo>
                                                <a:pt x="0" y="0"/>
                                              </a:moveTo>
                                              <a:lnTo>
                                                <a:pt x="109503" y="0"/>
                                              </a:lnTo>
                                            </a:path>
                                          </a:pathLst>
                                        </a:custGeom>
                                        <a:solidFill>
                                          <a:schemeClr val="tx1"/>
                                        </a:solidFill>
                                        <a:ln w="15773">
                                          <a:solidFill>
                                            <a:srgbClr val="000000"/>
                                          </a:solidFill>
                                          <a:miter/>
                                        </a:ln>
                                      </wps:spPr>
                                      <wps:style>
                                        <a:lnRef idx="0">
                                          <a:scrgbClr r="0" g="0" b="0"/>
                                        </a:lnRef>
                                        <a:fillRef idx="0">
                                          <a:scrgbClr r="0" g="0" b="0"/>
                                        </a:fillRef>
                                        <a:effectRef idx="0">
                                          <a:scrgbClr r="0" g="0" b="0"/>
                                        </a:effectRef>
                                        <a:fontRef idx="minor"/>
                                      </wps:style>
                                      <wps:bodyPr/>
                                    </wps:wsp>
                                  </wpg:grpSp>
                                  <wps:wsp>
                                    <wps:cNvPr id="19" name="Freeform: Shape 165"/>
                                    <wps:cNvSpPr/>
                                    <wps:spPr>
                                      <a:xfrm>
                                        <a:off x="709560" y="949680"/>
                                        <a:ext cx="9000" cy="857880"/>
                                      </a:xfrm>
                                      <a:custGeom>
                                        <a:avLst/>
                                        <a:gdLst>
                                          <a:gd name="textAreaLeft" fmla="*/ 0 w 5040"/>
                                          <a:gd name="textAreaRight" fmla="*/ 5400 w 5040"/>
                                          <a:gd name="textAreaTop" fmla="*/ 0 h 486360"/>
                                          <a:gd name="textAreaBottom" fmla="*/ 486720 h 486360"/>
                                          <a:gd name="GluePoint1X" fmla="*/ 0 w 15778"/>
                                          <a:gd name="GluePoint1Y" fmla="*/ 0 h 1338496"/>
                                          <a:gd name="GluePoint2X" fmla="*/ 0 w 15778"/>
                                          <a:gd name="GluePoint2Y" fmla="*/ 1338497 h 1338496"/>
                                        </a:gdLst>
                                        <a:ahLst/>
                                        <a:cxnLst>
                                          <a:cxn ang="0">
                                            <a:pos x="GluePoint1X" y="GluePoint1Y"/>
                                          </a:cxn>
                                          <a:cxn ang="0">
                                            <a:pos x="GluePoint2X" y="GluePoint2Y"/>
                                          </a:cxn>
                                        </a:cxnLst>
                                        <a:rect l="textAreaLeft" t="textAreaTop" r="textAreaRight" b="textAreaBottom"/>
                                        <a:pathLst>
                                          <a:path w="15778" h="1338496">
                                            <a:moveTo>
                                              <a:pt x="0" y="0"/>
                                            </a:moveTo>
                                            <a:lnTo>
                                              <a:pt x="0" y="1338497"/>
                                            </a:lnTo>
                                          </a:path>
                                        </a:pathLst>
                                      </a:custGeom>
                                      <a:solidFill>
                                        <a:schemeClr val="tx1"/>
                                      </a:solidFill>
                                      <a:ln w="15773">
                                        <a:solidFill>
                                          <a:srgbClr val="000000"/>
                                        </a:solidFill>
                                        <a:miter/>
                                      </a:ln>
                                    </wps:spPr>
                                    <wps:style>
                                      <a:lnRef idx="0">
                                        <a:scrgbClr r="0" g="0" b="0"/>
                                      </a:lnRef>
                                      <a:fillRef idx="0">
                                        <a:scrgbClr r="0" g="0" b="0"/>
                                      </a:fillRef>
                                      <a:effectRef idx="0">
                                        <a:scrgbClr r="0" g="0" b="0"/>
                                      </a:effectRef>
                                      <a:fontRef idx="minor"/>
                                    </wps:style>
                                    <wps:bodyPr/>
                                  </wps:wsp>
                                  <wps:wsp>
                                    <wps:cNvPr id="20" name="Freeform: Shape 166"/>
                                    <wps:cNvSpPr/>
                                    <wps:spPr>
                                      <a:xfrm>
                                        <a:off x="675000" y="949680"/>
                                        <a:ext cx="68040" cy="9360"/>
                                      </a:xfrm>
                                      <a:custGeom>
                                        <a:avLst/>
                                        <a:gdLst>
                                          <a:gd name="textAreaLeft" fmla="*/ 0 w 38520"/>
                                          <a:gd name="textAreaRight" fmla="*/ 38880 w 38520"/>
                                          <a:gd name="textAreaTop" fmla="*/ 0 h 5400"/>
                                          <a:gd name="textAreaBottom" fmla="*/ 5760 h 5400"/>
                                          <a:gd name="GluePoint1X" fmla="*/ 0 w 109503"/>
                                          <a:gd name="GluePoint1Y" fmla="*/ 0 h 15778"/>
                                          <a:gd name="GluePoint2X" fmla="*/ 109503 w 109503"/>
                                          <a:gd name="GluePoint2Y" fmla="*/ 0 h 15778"/>
                                        </a:gdLst>
                                        <a:ahLst/>
                                        <a:cxnLst>
                                          <a:cxn ang="0">
                                            <a:pos x="GluePoint1X" y="GluePoint1Y"/>
                                          </a:cxn>
                                          <a:cxn ang="0">
                                            <a:pos x="GluePoint2X" y="GluePoint2Y"/>
                                          </a:cxn>
                                        </a:cxnLst>
                                        <a:rect l="textAreaLeft" t="textAreaTop" r="textAreaRight" b="textAreaBottom"/>
                                        <a:pathLst>
                                          <a:path w="109503" h="15778">
                                            <a:moveTo>
                                              <a:pt x="0" y="0"/>
                                            </a:moveTo>
                                            <a:lnTo>
                                              <a:pt x="109503" y="0"/>
                                            </a:lnTo>
                                          </a:path>
                                        </a:pathLst>
                                      </a:custGeom>
                                      <a:solidFill>
                                        <a:schemeClr val="tx1"/>
                                      </a:solidFill>
                                      <a:ln w="15773">
                                        <a:solidFill>
                                          <a:srgbClr val="000000"/>
                                        </a:solidFill>
                                        <a:miter/>
                                      </a:ln>
                                    </wps:spPr>
                                    <wps:style>
                                      <a:lnRef idx="0">
                                        <a:scrgbClr r="0" g="0" b="0"/>
                                      </a:lnRef>
                                      <a:fillRef idx="0">
                                        <a:scrgbClr r="0" g="0" b="0"/>
                                      </a:fillRef>
                                      <a:effectRef idx="0">
                                        <a:scrgbClr r="0" g="0" b="0"/>
                                      </a:effectRef>
                                      <a:fontRef idx="minor"/>
                                    </wps:style>
                                    <wps:bodyPr/>
                                  </wps:wsp>
                                  <wps:wsp>
                                    <wps:cNvPr id="21" name="Freeform: Shape 167"/>
                                    <wps:cNvSpPr/>
                                    <wps:spPr>
                                      <a:xfrm>
                                        <a:off x="675000" y="1808280"/>
                                        <a:ext cx="68040" cy="9360"/>
                                      </a:xfrm>
                                      <a:custGeom>
                                        <a:avLst/>
                                        <a:gdLst>
                                          <a:gd name="textAreaLeft" fmla="*/ 0 w 38520"/>
                                          <a:gd name="textAreaRight" fmla="*/ 38880 w 38520"/>
                                          <a:gd name="textAreaTop" fmla="*/ 0 h 5400"/>
                                          <a:gd name="textAreaBottom" fmla="*/ 5760 h 5400"/>
                                          <a:gd name="GluePoint1X" fmla="*/ 0 w 109503"/>
                                          <a:gd name="GluePoint1Y" fmla="*/ 0 h 15778"/>
                                          <a:gd name="GluePoint2X" fmla="*/ 109503 w 109503"/>
                                          <a:gd name="GluePoint2Y" fmla="*/ 0 h 15778"/>
                                        </a:gdLst>
                                        <a:ahLst/>
                                        <a:cxnLst>
                                          <a:cxn ang="0">
                                            <a:pos x="GluePoint1X" y="GluePoint1Y"/>
                                          </a:cxn>
                                          <a:cxn ang="0">
                                            <a:pos x="GluePoint2X" y="GluePoint2Y"/>
                                          </a:cxn>
                                        </a:cxnLst>
                                        <a:rect l="textAreaLeft" t="textAreaTop" r="textAreaRight" b="textAreaBottom"/>
                                        <a:pathLst>
                                          <a:path w="109503" h="15778">
                                            <a:moveTo>
                                              <a:pt x="0" y="0"/>
                                            </a:moveTo>
                                            <a:lnTo>
                                              <a:pt x="109503" y="0"/>
                                            </a:lnTo>
                                          </a:path>
                                        </a:pathLst>
                                      </a:custGeom>
                                      <a:solidFill>
                                        <a:schemeClr val="tx1"/>
                                      </a:solidFill>
                                      <a:ln w="15773">
                                        <a:solidFill>
                                          <a:srgbClr val="000000"/>
                                        </a:solidFill>
                                        <a:miter/>
                                      </a:ln>
                                    </wps:spPr>
                                    <wps:style>
                                      <a:lnRef idx="0">
                                        <a:scrgbClr r="0" g="0" b="0"/>
                                      </a:lnRef>
                                      <a:fillRef idx="0">
                                        <a:scrgbClr r="0" g="0" b="0"/>
                                      </a:fillRef>
                                      <a:effectRef idx="0">
                                        <a:scrgbClr r="0" g="0" b="0"/>
                                      </a:effectRef>
                                      <a:fontRef idx="minor"/>
                                    </wps:style>
                                    <wps:bodyPr/>
                                  </wps:wsp>
                                  <wps:wsp>
                                    <wps:cNvPr id="22" name="Freeform: Shape 168"/>
                                    <wps:cNvSpPr/>
                                    <wps:spPr>
                                      <a:xfrm>
                                        <a:off x="1040760" y="850680"/>
                                        <a:ext cx="9000" cy="917640"/>
                                      </a:xfrm>
                                      <a:custGeom>
                                        <a:avLst/>
                                        <a:gdLst>
                                          <a:gd name="textAreaLeft" fmla="*/ 0 w 5040"/>
                                          <a:gd name="textAreaRight" fmla="*/ 5400 w 5040"/>
                                          <a:gd name="textAreaTop" fmla="*/ 0 h 520200"/>
                                          <a:gd name="textAreaBottom" fmla="*/ 520560 h 520200"/>
                                          <a:gd name="GluePoint1X" fmla="*/ 0 w 15778"/>
                                          <a:gd name="GluePoint1Y" fmla="*/ 0 h 1431432"/>
                                          <a:gd name="GluePoint2X" fmla="*/ 0 w 15778"/>
                                          <a:gd name="GluePoint2Y" fmla="*/ 1431433 h 1431432"/>
                                        </a:gdLst>
                                        <a:ahLst/>
                                        <a:cxnLst>
                                          <a:cxn ang="0">
                                            <a:pos x="GluePoint1X" y="GluePoint1Y"/>
                                          </a:cxn>
                                          <a:cxn ang="0">
                                            <a:pos x="GluePoint2X" y="GluePoint2Y"/>
                                          </a:cxn>
                                        </a:cxnLst>
                                        <a:rect l="textAreaLeft" t="textAreaTop" r="textAreaRight" b="textAreaBottom"/>
                                        <a:pathLst>
                                          <a:path w="15778" h="1431432">
                                            <a:moveTo>
                                              <a:pt x="0" y="0"/>
                                            </a:moveTo>
                                            <a:lnTo>
                                              <a:pt x="0" y="1431433"/>
                                            </a:lnTo>
                                          </a:path>
                                        </a:pathLst>
                                      </a:custGeom>
                                      <a:solidFill>
                                        <a:schemeClr val="tx1"/>
                                      </a:solidFill>
                                      <a:ln w="15773">
                                        <a:solidFill>
                                          <a:srgbClr val="000000"/>
                                        </a:solidFill>
                                        <a:miter/>
                                      </a:ln>
                                    </wps:spPr>
                                    <wps:style>
                                      <a:lnRef idx="0">
                                        <a:scrgbClr r="0" g="0" b="0"/>
                                      </a:lnRef>
                                      <a:fillRef idx="0">
                                        <a:scrgbClr r="0" g="0" b="0"/>
                                      </a:fillRef>
                                      <a:effectRef idx="0">
                                        <a:scrgbClr r="0" g="0" b="0"/>
                                      </a:effectRef>
                                      <a:fontRef idx="minor"/>
                                    </wps:style>
                                    <wps:bodyPr/>
                                  </wps:wsp>
                                  <wps:wsp>
                                    <wps:cNvPr id="23" name="Freeform: Shape 169"/>
                                    <wps:cNvSpPr/>
                                    <wps:spPr>
                                      <a:xfrm>
                                        <a:off x="1007280" y="850680"/>
                                        <a:ext cx="68040" cy="9360"/>
                                      </a:xfrm>
                                      <a:custGeom>
                                        <a:avLst/>
                                        <a:gdLst>
                                          <a:gd name="textAreaLeft" fmla="*/ 0 w 38520"/>
                                          <a:gd name="textAreaRight" fmla="*/ 38880 w 38520"/>
                                          <a:gd name="textAreaTop" fmla="*/ 0 h 5400"/>
                                          <a:gd name="textAreaBottom" fmla="*/ 5760 h 5400"/>
                                          <a:gd name="GluePoint1X" fmla="*/ 0 w 109503"/>
                                          <a:gd name="GluePoint1Y" fmla="*/ 0 h 15778"/>
                                          <a:gd name="GluePoint2X" fmla="*/ 109503 w 109503"/>
                                          <a:gd name="GluePoint2Y" fmla="*/ 0 h 15778"/>
                                        </a:gdLst>
                                        <a:ahLst/>
                                        <a:cxnLst>
                                          <a:cxn ang="0">
                                            <a:pos x="GluePoint1X" y="GluePoint1Y"/>
                                          </a:cxn>
                                          <a:cxn ang="0">
                                            <a:pos x="GluePoint2X" y="GluePoint2Y"/>
                                          </a:cxn>
                                        </a:cxnLst>
                                        <a:rect l="textAreaLeft" t="textAreaTop" r="textAreaRight" b="textAreaBottom"/>
                                        <a:pathLst>
                                          <a:path w="109503" h="15778">
                                            <a:moveTo>
                                              <a:pt x="0" y="0"/>
                                            </a:moveTo>
                                            <a:lnTo>
                                              <a:pt x="109503" y="0"/>
                                            </a:lnTo>
                                          </a:path>
                                        </a:pathLst>
                                      </a:custGeom>
                                      <a:solidFill>
                                        <a:schemeClr val="tx1"/>
                                      </a:solidFill>
                                      <a:ln w="15773">
                                        <a:solidFill>
                                          <a:srgbClr val="000000"/>
                                        </a:solidFill>
                                        <a:miter/>
                                      </a:ln>
                                    </wps:spPr>
                                    <wps:style>
                                      <a:lnRef idx="0">
                                        <a:scrgbClr r="0" g="0" b="0"/>
                                      </a:lnRef>
                                      <a:fillRef idx="0">
                                        <a:scrgbClr r="0" g="0" b="0"/>
                                      </a:fillRef>
                                      <a:effectRef idx="0">
                                        <a:scrgbClr r="0" g="0" b="0"/>
                                      </a:effectRef>
                                      <a:fontRef idx="minor"/>
                                    </wps:style>
                                    <wps:bodyPr/>
                                  </wps:wsp>
                                  <wps:wsp>
                                    <wps:cNvPr id="24" name="Freeform: Shape 170"/>
                                    <wps:cNvSpPr/>
                                    <wps:spPr>
                                      <a:xfrm>
                                        <a:off x="1007280" y="1768320"/>
                                        <a:ext cx="68040" cy="9360"/>
                                      </a:xfrm>
                                      <a:custGeom>
                                        <a:avLst/>
                                        <a:gdLst>
                                          <a:gd name="textAreaLeft" fmla="*/ 0 w 38520"/>
                                          <a:gd name="textAreaRight" fmla="*/ 38880 w 38520"/>
                                          <a:gd name="textAreaTop" fmla="*/ 0 h 5400"/>
                                          <a:gd name="textAreaBottom" fmla="*/ 5760 h 5400"/>
                                          <a:gd name="GluePoint1X" fmla="*/ 0 w 109503"/>
                                          <a:gd name="GluePoint1Y" fmla="*/ 0 h 15778"/>
                                          <a:gd name="GluePoint2X" fmla="*/ 109503 w 109503"/>
                                          <a:gd name="GluePoint2Y" fmla="*/ 0 h 15778"/>
                                        </a:gdLst>
                                        <a:ahLst/>
                                        <a:cxnLst>
                                          <a:cxn ang="0">
                                            <a:pos x="GluePoint1X" y="GluePoint1Y"/>
                                          </a:cxn>
                                          <a:cxn ang="0">
                                            <a:pos x="GluePoint2X" y="GluePoint2Y"/>
                                          </a:cxn>
                                        </a:cxnLst>
                                        <a:rect l="textAreaLeft" t="textAreaTop" r="textAreaRight" b="textAreaBottom"/>
                                        <a:pathLst>
                                          <a:path w="109503" h="15778">
                                            <a:moveTo>
                                              <a:pt x="0" y="0"/>
                                            </a:moveTo>
                                            <a:lnTo>
                                              <a:pt x="109503" y="0"/>
                                            </a:lnTo>
                                          </a:path>
                                        </a:pathLst>
                                      </a:custGeom>
                                      <a:solidFill>
                                        <a:schemeClr val="tx1"/>
                                      </a:solidFill>
                                      <a:ln w="15773">
                                        <a:solidFill>
                                          <a:srgbClr val="000000"/>
                                        </a:solidFill>
                                        <a:miter/>
                                      </a:ln>
                                    </wps:spPr>
                                    <wps:style>
                                      <a:lnRef idx="0">
                                        <a:scrgbClr r="0" g="0" b="0"/>
                                      </a:lnRef>
                                      <a:fillRef idx="0">
                                        <a:scrgbClr r="0" g="0" b="0"/>
                                      </a:fillRef>
                                      <a:effectRef idx="0">
                                        <a:scrgbClr r="0" g="0" b="0"/>
                                      </a:effectRef>
                                      <a:fontRef idx="minor"/>
                                    </wps:style>
                                    <wps:bodyPr/>
                                  </wps:wsp>
                                  <wps:wsp>
                                    <wps:cNvPr id="25" name="Freeform: Shape 171"/>
                                    <wps:cNvSpPr/>
                                    <wps:spPr>
                                      <a:xfrm>
                                        <a:off x="1376280" y="731880"/>
                                        <a:ext cx="9000" cy="965880"/>
                                      </a:xfrm>
                                      <a:custGeom>
                                        <a:avLst/>
                                        <a:gdLst>
                                          <a:gd name="textAreaLeft" fmla="*/ 0 w 5040"/>
                                          <a:gd name="textAreaRight" fmla="*/ 5400 w 5040"/>
                                          <a:gd name="textAreaTop" fmla="*/ 0 h 547560"/>
                                          <a:gd name="textAreaBottom" fmla="*/ 547920 h 547560"/>
                                          <a:gd name="GluePoint1X" fmla="*/ 0 w 15778"/>
                                          <a:gd name="GluePoint1Y" fmla="*/ 0 h 1506380"/>
                                          <a:gd name="GluePoint2X" fmla="*/ 0 w 15778"/>
                                          <a:gd name="GluePoint2Y" fmla="*/ 1506381 h 1506380"/>
                                        </a:gdLst>
                                        <a:ahLst/>
                                        <a:cxnLst>
                                          <a:cxn ang="0">
                                            <a:pos x="GluePoint1X" y="GluePoint1Y"/>
                                          </a:cxn>
                                          <a:cxn ang="0">
                                            <a:pos x="GluePoint2X" y="GluePoint2Y"/>
                                          </a:cxn>
                                        </a:cxnLst>
                                        <a:rect l="textAreaLeft" t="textAreaTop" r="textAreaRight" b="textAreaBottom"/>
                                        <a:pathLst>
                                          <a:path w="15778" h="1506380">
                                            <a:moveTo>
                                              <a:pt x="0" y="0"/>
                                            </a:moveTo>
                                            <a:lnTo>
                                              <a:pt x="0" y="1506381"/>
                                            </a:lnTo>
                                          </a:path>
                                        </a:pathLst>
                                      </a:custGeom>
                                      <a:solidFill>
                                        <a:schemeClr val="tx1"/>
                                      </a:solidFill>
                                      <a:ln w="15773">
                                        <a:solidFill>
                                          <a:srgbClr val="000000"/>
                                        </a:solidFill>
                                        <a:miter/>
                                      </a:ln>
                                    </wps:spPr>
                                    <wps:style>
                                      <a:lnRef idx="0">
                                        <a:scrgbClr r="0" g="0" b="0"/>
                                      </a:lnRef>
                                      <a:fillRef idx="0">
                                        <a:scrgbClr r="0" g="0" b="0"/>
                                      </a:fillRef>
                                      <a:effectRef idx="0">
                                        <a:scrgbClr r="0" g="0" b="0"/>
                                      </a:effectRef>
                                      <a:fontRef idx="minor"/>
                                    </wps:style>
                                    <wps:bodyPr/>
                                  </wps:wsp>
                                  <wps:wsp>
                                    <wps:cNvPr id="26" name="Freeform: Shape 172"/>
                                    <wps:cNvSpPr/>
                                    <wps:spPr>
                                      <a:xfrm>
                                        <a:off x="1341720" y="731880"/>
                                        <a:ext cx="68040" cy="9360"/>
                                      </a:xfrm>
                                      <a:custGeom>
                                        <a:avLst/>
                                        <a:gdLst>
                                          <a:gd name="textAreaLeft" fmla="*/ 0 w 38520"/>
                                          <a:gd name="textAreaRight" fmla="*/ 38880 w 38520"/>
                                          <a:gd name="textAreaTop" fmla="*/ 0 h 5400"/>
                                          <a:gd name="textAreaBottom" fmla="*/ 5760 h 5400"/>
                                          <a:gd name="GluePoint1X" fmla="*/ 0 w 109503"/>
                                          <a:gd name="GluePoint1Y" fmla="*/ 0 h 15778"/>
                                          <a:gd name="GluePoint2X" fmla="*/ 109503 w 109503"/>
                                          <a:gd name="GluePoint2Y" fmla="*/ 0 h 15778"/>
                                        </a:gdLst>
                                        <a:ahLst/>
                                        <a:cxnLst>
                                          <a:cxn ang="0">
                                            <a:pos x="GluePoint1X" y="GluePoint1Y"/>
                                          </a:cxn>
                                          <a:cxn ang="0">
                                            <a:pos x="GluePoint2X" y="GluePoint2Y"/>
                                          </a:cxn>
                                        </a:cxnLst>
                                        <a:rect l="textAreaLeft" t="textAreaTop" r="textAreaRight" b="textAreaBottom"/>
                                        <a:pathLst>
                                          <a:path w="109503" h="15778">
                                            <a:moveTo>
                                              <a:pt x="0" y="0"/>
                                            </a:moveTo>
                                            <a:lnTo>
                                              <a:pt x="109503" y="0"/>
                                            </a:lnTo>
                                          </a:path>
                                        </a:pathLst>
                                      </a:custGeom>
                                      <a:solidFill>
                                        <a:schemeClr val="tx1"/>
                                      </a:solidFill>
                                      <a:ln w="15773">
                                        <a:solidFill>
                                          <a:srgbClr val="000000"/>
                                        </a:solidFill>
                                        <a:miter/>
                                      </a:ln>
                                    </wps:spPr>
                                    <wps:style>
                                      <a:lnRef idx="0">
                                        <a:scrgbClr r="0" g="0" b="0"/>
                                      </a:lnRef>
                                      <a:fillRef idx="0">
                                        <a:scrgbClr r="0" g="0" b="0"/>
                                      </a:fillRef>
                                      <a:effectRef idx="0">
                                        <a:scrgbClr r="0" g="0" b="0"/>
                                      </a:effectRef>
                                      <a:fontRef idx="minor"/>
                                    </wps:style>
                                    <wps:bodyPr/>
                                  </wps:wsp>
                                  <wps:wsp>
                                    <wps:cNvPr id="27" name="Freeform: Shape 173"/>
                                    <wps:cNvSpPr/>
                                    <wps:spPr>
                                      <a:xfrm>
                                        <a:off x="1341720" y="1698480"/>
                                        <a:ext cx="68040" cy="9360"/>
                                      </a:xfrm>
                                      <a:custGeom>
                                        <a:avLst/>
                                        <a:gdLst>
                                          <a:gd name="textAreaLeft" fmla="*/ 0 w 38520"/>
                                          <a:gd name="textAreaRight" fmla="*/ 38880 w 38520"/>
                                          <a:gd name="textAreaTop" fmla="*/ 0 h 5400"/>
                                          <a:gd name="textAreaBottom" fmla="*/ 5760 h 5400"/>
                                          <a:gd name="GluePoint1X" fmla="*/ 0 w 109503"/>
                                          <a:gd name="GluePoint1Y" fmla="*/ 0 h 15778"/>
                                          <a:gd name="GluePoint2X" fmla="*/ 109503 w 109503"/>
                                          <a:gd name="GluePoint2Y" fmla="*/ 0 h 15778"/>
                                        </a:gdLst>
                                        <a:ahLst/>
                                        <a:cxnLst>
                                          <a:cxn ang="0">
                                            <a:pos x="GluePoint1X" y="GluePoint1Y"/>
                                          </a:cxn>
                                          <a:cxn ang="0">
                                            <a:pos x="GluePoint2X" y="GluePoint2Y"/>
                                          </a:cxn>
                                        </a:cxnLst>
                                        <a:rect l="textAreaLeft" t="textAreaTop" r="textAreaRight" b="textAreaBottom"/>
                                        <a:pathLst>
                                          <a:path w="109503" h="15778">
                                            <a:moveTo>
                                              <a:pt x="0" y="0"/>
                                            </a:moveTo>
                                            <a:lnTo>
                                              <a:pt x="109503" y="0"/>
                                            </a:lnTo>
                                          </a:path>
                                        </a:pathLst>
                                      </a:custGeom>
                                      <a:solidFill>
                                        <a:schemeClr val="tx1"/>
                                      </a:solidFill>
                                      <a:ln w="15773">
                                        <a:solidFill>
                                          <a:srgbClr val="000000"/>
                                        </a:solidFill>
                                        <a:miter/>
                                      </a:ln>
                                    </wps:spPr>
                                    <wps:style>
                                      <a:lnRef idx="0">
                                        <a:scrgbClr r="0" g="0" b="0"/>
                                      </a:lnRef>
                                      <a:fillRef idx="0">
                                        <a:scrgbClr r="0" g="0" b="0"/>
                                      </a:fillRef>
                                      <a:effectRef idx="0">
                                        <a:scrgbClr r="0" g="0" b="0"/>
                                      </a:effectRef>
                                      <a:fontRef idx="minor"/>
                                    </wps:style>
                                    <wps:bodyPr/>
                                  </wps:wsp>
                                  <wps:wsp>
                                    <wps:cNvPr id="28" name="Freeform: Shape 174"/>
                                    <wps:cNvSpPr/>
                                    <wps:spPr>
                                      <a:xfrm>
                                        <a:off x="1710720" y="667800"/>
                                        <a:ext cx="9000" cy="1050840"/>
                                      </a:xfrm>
                                      <a:custGeom>
                                        <a:avLst/>
                                        <a:gdLst>
                                          <a:gd name="textAreaLeft" fmla="*/ 0 w 5040"/>
                                          <a:gd name="textAreaRight" fmla="*/ 5400 w 5040"/>
                                          <a:gd name="textAreaTop" fmla="*/ 0 h 595800"/>
                                          <a:gd name="textAreaBottom" fmla="*/ 596160 h 595800"/>
                                          <a:gd name="GluePoint1X" fmla="*/ 0 w 15778"/>
                                          <a:gd name="GluePoint1Y" fmla="*/ 0 h 1639709"/>
                                          <a:gd name="GluePoint2X" fmla="*/ 0 w 15778"/>
                                          <a:gd name="GluePoint2Y" fmla="*/ 1639710 h 1639709"/>
                                        </a:gdLst>
                                        <a:ahLst/>
                                        <a:cxnLst>
                                          <a:cxn ang="0">
                                            <a:pos x="GluePoint1X" y="GluePoint1Y"/>
                                          </a:cxn>
                                          <a:cxn ang="0">
                                            <a:pos x="GluePoint2X" y="GluePoint2Y"/>
                                          </a:cxn>
                                        </a:cxnLst>
                                        <a:rect l="textAreaLeft" t="textAreaTop" r="textAreaRight" b="textAreaBottom"/>
                                        <a:pathLst>
                                          <a:path w="15778" h="1639709">
                                            <a:moveTo>
                                              <a:pt x="0" y="0"/>
                                            </a:moveTo>
                                            <a:lnTo>
                                              <a:pt x="0" y="1639710"/>
                                            </a:lnTo>
                                          </a:path>
                                        </a:pathLst>
                                      </a:custGeom>
                                      <a:solidFill>
                                        <a:schemeClr val="tx1"/>
                                      </a:solidFill>
                                      <a:ln w="15773">
                                        <a:solidFill>
                                          <a:srgbClr val="000000"/>
                                        </a:solidFill>
                                        <a:miter/>
                                      </a:ln>
                                    </wps:spPr>
                                    <wps:style>
                                      <a:lnRef idx="0">
                                        <a:scrgbClr r="0" g="0" b="0"/>
                                      </a:lnRef>
                                      <a:fillRef idx="0">
                                        <a:scrgbClr r="0" g="0" b="0"/>
                                      </a:fillRef>
                                      <a:effectRef idx="0">
                                        <a:scrgbClr r="0" g="0" b="0"/>
                                      </a:effectRef>
                                      <a:fontRef idx="minor"/>
                                    </wps:style>
                                    <wps:bodyPr/>
                                  </wps:wsp>
                                  <wps:wsp>
                                    <wps:cNvPr id="29" name="Freeform: Shape 175"/>
                                    <wps:cNvSpPr/>
                                    <wps:spPr>
                                      <a:xfrm>
                                        <a:off x="1677240" y="667800"/>
                                        <a:ext cx="68040" cy="9360"/>
                                      </a:xfrm>
                                      <a:custGeom>
                                        <a:avLst/>
                                        <a:gdLst>
                                          <a:gd name="textAreaLeft" fmla="*/ 0 w 38520"/>
                                          <a:gd name="textAreaRight" fmla="*/ 38880 w 38520"/>
                                          <a:gd name="textAreaTop" fmla="*/ 0 h 5400"/>
                                          <a:gd name="textAreaBottom" fmla="*/ 5760 h 5400"/>
                                          <a:gd name="GluePoint1X" fmla="*/ 0 w 109503"/>
                                          <a:gd name="GluePoint1Y" fmla="*/ 0 h 15778"/>
                                          <a:gd name="GluePoint2X" fmla="*/ 109503 w 109503"/>
                                          <a:gd name="GluePoint2Y" fmla="*/ 0 h 15778"/>
                                        </a:gdLst>
                                        <a:ahLst/>
                                        <a:cxnLst>
                                          <a:cxn ang="0">
                                            <a:pos x="GluePoint1X" y="GluePoint1Y"/>
                                          </a:cxn>
                                          <a:cxn ang="0">
                                            <a:pos x="GluePoint2X" y="GluePoint2Y"/>
                                          </a:cxn>
                                        </a:cxnLst>
                                        <a:rect l="textAreaLeft" t="textAreaTop" r="textAreaRight" b="textAreaBottom"/>
                                        <a:pathLst>
                                          <a:path w="109503" h="15778">
                                            <a:moveTo>
                                              <a:pt x="0" y="0"/>
                                            </a:moveTo>
                                            <a:lnTo>
                                              <a:pt x="109503" y="0"/>
                                            </a:lnTo>
                                          </a:path>
                                        </a:pathLst>
                                      </a:custGeom>
                                      <a:solidFill>
                                        <a:schemeClr val="tx1"/>
                                      </a:solidFill>
                                      <a:ln w="15773">
                                        <a:solidFill>
                                          <a:srgbClr val="000000"/>
                                        </a:solidFill>
                                        <a:miter/>
                                      </a:ln>
                                    </wps:spPr>
                                    <wps:style>
                                      <a:lnRef idx="0">
                                        <a:scrgbClr r="0" g="0" b="0"/>
                                      </a:lnRef>
                                      <a:fillRef idx="0">
                                        <a:scrgbClr r="0" g="0" b="0"/>
                                      </a:fillRef>
                                      <a:effectRef idx="0">
                                        <a:scrgbClr r="0" g="0" b="0"/>
                                      </a:effectRef>
                                      <a:fontRef idx="minor"/>
                                    </wps:style>
                                    <wps:bodyPr/>
                                  </wps:wsp>
                                  <wps:wsp>
                                    <wps:cNvPr id="30" name="Freeform: Shape 176"/>
                                    <wps:cNvSpPr/>
                                    <wps:spPr>
                                      <a:xfrm>
                                        <a:off x="1677240" y="1719360"/>
                                        <a:ext cx="68040" cy="9360"/>
                                      </a:xfrm>
                                      <a:custGeom>
                                        <a:avLst/>
                                        <a:gdLst>
                                          <a:gd name="textAreaLeft" fmla="*/ 0 w 38520"/>
                                          <a:gd name="textAreaRight" fmla="*/ 38880 w 38520"/>
                                          <a:gd name="textAreaTop" fmla="*/ 0 h 5400"/>
                                          <a:gd name="textAreaBottom" fmla="*/ 5760 h 5400"/>
                                          <a:gd name="GluePoint1X" fmla="*/ 0 w 109503"/>
                                          <a:gd name="GluePoint1Y" fmla="*/ 0 h 15778"/>
                                          <a:gd name="GluePoint2X" fmla="*/ 109503 w 109503"/>
                                          <a:gd name="GluePoint2Y" fmla="*/ 0 h 15778"/>
                                        </a:gdLst>
                                        <a:ahLst/>
                                        <a:cxnLst>
                                          <a:cxn ang="0">
                                            <a:pos x="GluePoint1X" y="GluePoint1Y"/>
                                          </a:cxn>
                                          <a:cxn ang="0">
                                            <a:pos x="GluePoint2X" y="GluePoint2Y"/>
                                          </a:cxn>
                                        </a:cxnLst>
                                        <a:rect l="textAreaLeft" t="textAreaTop" r="textAreaRight" b="textAreaBottom"/>
                                        <a:pathLst>
                                          <a:path w="109503" h="15778">
                                            <a:moveTo>
                                              <a:pt x="0" y="0"/>
                                            </a:moveTo>
                                            <a:lnTo>
                                              <a:pt x="109503" y="0"/>
                                            </a:lnTo>
                                          </a:path>
                                        </a:pathLst>
                                      </a:custGeom>
                                      <a:solidFill>
                                        <a:schemeClr val="tx1"/>
                                      </a:solidFill>
                                      <a:ln w="15773">
                                        <a:solidFill>
                                          <a:srgbClr val="000000"/>
                                        </a:solidFill>
                                        <a:miter/>
                                      </a:ln>
                                    </wps:spPr>
                                    <wps:style>
                                      <a:lnRef idx="0">
                                        <a:scrgbClr r="0" g="0" b="0"/>
                                      </a:lnRef>
                                      <a:fillRef idx="0">
                                        <a:scrgbClr r="0" g="0" b="0"/>
                                      </a:fillRef>
                                      <a:effectRef idx="0">
                                        <a:scrgbClr r="0" g="0" b="0"/>
                                      </a:effectRef>
                                      <a:fontRef idx="minor"/>
                                    </wps:style>
                                    <wps:bodyPr/>
                                  </wps:wsp>
                                  <wps:wsp>
                                    <wps:cNvPr id="31" name="Freeform: Shape 177"/>
                                    <wps:cNvSpPr/>
                                    <wps:spPr>
                                      <a:xfrm>
                                        <a:off x="2046240" y="600480"/>
                                        <a:ext cx="9000" cy="1118160"/>
                                      </a:xfrm>
                                      <a:custGeom>
                                        <a:avLst/>
                                        <a:gdLst>
                                          <a:gd name="textAreaLeft" fmla="*/ 0 w 5040"/>
                                          <a:gd name="textAreaRight" fmla="*/ 5400 w 5040"/>
                                          <a:gd name="textAreaTop" fmla="*/ 0 h 633960"/>
                                          <a:gd name="textAreaBottom" fmla="*/ 634320 h 633960"/>
                                          <a:gd name="GluePoint1X" fmla="*/ 0 w 15778"/>
                                          <a:gd name="GluePoint1Y" fmla="*/ 0 h 1744637"/>
                                          <a:gd name="GluePoint2X" fmla="*/ 0 w 15778"/>
                                          <a:gd name="GluePoint2Y" fmla="*/ 1744637 h 1744637"/>
                                        </a:gdLst>
                                        <a:ahLst/>
                                        <a:cxnLst>
                                          <a:cxn ang="0">
                                            <a:pos x="GluePoint1X" y="GluePoint1Y"/>
                                          </a:cxn>
                                          <a:cxn ang="0">
                                            <a:pos x="GluePoint2X" y="GluePoint2Y"/>
                                          </a:cxn>
                                        </a:cxnLst>
                                        <a:rect l="textAreaLeft" t="textAreaTop" r="textAreaRight" b="textAreaBottom"/>
                                        <a:pathLst>
                                          <a:path w="15778" h="1744637">
                                            <a:moveTo>
                                              <a:pt x="0" y="0"/>
                                            </a:moveTo>
                                            <a:lnTo>
                                              <a:pt x="0" y="1744637"/>
                                            </a:lnTo>
                                          </a:path>
                                        </a:pathLst>
                                      </a:custGeom>
                                      <a:solidFill>
                                        <a:schemeClr val="tx1"/>
                                      </a:solidFill>
                                      <a:ln w="15773">
                                        <a:solidFill>
                                          <a:srgbClr val="000000"/>
                                        </a:solidFill>
                                        <a:miter/>
                                      </a:ln>
                                    </wps:spPr>
                                    <wps:style>
                                      <a:lnRef idx="0">
                                        <a:scrgbClr r="0" g="0" b="0"/>
                                      </a:lnRef>
                                      <a:fillRef idx="0">
                                        <a:scrgbClr r="0" g="0" b="0"/>
                                      </a:fillRef>
                                      <a:effectRef idx="0">
                                        <a:scrgbClr r="0" g="0" b="0"/>
                                      </a:effectRef>
                                      <a:fontRef idx="minor"/>
                                    </wps:style>
                                    <wps:bodyPr/>
                                  </wps:wsp>
                                  <wps:wsp>
                                    <wps:cNvPr id="32" name="Freeform: Shape 178"/>
                                    <wps:cNvSpPr/>
                                    <wps:spPr>
                                      <a:xfrm>
                                        <a:off x="2012400" y="600480"/>
                                        <a:ext cx="68040" cy="9360"/>
                                      </a:xfrm>
                                      <a:custGeom>
                                        <a:avLst/>
                                        <a:gdLst>
                                          <a:gd name="textAreaLeft" fmla="*/ 0 w 38520"/>
                                          <a:gd name="textAreaRight" fmla="*/ 38880 w 38520"/>
                                          <a:gd name="textAreaTop" fmla="*/ 0 h 5400"/>
                                          <a:gd name="textAreaBottom" fmla="*/ 5760 h 5400"/>
                                          <a:gd name="GluePoint1X" fmla="*/ 0 w 109503"/>
                                          <a:gd name="GluePoint1Y" fmla="*/ 0 h 15778"/>
                                          <a:gd name="GluePoint2X" fmla="*/ 109503 w 109503"/>
                                          <a:gd name="GluePoint2Y" fmla="*/ 0 h 15778"/>
                                        </a:gdLst>
                                        <a:ahLst/>
                                        <a:cxnLst>
                                          <a:cxn ang="0">
                                            <a:pos x="GluePoint1X" y="GluePoint1Y"/>
                                          </a:cxn>
                                          <a:cxn ang="0">
                                            <a:pos x="GluePoint2X" y="GluePoint2Y"/>
                                          </a:cxn>
                                        </a:cxnLst>
                                        <a:rect l="textAreaLeft" t="textAreaTop" r="textAreaRight" b="textAreaBottom"/>
                                        <a:pathLst>
                                          <a:path w="109503" h="15778">
                                            <a:moveTo>
                                              <a:pt x="0" y="0"/>
                                            </a:moveTo>
                                            <a:lnTo>
                                              <a:pt x="109503" y="0"/>
                                            </a:lnTo>
                                          </a:path>
                                        </a:pathLst>
                                      </a:custGeom>
                                      <a:solidFill>
                                        <a:schemeClr val="tx1"/>
                                      </a:solidFill>
                                      <a:ln w="15773">
                                        <a:solidFill>
                                          <a:srgbClr val="000000"/>
                                        </a:solidFill>
                                        <a:miter/>
                                      </a:ln>
                                    </wps:spPr>
                                    <wps:style>
                                      <a:lnRef idx="0">
                                        <a:scrgbClr r="0" g="0" b="0"/>
                                      </a:lnRef>
                                      <a:fillRef idx="0">
                                        <a:scrgbClr r="0" g="0" b="0"/>
                                      </a:fillRef>
                                      <a:effectRef idx="0">
                                        <a:scrgbClr r="0" g="0" b="0"/>
                                      </a:effectRef>
                                      <a:fontRef idx="minor"/>
                                    </wps:style>
                                    <wps:bodyPr/>
                                  </wps:wsp>
                                  <wps:wsp>
                                    <wps:cNvPr id="33" name="Freeform: Shape 179"/>
                                    <wps:cNvSpPr/>
                                    <wps:spPr>
                                      <a:xfrm>
                                        <a:off x="2012400" y="1719360"/>
                                        <a:ext cx="68040" cy="9360"/>
                                      </a:xfrm>
                                      <a:custGeom>
                                        <a:avLst/>
                                        <a:gdLst>
                                          <a:gd name="textAreaLeft" fmla="*/ 0 w 38520"/>
                                          <a:gd name="textAreaRight" fmla="*/ 38880 w 38520"/>
                                          <a:gd name="textAreaTop" fmla="*/ 0 h 5400"/>
                                          <a:gd name="textAreaBottom" fmla="*/ 5760 h 5400"/>
                                          <a:gd name="GluePoint1X" fmla="*/ 0 w 109503"/>
                                          <a:gd name="GluePoint1Y" fmla="*/ 0 h 15778"/>
                                          <a:gd name="GluePoint2X" fmla="*/ 109503 w 109503"/>
                                          <a:gd name="GluePoint2Y" fmla="*/ 0 h 15778"/>
                                        </a:gdLst>
                                        <a:ahLst/>
                                        <a:cxnLst>
                                          <a:cxn ang="0">
                                            <a:pos x="GluePoint1X" y="GluePoint1Y"/>
                                          </a:cxn>
                                          <a:cxn ang="0">
                                            <a:pos x="GluePoint2X" y="GluePoint2Y"/>
                                          </a:cxn>
                                        </a:cxnLst>
                                        <a:rect l="textAreaLeft" t="textAreaTop" r="textAreaRight" b="textAreaBottom"/>
                                        <a:pathLst>
                                          <a:path w="109503" h="15778">
                                            <a:moveTo>
                                              <a:pt x="0" y="0"/>
                                            </a:moveTo>
                                            <a:lnTo>
                                              <a:pt x="109503" y="0"/>
                                            </a:lnTo>
                                          </a:path>
                                        </a:pathLst>
                                      </a:custGeom>
                                      <a:solidFill>
                                        <a:schemeClr val="tx1"/>
                                      </a:solidFill>
                                      <a:ln w="15773">
                                        <a:solidFill>
                                          <a:srgbClr val="000000"/>
                                        </a:solidFill>
                                        <a:miter/>
                                      </a:ln>
                                    </wps:spPr>
                                    <wps:style>
                                      <a:lnRef idx="0">
                                        <a:scrgbClr r="0" g="0" b="0"/>
                                      </a:lnRef>
                                      <a:fillRef idx="0">
                                        <a:scrgbClr r="0" g="0" b="0"/>
                                      </a:fillRef>
                                      <a:effectRef idx="0">
                                        <a:scrgbClr r="0" g="0" b="0"/>
                                      </a:effectRef>
                                      <a:fontRef idx="minor"/>
                                    </wps:style>
                                    <wps:bodyPr/>
                                  </wps:wsp>
                                  <wps:wsp>
                                    <wps:cNvPr id="34" name="Freeform: Shape 180"/>
                                    <wps:cNvSpPr/>
                                    <wps:spPr>
                                      <a:xfrm>
                                        <a:off x="2380680" y="340920"/>
                                        <a:ext cx="9000" cy="1378080"/>
                                      </a:xfrm>
                                      <a:custGeom>
                                        <a:avLst/>
                                        <a:gdLst>
                                          <a:gd name="textAreaLeft" fmla="*/ 0 w 5040"/>
                                          <a:gd name="textAreaRight" fmla="*/ 5400 w 5040"/>
                                          <a:gd name="textAreaTop" fmla="*/ 0 h 781200"/>
                                          <a:gd name="textAreaBottom" fmla="*/ 781560 h 781200"/>
                                          <a:gd name="GluePoint1X" fmla="*/ 0 w 15778"/>
                                          <a:gd name="GluePoint1Y" fmla="*/ 0 h 2149515"/>
                                          <a:gd name="GluePoint2X" fmla="*/ 0 w 15778"/>
                                          <a:gd name="GluePoint2Y" fmla="*/ 2149516 h 2149515"/>
                                        </a:gdLst>
                                        <a:ahLst/>
                                        <a:cxnLst>
                                          <a:cxn ang="0">
                                            <a:pos x="GluePoint1X" y="GluePoint1Y"/>
                                          </a:cxn>
                                          <a:cxn ang="0">
                                            <a:pos x="GluePoint2X" y="GluePoint2Y"/>
                                          </a:cxn>
                                        </a:cxnLst>
                                        <a:rect l="textAreaLeft" t="textAreaTop" r="textAreaRight" b="textAreaBottom"/>
                                        <a:pathLst>
                                          <a:path w="15778" h="2149515">
                                            <a:moveTo>
                                              <a:pt x="0" y="0"/>
                                            </a:moveTo>
                                            <a:lnTo>
                                              <a:pt x="0" y="2149516"/>
                                            </a:lnTo>
                                          </a:path>
                                        </a:pathLst>
                                      </a:custGeom>
                                      <a:solidFill>
                                        <a:schemeClr val="tx1"/>
                                      </a:solidFill>
                                      <a:ln w="15773">
                                        <a:solidFill>
                                          <a:srgbClr val="000000"/>
                                        </a:solidFill>
                                        <a:miter/>
                                      </a:ln>
                                    </wps:spPr>
                                    <wps:style>
                                      <a:lnRef idx="0">
                                        <a:scrgbClr r="0" g="0" b="0"/>
                                      </a:lnRef>
                                      <a:fillRef idx="0">
                                        <a:scrgbClr r="0" g="0" b="0"/>
                                      </a:fillRef>
                                      <a:effectRef idx="0">
                                        <a:scrgbClr r="0" g="0" b="0"/>
                                      </a:effectRef>
                                      <a:fontRef idx="minor"/>
                                    </wps:style>
                                    <wps:bodyPr/>
                                  </wps:wsp>
                                  <wps:wsp>
                                    <wps:cNvPr id="35" name="Freeform: Shape 181"/>
                                    <wps:cNvSpPr/>
                                    <wps:spPr>
                                      <a:xfrm>
                                        <a:off x="2346480" y="340920"/>
                                        <a:ext cx="68040" cy="9360"/>
                                      </a:xfrm>
                                      <a:custGeom>
                                        <a:avLst/>
                                        <a:gdLst>
                                          <a:gd name="textAreaLeft" fmla="*/ 0 w 38520"/>
                                          <a:gd name="textAreaRight" fmla="*/ 38880 w 38520"/>
                                          <a:gd name="textAreaTop" fmla="*/ 0 h 5400"/>
                                          <a:gd name="textAreaBottom" fmla="*/ 5760 h 5400"/>
                                          <a:gd name="GluePoint1X" fmla="*/ 0 w 109503"/>
                                          <a:gd name="GluePoint1Y" fmla="*/ 0 h 15778"/>
                                          <a:gd name="GluePoint2X" fmla="*/ 109503 w 109503"/>
                                          <a:gd name="GluePoint2Y" fmla="*/ 0 h 15778"/>
                                        </a:gdLst>
                                        <a:ahLst/>
                                        <a:cxnLst>
                                          <a:cxn ang="0">
                                            <a:pos x="GluePoint1X" y="GluePoint1Y"/>
                                          </a:cxn>
                                          <a:cxn ang="0">
                                            <a:pos x="GluePoint2X" y="GluePoint2Y"/>
                                          </a:cxn>
                                        </a:cxnLst>
                                        <a:rect l="textAreaLeft" t="textAreaTop" r="textAreaRight" b="textAreaBottom"/>
                                        <a:pathLst>
                                          <a:path w="109503" h="15778">
                                            <a:moveTo>
                                              <a:pt x="0" y="0"/>
                                            </a:moveTo>
                                            <a:lnTo>
                                              <a:pt x="109503" y="0"/>
                                            </a:lnTo>
                                          </a:path>
                                        </a:pathLst>
                                      </a:custGeom>
                                      <a:solidFill>
                                        <a:schemeClr val="tx1"/>
                                      </a:solidFill>
                                      <a:ln w="15773">
                                        <a:solidFill>
                                          <a:srgbClr val="000000"/>
                                        </a:solidFill>
                                        <a:miter/>
                                      </a:ln>
                                    </wps:spPr>
                                    <wps:style>
                                      <a:lnRef idx="0">
                                        <a:scrgbClr r="0" g="0" b="0"/>
                                      </a:lnRef>
                                      <a:fillRef idx="0">
                                        <a:scrgbClr r="0" g="0" b="0"/>
                                      </a:fillRef>
                                      <a:effectRef idx="0">
                                        <a:scrgbClr r="0" g="0" b="0"/>
                                      </a:effectRef>
                                      <a:fontRef idx="minor"/>
                                    </wps:style>
                                    <wps:bodyPr/>
                                  </wps:wsp>
                                  <wps:wsp>
                                    <wps:cNvPr id="36" name="Freeform: Shape 182"/>
                                    <wps:cNvSpPr/>
                                    <wps:spPr>
                                      <a:xfrm>
                                        <a:off x="2346480" y="1719360"/>
                                        <a:ext cx="68040" cy="9360"/>
                                      </a:xfrm>
                                      <a:custGeom>
                                        <a:avLst/>
                                        <a:gdLst>
                                          <a:gd name="textAreaLeft" fmla="*/ 0 w 38520"/>
                                          <a:gd name="textAreaRight" fmla="*/ 38880 w 38520"/>
                                          <a:gd name="textAreaTop" fmla="*/ 0 h 5400"/>
                                          <a:gd name="textAreaBottom" fmla="*/ 5760 h 5400"/>
                                          <a:gd name="GluePoint1X" fmla="*/ 0 w 109503"/>
                                          <a:gd name="GluePoint1Y" fmla="*/ 0 h 15778"/>
                                          <a:gd name="GluePoint2X" fmla="*/ 109503 w 109503"/>
                                          <a:gd name="GluePoint2Y" fmla="*/ 0 h 15778"/>
                                        </a:gdLst>
                                        <a:ahLst/>
                                        <a:cxnLst>
                                          <a:cxn ang="0">
                                            <a:pos x="GluePoint1X" y="GluePoint1Y"/>
                                          </a:cxn>
                                          <a:cxn ang="0">
                                            <a:pos x="GluePoint2X" y="GluePoint2Y"/>
                                          </a:cxn>
                                        </a:cxnLst>
                                        <a:rect l="textAreaLeft" t="textAreaTop" r="textAreaRight" b="textAreaBottom"/>
                                        <a:pathLst>
                                          <a:path w="109503" h="15778">
                                            <a:moveTo>
                                              <a:pt x="0" y="0"/>
                                            </a:moveTo>
                                            <a:lnTo>
                                              <a:pt x="109503" y="0"/>
                                            </a:lnTo>
                                          </a:path>
                                        </a:pathLst>
                                      </a:custGeom>
                                      <a:solidFill>
                                        <a:schemeClr val="tx1"/>
                                      </a:solidFill>
                                      <a:ln w="15773">
                                        <a:solidFill>
                                          <a:srgbClr val="000000"/>
                                        </a:solidFill>
                                        <a:miter/>
                                      </a:ln>
                                    </wps:spPr>
                                    <wps:style>
                                      <a:lnRef idx="0">
                                        <a:scrgbClr r="0" g="0" b="0"/>
                                      </a:lnRef>
                                      <a:fillRef idx="0">
                                        <a:scrgbClr r="0" g="0" b="0"/>
                                      </a:fillRef>
                                      <a:effectRef idx="0">
                                        <a:scrgbClr r="0" g="0" b="0"/>
                                      </a:effectRef>
                                      <a:fontRef idx="minor"/>
                                    </wps:style>
                                    <wps:bodyPr/>
                                  </wps:wsp>
                                  <wps:wsp>
                                    <wps:cNvPr id="37" name="Freeform: Shape 183"/>
                                    <wps:cNvSpPr/>
                                    <wps:spPr>
                                      <a:xfrm>
                                        <a:off x="2715840" y="297000"/>
                                        <a:ext cx="9000" cy="1400040"/>
                                      </a:xfrm>
                                      <a:custGeom>
                                        <a:avLst/>
                                        <a:gdLst>
                                          <a:gd name="textAreaLeft" fmla="*/ 0 w 5040"/>
                                          <a:gd name="textAreaRight" fmla="*/ 5400 w 5040"/>
                                          <a:gd name="textAreaTop" fmla="*/ 0 h 793800"/>
                                          <a:gd name="textAreaBottom" fmla="*/ 794160 h 793800"/>
                                          <a:gd name="GluePoint1X" fmla="*/ 0 w 15778"/>
                                          <a:gd name="GluePoint1Y" fmla="*/ 0 h 2184544"/>
                                          <a:gd name="GluePoint2X" fmla="*/ 0 w 15778"/>
                                          <a:gd name="GluePoint2Y" fmla="*/ 2184544 h 2184544"/>
                                        </a:gdLst>
                                        <a:ahLst/>
                                        <a:cxnLst>
                                          <a:cxn ang="0">
                                            <a:pos x="GluePoint1X" y="GluePoint1Y"/>
                                          </a:cxn>
                                          <a:cxn ang="0">
                                            <a:pos x="GluePoint2X" y="GluePoint2Y"/>
                                          </a:cxn>
                                        </a:cxnLst>
                                        <a:rect l="textAreaLeft" t="textAreaTop" r="textAreaRight" b="textAreaBottom"/>
                                        <a:pathLst>
                                          <a:path w="15778" h="2184544">
                                            <a:moveTo>
                                              <a:pt x="0" y="0"/>
                                            </a:moveTo>
                                            <a:lnTo>
                                              <a:pt x="0" y="2184544"/>
                                            </a:lnTo>
                                          </a:path>
                                        </a:pathLst>
                                      </a:custGeom>
                                      <a:solidFill>
                                        <a:schemeClr val="tx1"/>
                                      </a:solidFill>
                                      <a:ln w="15773">
                                        <a:solidFill>
                                          <a:srgbClr val="000000"/>
                                        </a:solidFill>
                                        <a:miter/>
                                      </a:ln>
                                    </wps:spPr>
                                    <wps:style>
                                      <a:lnRef idx="0">
                                        <a:scrgbClr r="0" g="0" b="0"/>
                                      </a:lnRef>
                                      <a:fillRef idx="0">
                                        <a:scrgbClr r="0" g="0" b="0"/>
                                      </a:fillRef>
                                      <a:effectRef idx="0">
                                        <a:scrgbClr r="0" g="0" b="0"/>
                                      </a:effectRef>
                                      <a:fontRef idx="minor"/>
                                    </wps:style>
                                    <wps:bodyPr/>
                                  </wps:wsp>
                                  <wps:wsp>
                                    <wps:cNvPr id="38" name="Freeform: Shape 184"/>
                                    <wps:cNvSpPr/>
                                    <wps:spPr>
                                      <a:xfrm>
                                        <a:off x="2681640" y="297000"/>
                                        <a:ext cx="68040" cy="9360"/>
                                      </a:xfrm>
                                      <a:custGeom>
                                        <a:avLst/>
                                        <a:gdLst>
                                          <a:gd name="textAreaLeft" fmla="*/ 0 w 38520"/>
                                          <a:gd name="textAreaRight" fmla="*/ 38880 w 38520"/>
                                          <a:gd name="textAreaTop" fmla="*/ 0 h 5400"/>
                                          <a:gd name="textAreaBottom" fmla="*/ 5760 h 5400"/>
                                          <a:gd name="GluePoint1X" fmla="*/ 0 w 109503"/>
                                          <a:gd name="GluePoint1Y" fmla="*/ 0 h 15778"/>
                                          <a:gd name="GluePoint2X" fmla="*/ 109503 w 109503"/>
                                          <a:gd name="GluePoint2Y" fmla="*/ 0 h 15778"/>
                                        </a:gdLst>
                                        <a:ahLst/>
                                        <a:cxnLst>
                                          <a:cxn ang="0">
                                            <a:pos x="GluePoint1X" y="GluePoint1Y"/>
                                          </a:cxn>
                                          <a:cxn ang="0">
                                            <a:pos x="GluePoint2X" y="GluePoint2Y"/>
                                          </a:cxn>
                                        </a:cxnLst>
                                        <a:rect l="textAreaLeft" t="textAreaTop" r="textAreaRight" b="textAreaBottom"/>
                                        <a:pathLst>
                                          <a:path w="109503" h="15778">
                                            <a:moveTo>
                                              <a:pt x="0" y="0"/>
                                            </a:moveTo>
                                            <a:lnTo>
                                              <a:pt x="109503" y="0"/>
                                            </a:lnTo>
                                          </a:path>
                                        </a:pathLst>
                                      </a:custGeom>
                                      <a:solidFill>
                                        <a:schemeClr val="tx1"/>
                                      </a:solidFill>
                                      <a:ln w="15773">
                                        <a:solidFill>
                                          <a:srgbClr val="000000"/>
                                        </a:solidFill>
                                        <a:miter/>
                                      </a:ln>
                                    </wps:spPr>
                                    <wps:style>
                                      <a:lnRef idx="0">
                                        <a:scrgbClr r="0" g="0" b="0"/>
                                      </a:lnRef>
                                      <a:fillRef idx="0">
                                        <a:scrgbClr r="0" g="0" b="0"/>
                                      </a:fillRef>
                                      <a:effectRef idx="0">
                                        <a:scrgbClr r="0" g="0" b="0"/>
                                      </a:effectRef>
                                      <a:fontRef idx="minor"/>
                                    </wps:style>
                                    <wps:bodyPr/>
                                  </wps:wsp>
                                  <wps:wsp>
                                    <wps:cNvPr id="39" name="Freeform: Shape 185"/>
                                    <wps:cNvSpPr/>
                                    <wps:spPr>
                                      <a:xfrm>
                                        <a:off x="2681640" y="1698480"/>
                                        <a:ext cx="68040" cy="9360"/>
                                      </a:xfrm>
                                      <a:custGeom>
                                        <a:avLst/>
                                        <a:gdLst>
                                          <a:gd name="textAreaLeft" fmla="*/ 0 w 38520"/>
                                          <a:gd name="textAreaRight" fmla="*/ 38880 w 38520"/>
                                          <a:gd name="textAreaTop" fmla="*/ 0 h 5400"/>
                                          <a:gd name="textAreaBottom" fmla="*/ 5760 h 5400"/>
                                          <a:gd name="GluePoint1X" fmla="*/ 0 w 109503"/>
                                          <a:gd name="GluePoint1Y" fmla="*/ 0 h 15778"/>
                                          <a:gd name="GluePoint2X" fmla="*/ 109503 w 109503"/>
                                          <a:gd name="GluePoint2Y" fmla="*/ 0 h 15778"/>
                                        </a:gdLst>
                                        <a:ahLst/>
                                        <a:cxnLst>
                                          <a:cxn ang="0">
                                            <a:pos x="GluePoint1X" y="GluePoint1Y"/>
                                          </a:cxn>
                                          <a:cxn ang="0">
                                            <a:pos x="GluePoint2X" y="GluePoint2Y"/>
                                          </a:cxn>
                                        </a:cxnLst>
                                        <a:rect l="textAreaLeft" t="textAreaTop" r="textAreaRight" b="textAreaBottom"/>
                                        <a:pathLst>
                                          <a:path w="109503" h="15778">
                                            <a:moveTo>
                                              <a:pt x="0" y="0"/>
                                            </a:moveTo>
                                            <a:lnTo>
                                              <a:pt x="109503" y="0"/>
                                            </a:lnTo>
                                          </a:path>
                                        </a:pathLst>
                                      </a:custGeom>
                                      <a:solidFill>
                                        <a:schemeClr val="tx1"/>
                                      </a:solidFill>
                                      <a:ln w="15773">
                                        <a:solidFill>
                                          <a:srgbClr val="000000"/>
                                        </a:solidFill>
                                        <a:miter/>
                                      </a:ln>
                                    </wps:spPr>
                                    <wps:style>
                                      <a:lnRef idx="0">
                                        <a:scrgbClr r="0" g="0" b="0"/>
                                      </a:lnRef>
                                      <a:fillRef idx="0">
                                        <a:scrgbClr r="0" g="0" b="0"/>
                                      </a:fillRef>
                                      <a:effectRef idx="0">
                                        <a:scrgbClr r="0" g="0" b="0"/>
                                      </a:effectRef>
                                      <a:fontRef idx="minor"/>
                                    </wps:style>
                                    <wps:bodyPr/>
                                  </wps:wsp>
                                  <wps:wsp>
                                    <wps:cNvPr id="40" name="Freeform: Shape 186"/>
                                    <wps:cNvSpPr/>
                                    <wps:spPr>
                                      <a:xfrm>
                                        <a:off x="3052440" y="297000"/>
                                        <a:ext cx="9000" cy="1446480"/>
                                      </a:xfrm>
                                      <a:custGeom>
                                        <a:avLst/>
                                        <a:gdLst>
                                          <a:gd name="textAreaLeft" fmla="*/ 0 w 5040"/>
                                          <a:gd name="textAreaRight" fmla="*/ 5400 w 5040"/>
                                          <a:gd name="textAreaTop" fmla="*/ 0 h 820080"/>
                                          <a:gd name="textAreaBottom" fmla="*/ 820440 h 820080"/>
                                          <a:gd name="GluePoint1X" fmla="*/ 0 w 15778"/>
                                          <a:gd name="GluePoint1Y" fmla="*/ 0 h 2256021"/>
                                          <a:gd name="GluePoint2X" fmla="*/ 0 w 15778"/>
                                          <a:gd name="GluePoint2Y" fmla="*/ 2256021 h 2256021"/>
                                        </a:gdLst>
                                        <a:ahLst/>
                                        <a:cxnLst>
                                          <a:cxn ang="0">
                                            <a:pos x="GluePoint1X" y="GluePoint1Y"/>
                                          </a:cxn>
                                          <a:cxn ang="0">
                                            <a:pos x="GluePoint2X" y="GluePoint2Y"/>
                                          </a:cxn>
                                        </a:cxnLst>
                                        <a:rect l="textAreaLeft" t="textAreaTop" r="textAreaRight" b="textAreaBottom"/>
                                        <a:pathLst>
                                          <a:path w="15778" h="2256021">
                                            <a:moveTo>
                                              <a:pt x="0" y="0"/>
                                            </a:moveTo>
                                            <a:lnTo>
                                              <a:pt x="0" y="2256021"/>
                                            </a:lnTo>
                                          </a:path>
                                        </a:pathLst>
                                      </a:custGeom>
                                      <a:solidFill>
                                        <a:schemeClr val="tx1"/>
                                      </a:solidFill>
                                      <a:ln w="15773">
                                        <a:solidFill>
                                          <a:srgbClr val="000000"/>
                                        </a:solidFill>
                                        <a:miter/>
                                      </a:ln>
                                    </wps:spPr>
                                    <wps:style>
                                      <a:lnRef idx="0">
                                        <a:scrgbClr r="0" g="0" b="0"/>
                                      </a:lnRef>
                                      <a:fillRef idx="0">
                                        <a:scrgbClr r="0" g="0" b="0"/>
                                      </a:fillRef>
                                      <a:effectRef idx="0">
                                        <a:scrgbClr r="0" g="0" b="0"/>
                                      </a:effectRef>
                                      <a:fontRef idx="minor"/>
                                    </wps:style>
                                    <wps:bodyPr/>
                                  </wps:wsp>
                                  <wps:wsp>
                                    <wps:cNvPr id="41" name="Freeform: Shape 187"/>
                                    <wps:cNvSpPr/>
                                    <wps:spPr>
                                      <a:xfrm>
                                        <a:off x="3018240" y="297000"/>
                                        <a:ext cx="68040" cy="9360"/>
                                      </a:xfrm>
                                      <a:custGeom>
                                        <a:avLst/>
                                        <a:gdLst>
                                          <a:gd name="textAreaLeft" fmla="*/ 0 w 38520"/>
                                          <a:gd name="textAreaRight" fmla="*/ 38880 w 38520"/>
                                          <a:gd name="textAreaTop" fmla="*/ 0 h 5400"/>
                                          <a:gd name="textAreaBottom" fmla="*/ 5760 h 5400"/>
                                          <a:gd name="GluePoint1X" fmla="*/ 0 w 109503"/>
                                          <a:gd name="GluePoint1Y" fmla="*/ 0 h 15778"/>
                                          <a:gd name="GluePoint2X" fmla="*/ 109503 w 109503"/>
                                          <a:gd name="GluePoint2Y" fmla="*/ 0 h 15778"/>
                                        </a:gdLst>
                                        <a:ahLst/>
                                        <a:cxnLst>
                                          <a:cxn ang="0">
                                            <a:pos x="GluePoint1X" y="GluePoint1Y"/>
                                          </a:cxn>
                                          <a:cxn ang="0">
                                            <a:pos x="GluePoint2X" y="GluePoint2Y"/>
                                          </a:cxn>
                                        </a:cxnLst>
                                        <a:rect l="textAreaLeft" t="textAreaTop" r="textAreaRight" b="textAreaBottom"/>
                                        <a:pathLst>
                                          <a:path w="109503" h="15778">
                                            <a:moveTo>
                                              <a:pt x="0" y="0"/>
                                            </a:moveTo>
                                            <a:lnTo>
                                              <a:pt x="109503" y="0"/>
                                            </a:lnTo>
                                          </a:path>
                                        </a:pathLst>
                                      </a:custGeom>
                                      <a:solidFill>
                                        <a:schemeClr val="tx1"/>
                                      </a:solidFill>
                                      <a:ln w="15773">
                                        <a:solidFill>
                                          <a:srgbClr val="000000"/>
                                        </a:solidFill>
                                        <a:miter/>
                                      </a:ln>
                                    </wps:spPr>
                                    <wps:style>
                                      <a:lnRef idx="0">
                                        <a:scrgbClr r="0" g="0" b="0"/>
                                      </a:lnRef>
                                      <a:fillRef idx="0">
                                        <a:scrgbClr r="0" g="0" b="0"/>
                                      </a:fillRef>
                                      <a:effectRef idx="0">
                                        <a:scrgbClr r="0" g="0" b="0"/>
                                      </a:effectRef>
                                      <a:fontRef idx="minor"/>
                                    </wps:style>
                                    <wps:bodyPr/>
                                  </wps:wsp>
                                  <wps:wsp>
                                    <wps:cNvPr id="42" name="Freeform: Shape 188"/>
                                    <wps:cNvSpPr/>
                                    <wps:spPr>
                                      <a:xfrm>
                                        <a:off x="3018240" y="1744200"/>
                                        <a:ext cx="68040" cy="9360"/>
                                      </a:xfrm>
                                      <a:custGeom>
                                        <a:avLst/>
                                        <a:gdLst>
                                          <a:gd name="textAreaLeft" fmla="*/ 0 w 38520"/>
                                          <a:gd name="textAreaRight" fmla="*/ 38880 w 38520"/>
                                          <a:gd name="textAreaTop" fmla="*/ 0 h 5400"/>
                                          <a:gd name="textAreaBottom" fmla="*/ 5760 h 5400"/>
                                          <a:gd name="GluePoint1X" fmla="*/ 0 w 109503"/>
                                          <a:gd name="GluePoint1Y" fmla="*/ 0 h 15778"/>
                                          <a:gd name="GluePoint2X" fmla="*/ 109503 w 109503"/>
                                          <a:gd name="GluePoint2Y" fmla="*/ 0 h 15778"/>
                                        </a:gdLst>
                                        <a:ahLst/>
                                        <a:cxnLst>
                                          <a:cxn ang="0">
                                            <a:pos x="GluePoint1X" y="GluePoint1Y"/>
                                          </a:cxn>
                                          <a:cxn ang="0">
                                            <a:pos x="GluePoint2X" y="GluePoint2Y"/>
                                          </a:cxn>
                                        </a:cxnLst>
                                        <a:rect l="textAreaLeft" t="textAreaTop" r="textAreaRight" b="textAreaBottom"/>
                                        <a:pathLst>
                                          <a:path w="109503" h="15778">
                                            <a:moveTo>
                                              <a:pt x="0" y="0"/>
                                            </a:moveTo>
                                            <a:lnTo>
                                              <a:pt x="109503" y="0"/>
                                            </a:lnTo>
                                          </a:path>
                                        </a:pathLst>
                                      </a:custGeom>
                                      <a:solidFill>
                                        <a:schemeClr val="tx1"/>
                                      </a:solidFill>
                                      <a:ln w="15773">
                                        <a:solidFill>
                                          <a:srgbClr val="000000"/>
                                        </a:solidFill>
                                        <a:miter/>
                                      </a:ln>
                                    </wps:spPr>
                                    <wps:style>
                                      <a:lnRef idx="0">
                                        <a:scrgbClr r="0" g="0" b="0"/>
                                      </a:lnRef>
                                      <a:fillRef idx="0">
                                        <a:scrgbClr r="0" g="0" b="0"/>
                                      </a:fillRef>
                                      <a:effectRef idx="0">
                                        <a:scrgbClr r="0" g="0" b="0"/>
                                      </a:effectRef>
                                      <a:fontRef idx="minor"/>
                                    </wps:style>
                                    <wps:bodyPr/>
                                  </wps:wsp>
                                  <wps:wsp>
                                    <wps:cNvPr id="43" name="Freeform: Shape 189"/>
                                    <wps:cNvSpPr/>
                                    <wps:spPr>
                                      <a:xfrm>
                                        <a:off x="3375000" y="154080"/>
                                        <a:ext cx="9000" cy="1531080"/>
                                      </a:xfrm>
                                      <a:custGeom>
                                        <a:avLst/>
                                        <a:gdLst>
                                          <a:gd name="textAreaLeft" fmla="*/ 0 w 5040"/>
                                          <a:gd name="textAreaRight" fmla="*/ 5400 w 5040"/>
                                          <a:gd name="textAreaTop" fmla="*/ 0 h 867960"/>
                                          <a:gd name="textAreaBottom" fmla="*/ 868320 h 867960"/>
                                          <a:gd name="GluePoint1X" fmla="*/ 0 w 15778"/>
                                          <a:gd name="GluePoint1Y" fmla="*/ 0 h 2388245"/>
                                          <a:gd name="GluePoint2X" fmla="*/ 0 w 15778"/>
                                          <a:gd name="GluePoint2Y" fmla="*/ 2388246 h 2388245"/>
                                        </a:gdLst>
                                        <a:ahLst/>
                                        <a:cxnLst>
                                          <a:cxn ang="0">
                                            <a:pos x="GluePoint1X" y="GluePoint1Y"/>
                                          </a:cxn>
                                          <a:cxn ang="0">
                                            <a:pos x="GluePoint2X" y="GluePoint2Y"/>
                                          </a:cxn>
                                        </a:cxnLst>
                                        <a:rect l="textAreaLeft" t="textAreaTop" r="textAreaRight" b="textAreaBottom"/>
                                        <a:pathLst>
                                          <a:path w="15778" h="2388245">
                                            <a:moveTo>
                                              <a:pt x="0" y="0"/>
                                            </a:moveTo>
                                            <a:lnTo>
                                              <a:pt x="0" y="2388246"/>
                                            </a:lnTo>
                                          </a:path>
                                        </a:pathLst>
                                      </a:custGeom>
                                      <a:solidFill>
                                        <a:schemeClr val="tx1"/>
                                      </a:solidFill>
                                      <a:ln w="15773">
                                        <a:solidFill>
                                          <a:srgbClr val="000000"/>
                                        </a:solidFill>
                                        <a:miter/>
                                      </a:ln>
                                    </wps:spPr>
                                    <wps:style>
                                      <a:lnRef idx="0">
                                        <a:scrgbClr r="0" g="0" b="0"/>
                                      </a:lnRef>
                                      <a:fillRef idx="0">
                                        <a:scrgbClr r="0" g="0" b="0"/>
                                      </a:fillRef>
                                      <a:effectRef idx="0">
                                        <a:scrgbClr r="0" g="0" b="0"/>
                                      </a:effectRef>
                                      <a:fontRef idx="minor"/>
                                    </wps:style>
                                    <wps:bodyPr/>
                                  </wps:wsp>
                                  <wps:wsp>
                                    <wps:cNvPr id="44" name="Freeform: Shape 190"/>
                                    <wps:cNvSpPr/>
                                    <wps:spPr>
                                      <a:xfrm>
                                        <a:off x="3340800" y="154080"/>
                                        <a:ext cx="68040" cy="9360"/>
                                      </a:xfrm>
                                      <a:custGeom>
                                        <a:avLst/>
                                        <a:gdLst>
                                          <a:gd name="textAreaLeft" fmla="*/ 0 w 38520"/>
                                          <a:gd name="textAreaRight" fmla="*/ 38880 w 38520"/>
                                          <a:gd name="textAreaTop" fmla="*/ 0 h 5400"/>
                                          <a:gd name="textAreaBottom" fmla="*/ 5760 h 5400"/>
                                          <a:gd name="GluePoint1X" fmla="*/ 0 w 109503"/>
                                          <a:gd name="GluePoint1Y" fmla="*/ 0 h 15778"/>
                                          <a:gd name="GluePoint2X" fmla="*/ 109503 w 109503"/>
                                          <a:gd name="GluePoint2Y" fmla="*/ 0 h 15778"/>
                                        </a:gdLst>
                                        <a:ahLst/>
                                        <a:cxnLst>
                                          <a:cxn ang="0">
                                            <a:pos x="GluePoint1X" y="GluePoint1Y"/>
                                          </a:cxn>
                                          <a:cxn ang="0">
                                            <a:pos x="GluePoint2X" y="GluePoint2Y"/>
                                          </a:cxn>
                                        </a:cxnLst>
                                        <a:rect l="textAreaLeft" t="textAreaTop" r="textAreaRight" b="textAreaBottom"/>
                                        <a:pathLst>
                                          <a:path w="109503" h="15778">
                                            <a:moveTo>
                                              <a:pt x="0" y="0"/>
                                            </a:moveTo>
                                            <a:lnTo>
                                              <a:pt x="109503" y="0"/>
                                            </a:lnTo>
                                          </a:path>
                                        </a:pathLst>
                                      </a:custGeom>
                                      <a:solidFill>
                                        <a:schemeClr val="tx1"/>
                                      </a:solidFill>
                                      <a:ln w="15773">
                                        <a:solidFill>
                                          <a:srgbClr val="000000"/>
                                        </a:solidFill>
                                        <a:miter/>
                                      </a:ln>
                                    </wps:spPr>
                                    <wps:style>
                                      <a:lnRef idx="0">
                                        <a:scrgbClr r="0" g="0" b="0"/>
                                      </a:lnRef>
                                      <a:fillRef idx="0">
                                        <a:scrgbClr r="0" g="0" b="0"/>
                                      </a:fillRef>
                                      <a:effectRef idx="0">
                                        <a:scrgbClr r="0" g="0" b="0"/>
                                      </a:effectRef>
                                      <a:fontRef idx="minor"/>
                                    </wps:style>
                                    <wps:bodyPr/>
                                  </wps:wsp>
                                  <wps:wsp>
                                    <wps:cNvPr id="45" name="Freeform: Shape 191"/>
                                    <wps:cNvSpPr/>
                                    <wps:spPr>
                                      <a:xfrm>
                                        <a:off x="3340800" y="1685880"/>
                                        <a:ext cx="68040" cy="9360"/>
                                      </a:xfrm>
                                      <a:custGeom>
                                        <a:avLst/>
                                        <a:gdLst>
                                          <a:gd name="textAreaLeft" fmla="*/ 0 w 38520"/>
                                          <a:gd name="textAreaRight" fmla="*/ 38880 w 38520"/>
                                          <a:gd name="textAreaTop" fmla="*/ 0 h 5400"/>
                                          <a:gd name="textAreaBottom" fmla="*/ 5760 h 5400"/>
                                          <a:gd name="GluePoint1X" fmla="*/ 0 w 109503"/>
                                          <a:gd name="GluePoint1Y" fmla="*/ 0 h 15778"/>
                                          <a:gd name="GluePoint2X" fmla="*/ 109503 w 109503"/>
                                          <a:gd name="GluePoint2Y" fmla="*/ 0 h 15778"/>
                                        </a:gdLst>
                                        <a:ahLst/>
                                        <a:cxnLst>
                                          <a:cxn ang="0">
                                            <a:pos x="GluePoint1X" y="GluePoint1Y"/>
                                          </a:cxn>
                                          <a:cxn ang="0">
                                            <a:pos x="GluePoint2X" y="GluePoint2Y"/>
                                          </a:cxn>
                                        </a:cxnLst>
                                        <a:rect l="textAreaLeft" t="textAreaTop" r="textAreaRight" b="textAreaBottom"/>
                                        <a:pathLst>
                                          <a:path w="109503" h="15778">
                                            <a:moveTo>
                                              <a:pt x="0" y="0"/>
                                            </a:moveTo>
                                            <a:lnTo>
                                              <a:pt x="109503" y="0"/>
                                            </a:lnTo>
                                          </a:path>
                                        </a:pathLst>
                                      </a:custGeom>
                                      <a:solidFill>
                                        <a:schemeClr val="tx1"/>
                                      </a:solidFill>
                                      <a:ln w="15773">
                                        <a:solidFill>
                                          <a:srgbClr val="000000"/>
                                        </a:solidFill>
                                        <a:miter/>
                                      </a:ln>
                                    </wps:spPr>
                                    <wps:style>
                                      <a:lnRef idx="0">
                                        <a:scrgbClr r="0" g="0" b="0"/>
                                      </a:lnRef>
                                      <a:fillRef idx="0">
                                        <a:scrgbClr r="0" g="0" b="0"/>
                                      </a:fillRef>
                                      <a:effectRef idx="0">
                                        <a:scrgbClr r="0" g="0" b="0"/>
                                      </a:effectRef>
                                      <a:fontRef idx="minor"/>
                                    </wps:style>
                                    <wps:bodyPr/>
                                  </wps:wsp>
                                  <wps:wsp>
                                    <wps:cNvPr id="46" name="Freeform: Shape 192"/>
                                    <wps:cNvSpPr/>
                                    <wps:spPr>
                                      <a:xfrm>
                                        <a:off x="3706560" y="154080"/>
                                        <a:ext cx="9000" cy="1564560"/>
                                      </a:xfrm>
                                      <a:custGeom>
                                        <a:avLst/>
                                        <a:gdLst>
                                          <a:gd name="textAreaLeft" fmla="*/ 0 w 5040"/>
                                          <a:gd name="textAreaRight" fmla="*/ 5400 w 5040"/>
                                          <a:gd name="textAreaTop" fmla="*/ 0 h 887040"/>
                                          <a:gd name="textAreaBottom" fmla="*/ 887400 h 887040"/>
                                          <a:gd name="GluePoint1X" fmla="*/ 0 w 15778"/>
                                          <a:gd name="GluePoint1Y" fmla="*/ 0 h 2440630"/>
                                          <a:gd name="GluePoint2X" fmla="*/ 0 w 15778"/>
                                          <a:gd name="GluePoint2Y" fmla="*/ 2440631 h 2440630"/>
                                        </a:gdLst>
                                        <a:ahLst/>
                                        <a:cxnLst>
                                          <a:cxn ang="0">
                                            <a:pos x="GluePoint1X" y="GluePoint1Y"/>
                                          </a:cxn>
                                          <a:cxn ang="0">
                                            <a:pos x="GluePoint2X" y="GluePoint2Y"/>
                                          </a:cxn>
                                        </a:cxnLst>
                                        <a:rect l="textAreaLeft" t="textAreaTop" r="textAreaRight" b="textAreaBottom"/>
                                        <a:pathLst>
                                          <a:path w="15778" h="2440630">
                                            <a:moveTo>
                                              <a:pt x="0" y="0"/>
                                            </a:moveTo>
                                            <a:lnTo>
                                              <a:pt x="0" y="2440631"/>
                                            </a:lnTo>
                                          </a:path>
                                        </a:pathLst>
                                      </a:custGeom>
                                      <a:solidFill>
                                        <a:schemeClr val="tx1"/>
                                      </a:solidFill>
                                      <a:ln w="15773">
                                        <a:solidFill>
                                          <a:srgbClr val="000000"/>
                                        </a:solidFill>
                                        <a:miter/>
                                      </a:ln>
                                    </wps:spPr>
                                    <wps:style>
                                      <a:lnRef idx="0">
                                        <a:scrgbClr r="0" g="0" b="0"/>
                                      </a:lnRef>
                                      <a:fillRef idx="0">
                                        <a:scrgbClr r="0" g="0" b="0"/>
                                      </a:fillRef>
                                      <a:effectRef idx="0">
                                        <a:scrgbClr r="0" g="0" b="0"/>
                                      </a:effectRef>
                                      <a:fontRef idx="minor"/>
                                    </wps:style>
                                    <wps:bodyPr/>
                                  </wps:wsp>
                                  <wps:wsp>
                                    <wps:cNvPr id="47" name="Freeform: Shape 193"/>
                                    <wps:cNvSpPr/>
                                    <wps:spPr>
                                      <a:xfrm>
                                        <a:off x="3673080" y="154080"/>
                                        <a:ext cx="68040" cy="9360"/>
                                      </a:xfrm>
                                      <a:custGeom>
                                        <a:avLst/>
                                        <a:gdLst>
                                          <a:gd name="textAreaLeft" fmla="*/ 0 w 38520"/>
                                          <a:gd name="textAreaRight" fmla="*/ 38880 w 38520"/>
                                          <a:gd name="textAreaTop" fmla="*/ 0 h 5400"/>
                                          <a:gd name="textAreaBottom" fmla="*/ 5760 h 5400"/>
                                          <a:gd name="GluePoint1X" fmla="*/ 0 w 109503"/>
                                          <a:gd name="GluePoint1Y" fmla="*/ 0 h 15778"/>
                                          <a:gd name="GluePoint2X" fmla="*/ 109503 w 109503"/>
                                          <a:gd name="GluePoint2Y" fmla="*/ 0 h 15778"/>
                                        </a:gdLst>
                                        <a:ahLst/>
                                        <a:cxnLst>
                                          <a:cxn ang="0">
                                            <a:pos x="GluePoint1X" y="GluePoint1Y"/>
                                          </a:cxn>
                                          <a:cxn ang="0">
                                            <a:pos x="GluePoint2X" y="GluePoint2Y"/>
                                          </a:cxn>
                                        </a:cxnLst>
                                        <a:rect l="textAreaLeft" t="textAreaTop" r="textAreaRight" b="textAreaBottom"/>
                                        <a:pathLst>
                                          <a:path w="109503" h="15778">
                                            <a:moveTo>
                                              <a:pt x="0" y="0"/>
                                            </a:moveTo>
                                            <a:lnTo>
                                              <a:pt x="109503" y="0"/>
                                            </a:lnTo>
                                          </a:path>
                                        </a:pathLst>
                                      </a:custGeom>
                                      <a:solidFill>
                                        <a:schemeClr val="tx1"/>
                                      </a:solidFill>
                                      <a:ln w="15773">
                                        <a:solidFill>
                                          <a:srgbClr val="000000"/>
                                        </a:solidFill>
                                        <a:miter/>
                                      </a:ln>
                                    </wps:spPr>
                                    <wps:style>
                                      <a:lnRef idx="0">
                                        <a:scrgbClr r="0" g="0" b="0"/>
                                      </a:lnRef>
                                      <a:fillRef idx="0">
                                        <a:scrgbClr r="0" g="0" b="0"/>
                                      </a:fillRef>
                                      <a:effectRef idx="0">
                                        <a:scrgbClr r="0" g="0" b="0"/>
                                      </a:effectRef>
                                      <a:fontRef idx="minor"/>
                                    </wps:style>
                                    <wps:bodyPr/>
                                  </wps:wsp>
                                  <wps:wsp>
                                    <wps:cNvPr id="48" name="Freeform: Shape 194"/>
                                    <wps:cNvSpPr/>
                                    <wps:spPr>
                                      <a:xfrm>
                                        <a:off x="3673080" y="1719360"/>
                                        <a:ext cx="68040" cy="9360"/>
                                      </a:xfrm>
                                      <a:custGeom>
                                        <a:avLst/>
                                        <a:gdLst>
                                          <a:gd name="textAreaLeft" fmla="*/ 0 w 38520"/>
                                          <a:gd name="textAreaRight" fmla="*/ 38880 w 38520"/>
                                          <a:gd name="textAreaTop" fmla="*/ 0 h 5400"/>
                                          <a:gd name="textAreaBottom" fmla="*/ 5760 h 5400"/>
                                          <a:gd name="GluePoint1X" fmla="*/ 0 w 109503"/>
                                          <a:gd name="GluePoint1Y" fmla="*/ 0 h 15778"/>
                                          <a:gd name="GluePoint2X" fmla="*/ 109503 w 109503"/>
                                          <a:gd name="GluePoint2Y" fmla="*/ 0 h 15778"/>
                                        </a:gdLst>
                                        <a:ahLst/>
                                        <a:cxnLst>
                                          <a:cxn ang="0">
                                            <a:pos x="GluePoint1X" y="GluePoint1Y"/>
                                          </a:cxn>
                                          <a:cxn ang="0">
                                            <a:pos x="GluePoint2X" y="GluePoint2Y"/>
                                          </a:cxn>
                                        </a:cxnLst>
                                        <a:rect l="textAreaLeft" t="textAreaTop" r="textAreaRight" b="textAreaBottom"/>
                                        <a:pathLst>
                                          <a:path w="109503" h="15778">
                                            <a:moveTo>
                                              <a:pt x="0" y="0"/>
                                            </a:moveTo>
                                            <a:lnTo>
                                              <a:pt x="109503" y="0"/>
                                            </a:lnTo>
                                          </a:path>
                                        </a:pathLst>
                                      </a:custGeom>
                                      <a:solidFill>
                                        <a:schemeClr val="tx1"/>
                                      </a:solidFill>
                                      <a:ln w="15773">
                                        <a:solidFill>
                                          <a:srgbClr val="000000"/>
                                        </a:solidFill>
                                        <a:miter/>
                                      </a:ln>
                                    </wps:spPr>
                                    <wps:style>
                                      <a:lnRef idx="0">
                                        <a:scrgbClr r="0" g="0" b="0"/>
                                      </a:lnRef>
                                      <a:fillRef idx="0">
                                        <a:scrgbClr r="0" g="0" b="0"/>
                                      </a:fillRef>
                                      <a:effectRef idx="0">
                                        <a:scrgbClr r="0" g="0" b="0"/>
                                      </a:effectRef>
                                      <a:fontRef idx="minor"/>
                                    </wps:style>
                                    <wps:bodyPr/>
                                  </wps:wsp>
                                  <wps:wsp>
                                    <wps:cNvPr id="49" name="Freeform: Shape 195"/>
                                    <wps:cNvSpPr/>
                                    <wps:spPr>
                                      <a:xfrm>
                                        <a:off x="4380480" y="0"/>
                                        <a:ext cx="9000" cy="1743840"/>
                                      </a:xfrm>
                                      <a:custGeom>
                                        <a:avLst/>
                                        <a:gdLst>
                                          <a:gd name="textAreaLeft" fmla="*/ 0 w 5040"/>
                                          <a:gd name="textAreaRight" fmla="*/ 5400 w 5040"/>
                                          <a:gd name="textAreaTop" fmla="*/ 0 h 988560"/>
                                          <a:gd name="textAreaBottom" fmla="*/ 988920 h 988560"/>
                                          <a:gd name="GluePoint1X" fmla="*/ 0 w 15778"/>
                                          <a:gd name="GluePoint1Y" fmla="*/ 0 h 2719911"/>
                                          <a:gd name="GluePoint2X" fmla="*/ 0 w 15778"/>
                                          <a:gd name="GluePoint2Y" fmla="*/ 2719912 h 2719911"/>
                                        </a:gdLst>
                                        <a:ahLst/>
                                        <a:cxnLst>
                                          <a:cxn ang="0">
                                            <a:pos x="GluePoint1X" y="GluePoint1Y"/>
                                          </a:cxn>
                                          <a:cxn ang="0">
                                            <a:pos x="GluePoint2X" y="GluePoint2Y"/>
                                          </a:cxn>
                                        </a:cxnLst>
                                        <a:rect l="textAreaLeft" t="textAreaTop" r="textAreaRight" b="textAreaBottom"/>
                                        <a:pathLst>
                                          <a:path w="15778" h="2719911">
                                            <a:moveTo>
                                              <a:pt x="0" y="0"/>
                                            </a:moveTo>
                                            <a:lnTo>
                                              <a:pt x="0" y="2719912"/>
                                            </a:lnTo>
                                          </a:path>
                                        </a:pathLst>
                                      </a:custGeom>
                                      <a:solidFill>
                                        <a:schemeClr val="tx1"/>
                                      </a:solidFill>
                                      <a:ln w="15773">
                                        <a:solidFill>
                                          <a:srgbClr val="000000"/>
                                        </a:solidFill>
                                        <a:miter/>
                                      </a:ln>
                                    </wps:spPr>
                                    <wps:style>
                                      <a:lnRef idx="0">
                                        <a:scrgbClr r="0" g="0" b="0"/>
                                      </a:lnRef>
                                      <a:fillRef idx="0">
                                        <a:scrgbClr r="0" g="0" b="0"/>
                                      </a:fillRef>
                                      <a:effectRef idx="0">
                                        <a:scrgbClr r="0" g="0" b="0"/>
                                      </a:effectRef>
                                      <a:fontRef idx="minor"/>
                                    </wps:style>
                                    <wps:bodyPr/>
                                  </wps:wsp>
                                  <wps:wsp>
                                    <wps:cNvPr id="50" name="Freeform: Shape 196"/>
                                    <wps:cNvSpPr/>
                                    <wps:spPr>
                                      <a:xfrm>
                                        <a:off x="4345920" y="0"/>
                                        <a:ext cx="68040" cy="9360"/>
                                      </a:xfrm>
                                      <a:custGeom>
                                        <a:avLst/>
                                        <a:gdLst>
                                          <a:gd name="textAreaLeft" fmla="*/ 0 w 38520"/>
                                          <a:gd name="textAreaRight" fmla="*/ 38880 w 38520"/>
                                          <a:gd name="textAreaTop" fmla="*/ 0 h 5400"/>
                                          <a:gd name="textAreaBottom" fmla="*/ 5760 h 5400"/>
                                          <a:gd name="GluePoint1X" fmla="*/ 0 w 109503"/>
                                          <a:gd name="GluePoint1Y" fmla="*/ 0 h 15778"/>
                                          <a:gd name="GluePoint2X" fmla="*/ 109503 w 109503"/>
                                          <a:gd name="GluePoint2Y" fmla="*/ 0 h 15778"/>
                                        </a:gdLst>
                                        <a:ahLst/>
                                        <a:cxnLst>
                                          <a:cxn ang="0">
                                            <a:pos x="GluePoint1X" y="GluePoint1Y"/>
                                          </a:cxn>
                                          <a:cxn ang="0">
                                            <a:pos x="GluePoint2X" y="GluePoint2Y"/>
                                          </a:cxn>
                                        </a:cxnLst>
                                        <a:rect l="textAreaLeft" t="textAreaTop" r="textAreaRight" b="textAreaBottom"/>
                                        <a:pathLst>
                                          <a:path w="109503" h="15778">
                                            <a:moveTo>
                                              <a:pt x="0" y="0"/>
                                            </a:moveTo>
                                            <a:lnTo>
                                              <a:pt x="109503" y="0"/>
                                            </a:lnTo>
                                          </a:path>
                                        </a:pathLst>
                                      </a:custGeom>
                                      <a:solidFill>
                                        <a:schemeClr val="tx1"/>
                                      </a:solidFill>
                                      <a:ln w="15773">
                                        <a:solidFill>
                                          <a:srgbClr val="000000"/>
                                        </a:solidFill>
                                        <a:miter/>
                                      </a:ln>
                                    </wps:spPr>
                                    <wps:style>
                                      <a:lnRef idx="0">
                                        <a:scrgbClr r="0" g="0" b="0"/>
                                      </a:lnRef>
                                      <a:fillRef idx="0">
                                        <a:scrgbClr r="0" g="0" b="0"/>
                                      </a:fillRef>
                                      <a:effectRef idx="0">
                                        <a:scrgbClr r="0" g="0" b="0"/>
                                      </a:effectRef>
                                      <a:fontRef idx="minor"/>
                                    </wps:style>
                                    <wps:bodyPr/>
                                  </wps:wsp>
                                  <wps:wsp>
                                    <wps:cNvPr id="51" name="Freeform: Shape 197"/>
                                    <wps:cNvSpPr/>
                                    <wps:spPr>
                                      <a:xfrm>
                                        <a:off x="4345920" y="1744200"/>
                                        <a:ext cx="68040" cy="9360"/>
                                      </a:xfrm>
                                      <a:custGeom>
                                        <a:avLst/>
                                        <a:gdLst>
                                          <a:gd name="textAreaLeft" fmla="*/ 0 w 38520"/>
                                          <a:gd name="textAreaRight" fmla="*/ 38880 w 38520"/>
                                          <a:gd name="textAreaTop" fmla="*/ 0 h 5400"/>
                                          <a:gd name="textAreaBottom" fmla="*/ 5760 h 5400"/>
                                          <a:gd name="GluePoint1X" fmla="*/ 0 w 109503"/>
                                          <a:gd name="GluePoint1Y" fmla="*/ 0 h 15778"/>
                                          <a:gd name="GluePoint2X" fmla="*/ 109503 w 109503"/>
                                          <a:gd name="GluePoint2Y" fmla="*/ 0 h 15778"/>
                                        </a:gdLst>
                                        <a:ahLst/>
                                        <a:cxnLst>
                                          <a:cxn ang="0">
                                            <a:pos x="GluePoint1X" y="GluePoint1Y"/>
                                          </a:cxn>
                                          <a:cxn ang="0">
                                            <a:pos x="GluePoint2X" y="GluePoint2Y"/>
                                          </a:cxn>
                                        </a:cxnLst>
                                        <a:rect l="textAreaLeft" t="textAreaTop" r="textAreaRight" b="textAreaBottom"/>
                                        <a:pathLst>
                                          <a:path w="109503" h="15778">
                                            <a:moveTo>
                                              <a:pt x="0" y="0"/>
                                            </a:moveTo>
                                            <a:lnTo>
                                              <a:pt x="109503" y="0"/>
                                            </a:lnTo>
                                          </a:path>
                                        </a:pathLst>
                                      </a:custGeom>
                                      <a:solidFill>
                                        <a:schemeClr val="tx1"/>
                                      </a:solidFill>
                                      <a:ln w="15773">
                                        <a:solidFill>
                                          <a:srgbClr val="000000"/>
                                        </a:solidFill>
                                        <a:miter/>
                                      </a:ln>
                                    </wps:spPr>
                                    <wps:style>
                                      <a:lnRef idx="0">
                                        <a:scrgbClr r="0" g="0" b="0"/>
                                      </a:lnRef>
                                      <a:fillRef idx="0">
                                        <a:scrgbClr r="0" g="0" b="0"/>
                                      </a:fillRef>
                                      <a:effectRef idx="0">
                                        <a:scrgbClr r="0" g="0" b="0"/>
                                      </a:effectRef>
                                      <a:fontRef idx="minor"/>
                                    </wps:style>
                                    <wps:bodyPr/>
                                  </wps:wsp>
                                  <wps:wsp>
                                    <wps:cNvPr id="52" name="Freeform: Shape 198"/>
                                    <wps:cNvSpPr/>
                                    <wps:spPr>
                                      <a:xfrm>
                                        <a:off x="0" y="1570320"/>
                                        <a:ext cx="70560" cy="72360"/>
                                      </a:xfrm>
                                      <a:custGeom>
                                        <a:avLst/>
                                        <a:gdLst>
                                          <a:gd name="textAreaLeft" fmla="*/ 0 w 39960"/>
                                          <a:gd name="textAreaRight" fmla="*/ 40320 w 39960"/>
                                          <a:gd name="textAreaTop" fmla="*/ 0 h 41040"/>
                                          <a:gd name="textAreaBottom" fmla="*/ 41400 h 41040"/>
                                          <a:gd name="GluePoint1X" fmla="*/ 114237 w 114236"/>
                                          <a:gd name="GluePoint1Y" fmla="*/ 57118 h 114236"/>
                                          <a:gd name="GluePoint2X" fmla="*/ 57118 w 114236"/>
                                          <a:gd name="GluePoint2Y" fmla="*/ 114237 h 114236"/>
                                          <a:gd name="GluePoint3X" fmla="*/ 0 w 114236"/>
                                          <a:gd name="GluePoint3Y" fmla="*/ 57118 h 114236"/>
                                          <a:gd name="GluePoint4X" fmla="*/ 57118 w 114236"/>
                                          <a:gd name="GluePoint4Y" fmla="*/ 0 h 114236"/>
                                          <a:gd name="GluePoint5X" fmla="*/ 114237 w 114236"/>
                                          <a:gd name="GluePoint5Y" fmla="*/ 57118 h 114236"/>
                                        </a:gdLst>
                                        <a:ahLst/>
                                        <a:cxnLst>
                                          <a:cxn ang="0">
                                            <a:pos x="GluePoint1X" y="GluePoint1Y"/>
                                          </a:cxn>
                                          <a:cxn ang="0">
                                            <a:pos x="GluePoint2X" y="GluePoint2Y"/>
                                          </a:cxn>
                                          <a:cxn ang="0">
                                            <a:pos x="GluePoint3X" y="GluePoint3Y"/>
                                          </a:cxn>
                                          <a:cxn ang="0">
                                            <a:pos x="GluePoint4X" y="GluePoint4Y"/>
                                          </a:cxn>
                                          <a:cxn ang="0">
                                            <a:pos x="GluePoint5X" y="GluePoint5Y"/>
                                          </a:cxn>
                                        </a:cxnLst>
                                        <a:rect l="textAreaLeft" t="textAreaTop" r="textAreaRight" b="textAreaBottom"/>
                                        <a:pathLst>
                                          <a:path w="114236" h="114236">
                                            <a:moveTo>
                                              <a:pt x="114237" y="57118"/>
                                            </a:moveTo>
                                            <a:cubicBezTo>
                                              <a:pt x="114237" y="88664"/>
                                              <a:pt x="88664" y="114237"/>
                                              <a:pt x="57118" y="114237"/>
                                            </a:cubicBezTo>
                                            <a:cubicBezTo>
                                              <a:pt x="25573" y="114237"/>
                                              <a:pt x="0" y="88664"/>
                                              <a:pt x="0" y="57118"/>
                                            </a:cubicBezTo>
                                            <a:cubicBezTo>
                                              <a:pt x="0" y="25573"/>
                                              <a:pt x="25573" y="0"/>
                                              <a:pt x="57118" y="0"/>
                                            </a:cubicBezTo>
                                            <a:cubicBezTo>
                                              <a:pt x="88664" y="0"/>
                                              <a:pt x="114237" y="25573"/>
                                              <a:pt x="114237" y="57118"/>
                                            </a:cubicBezTo>
                                            <a:close/>
                                          </a:path>
                                        </a:pathLst>
                                      </a:custGeom>
                                      <a:solidFill>
                                        <a:schemeClr val="tx1"/>
                                      </a:solidFill>
                                      <a:ln w="15773">
                                        <a:solidFill>
                                          <a:srgbClr val="000000"/>
                                        </a:solidFill>
                                        <a:miter/>
                                      </a:ln>
                                    </wps:spPr>
                                    <wps:style>
                                      <a:lnRef idx="0">
                                        <a:scrgbClr r="0" g="0" b="0"/>
                                      </a:lnRef>
                                      <a:fillRef idx="0">
                                        <a:scrgbClr r="0" g="0" b="0"/>
                                      </a:fillRef>
                                      <a:effectRef idx="0">
                                        <a:scrgbClr r="0" g="0" b="0"/>
                                      </a:effectRef>
                                      <a:fontRef idx="minor"/>
                                    </wps:style>
                                    <wps:bodyPr/>
                                  </wps:wsp>
                                  <wps:wsp>
                                    <wps:cNvPr id="53" name="Freeform: Shape 199"/>
                                    <wps:cNvSpPr/>
                                    <wps:spPr>
                                      <a:xfrm>
                                        <a:off x="336600" y="1478160"/>
                                        <a:ext cx="70560" cy="72360"/>
                                      </a:xfrm>
                                      <a:custGeom>
                                        <a:avLst/>
                                        <a:gdLst>
                                          <a:gd name="textAreaLeft" fmla="*/ 0 w 39960"/>
                                          <a:gd name="textAreaRight" fmla="*/ 40320 w 39960"/>
                                          <a:gd name="textAreaTop" fmla="*/ 0 h 41040"/>
                                          <a:gd name="textAreaBottom" fmla="*/ 41400 h 41040"/>
                                          <a:gd name="GluePoint1X" fmla="*/ 114237 w 114236"/>
                                          <a:gd name="GluePoint1Y" fmla="*/ 57118 h 114236"/>
                                          <a:gd name="GluePoint2X" fmla="*/ 57118 w 114236"/>
                                          <a:gd name="GluePoint2Y" fmla="*/ 114237 h 114236"/>
                                          <a:gd name="GluePoint3X" fmla="*/ 0 w 114236"/>
                                          <a:gd name="GluePoint3Y" fmla="*/ 57118 h 114236"/>
                                          <a:gd name="GluePoint4X" fmla="*/ 57118 w 114236"/>
                                          <a:gd name="GluePoint4Y" fmla="*/ 0 h 114236"/>
                                          <a:gd name="GluePoint5X" fmla="*/ 114237 w 114236"/>
                                          <a:gd name="GluePoint5Y" fmla="*/ 57118 h 114236"/>
                                        </a:gdLst>
                                        <a:ahLst/>
                                        <a:cxnLst>
                                          <a:cxn ang="0">
                                            <a:pos x="GluePoint1X" y="GluePoint1Y"/>
                                          </a:cxn>
                                          <a:cxn ang="0">
                                            <a:pos x="GluePoint2X" y="GluePoint2Y"/>
                                          </a:cxn>
                                          <a:cxn ang="0">
                                            <a:pos x="GluePoint3X" y="GluePoint3Y"/>
                                          </a:cxn>
                                          <a:cxn ang="0">
                                            <a:pos x="GluePoint4X" y="GluePoint4Y"/>
                                          </a:cxn>
                                          <a:cxn ang="0">
                                            <a:pos x="GluePoint5X" y="GluePoint5Y"/>
                                          </a:cxn>
                                        </a:cxnLst>
                                        <a:rect l="textAreaLeft" t="textAreaTop" r="textAreaRight" b="textAreaBottom"/>
                                        <a:pathLst>
                                          <a:path w="114236" h="114236">
                                            <a:moveTo>
                                              <a:pt x="114237" y="57118"/>
                                            </a:moveTo>
                                            <a:cubicBezTo>
                                              <a:pt x="114237" y="88664"/>
                                              <a:pt x="88664" y="114237"/>
                                              <a:pt x="57118" y="114237"/>
                                            </a:cubicBezTo>
                                            <a:cubicBezTo>
                                              <a:pt x="25573" y="114237"/>
                                              <a:pt x="0" y="88664"/>
                                              <a:pt x="0" y="57118"/>
                                            </a:cubicBezTo>
                                            <a:cubicBezTo>
                                              <a:pt x="0" y="25573"/>
                                              <a:pt x="25573" y="0"/>
                                              <a:pt x="57118" y="0"/>
                                            </a:cubicBezTo>
                                            <a:cubicBezTo>
                                              <a:pt x="88664" y="0"/>
                                              <a:pt x="114237" y="25573"/>
                                              <a:pt x="114237" y="57118"/>
                                            </a:cubicBezTo>
                                            <a:close/>
                                          </a:path>
                                        </a:pathLst>
                                      </a:custGeom>
                                      <a:solidFill>
                                        <a:schemeClr val="tx1"/>
                                      </a:solidFill>
                                      <a:ln w="15773">
                                        <a:solidFill>
                                          <a:srgbClr val="000000"/>
                                        </a:solidFill>
                                        <a:miter/>
                                      </a:ln>
                                    </wps:spPr>
                                    <wps:style>
                                      <a:lnRef idx="0">
                                        <a:scrgbClr r="0" g="0" b="0"/>
                                      </a:lnRef>
                                      <a:fillRef idx="0">
                                        <a:scrgbClr r="0" g="0" b="0"/>
                                      </a:fillRef>
                                      <a:effectRef idx="0">
                                        <a:scrgbClr r="0" g="0" b="0"/>
                                      </a:effectRef>
                                      <a:fontRef idx="minor"/>
                                    </wps:style>
                                    <wps:bodyPr/>
                                  </wps:wsp>
                                  <wps:wsp>
                                    <wps:cNvPr id="54" name="Freeform: Shape 200"/>
                                    <wps:cNvSpPr/>
                                    <wps:spPr>
                                      <a:xfrm>
                                        <a:off x="673920" y="1342440"/>
                                        <a:ext cx="70560" cy="72360"/>
                                      </a:xfrm>
                                      <a:custGeom>
                                        <a:avLst/>
                                        <a:gdLst>
                                          <a:gd name="textAreaLeft" fmla="*/ 0 w 39960"/>
                                          <a:gd name="textAreaRight" fmla="*/ 40320 w 39960"/>
                                          <a:gd name="textAreaTop" fmla="*/ 0 h 41040"/>
                                          <a:gd name="textAreaBottom" fmla="*/ 41400 h 41040"/>
                                          <a:gd name="GluePoint1X" fmla="*/ 114237 w 114236"/>
                                          <a:gd name="GluePoint1Y" fmla="*/ 57118 h 114236"/>
                                          <a:gd name="GluePoint2X" fmla="*/ 57118 w 114236"/>
                                          <a:gd name="GluePoint2Y" fmla="*/ 114237 h 114236"/>
                                          <a:gd name="GluePoint3X" fmla="*/ 0 w 114236"/>
                                          <a:gd name="GluePoint3Y" fmla="*/ 57118 h 114236"/>
                                          <a:gd name="GluePoint4X" fmla="*/ 57118 w 114236"/>
                                          <a:gd name="GluePoint4Y" fmla="*/ 0 h 114236"/>
                                          <a:gd name="GluePoint5X" fmla="*/ 114237 w 114236"/>
                                          <a:gd name="GluePoint5Y" fmla="*/ 57118 h 114236"/>
                                        </a:gdLst>
                                        <a:ahLst/>
                                        <a:cxnLst>
                                          <a:cxn ang="0">
                                            <a:pos x="GluePoint1X" y="GluePoint1Y"/>
                                          </a:cxn>
                                          <a:cxn ang="0">
                                            <a:pos x="GluePoint2X" y="GluePoint2Y"/>
                                          </a:cxn>
                                          <a:cxn ang="0">
                                            <a:pos x="GluePoint3X" y="GluePoint3Y"/>
                                          </a:cxn>
                                          <a:cxn ang="0">
                                            <a:pos x="GluePoint4X" y="GluePoint4Y"/>
                                          </a:cxn>
                                          <a:cxn ang="0">
                                            <a:pos x="GluePoint5X" y="GluePoint5Y"/>
                                          </a:cxn>
                                        </a:cxnLst>
                                        <a:rect l="textAreaLeft" t="textAreaTop" r="textAreaRight" b="textAreaBottom"/>
                                        <a:pathLst>
                                          <a:path w="114236" h="114236">
                                            <a:moveTo>
                                              <a:pt x="114237" y="57118"/>
                                            </a:moveTo>
                                            <a:cubicBezTo>
                                              <a:pt x="114237" y="88664"/>
                                              <a:pt x="88664" y="114237"/>
                                              <a:pt x="57118" y="114237"/>
                                            </a:cubicBezTo>
                                            <a:cubicBezTo>
                                              <a:pt x="25573" y="114237"/>
                                              <a:pt x="0" y="88664"/>
                                              <a:pt x="0" y="57118"/>
                                            </a:cubicBezTo>
                                            <a:cubicBezTo>
                                              <a:pt x="0" y="25573"/>
                                              <a:pt x="25573" y="0"/>
                                              <a:pt x="57118" y="0"/>
                                            </a:cubicBezTo>
                                            <a:cubicBezTo>
                                              <a:pt x="88664" y="0"/>
                                              <a:pt x="114237" y="25573"/>
                                              <a:pt x="114237" y="57118"/>
                                            </a:cubicBezTo>
                                            <a:close/>
                                          </a:path>
                                        </a:pathLst>
                                      </a:custGeom>
                                      <a:solidFill>
                                        <a:schemeClr val="tx1"/>
                                      </a:solidFill>
                                      <a:ln w="15773">
                                        <a:solidFill>
                                          <a:srgbClr val="000000"/>
                                        </a:solidFill>
                                        <a:miter/>
                                      </a:ln>
                                    </wps:spPr>
                                    <wps:style>
                                      <a:lnRef idx="0">
                                        <a:scrgbClr r="0" g="0" b="0"/>
                                      </a:lnRef>
                                      <a:fillRef idx="0">
                                        <a:scrgbClr r="0" g="0" b="0"/>
                                      </a:fillRef>
                                      <a:effectRef idx="0">
                                        <a:scrgbClr r="0" g="0" b="0"/>
                                      </a:effectRef>
                                      <a:fontRef idx="minor"/>
                                    </wps:style>
                                    <wps:bodyPr/>
                                  </wps:wsp>
                                  <wps:wsp>
                                    <wps:cNvPr id="55" name="Freeform: Shape 201"/>
                                    <wps:cNvSpPr/>
                                    <wps:spPr>
                                      <a:xfrm>
                                        <a:off x="1005480" y="1278000"/>
                                        <a:ext cx="70560" cy="72360"/>
                                      </a:xfrm>
                                      <a:custGeom>
                                        <a:avLst/>
                                        <a:gdLst>
                                          <a:gd name="textAreaLeft" fmla="*/ 0 w 39960"/>
                                          <a:gd name="textAreaRight" fmla="*/ 40320 w 39960"/>
                                          <a:gd name="textAreaTop" fmla="*/ 0 h 41040"/>
                                          <a:gd name="textAreaBottom" fmla="*/ 41400 h 41040"/>
                                          <a:gd name="GluePoint1X" fmla="*/ 114237 w 114236"/>
                                          <a:gd name="GluePoint1Y" fmla="*/ 57118 h 114236"/>
                                          <a:gd name="GluePoint2X" fmla="*/ 57118 w 114236"/>
                                          <a:gd name="GluePoint2Y" fmla="*/ 114237 h 114236"/>
                                          <a:gd name="GluePoint3X" fmla="*/ 0 w 114236"/>
                                          <a:gd name="GluePoint3Y" fmla="*/ 57118 h 114236"/>
                                          <a:gd name="GluePoint4X" fmla="*/ 57118 w 114236"/>
                                          <a:gd name="GluePoint4Y" fmla="*/ 0 h 114236"/>
                                          <a:gd name="GluePoint5X" fmla="*/ 114237 w 114236"/>
                                          <a:gd name="GluePoint5Y" fmla="*/ 57118 h 114236"/>
                                        </a:gdLst>
                                        <a:ahLst/>
                                        <a:cxnLst>
                                          <a:cxn ang="0">
                                            <a:pos x="GluePoint1X" y="GluePoint1Y"/>
                                          </a:cxn>
                                          <a:cxn ang="0">
                                            <a:pos x="GluePoint2X" y="GluePoint2Y"/>
                                          </a:cxn>
                                          <a:cxn ang="0">
                                            <a:pos x="GluePoint3X" y="GluePoint3Y"/>
                                          </a:cxn>
                                          <a:cxn ang="0">
                                            <a:pos x="GluePoint4X" y="GluePoint4Y"/>
                                          </a:cxn>
                                          <a:cxn ang="0">
                                            <a:pos x="GluePoint5X" y="GluePoint5Y"/>
                                          </a:cxn>
                                        </a:cxnLst>
                                        <a:rect l="textAreaLeft" t="textAreaTop" r="textAreaRight" b="textAreaBottom"/>
                                        <a:pathLst>
                                          <a:path w="114236" h="114236">
                                            <a:moveTo>
                                              <a:pt x="114237" y="57118"/>
                                            </a:moveTo>
                                            <a:cubicBezTo>
                                              <a:pt x="114237" y="88664"/>
                                              <a:pt x="88664" y="114237"/>
                                              <a:pt x="57118" y="114237"/>
                                            </a:cubicBezTo>
                                            <a:cubicBezTo>
                                              <a:pt x="25573" y="114237"/>
                                              <a:pt x="0" y="88664"/>
                                              <a:pt x="0" y="57118"/>
                                            </a:cubicBezTo>
                                            <a:cubicBezTo>
                                              <a:pt x="0" y="25573"/>
                                              <a:pt x="25573" y="0"/>
                                              <a:pt x="57118" y="0"/>
                                            </a:cubicBezTo>
                                            <a:cubicBezTo>
                                              <a:pt x="88664" y="0"/>
                                              <a:pt x="114237" y="25573"/>
                                              <a:pt x="114237" y="57118"/>
                                            </a:cubicBezTo>
                                            <a:close/>
                                          </a:path>
                                        </a:pathLst>
                                      </a:custGeom>
                                      <a:solidFill>
                                        <a:schemeClr val="tx1"/>
                                      </a:solidFill>
                                      <a:ln w="15773">
                                        <a:solidFill>
                                          <a:srgbClr val="000000"/>
                                        </a:solidFill>
                                        <a:miter/>
                                      </a:ln>
                                    </wps:spPr>
                                    <wps:style>
                                      <a:lnRef idx="0">
                                        <a:scrgbClr r="0" g="0" b="0"/>
                                      </a:lnRef>
                                      <a:fillRef idx="0">
                                        <a:scrgbClr r="0" g="0" b="0"/>
                                      </a:fillRef>
                                      <a:effectRef idx="0">
                                        <a:scrgbClr r="0" g="0" b="0"/>
                                      </a:effectRef>
                                      <a:fontRef idx="minor"/>
                                    </wps:style>
                                    <wps:bodyPr/>
                                  </wps:wsp>
                                  <wps:wsp>
                                    <wps:cNvPr id="56" name="Freeform: Shape 202"/>
                                    <wps:cNvSpPr/>
                                    <wps:spPr>
                                      <a:xfrm>
                                        <a:off x="1340640" y="1178280"/>
                                        <a:ext cx="70560" cy="72360"/>
                                      </a:xfrm>
                                      <a:custGeom>
                                        <a:avLst/>
                                        <a:gdLst>
                                          <a:gd name="textAreaLeft" fmla="*/ 0 w 39960"/>
                                          <a:gd name="textAreaRight" fmla="*/ 40320 w 39960"/>
                                          <a:gd name="textAreaTop" fmla="*/ 0 h 41040"/>
                                          <a:gd name="textAreaBottom" fmla="*/ 41400 h 41040"/>
                                          <a:gd name="GluePoint1X" fmla="*/ 114237 w 114236"/>
                                          <a:gd name="GluePoint1Y" fmla="*/ 57118 h 114236"/>
                                          <a:gd name="GluePoint2X" fmla="*/ 57118 w 114236"/>
                                          <a:gd name="GluePoint2Y" fmla="*/ 114237 h 114236"/>
                                          <a:gd name="GluePoint3X" fmla="*/ 0 w 114236"/>
                                          <a:gd name="GluePoint3Y" fmla="*/ 57118 h 114236"/>
                                          <a:gd name="GluePoint4X" fmla="*/ 57118 w 114236"/>
                                          <a:gd name="GluePoint4Y" fmla="*/ 0 h 114236"/>
                                          <a:gd name="GluePoint5X" fmla="*/ 114237 w 114236"/>
                                          <a:gd name="GluePoint5Y" fmla="*/ 57118 h 114236"/>
                                        </a:gdLst>
                                        <a:ahLst/>
                                        <a:cxnLst>
                                          <a:cxn ang="0">
                                            <a:pos x="GluePoint1X" y="GluePoint1Y"/>
                                          </a:cxn>
                                          <a:cxn ang="0">
                                            <a:pos x="GluePoint2X" y="GluePoint2Y"/>
                                          </a:cxn>
                                          <a:cxn ang="0">
                                            <a:pos x="GluePoint3X" y="GluePoint3Y"/>
                                          </a:cxn>
                                          <a:cxn ang="0">
                                            <a:pos x="GluePoint4X" y="GluePoint4Y"/>
                                          </a:cxn>
                                          <a:cxn ang="0">
                                            <a:pos x="GluePoint5X" y="GluePoint5Y"/>
                                          </a:cxn>
                                        </a:cxnLst>
                                        <a:rect l="textAreaLeft" t="textAreaTop" r="textAreaRight" b="textAreaBottom"/>
                                        <a:pathLst>
                                          <a:path w="114236" h="114236">
                                            <a:moveTo>
                                              <a:pt x="114237" y="57118"/>
                                            </a:moveTo>
                                            <a:cubicBezTo>
                                              <a:pt x="114237" y="88664"/>
                                              <a:pt x="88664" y="114237"/>
                                              <a:pt x="57118" y="114237"/>
                                            </a:cubicBezTo>
                                            <a:cubicBezTo>
                                              <a:pt x="25573" y="114237"/>
                                              <a:pt x="0" y="88664"/>
                                              <a:pt x="0" y="57118"/>
                                            </a:cubicBezTo>
                                            <a:cubicBezTo>
                                              <a:pt x="0" y="25573"/>
                                              <a:pt x="25573" y="0"/>
                                              <a:pt x="57118" y="0"/>
                                            </a:cubicBezTo>
                                            <a:cubicBezTo>
                                              <a:pt x="88664" y="0"/>
                                              <a:pt x="114237" y="25573"/>
                                              <a:pt x="114237" y="57118"/>
                                            </a:cubicBezTo>
                                            <a:close/>
                                          </a:path>
                                        </a:pathLst>
                                      </a:custGeom>
                                      <a:solidFill>
                                        <a:schemeClr val="tx1"/>
                                      </a:solidFill>
                                      <a:ln w="15773">
                                        <a:solidFill>
                                          <a:srgbClr val="000000"/>
                                        </a:solidFill>
                                        <a:miter/>
                                      </a:ln>
                                    </wps:spPr>
                                    <wps:style>
                                      <a:lnRef idx="0">
                                        <a:scrgbClr r="0" g="0" b="0"/>
                                      </a:lnRef>
                                      <a:fillRef idx="0">
                                        <a:scrgbClr r="0" g="0" b="0"/>
                                      </a:fillRef>
                                      <a:effectRef idx="0">
                                        <a:scrgbClr r="0" g="0" b="0"/>
                                      </a:effectRef>
                                      <a:fontRef idx="minor"/>
                                    </wps:style>
                                    <wps:bodyPr/>
                                  </wps:wsp>
                                  <wps:wsp>
                                    <wps:cNvPr id="57" name="Freeform: Shape 203"/>
                                    <wps:cNvSpPr/>
                                    <wps:spPr>
                                      <a:xfrm>
                                        <a:off x="1675080" y="1157400"/>
                                        <a:ext cx="70560" cy="72360"/>
                                      </a:xfrm>
                                      <a:custGeom>
                                        <a:avLst/>
                                        <a:gdLst>
                                          <a:gd name="textAreaLeft" fmla="*/ 0 w 39960"/>
                                          <a:gd name="textAreaRight" fmla="*/ 40320 w 39960"/>
                                          <a:gd name="textAreaTop" fmla="*/ 0 h 41040"/>
                                          <a:gd name="textAreaBottom" fmla="*/ 41400 h 41040"/>
                                          <a:gd name="GluePoint1X" fmla="*/ 114237 w 114236"/>
                                          <a:gd name="GluePoint1Y" fmla="*/ 57118 h 114236"/>
                                          <a:gd name="GluePoint2X" fmla="*/ 57119 w 114236"/>
                                          <a:gd name="GluePoint2Y" fmla="*/ 114237 h 114236"/>
                                          <a:gd name="GluePoint3X" fmla="*/ 0 w 114236"/>
                                          <a:gd name="GluePoint3Y" fmla="*/ 57118 h 114236"/>
                                          <a:gd name="GluePoint4X" fmla="*/ 57119 w 114236"/>
                                          <a:gd name="GluePoint4Y" fmla="*/ 0 h 114236"/>
                                          <a:gd name="GluePoint5X" fmla="*/ 114237 w 114236"/>
                                          <a:gd name="GluePoint5Y" fmla="*/ 57118 h 114236"/>
                                        </a:gdLst>
                                        <a:ahLst/>
                                        <a:cxnLst>
                                          <a:cxn ang="0">
                                            <a:pos x="GluePoint1X" y="GluePoint1Y"/>
                                          </a:cxn>
                                          <a:cxn ang="0">
                                            <a:pos x="GluePoint2X" y="GluePoint2Y"/>
                                          </a:cxn>
                                          <a:cxn ang="0">
                                            <a:pos x="GluePoint3X" y="GluePoint3Y"/>
                                          </a:cxn>
                                          <a:cxn ang="0">
                                            <a:pos x="GluePoint4X" y="GluePoint4Y"/>
                                          </a:cxn>
                                          <a:cxn ang="0">
                                            <a:pos x="GluePoint5X" y="GluePoint5Y"/>
                                          </a:cxn>
                                        </a:cxnLst>
                                        <a:rect l="textAreaLeft" t="textAreaTop" r="textAreaRight" b="textAreaBottom"/>
                                        <a:pathLst>
                                          <a:path w="114236" h="114236">
                                            <a:moveTo>
                                              <a:pt x="114237" y="57118"/>
                                            </a:moveTo>
                                            <a:cubicBezTo>
                                              <a:pt x="114237" y="88664"/>
                                              <a:pt x="88664" y="114237"/>
                                              <a:pt x="57119" y="114237"/>
                                            </a:cubicBezTo>
                                            <a:cubicBezTo>
                                              <a:pt x="25573" y="114237"/>
                                              <a:pt x="0" y="88664"/>
                                              <a:pt x="0" y="57118"/>
                                            </a:cubicBezTo>
                                            <a:cubicBezTo>
                                              <a:pt x="0" y="25573"/>
                                              <a:pt x="25573" y="0"/>
                                              <a:pt x="57119" y="0"/>
                                            </a:cubicBezTo>
                                            <a:cubicBezTo>
                                              <a:pt x="88664" y="0"/>
                                              <a:pt x="114237" y="25573"/>
                                              <a:pt x="114237" y="57118"/>
                                            </a:cubicBezTo>
                                            <a:close/>
                                          </a:path>
                                        </a:pathLst>
                                      </a:custGeom>
                                      <a:solidFill>
                                        <a:schemeClr val="tx1"/>
                                      </a:solidFill>
                                      <a:ln w="15773">
                                        <a:solidFill>
                                          <a:srgbClr val="000000"/>
                                        </a:solidFill>
                                        <a:miter/>
                                      </a:ln>
                                    </wps:spPr>
                                    <wps:style>
                                      <a:lnRef idx="0">
                                        <a:scrgbClr r="0" g="0" b="0"/>
                                      </a:lnRef>
                                      <a:fillRef idx="0">
                                        <a:scrgbClr r="0" g="0" b="0"/>
                                      </a:fillRef>
                                      <a:effectRef idx="0">
                                        <a:scrgbClr r="0" g="0" b="0"/>
                                      </a:effectRef>
                                      <a:fontRef idx="minor"/>
                                    </wps:style>
                                    <wps:bodyPr/>
                                  </wps:wsp>
                                  <wps:wsp>
                                    <wps:cNvPr id="58" name="Freeform: Shape 204"/>
                                    <wps:cNvSpPr/>
                                    <wps:spPr>
                                      <a:xfrm>
                                        <a:off x="2010600" y="1123920"/>
                                        <a:ext cx="70560" cy="72360"/>
                                      </a:xfrm>
                                      <a:custGeom>
                                        <a:avLst/>
                                        <a:gdLst>
                                          <a:gd name="textAreaLeft" fmla="*/ 0 w 39960"/>
                                          <a:gd name="textAreaRight" fmla="*/ 40320 w 39960"/>
                                          <a:gd name="textAreaTop" fmla="*/ 0 h 41040"/>
                                          <a:gd name="textAreaBottom" fmla="*/ 41400 h 41040"/>
                                          <a:gd name="GluePoint1X" fmla="*/ 114237 w 114236"/>
                                          <a:gd name="GluePoint1Y" fmla="*/ 57118 h 114236"/>
                                          <a:gd name="GluePoint2X" fmla="*/ 57118 w 114236"/>
                                          <a:gd name="GluePoint2Y" fmla="*/ 114237 h 114236"/>
                                          <a:gd name="GluePoint3X" fmla="*/ 0 w 114236"/>
                                          <a:gd name="GluePoint3Y" fmla="*/ 57118 h 114236"/>
                                          <a:gd name="GluePoint4X" fmla="*/ 57118 w 114236"/>
                                          <a:gd name="GluePoint4Y" fmla="*/ 0 h 114236"/>
                                          <a:gd name="GluePoint5X" fmla="*/ 114237 w 114236"/>
                                          <a:gd name="GluePoint5Y" fmla="*/ 57118 h 114236"/>
                                        </a:gdLst>
                                        <a:ahLst/>
                                        <a:cxnLst>
                                          <a:cxn ang="0">
                                            <a:pos x="GluePoint1X" y="GluePoint1Y"/>
                                          </a:cxn>
                                          <a:cxn ang="0">
                                            <a:pos x="GluePoint2X" y="GluePoint2Y"/>
                                          </a:cxn>
                                          <a:cxn ang="0">
                                            <a:pos x="GluePoint3X" y="GluePoint3Y"/>
                                          </a:cxn>
                                          <a:cxn ang="0">
                                            <a:pos x="GluePoint4X" y="GluePoint4Y"/>
                                          </a:cxn>
                                          <a:cxn ang="0">
                                            <a:pos x="GluePoint5X" y="GluePoint5Y"/>
                                          </a:cxn>
                                        </a:cxnLst>
                                        <a:rect l="textAreaLeft" t="textAreaTop" r="textAreaRight" b="textAreaBottom"/>
                                        <a:pathLst>
                                          <a:path w="114236" h="114236">
                                            <a:moveTo>
                                              <a:pt x="114237" y="57118"/>
                                            </a:moveTo>
                                            <a:cubicBezTo>
                                              <a:pt x="114237" y="88664"/>
                                              <a:pt x="88664" y="114237"/>
                                              <a:pt x="57118" y="114237"/>
                                            </a:cubicBezTo>
                                            <a:cubicBezTo>
                                              <a:pt x="25573" y="114237"/>
                                              <a:pt x="0" y="88664"/>
                                              <a:pt x="0" y="57118"/>
                                            </a:cubicBezTo>
                                            <a:cubicBezTo>
                                              <a:pt x="0" y="25573"/>
                                              <a:pt x="25573" y="0"/>
                                              <a:pt x="57118" y="0"/>
                                            </a:cubicBezTo>
                                            <a:cubicBezTo>
                                              <a:pt x="88664" y="0"/>
                                              <a:pt x="114237" y="25573"/>
                                              <a:pt x="114237" y="57118"/>
                                            </a:cubicBezTo>
                                            <a:close/>
                                          </a:path>
                                        </a:pathLst>
                                      </a:custGeom>
                                      <a:solidFill>
                                        <a:schemeClr val="tx1"/>
                                      </a:solidFill>
                                      <a:ln w="15773">
                                        <a:solidFill>
                                          <a:srgbClr val="000000"/>
                                        </a:solidFill>
                                        <a:miter/>
                                      </a:ln>
                                    </wps:spPr>
                                    <wps:style>
                                      <a:lnRef idx="0">
                                        <a:scrgbClr r="0" g="0" b="0"/>
                                      </a:lnRef>
                                      <a:fillRef idx="0">
                                        <a:scrgbClr r="0" g="0" b="0"/>
                                      </a:fillRef>
                                      <a:effectRef idx="0">
                                        <a:scrgbClr r="0" g="0" b="0"/>
                                      </a:effectRef>
                                      <a:fontRef idx="minor"/>
                                    </wps:style>
                                    <wps:bodyPr/>
                                  </wps:wsp>
                                  <wps:wsp>
                                    <wps:cNvPr id="59" name="Freeform: Shape 205"/>
                                    <wps:cNvSpPr/>
                                    <wps:spPr>
                                      <a:xfrm>
                                        <a:off x="2345040" y="986760"/>
                                        <a:ext cx="70560" cy="72360"/>
                                      </a:xfrm>
                                      <a:custGeom>
                                        <a:avLst/>
                                        <a:gdLst>
                                          <a:gd name="textAreaLeft" fmla="*/ 0 w 39960"/>
                                          <a:gd name="textAreaRight" fmla="*/ 40320 w 39960"/>
                                          <a:gd name="textAreaTop" fmla="*/ 0 h 41040"/>
                                          <a:gd name="textAreaBottom" fmla="*/ 41400 h 41040"/>
                                          <a:gd name="GluePoint1X" fmla="*/ 114237 w 114236"/>
                                          <a:gd name="GluePoint1Y" fmla="*/ 57118 h 114236"/>
                                          <a:gd name="GluePoint2X" fmla="*/ 57119 w 114236"/>
                                          <a:gd name="GluePoint2Y" fmla="*/ 114237 h 114236"/>
                                          <a:gd name="GluePoint3X" fmla="*/ 0 w 114236"/>
                                          <a:gd name="GluePoint3Y" fmla="*/ 57118 h 114236"/>
                                          <a:gd name="GluePoint4X" fmla="*/ 57119 w 114236"/>
                                          <a:gd name="GluePoint4Y" fmla="*/ 0 h 114236"/>
                                          <a:gd name="GluePoint5X" fmla="*/ 114237 w 114236"/>
                                          <a:gd name="GluePoint5Y" fmla="*/ 57118 h 114236"/>
                                        </a:gdLst>
                                        <a:ahLst/>
                                        <a:cxnLst>
                                          <a:cxn ang="0">
                                            <a:pos x="GluePoint1X" y="GluePoint1Y"/>
                                          </a:cxn>
                                          <a:cxn ang="0">
                                            <a:pos x="GluePoint2X" y="GluePoint2Y"/>
                                          </a:cxn>
                                          <a:cxn ang="0">
                                            <a:pos x="GluePoint3X" y="GluePoint3Y"/>
                                          </a:cxn>
                                          <a:cxn ang="0">
                                            <a:pos x="GluePoint4X" y="GluePoint4Y"/>
                                          </a:cxn>
                                          <a:cxn ang="0">
                                            <a:pos x="GluePoint5X" y="GluePoint5Y"/>
                                          </a:cxn>
                                        </a:cxnLst>
                                        <a:rect l="textAreaLeft" t="textAreaTop" r="textAreaRight" b="textAreaBottom"/>
                                        <a:pathLst>
                                          <a:path w="114236" h="114236">
                                            <a:moveTo>
                                              <a:pt x="114237" y="57118"/>
                                            </a:moveTo>
                                            <a:cubicBezTo>
                                              <a:pt x="114237" y="88664"/>
                                              <a:pt x="88664" y="114237"/>
                                              <a:pt x="57119" y="114237"/>
                                            </a:cubicBezTo>
                                            <a:cubicBezTo>
                                              <a:pt x="25573" y="114237"/>
                                              <a:pt x="0" y="88664"/>
                                              <a:pt x="0" y="57118"/>
                                            </a:cubicBezTo>
                                            <a:cubicBezTo>
                                              <a:pt x="0" y="25573"/>
                                              <a:pt x="25573" y="0"/>
                                              <a:pt x="57119" y="0"/>
                                            </a:cubicBezTo>
                                            <a:cubicBezTo>
                                              <a:pt x="88664" y="0"/>
                                              <a:pt x="114237" y="25573"/>
                                              <a:pt x="114237" y="57118"/>
                                            </a:cubicBezTo>
                                            <a:close/>
                                          </a:path>
                                        </a:pathLst>
                                      </a:custGeom>
                                      <a:solidFill>
                                        <a:schemeClr val="tx1"/>
                                      </a:solidFill>
                                      <a:ln w="15773">
                                        <a:solidFill>
                                          <a:srgbClr val="000000"/>
                                        </a:solidFill>
                                        <a:miter/>
                                      </a:ln>
                                    </wps:spPr>
                                    <wps:style>
                                      <a:lnRef idx="0">
                                        <a:scrgbClr r="0" g="0" b="0"/>
                                      </a:lnRef>
                                      <a:fillRef idx="0">
                                        <a:scrgbClr r="0" g="0" b="0"/>
                                      </a:fillRef>
                                      <a:effectRef idx="0">
                                        <a:scrgbClr r="0" g="0" b="0"/>
                                      </a:effectRef>
                                      <a:fontRef idx="minor"/>
                                    </wps:style>
                                    <wps:bodyPr/>
                                  </wps:wsp>
                                  <wps:wsp>
                                    <wps:cNvPr id="60" name="Freeform: Shape 206"/>
                                    <wps:cNvSpPr/>
                                    <wps:spPr>
                                      <a:xfrm>
                                        <a:off x="2680560" y="971280"/>
                                        <a:ext cx="70560" cy="72360"/>
                                      </a:xfrm>
                                      <a:custGeom>
                                        <a:avLst/>
                                        <a:gdLst>
                                          <a:gd name="textAreaLeft" fmla="*/ 0 w 39960"/>
                                          <a:gd name="textAreaRight" fmla="*/ 40320 w 39960"/>
                                          <a:gd name="textAreaTop" fmla="*/ 0 h 41040"/>
                                          <a:gd name="textAreaBottom" fmla="*/ 41400 h 41040"/>
                                          <a:gd name="GluePoint1X" fmla="*/ 114237 w 114236"/>
                                          <a:gd name="GluePoint1Y" fmla="*/ 57118 h 114236"/>
                                          <a:gd name="GluePoint2X" fmla="*/ 57118 w 114236"/>
                                          <a:gd name="GluePoint2Y" fmla="*/ 114237 h 114236"/>
                                          <a:gd name="GluePoint3X" fmla="*/ 0 w 114236"/>
                                          <a:gd name="GluePoint3Y" fmla="*/ 57118 h 114236"/>
                                          <a:gd name="GluePoint4X" fmla="*/ 57118 w 114236"/>
                                          <a:gd name="GluePoint4Y" fmla="*/ 0 h 114236"/>
                                          <a:gd name="GluePoint5X" fmla="*/ 114237 w 114236"/>
                                          <a:gd name="GluePoint5Y" fmla="*/ 57118 h 114236"/>
                                        </a:gdLst>
                                        <a:ahLst/>
                                        <a:cxnLst>
                                          <a:cxn ang="0">
                                            <a:pos x="GluePoint1X" y="GluePoint1Y"/>
                                          </a:cxn>
                                          <a:cxn ang="0">
                                            <a:pos x="GluePoint2X" y="GluePoint2Y"/>
                                          </a:cxn>
                                          <a:cxn ang="0">
                                            <a:pos x="GluePoint3X" y="GluePoint3Y"/>
                                          </a:cxn>
                                          <a:cxn ang="0">
                                            <a:pos x="GluePoint4X" y="GluePoint4Y"/>
                                          </a:cxn>
                                          <a:cxn ang="0">
                                            <a:pos x="GluePoint5X" y="GluePoint5Y"/>
                                          </a:cxn>
                                        </a:cxnLst>
                                        <a:rect l="textAreaLeft" t="textAreaTop" r="textAreaRight" b="textAreaBottom"/>
                                        <a:pathLst>
                                          <a:path w="114236" h="114236">
                                            <a:moveTo>
                                              <a:pt x="114237" y="57118"/>
                                            </a:moveTo>
                                            <a:cubicBezTo>
                                              <a:pt x="114237" y="88664"/>
                                              <a:pt x="88664" y="114237"/>
                                              <a:pt x="57118" y="114237"/>
                                            </a:cubicBezTo>
                                            <a:cubicBezTo>
                                              <a:pt x="25573" y="114237"/>
                                              <a:pt x="0" y="88664"/>
                                              <a:pt x="0" y="57118"/>
                                            </a:cubicBezTo>
                                            <a:cubicBezTo>
                                              <a:pt x="0" y="25573"/>
                                              <a:pt x="25573" y="0"/>
                                              <a:pt x="57118" y="0"/>
                                            </a:cubicBezTo>
                                            <a:cubicBezTo>
                                              <a:pt x="88664" y="0"/>
                                              <a:pt x="114237" y="25573"/>
                                              <a:pt x="114237" y="57118"/>
                                            </a:cubicBezTo>
                                            <a:close/>
                                          </a:path>
                                        </a:pathLst>
                                      </a:custGeom>
                                      <a:solidFill>
                                        <a:schemeClr val="tx1"/>
                                      </a:solidFill>
                                      <a:ln w="15773">
                                        <a:solidFill>
                                          <a:srgbClr val="000000"/>
                                        </a:solidFill>
                                        <a:miter/>
                                      </a:ln>
                                    </wps:spPr>
                                    <wps:style>
                                      <a:lnRef idx="0">
                                        <a:scrgbClr r="0" g="0" b="0"/>
                                      </a:lnRef>
                                      <a:fillRef idx="0">
                                        <a:scrgbClr r="0" g="0" b="0"/>
                                      </a:fillRef>
                                      <a:effectRef idx="0">
                                        <a:scrgbClr r="0" g="0" b="0"/>
                                      </a:effectRef>
                                      <a:fontRef idx="minor"/>
                                    </wps:style>
                                    <wps:bodyPr/>
                                  </wps:wsp>
                                  <wps:wsp>
                                    <wps:cNvPr id="61" name="Freeform: Shape 207"/>
                                    <wps:cNvSpPr/>
                                    <wps:spPr>
                                      <a:xfrm>
                                        <a:off x="3017160" y="984240"/>
                                        <a:ext cx="70560" cy="72360"/>
                                      </a:xfrm>
                                      <a:custGeom>
                                        <a:avLst/>
                                        <a:gdLst>
                                          <a:gd name="textAreaLeft" fmla="*/ 0 w 39960"/>
                                          <a:gd name="textAreaRight" fmla="*/ 40320 w 39960"/>
                                          <a:gd name="textAreaTop" fmla="*/ 0 h 41040"/>
                                          <a:gd name="textAreaBottom" fmla="*/ 41400 h 41040"/>
                                          <a:gd name="GluePoint1X" fmla="*/ 114237 w 114236"/>
                                          <a:gd name="GluePoint1Y" fmla="*/ 57118 h 114236"/>
                                          <a:gd name="GluePoint2X" fmla="*/ 57119 w 114236"/>
                                          <a:gd name="GluePoint2Y" fmla="*/ 114237 h 114236"/>
                                          <a:gd name="GluePoint3X" fmla="*/ 0 w 114236"/>
                                          <a:gd name="GluePoint3Y" fmla="*/ 57118 h 114236"/>
                                          <a:gd name="GluePoint4X" fmla="*/ 57119 w 114236"/>
                                          <a:gd name="GluePoint4Y" fmla="*/ 0 h 114236"/>
                                          <a:gd name="GluePoint5X" fmla="*/ 114237 w 114236"/>
                                          <a:gd name="GluePoint5Y" fmla="*/ 57118 h 114236"/>
                                        </a:gdLst>
                                        <a:ahLst/>
                                        <a:cxnLst>
                                          <a:cxn ang="0">
                                            <a:pos x="GluePoint1X" y="GluePoint1Y"/>
                                          </a:cxn>
                                          <a:cxn ang="0">
                                            <a:pos x="GluePoint2X" y="GluePoint2Y"/>
                                          </a:cxn>
                                          <a:cxn ang="0">
                                            <a:pos x="GluePoint3X" y="GluePoint3Y"/>
                                          </a:cxn>
                                          <a:cxn ang="0">
                                            <a:pos x="GluePoint4X" y="GluePoint4Y"/>
                                          </a:cxn>
                                          <a:cxn ang="0">
                                            <a:pos x="GluePoint5X" y="GluePoint5Y"/>
                                          </a:cxn>
                                        </a:cxnLst>
                                        <a:rect l="textAreaLeft" t="textAreaTop" r="textAreaRight" b="textAreaBottom"/>
                                        <a:pathLst>
                                          <a:path w="114236" h="114236">
                                            <a:moveTo>
                                              <a:pt x="114237" y="57118"/>
                                            </a:moveTo>
                                            <a:cubicBezTo>
                                              <a:pt x="114237" y="88664"/>
                                              <a:pt x="88664" y="114237"/>
                                              <a:pt x="57119" y="114237"/>
                                            </a:cubicBezTo>
                                            <a:cubicBezTo>
                                              <a:pt x="25573" y="114237"/>
                                              <a:pt x="0" y="88664"/>
                                              <a:pt x="0" y="57118"/>
                                            </a:cubicBezTo>
                                            <a:cubicBezTo>
                                              <a:pt x="0" y="25573"/>
                                              <a:pt x="25573" y="0"/>
                                              <a:pt x="57119" y="0"/>
                                            </a:cubicBezTo>
                                            <a:cubicBezTo>
                                              <a:pt x="88664" y="0"/>
                                              <a:pt x="114237" y="25573"/>
                                              <a:pt x="114237" y="57118"/>
                                            </a:cubicBezTo>
                                            <a:close/>
                                          </a:path>
                                        </a:pathLst>
                                      </a:custGeom>
                                      <a:solidFill>
                                        <a:schemeClr val="tx1"/>
                                      </a:solidFill>
                                      <a:ln w="15773">
                                        <a:solidFill>
                                          <a:srgbClr val="000000"/>
                                        </a:solidFill>
                                        <a:miter/>
                                      </a:ln>
                                    </wps:spPr>
                                    <wps:style>
                                      <a:lnRef idx="0">
                                        <a:scrgbClr r="0" g="0" b="0"/>
                                      </a:lnRef>
                                      <a:fillRef idx="0">
                                        <a:scrgbClr r="0" g="0" b="0"/>
                                      </a:fillRef>
                                      <a:effectRef idx="0">
                                        <a:scrgbClr r="0" g="0" b="0"/>
                                      </a:effectRef>
                                      <a:fontRef idx="minor"/>
                                    </wps:style>
                                    <wps:bodyPr/>
                                  </wps:wsp>
                                  <wps:wsp>
                                    <wps:cNvPr id="62" name="Freeform: Shape 208"/>
                                    <wps:cNvSpPr/>
                                    <wps:spPr>
                                      <a:xfrm>
                                        <a:off x="3339720" y="884520"/>
                                        <a:ext cx="70560" cy="72360"/>
                                      </a:xfrm>
                                      <a:custGeom>
                                        <a:avLst/>
                                        <a:gdLst>
                                          <a:gd name="textAreaLeft" fmla="*/ 0 w 39960"/>
                                          <a:gd name="textAreaRight" fmla="*/ 40320 w 39960"/>
                                          <a:gd name="textAreaTop" fmla="*/ 0 h 41040"/>
                                          <a:gd name="textAreaBottom" fmla="*/ 41400 h 41040"/>
                                          <a:gd name="GluePoint1X" fmla="*/ 114237 w 114236"/>
                                          <a:gd name="GluePoint1Y" fmla="*/ 57118 h 114236"/>
                                          <a:gd name="GluePoint2X" fmla="*/ 57118 w 114236"/>
                                          <a:gd name="GluePoint2Y" fmla="*/ 114237 h 114236"/>
                                          <a:gd name="GluePoint3X" fmla="*/ 0 w 114236"/>
                                          <a:gd name="GluePoint3Y" fmla="*/ 57118 h 114236"/>
                                          <a:gd name="GluePoint4X" fmla="*/ 57118 w 114236"/>
                                          <a:gd name="GluePoint4Y" fmla="*/ 0 h 114236"/>
                                          <a:gd name="GluePoint5X" fmla="*/ 114237 w 114236"/>
                                          <a:gd name="GluePoint5Y" fmla="*/ 57118 h 114236"/>
                                        </a:gdLst>
                                        <a:ahLst/>
                                        <a:cxnLst>
                                          <a:cxn ang="0">
                                            <a:pos x="GluePoint1X" y="GluePoint1Y"/>
                                          </a:cxn>
                                          <a:cxn ang="0">
                                            <a:pos x="GluePoint2X" y="GluePoint2Y"/>
                                          </a:cxn>
                                          <a:cxn ang="0">
                                            <a:pos x="GluePoint3X" y="GluePoint3Y"/>
                                          </a:cxn>
                                          <a:cxn ang="0">
                                            <a:pos x="GluePoint4X" y="GluePoint4Y"/>
                                          </a:cxn>
                                          <a:cxn ang="0">
                                            <a:pos x="GluePoint5X" y="GluePoint5Y"/>
                                          </a:cxn>
                                        </a:cxnLst>
                                        <a:rect l="textAreaLeft" t="textAreaTop" r="textAreaRight" b="textAreaBottom"/>
                                        <a:pathLst>
                                          <a:path w="114236" h="114236">
                                            <a:moveTo>
                                              <a:pt x="114237" y="57118"/>
                                            </a:moveTo>
                                            <a:cubicBezTo>
                                              <a:pt x="114237" y="88664"/>
                                              <a:pt x="88664" y="114237"/>
                                              <a:pt x="57118" y="114237"/>
                                            </a:cubicBezTo>
                                            <a:cubicBezTo>
                                              <a:pt x="25573" y="114237"/>
                                              <a:pt x="0" y="88664"/>
                                              <a:pt x="0" y="57118"/>
                                            </a:cubicBezTo>
                                            <a:cubicBezTo>
                                              <a:pt x="0" y="25573"/>
                                              <a:pt x="25573" y="0"/>
                                              <a:pt x="57118" y="0"/>
                                            </a:cubicBezTo>
                                            <a:cubicBezTo>
                                              <a:pt x="88664" y="0"/>
                                              <a:pt x="114237" y="25573"/>
                                              <a:pt x="114237" y="57118"/>
                                            </a:cubicBezTo>
                                            <a:close/>
                                          </a:path>
                                        </a:pathLst>
                                      </a:custGeom>
                                      <a:solidFill>
                                        <a:schemeClr val="tx1"/>
                                      </a:solidFill>
                                      <a:ln w="15773">
                                        <a:solidFill>
                                          <a:srgbClr val="000000"/>
                                        </a:solidFill>
                                        <a:miter/>
                                      </a:ln>
                                    </wps:spPr>
                                    <wps:style>
                                      <a:lnRef idx="0">
                                        <a:scrgbClr r="0" g="0" b="0"/>
                                      </a:lnRef>
                                      <a:fillRef idx="0">
                                        <a:scrgbClr r="0" g="0" b="0"/>
                                      </a:fillRef>
                                      <a:effectRef idx="0">
                                        <a:scrgbClr r="0" g="0" b="0"/>
                                      </a:effectRef>
                                      <a:fontRef idx="minor"/>
                                    </wps:style>
                                    <wps:bodyPr/>
                                  </wps:wsp>
                                  <wps:wsp>
                                    <wps:cNvPr id="63" name="Freeform: Shape 209"/>
                                    <wps:cNvSpPr/>
                                    <wps:spPr>
                                      <a:xfrm>
                                        <a:off x="3670920" y="912960"/>
                                        <a:ext cx="70560" cy="72360"/>
                                      </a:xfrm>
                                      <a:custGeom>
                                        <a:avLst/>
                                        <a:gdLst>
                                          <a:gd name="textAreaLeft" fmla="*/ 0 w 39960"/>
                                          <a:gd name="textAreaRight" fmla="*/ 40320 w 39960"/>
                                          <a:gd name="textAreaTop" fmla="*/ 0 h 41040"/>
                                          <a:gd name="textAreaBottom" fmla="*/ 41400 h 41040"/>
                                          <a:gd name="GluePoint1X" fmla="*/ 114237 w 114236"/>
                                          <a:gd name="GluePoint1Y" fmla="*/ 57118 h 114236"/>
                                          <a:gd name="GluePoint2X" fmla="*/ 57119 w 114236"/>
                                          <a:gd name="GluePoint2Y" fmla="*/ 114237 h 114236"/>
                                          <a:gd name="GluePoint3X" fmla="*/ 0 w 114236"/>
                                          <a:gd name="GluePoint3Y" fmla="*/ 57118 h 114236"/>
                                          <a:gd name="GluePoint4X" fmla="*/ 57119 w 114236"/>
                                          <a:gd name="GluePoint4Y" fmla="*/ 0 h 114236"/>
                                          <a:gd name="GluePoint5X" fmla="*/ 114237 w 114236"/>
                                          <a:gd name="GluePoint5Y" fmla="*/ 57118 h 114236"/>
                                        </a:gdLst>
                                        <a:ahLst/>
                                        <a:cxnLst>
                                          <a:cxn ang="0">
                                            <a:pos x="GluePoint1X" y="GluePoint1Y"/>
                                          </a:cxn>
                                          <a:cxn ang="0">
                                            <a:pos x="GluePoint2X" y="GluePoint2Y"/>
                                          </a:cxn>
                                          <a:cxn ang="0">
                                            <a:pos x="GluePoint3X" y="GluePoint3Y"/>
                                          </a:cxn>
                                          <a:cxn ang="0">
                                            <a:pos x="GluePoint4X" y="GluePoint4Y"/>
                                          </a:cxn>
                                          <a:cxn ang="0">
                                            <a:pos x="GluePoint5X" y="GluePoint5Y"/>
                                          </a:cxn>
                                        </a:cxnLst>
                                        <a:rect l="textAreaLeft" t="textAreaTop" r="textAreaRight" b="textAreaBottom"/>
                                        <a:pathLst>
                                          <a:path w="114236" h="114236">
                                            <a:moveTo>
                                              <a:pt x="114237" y="57118"/>
                                            </a:moveTo>
                                            <a:cubicBezTo>
                                              <a:pt x="114237" y="88664"/>
                                              <a:pt x="88664" y="114237"/>
                                              <a:pt x="57119" y="114237"/>
                                            </a:cubicBezTo>
                                            <a:cubicBezTo>
                                              <a:pt x="25573" y="114237"/>
                                              <a:pt x="0" y="88664"/>
                                              <a:pt x="0" y="57118"/>
                                            </a:cubicBezTo>
                                            <a:cubicBezTo>
                                              <a:pt x="0" y="25573"/>
                                              <a:pt x="25573" y="0"/>
                                              <a:pt x="57119" y="0"/>
                                            </a:cubicBezTo>
                                            <a:cubicBezTo>
                                              <a:pt x="88664" y="0"/>
                                              <a:pt x="114237" y="25573"/>
                                              <a:pt x="114237" y="57118"/>
                                            </a:cubicBezTo>
                                            <a:close/>
                                          </a:path>
                                        </a:pathLst>
                                      </a:custGeom>
                                      <a:solidFill>
                                        <a:schemeClr val="tx1"/>
                                      </a:solidFill>
                                      <a:ln w="15773">
                                        <a:solidFill>
                                          <a:srgbClr val="000000"/>
                                        </a:solidFill>
                                        <a:miter/>
                                      </a:ln>
                                    </wps:spPr>
                                    <wps:style>
                                      <a:lnRef idx="0">
                                        <a:scrgbClr r="0" g="0" b="0"/>
                                      </a:lnRef>
                                      <a:fillRef idx="0">
                                        <a:scrgbClr r="0" g="0" b="0"/>
                                      </a:fillRef>
                                      <a:effectRef idx="0">
                                        <a:scrgbClr r="0" g="0" b="0"/>
                                      </a:effectRef>
                                      <a:fontRef idx="minor"/>
                                    </wps:style>
                                    <wps:bodyPr/>
                                  </wps:wsp>
                                  <wpg:grpSp>
                                    <wpg:cNvPr id="64" name="Group 64"/>
                                    <wpg:cNvGrpSpPr/>
                                    <wpg:grpSpPr>
                                      <a:xfrm>
                                        <a:off x="4009320" y="90000"/>
                                        <a:ext cx="70560" cy="1687680"/>
                                        <a:chOff x="0" y="0"/>
                                        <a:chExt cx="0" cy="0"/>
                                      </a:xfrm>
                                    </wpg:grpSpPr>
                                    <wps:wsp>
                                      <wps:cNvPr id="65" name="Freeform: Shape 212"/>
                                      <wps:cNvSpPr/>
                                      <wps:spPr>
                                        <a:xfrm>
                                          <a:off x="36360" y="0"/>
                                          <a:ext cx="9000" cy="1678320"/>
                                        </a:xfrm>
                                        <a:custGeom>
                                          <a:avLst/>
                                          <a:gdLst>
                                            <a:gd name="textAreaLeft" fmla="*/ 0 w 5040"/>
                                            <a:gd name="textAreaRight" fmla="*/ 5400 w 5040"/>
                                            <a:gd name="textAreaTop" fmla="*/ 0 h 951480"/>
                                            <a:gd name="textAreaBottom" fmla="*/ 951840 h 951480"/>
                                            <a:gd name="GluePoint1X" fmla="*/ 0 w 15778"/>
                                            <a:gd name="GluePoint1Y" fmla="*/ 0 h 2617508"/>
                                            <a:gd name="GluePoint2X" fmla="*/ 0 w 15778"/>
                                            <a:gd name="GluePoint2Y" fmla="*/ 2617509 h 2617508"/>
                                          </a:gdLst>
                                          <a:ahLst/>
                                          <a:cxnLst>
                                            <a:cxn ang="0">
                                              <a:pos x="GluePoint1X" y="GluePoint1Y"/>
                                            </a:cxn>
                                            <a:cxn ang="0">
                                              <a:pos x="GluePoint2X" y="GluePoint2Y"/>
                                            </a:cxn>
                                          </a:cxnLst>
                                          <a:rect l="textAreaLeft" t="textAreaTop" r="textAreaRight" b="textAreaBottom"/>
                                          <a:pathLst>
                                            <a:path w="15778" h="2617508">
                                              <a:moveTo>
                                                <a:pt x="0" y="0"/>
                                              </a:moveTo>
                                              <a:lnTo>
                                                <a:pt x="0" y="2617509"/>
                                              </a:lnTo>
                                            </a:path>
                                          </a:pathLst>
                                        </a:custGeom>
                                        <a:solidFill>
                                          <a:schemeClr val="tx1"/>
                                        </a:solidFill>
                                        <a:ln w="15773">
                                          <a:solidFill>
                                            <a:srgbClr val="000000"/>
                                          </a:solidFill>
                                          <a:miter/>
                                        </a:ln>
                                      </wps:spPr>
                                      <wps:style>
                                        <a:lnRef idx="0">
                                          <a:scrgbClr r="0" g="0" b="0"/>
                                        </a:lnRef>
                                        <a:fillRef idx="0">
                                          <a:scrgbClr r="0" g="0" b="0"/>
                                        </a:fillRef>
                                        <a:effectRef idx="0">
                                          <a:scrgbClr r="0" g="0" b="0"/>
                                        </a:effectRef>
                                        <a:fontRef idx="minor"/>
                                      </wps:style>
                                      <wps:bodyPr/>
                                    </wps:wsp>
                                    <wps:wsp>
                                      <wps:cNvPr id="66" name="Freeform: Shape 213"/>
                                      <wps:cNvSpPr/>
                                      <wps:spPr>
                                        <a:xfrm>
                                          <a:off x="0" y="0"/>
                                          <a:ext cx="68040" cy="9360"/>
                                        </a:xfrm>
                                        <a:custGeom>
                                          <a:avLst/>
                                          <a:gdLst>
                                            <a:gd name="textAreaLeft" fmla="*/ 0 w 38520"/>
                                            <a:gd name="textAreaRight" fmla="*/ 38880 w 38520"/>
                                            <a:gd name="textAreaTop" fmla="*/ 0 h 5400"/>
                                            <a:gd name="textAreaBottom" fmla="*/ 5760 h 5400"/>
                                            <a:gd name="GluePoint1X" fmla="*/ 0 w 109503"/>
                                            <a:gd name="GluePoint1Y" fmla="*/ 0 h 15778"/>
                                            <a:gd name="GluePoint2X" fmla="*/ 109503 w 109503"/>
                                            <a:gd name="GluePoint2Y" fmla="*/ 0 h 15778"/>
                                          </a:gdLst>
                                          <a:ahLst/>
                                          <a:cxnLst>
                                            <a:cxn ang="0">
                                              <a:pos x="GluePoint1X" y="GluePoint1Y"/>
                                            </a:cxn>
                                            <a:cxn ang="0">
                                              <a:pos x="GluePoint2X" y="GluePoint2Y"/>
                                            </a:cxn>
                                          </a:cxnLst>
                                          <a:rect l="textAreaLeft" t="textAreaTop" r="textAreaRight" b="textAreaBottom"/>
                                          <a:pathLst>
                                            <a:path w="109503" h="15778">
                                              <a:moveTo>
                                                <a:pt x="0" y="0"/>
                                              </a:moveTo>
                                              <a:lnTo>
                                                <a:pt x="109503" y="0"/>
                                              </a:lnTo>
                                            </a:path>
                                          </a:pathLst>
                                        </a:custGeom>
                                        <a:solidFill>
                                          <a:schemeClr val="tx1"/>
                                        </a:solidFill>
                                        <a:ln w="15773">
                                          <a:solidFill>
                                            <a:srgbClr val="000000"/>
                                          </a:solidFill>
                                          <a:miter/>
                                        </a:ln>
                                      </wps:spPr>
                                      <wps:style>
                                        <a:lnRef idx="0">
                                          <a:scrgbClr r="0" g="0" b="0"/>
                                        </a:lnRef>
                                        <a:fillRef idx="0">
                                          <a:scrgbClr r="0" g="0" b="0"/>
                                        </a:fillRef>
                                        <a:effectRef idx="0">
                                          <a:scrgbClr r="0" g="0" b="0"/>
                                        </a:effectRef>
                                        <a:fontRef idx="minor"/>
                                      </wps:style>
                                      <wps:bodyPr/>
                                    </wps:wsp>
                                    <wps:wsp>
                                      <wps:cNvPr id="67" name="Freeform: Shape 214"/>
                                      <wps:cNvSpPr/>
                                      <wps:spPr>
                                        <a:xfrm>
                                          <a:off x="0" y="1678320"/>
                                          <a:ext cx="68040" cy="9360"/>
                                        </a:xfrm>
                                        <a:custGeom>
                                          <a:avLst/>
                                          <a:gdLst>
                                            <a:gd name="textAreaLeft" fmla="*/ 0 w 38520"/>
                                            <a:gd name="textAreaRight" fmla="*/ 38880 w 38520"/>
                                            <a:gd name="textAreaTop" fmla="*/ 0 h 5400"/>
                                            <a:gd name="textAreaBottom" fmla="*/ 5760 h 5400"/>
                                            <a:gd name="GluePoint1X" fmla="*/ 0 w 109503"/>
                                            <a:gd name="GluePoint1Y" fmla="*/ 0 h 15778"/>
                                            <a:gd name="GluePoint2X" fmla="*/ 109503 w 109503"/>
                                            <a:gd name="GluePoint2Y" fmla="*/ 0 h 15778"/>
                                          </a:gdLst>
                                          <a:ahLst/>
                                          <a:cxnLst>
                                            <a:cxn ang="0">
                                              <a:pos x="GluePoint1X" y="GluePoint1Y"/>
                                            </a:cxn>
                                            <a:cxn ang="0">
                                              <a:pos x="GluePoint2X" y="GluePoint2Y"/>
                                            </a:cxn>
                                          </a:cxnLst>
                                          <a:rect l="textAreaLeft" t="textAreaTop" r="textAreaRight" b="textAreaBottom"/>
                                          <a:pathLst>
                                            <a:path w="109503" h="15778">
                                              <a:moveTo>
                                                <a:pt x="0" y="0"/>
                                              </a:moveTo>
                                              <a:lnTo>
                                                <a:pt x="109503" y="0"/>
                                              </a:lnTo>
                                            </a:path>
                                          </a:pathLst>
                                        </a:custGeom>
                                        <a:solidFill>
                                          <a:schemeClr val="tx1"/>
                                        </a:solidFill>
                                        <a:ln w="15773">
                                          <a:solidFill>
                                            <a:srgbClr val="000000"/>
                                          </a:solidFill>
                                          <a:miter/>
                                        </a:ln>
                                      </wps:spPr>
                                      <wps:style>
                                        <a:lnRef idx="0">
                                          <a:scrgbClr r="0" g="0" b="0"/>
                                        </a:lnRef>
                                        <a:fillRef idx="0">
                                          <a:scrgbClr r="0" g="0" b="0"/>
                                        </a:fillRef>
                                        <a:effectRef idx="0">
                                          <a:scrgbClr r="0" g="0" b="0"/>
                                        </a:effectRef>
                                        <a:fontRef idx="minor"/>
                                      </wps:style>
                                      <wps:bodyPr/>
                                    </wps:wsp>
                                    <wps:wsp>
                                      <wps:cNvPr id="68" name="Freeform: Shape 215"/>
                                      <wps:cNvSpPr/>
                                      <wps:spPr>
                                        <a:xfrm>
                                          <a:off x="0" y="797040"/>
                                          <a:ext cx="70560" cy="72360"/>
                                        </a:xfrm>
                                        <a:custGeom>
                                          <a:avLst/>
                                          <a:gdLst>
                                            <a:gd name="textAreaLeft" fmla="*/ 0 w 39960"/>
                                            <a:gd name="textAreaRight" fmla="*/ 40320 w 39960"/>
                                            <a:gd name="textAreaTop" fmla="*/ 0 h 41040"/>
                                            <a:gd name="textAreaBottom" fmla="*/ 41400 h 41040"/>
                                            <a:gd name="GluePoint1X" fmla="*/ 114237 w 114236"/>
                                            <a:gd name="GluePoint1Y" fmla="*/ 57118 h 114236"/>
                                            <a:gd name="GluePoint2X" fmla="*/ 57118 w 114236"/>
                                            <a:gd name="GluePoint2Y" fmla="*/ 114237 h 114236"/>
                                            <a:gd name="GluePoint3X" fmla="*/ 0 w 114236"/>
                                            <a:gd name="GluePoint3Y" fmla="*/ 57118 h 114236"/>
                                            <a:gd name="GluePoint4X" fmla="*/ 57118 w 114236"/>
                                            <a:gd name="GluePoint4Y" fmla="*/ 0 h 114236"/>
                                            <a:gd name="GluePoint5X" fmla="*/ 114237 w 114236"/>
                                            <a:gd name="GluePoint5Y" fmla="*/ 57118 h 114236"/>
                                          </a:gdLst>
                                          <a:ahLst/>
                                          <a:cxnLst>
                                            <a:cxn ang="0">
                                              <a:pos x="GluePoint1X" y="GluePoint1Y"/>
                                            </a:cxn>
                                            <a:cxn ang="0">
                                              <a:pos x="GluePoint2X" y="GluePoint2Y"/>
                                            </a:cxn>
                                            <a:cxn ang="0">
                                              <a:pos x="GluePoint3X" y="GluePoint3Y"/>
                                            </a:cxn>
                                            <a:cxn ang="0">
                                              <a:pos x="GluePoint4X" y="GluePoint4Y"/>
                                            </a:cxn>
                                            <a:cxn ang="0">
                                              <a:pos x="GluePoint5X" y="GluePoint5Y"/>
                                            </a:cxn>
                                          </a:cxnLst>
                                          <a:rect l="textAreaLeft" t="textAreaTop" r="textAreaRight" b="textAreaBottom"/>
                                          <a:pathLst>
                                            <a:path w="114236" h="114236">
                                              <a:moveTo>
                                                <a:pt x="114237" y="57118"/>
                                              </a:moveTo>
                                              <a:cubicBezTo>
                                                <a:pt x="114237" y="88664"/>
                                                <a:pt x="88664" y="114237"/>
                                                <a:pt x="57118" y="114237"/>
                                              </a:cubicBezTo>
                                              <a:cubicBezTo>
                                                <a:pt x="25573" y="114237"/>
                                                <a:pt x="0" y="88664"/>
                                                <a:pt x="0" y="57118"/>
                                              </a:cubicBezTo>
                                              <a:cubicBezTo>
                                                <a:pt x="0" y="25573"/>
                                                <a:pt x="25573" y="0"/>
                                                <a:pt x="57118" y="0"/>
                                              </a:cubicBezTo>
                                              <a:cubicBezTo>
                                                <a:pt x="88664" y="0"/>
                                                <a:pt x="114237" y="25573"/>
                                                <a:pt x="114237" y="57118"/>
                                              </a:cubicBezTo>
                                              <a:close/>
                                            </a:path>
                                          </a:pathLst>
                                        </a:custGeom>
                                        <a:solidFill>
                                          <a:schemeClr val="tx1"/>
                                        </a:solidFill>
                                        <a:ln w="15773">
                                          <a:solidFill>
                                            <a:srgbClr val="000000"/>
                                          </a:solidFill>
                                          <a:miter/>
                                        </a:ln>
                                      </wps:spPr>
                                      <wps:style>
                                        <a:lnRef idx="0">
                                          <a:scrgbClr r="0" g="0" b="0"/>
                                        </a:lnRef>
                                        <a:fillRef idx="0">
                                          <a:scrgbClr r="0" g="0" b="0"/>
                                        </a:fillRef>
                                        <a:effectRef idx="0">
                                          <a:scrgbClr r="0" g="0" b="0"/>
                                        </a:effectRef>
                                        <a:fontRef idx="minor"/>
                                      </wps:style>
                                      <wps:bodyPr/>
                                    </wps:wsp>
                                  </wpg:grpSp>
                                  <wps:wsp>
                                    <wps:cNvPr id="69" name="Freeform: Shape 211"/>
                                    <wps:cNvSpPr/>
                                    <wps:spPr>
                                      <a:xfrm>
                                        <a:off x="4344840" y="835560"/>
                                        <a:ext cx="70560" cy="72360"/>
                                      </a:xfrm>
                                      <a:custGeom>
                                        <a:avLst/>
                                        <a:gdLst>
                                          <a:gd name="textAreaLeft" fmla="*/ 0 w 39960"/>
                                          <a:gd name="textAreaRight" fmla="*/ 40320 w 39960"/>
                                          <a:gd name="textAreaTop" fmla="*/ 0 h 41040"/>
                                          <a:gd name="textAreaBottom" fmla="*/ 41400 h 41040"/>
                                          <a:gd name="GluePoint1X" fmla="*/ 114237 w 114236"/>
                                          <a:gd name="GluePoint1Y" fmla="*/ 57118 h 114236"/>
                                          <a:gd name="GluePoint2X" fmla="*/ 57119 w 114236"/>
                                          <a:gd name="GluePoint2Y" fmla="*/ 114237 h 114236"/>
                                          <a:gd name="GluePoint3X" fmla="*/ 0 w 114236"/>
                                          <a:gd name="GluePoint3Y" fmla="*/ 57118 h 114236"/>
                                          <a:gd name="GluePoint4X" fmla="*/ 57119 w 114236"/>
                                          <a:gd name="GluePoint4Y" fmla="*/ 0 h 114236"/>
                                          <a:gd name="GluePoint5X" fmla="*/ 114237 w 114236"/>
                                          <a:gd name="GluePoint5Y" fmla="*/ 57118 h 114236"/>
                                        </a:gdLst>
                                        <a:ahLst/>
                                        <a:cxnLst>
                                          <a:cxn ang="0">
                                            <a:pos x="GluePoint1X" y="GluePoint1Y"/>
                                          </a:cxn>
                                          <a:cxn ang="0">
                                            <a:pos x="GluePoint2X" y="GluePoint2Y"/>
                                          </a:cxn>
                                          <a:cxn ang="0">
                                            <a:pos x="GluePoint3X" y="GluePoint3Y"/>
                                          </a:cxn>
                                          <a:cxn ang="0">
                                            <a:pos x="GluePoint4X" y="GluePoint4Y"/>
                                          </a:cxn>
                                          <a:cxn ang="0">
                                            <a:pos x="GluePoint5X" y="GluePoint5Y"/>
                                          </a:cxn>
                                        </a:cxnLst>
                                        <a:rect l="textAreaLeft" t="textAreaTop" r="textAreaRight" b="textAreaBottom"/>
                                        <a:pathLst>
                                          <a:path w="114236" h="114236">
                                            <a:moveTo>
                                              <a:pt x="114237" y="57118"/>
                                            </a:moveTo>
                                            <a:cubicBezTo>
                                              <a:pt x="114237" y="88664"/>
                                              <a:pt x="88664" y="114237"/>
                                              <a:pt x="57119" y="114237"/>
                                            </a:cubicBezTo>
                                            <a:cubicBezTo>
                                              <a:pt x="25573" y="114237"/>
                                              <a:pt x="0" y="88664"/>
                                              <a:pt x="0" y="57118"/>
                                            </a:cubicBezTo>
                                            <a:cubicBezTo>
                                              <a:pt x="0" y="25573"/>
                                              <a:pt x="25573" y="0"/>
                                              <a:pt x="57119" y="0"/>
                                            </a:cubicBezTo>
                                            <a:cubicBezTo>
                                              <a:pt x="88664" y="0"/>
                                              <a:pt x="114237" y="25573"/>
                                              <a:pt x="114237" y="57118"/>
                                            </a:cubicBezTo>
                                            <a:close/>
                                          </a:path>
                                        </a:pathLst>
                                      </a:custGeom>
                                      <a:solidFill>
                                        <a:schemeClr val="tx1"/>
                                      </a:solidFill>
                                      <a:ln w="15773">
                                        <a:solidFill>
                                          <a:srgbClr val="000000"/>
                                        </a:solidFill>
                                        <a:miter/>
                                      </a:ln>
                                    </wps:spPr>
                                    <wps:style>
                                      <a:lnRef idx="0">
                                        <a:scrgbClr r="0" g="0" b="0"/>
                                      </a:lnRef>
                                      <a:fillRef idx="0">
                                        <a:scrgbClr r="0" g="0" b="0"/>
                                      </a:fillRef>
                                      <a:effectRef idx="0">
                                        <a:scrgbClr r="0" g="0" b="0"/>
                                      </a:effectRef>
                                      <a:fontRef idx="minor"/>
                                    </wps:style>
                                    <wps:bodyPr/>
                                  </wps:wsp>
                                </wpg:grpSp>
                              </wpg:grpSp>
                              <wpg:grpSp>
                                <wpg:cNvPr id="70" name="Group 70"/>
                                <wpg:cNvGrpSpPr/>
                                <wpg:grpSpPr>
                                  <a:xfrm>
                                    <a:off x="0" y="0"/>
                                    <a:ext cx="4936320" cy="2194560"/>
                                    <a:chOff x="0" y="0"/>
                                    <a:chExt cx="0" cy="0"/>
                                  </a:xfrm>
                                </wpg:grpSpPr>
                                <wps:wsp>
                                  <wps:cNvPr id="71" name="Freeform: Shape 72"/>
                                  <wps:cNvSpPr/>
                                  <wps:spPr>
                                    <a:xfrm>
                                      <a:off x="282960" y="99720"/>
                                      <a:ext cx="4653360" cy="1960920"/>
                                    </a:xfrm>
                                    <a:custGeom>
                                      <a:avLst/>
                                      <a:gdLst>
                                        <a:gd name="textAreaLeft" fmla="*/ 0 w 2638080"/>
                                        <a:gd name="textAreaRight" fmla="*/ 2638440 w 2638080"/>
                                        <a:gd name="textAreaTop" fmla="*/ 0 h 1111680"/>
                                        <a:gd name="textAreaBottom" fmla="*/ 1112040 h 1111680"/>
                                        <a:gd name="GluePoint1X" fmla="*/ 7373645 w 7373646"/>
                                        <a:gd name="GluePoint1Y" fmla="*/ 3058047 h 3058048"/>
                                        <a:gd name="GluePoint2X" fmla="*/ 76211 w 7373646"/>
                                        <a:gd name="GluePoint2Y" fmla="*/ 3058047 h 3058048"/>
                                        <a:gd name="GluePoint3X" fmla="*/ 76211 w 7373646"/>
                                        <a:gd name="GluePoint3Y" fmla="*/ 0 h 3058048"/>
                                        <a:gd name="GluePoint4X" fmla="*/ 0 w 7373646"/>
                                        <a:gd name="GluePoint4Y" fmla="*/ 0 h 3058048"/>
                                      </a:gdLst>
                                      <a:ahLst/>
                                      <a:cxnLst>
                                        <a:cxn ang="0">
                                          <a:pos x="GluePoint1X" y="GluePoint1Y"/>
                                        </a:cxn>
                                        <a:cxn ang="0">
                                          <a:pos x="GluePoint2X" y="GluePoint2Y"/>
                                        </a:cxn>
                                        <a:cxn ang="0">
                                          <a:pos x="GluePoint3X" y="GluePoint3Y"/>
                                        </a:cxn>
                                        <a:cxn ang="0">
                                          <a:pos x="GluePoint4X" y="GluePoint4Y"/>
                                        </a:cxn>
                                      </a:cxnLst>
                                      <a:rect l="textAreaLeft" t="textAreaTop" r="textAreaRight" b="textAreaBottom"/>
                                      <a:pathLst>
                                        <a:path w="7373646" h="3058048">
                                          <a:moveTo>
                                            <a:pt x="7373645" y="3058047"/>
                                          </a:moveTo>
                                          <a:lnTo>
                                            <a:pt x="76211" y="3058047"/>
                                          </a:lnTo>
                                          <a:lnTo>
                                            <a:pt x="76211" y="0"/>
                                          </a:lnTo>
                                          <a:lnTo>
                                            <a:pt x="0" y="0"/>
                                          </a:lnTo>
                                        </a:path>
                                      </a:pathLst>
                                    </a:custGeom>
                                    <a:noFill/>
                                    <a:ln w="15773">
                                      <a:solidFill>
                                        <a:srgbClr val="231F20"/>
                                      </a:solidFill>
                                      <a:miter/>
                                    </a:ln>
                                  </wps:spPr>
                                  <wps:style>
                                    <a:lnRef idx="0">
                                      <a:scrgbClr r="0" g="0" b="0"/>
                                    </a:lnRef>
                                    <a:fillRef idx="0">
                                      <a:scrgbClr r="0" g="0" b="0"/>
                                    </a:fillRef>
                                    <a:effectRef idx="0">
                                      <a:scrgbClr r="0" g="0" b="0"/>
                                    </a:effectRef>
                                    <a:fontRef idx="minor"/>
                                  </wps:style>
                                  <wps:bodyPr/>
                                </wps:wsp>
                                <wps:wsp>
                                  <wps:cNvPr id="72" name="TextBox 23"/>
                                  <wps:cNvSpPr/>
                                  <wps:spPr>
                                    <a:xfrm>
                                      <a:off x="203760" y="1940400"/>
                                      <a:ext cx="63360" cy="254160"/>
                                    </a:xfrm>
                                    <a:prstGeom prst="rect">
                                      <a:avLst/>
                                    </a:prstGeom>
                                    <a:noFill/>
                                    <a:ln w="0">
                                      <a:noFill/>
                                    </a:ln>
                                  </wps:spPr>
                                  <wps:style>
                                    <a:lnRef idx="0">
                                      <a:scrgbClr r="0" g="0" b="0"/>
                                    </a:lnRef>
                                    <a:fillRef idx="0">
                                      <a:scrgbClr r="0" g="0" b="0"/>
                                    </a:fillRef>
                                    <a:effectRef idx="0">
                                      <a:scrgbClr r="0" g="0" b="0"/>
                                    </a:effectRef>
                                    <a:fontRef idx="minor"/>
                                  </wps:style>
                                  <wps:txbx>
                                    <w:txbxContent>
                                      <w:p>
                                        <w:pPr>
                                          <w:jc w:val="right"/>
                                          <w:textAlignment w:val="baseline"/>
                                          <w:rPr>
                                            <w:rFonts w:ascii="Arial" w:hAnsi="Arial" w:cs="Arial"/>
                                            <w:color w:val="000000"/>
                                            <w:kern w:val="2"/>
                                            <w:sz w:val="16"/>
                                            <w:szCs w:val="16"/>
                                            <w14:textFill>
                                              <w14:solidFill>
                                                <w14:srgbClr w14:val="000000">
                                                  <w14:lumMod w14:val="50000"/>
                                                </w14:srgbClr>
                                              </w14:solidFill>
                                            </w14:textFill>
                                          </w:rPr>
                                        </w:pPr>
                                        <w:r>
                                          <w:rPr>
                                            <w:rFonts w:ascii="Arial" w:eastAsia="Arial" w:hAnsi="Arial" w:cs="Arial"/>
                                            <w:color w:val="000000"/>
                                            <w:kern w:val="2"/>
                                            <w:sz w:val="16"/>
                                            <w:szCs w:val="16"/>
                                            <w:lang w:val="lt-LT"/>
                                          </w:rPr>
                                          <w:t>0</w:t>
                                        </w:r>
                                      </w:p>
                                      <w:p>
                                        <w:pPr>
                                          <w:rPr>
                                            <w:sz w:val="16"/>
                                            <w:szCs w:val="16"/>
                                          </w:rPr>
                                        </w:pPr>
                                      </w:p>
                                      <w:p>
                                        <w:pPr>
                                          <w:rPr>
                                            <w:sz w:val="16"/>
                                            <w:szCs w:val="16"/>
                                          </w:rPr>
                                        </w:pPr>
                                      </w:p>
                                    </w:txbxContent>
                                  </wps:txbx>
                                  <wps:bodyPr lIns="0" tIns="0" rIns="0" bIns="0" anchor="t">
                                    <a:noAutofit/>
                                  </wps:bodyPr>
                                </wps:wsp>
                                <wps:wsp>
                                  <wps:cNvPr id="73" name="TextBox 24"/>
                                  <wps:cNvSpPr/>
                                  <wps:spPr>
                                    <a:xfrm>
                                      <a:off x="5040" y="1681920"/>
                                      <a:ext cx="264960" cy="254160"/>
                                    </a:xfrm>
                                    <a:prstGeom prst="rect">
                                      <a:avLst/>
                                    </a:prstGeom>
                                    <a:noFill/>
                                    <a:ln w="0">
                                      <a:noFill/>
                                    </a:ln>
                                  </wps:spPr>
                                  <wps:style>
                                    <a:lnRef idx="0">
                                      <a:scrgbClr r="0" g="0" b="0"/>
                                    </a:lnRef>
                                    <a:fillRef idx="0">
                                      <a:scrgbClr r="0" g="0" b="0"/>
                                    </a:fillRef>
                                    <a:effectRef idx="0">
                                      <a:scrgbClr r="0" g="0" b="0"/>
                                    </a:effectRef>
                                    <a:fontRef idx="minor"/>
                                  </wps:style>
                                  <wps:txbx>
                                    <w:txbxContent>
                                      <w:p>
                                        <w:pPr>
                                          <w:jc w:val="right"/>
                                          <w:textAlignment w:val="baseline"/>
                                          <w:rPr>
                                            <w:rFonts w:ascii="Arial" w:hAnsi="Arial" w:cs="Arial"/>
                                            <w:color w:val="000000"/>
                                            <w:kern w:val="2"/>
                                            <w:sz w:val="16"/>
                                            <w:szCs w:val="16"/>
                                          </w:rPr>
                                        </w:pPr>
                                        <w:r>
                                          <w:rPr>
                                            <w:rFonts w:ascii="Arial" w:eastAsia="Arial" w:hAnsi="Arial" w:cs="Arial"/>
                                            <w:color w:val="000000"/>
                                            <w:kern w:val="2"/>
                                            <w:sz w:val="16"/>
                                            <w:szCs w:val="16"/>
                                            <w:lang w:val="lt-LT"/>
                                          </w:rPr>
                                          <w:t>20</w:t>
                                        </w:r>
                                      </w:p>
                                      <w:p>
                                        <w:pPr>
                                          <w:rPr>
                                            <w:sz w:val="16"/>
                                            <w:szCs w:val="16"/>
                                          </w:rPr>
                                        </w:pPr>
                                      </w:p>
                                      <w:p>
                                        <w:pPr>
                                          <w:rPr>
                                            <w:sz w:val="16"/>
                                            <w:szCs w:val="16"/>
                                          </w:rPr>
                                        </w:pPr>
                                      </w:p>
                                    </w:txbxContent>
                                  </wps:txbx>
                                  <wps:bodyPr lIns="0" tIns="0" rIns="0" bIns="0" anchor="t">
                                    <a:noAutofit/>
                                  </wps:bodyPr>
                                </wps:wsp>
                                <wps:wsp>
                                  <wps:cNvPr id="74" name="TextBox 26"/>
                                  <wps:cNvSpPr/>
                                  <wps:spPr>
                                    <a:xfrm>
                                      <a:off x="59760" y="423000"/>
                                      <a:ext cx="207720" cy="254160"/>
                                    </a:xfrm>
                                    <a:prstGeom prst="rect">
                                      <a:avLst/>
                                    </a:prstGeom>
                                    <a:noFill/>
                                    <a:ln w="0">
                                      <a:noFill/>
                                    </a:ln>
                                  </wps:spPr>
                                  <wps:style>
                                    <a:lnRef idx="0">
                                      <a:scrgbClr r="0" g="0" b="0"/>
                                    </a:lnRef>
                                    <a:fillRef idx="0">
                                      <a:scrgbClr r="0" g="0" b="0"/>
                                    </a:fillRef>
                                    <a:effectRef idx="0">
                                      <a:scrgbClr r="0" g="0" b="0"/>
                                    </a:effectRef>
                                    <a:fontRef idx="minor"/>
                                  </wps:style>
                                  <wps:txbx>
                                    <w:txbxContent>
                                      <w:p>
                                        <w:pPr>
                                          <w:jc w:val="right"/>
                                          <w:textAlignment w:val="baseline"/>
                                          <w:rPr>
                                            <w:rFonts w:ascii="Arial" w:hAnsi="Arial" w:cs="Arial"/>
                                            <w:color w:val="000000"/>
                                            <w:kern w:val="2"/>
                                            <w:sz w:val="16"/>
                                            <w:szCs w:val="16"/>
                                          </w:rPr>
                                        </w:pPr>
                                        <w:r>
                                          <w:rPr>
                                            <w:rFonts w:ascii="Arial" w:eastAsia="Arial" w:hAnsi="Arial" w:cs="Arial"/>
                                            <w:color w:val="000000"/>
                                            <w:kern w:val="2"/>
                                            <w:sz w:val="16"/>
                                            <w:szCs w:val="16"/>
                                            <w:lang w:val="lt-LT"/>
                                          </w:rPr>
                                          <w:t>80</w:t>
                                        </w:r>
                                      </w:p>
                                      <w:p>
                                        <w:pPr>
                                          <w:rPr>
                                            <w:sz w:val="16"/>
                                            <w:szCs w:val="16"/>
                                          </w:rPr>
                                        </w:pPr>
                                      </w:p>
                                      <w:p>
                                        <w:pPr>
                                          <w:rPr>
                                            <w:sz w:val="16"/>
                                            <w:szCs w:val="16"/>
                                          </w:rPr>
                                        </w:pPr>
                                      </w:p>
                                    </w:txbxContent>
                                  </wps:txbx>
                                  <wps:bodyPr lIns="0" tIns="0" rIns="0" bIns="0" anchor="t">
                                    <a:noAutofit/>
                                  </wps:bodyPr>
                                </wps:wsp>
                                <wps:wsp>
                                  <wps:cNvPr id="75" name="TextBox 37"/>
                                  <wps:cNvSpPr/>
                                  <wps:spPr>
                                    <a:xfrm>
                                      <a:off x="0" y="0"/>
                                      <a:ext cx="270000" cy="254160"/>
                                    </a:xfrm>
                                    <a:prstGeom prst="rect">
                                      <a:avLst/>
                                    </a:prstGeom>
                                    <a:noFill/>
                                    <a:ln w="0">
                                      <a:noFill/>
                                    </a:ln>
                                  </wps:spPr>
                                  <wps:style>
                                    <a:lnRef idx="0">
                                      <a:scrgbClr r="0" g="0" b="0"/>
                                    </a:lnRef>
                                    <a:fillRef idx="0">
                                      <a:scrgbClr r="0" g="0" b="0"/>
                                    </a:fillRef>
                                    <a:effectRef idx="0">
                                      <a:scrgbClr r="0" g="0" b="0"/>
                                    </a:effectRef>
                                    <a:fontRef idx="minor"/>
                                  </wps:style>
                                  <wps:txbx>
                                    <w:txbxContent>
                                      <w:p>
                                        <w:pPr>
                                          <w:jc w:val="right"/>
                                          <w:textAlignment w:val="baseline"/>
                                          <w:rPr>
                                            <w:rFonts w:ascii="Arial" w:hAnsi="Arial" w:cs="Arial"/>
                                            <w:color w:val="000000"/>
                                            <w:kern w:val="2"/>
                                            <w:sz w:val="16"/>
                                            <w:szCs w:val="16"/>
                                          </w:rPr>
                                        </w:pPr>
                                        <w:r>
                                          <w:rPr>
                                            <w:rFonts w:ascii="Arial" w:eastAsia="Arial" w:hAnsi="Arial" w:cs="Arial"/>
                                            <w:color w:val="000000"/>
                                            <w:kern w:val="2"/>
                                            <w:sz w:val="16"/>
                                            <w:szCs w:val="16"/>
                                            <w:lang w:val="lt-LT"/>
                                          </w:rPr>
                                          <w:t>100</w:t>
                                        </w:r>
                                      </w:p>
                                      <w:p>
                                        <w:pPr>
                                          <w:rPr>
                                            <w:sz w:val="16"/>
                                            <w:szCs w:val="16"/>
                                          </w:rPr>
                                        </w:pPr>
                                      </w:p>
                                      <w:p>
                                        <w:pPr>
                                          <w:rPr>
                                            <w:sz w:val="16"/>
                                            <w:szCs w:val="16"/>
                                          </w:rPr>
                                        </w:pPr>
                                      </w:p>
                                    </w:txbxContent>
                                  </wps:txbx>
                                  <wps:bodyPr lIns="0" tIns="0" rIns="0" bIns="0" anchor="t">
                                    <a:noAutofit/>
                                  </wps:bodyPr>
                                </wps:wsp>
                                <wps:wsp>
                                  <wps:cNvPr id="76" name="TextBox 38"/>
                                  <wps:cNvSpPr/>
                                  <wps:spPr>
                                    <a:xfrm>
                                      <a:off x="59760" y="831240"/>
                                      <a:ext cx="207720" cy="254160"/>
                                    </a:xfrm>
                                    <a:prstGeom prst="rect">
                                      <a:avLst/>
                                    </a:prstGeom>
                                    <a:noFill/>
                                    <a:ln w="0">
                                      <a:noFill/>
                                    </a:ln>
                                  </wps:spPr>
                                  <wps:style>
                                    <a:lnRef idx="0">
                                      <a:scrgbClr r="0" g="0" b="0"/>
                                    </a:lnRef>
                                    <a:fillRef idx="0">
                                      <a:scrgbClr r="0" g="0" b="0"/>
                                    </a:fillRef>
                                    <a:effectRef idx="0">
                                      <a:scrgbClr r="0" g="0" b="0"/>
                                    </a:effectRef>
                                    <a:fontRef idx="minor"/>
                                  </wps:style>
                                  <wps:txbx>
                                    <w:txbxContent>
                                      <w:p>
                                        <w:pPr>
                                          <w:jc w:val="right"/>
                                          <w:textAlignment w:val="baseline"/>
                                          <w:rPr>
                                            <w:rFonts w:ascii="Arial" w:hAnsi="Arial" w:cs="Arial"/>
                                            <w:color w:val="000000"/>
                                            <w:kern w:val="2"/>
                                            <w:sz w:val="16"/>
                                            <w:szCs w:val="16"/>
                                          </w:rPr>
                                        </w:pPr>
                                        <w:r>
                                          <w:rPr>
                                            <w:rFonts w:ascii="Arial" w:eastAsia="Arial" w:hAnsi="Arial" w:cs="Arial"/>
                                            <w:color w:val="000000"/>
                                            <w:kern w:val="2"/>
                                            <w:sz w:val="16"/>
                                            <w:szCs w:val="16"/>
                                            <w:lang w:val="lt-LT"/>
                                          </w:rPr>
                                          <w:t>60</w:t>
                                        </w:r>
                                      </w:p>
                                      <w:p>
                                        <w:pPr>
                                          <w:rPr>
                                            <w:sz w:val="16"/>
                                            <w:szCs w:val="16"/>
                                          </w:rPr>
                                        </w:pPr>
                                      </w:p>
                                      <w:p>
                                        <w:pPr>
                                          <w:rPr>
                                            <w:sz w:val="16"/>
                                            <w:szCs w:val="16"/>
                                          </w:rPr>
                                        </w:pPr>
                                      </w:p>
                                    </w:txbxContent>
                                  </wps:txbx>
                                  <wps:bodyPr lIns="0" tIns="0" rIns="0" bIns="0" anchor="t">
                                    <a:noAutofit/>
                                  </wps:bodyPr>
                                </wps:wsp>
                                <wps:wsp>
                                  <wps:cNvPr id="77" name="TextBox 54"/>
                                  <wps:cNvSpPr/>
                                  <wps:spPr>
                                    <a:xfrm>
                                      <a:off x="59760" y="1248840"/>
                                      <a:ext cx="207720" cy="254160"/>
                                    </a:xfrm>
                                    <a:prstGeom prst="rect">
                                      <a:avLst/>
                                    </a:prstGeom>
                                    <a:noFill/>
                                    <a:ln w="0">
                                      <a:noFill/>
                                    </a:ln>
                                  </wps:spPr>
                                  <wps:style>
                                    <a:lnRef idx="0">
                                      <a:scrgbClr r="0" g="0" b="0"/>
                                    </a:lnRef>
                                    <a:fillRef idx="0">
                                      <a:scrgbClr r="0" g="0" b="0"/>
                                    </a:fillRef>
                                    <a:effectRef idx="0">
                                      <a:scrgbClr r="0" g="0" b="0"/>
                                    </a:effectRef>
                                    <a:fontRef idx="minor"/>
                                  </wps:style>
                                  <wps:txbx>
                                    <w:txbxContent>
                                      <w:p>
                                        <w:pPr>
                                          <w:jc w:val="right"/>
                                          <w:textAlignment w:val="baseline"/>
                                          <w:rPr>
                                            <w:rFonts w:ascii="Arial" w:hAnsi="Arial" w:cs="Arial"/>
                                            <w:color w:val="000000"/>
                                            <w:kern w:val="2"/>
                                            <w:sz w:val="16"/>
                                            <w:szCs w:val="16"/>
                                          </w:rPr>
                                        </w:pPr>
                                        <w:r>
                                          <w:rPr>
                                            <w:rFonts w:ascii="Arial" w:eastAsia="Arial" w:hAnsi="Arial" w:cs="Arial"/>
                                            <w:color w:val="000000"/>
                                            <w:kern w:val="2"/>
                                            <w:sz w:val="16"/>
                                            <w:szCs w:val="16"/>
                                            <w:lang w:val="lt-LT"/>
                                          </w:rPr>
                                          <w:t>40</w:t>
                                        </w:r>
                                      </w:p>
                                      <w:p>
                                        <w:pPr>
                                          <w:rPr>
                                            <w:sz w:val="16"/>
                                            <w:szCs w:val="16"/>
                                          </w:rPr>
                                        </w:pPr>
                                      </w:p>
                                      <w:p>
                                        <w:pPr>
                                          <w:rPr>
                                            <w:sz w:val="16"/>
                                            <w:szCs w:val="16"/>
                                          </w:rPr>
                                        </w:pPr>
                                      </w:p>
                                    </w:txbxContent>
                                  </wps:txbx>
                                  <wps:bodyPr lIns="0" tIns="0" rIns="0" bIns="0" anchor="t">
                                    <a:noAutofit/>
                                  </wps:bodyPr>
                                </wps:wsp>
                              </wpg:grpSp>
                            </wpg:grpSp>
                            <wpg:grpSp>
                              <wpg:cNvPr id="78" name="Group 78"/>
                              <wpg:cNvGrpSpPr/>
                              <wpg:grpSpPr>
                                <a:xfrm>
                                  <a:off x="336960" y="1358280"/>
                                  <a:ext cx="4550400" cy="9360"/>
                                  <a:chOff x="0" y="0"/>
                                  <a:chExt cx="0" cy="0"/>
                                </a:xfrm>
                              </wpg:grpSpPr>
                              <wps:wsp>
                                <wps:cNvPr id="79" name="Freeform: Shape 224"/>
                                <wps:cNvSpPr/>
                                <wps:spPr>
                                  <a:xfrm>
                                    <a:off x="0" y="0"/>
                                    <a:ext cx="19080" cy="9360"/>
                                  </a:xfrm>
                                  <a:custGeom>
                                    <a:avLst/>
                                    <a:gdLst>
                                      <a:gd name="textAreaLeft" fmla="*/ 0 w 10800"/>
                                      <a:gd name="textAreaRight" fmla="*/ 11160 w 10800"/>
                                      <a:gd name="textAreaTop" fmla="*/ 0 h 5400"/>
                                      <a:gd name="textAreaBottom" fmla="*/ 5760 h 5400"/>
                                      <a:gd name="GluePoint1X" fmla="*/ 0 w 31557"/>
                                      <a:gd name="GluePoint1Y" fmla="*/ 0 h 15778"/>
                                      <a:gd name="GluePoint2X" fmla="*/ 31557 w 31557"/>
                                      <a:gd name="GluePoint2Y" fmla="*/ 0 h 15778"/>
                                    </a:gdLst>
                                    <a:ahLst/>
                                    <a:cxnLst>
                                      <a:cxn ang="0">
                                        <a:pos x="GluePoint1X" y="GluePoint1Y"/>
                                      </a:cxn>
                                      <a:cxn ang="0">
                                        <a:pos x="GluePoint2X" y="GluePoint2Y"/>
                                      </a:cxn>
                                    </a:cxnLst>
                                    <a:rect l="textAreaLeft" t="textAreaTop" r="textAreaRight" b="textAreaBottom"/>
                                    <a:pathLst>
                                      <a:path w="31557" h="15778">
                                        <a:moveTo>
                                          <a:pt x="0" y="0"/>
                                        </a:moveTo>
                                        <a:lnTo>
                                          <a:pt x="31557" y="0"/>
                                        </a:lnTo>
                                      </a:path>
                                    </a:pathLst>
                                  </a:custGeom>
                                  <a:noFill/>
                                  <a:ln w="15773">
                                    <a:solidFill>
                                      <a:srgbClr val="000000"/>
                                    </a:solidFill>
                                    <a:miter/>
                                  </a:ln>
                                </wps:spPr>
                                <wps:style>
                                  <a:lnRef idx="0">
                                    <a:scrgbClr r="0" g="0" b="0"/>
                                  </a:lnRef>
                                  <a:fillRef idx="0">
                                    <a:scrgbClr r="0" g="0" b="0"/>
                                  </a:fillRef>
                                  <a:effectRef idx="0">
                                    <a:scrgbClr r="0" g="0" b="0"/>
                                  </a:effectRef>
                                  <a:fontRef idx="minor"/>
                                </wps:style>
                                <wps:bodyPr/>
                              </wps:wsp>
                              <wps:wsp>
                                <wps:cNvPr id="80" name="Freeform: Shape 225"/>
                                <wps:cNvSpPr/>
                                <wps:spPr>
                                  <a:xfrm>
                                    <a:off x="59040" y="0"/>
                                    <a:ext cx="4452120" cy="9360"/>
                                  </a:xfrm>
                                  <a:custGeom>
                                    <a:avLst/>
                                    <a:gdLst>
                                      <a:gd name="textAreaLeft" fmla="*/ 0 w 2523960"/>
                                      <a:gd name="textAreaRight" fmla="*/ 2524320 w 2523960"/>
                                      <a:gd name="textAreaTop" fmla="*/ 0 h 5400"/>
                                      <a:gd name="textAreaBottom" fmla="*/ 5760 h 5400"/>
                                      <a:gd name="GluePoint1X" fmla="*/ 0 w 7139963"/>
                                      <a:gd name="GluePoint1Y" fmla="*/ 0 h 15778"/>
                                      <a:gd name="GluePoint2X" fmla="*/ 7139964 w 7139963"/>
                                      <a:gd name="GluePoint2Y" fmla="*/ 0 h 15778"/>
                                    </a:gdLst>
                                    <a:ahLst/>
                                    <a:cxnLst>
                                      <a:cxn ang="0">
                                        <a:pos x="GluePoint1X" y="GluePoint1Y"/>
                                      </a:cxn>
                                      <a:cxn ang="0">
                                        <a:pos x="GluePoint2X" y="GluePoint2Y"/>
                                      </a:cxn>
                                    </a:cxnLst>
                                    <a:rect l="textAreaLeft" t="textAreaTop" r="textAreaRight" b="textAreaBottom"/>
                                    <a:pathLst>
                                      <a:path w="7139963" h="15778">
                                        <a:moveTo>
                                          <a:pt x="0" y="0"/>
                                        </a:moveTo>
                                        <a:lnTo>
                                          <a:pt x="7139964" y="0"/>
                                        </a:lnTo>
                                      </a:path>
                                    </a:pathLst>
                                  </a:custGeom>
                                  <a:noFill/>
                                  <a:ln w="15773">
                                    <a:solidFill>
                                      <a:srgbClr val="000000"/>
                                    </a:solidFill>
                                    <a:custDash>
                                      <a:ds d="299000" sp="299000"/>
                                    </a:custDash>
                                    <a:miter/>
                                  </a:ln>
                                </wps:spPr>
                                <wps:style>
                                  <a:lnRef idx="0">
                                    <a:scrgbClr r="0" g="0" b="0"/>
                                  </a:lnRef>
                                  <a:fillRef idx="0">
                                    <a:scrgbClr r="0" g="0" b="0"/>
                                  </a:fillRef>
                                  <a:effectRef idx="0">
                                    <a:scrgbClr r="0" g="0" b="0"/>
                                  </a:effectRef>
                                  <a:fontRef idx="minor"/>
                                </wps:style>
                                <wps:bodyPr/>
                              </wps:wsp>
                              <wps:wsp>
                                <wps:cNvPr id="81" name="Freeform: Shape 226"/>
                                <wps:cNvSpPr/>
                                <wps:spPr>
                                  <a:xfrm>
                                    <a:off x="4531320" y="0"/>
                                    <a:ext cx="19080" cy="9360"/>
                                  </a:xfrm>
                                  <a:custGeom>
                                    <a:avLst/>
                                    <a:gdLst>
                                      <a:gd name="textAreaLeft" fmla="*/ 0 w 10800"/>
                                      <a:gd name="textAreaRight" fmla="*/ 11160 w 10800"/>
                                      <a:gd name="textAreaTop" fmla="*/ 0 h 5400"/>
                                      <a:gd name="textAreaBottom" fmla="*/ 5760 h 5400"/>
                                      <a:gd name="GluePoint1X" fmla="*/ 0 w 31557"/>
                                      <a:gd name="GluePoint1Y" fmla="*/ 0 h 15778"/>
                                      <a:gd name="GluePoint2X" fmla="*/ 31557 w 31557"/>
                                      <a:gd name="GluePoint2Y" fmla="*/ 0 h 15778"/>
                                    </a:gdLst>
                                    <a:ahLst/>
                                    <a:cxnLst>
                                      <a:cxn ang="0">
                                        <a:pos x="GluePoint1X" y="GluePoint1Y"/>
                                      </a:cxn>
                                      <a:cxn ang="0">
                                        <a:pos x="GluePoint2X" y="GluePoint2Y"/>
                                      </a:cxn>
                                    </a:cxnLst>
                                    <a:rect l="textAreaLeft" t="textAreaTop" r="textAreaRight" b="textAreaBottom"/>
                                    <a:pathLst>
                                      <a:path w="31557" h="15778">
                                        <a:moveTo>
                                          <a:pt x="0" y="0"/>
                                        </a:moveTo>
                                        <a:lnTo>
                                          <a:pt x="31557" y="0"/>
                                        </a:lnTo>
                                      </a:path>
                                    </a:pathLst>
                                  </a:custGeom>
                                  <a:noFill/>
                                  <a:ln w="15773">
                                    <a:solidFill>
                                      <a:srgbClr val="000000"/>
                                    </a:solidFill>
                                    <a:miter/>
                                  </a:ln>
                                </wps:spPr>
                                <wps:style>
                                  <a:lnRef idx="0">
                                    <a:scrgbClr r="0" g="0" b="0"/>
                                  </a:lnRef>
                                  <a:fillRef idx="0">
                                    <a:scrgbClr r="0" g="0" b="0"/>
                                  </a:fillRef>
                                  <a:effectRef idx="0">
                                    <a:scrgbClr r="0" g="0" b="0"/>
                                  </a:effectRef>
                                  <a:fontRef idx="minor"/>
                                </wps:style>
                                <wps:bodyPr/>
                              </wps:wsp>
                            </wpg:grpSp>
                          </wpg:grpSp>
                          <wpg:grpSp>
                            <wpg:cNvPr id="82" name="Group 82"/>
                            <wpg:cNvGrpSpPr/>
                            <wpg:grpSpPr>
                              <a:xfrm>
                                <a:off x="288720" y="522720"/>
                                <a:ext cx="47520" cy="1275120"/>
                                <a:chOff x="0" y="0"/>
                                <a:chExt cx="0" cy="0"/>
                              </a:xfrm>
                            </wpg:grpSpPr>
                            <wps:wsp>
                              <wps:cNvPr id="83" name="Freeform: Shape 73"/>
                              <wps:cNvSpPr/>
                              <wps:spPr>
                                <a:xfrm>
                                  <a:off x="720" y="0"/>
                                  <a:ext cx="47160" cy="9360"/>
                                </a:xfrm>
                                <a:custGeom>
                                  <a:avLst/>
                                  <a:gdLst>
                                    <a:gd name="textAreaLeft" fmla="*/ 0 w 26640"/>
                                    <a:gd name="textAreaRight" fmla="*/ 27000 w 26640"/>
                                    <a:gd name="textAreaTop" fmla="*/ 0 h 5400"/>
                                    <a:gd name="textAreaBottom" fmla="*/ 5760 h 5400"/>
                                    <a:gd name="GluePoint1X" fmla="*/ 0 w 76210"/>
                                    <a:gd name="GluePoint1Y" fmla="*/ 0 h 15778"/>
                                    <a:gd name="GluePoint2X" fmla="*/ 76211 w 76210"/>
                                    <a:gd name="GluePoint2Y" fmla="*/ 0 h 15778"/>
                                  </a:gdLst>
                                  <a:ahLst/>
                                  <a:cxnLst>
                                    <a:cxn ang="0">
                                      <a:pos x="GluePoint1X" y="GluePoint1Y"/>
                                    </a:cxn>
                                    <a:cxn ang="0">
                                      <a:pos x="GluePoint2X" y="GluePoint2Y"/>
                                    </a:cxn>
                                  </a:cxnLst>
                                  <a:rect l="textAreaLeft" t="textAreaTop" r="textAreaRight" b="textAreaBottom"/>
                                  <a:pathLst>
                                    <a:path w="76210" h="15778">
                                      <a:moveTo>
                                        <a:pt x="0" y="0"/>
                                      </a:moveTo>
                                      <a:lnTo>
                                        <a:pt x="76211" y="0"/>
                                      </a:lnTo>
                                    </a:path>
                                  </a:pathLst>
                                </a:custGeom>
                                <a:noFill/>
                                <a:ln w="15773">
                                  <a:solidFill>
                                    <a:srgbClr val="231F20"/>
                                  </a:solidFill>
                                  <a:miter/>
                                </a:ln>
                              </wps:spPr>
                              <wps:style>
                                <a:lnRef idx="0">
                                  <a:scrgbClr r="0" g="0" b="0"/>
                                </a:lnRef>
                                <a:fillRef idx="0">
                                  <a:scrgbClr r="0" g="0" b="0"/>
                                </a:fillRef>
                                <a:effectRef idx="0">
                                  <a:scrgbClr r="0" g="0" b="0"/>
                                </a:effectRef>
                                <a:fontRef idx="minor"/>
                              </wps:style>
                              <wps:bodyPr/>
                            </wps:wsp>
                            <wps:wsp>
                              <wps:cNvPr id="84" name="Freeform: Shape 74"/>
                              <wps:cNvSpPr/>
                              <wps:spPr>
                                <a:xfrm>
                                  <a:off x="0" y="415800"/>
                                  <a:ext cx="47160" cy="3240"/>
                                </a:xfrm>
                                <a:prstGeom prst="mathMinus">
                                  <a:avLst>
                                    <a:gd name="adj1" fmla="val 23520"/>
                                  </a:avLst>
                                </a:prstGeom>
                                <a:noFill/>
                                <a:ln w="15773">
                                  <a:solidFill>
                                    <a:srgbClr val="231F20"/>
                                  </a:solidFill>
                                  <a:miter/>
                                </a:ln>
                              </wps:spPr>
                              <wps:style>
                                <a:lnRef idx="0">
                                  <a:scrgbClr r="0" g="0" b="0"/>
                                </a:lnRef>
                                <a:fillRef idx="0">
                                  <a:scrgbClr r="0" g="0" b="0"/>
                                </a:fillRef>
                                <a:effectRef idx="0">
                                  <a:scrgbClr r="0" g="0" b="0"/>
                                </a:effectRef>
                                <a:fontRef idx="minor"/>
                              </wps:style>
                              <wps:bodyPr/>
                            </wps:wsp>
                            <wps:wsp>
                              <wps:cNvPr id="85" name="Freeform: Shape 76"/>
                              <wps:cNvSpPr/>
                              <wps:spPr>
                                <a:xfrm>
                                  <a:off x="720" y="1265400"/>
                                  <a:ext cx="47160" cy="9360"/>
                                </a:xfrm>
                                <a:custGeom>
                                  <a:avLst/>
                                  <a:gdLst>
                                    <a:gd name="textAreaLeft" fmla="*/ 0 w 26640"/>
                                    <a:gd name="textAreaRight" fmla="*/ 27000 w 26640"/>
                                    <a:gd name="textAreaTop" fmla="*/ 0 h 5400"/>
                                    <a:gd name="textAreaBottom" fmla="*/ 5760 h 5400"/>
                                    <a:gd name="GluePoint1X" fmla="*/ 0 w 76368"/>
                                    <a:gd name="GluePoint1Y" fmla="*/ 0 h 15778"/>
                                    <a:gd name="GluePoint2X" fmla="*/ 76368 w 76368"/>
                                    <a:gd name="GluePoint2Y" fmla="*/ 0 h 15778"/>
                                  </a:gdLst>
                                  <a:ahLst/>
                                  <a:cxnLst>
                                    <a:cxn ang="0">
                                      <a:pos x="GluePoint1X" y="GluePoint1Y"/>
                                    </a:cxn>
                                    <a:cxn ang="0">
                                      <a:pos x="GluePoint2X" y="GluePoint2Y"/>
                                    </a:cxn>
                                  </a:cxnLst>
                                  <a:rect l="textAreaLeft" t="textAreaTop" r="textAreaRight" b="textAreaBottom"/>
                                  <a:pathLst>
                                    <a:path w="76368" h="15778">
                                      <a:moveTo>
                                        <a:pt x="0" y="0"/>
                                      </a:moveTo>
                                      <a:lnTo>
                                        <a:pt x="76368" y="0"/>
                                      </a:lnTo>
                                    </a:path>
                                  </a:pathLst>
                                </a:custGeom>
                                <a:noFill/>
                                <a:ln w="15773">
                                  <a:solidFill>
                                    <a:srgbClr val="231F20"/>
                                  </a:solidFill>
                                  <a:miter/>
                                </a:ln>
                              </wps:spPr>
                              <wps:style>
                                <a:lnRef idx="0">
                                  <a:scrgbClr r="0" g="0" b="0"/>
                                </a:lnRef>
                                <a:fillRef idx="0">
                                  <a:scrgbClr r="0" g="0" b="0"/>
                                </a:fillRef>
                                <a:effectRef idx="0">
                                  <a:scrgbClr r="0" g="0" b="0"/>
                                </a:effectRef>
                                <a:fontRef idx="minor"/>
                              </wps:style>
                              <wps:bodyPr/>
                            </wps:wsp>
                          </wpg:grpSp>
                        </wpg:grpSp>
                        <wps:wsp>
                          <wps:cNvPr id="86" name="Freeform: Shape 75"/>
                          <wps:cNvSpPr/>
                          <wps:spPr>
                            <a:xfrm>
                              <a:off x="286920" y="1361520"/>
                              <a:ext cx="47160" cy="9360"/>
                            </a:xfrm>
                            <a:custGeom>
                              <a:avLst/>
                              <a:gdLst>
                                <a:gd name="textAreaLeft" fmla="*/ 0 w 26640"/>
                                <a:gd name="textAreaRight" fmla="*/ 27000 w 26640"/>
                                <a:gd name="textAreaTop" fmla="*/ 0 h 5400"/>
                                <a:gd name="textAreaBottom" fmla="*/ 5760 h 5400"/>
                                <a:gd name="GluePoint1X" fmla="*/ 0 w 76210"/>
                                <a:gd name="GluePoint1Y" fmla="*/ 0 h 15778"/>
                                <a:gd name="GluePoint2X" fmla="*/ 76211 w 76210"/>
                                <a:gd name="GluePoint2Y" fmla="*/ 0 h 15778"/>
                              </a:gdLst>
                              <a:ahLst/>
                              <a:cxnLst>
                                <a:cxn ang="0">
                                  <a:pos x="GluePoint1X" y="GluePoint1Y"/>
                                </a:cxn>
                                <a:cxn ang="0">
                                  <a:pos x="GluePoint2X" y="GluePoint2Y"/>
                                </a:cxn>
                              </a:cxnLst>
                              <a:rect l="textAreaLeft" t="textAreaTop" r="textAreaRight" b="textAreaBottom"/>
                              <a:pathLst>
                                <a:path w="76210" h="15778">
                                  <a:moveTo>
                                    <a:pt x="0" y="0"/>
                                  </a:moveTo>
                                  <a:lnTo>
                                    <a:pt x="76211" y="0"/>
                                  </a:lnTo>
                                </a:path>
                              </a:pathLst>
                            </a:custGeom>
                            <a:noFill/>
                            <a:ln w="15773">
                              <a:solidFill>
                                <a:srgbClr val="231F20"/>
                              </a:solidFill>
                              <a:miter/>
                            </a:ln>
                          </wps:spPr>
                          <wps:style>
                            <a:lnRef idx="0">
                              <a:scrgbClr r="0" g="0" b="0"/>
                            </a:lnRef>
                            <a:fillRef idx="0">
                              <a:scrgbClr r="0" g="0" b="0"/>
                            </a:fillRef>
                            <a:effectRef idx="0">
                              <a:scrgbClr r="0" g="0" b="0"/>
                            </a:effectRef>
                            <a:fontRef idx="minor"/>
                          </wps:style>
                          <wps:bodyPr/>
                        </wps:wsp>
                      </wpg:grpSp>
                      <wpg:grpSp>
                        <wpg:cNvPr id="87" name="Group 87"/>
                        <wpg:cNvGrpSpPr/>
                        <wpg:grpSpPr>
                          <a:xfrm>
                            <a:off x="1050120" y="2544480"/>
                            <a:ext cx="4813920" cy="408960"/>
                            <a:chOff x="0" y="0"/>
                            <a:chExt cx="0" cy="0"/>
                          </a:xfrm>
                        </wpg:grpSpPr>
                        <wps:wsp>
                          <wps:cNvPr id="88" name="TextBox 58"/>
                          <wps:cNvSpPr/>
                          <wps:spPr>
                            <a:xfrm rot="1800000">
                              <a:off x="19080" y="99720"/>
                              <a:ext cx="427320" cy="191160"/>
                            </a:xfrm>
                            <a:prstGeom prst="rect">
                              <a:avLst/>
                            </a:prstGeom>
                            <a:noFill/>
                            <a:ln w="0">
                              <a:noFill/>
                            </a:ln>
                          </wps:spPr>
                          <wps:style>
                            <a:lnRef idx="0">
                              <a:scrgbClr r="0" g="0" b="0"/>
                            </a:lnRef>
                            <a:fillRef idx="0">
                              <a:scrgbClr r="0" g="0" b="0"/>
                            </a:fillRef>
                            <a:effectRef idx="0">
                              <a:scrgbClr r="0" g="0" b="0"/>
                            </a:effectRef>
                            <a:fontRef idx="minor"/>
                          </wps:style>
                          <wps:txbx>
                            <w:txbxContent>
                              <w:p>
                                <w:pPr>
                                  <w:jc w:val="center"/>
                                  <w:textAlignment w:val="baseline"/>
                                  <w:rPr>
                                    <w:rFonts w:ascii="Arial" w:hAnsi="Arial" w:cs="Arial"/>
                                    <w:color w:val="000000"/>
                                    <w:kern w:val="2"/>
                                    <w:sz w:val="14"/>
                                    <w:szCs w:val="14"/>
                                    <w14:textFill>
                                      <w14:solidFill>
                                        <w14:srgbClr w14:val="000000">
                                          <w14:lumMod w14:val="50000"/>
                                        </w14:srgbClr>
                                      </w14:solidFill>
                                    </w14:textFill>
                                  </w:rPr>
                                </w:pPr>
                                <w:r>
                                  <w:rPr>
                                    <w:rFonts w:ascii="Arial" w:eastAsia="Arial" w:hAnsi="Arial" w:cs="Arial"/>
                                    <w:color w:val="000000"/>
                                    <w:kern w:val="2"/>
                                    <w:sz w:val="14"/>
                                    <w:szCs w:val="14"/>
                                    <w:lang w:val="lt-LT"/>
                                  </w:rPr>
                                  <w:t>Pradinis įvertinimas</w:t>
                                </w:r>
                              </w:p>
                              <w:p/>
                              <w:p/>
                            </w:txbxContent>
                          </wps:txbx>
                          <wps:bodyPr lIns="0" tIns="0" rIns="0" bIns="0" anchor="t">
                            <a:noAutofit/>
                          </wps:bodyPr>
                        </wps:wsp>
                        <wps:wsp>
                          <wps:cNvPr id="89" name="TextBox 59"/>
                          <wps:cNvSpPr/>
                          <wps:spPr>
                            <a:xfrm rot="1800000">
                              <a:off x="355680" y="88920"/>
                              <a:ext cx="388080" cy="191160"/>
                            </a:xfrm>
                            <a:prstGeom prst="rect">
                              <a:avLst/>
                            </a:prstGeom>
                            <a:noFill/>
                            <a:ln w="0">
                              <a:noFill/>
                            </a:ln>
                          </wps:spPr>
                          <wps:style>
                            <a:lnRef idx="0">
                              <a:scrgbClr r="0" g="0" b="0"/>
                            </a:lnRef>
                            <a:fillRef idx="0">
                              <a:scrgbClr r="0" g="0" b="0"/>
                            </a:fillRef>
                            <a:effectRef idx="0">
                              <a:scrgbClr r="0" g="0" b="0"/>
                            </a:effectRef>
                            <a:fontRef idx="minor"/>
                          </wps:style>
                          <wps:txbx>
                            <w:txbxContent>
                              <w:p>
                                <w:pPr>
                                  <w:jc w:val="center"/>
                                  <w:textAlignment w:val="baseline"/>
                                  <w:rPr>
                                    <w:rFonts w:ascii="Arial" w:hAnsi="Arial" w:cs="Arial"/>
                                    <w:color w:val="000000"/>
                                    <w:kern w:val="2"/>
                                    <w:sz w:val="14"/>
                                    <w:szCs w:val="14"/>
                                    <w14:textFill>
                                      <w14:solidFill>
                                        <w14:srgbClr w14:val="000000">
                                          <w14:lumMod w14:val="50000"/>
                                        </w14:srgbClr>
                                      </w14:solidFill>
                                    </w14:textFill>
                                  </w:rPr>
                                </w:pPr>
                                <w:r>
                                  <w:rPr>
                                    <w:rFonts w:ascii="Arial" w:eastAsia="Arial" w:hAnsi="Arial" w:cs="Arial"/>
                                    <w:color w:val="000000"/>
                                    <w:kern w:val="2"/>
                                    <w:sz w:val="14"/>
                                    <w:szCs w:val="14"/>
                                    <w:lang w:val="lt-LT"/>
                                  </w:rPr>
                                  <w:t>1S–2S</w:t>
                                </w:r>
                              </w:p>
                              <w:p/>
                              <w:p/>
                            </w:txbxContent>
                          </wps:txbx>
                          <wps:bodyPr lIns="0" tIns="0" rIns="0" bIns="0" anchor="t">
                            <a:noAutofit/>
                          </wps:bodyPr>
                        </wps:wsp>
                        <wps:wsp>
                          <wps:cNvPr id="90" name="TextBox 60"/>
                          <wps:cNvSpPr/>
                          <wps:spPr>
                            <a:xfrm rot="1800000">
                              <a:off x="658800" y="88560"/>
                              <a:ext cx="388800" cy="191160"/>
                            </a:xfrm>
                            <a:prstGeom prst="rect">
                              <a:avLst/>
                            </a:prstGeom>
                            <a:noFill/>
                            <a:ln w="0">
                              <a:noFill/>
                            </a:ln>
                          </wps:spPr>
                          <wps:style>
                            <a:lnRef idx="0">
                              <a:scrgbClr r="0" g="0" b="0"/>
                            </a:lnRef>
                            <a:fillRef idx="0">
                              <a:scrgbClr r="0" g="0" b="0"/>
                            </a:fillRef>
                            <a:effectRef idx="0">
                              <a:scrgbClr r="0" g="0" b="0"/>
                            </a:effectRef>
                            <a:fontRef idx="minor"/>
                          </wps:style>
                          <wps:txbx>
                            <w:txbxContent>
                              <w:p>
                                <w:pPr>
                                  <w:jc w:val="center"/>
                                  <w:textAlignment w:val="baseline"/>
                                  <w:rPr>
                                    <w:rFonts w:ascii="Arial" w:hAnsi="Arial" w:cs="Arial"/>
                                    <w:color w:val="000000"/>
                                    <w:kern w:val="2"/>
                                    <w:sz w:val="14"/>
                                    <w:szCs w:val="14"/>
                                    <w14:textFill>
                                      <w14:solidFill>
                                        <w14:srgbClr w14:val="000000">
                                          <w14:lumMod w14:val="50000"/>
                                        </w14:srgbClr>
                                      </w14:solidFill>
                                    </w14:textFill>
                                  </w:rPr>
                                </w:pPr>
                                <w:r>
                                  <w:rPr>
                                    <w:rFonts w:ascii="Arial" w:eastAsia="Arial" w:hAnsi="Arial" w:cs="Arial"/>
                                    <w:color w:val="000000"/>
                                    <w:kern w:val="2"/>
                                    <w:sz w:val="14"/>
                                    <w:szCs w:val="14"/>
                                    <w:lang w:val="lt-LT"/>
                                  </w:rPr>
                                  <w:t>3S–4S</w:t>
                                </w:r>
                              </w:p>
                              <w:p/>
                              <w:p/>
                            </w:txbxContent>
                          </wps:txbx>
                          <wps:bodyPr lIns="0" tIns="0" rIns="0" bIns="0" anchor="t">
                            <a:noAutofit/>
                          </wps:bodyPr>
                        </wps:wsp>
                        <wps:wsp>
                          <wps:cNvPr id="91" name="TextBox 61"/>
                          <wps:cNvSpPr/>
                          <wps:spPr>
                            <a:xfrm rot="1800000">
                              <a:off x="961560" y="88560"/>
                              <a:ext cx="388800" cy="191160"/>
                            </a:xfrm>
                            <a:prstGeom prst="rect">
                              <a:avLst/>
                            </a:prstGeom>
                            <a:noFill/>
                            <a:ln w="0">
                              <a:noFill/>
                            </a:ln>
                          </wps:spPr>
                          <wps:style>
                            <a:lnRef idx="0">
                              <a:scrgbClr r="0" g="0" b="0"/>
                            </a:lnRef>
                            <a:fillRef idx="0">
                              <a:scrgbClr r="0" g="0" b="0"/>
                            </a:fillRef>
                            <a:effectRef idx="0">
                              <a:scrgbClr r="0" g="0" b="0"/>
                            </a:effectRef>
                            <a:fontRef idx="minor"/>
                          </wps:style>
                          <wps:txbx>
                            <w:txbxContent>
                              <w:p>
                                <w:pPr>
                                  <w:jc w:val="center"/>
                                  <w:textAlignment w:val="baseline"/>
                                  <w:rPr>
                                    <w:rFonts w:ascii="Arial" w:hAnsi="Arial" w:cs="Arial"/>
                                    <w:color w:val="000000"/>
                                    <w:kern w:val="2"/>
                                    <w:sz w:val="14"/>
                                    <w:szCs w:val="14"/>
                                    <w14:textFill>
                                      <w14:solidFill>
                                        <w14:srgbClr w14:val="000000">
                                          <w14:lumMod w14:val="50000"/>
                                        </w14:srgbClr>
                                      </w14:solidFill>
                                    </w14:textFill>
                                  </w:rPr>
                                </w:pPr>
                                <w:r>
                                  <w:rPr>
                                    <w:rFonts w:ascii="Arial" w:eastAsia="Arial" w:hAnsi="Arial" w:cs="Arial"/>
                                    <w:color w:val="000000"/>
                                    <w:kern w:val="2"/>
                                    <w:sz w:val="14"/>
                                    <w:szCs w:val="14"/>
                                    <w:lang w:val="lt-LT"/>
                                  </w:rPr>
                                  <w:t>5S–6S</w:t>
                                </w:r>
                              </w:p>
                              <w:p/>
                              <w:p/>
                            </w:txbxContent>
                          </wps:txbx>
                          <wps:bodyPr lIns="0" tIns="0" rIns="0" bIns="0" anchor="t">
                            <a:noAutofit/>
                          </wps:bodyPr>
                        </wps:wsp>
                        <wps:wsp>
                          <wps:cNvPr id="92" name="TextBox 62"/>
                          <wps:cNvSpPr/>
                          <wps:spPr>
                            <a:xfrm rot="1800000">
                              <a:off x="1264320" y="88560"/>
                              <a:ext cx="389160" cy="191160"/>
                            </a:xfrm>
                            <a:prstGeom prst="rect">
                              <a:avLst/>
                            </a:prstGeom>
                            <a:noFill/>
                            <a:ln w="0">
                              <a:noFill/>
                            </a:ln>
                          </wps:spPr>
                          <wps:style>
                            <a:lnRef idx="0">
                              <a:scrgbClr r="0" g="0" b="0"/>
                            </a:lnRef>
                            <a:fillRef idx="0">
                              <a:scrgbClr r="0" g="0" b="0"/>
                            </a:fillRef>
                            <a:effectRef idx="0">
                              <a:scrgbClr r="0" g="0" b="0"/>
                            </a:effectRef>
                            <a:fontRef idx="minor"/>
                          </wps:style>
                          <wps:txbx>
                            <w:txbxContent>
                              <w:p>
                                <w:pPr>
                                  <w:jc w:val="center"/>
                                  <w:textAlignment w:val="baseline"/>
                                  <w:rPr>
                                    <w:rFonts w:ascii="Arial" w:hAnsi="Arial" w:cs="Arial"/>
                                    <w:color w:val="000000"/>
                                    <w:kern w:val="2"/>
                                    <w:sz w:val="14"/>
                                    <w:szCs w:val="14"/>
                                    <w14:textFill>
                                      <w14:solidFill>
                                        <w14:srgbClr w14:val="000000">
                                          <w14:lumMod w14:val="50000"/>
                                        </w14:srgbClr>
                                      </w14:solidFill>
                                    </w14:textFill>
                                  </w:rPr>
                                </w:pPr>
                                <w:r>
                                  <w:rPr>
                                    <w:rFonts w:ascii="Arial" w:eastAsia="Arial" w:hAnsi="Arial" w:cs="Arial"/>
                                    <w:color w:val="000000"/>
                                    <w:kern w:val="2"/>
                                    <w:sz w:val="14"/>
                                    <w:szCs w:val="14"/>
                                    <w:lang w:val="lt-LT"/>
                                  </w:rPr>
                                  <w:t>7S–8S</w:t>
                                </w:r>
                              </w:p>
                              <w:p/>
                              <w:p/>
                            </w:txbxContent>
                          </wps:txbx>
                          <wps:bodyPr lIns="0" tIns="0" rIns="0" bIns="0" anchor="t">
                            <a:noAutofit/>
                          </wps:bodyPr>
                        </wps:wsp>
                        <wps:wsp>
                          <wps:cNvPr id="93" name="TextBox 63"/>
                          <wps:cNvSpPr/>
                          <wps:spPr>
                            <a:xfrm rot="1800000">
                              <a:off x="1567440" y="88560"/>
                              <a:ext cx="388800" cy="191160"/>
                            </a:xfrm>
                            <a:prstGeom prst="rect">
                              <a:avLst/>
                            </a:prstGeom>
                            <a:noFill/>
                            <a:ln w="0">
                              <a:noFill/>
                            </a:ln>
                          </wps:spPr>
                          <wps:style>
                            <a:lnRef idx="0">
                              <a:scrgbClr r="0" g="0" b="0"/>
                            </a:lnRef>
                            <a:fillRef idx="0">
                              <a:scrgbClr r="0" g="0" b="0"/>
                            </a:fillRef>
                            <a:effectRef idx="0">
                              <a:scrgbClr r="0" g="0" b="0"/>
                            </a:effectRef>
                            <a:fontRef idx="minor"/>
                          </wps:style>
                          <wps:txbx>
                            <w:txbxContent>
                              <w:p>
                                <w:pPr>
                                  <w:jc w:val="center"/>
                                  <w:textAlignment w:val="baseline"/>
                                  <w:rPr>
                                    <w:rFonts w:ascii="Arial" w:hAnsi="Arial" w:cs="Arial"/>
                                    <w:color w:val="000000"/>
                                    <w:kern w:val="2"/>
                                    <w:sz w:val="14"/>
                                    <w:szCs w:val="14"/>
                                    <w14:textFill>
                                      <w14:solidFill>
                                        <w14:srgbClr w14:val="000000">
                                          <w14:lumMod w14:val="50000"/>
                                        </w14:srgbClr>
                                      </w14:solidFill>
                                    </w14:textFill>
                                  </w:rPr>
                                </w:pPr>
                                <w:r>
                                  <w:rPr>
                                    <w:rFonts w:ascii="Arial" w:eastAsia="Arial" w:hAnsi="Arial" w:cs="Arial"/>
                                    <w:color w:val="000000"/>
                                    <w:kern w:val="2"/>
                                    <w:sz w:val="14"/>
                                    <w:szCs w:val="14"/>
                                    <w:lang w:val="lt-LT"/>
                                  </w:rPr>
                                  <w:t>9S–10S</w:t>
                                </w:r>
                              </w:p>
                              <w:p/>
                              <w:p/>
                            </w:txbxContent>
                          </wps:txbx>
                          <wps:bodyPr lIns="0" tIns="0" rIns="0" bIns="0" anchor="t">
                            <a:noAutofit/>
                          </wps:bodyPr>
                        </wps:wsp>
                        <wps:wsp>
                          <wps:cNvPr id="94" name="TextBox 64"/>
                          <wps:cNvSpPr/>
                          <wps:spPr>
                            <a:xfrm rot="1800000">
                              <a:off x="1870200" y="99720"/>
                              <a:ext cx="438120" cy="191160"/>
                            </a:xfrm>
                            <a:prstGeom prst="rect">
                              <a:avLst/>
                            </a:prstGeom>
                            <a:noFill/>
                            <a:ln w="0">
                              <a:noFill/>
                            </a:ln>
                          </wps:spPr>
                          <wps:style>
                            <a:lnRef idx="0">
                              <a:scrgbClr r="0" g="0" b="0"/>
                            </a:lnRef>
                            <a:fillRef idx="0">
                              <a:scrgbClr r="0" g="0" b="0"/>
                            </a:fillRef>
                            <a:effectRef idx="0">
                              <a:scrgbClr r="0" g="0" b="0"/>
                            </a:effectRef>
                            <a:fontRef idx="minor"/>
                          </wps:style>
                          <wps:txbx>
                            <w:txbxContent>
                              <w:p>
                                <w:pPr>
                                  <w:jc w:val="center"/>
                                  <w:textAlignment w:val="baseline"/>
                                  <w:rPr>
                                    <w:rFonts w:ascii="Arial" w:hAnsi="Arial" w:cs="Arial"/>
                                    <w:color w:val="000000"/>
                                    <w:kern w:val="2"/>
                                    <w:sz w:val="14"/>
                                    <w:szCs w:val="14"/>
                                    <w14:textFill>
                                      <w14:solidFill>
                                        <w14:srgbClr w14:val="000000">
                                          <w14:lumMod w14:val="50000"/>
                                        </w14:srgbClr>
                                      </w14:solidFill>
                                    </w14:textFill>
                                  </w:rPr>
                                </w:pPr>
                                <w:r>
                                  <w:rPr>
                                    <w:rFonts w:ascii="Arial" w:eastAsia="Arial" w:hAnsi="Arial" w:cs="Arial"/>
                                    <w:color w:val="000000"/>
                                    <w:kern w:val="2"/>
                                    <w:sz w:val="14"/>
                                    <w:szCs w:val="14"/>
                                    <w:lang w:val="lt-LT"/>
                                  </w:rPr>
                                  <w:t>11S–12S</w:t>
                                </w:r>
                              </w:p>
                              <w:p/>
                              <w:p/>
                            </w:txbxContent>
                          </wps:txbx>
                          <wps:bodyPr lIns="0" tIns="0" rIns="0" bIns="0" anchor="t">
                            <a:noAutofit/>
                          </wps:bodyPr>
                        </wps:wsp>
                        <wps:wsp>
                          <wps:cNvPr id="95" name="TextBox 65"/>
                          <wps:cNvSpPr/>
                          <wps:spPr>
                            <a:xfrm rot="1800000">
                              <a:off x="2217600" y="99360"/>
                              <a:ext cx="444960" cy="191160"/>
                            </a:xfrm>
                            <a:prstGeom prst="rect">
                              <a:avLst/>
                            </a:prstGeom>
                            <a:noFill/>
                            <a:ln w="0">
                              <a:noFill/>
                            </a:ln>
                          </wps:spPr>
                          <wps:style>
                            <a:lnRef idx="0">
                              <a:scrgbClr r="0" g="0" b="0"/>
                            </a:lnRef>
                            <a:fillRef idx="0">
                              <a:scrgbClr r="0" g="0" b="0"/>
                            </a:fillRef>
                            <a:effectRef idx="0">
                              <a:scrgbClr r="0" g="0" b="0"/>
                            </a:effectRef>
                            <a:fontRef idx="minor"/>
                          </wps:style>
                          <wps:txbx>
                            <w:txbxContent>
                              <w:p>
                                <w:pPr>
                                  <w:jc w:val="center"/>
                                  <w:textAlignment w:val="baseline"/>
                                  <w:rPr>
                                    <w:rFonts w:ascii="Arial" w:hAnsi="Arial" w:cs="Arial"/>
                                    <w:color w:val="000000"/>
                                    <w:kern w:val="2"/>
                                    <w:sz w:val="14"/>
                                    <w:szCs w:val="14"/>
                                    <w14:textFill>
                                      <w14:solidFill>
                                        <w14:srgbClr w14:val="000000">
                                          <w14:lumMod w14:val="50000"/>
                                        </w14:srgbClr>
                                      </w14:solidFill>
                                    </w14:textFill>
                                  </w:rPr>
                                </w:pPr>
                                <w:r>
                                  <w:rPr>
                                    <w:rFonts w:ascii="Arial" w:eastAsia="Arial" w:hAnsi="Arial" w:cs="Arial"/>
                                    <w:color w:val="000000"/>
                                    <w:kern w:val="2"/>
                                    <w:sz w:val="14"/>
                                    <w:szCs w:val="14"/>
                                    <w:lang w:val="lt-LT"/>
                                  </w:rPr>
                                  <w:t>13S–14S</w:t>
                                </w:r>
                              </w:p>
                              <w:p/>
                              <w:p/>
                            </w:txbxContent>
                          </wps:txbx>
                          <wps:bodyPr lIns="0" tIns="0" rIns="0" bIns="0" anchor="t">
                            <a:noAutofit/>
                          </wps:bodyPr>
                        </wps:wsp>
                        <wps:wsp>
                          <wps:cNvPr id="96" name="TextBox 66"/>
                          <wps:cNvSpPr/>
                          <wps:spPr>
                            <a:xfrm rot="1800000">
                              <a:off x="2563920" y="99720"/>
                              <a:ext cx="440640" cy="191160"/>
                            </a:xfrm>
                            <a:prstGeom prst="rect">
                              <a:avLst/>
                            </a:prstGeom>
                            <a:noFill/>
                            <a:ln w="0">
                              <a:noFill/>
                            </a:ln>
                          </wps:spPr>
                          <wps:style>
                            <a:lnRef idx="0">
                              <a:scrgbClr r="0" g="0" b="0"/>
                            </a:lnRef>
                            <a:fillRef idx="0">
                              <a:scrgbClr r="0" g="0" b="0"/>
                            </a:fillRef>
                            <a:effectRef idx="0">
                              <a:scrgbClr r="0" g="0" b="0"/>
                            </a:effectRef>
                            <a:fontRef idx="minor"/>
                          </wps:style>
                          <wps:txbx>
                            <w:txbxContent>
                              <w:p>
                                <w:pPr>
                                  <w:jc w:val="center"/>
                                  <w:textAlignment w:val="baseline"/>
                                  <w:rPr>
                                    <w:rFonts w:ascii="Arial" w:hAnsi="Arial" w:cs="Arial"/>
                                    <w:color w:val="000000"/>
                                    <w:kern w:val="2"/>
                                    <w:sz w:val="14"/>
                                    <w:szCs w:val="14"/>
                                    <w14:textFill>
                                      <w14:solidFill>
                                        <w14:srgbClr w14:val="000000">
                                          <w14:lumMod w14:val="50000"/>
                                        </w14:srgbClr>
                                      </w14:solidFill>
                                    </w14:textFill>
                                  </w:rPr>
                                </w:pPr>
                                <w:r>
                                  <w:rPr>
                                    <w:rFonts w:ascii="Arial" w:eastAsia="Arial" w:hAnsi="Arial" w:cs="Arial"/>
                                    <w:color w:val="000000"/>
                                    <w:kern w:val="2"/>
                                    <w:sz w:val="14"/>
                                    <w:szCs w:val="14"/>
                                    <w:lang w:val="lt-LT"/>
                                  </w:rPr>
                                  <w:t>15S–16S</w:t>
                                </w:r>
                              </w:p>
                              <w:p/>
                              <w:p/>
                            </w:txbxContent>
                          </wps:txbx>
                          <wps:bodyPr lIns="0" tIns="0" rIns="0" bIns="0" anchor="t">
                            <a:noAutofit/>
                          </wps:bodyPr>
                        </wps:wsp>
                        <wps:wsp>
                          <wps:cNvPr id="97" name="TextBox 67"/>
                          <wps:cNvSpPr/>
                          <wps:spPr>
                            <a:xfrm rot="1800000">
                              <a:off x="2912040" y="99360"/>
                              <a:ext cx="442080" cy="191160"/>
                            </a:xfrm>
                            <a:prstGeom prst="rect">
                              <a:avLst/>
                            </a:prstGeom>
                            <a:noFill/>
                            <a:ln w="0">
                              <a:noFill/>
                            </a:ln>
                          </wps:spPr>
                          <wps:style>
                            <a:lnRef idx="0">
                              <a:scrgbClr r="0" g="0" b="0"/>
                            </a:lnRef>
                            <a:fillRef idx="0">
                              <a:scrgbClr r="0" g="0" b="0"/>
                            </a:fillRef>
                            <a:effectRef idx="0">
                              <a:scrgbClr r="0" g="0" b="0"/>
                            </a:effectRef>
                            <a:fontRef idx="minor"/>
                          </wps:style>
                          <wps:txbx>
                            <w:txbxContent>
                              <w:p>
                                <w:pPr>
                                  <w:jc w:val="center"/>
                                  <w:textAlignment w:val="baseline"/>
                                  <w:rPr>
                                    <w:rFonts w:ascii="Arial" w:hAnsi="Arial" w:cs="Arial"/>
                                    <w:color w:val="000000"/>
                                    <w:kern w:val="2"/>
                                    <w:sz w:val="14"/>
                                    <w:szCs w:val="14"/>
                                    <w14:textFill>
                                      <w14:solidFill>
                                        <w14:srgbClr w14:val="000000">
                                          <w14:lumMod w14:val="50000"/>
                                        </w14:srgbClr>
                                      </w14:solidFill>
                                    </w14:textFill>
                                  </w:rPr>
                                </w:pPr>
                                <w:r>
                                  <w:rPr>
                                    <w:rFonts w:ascii="Arial" w:eastAsia="Arial" w:hAnsi="Arial" w:cs="Arial"/>
                                    <w:color w:val="000000"/>
                                    <w:kern w:val="2"/>
                                    <w:sz w:val="14"/>
                                    <w:szCs w:val="14"/>
                                    <w:lang w:val="lt-LT"/>
                                  </w:rPr>
                                  <w:t>17S–18S</w:t>
                                </w:r>
                              </w:p>
                              <w:p/>
                              <w:p/>
                            </w:txbxContent>
                          </wps:txbx>
                          <wps:bodyPr lIns="0" tIns="0" rIns="0" bIns="0" anchor="t">
                            <a:noAutofit/>
                          </wps:bodyPr>
                        </wps:wsp>
                        <wps:wsp>
                          <wps:cNvPr id="98" name="TextBox 68"/>
                          <wps:cNvSpPr/>
                          <wps:spPr>
                            <a:xfrm rot="1800000">
                              <a:off x="3258720" y="110160"/>
                              <a:ext cx="478800" cy="191160"/>
                            </a:xfrm>
                            <a:prstGeom prst="rect">
                              <a:avLst/>
                            </a:prstGeom>
                            <a:noFill/>
                            <a:ln w="0">
                              <a:noFill/>
                            </a:ln>
                          </wps:spPr>
                          <wps:style>
                            <a:lnRef idx="0">
                              <a:scrgbClr r="0" g="0" b="0"/>
                            </a:lnRef>
                            <a:fillRef idx="0">
                              <a:scrgbClr r="0" g="0" b="0"/>
                            </a:fillRef>
                            <a:effectRef idx="0">
                              <a:scrgbClr r="0" g="0" b="0"/>
                            </a:effectRef>
                            <a:fontRef idx="minor"/>
                          </wps:style>
                          <wps:txbx>
                            <w:txbxContent>
                              <w:p>
                                <w:pPr>
                                  <w:jc w:val="center"/>
                                  <w:textAlignment w:val="baseline"/>
                                  <w:rPr>
                                    <w:rFonts w:ascii="Arial" w:hAnsi="Arial" w:cs="Arial"/>
                                    <w:color w:val="000000"/>
                                    <w:kern w:val="2"/>
                                    <w:sz w:val="14"/>
                                    <w:szCs w:val="14"/>
                                    <w14:textFill>
                                      <w14:solidFill>
                                        <w14:srgbClr w14:val="000000">
                                          <w14:lumMod w14:val="50000"/>
                                        </w14:srgbClr>
                                      </w14:solidFill>
                                    </w14:textFill>
                                  </w:rPr>
                                </w:pPr>
                                <w:r>
                                  <w:rPr>
                                    <w:rFonts w:ascii="Arial" w:eastAsia="Arial" w:hAnsi="Arial" w:cs="Arial"/>
                                    <w:color w:val="000000"/>
                                    <w:kern w:val="2"/>
                                    <w:sz w:val="14"/>
                                    <w:szCs w:val="14"/>
                                    <w:lang w:val="lt-LT"/>
                                  </w:rPr>
                                  <w:t>19S–20S</w:t>
                                </w:r>
                              </w:p>
                              <w:p/>
                              <w:p/>
                            </w:txbxContent>
                          </wps:txbx>
                          <wps:bodyPr lIns="0" tIns="0" rIns="0" bIns="0" anchor="t">
                            <a:noAutofit/>
                          </wps:bodyPr>
                        </wps:wsp>
                        <wps:wsp>
                          <wps:cNvPr id="99" name="TextBox 69"/>
                          <wps:cNvSpPr/>
                          <wps:spPr>
                            <a:xfrm rot="1800000">
                              <a:off x="3644640" y="99360"/>
                              <a:ext cx="444600" cy="191160"/>
                            </a:xfrm>
                            <a:prstGeom prst="rect">
                              <a:avLst/>
                            </a:prstGeom>
                            <a:noFill/>
                            <a:ln w="0">
                              <a:noFill/>
                            </a:ln>
                          </wps:spPr>
                          <wps:style>
                            <a:lnRef idx="0">
                              <a:scrgbClr r="0" g="0" b="0"/>
                            </a:lnRef>
                            <a:fillRef idx="0">
                              <a:scrgbClr r="0" g="0" b="0"/>
                            </a:fillRef>
                            <a:effectRef idx="0">
                              <a:scrgbClr r="0" g="0" b="0"/>
                            </a:effectRef>
                            <a:fontRef idx="minor"/>
                          </wps:style>
                          <wps:txbx>
                            <w:txbxContent>
                              <w:p>
                                <w:pPr>
                                  <w:jc w:val="center"/>
                                  <w:textAlignment w:val="baseline"/>
                                  <w:rPr>
                                    <w:rFonts w:ascii="Arial" w:hAnsi="Arial" w:cs="Arial"/>
                                    <w:color w:val="000000"/>
                                    <w:kern w:val="2"/>
                                    <w:sz w:val="14"/>
                                    <w:szCs w:val="14"/>
                                    <w14:textFill>
                                      <w14:solidFill>
                                        <w14:srgbClr w14:val="000000">
                                          <w14:lumMod w14:val="50000"/>
                                        </w14:srgbClr>
                                      </w14:solidFill>
                                    </w14:textFill>
                                  </w:rPr>
                                </w:pPr>
                                <w:r>
                                  <w:rPr>
                                    <w:rFonts w:ascii="Arial" w:eastAsia="Arial" w:hAnsi="Arial" w:cs="Arial"/>
                                    <w:color w:val="000000"/>
                                    <w:kern w:val="2"/>
                                    <w:sz w:val="14"/>
                                    <w:szCs w:val="14"/>
                                    <w:lang w:val="lt-LT"/>
                                  </w:rPr>
                                  <w:t>21S–22S</w:t>
                                </w:r>
                              </w:p>
                              <w:p/>
                              <w:p/>
                            </w:txbxContent>
                          </wps:txbx>
                          <wps:bodyPr lIns="0" tIns="0" rIns="0" bIns="0" anchor="t">
                            <a:noAutofit/>
                          </wps:bodyPr>
                        </wps:wsp>
                        <wps:wsp>
                          <wps:cNvPr id="100" name="TextBox 70"/>
                          <wps:cNvSpPr/>
                          <wps:spPr>
                            <a:xfrm rot="1800000">
                              <a:off x="3996720" y="99360"/>
                              <a:ext cx="449640" cy="191160"/>
                            </a:xfrm>
                            <a:prstGeom prst="rect">
                              <a:avLst/>
                            </a:prstGeom>
                            <a:noFill/>
                            <a:ln w="0">
                              <a:noFill/>
                            </a:ln>
                          </wps:spPr>
                          <wps:style>
                            <a:lnRef idx="0">
                              <a:scrgbClr r="0" g="0" b="0"/>
                            </a:lnRef>
                            <a:fillRef idx="0">
                              <a:scrgbClr r="0" g="0" b="0"/>
                            </a:fillRef>
                            <a:effectRef idx="0">
                              <a:scrgbClr r="0" g="0" b="0"/>
                            </a:effectRef>
                            <a:fontRef idx="minor"/>
                          </wps:style>
                          <wps:txbx>
                            <w:txbxContent>
                              <w:p>
                                <w:pPr>
                                  <w:jc w:val="center"/>
                                  <w:textAlignment w:val="baseline"/>
                                  <w:rPr>
                                    <w:rFonts w:ascii="Arial" w:hAnsi="Arial" w:cs="Arial"/>
                                    <w:color w:val="000000"/>
                                    <w:kern w:val="2"/>
                                    <w:sz w:val="14"/>
                                    <w:szCs w:val="14"/>
                                    <w14:textFill>
                                      <w14:solidFill>
                                        <w14:srgbClr w14:val="000000">
                                          <w14:lumMod w14:val="50000"/>
                                        </w14:srgbClr>
                                      </w14:solidFill>
                                    </w14:textFill>
                                  </w:rPr>
                                </w:pPr>
                                <w:r>
                                  <w:rPr>
                                    <w:rFonts w:ascii="Arial" w:eastAsia="Arial" w:hAnsi="Arial" w:cs="Arial"/>
                                    <w:color w:val="000000"/>
                                    <w:kern w:val="2"/>
                                    <w:sz w:val="14"/>
                                    <w:szCs w:val="14"/>
                                    <w:lang w:val="lt-LT"/>
                                  </w:rPr>
                                  <w:t>23S–24S</w:t>
                                </w:r>
                              </w:p>
                              <w:p/>
                              <w:p/>
                            </w:txbxContent>
                          </wps:txbx>
                          <wps:bodyPr lIns="0" tIns="0" rIns="0" bIns="0" anchor="t">
                            <a:noAutofit/>
                          </wps:bodyPr>
                        </wps:wsp>
                        <wps:wsp>
                          <wps:cNvPr id="101" name="TextBox 71"/>
                          <wps:cNvSpPr/>
                          <wps:spPr>
                            <a:xfrm rot="1800000">
                              <a:off x="4349160" y="105120"/>
                              <a:ext cx="447120" cy="191160"/>
                            </a:xfrm>
                            <a:prstGeom prst="rect">
                              <a:avLst/>
                            </a:prstGeom>
                            <a:noFill/>
                            <a:ln w="0">
                              <a:noFill/>
                            </a:ln>
                          </wps:spPr>
                          <wps:style>
                            <a:lnRef idx="0">
                              <a:scrgbClr r="0" g="0" b="0"/>
                            </a:lnRef>
                            <a:fillRef idx="0">
                              <a:scrgbClr r="0" g="0" b="0"/>
                            </a:fillRef>
                            <a:effectRef idx="0">
                              <a:scrgbClr r="0" g="0" b="0"/>
                            </a:effectRef>
                            <a:fontRef idx="minor"/>
                          </wps:style>
                          <wps:txbx>
                            <w:txbxContent>
                              <w:p>
                                <w:pPr>
                                  <w:jc w:val="center"/>
                                  <w:textAlignment w:val="baseline"/>
                                  <w:rPr>
                                    <w:rFonts w:ascii="Arial" w:hAnsi="Arial" w:cs="Arial"/>
                                    <w:color w:val="000000"/>
                                    <w:kern w:val="2"/>
                                    <w:sz w:val="14"/>
                                    <w:szCs w:val="14"/>
                                    <w14:textFill>
                                      <w14:solidFill>
                                        <w14:srgbClr w14:val="000000">
                                          <w14:lumMod w14:val="50000"/>
                                        </w14:srgbClr>
                                      </w14:solidFill>
                                    </w14:textFill>
                                  </w:rPr>
                                </w:pPr>
                                <w:r>
                                  <w:rPr>
                                    <w:rFonts w:ascii="Arial" w:eastAsia="Arial" w:hAnsi="Arial" w:cs="Arial"/>
                                    <w:color w:val="000000"/>
                                    <w:kern w:val="2"/>
                                    <w:sz w:val="14"/>
                                    <w:szCs w:val="14"/>
                                    <w:lang w:val="lt-LT"/>
                                  </w:rPr>
                                  <w:t>25S–26S</w:t>
                                </w:r>
                              </w:p>
                              <w:p/>
                              <w:p/>
                            </w:txbxContent>
                          </wps:txbx>
                          <wps:bodyPr lIns="0" tIns="0" rIns="0" bIns="0" anchor="t">
                            <a:noAutofit/>
                          </wps:bodyPr>
                        </wps:wsp>
                      </wpg:grpSp>
                      <wps:wsp>
                        <wps:cNvPr id="102" name="Rectangle 116"/>
                        <wps:cNvSpPr/>
                        <wps:spPr>
                          <a:xfrm>
                            <a:off x="1000800" y="2374200"/>
                            <a:ext cx="4605480" cy="179640"/>
                          </a:xfrm>
                          <a:prstGeom prst="rect">
                            <a:avLst/>
                          </a:prstGeom>
                          <a:noFill/>
                          <a:ln>
                            <a:solidFill>
                              <a:srgbClr val="000000"/>
                            </a:solidFill>
                          </a:ln>
                        </wps:spPr>
                        <wps:style>
                          <a:lnRef idx="2">
                            <a:schemeClr val="accent1">
                              <a:shade val="15000"/>
                            </a:schemeClr>
                          </a:lnRef>
                          <a:fillRef idx="1">
                            <a:schemeClr val="accent1"/>
                          </a:fillRef>
                          <a:effectRef idx="0">
                            <a:schemeClr val="accent1"/>
                          </a:effectRef>
                          <a:fontRef idx="minor"/>
                        </wps:style>
                        <wps:bodyPr/>
                      </wps:wsp>
                      <wpg:grpSp>
                        <wpg:cNvPr id="103" name="Group 103"/>
                        <wpg:cNvGrpSpPr/>
                        <wpg:grpSpPr>
                          <a:xfrm>
                            <a:off x="1113120" y="2555280"/>
                            <a:ext cx="4381560" cy="41760"/>
                            <a:chOff x="0" y="0"/>
                            <a:chExt cx="0" cy="0"/>
                          </a:xfrm>
                        </wpg:grpSpPr>
                        <wps:wsp>
                          <wps:cNvPr id="104" name="Freeform: Shape 77"/>
                          <wps:cNvSpPr/>
                          <wps:spPr>
                            <a:xfrm>
                              <a:off x="0" y="0"/>
                              <a:ext cx="7560" cy="41760"/>
                            </a:xfrm>
                            <a:custGeom>
                              <a:avLst/>
                              <a:gdLst>
                                <a:gd name="textAreaLeft" fmla="*/ 0 w 4320"/>
                                <a:gd name="textAreaRight" fmla="*/ 4680 w 4320"/>
                                <a:gd name="textAreaTop" fmla="*/ 0 h 23760"/>
                                <a:gd name="textAreaBottom" fmla="*/ 24120 h 23760"/>
                                <a:gd name="GluePoint1X" fmla="*/ 0 w 15778"/>
                                <a:gd name="GluePoint1Y" fmla="*/ 0 h 76210"/>
                                <a:gd name="GluePoint2X" fmla="*/ 0 w 15778"/>
                                <a:gd name="GluePoint2Y" fmla="*/ 76211 h 76210"/>
                              </a:gdLst>
                              <a:ahLst/>
                              <a:cxnLst>
                                <a:cxn ang="0">
                                  <a:pos x="GluePoint1X" y="GluePoint1Y"/>
                                </a:cxn>
                                <a:cxn ang="0">
                                  <a:pos x="GluePoint2X" y="GluePoint2Y"/>
                                </a:cxn>
                              </a:cxnLst>
                              <a:rect l="textAreaLeft" t="textAreaTop" r="textAreaRight" b="textAreaBottom"/>
                              <a:pathLst>
                                <a:path w="15778" h="76210">
                                  <a:moveTo>
                                    <a:pt x="0" y="0"/>
                                  </a:moveTo>
                                  <a:lnTo>
                                    <a:pt x="0" y="76211"/>
                                  </a:lnTo>
                                </a:path>
                              </a:pathLst>
                            </a:custGeom>
                            <a:noFill/>
                            <a:ln w="15773">
                              <a:solidFill>
                                <a:srgbClr val="231F20"/>
                              </a:solidFill>
                              <a:miter/>
                            </a:ln>
                          </wps:spPr>
                          <wps:style>
                            <a:lnRef idx="0">
                              <a:scrgbClr r="0" g="0" b="0"/>
                            </a:lnRef>
                            <a:fillRef idx="0">
                              <a:scrgbClr r="0" g="0" b="0"/>
                            </a:fillRef>
                            <a:effectRef idx="0">
                              <a:scrgbClr r="0" g="0" b="0"/>
                            </a:effectRef>
                            <a:fontRef idx="minor"/>
                          </wps:style>
                          <wps:bodyPr/>
                        </wps:wsp>
                        <wps:wsp>
                          <wps:cNvPr id="105" name="Freeform: Shape 78"/>
                          <wps:cNvSpPr/>
                          <wps:spPr>
                            <a:xfrm>
                              <a:off x="337680" y="0"/>
                              <a:ext cx="8280" cy="41760"/>
                            </a:xfrm>
                            <a:custGeom>
                              <a:avLst/>
                              <a:gdLst>
                                <a:gd name="textAreaLeft" fmla="*/ 0 w 4680"/>
                                <a:gd name="textAreaRight" fmla="*/ 5040 w 4680"/>
                                <a:gd name="textAreaTop" fmla="*/ 0 h 23760"/>
                                <a:gd name="textAreaBottom" fmla="*/ 24120 h 23760"/>
                                <a:gd name="GluePoint1X" fmla="*/ 0 w 15778"/>
                                <a:gd name="GluePoint1Y" fmla="*/ 0 h 76210"/>
                                <a:gd name="GluePoint2X" fmla="*/ 0 w 15778"/>
                                <a:gd name="GluePoint2Y" fmla="*/ 76211 h 76210"/>
                              </a:gdLst>
                              <a:ahLst/>
                              <a:cxnLst>
                                <a:cxn ang="0">
                                  <a:pos x="GluePoint1X" y="GluePoint1Y"/>
                                </a:cxn>
                                <a:cxn ang="0">
                                  <a:pos x="GluePoint2X" y="GluePoint2Y"/>
                                </a:cxn>
                              </a:cxnLst>
                              <a:rect l="textAreaLeft" t="textAreaTop" r="textAreaRight" b="textAreaBottom"/>
                              <a:pathLst>
                                <a:path w="15778" h="76210">
                                  <a:moveTo>
                                    <a:pt x="0" y="0"/>
                                  </a:moveTo>
                                  <a:lnTo>
                                    <a:pt x="0" y="76211"/>
                                  </a:lnTo>
                                </a:path>
                              </a:pathLst>
                            </a:custGeom>
                            <a:noFill/>
                            <a:ln w="15773">
                              <a:solidFill>
                                <a:srgbClr val="231F20"/>
                              </a:solidFill>
                              <a:miter/>
                            </a:ln>
                          </wps:spPr>
                          <wps:style>
                            <a:lnRef idx="0">
                              <a:scrgbClr r="0" g="0" b="0"/>
                            </a:lnRef>
                            <a:fillRef idx="0">
                              <a:scrgbClr r="0" g="0" b="0"/>
                            </a:fillRef>
                            <a:effectRef idx="0">
                              <a:scrgbClr r="0" g="0" b="0"/>
                            </a:effectRef>
                            <a:fontRef idx="minor"/>
                          </wps:style>
                          <wps:bodyPr/>
                        </wps:wsp>
                        <wps:wsp>
                          <wps:cNvPr id="106" name="Freeform: Shape 79"/>
                          <wps:cNvSpPr/>
                          <wps:spPr>
                            <a:xfrm>
                              <a:off x="4374000" y="0"/>
                              <a:ext cx="7560" cy="41760"/>
                            </a:xfrm>
                            <a:custGeom>
                              <a:avLst/>
                              <a:gdLst>
                                <a:gd name="textAreaLeft" fmla="*/ 0 w 4320"/>
                                <a:gd name="textAreaRight" fmla="*/ 4680 w 4320"/>
                                <a:gd name="textAreaTop" fmla="*/ 0 h 23760"/>
                                <a:gd name="textAreaBottom" fmla="*/ 24120 h 23760"/>
                                <a:gd name="GluePoint1X" fmla="*/ 0 w 15778"/>
                                <a:gd name="GluePoint1Y" fmla="*/ 0 h 76210"/>
                                <a:gd name="GluePoint2X" fmla="*/ 0 w 15778"/>
                                <a:gd name="GluePoint2Y" fmla="*/ 76211 h 76210"/>
                              </a:gdLst>
                              <a:ahLst/>
                              <a:cxnLst>
                                <a:cxn ang="0">
                                  <a:pos x="GluePoint1X" y="GluePoint1Y"/>
                                </a:cxn>
                                <a:cxn ang="0">
                                  <a:pos x="GluePoint2X" y="GluePoint2Y"/>
                                </a:cxn>
                              </a:cxnLst>
                              <a:rect l="textAreaLeft" t="textAreaTop" r="textAreaRight" b="textAreaBottom"/>
                              <a:pathLst>
                                <a:path w="15778" h="76210">
                                  <a:moveTo>
                                    <a:pt x="0" y="0"/>
                                  </a:moveTo>
                                  <a:lnTo>
                                    <a:pt x="0" y="76211"/>
                                  </a:lnTo>
                                </a:path>
                              </a:pathLst>
                            </a:custGeom>
                            <a:noFill/>
                            <a:ln w="15773">
                              <a:solidFill>
                                <a:srgbClr val="231F20"/>
                              </a:solidFill>
                              <a:miter/>
                            </a:ln>
                          </wps:spPr>
                          <wps:style>
                            <a:lnRef idx="0">
                              <a:scrgbClr r="0" g="0" b="0"/>
                            </a:lnRef>
                            <a:fillRef idx="0">
                              <a:scrgbClr r="0" g="0" b="0"/>
                            </a:fillRef>
                            <a:effectRef idx="0">
                              <a:scrgbClr r="0" g="0" b="0"/>
                            </a:effectRef>
                            <a:fontRef idx="minor"/>
                          </wps:style>
                          <wps:bodyPr/>
                        </wps:wsp>
                        <wps:wsp>
                          <wps:cNvPr id="107" name="Freeform: Shape 80"/>
                          <wps:cNvSpPr/>
                          <wps:spPr>
                            <a:xfrm>
                              <a:off x="673200" y="0"/>
                              <a:ext cx="8280" cy="41760"/>
                            </a:xfrm>
                            <a:custGeom>
                              <a:avLst/>
                              <a:gdLst>
                                <a:gd name="textAreaLeft" fmla="*/ 0 w 4680"/>
                                <a:gd name="textAreaRight" fmla="*/ 5040 w 4680"/>
                                <a:gd name="textAreaTop" fmla="*/ 0 h 23760"/>
                                <a:gd name="textAreaBottom" fmla="*/ 24120 h 23760"/>
                                <a:gd name="GluePoint1X" fmla="*/ 0 w 15778"/>
                                <a:gd name="GluePoint1Y" fmla="*/ 0 h 76210"/>
                                <a:gd name="GluePoint2X" fmla="*/ 0 w 15778"/>
                                <a:gd name="GluePoint2Y" fmla="*/ 76211 h 76210"/>
                              </a:gdLst>
                              <a:ahLst/>
                              <a:cxnLst>
                                <a:cxn ang="0">
                                  <a:pos x="GluePoint1X" y="GluePoint1Y"/>
                                </a:cxn>
                                <a:cxn ang="0">
                                  <a:pos x="GluePoint2X" y="GluePoint2Y"/>
                                </a:cxn>
                              </a:cxnLst>
                              <a:rect l="textAreaLeft" t="textAreaTop" r="textAreaRight" b="textAreaBottom"/>
                              <a:pathLst>
                                <a:path w="15778" h="76210">
                                  <a:moveTo>
                                    <a:pt x="0" y="0"/>
                                  </a:moveTo>
                                  <a:lnTo>
                                    <a:pt x="0" y="76211"/>
                                  </a:lnTo>
                                </a:path>
                              </a:pathLst>
                            </a:custGeom>
                            <a:noFill/>
                            <a:ln w="15773">
                              <a:solidFill>
                                <a:srgbClr val="231F20"/>
                              </a:solidFill>
                              <a:miter/>
                            </a:ln>
                          </wps:spPr>
                          <wps:style>
                            <a:lnRef idx="0">
                              <a:scrgbClr r="0" g="0" b="0"/>
                            </a:lnRef>
                            <a:fillRef idx="0">
                              <a:scrgbClr r="0" g="0" b="0"/>
                            </a:fillRef>
                            <a:effectRef idx="0">
                              <a:scrgbClr r="0" g="0" b="0"/>
                            </a:effectRef>
                            <a:fontRef idx="minor"/>
                          </wps:style>
                          <wps:bodyPr/>
                        </wps:wsp>
                        <wps:wsp>
                          <wps:cNvPr id="108" name="Freeform: Shape 81"/>
                          <wps:cNvSpPr/>
                          <wps:spPr>
                            <a:xfrm>
                              <a:off x="1013400" y="0"/>
                              <a:ext cx="8280" cy="41760"/>
                            </a:xfrm>
                            <a:custGeom>
                              <a:avLst/>
                              <a:gdLst>
                                <a:gd name="textAreaLeft" fmla="*/ 0 w 4680"/>
                                <a:gd name="textAreaRight" fmla="*/ 5040 w 4680"/>
                                <a:gd name="textAreaTop" fmla="*/ 0 h 23760"/>
                                <a:gd name="textAreaBottom" fmla="*/ 24120 h 23760"/>
                                <a:gd name="GluePoint1X" fmla="*/ 0 w 15778"/>
                                <a:gd name="GluePoint1Y" fmla="*/ 0 h 76210"/>
                                <a:gd name="GluePoint2X" fmla="*/ 0 w 15778"/>
                                <a:gd name="GluePoint2Y" fmla="*/ 76211 h 76210"/>
                              </a:gdLst>
                              <a:ahLst/>
                              <a:cxnLst>
                                <a:cxn ang="0">
                                  <a:pos x="GluePoint1X" y="GluePoint1Y"/>
                                </a:cxn>
                                <a:cxn ang="0">
                                  <a:pos x="GluePoint2X" y="GluePoint2Y"/>
                                </a:cxn>
                              </a:cxnLst>
                              <a:rect l="textAreaLeft" t="textAreaTop" r="textAreaRight" b="textAreaBottom"/>
                              <a:pathLst>
                                <a:path w="15778" h="76210">
                                  <a:moveTo>
                                    <a:pt x="0" y="0"/>
                                  </a:moveTo>
                                  <a:lnTo>
                                    <a:pt x="0" y="76211"/>
                                  </a:lnTo>
                                </a:path>
                              </a:pathLst>
                            </a:custGeom>
                            <a:noFill/>
                            <a:ln w="15773">
                              <a:solidFill>
                                <a:srgbClr val="231F20"/>
                              </a:solidFill>
                              <a:miter/>
                            </a:ln>
                          </wps:spPr>
                          <wps:style>
                            <a:lnRef idx="0">
                              <a:scrgbClr r="0" g="0" b="0"/>
                            </a:lnRef>
                            <a:fillRef idx="0">
                              <a:scrgbClr r="0" g="0" b="0"/>
                            </a:fillRef>
                            <a:effectRef idx="0">
                              <a:scrgbClr r="0" g="0" b="0"/>
                            </a:effectRef>
                            <a:fontRef idx="minor"/>
                          </wps:style>
                          <wps:bodyPr/>
                        </wps:wsp>
                        <wps:wsp>
                          <wps:cNvPr id="109" name="Freeform: Shape 82"/>
                          <wps:cNvSpPr/>
                          <wps:spPr>
                            <a:xfrm>
                              <a:off x="1346400" y="0"/>
                              <a:ext cx="8280" cy="41760"/>
                            </a:xfrm>
                            <a:custGeom>
                              <a:avLst/>
                              <a:gdLst>
                                <a:gd name="textAreaLeft" fmla="*/ 0 w 4680"/>
                                <a:gd name="textAreaRight" fmla="*/ 5040 w 4680"/>
                                <a:gd name="textAreaTop" fmla="*/ 0 h 23760"/>
                                <a:gd name="textAreaBottom" fmla="*/ 24120 h 23760"/>
                                <a:gd name="GluePoint1X" fmla="*/ 0 w 15778"/>
                                <a:gd name="GluePoint1Y" fmla="*/ 0 h 76210"/>
                                <a:gd name="GluePoint2X" fmla="*/ 0 w 15778"/>
                                <a:gd name="GluePoint2Y" fmla="*/ 76211 h 76210"/>
                              </a:gdLst>
                              <a:ahLst/>
                              <a:cxnLst>
                                <a:cxn ang="0">
                                  <a:pos x="GluePoint1X" y="GluePoint1Y"/>
                                </a:cxn>
                                <a:cxn ang="0">
                                  <a:pos x="GluePoint2X" y="GluePoint2Y"/>
                                </a:cxn>
                              </a:cxnLst>
                              <a:rect l="textAreaLeft" t="textAreaTop" r="textAreaRight" b="textAreaBottom"/>
                              <a:pathLst>
                                <a:path w="15778" h="76210">
                                  <a:moveTo>
                                    <a:pt x="0" y="0"/>
                                  </a:moveTo>
                                  <a:lnTo>
                                    <a:pt x="0" y="76211"/>
                                  </a:lnTo>
                                </a:path>
                              </a:pathLst>
                            </a:custGeom>
                            <a:noFill/>
                            <a:ln w="15773">
                              <a:solidFill>
                                <a:srgbClr val="231F20"/>
                              </a:solidFill>
                              <a:miter/>
                            </a:ln>
                          </wps:spPr>
                          <wps:style>
                            <a:lnRef idx="0">
                              <a:scrgbClr r="0" g="0" b="0"/>
                            </a:lnRef>
                            <a:fillRef idx="0">
                              <a:scrgbClr r="0" g="0" b="0"/>
                            </a:fillRef>
                            <a:effectRef idx="0">
                              <a:scrgbClr r="0" g="0" b="0"/>
                            </a:effectRef>
                            <a:fontRef idx="minor"/>
                          </wps:style>
                          <wps:bodyPr/>
                        </wps:wsp>
                        <wps:wsp>
                          <wps:cNvPr id="110" name="Freeform: Shape 83"/>
                          <wps:cNvSpPr/>
                          <wps:spPr>
                            <a:xfrm>
                              <a:off x="1684080" y="0"/>
                              <a:ext cx="8280" cy="41760"/>
                            </a:xfrm>
                            <a:custGeom>
                              <a:avLst/>
                              <a:gdLst>
                                <a:gd name="textAreaLeft" fmla="*/ 0 w 4680"/>
                                <a:gd name="textAreaRight" fmla="*/ 5040 w 4680"/>
                                <a:gd name="textAreaTop" fmla="*/ 0 h 23760"/>
                                <a:gd name="textAreaBottom" fmla="*/ 24120 h 23760"/>
                                <a:gd name="GluePoint1X" fmla="*/ 0 w 15778"/>
                                <a:gd name="GluePoint1Y" fmla="*/ 0 h 76210"/>
                                <a:gd name="GluePoint2X" fmla="*/ 0 w 15778"/>
                                <a:gd name="GluePoint2Y" fmla="*/ 76211 h 76210"/>
                              </a:gdLst>
                              <a:ahLst/>
                              <a:cxnLst>
                                <a:cxn ang="0">
                                  <a:pos x="GluePoint1X" y="GluePoint1Y"/>
                                </a:cxn>
                                <a:cxn ang="0">
                                  <a:pos x="GluePoint2X" y="GluePoint2Y"/>
                                </a:cxn>
                              </a:cxnLst>
                              <a:rect l="textAreaLeft" t="textAreaTop" r="textAreaRight" b="textAreaBottom"/>
                              <a:pathLst>
                                <a:path w="15778" h="76210">
                                  <a:moveTo>
                                    <a:pt x="0" y="0"/>
                                  </a:moveTo>
                                  <a:lnTo>
                                    <a:pt x="0" y="76211"/>
                                  </a:lnTo>
                                </a:path>
                              </a:pathLst>
                            </a:custGeom>
                            <a:noFill/>
                            <a:ln w="15773">
                              <a:solidFill>
                                <a:srgbClr val="231F20"/>
                              </a:solidFill>
                              <a:miter/>
                            </a:ln>
                          </wps:spPr>
                          <wps:style>
                            <a:lnRef idx="0">
                              <a:scrgbClr r="0" g="0" b="0"/>
                            </a:lnRef>
                            <a:fillRef idx="0">
                              <a:scrgbClr r="0" g="0" b="0"/>
                            </a:fillRef>
                            <a:effectRef idx="0">
                              <a:scrgbClr r="0" g="0" b="0"/>
                            </a:effectRef>
                            <a:fontRef idx="minor"/>
                          </wps:style>
                          <wps:bodyPr/>
                        </wps:wsp>
                        <wps:wsp>
                          <wps:cNvPr id="111" name="Freeform: Shape 84"/>
                          <wps:cNvSpPr/>
                          <wps:spPr>
                            <a:xfrm>
                              <a:off x="2019240" y="0"/>
                              <a:ext cx="8280" cy="41760"/>
                            </a:xfrm>
                            <a:custGeom>
                              <a:avLst/>
                              <a:gdLst>
                                <a:gd name="textAreaLeft" fmla="*/ 0 w 4680"/>
                                <a:gd name="textAreaRight" fmla="*/ 5040 w 4680"/>
                                <a:gd name="textAreaTop" fmla="*/ 0 h 23760"/>
                                <a:gd name="textAreaBottom" fmla="*/ 24120 h 23760"/>
                                <a:gd name="GluePoint1X" fmla="*/ 0 w 15778"/>
                                <a:gd name="GluePoint1Y" fmla="*/ 0 h 76210"/>
                                <a:gd name="GluePoint2X" fmla="*/ 0 w 15778"/>
                                <a:gd name="GluePoint2Y" fmla="*/ 76211 h 76210"/>
                              </a:gdLst>
                              <a:ahLst/>
                              <a:cxnLst>
                                <a:cxn ang="0">
                                  <a:pos x="GluePoint1X" y="GluePoint1Y"/>
                                </a:cxn>
                                <a:cxn ang="0">
                                  <a:pos x="GluePoint2X" y="GluePoint2Y"/>
                                </a:cxn>
                              </a:cxnLst>
                              <a:rect l="textAreaLeft" t="textAreaTop" r="textAreaRight" b="textAreaBottom"/>
                              <a:pathLst>
                                <a:path w="15778" h="76210">
                                  <a:moveTo>
                                    <a:pt x="0" y="0"/>
                                  </a:moveTo>
                                  <a:lnTo>
                                    <a:pt x="0" y="76211"/>
                                  </a:lnTo>
                                </a:path>
                              </a:pathLst>
                            </a:custGeom>
                            <a:noFill/>
                            <a:ln w="15773">
                              <a:solidFill>
                                <a:srgbClr val="231F20"/>
                              </a:solidFill>
                              <a:miter/>
                            </a:ln>
                          </wps:spPr>
                          <wps:style>
                            <a:lnRef idx="0">
                              <a:scrgbClr r="0" g="0" b="0"/>
                            </a:lnRef>
                            <a:fillRef idx="0">
                              <a:scrgbClr r="0" g="0" b="0"/>
                            </a:fillRef>
                            <a:effectRef idx="0">
                              <a:scrgbClr r="0" g="0" b="0"/>
                            </a:effectRef>
                            <a:fontRef idx="minor"/>
                          </wps:style>
                          <wps:bodyPr/>
                        </wps:wsp>
                        <wps:wsp>
                          <wps:cNvPr id="112" name="Freeform: Shape 85"/>
                          <wps:cNvSpPr/>
                          <wps:spPr>
                            <a:xfrm>
                              <a:off x="2354760" y="0"/>
                              <a:ext cx="8280" cy="41760"/>
                            </a:xfrm>
                            <a:custGeom>
                              <a:avLst/>
                              <a:gdLst>
                                <a:gd name="textAreaLeft" fmla="*/ 0 w 4680"/>
                                <a:gd name="textAreaRight" fmla="*/ 5040 w 4680"/>
                                <a:gd name="textAreaTop" fmla="*/ 0 h 23760"/>
                                <a:gd name="textAreaBottom" fmla="*/ 24120 h 23760"/>
                                <a:gd name="GluePoint1X" fmla="*/ 0 w 15778"/>
                                <a:gd name="GluePoint1Y" fmla="*/ 0 h 76210"/>
                                <a:gd name="GluePoint2X" fmla="*/ 0 w 15778"/>
                                <a:gd name="GluePoint2Y" fmla="*/ 76211 h 76210"/>
                              </a:gdLst>
                              <a:ahLst/>
                              <a:cxnLst>
                                <a:cxn ang="0">
                                  <a:pos x="GluePoint1X" y="GluePoint1Y"/>
                                </a:cxn>
                                <a:cxn ang="0">
                                  <a:pos x="GluePoint2X" y="GluePoint2Y"/>
                                </a:cxn>
                              </a:cxnLst>
                              <a:rect l="textAreaLeft" t="textAreaTop" r="textAreaRight" b="textAreaBottom"/>
                              <a:pathLst>
                                <a:path w="15778" h="76210">
                                  <a:moveTo>
                                    <a:pt x="0" y="0"/>
                                  </a:moveTo>
                                  <a:lnTo>
                                    <a:pt x="0" y="76211"/>
                                  </a:lnTo>
                                </a:path>
                              </a:pathLst>
                            </a:custGeom>
                            <a:noFill/>
                            <a:ln w="15773">
                              <a:solidFill>
                                <a:srgbClr val="231F20"/>
                              </a:solidFill>
                              <a:miter/>
                            </a:ln>
                          </wps:spPr>
                          <wps:style>
                            <a:lnRef idx="0">
                              <a:scrgbClr r="0" g="0" b="0"/>
                            </a:lnRef>
                            <a:fillRef idx="0">
                              <a:scrgbClr r="0" g="0" b="0"/>
                            </a:fillRef>
                            <a:effectRef idx="0">
                              <a:scrgbClr r="0" g="0" b="0"/>
                            </a:effectRef>
                            <a:fontRef idx="minor"/>
                          </wps:style>
                          <wps:bodyPr/>
                        </wps:wsp>
                        <wps:wsp>
                          <wps:cNvPr id="113" name="Freeform: Shape 86"/>
                          <wps:cNvSpPr/>
                          <wps:spPr>
                            <a:xfrm>
                              <a:off x="4038480" y="0"/>
                              <a:ext cx="8280" cy="41760"/>
                            </a:xfrm>
                            <a:custGeom>
                              <a:avLst/>
                              <a:gdLst>
                                <a:gd name="textAreaLeft" fmla="*/ 0 w 4680"/>
                                <a:gd name="textAreaRight" fmla="*/ 5040 w 4680"/>
                                <a:gd name="textAreaTop" fmla="*/ 0 h 23760"/>
                                <a:gd name="textAreaBottom" fmla="*/ 24120 h 23760"/>
                                <a:gd name="GluePoint1X" fmla="*/ 0 w 15778"/>
                                <a:gd name="GluePoint1Y" fmla="*/ 0 h 76210"/>
                                <a:gd name="GluePoint2X" fmla="*/ 0 w 15778"/>
                                <a:gd name="GluePoint2Y" fmla="*/ 76211 h 76210"/>
                              </a:gdLst>
                              <a:ahLst/>
                              <a:cxnLst>
                                <a:cxn ang="0">
                                  <a:pos x="GluePoint1X" y="GluePoint1Y"/>
                                </a:cxn>
                                <a:cxn ang="0">
                                  <a:pos x="GluePoint2X" y="GluePoint2Y"/>
                                </a:cxn>
                              </a:cxnLst>
                              <a:rect l="textAreaLeft" t="textAreaTop" r="textAreaRight" b="textAreaBottom"/>
                              <a:pathLst>
                                <a:path w="15778" h="76210">
                                  <a:moveTo>
                                    <a:pt x="0" y="0"/>
                                  </a:moveTo>
                                  <a:lnTo>
                                    <a:pt x="0" y="76211"/>
                                  </a:lnTo>
                                </a:path>
                              </a:pathLst>
                            </a:custGeom>
                            <a:noFill/>
                            <a:ln w="15773">
                              <a:solidFill>
                                <a:srgbClr val="231F20"/>
                              </a:solidFill>
                              <a:miter/>
                            </a:ln>
                          </wps:spPr>
                          <wps:style>
                            <a:lnRef idx="0">
                              <a:scrgbClr r="0" g="0" b="0"/>
                            </a:lnRef>
                            <a:fillRef idx="0">
                              <a:scrgbClr r="0" g="0" b="0"/>
                            </a:fillRef>
                            <a:effectRef idx="0">
                              <a:scrgbClr r="0" g="0" b="0"/>
                            </a:effectRef>
                            <a:fontRef idx="minor"/>
                          </wps:style>
                          <wps:bodyPr/>
                        </wps:wsp>
                        <wps:wsp>
                          <wps:cNvPr id="114" name="Freeform: Shape 87"/>
                          <wps:cNvSpPr/>
                          <wps:spPr>
                            <a:xfrm>
                              <a:off x="2692440" y="0"/>
                              <a:ext cx="8280" cy="41760"/>
                            </a:xfrm>
                            <a:custGeom>
                              <a:avLst/>
                              <a:gdLst>
                                <a:gd name="textAreaLeft" fmla="*/ 0 w 4680"/>
                                <a:gd name="textAreaRight" fmla="*/ 5040 w 4680"/>
                                <a:gd name="textAreaTop" fmla="*/ 0 h 23760"/>
                                <a:gd name="textAreaBottom" fmla="*/ 24120 h 23760"/>
                                <a:gd name="GluePoint1X" fmla="*/ 0 w 15778"/>
                                <a:gd name="GluePoint1Y" fmla="*/ 0 h 76210"/>
                                <a:gd name="GluePoint2X" fmla="*/ 0 w 15778"/>
                                <a:gd name="GluePoint2Y" fmla="*/ 76211 h 76210"/>
                              </a:gdLst>
                              <a:ahLst/>
                              <a:cxnLst>
                                <a:cxn ang="0">
                                  <a:pos x="GluePoint1X" y="GluePoint1Y"/>
                                </a:cxn>
                                <a:cxn ang="0">
                                  <a:pos x="GluePoint2X" y="GluePoint2Y"/>
                                </a:cxn>
                              </a:cxnLst>
                              <a:rect l="textAreaLeft" t="textAreaTop" r="textAreaRight" b="textAreaBottom"/>
                              <a:pathLst>
                                <a:path w="15778" h="76210">
                                  <a:moveTo>
                                    <a:pt x="0" y="0"/>
                                  </a:moveTo>
                                  <a:lnTo>
                                    <a:pt x="0" y="76211"/>
                                  </a:lnTo>
                                </a:path>
                              </a:pathLst>
                            </a:custGeom>
                            <a:noFill/>
                            <a:ln w="15773">
                              <a:solidFill>
                                <a:srgbClr val="231F20"/>
                              </a:solidFill>
                              <a:miter/>
                            </a:ln>
                          </wps:spPr>
                          <wps:style>
                            <a:lnRef idx="0">
                              <a:scrgbClr r="0" g="0" b="0"/>
                            </a:lnRef>
                            <a:fillRef idx="0">
                              <a:scrgbClr r="0" g="0" b="0"/>
                            </a:fillRef>
                            <a:effectRef idx="0">
                              <a:scrgbClr r="0" g="0" b="0"/>
                            </a:effectRef>
                            <a:fontRef idx="minor"/>
                          </wps:style>
                          <wps:bodyPr/>
                        </wps:wsp>
                        <wps:wsp>
                          <wps:cNvPr id="115" name="Freeform: Shape 88"/>
                          <wps:cNvSpPr/>
                          <wps:spPr>
                            <a:xfrm>
                              <a:off x="3030120" y="0"/>
                              <a:ext cx="8280" cy="41760"/>
                            </a:xfrm>
                            <a:custGeom>
                              <a:avLst/>
                              <a:gdLst>
                                <a:gd name="textAreaLeft" fmla="*/ 0 w 4680"/>
                                <a:gd name="textAreaRight" fmla="*/ 5040 w 4680"/>
                                <a:gd name="textAreaTop" fmla="*/ 0 h 23760"/>
                                <a:gd name="textAreaBottom" fmla="*/ 24120 h 23760"/>
                                <a:gd name="GluePoint1X" fmla="*/ 0 w 15778"/>
                                <a:gd name="GluePoint1Y" fmla="*/ 0 h 76210"/>
                                <a:gd name="GluePoint2X" fmla="*/ 0 w 15778"/>
                                <a:gd name="GluePoint2Y" fmla="*/ 76211 h 76210"/>
                              </a:gdLst>
                              <a:ahLst/>
                              <a:cxnLst>
                                <a:cxn ang="0">
                                  <a:pos x="GluePoint1X" y="GluePoint1Y"/>
                                </a:cxn>
                                <a:cxn ang="0">
                                  <a:pos x="GluePoint2X" y="GluePoint2Y"/>
                                </a:cxn>
                              </a:cxnLst>
                              <a:rect l="textAreaLeft" t="textAreaTop" r="textAreaRight" b="textAreaBottom"/>
                              <a:pathLst>
                                <a:path w="15778" h="76210">
                                  <a:moveTo>
                                    <a:pt x="0" y="0"/>
                                  </a:moveTo>
                                  <a:lnTo>
                                    <a:pt x="0" y="76211"/>
                                  </a:lnTo>
                                </a:path>
                              </a:pathLst>
                            </a:custGeom>
                            <a:noFill/>
                            <a:ln w="15773">
                              <a:solidFill>
                                <a:srgbClr val="231F20"/>
                              </a:solidFill>
                              <a:miter/>
                            </a:ln>
                          </wps:spPr>
                          <wps:style>
                            <a:lnRef idx="0">
                              <a:scrgbClr r="0" g="0" b="0"/>
                            </a:lnRef>
                            <a:fillRef idx="0">
                              <a:scrgbClr r="0" g="0" b="0"/>
                            </a:fillRef>
                            <a:effectRef idx="0">
                              <a:scrgbClr r="0" g="0" b="0"/>
                            </a:effectRef>
                            <a:fontRef idx="minor"/>
                          </wps:style>
                          <wps:bodyPr/>
                        </wps:wsp>
                        <wps:wsp>
                          <wps:cNvPr id="116" name="Freeform: Shape 89"/>
                          <wps:cNvSpPr/>
                          <wps:spPr>
                            <a:xfrm>
                              <a:off x="3368160" y="0"/>
                              <a:ext cx="8280" cy="41760"/>
                            </a:xfrm>
                            <a:custGeom>
                              <a:avLst/>
                              <a:gdLst>
                                <a:gd name="textAreaLeft" fmla="*/ 0 w 4680"/>
                                <a:gd name="textAreaRight" fmla="*/ 5040 w 4680"/>
                                <a:gd name="textAreaTop" fmla="*/ 0 h 23760"/>
                                <a:gd name="textAreaBottom" fmla="*/ 24120 h 23760"/>
                                <a:gd name="GluePoint1X" fmla="*/ 0 w 15778"/>
                                <a:gd name="GluePoint1Y" fmla="*/ 0 h 76210"/>
                                <a:gd name="GluePoint2X" fmla="*/ 0 w 15778"/>
                                <a:gd name="GluePoint2Y" fmla="*/ 76211 h 76210"/>
                              </a:gdLst>
                              <a:ahLst/>
                              <a:cxnLst>
                                <a:cxn ang="0">
                                  <a:pos x="GluePoint1X" y="GluePoint1Y"/>
                                </a:cxn>
                                <a:cxn ang="0">
                                  <a:pos x="GluePoint2X" y="GluePoint2Y"/>
                                </a:cxn>
                              </a:cxnLst>
                              <a:rect l="textAreaLeft" t="textAreaTop" r="textAreaRight" b="textAreaBottom"/>
                              <a:pathLst>
                                <a:path w="15778" h="76210">
                                  <a:moveTo>
                                    <a:pt x="0" y="0"/>
                                  </a:moveTo>
                                  <a:lnTo>
                                    <a:pt x="0" y="76211"/>
                                  </a:lnTo>
                                </a:path>
                              </a:pathLst>
                            </a:custGeom>
                            <a:noFill/>
                            <a:ln w="15773">
                              <a:solidFill>
                                <a:srgbClr val="231F20"/>
                              </a:solidFill>
                              <a:miter/>
                            </a:ln>
                          </wps:spPr>
                          <wps:style>
                            <a:lnRef idx="0">
                              <a:scrgbClr r="0" g="0" b="0"/>
                            </a:lnRef>
                            <a:fillRef idx="0">
                              <a:scrgbClr r="0" g="0" b="0"/>
                            </a:fillRef>
                            <a:effectRef idx="0">
                              <a:scrgbClr r="0" g="0" b="0"/>
                            </a:effectRef>
                            <a:fontRef idx="minor"/>
                          </wps:style>
                          <wps:bodyPr/>
                        </wps:wsp>
                        <wps:wsp>
                          <wps:cNvPr id="117" name="Freeform: Shape 90"/>
                          <wps:cNvSpPr/>
                          <wps:spPr>
                            <a:xfrm>
                              <a:off x="3700800" y="0"/>
                              <a:ext cx="8280" cy="41760"/>
                            </a:xfrm>
                            <a:custGeom>
                              <a:avLst/>
                              <a:gdLst>
                                <a:gd name="textAreaLeft" fmla="*/ 0 w 4680"/>
                                <a:gd name="textAreaRight" fmla="*/ 5040 w 4680"/>
                                <a:gd name="textAreaTop" fmla="*/ 0 h 23760"/>
                                <a:gd name="textAreaBottom" fmla="*/ 24120 h 23760"/>
                                <a:gd name="GluePoint1X" fmla="*/ 0 w 15778"/>
                                <a:gd name="GluePoint1Y" fmla="*/ 0 h 76210"/>
                                <a:gd name="GluePoint2X" fmla="*/ 0 w 15778"/>
                                <a:gd name="GluePoint2Y" fmla="*/ 76211 h 76210"/>
                              </a:gdLst>
                              <a:ahLst/>
                              <a:cxnLst>
                                <a:cxn ang="0">
                                  <a:pos x="GluePoint1X" y="GluePoint1Y"/>
                                </a:cxn>
                                <a:cxn ang="0">
                                  <a:pos x="GluePoint2X" y="GluePoint2Y"/>
                                </a:cxn>
                              </a:cxnLst>
                              <a:rect l="textAreaLeft" t="textAreaTop" r="textAreaRight" b="textAreaBottom"/>
                              <a:pathLst>
                                <a:path w="15778" h="76210">
                                  <a:moveTo>
                                    <a:pt x="0" y="0"/>
                                  </a:moveTo>
                                  <a:lnTo>
                                    <a:pt x="0" y="76211"/>
                                  </a:lnTo>
                                </a:path>
                              </a:pathLst>
                            </a:custGeom>
                            <a:noFill/>
                            <a:ln w="15773">
                              <a:solidFill>
                                <a:srgbClr val="231F20"/>
                              </a:solidFill>
                              <a:miter/>
                            </a:ln>
                          </wps:spPr>
                          <wps:style>
                            <a:lnRef idx="0">
                              <a:scrgbClr r="0" g="0" b="0"/>
                            </a:lnRef>
                            <a:fillRef idx="0">
                              <a:scrgbClr r="0" g="0" b="0"/>
                            </a:fillRef>
                            <a:effectRef idx="0">
                              <a:scrgbClr r="0" g="0" b="0"/>
                            </a:effectRef>
                            <a:fontRef idx="minor"/>
                          </wps:style>
                          <wps:bodyPr/>
                        </wps:wsp>
                      </wpg:grpSp>
                    </wpg:wgp>
                  </a:graphicData>
                </a:graphic>
              </wp:anchor>
            </w:drawing>
          </mc:Choice>
          <mc:Fallback>
            <w:pict>
              <v:group id="Group 97" o:spid="_x0000_s1026" style="position:absolute;left:0;text-align:left;margin-left:8pt;margin-top:2.5pt;width:461.75pt;height:232.55pt;z-index:-503316476;mso-wrap-distance-top:22.6pt;mso-wrap-distance-bottom:25.45pt" coordsize="58644,295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" o:allowincell="f">
                <v:rect id="Text Box 1" o:spid="_x0000_s1027" style="position:absolute;top:23731;width:56966;height:17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" fillcolor="white [3201]" stroked="f" strokeweight=".5pt">
                  <v:textbox inset="0,0,0,0">
                    <w:txbxContent>
                      <w:p>
                        <w:pPr>
                          <w:jc w:val="both"/>
                          <w:rPr>
                            <w:rFonts w:ascii="Arial" w:hAnsi="Arial" w:cs="Arial"/>
                            <w:sz w:val="12"/>
                            <w:szCs w:val="12"/>
                            <w:lang w:val="en-US"/>
                          </w:rPr>
                        </w:pPr>
                        <w:r>
                          <w:rPr>
                            <w:rFonts w:ascii="Arial" w:eastAsia="Arial" w:hAnsi="Arial" w:cs="Arial"/>
                            <w:sz w:val="12"/>
                            <w:szCs w:val="12"/>
                            <w:lang w:val="lt-LT"/>
                          </w:rPr>
                          <w:t>Phe suvartojimas su maistu    102           96            97            98           91            92            91           91           94             92            90            87            86            81</w:t>
                        </w:r>
                      </w:p>
                    </w:txbxContent>
                  </v:textbox>
                </v:rect>
                <v:rect id="TextBox 39" o:spid="_x0000_s1028" style="position:absolute;left:-6902;top:10192;width:24249;height:3866;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" filled="f" stroked="f" strokeweight="0">
                  <v:textbox inset="0,0,0,0">
                    <w:txbxContent>
                      <w:p>
                        <w:pPr>
                          <w:spacing w:line="240" w:lineRule="exact"/>
                          <w:jc w:val="center"/>
                          <w:textAlignment w:val="baseline"/>
                          <w:rPr>
                            <w:rFonts w:ascii="Arial" w:hAnsi="Arial" w:cs="Arial"/>
                            <w:b/>
                            <w:bCs/>
                            <w:color w:val="000000"/>
                            <w:kern w:val="2"/>
                            <w:sz w:val="16"/>
                            <w:szCs w:val="16"/>
                          </w:rPr>
                        </w:pPr>
                        <w:r>
                          <w:rPr>
                            <w:rFonts w:ascii="Arial" w:eastAsia="Arial" w:hAnsi="Arial" w:cs="Arial"/>
                            <w:b/>
                            <w:bCs/>
                            <w:color w:val="000000"/>
                            <w:kern w:val="2"/>
                            <w:sz w:val="16"/>
                            <w:szCs w:val="16"/>
                            <w:lang w:val="lt-LT"/>
                          </w:rPr>
                          <w:t xml:space="preserve">Vidutinis (SN) </w:t>
                        </w:r>
                        <w:r>
                          <w:rPr>
                            <w:rFonts w:ascii="Arial" w:eastAsia="Arial" w:hAnsi="Arial" w:cs="Arial"/>
                            <w:b/>
                            <w:bCs/>
                            <w:color w:val="000000"/>
                            <w:kern w:val="2"/>
                            <w:sz w:val="16"/>
                            <w:szCs w:val="16"/>
                            <w:lang w:val="lt-LT"/>
                          </w:rPr>
                          <w:br/>
                          <w:t>Phe suvartojimas su maistu (mg/kg per parą)</w:t>
                        </w:r>
                      </w:p>
                      <w:p>
                        <w:pPr>
                          <w:spacing w:line="240" w:lineRule="exact"/>
                          <w:rPr>
                            <w:sz w:val="16"/>
                            <w:szCs w:val="16"/>
                          </w:rPr>
                        </w:pPr>
                      </w:p>
                      <w:p>
                        <w:pPr>
                          <w:spacing w:line="240" w:lineRule="exact"/>
                          <w:rPr>
                            <w:sz w:val="16"/>
                            <w:szCs w:val="16"/>
                          </w:rPr>
                        </w:pPr>
                      </w:p>
                    </w:txbxContent>
                  </v:textbox>
                </v:rect>
                <v:group id="Group 5" o:spid="_x0000_s1029" style="position:absolute;left:6732;top:3124;width:49363;height:21946" coordsize="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">
                  <v:group id="Group 6" o:spid="_x0000_s1030" style="position:absolute;width:4936320;height:2194560" coordsize="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">
                    <v:group id="Group 7" o:spid="_x0000_s1031" style="position:absolute;width:4936320;height:2194560" coordsize="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group id="Group 8" o:spid="_x0000_s1032" style="position:absolute;width:4936320;height:2194560" coordsize="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">
                        <v:group id="Group 9" o:spid="_x0000_s1033" style="position:absolute;left:401760;top:16560;width:4415040;height:1995120" coordsize="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">
                          <v:shape id="Freeform: Shape 48" o:spid="_x0000_s1034" style="position:absolute;left:30600;top:874440;width:4344120;height:734040;visibility:visible;mso-wrap-style:square;v-text-anchor:top" coordsize="6967030,11455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" path="m,1145525l540574,1002571,1080359,790665,1612728,690628,2160561,535209r526373,-33292l3238395,444798,3760824,235732r537103,-40235l4837712,231787,5355092,76842r532211,15778l6430086,80629,6967031,e" filled="f" strokeweight="2pt">
                            <v:stroke dashstyle="1 1" joinstyle="miter"/>
                            <v:path arrowok="t" o:connecttype="custom" o:connectlocs="0,734041;337062,642437;673631,506650;1005577,442547;1347165,342956;1675372,321623;2019221,285022;2344969,151055;2679867,125272;3016436,148527;3339036,49240;3670883,59350;4009322,51666;4344121,0" o:connectangles="0,0,0,0,0,0,0,0,0,0,0,0,0,0" textboxrect="0,0,6968048,1146515"/>
                          </v:shape>
                          <v:group id="Group 11" o:spid="_x0000_s1035" style="position:absolute;width:4415040;height:1995120" coordsize="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">
                            <v:shape id="Freeform: Shape 161" o:spid="_x0000_s1036" style="position:absolute;left:35640;top:1227960;width:9000;height:757080;visibility:visible;mso-wrap-style:square;v-text-anchor:top" coordsize="15778,11813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" path="m,l,1181342e" fillcolor="black [3213]" strokeweight=".43814mm">
                              <v:stroke joinstyle="miter"/>
                              <v:path arrowok="t" o:connecttype="custom" o:connectlocs="0,0;0,757080" o:connectangles="0,0" textboxrect="0,0,16905,1182333"/>
                            </v:shape>
                            <v:shape id="Freeform: Shape 162" o:spid="_x0000_s1037" style="position:absolute;left:1440;top:1227960;width:68040;height:9360;visibility:visible;mso-wrap-style:square;v-text-anchor:top" coordsize="109503,157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" path="m,l109503,e" fillcolor="black [3213]" strokeweight=".43814mm">
                              <v:stroke joinstyle="miter"/>
                              <v:path arrowok="t" o:connecttype="custom" o:connectlocs="0,0;68040,0" o:connectangles="0,0" textboxrect="0,0,110527,16830"/>
                            </v:shape>
                            <v:shape id="Freeform: Shape 163" o:spid="_x0000_s1038" style="position:absolute;left:1440;top:1985400;width:68040;height:9360;visibility:visible;mso-wrap-style:square;v-text-anchor:top" coordsize="109503,157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" path="m,l109503,e" fillcolor="black [3213]" strokeweight=".43814mm">
                              <v:stroke joinstyle="miter"/>
                              <v:path arrowok="t" o:connecttype="custom" o:connectlocs="0,0;68040,0" o:connectangles="0,0" textboxrect="0,0,110527,16830"/>
                            </v:shape>
                            <v:group id="Group 15" o:spid="_x0000_s1039" style="position:absolute;left:338400;top:1172880;width:68040;height:672480" coordsize="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">
                              <v:shape id="Freeform: Shape 216" o:spid="_x0000_s1040" style="position:absolute;left:34560;width:9000;height:662400;visibility:visible;mso-wrap-style:square;v-text-anchor:top" coordsize="15778,10336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" path="m,l,1033655e" fillcolor="black [3213]" strokeweight=".43814mm">
                                <v:stroke joinstyle="miter"/>
                                <v:path arrowok="t" o:connecttype="custom" o:connectlocs="0,0;0,662401" o:connectangles="0,0" textboxrect="0,0,16905,1034645"/>
                              </v:shape>
                              <v:shape id="Freeform: Shape 217" o:spid="_x0000_s1041" style="position:absolute;width:68040;height:9360;visibility:visible;mso-wrap-style:square;v-text-anchor:top" coordsize="109503,157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" path="m,l109503,e" fillcolor="black [3213]" strokeweight=".43814mm">
                                <v:stroke joinstyle="miter"/>
                                <v:path arrowok="t" o:connecttype="custom" o:connectlocs="0,0;68040,0" o:connectangles="0,0" textboxrect="0,0,110527,16830"/>
                              </v:shape>
                              <v:shape id="Freeform: Shape 218" o:spid="_x0000_s1042" style="position:absolute;top:662760;width:68040;height:9360;visibility:visible;mso-wrap-style:square;v-text-anchor:top" coordsize="109503,157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" path="m,l109503,e" fillcolor="black [3213]" strokeweight=".43814mm">
                                <v:stroke joinstyle="miter"/>
                                <v:path arrowok="t" o:connecttype="custom" o:connectlocs="0,0;68040,0" o:connectangles="0,0" textboxrect="0,0,110527,16830"/>
                              </v:shape>
                            </v:group>
                            <v:shape id="Freeform: Shape 165" o:spid="_x0000_s1043" style="position:absolute;left:709560;top:949680;width:9000;height:857880;visibility:visible;mso-wrap-style:square;v-text-anchor:top" coordsize="15778,13384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" path="m,l,1338497e" fillcolor="black [3213]" strokeweight=".43814mm">
                              <v:stroke joinstyle="miter"/>
                              <v:path arrowok="t" o:connecttype="custom" o:connectlocs="0,0;0,857881" o:connectangles="0,0" textboxrect="0,0,16905,1339487"/>
                            </v:shape>
                            <v:shape id="Freeform: Shape 166" o:spid="_x0000_s1044" style="position:absolute;left:675000;top:949680;width:68040;height:9360;visibility:visible;mso-wrap-style:square;v-text-anchor:top" coordsize="109503,157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" path="m,l109503,e" fillcolor="black [3213]" strokeweight=".43814mm">
                              <v:stroke joinstyle="miter"/>
                              <v:path arrowok="t" o:connecttype="custom" o:connectlocs="0,0;68040,0" o:connectangles="0,0" textboxrect="0,0,110527,16830"/>
                            </v:shape>
                            <v:shape id="Freeform: Shape 167" o:spid="_x0000_s1045" style="position:absolute;left:675000;top:1808280;width:68040;height:9360;visibility:visible;mso-wrap-style:square;v-text-anchor:top" coordsize="109503,157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" path="m,l109503,e" fillcolor="black [3213]" strokeweight=".43814mm">
                              <v:stroke joinstyle="miter"/>
                              <v:path arrowok="t" o:connecttype="custom" o:connectlocs="0,0;68040,0" o:connectangles="0,0" textboxrect="0,0,110527,16830"/>
                            </v:shape>
                            <v:shape id="Freeform: Shape 168" o:spid="_x0000_s1046" style="position:absolute;left:1040760;top:850680;width:9000;height:917640;visibility:visible;mso-wrap-style:square;v-text-anchor:top" coordsize="15778,1431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" path="m,l,1431433e" fillcolor="black [3213]" strokeweight=".43814mm">
                              <v:stroke joinstyle="miter"/>
                              <v:path arrowok="t" o:connecttype="custom" o:connectlocs="0,0;0,917641" o:connectangles="0,0" textboxrect="0,0,16905,1432423"/>
                            </v:shape>
                            <v:shape id="Freeform: Shape 169" o:spid="_x0000_s1047" style="position:absolute;left:1007280;top:850680;width:68040;height:9360;visibility:visible;mso-wrap-style:square;v-text-anchor:top" coordsize="109503,157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" path="m,l109503,e" fillcolor="black [3213]" strokeweight=".43814mm">
                              <v:stroke joinstyle="miter"/>
                              <v:path arrowok="t" o:connecttype="custom" o:connectlocs="0,0;68040,0" o:connectangles="0,0" textboxrect="0,0,110527,16830"/>
                            </v:shape>
                            <v:shape id="Freeform: Shape 170" o:spid="_x0000_s1048" style="position:absolute;left:1007280;top:1768320;width:68040;height:9360;visibility:visible;mso-wrap-style:square;v-text-anchor:top" coordsize="109503,157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" path="m,l109503,e" fillcolor="black [3213]" strokeweight=".43814mm">
                              <v:stroke joinstyle="miter"/>
                              <v:path arrowok="t" o:connecttype="custom" o:connectlocs="0,0;68040,0" o:connectangles="0,0" textboxrect="0,0,110527,16830"/>
                            </v:shape>
                            <v:shape id="Freeform: Shape 171" o:spid="_x0000_s1049" style="position:absolute;left:1376280;top:731880;width:9000;height:965880;visibility:visible;mso-wrap-style:square;v-text-anchor:top" coordsize="15778,1506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" path="m,l,1506381e" fillcolor="black [3213]" strokeweight=".43814mm">
                              <v:stroke joinstyle="miter"/>
                              <v:path arrowok="t" o:connecttype="custom" o:connectlocs="0,0;0,965881" o:connectangles="0,0" textboxrect="0,0,16905,1507370"/>
                            </v:shape>
                            <v:shape id="Freeform: Shape 172" o:spid="_x0000_s1050" style="position:absolute;left:1341720;top:731880;width:68040;height:9360;visibility:visible;mso-wrap-style:square;v-text-anchor:top" coordsize="109503,157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" path="m,l109503,e" fillcolor="black [3213]" strokeweight=".43814mm">
                              <v:stroke joinstyle="miter"/>
                              <v:path arrowok="t" o:connecttype="custom" o:connectlocs="0,0;68040,0" o:connectangles="0,0" textboxrect="0,0,110527,16830"/>
                            </v:shape>
                            <v:shape id="Freeform: Shape 173" o:spid="_x0000_s1051" style="position:absolute;left:1341720;top:1698480;width:68040;height:9360;visibility:visible;mso-wrap-style:square;v-text-anchor:top" coordsize="109503,157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" path="m,l109503,e" fillcolor="black [3213]" strokeweight=".43814mm">
                              <v:stroke joinstyle="miter"/>
                              <v:path arrowok="t" o:connecttype="custom" o:connectlocs="0,0;68040,0" o:connectangles="0,0" textboxrect="0,0,110527,16830"/>
                            </v:shape>
                            <v:shape id="Freeform: Shape 174" o:spid="_x0000_s1052" style="position:absolute;left:1710720;top:667800;width:9000;height:1050840;visibility:visible;mso-wrap-style:square;v-text-anchor:top" coordsize="15778,16397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" path="m,l,1639710e" fillcolor="black [3213]" strokeweight=".43814mm">
                              <v:stroke joinstyle="miter"/>
                              <v:path arrowok="t" o:connecttype="custom" o:connectlocs="0,0;0,1050841" o:connectangles="0,0" textboxrect="0,0,16905,1640700"/>
                            </v:shape>
                            <v:shape id="Freeform: Shape 175" o:spid="_x0000_s1053" style="position:absolute;left:1677240;top:667800;width:68040;height:9360;visibility:visible;mso-wrap-style:square;v-text-anchor:top" coordsize="109503,157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" path="m,l109503,e" fillcolor="black [3213]" strokeweight=".43814mm">
                              <v:stroke joinstyle="miter"/>
                              <v:path arrowok="t" o:connecttype="custom" o:connectlocs="0,0;68040,0" o:connectangles="0,0" textboxrect="0,0,110527,16830"/>
                            </v:shape>
                            <v:shape id="Freeform: Shape 176" o:spid="_x0000_s1054" style="position:absolute;left:1677240;top:1719360;width:68040;height:9360;visibility:visible;mso-wrap-style:square;v-text-anchor:top" coordsize="109503,157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" path="m,l109503,e" fillcolor="black [3213]" strokeweight=".43814mm">
                              <v:stroke joinstyle="miter"/>
                              <v:path arrowok="t" o:connecttype="custom" o:connectlocs="0,0;68040,0" o:connectangles="0,0" textboxrect="0,0,110527,16830"/>
                            </v:shape>
                            <v:shape id="Freeform: Shape 177" o:spid="_x0000_s1055" style="position:absolute;left:2046240;top:600480;width:9000;height:1118160;visibility:visible;mso-wrap-style:square;v-text-anchor:top" coordsize="15778,17446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" path="m,l,1744637e" fillcolor="black [3213]" strokeweight=".43814mm">
                              <v:stroke joinstyle="miter"/>
                              <v:path arrowok="t" o:connecttype="custom" o:connectlocs="0,0;0,1118160" o:connectangles="0,0" textboxrect="0,0,16905,1745628"/>
                            </v:shape>
                            <v:shape id="Freeform: Shape 178" o:spid="_x0000_s1056" style="position:absolute;left:2012400;top:600480;width:68040;height:9360;visibility:visible;mso-wrap-style:square;v-text-anchor:top" coordsize="109503,157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" path="m,l109503,e" fillcolor="black [3213]" strokeweight=".43814mm">
                              <v:stroke joinstyle="miter"/>
                              <v:path arrowok="t" o:connecttype="custom" o:connectlocs="0,0;68040,0" o:connectangles="0,0" textboxrect="0,0,110527,16830"/>
                            </v:shape>
                            <v:shape id="Freeform: Shape 179" o:spid="_x0000_s1057" style="position:absolute;left:2012400;top:1719360;width:68040;height:9360;visibility:visible;mso-wrap-style:square;v-text-anchor:top" coordsize="109503,157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" path="m,l109503,e" fillcolor="black [3213]" strokeweight=".43814mm">
                              <v:stroke joinstyle="miter"/>
                              <v:path arrowok="t" o:connecttype="custom" o:connectlocs="0,0;68040,0" o:connectangles="0,0" textboxrect="0,0,110527,16830"/>
                            </v:shape>
                            <v:shape id="Freeform: Shape 180" o:spid="_x0000_s1058" style="position:absolute;left:2380680;top:340920;width:9000;height:1378080;visibility:visible;mso-wrap-style:square;v-text-anchor:top" coordsize="15778,2149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" path="m,l,2149516e" fillcolor="black [3213]" strokeweight=".43814mm">
                              <v:stroke joinstyle="miter"/>
                              <v:path arrowok="t" o:connecttype="custom" o:connectlocs="0,0;0,1378081" o:connectangles="0,0" textboxrect="0,0,16905,2150505"/>
                            </v:shape>
                            <v:shape id="Freeform: Shape 181" o:spid="_x0000_s1059" style="position:absolute;left:2346480;top:340920;width:68040;height:9360;visibility:visible;mso-wrap-style:square;v-text-anchor:top" coordsize="109503,157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" path="m,l109503,e" fillcolor="black [3213]" strokeweight=".43814mm">
                              <v:stroke joinstyle="miter"/>
                              <v:path arrowok="t" o:connecttype="custom" o:connectlocs="0,0;68040,0" o:connectangles="0,0" textboxrect="0,0,110527,16830"/>
                            </v:shape>
                            <v:shape id="Freeform: Shape 182" o:spid="_x0000_s1060" style="position:absolute;left:2346480;top:1719360;width:68040;height:9360;visibility:visible;mso-wrap-style:square;v-text-anchor:top" coordsize="109503,157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" path="m,l109503,e" fillcolor="black [3213]" strokeweight=".43814mm">
                              <v:stroke joinstyle="miter"/>
                              <v:path arrowok="t" o:connecttype="custom" o:connectlocs="0,0;68040,0" o:connectangles="0,0" textboxrect="0,0,110527,16830"/>
                            </v:shape>
                            <v:shape id="Freeform: Shape 183" o:spid="_x0000_s1061" style="position:absolute;left:2715840;top:297000;width:9000;height:1400040;visibility:visible;mso-wrap-style:square;v-text-anchor:top" coordsize="15778,21845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" path="m,l,2184544e" fillcolor="black [3213]" strokeweight=".43814mm">
                              <v:stroke joinstyle="miter"/>
                              <v:path arrowok="t" o:connecttype="custom" o:connectlocs="0,0;0,1400040" o:connectangles="0,0" textboxrect="0,0,16905,2185535"/>
                            </v:shape>
                            <v:shape id="Freeform: Shape 184" o:spid="_x0000_s1062" style="position:absolute;left:2681640;top:297000;width:68040;height:9360;visibility:visible;mso-wrap-style:square;v-text-anchor:top" coordsize="109503,157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" path="m,l109503,e" fillcolor="black [3213]" strokeweight=".43814mm">
                              <v:stroke joinstyle="miter"/>
                              <v:path arrowok="t" o:connecttype="custom" o:connectlocs="0,0;68040,0" o:connectangles="0,0" textboxrect="0,0,110527,16830"/>
                            </v:shape>
                            <v:shape id="Freeform: Shape 185" o:spid="_x0000_s1063" style="position:absolute;left:2681640;top:1698480;width:68040;height:9360;visibility:visible;mso-wrap-style:square;v-text-anchor:top" coordsize="109503,157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" path="m,l109503,e" fillcolor="black [3213]" strokeweight=".43814mm">
                              <v:stroke joinstyle="miter"/>
                              <v:path arrowok="t" o:connecttype="custom" o:connectlocs="0,0;68040,0" o:connectangles="0,0" textboxrect="0,0,110527,16830"/>
                            </v:shape>
                            <v:shape id="Freeform: Shape 186" o:spid="_x0000_s1064" style="position:absolute;left:3052440;top:297000;width:9000;height:1446480;visibility:visible;mso-wrap-style:square;v-text-anchor:top" coordsize="15778,22560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" path="m,l,2256021e" fillcolor="black [3213]" strokeweight=".43814mm">
                              <v:stroke joinstyle="miter"/>
                              <v:path arrowok="t" o:connecttype="custom" o:connectlocs="0,0;0,1446480" o:connectangles="0,0" textboxrect="0,0,16905,2257011"/>
                            </v:shape>
                            <v:shape id="Freeform: Shape 187" o:spid="_x0000_s1065" style="position:absolute;left:3018240;top:297000;width:68040;height:9360;visibility:visible;mso-wrap-style:square;v-text-anchor:top" coordsize="109503,157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" path="m,l109503,e" fillcolor="black [3213]" strokeweight=".43814mm">
                              <v:stroke joinstyle="miter"/>
                              <v:path arrowok="t" o:connecttype="custom" o:connectlocs="0,0;68040,0" o:connectangles="0,0" textboxrect="0,0,110527,16830"/>
                            </v:shape>
                            <v:shape id="Freeform: Shape 188" o:spid="_x0000_s1066" style="position:absolute;left:3018240;top:1744200;width:68040;height:9360;visibility:visible;mso-wrap-style:square;v-text-anchor:top" coordsize="109503,157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" path="m,l109503,e" fillcolor="black [3213]" strokeweight=".43814mm">
                              <v:stroke joinstyle="miter"/>
                              <v:path arrowok="t" o:connecttype="custom" o:connectlocs="0,0;68040,0" o:connectangles="0,0" textboxrect="0,0,110527,16830"/>
                            </v:shape>
                            <v:shape id="Freeform: Shape 189" o:spid="_x0000_s1067" style="position:absolute;left:3375000;top:154080;width:9000;height:1531080;visibility:visible;mso-wrap-style:square;v-text-anchor:top" coordsize="15778,23882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" path="m,l,2388246e" fillcolor="black [3213]" strokeweight=".43814mm">
                              <v:stroke joinstyle="miter"/>
                              <v:path arrowok="t" o:connecttype="custom" o:connectlocs="0,0;0,1531081" o:connectangles="0,0" textboxrect="0,0,16905,2389236"/>
                            </v:shape>
                            <v:shape id="Freeform: Shape 190" o:spid="_x0000_s1068" style="position:absolute;left:3340800;top:154080;width:68040;height:9360;visibility:visible;mso-wrap-style:square;v-text-anchor:top" coordsize="109503,157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" path="m,l109503,e" fillcolor="black [3213]" strokeweight=".43814mm">
                              <v:stroke joinstyle="miter"/>
                              <v:path arrowok="t" o:connecttype="custom" o:connectlocs="0,0;68040,0" o:connectangles="0,0" textboxrect="0,0,110527,16830"/>
                            </v:shape>
                            <v:shape id="Freeform: Shape 191" o:spid="_x0000_s1069" style="position:absolute;left:3340800;top:1685880;width:68040;height:9360;visibility:visible;mso-wrap-style:square;v-text-anchor:top" coordsize="109503,157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" path="m,l109503,e" fillcolor="black [3213]" strokeweight=".43814mm">
                              <v:stroke joinstyle="miter"/>
                              <v:path arrowok="t" o:connecttype="custom" o:connectlocs="0,0;68040,0" o:connectangles="0,0" textboxrect="0,0,110527,16830"/>
                            </v:shape>
                            <v:shape id="Freeform: Shape 192" o:spid="_x0000_s1070" style="position:absolute;left:3706560;top:154080;width:9000;height:1564560;visibility:visible;mso-wrap-style:square;v-text-anchor:top" coordsize="15778,24406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" path="m,l,2440631e" fillcolor="black [3213]" strokeweight=".43814mm">
                              <v:stroke joinstyle="miter"/>
                              <v:path arrowok="t" o:connecttype="custom" o:connectlocs="0,0;0,1564561" o:connectangles="0,0" textboxrect="0,0,16905,2441621"/>
                            </v:shape>
                            <v:shape id="Freeform: Shape 193" o:spid="_x0000_s1071" style="position:absolute;left:3673080;top:154080;width:68040;height:9360;visibility:visible;mso-wrap-style:square;v-text-anchor:top" coordsize="109503,157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" path="m,l109503,e" fillcolor="black [3213]" strokeweight=".43814mm">
                              <v:stroke joinstyle="miter"/>
                              <v:path arrowok="t" o:connecttype="custom" o:connectlocs="0,0;68040,0" o:connectangles="0,0" textboxrect="0,0,110527,16830"/>
                            </v:shape>
                            <v:shape id="Freeform: Shape 194" o:spid="_x0000_s1072" style="position:absolute;left:3673080;top:1719360;width:68040;height:9360;visibility:visible;mso-wrap-style:square;v-text-anchor:top" coordsize="109503,157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" path="m,l109503,e" fillcolor="black [3213]" strokeweight=".43814mm">
                              <v:stroke joinstyle="miter"/>
                              <v:path arrowok="t" o:connecttype="custom" o:connectlocs="0,0;68040,0" o:connectangles="0,0" textboxrect="0,0,110527,16830"/>
                            </v:shape>
                            <v:shape id="Freeform: Shape 195" o:spid="_x0000_s1073" style="position:absolute;left:4380480;width:9000;height:1743840;visibility:visible;mso-wrap-style:square;v-text-anchor:top" coordsize="15778,27199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" path="m,l,2719912e" fillcolor="black [3213]" strokeweight=".43814mm">
                              <v:stroke joinstyle="miter"/>
                              <v:path arrowok="t" o:connecttype="custom" o:connectlocs="0,0;0,1743841" o:connectangles="0,0" textboxrect="0,0,16905,2720901"/>
                            </v:shape>
                            <v:shape id="Freeform: Shape 196" o:spid="_x0000_s1074" style="position:absolute;left:4345920;width:68040;height:9360;visibility:visible;mso-wrap-style:square;v-text-anchor:top" coordsize="109503,157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" path="m,l109503,e" fillcolor="black [3213]" strokeweight=".43814mm">
                              <v:stroke joinstyle="miter"/>
                              <v:path arrowok="t" o:connecttype="custom" o:connectlocs="0,0;68040,0" o:connectangles="0,0" textboxrect="0,0,110527,16830"/>
                            </v:shape>
                            <v:shape id="Freeform: Shape 197" o:spid="_x0000_s1075" style="position:absolute;left:4345920;top:1744200;width:68040;height:9360;visibility:visible;mso-wrap-style:square;v-text-anchor:top" coordsize="109503,157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" path="m,l109503,e" fillcolor="black [3213]" strokeweight=".43814mm">
                              <v:stroke joinstyle="miter"/>
                              <v:path arrowok="t" o:connecttype="custom" o:connectlocs="0,0;68040,0" o:connectangles="0,0" textboxrect="0,0,110527,16830"/>
                            </v:shape>
                            <v:shape id="Freeform: Shape 198" o:spid="_x0000_s1076" style="position:absolute;top:1570320;width:70560;height:72360;visibility:visible;mso-wrap-style:square;v-text-anchor:top" coordsize="114236,1142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" path="m114237,57118v,31546,-25573,57119,-57119,57119c25573,114237,,88664,,57118,,25573,25573,,57118,v31546,,57119,25573,57119,57118xe" fillcolor="black [3213]" strokeweight=".43814mm">
                              <v:stroke joinstyle="miter"/>
                              <v:path arrowok="t" o:connecttype="custom" o:connectlocs="70561,36180;35280,72361;0,36180;35280,0;70561,36180" o:connectangles="0,0,0,0,0" textboxrect="0,0,115266,115238"/>
                            </v:shape>
                            <v:shape id="Freeform: Shape 199" o:spid="_x0000_s1077" style="position:absolute;left:336600;top:1478160;width:70560;height:72360;visibility:visible;mso-wrap-style:square;v-text-anchor:top" coordsize="114236,1142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" path="m114237,57118v,31546,-25573,57119,-57119,57119c25573,114237,,88664,,57118,,25573,25573,,57118,v31546,,57119,25573,57119,57118xe" fillcolor="black [3213]" strokeweight=".43814mm">
                              <v:stroke joinstyle="miter"/>
                              <v:path arrowok="t" o:connecttype="custom" o:connectlocs="70561,36180;35280,72361;0,36180;35280,0;70561,36180" o:connectangles="0,0,0,0,0" textboxrect="0,0,115266,115238"/>
                            </v:shape>
                            <v:shape id="Freeform: Shape 200" o:spid="_x0000_s1078" style="position:absolute;left:673920;top:1342440;width:70560;height:72360;visibility:visible;mso-wrap-style:square;v-text-anchor:top" coordsize="114236,1142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" path="m114237,57118v,31546,-25573,57119,-57119,57119c25573,114237,,88664,,57118,,25573,25573,,57118,v31546,,57119,25573,57119,57118xe" fillcolor="black [3213]" strokeweight=".43814mm">
                              <v:stroke joinstyle="miter"/>
                              <v:path arrowok="t" o:connecttype="custom" o:connectlocs="70561,36180;35280,72361;0,36180;35280,0;70561,36180" o:connectangles="0,0,0,0,0" textboxrect="0,0,115266,115238"/>
                            </v:shape>
                            <v:shape id="Freeform: Shape 201" o:spid="_x0000_s1079" style="position:absolute;left:1005480;top:1278000;width:70560;height:72360;visibility:visible;mso-wrap-style:square;v-text-anchor:top" coordsize="114236,1142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" path="m114237,57118v,31546,-25573,57119,-57119,57119c25573,114237,,88664,,57118,,25573,25573,,57118,v31546,,57119,25573,57119,57118xe" fillcolor="black [3213]" strokeweight=".43814mm">
                              <v:stroke joinstyle="miter"/>
                              <v:path arrowok="t" o:connecttype="custom" o:connectlocs="70561,36180;35280,72361;0,36180;35280,0;70561,36180" o:connectangles="0,0,0,0,0" textboxrect="0,0,115266,115238"/>
                            </v:shape>
                            <v:shape id="Freeform: Shape 202" o:spid="_x0000_s1080" style="position:absolute;left:1340640;top:1178280;width:70560;height:72360;visibility:visible;mso-wrap-style:square;v-text-anchor:top" coordsize="114236,1142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" path="m114237,57118v,31546,-25573,57119,-57119,57119c25573,114237,,88664,,57118,,25573,25573,,57118,v31546,,57119,25573,57119,57118xe" fillcolor="black [3213]" strokeweight=".43814mm">
                              <v:stroke joinstyle="miter"/>
                              <v:path arrowok="t" o:connecttype="custom" o:connectlocs="70561,36180;35280,72361;0,36180;35280,0;70561,36180" o:connectangles="0,0,0,0,0" textboxrect="0,0,115266,115238"/>
                            </v:shape>
                            <v:shape id="Freeform: Shape 203" o:spid="_x0000_s1081" style="position:absolute;left:1675080;top:1157400;width:70560;height:72360;visibility:visible;mso-wrap-style:square;v-text-anchor:top" coordsize="114236,1142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" path="m114237,57118v,31546,-25573,57119,-57118,57119c25573,114237,,88664,,57118,,25573,25573,,57119,v31545,,57118,25573,57118,57118xe" fillcolor="black [3213]" strokeweight=".43814mm">
                              <v:stroke joinstyle="miter"/>
                              <v:path arrowok="t" o:connecttype="custom" o:connectlocs="70561,36180;35281,72361;0,36180;35281,0;70561,36180" o:connectangles="0,0,0,0,0" textboxrect="0,0,115266,115238"/>
                            </v:shape>
                            <v:shape id="Freeform: Shape 204" o:spid="_x0000_s1082" style="position:absolute;left:2010600;top:1123920;width:70560;height:72360;visibility:visible;mso-wrap-style:square;v-text-anchor:top" coordsize="114236,1142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" path="m114237,57118v,31546,-25573,57119,-57119,57119c25573,114237,,88664,,57118,,25573,25573,,57118,v31546,,57119,25573,57119,57118xe" fillcolor="black [3213]" strokeweight=".43814mm">
                              <v:stroke joinstyle="miter"/>
                              <v:path arrowok="t" o:connecttype="custom" o:connectlocs="70561,36180;35280,72361;0,36180;35280,0;70561,36180" o:connectangles="0,0,0,0,0" textboxrect="0,0,115266,115238"/>
                            </v:shape>
                            <v:shape id="Freeform: Shape 205" o:spid="_x0000_s1083" style="position:absolute;left:2345040;top:986760;width:70560;height:72360;visibility:visible;mso-wrap-style:square;v-text-anchor:top" coordsize="114236,1142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" path="m114237,57118v,31546,-25573,57119,-57118,57119c25573,114237,,88664,,57118,,25573,25573,,57119,v31545,,57118,25573,57118,57118xe" fillcolor="black [3213]" strokeweight=".43814mm">
                              <v:stroke joinstyle="miter"/>
                              <v:path arrowok="t" o:connecttype="custom" o:connectlocs="70561,36180;35281,72361;0,36180;35281,0;70561,36180" o:connectangles="0,0,0,0,0" textboxrect="0,0,115266,115238"/>
                            </v:shape>
                            <v:shape id="Freeform: Shape 206" o:spid="_x0000_s1084" style="position:absolute;left:2680560;top:971280;width:70560;height:72360;visibility:visible;mso-wrap-style:square;v-text-anchor:top" coordsize="114236,1142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" path="m114237,57118v,31546,-25573,57119,-57119,57119c25573,114237,,88664,,57118,,25573,25573,,57118,v31546,,57119,25573,57119,57118xe" fillcolor="black [3213]" strokeweight=".43814mm">
                              <v:stroke joinstyle="miter"/>
                              <v:path arrowok="t" o:connecttype="custom" o:connectlocs="70561,36180;35280,72361;0,36180;35280,0;70561,36180" o:connectangles="0,0,0,0,0" textboxrect="0,0,115266,115238"/>
                            </v:shape>
                            <v:shape id="Freeform: Shape 207" o:spid="_x0000_s1085" style="position:absolute;left:3017160;top:984240;width:70560;height:72360;visibility:visible;mso-wrap-style:square;v-text-anchor:top" coordsize="114236,1142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" path="m114237,57118v,31546,-25573,57119,-57118,57119c25573,114237,,88664,,57118,,25573,25573,,57119,v31545,,57118,25573,57118,57118xe" fillcolor="black [3213]" strokeweight=".43814mm">
                              <v:stroke joinstyle="miter"/>
                              <v:path arrowok="t" o:connecttype="custom" o:connectlocs="70561,36180;35281,72361;0,36180;35281,0;70561,36180" o:connectangles="0,0,0,0,0" textboxrect="0,0,115266,115238"/>
                            </v:shape>
                            <v:shape id="Freeform: Shape 208" o:spid="_x0000_s1086" style="position:absolute;left:3339720;top:884520;width:70560;height:72360;visibility:visible;mso-wrap-style:square;v-text-anchor:top" coordsize="114236,1142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" path="m114237,57118v,31546,-25573,57119,-57119,57119c25573,114237,,88664,,57118,,25573,25573,,57118,v31546,,57119,25573,57119,57118xe" fillcolor="black [3213]" strokeweight=".43814mm">
                              <v:stroke joinstyle="miter"/>
                              <v:path arrowok="t" o:connecttype="custom" o:connectlocs="70561,36180;35280,72361;0,36180;35280,0;70561,36180" o:connectangles="0,0,0,0,0" textboxrect="0,0,115266,115238"/>
                            </v:shape>
                            <v:shape id="Freeform: Shape 209" o:spid="_x0000_s1087" style="position:absolute;left:3670920;top:912960;width:70560;height:72360;visibility:visible;mso-wrap-style:square;v-text-anchor:top" coordsize="114236,1142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" path="m114237,57118v,31546,-25573,57119,-57118,57119c25573,114237,,88664,,57118,,25573,25573,,57119,v31545,,57118,25573,57118,57118xe" fillcolor="black [3213]" strokeweight=".43814mm">
                              <v:stroke joinstyle="miter"/>
                              <v:path arrowok="t" o:connecttype="custom" o:connectlocs="70561,36180;35281,72361;0,36180;35281,0;70561,36180" o:connectangles="0,0,0,0,0" textboxrect="0,0,115266,115238"/>
                            </v:shape>
                            <v:group id="Group 64" o:spid="_x0000_s1088" style="position:absolute;left:4009320;top:90000;width:70560;height:1687680" coordsize="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">
                              <v:shape id="Freeform: Shape 212" o:spid="_x0000_s1089" style="position:absolute;left:36360;width:9000;height:1678320;visibility:visible;mso-wrap-style:square;v-text-anchor:top" coordsize="15778,26175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" path="m,l,2617509e" fillcolor="black [3213]" strokeweight=".43814mm">
                                <v:stroke joinstyle="miter"/>
                                <v:path arrowok="t" o:connecttype="custom" o:connectlocs="0,0;0,1678321" o:connectangles="0,0" textboxrect="0,0,16905,2618498"/>
                              </v:shape>
                              <v:shape id="Freeform: Shape 213" o:spid="_x0000_s1090" style="position:absolute;width:68040;height:9360;visibility:visible;mso-wrap-style:square;v-text-anchor:top" coordsize="109503,157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" path="m,l109503,e" fillcolor="black [3213]" strokeweight=".43814mm">
                                <v:stroke joinstyle="miter"/>
                                <v:path arrowok="t" o:connecttype="custom" o:connectlocs="0,0;68040,0" o:connectangles="0,0" textboxrect="0,0,110527,16830"/>
                              </v:shape>
                              <v:shape id="Freeform: Shape 214" o:spid="_x0000_s1091" style="position:absolute;top:1678320;width:68040;height:9360;visibility:visible;mso-wrap-style:square;v-text-anchor:top" coordsize="109503,157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" path="m,l109503,e" fillcolor="black [3213]" strokeweight=".43814mm">
                                <v:stroke joinstyle="miter"/>
                                <v:path arrowok="t" o:connecttype="custom" o:connectlocs="0,0;68040,0" o:connectangles="0,0" textboxrect="0,0,110527,16830"/>
                              </v:shape>
                              <v:shape id="Freeform: Shape 215" o:spid="_x0000_s1092" style="position:absolute;top:797040;width:70560;height:72360;visibility:visible;mso-wrap-style:square;v-text-anchor:top" coordsize="114236,1142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" path="m114237,57118v,31546,-25573,57119,-57119,57119c25573,114237,,88664,,57118,,25573,25573,,57118,v31546,,57119,25573,57119,57118xe" fillcolor="black [3213]" strokeweight=".43814mm">
                                <v:stroke joinstyle="miter"/>
                                <v:path arrowok="t" o:connecttype="custom" o:connectlocs="70561,36180;35280,72361;0,36180;35280,0;70561,36180" o:connectangles="0,0,0,0,0" textboxrect="0,0,115266,115238"/>
                              </v:shape>
                            </v:group>
                            <v:shape id="Freeform: Shape 211" o:spid="_x0000_s1093" style="position:absolute;left:4344840;top:835560;width:70560;height:72360;visibility:visible;mso-wrap-style:square;v-text-anchor:top" coordsize="114236,1142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" path="m114237,57118v,31546,-25573,57119,-57118,57119c25573,114237,,88664,,57118,,25573,25573,,57119,v31545,,57118,25573,57118,57118xe" fillcolor="black [3213]" strokeweight=".43814mm">
                              <v:stroke joinstyle="miter"/>
                              <v:path arrowok="t" o:connecttype="custom" o:connectlocs="70561,36180;35281,72361;0,36180;35281,0;70561,36180" o:connectangles="0,0,0,0,0" textboxrect="0,0,115266,115238"/>
                            </v:shape>
                          </v:group>
                        </v:group>
                        <v:group id="Group 70" o:spid="_x0000_s1094" style="position:absolute;width:4936320;height:2194560" coordsize="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">
                          <v:shape id="Freeform: Shape 72" o:spid="_x0000_s1095" style="position:absolute;left:282960;top:99720;width:4653360;height:1960920;visibility:visible;mso-wrap-style:square;v-text-anchor:top" coordsize="7373646,30580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" path="m7373645,3058047r-7297434,l76211,,,e" filled="f" strokecolor="#231f20" strokeweight=".43814mm">
                            <v:stroke joinstyle="miter"/>
                            <v:path arrowok="t" o:connecttype="custom" o:connectlocs="4653359,1960919;48095,1960919;48095,0;0,0" o:connectangles="0,0,0,0" textboxrect="0,0,7374652,3059038"/>
                          </v:shape>
                          <v:rect id="TextBox 23" o:spid="_x0000_s1096" style="position:absolute;left:203760;top:1940400;width:63360;height:2541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" filled="f" stroked="f" strokeweight="0">
                            <v:textbox inset="0,0,0,0">
                              <w:txbxContent>
                                <w:p>
                                  <w:pPr>
                                    <w:jc w:val="right"/>
                                    <w:textAlignment w:val="baseline"/>
                                    <w:rPr>
                                      <w:rFonts w:ascii="Arial" w:hAnsi="Arial" w:cs="Arial"/>
                                      <w:color w:val="000000"/>
                                      <w:kern w:val="2"/>
                                      <w:sz w:val="16"/>
                                      <w:szCs w:val="16"/>
                                      <w14:textFill>
                                        <w14:solidFill>
                                          <w14:srgbClr w14:val="000000">
                                            <w14:lumMod w14:val="50000"/>
                                          </w14:srgbClr>
                                        </w14:solidFill>
                                      </w14:textFill>
                                    </w:rPr>
                                  </w:pPr>
                                  <w:r>
                                    <w:rPr>
                                      <w:rFonts w:ascii="Arial" w:eastAsia="Arial" w:hAnsi="Arial" w:cs="Arial"/>
                                      <w:color w:val="000000"/>
                                      <w:kern w:val="2"/>
                                      <w:sz w:val="16"/>
                                      <w:szCs w:val="16"/>
                                      <w:lang w:val="lt-LT"/>
                                    </w:rPr>
                                    <w:t>0</w:t>
                                  </w:r>
                                </w:p>
                                <w:p>
                                  <w:pPr>
                                    <w:rPr>
                                      <w:sz w:val="16"/>
                                      <w:szCs w:val="16"/>
                                    </w:rPr>
                                  </w:pPr>
                                </w:p>
                                <w:p>
                                  <w:pPr>
                                    <w:rPr>
                                      <w:sz w:val="16"/>
                                      <w:szCs w:val="16"/>
                                    </w:rPr>
                                  </w:pPr>
                                </w:p>
                              </w:txbxContent>
                            </v:textbox>
                          </v:rect>
                          <v:rect id="TextBox 24" o:spid="_x0000_s1097" style="position:absolute;left:5040;top:1681920;width:264960;height:2541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" filled="f" stroked="f" strokeweight="0">
                            <v:textbox inset="0,0,0,0">
                              <w:txbxContent>
                                <w:p>
                                  <w:pPr>
                                    <w:jc w:val="right"/>
                                    <w:textAlignment w:val="baseline"/>
                                    <w:rPr>
                                      <w:rFonts w:ascii="Arial" w:hAnsi="Arial" w:cs="Arial"/>
                                      <w:color w:val="000000"/>
                                      <w:kern w:val="2"/>
                                      <w:sz w:val="16"/>
                                      <w:szCs w:val="16"/>
                                    </w:rPr>
                                  </w:pPr>
                                  <w:r>
                                    <w:rPr>
                                      <w:rFonts w:ascii="Arial" w:eastAsia="Arial" w:hAnsi="Arial" w:cs="Arial"/>
                                      <w:color w:val="000000"/>
                                      <w:kern w:val="2"/>
                                      <w:sz w:val="16"/>
                                      <w:szCs w:val="16"/>
                                      <w:lang w:val="lt-LT"/>
                                    </w:rPr>
                                    <w:t>20</w:t>
                                  </w:r>
                                </w:p>
                                <w:p>
                                  <w:pPr>
                                    <w:rPr>
                                      <w:sz w:val="16"/>
                                      <w:szCs w:val="16"/>
                                    </w:rPr>
                                  </w:pPr>
                                </w:p>
                                <w:p>
                                  <w:pPr>
                                    <w:rPr>
                                      <w:sz w:val="16"/>
                                      <w:szCs w:val="16"/>
                                    </w:rPr>
                                  </w:pPr>
                                </w:p>
                              </w:txbxContent>
                            </v:textbox>
                          </v:rect>
                          <v:rect id="TextBox 26" o:spid="_x0000_s1098" style="position:absolute;left:59760;top:423000;width:207720;height:2541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" filled="f" stroked="f" strokeweight="0">
                            <v:textbox inset="0,0,0,0">
                              <w:txbxContent>
                                <w:p>
                                  <w:pPr>
                                    <w:jc w:val="right"/>
                                    <w:textAlignment w:val="baseline"/>
                                    <w:rPr>
                                      <w:rFonts w:ascii="Arial" w:hAnsi="Arial" w:cs="Arial"/>
                                      <w:color w:val="000000"/>
                                      <w:kern w:val="2"/>
                                      <w:sz w:val="16"/>
                                      <w:szCs w:val="16"/>
                                    </w:rPr>
                                  </w:pPr>
                                  <w:r>
                                    <w:rPr>
                                      <w:rFonts w:ascii="Arial" w:eastAsia="Arial" w:hAnsi="Arial" w:cs="Arial"/>
                                      <w:color w:val="000000"/>
                                      <w:kern w:val="2"/>
                                      <w:sz w:val="16"/>
                                      <w:szCs w:val="16"/>
                                      <w:lang w:val="lt-LT"/>
                                    </w:rPr>
                                    <w:t>80</w:t>
                                  </w:r>
                                </w:p>
                                <w:p>
                                  <w:pPr>
                                    <w:rPr>
                                      <w:sz w:val="16"/>
                                      <w:szCs w:val="16"/>
                                    </w:rPr>
                                  </w:pPr>
                                </w:p>
                                <w:p>
                                  <w:pPr>
                                    <w:rPr>
                                      <w:sz w:val="16"/>
                                      <w:szCs w:val="16"/>
                                    </w:rPr>
                                  </w:pPr>
                                </w:p>
                              </w:txbxContent>
                            </v:textbox>
                          </v:rect>
                          <v:rect id="TextBox 37" o:spid="_x0000_s1099" style="position:absolute;width:270000;height:2541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" filled="f" stroked="f" strokeweight="0">
                            <v:textbox inset="0,0,0,0">
                              <w:txbxContent>
                                <w:p>
                                  <w:pPr>
                                    <w:jc w:val="right"/>
                                    <w:textAlignment w:val="baseline"/>
                                    <w:rPr>
                                      <w:rFonts w:ascii="Arial" w:hAnsi="Arial" w:cs="Arial"/>
                                      <w:color w:val="000000"/>
                                      <w:kern w:val="2"/>
                                      <w:sz w:val="16"/>
                                      <w:szCs w:val="16"/>
                                    </w:rPr>
                                  </w:pPr>
                                  <w:r>
                                    <w:rPr>
                                      <w:rFonts w:ascii="Arial" w:eastAsia="Arial" w:hAnsi="Arial" w:cs="Arial"/>
                                      <w:color w:val="000000"/>
                                      <w:kern w:val="2"/>
                                      <w:sz w:val="16"/>
                                      <w:szCs w:val="16"/>
                                      <w:lang w:val="lt-LT"/>
                                    </w:rPr>
                                    <w:t>100</w:t>
                                  </w:r>
                                </w:p>
                                <w:p>
                                  <w:pPr>
                                    <w:rPr>
                                      <w:sz w:val="16"/>
                                      <w:szCs w:val="16"/>
                                    </w:rPr>
                                  </w:pPr>
                                </w:p>
                                <w:p>
                                  <w:pPr>
                                    <w:rPr>
                                      <w:sz w:val="16"/>
                                      <w:szCs w:val="16"/>
                                    </w:rPr>
                                  </w:pPr>
                                </w:p>
                              </w:txbxContent>
                            </v:textbox>
                          </v:rect>
                          <v:rect id="TextBox 38" o:spid="_x0000_s1100" style="position:absolute;left:59760;top:831240;width:207720;height:2541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" filled="f" stroked="f" strokeweight="0">
                            <v:textbox inset="0,0,0,0">
                              <w:txbxContent>
                                <w:p>
                                  <w:pPr>
                                    <w:jc w:val="right"/>
                                    <w:textAlignment w:val="baseline"/>
                                    <w:rPr>
                                      <w:rFonts w:ascii="Arial" w:hAnsi="Arial" w:cs="Arial"/>
                                      <w:color w:val="000000"/>
                                      <w:kern w:val="2"/>
                                      <w:sz w:val="16"/>
                                      <w:szCs w:val="16"/>
                                    </w:rPr>
                                  </w:pPr>
                                  <w:r>
                                    <w:rPr>
                                      <w:rFonts w:ascii="Arial" w:eastAsia="Arial" w:hAnsi="Arial" w:cs="Arial"/>
                                      <w:color w:val="000000"/>
                                      <w:kern w:val="2"/>
                                      <w:sz w:val="16"/>
                                      <w:szCs w:val="16"/>
                                      <w:lang w:val="lt-LT"/>
                                    </w:rPr>
                                    <w:t>60</w:t>
                                  </w:r>
                                </w:p>
                                <w:p>
                                  <w:pPr>
                                    <w:rPr>
                                      <w:sz w:val="16"/>
                                      <w:szCs w:val="16"/>
                                    </w:rPr>
                                  </w:pPr>
                                </w:p>
                                <w:p>
                                  <w:pPr>
                                    <w:rPr>
                                      <w:sz w:val="16"/>
                                      <w:szCs w:val="16"/>
                                    </w:rPr>
                                  </w:pPr>
                                </w:p>
                              </w:txbxContent>
                            </v:textbox>
                          </v:rect>
                          <v:rect id="TextBox 54" o:spid="_x0000_s1101" style="position:absolute;left:59760;top:1248840;width:207720;height:2541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" filled="f" stroked="f" strokeweight="0">
                            <v:textbox inset="0,0,0,0">
                              <w:txbxContent>
                                <w:p>
                                  <w:pPr>
                                    <w:jc w:val="right"/>
                                    <w:textAlignment w:val="baseline"/>
                                    <w:rPr>
                                      <w:rFonts w:ascii="Arial" w:hAnsi="Arial" w:cs="Arial"/>
                                      <w:color w:val="000000"/>
                                      <w:kern w:val="2"/>
                                      <w:sz w:val="16"/>
                                      <w:szCs w:val="16"/>
                                    </w:rPr>
                                  </w:pPr>
                                  <w:r>
                                    <w:rPr>
                                      <w:rFonts w:ascii="Arial" w:eastAsia="Arial" w:hAnsi="Arial" w:cs="Arial"/>
                                      <w:color w:val="000000"/>
                                      <w:kern w:val="2"/>
                                      <w:sz w:val="16"/>
                                      <w:szCs w:val="16"/>
                                      <w:lang w:val="lt-LT"/>
                                    </w:rPr>
                                    <w:t>40</w:t>
                                  </w:r>
                                </w:p>
                                <w:p>
                                  <w:pPr>
                                    <w:rPr>
                                      <w:sz w:val="16"/>
                                      <w:szCs w:val="16"/>
                                    </w:rPr>
                                  </w:pPr>
                                </w:p>
                                <w:p>
                                  <w:pPr>
                                    <w:rPr>
                                      <w:sz w:val="16"/>
                                      <w:szCs w:val="16"/>
                                    </w:rPr>
                                  </w:pPr>
                                </w:p>
                              </w:txbxContent>
                            </v:textbox>
                          </v:rect>
                        </v:group>
                      </v:group>
                      <v:group id="Group 78" o:spid="_x0000_s1102" style="position:absolute;left:336960;top:1358280;width:4550400;height:9360" coordsize="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">
                        <v:shape id="Freeform: Shape 224" o:spid="_x0000_s1103" style="position:absolute;width:19080;height:9360;visibility:visible;mso-wrap-style:square;v-text-anchor:top" coordsize="31557,157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" path="m,l31557,e" filled="f" strokeweight=".43814mm">
                          <v:stroke joinstyle="miter"/>
                          <v:path arrowok="t" o:connecttype="custom" o:connectlocs="0,0;19080,0" o:connectangles="0,0" textboxrect="0,0,32609,16830"/>
                        </v:shape>
                        <v:shape id="Freeform: Shape 225" o:spid="_x0000_s1104" style="position:absolute;left:59040;width:4452120;height:9360;visibility:visible;mso-wrap-style:square;v-text-anchor:top" coordsize="7139963,157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" path="m,l7139964,e" filled="f" strokeweight=".43814mm">
                          <v:stroke joinstyle="miter"/>
                          <v:path arrowok="t" o:connecttype="custom" o:connectlocs="0,0;4452121,0" o:connectangles="0,0" textboxrect="0,0,7140981,16830"/>
                        </v:shape>
                        <v:shape id="Freeform: Shape 226" o:spid="_x0000_s1105" style="position:absolute;left:4531320;width:19080;height:9360;visibility:visible;mso-wrap-style:square;v-text-anchor:top" coordsize="31557,157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" path="m,l31557,e" filled="f" strokeweight=".43814mm">
                          <v:stroke joinstyle="miter"/>
                          <v:path arrowok="t" o:connecttype="custom" o:connectlocs="0,0;19080,0" o:connectangles="0,0" textboxrect="0,0,32609,16830"/>
                        </v:shape>
                      </v:group>
                    </v:group>
                    <v:group id="Group 82" o:spid="_x0000_s1106" style="position:absolute;left:288720;top:522720;width:47520;height:1275120" coordsize="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">
                      <v:shape id="Freeform: Shape 73" o:spid="_x0000_s1107" style="position:absolute;left:720;width:47160;height:9360;visibility:visible;mso-wrap-style:square;v-text-anchor:top" coordsize="76210,157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" path="m,l76211,e" filled="f" strokecolor="#231f20" strokeweight=".43814mm">
                        <v:stroke joinstyle="miter"/>
                        <v:path arrowok="t" o:connecttype="custom" o:connectlocs="0,0;47161,0" o:connectangles="0,0" textboxrect="0,0,77239,16830"/>
                      </v:shape>
                      <v:shape id="Freeform: Shape 74" o:spid="_x0000_s1108" style="position:absolute;top:415800;width:47160;height:3240;visibility:visible;mso-wrap-style:square;v-text-anchor:top" coordsize="10000,1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" path="m1325,3824r7350,l8675,6176r-7350,l1325,3824xe" filled="f" strokecolor="#231f20" strokeweight=".43814mm">
                        <v:stroke joinstyle="miter"/>
                        <v:path arrowok="t" o:connecttype="custom" o:connectlocs="6249,1239;40911,1239;40911,2001;6249,2001;6249,1239" o:connectangles="0,0,0,0,0"/>
                      </v:shape>
                      <v:shape id="Freeform: Shape 76" o:spid="_x0000_s1109" style="position:absolute;left:720;top:1265400;width:47160;height:9360;visibility:visible;mso-wrap-style:square;v-text-anchor:top" coordsize="76368,157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" path="m,l76368,e" filled="f" strokecolor="#231f20" strokeweight=".43814mm">
                        <v:stroke joinstyle="miter"/>
                        <v:path arrowok="t" o:connecttype="custom" o:connectlocs="0,0;47160,0" o:connectangles="0,0" textboxrect="0,0,77400,16830"/>
                      </v:shape>
                    </v:group>
                  </v:group>
                  <v:shape id="Freeform: Shape 75" o:spid="_x0000_s1110" style="position:absolute;left:286920;top:1361520;width:47160;height:9360;visibility:visible;mso-wrap-style:square;v-text-anchor:top" coordsize="76210,157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" path="m,l76211,e" filled="f" strokecolor="#231f20" strokeweight=".43814mm">
                    <v:stroke joinstyle="miter"/>
                    <v:path arrowok="t" o:connecttype="custom" o:connectlocs="0,0;47161,0" o:connectangles="0,0" textboxrect="0,0,77239,16830"/>
                  </v:shape>
                </v:group>
                <v:group id="Group 87" o:spid="_x0000_s1111" style="position:absolute;left:10501;top:25444;width:48139;height:4090" coordsize="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">
                  <v:rect id="TextBox 58" o:spid="_x0000_s1112" style="position:absolute;left:19080;top:99720;width:427320;height:191160;rotation: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" filled="f" stroked="f" strokeweight="0">
                    <v:textbox inset="0,0,0,0">
                      <w:txbxContent>
                        <w:p>
                          <w:pPr>
                            <w:jc w:val="center"/>
                            <w:textAlignment w:val="baseline"/>
                            <w:rPr>
                              <w:rFonts w:ascii="Arial" w:hAnsi="Arial" w:cs="Arial"/>
                              <w:color w:val="000000"/>
                              <w:kern w:val="2"/>
                              <w:sz w:val="14"/>
                              <w:szCs w:val="14"/>
                              <w14:textFill>
                                <w14:solidFill>
                                  <w14:srgbClr w14:val="000000">
                                    <w14:lumMod w14:val="50000"/>
                                  </w14:srgbClr>
                                </w14:solidFill>
                              </w14:textFill>
                            </w:rPr>
                          </w:pPr>
                          <w:r>
                            <w:rPr>
                              <w:rFonts w:ascii="Arial" w:eastAsia="Arial" w:hAnsi="Arial" w:cs="Arial"/>
                              <w:color w:val="000000"/>
                              <w:kern w:val="2"/>
                              <w:sz w:val="14"/>
                              <w:szCs w:val="14"/>
                              <w:lang w:val="lt-LT"/>
                            </w:rPr>
                            <w:t>Pradinis įvertinimas</w:t>
                          </w:r>
                        </w:p>
                        <w:p/>
                        <w:p/>
                      </w:txbxContent>
                    </v:textbox>
                  </v:rect>
                  <v:rect id="TextBox 59" o:spid="_x0000_s1113" style="position:absolute;left:355680;top:88920;width:388080;height:191160;rotation: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" filled="f" stroked="f" strokeweight="0">
                    <v:textbox inset="0,0,0,0">
                      <w:txbxContent>
                        <w:p>
                          <w:pPr>
                            <w:jc w:val="center"/>
                            <w:textAlignment w:val="baseline"/>
                            <w:rPr>
                              <w:rFonts w:ascii="Arial" w:hAnsi="Arial" w:cs="Arial"/>
                              <w:color w:val="000000"/>
                              <w:kern w:val="2"/>
                              <w:sz w:val="14"/>
                              <w:szCs w:val="14"/>
                              <w14:textFill>
                                <w14:solidFill>
                                  <w14:srgbClr w14:val="000000">
                                    <w14:lumMod w14:val="50000"/>
                                  </w14:srgbClr>
                                </w14:solidFill>
                              </w14:textFill>
                            </w:rPr>
                          </w:pPr>
                          <w:r>
                            <w:rPr>
                              <w:rFonts w:ascii="Arial" w:eastAsia="Arial" w:hAnsi="Arial" w:cs="Arial"/>
                              <w:color w:val="000000"/>
                              <w:kern w:val="2"/>
                              <w:sz w:val="14"/>
                              <w:szCs w:val="14"/>
                              <w:lang w:val="lt-LT"/>
                            </w:rPr>
                            <w:t>1S–2S</w:t>
                          </w:r>
                        </w:p>
                        <w:p/>
                        <w:p/>
                      </w:txbxContent>
                    </v:textbox>
                  </v:rect>
                  <v:rect id="TextBox 60" o:spid="_x0000_s1114" style="position:absolute;left:658800;top:88560;width:388800;height:191160;rotation: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" filled="f" stroked="f" strokeweight="0">
                    <v:textbox inset="0,0,0,0">
                      <w:txbxContent>
                        <w:p>
                          <w:pPr>
                            <w:jc w:val="center"/>
                            <w:textAlignment w:val="baseline"/>
                            <w:rPr>
                              <w:rFonts w:ascii="Arial" w:hAnsi="Arial" w:cs="Arial"/>
                              <w:color w:val="000000"/>
                              <w:kern w:val="2"/>
                              <w:sz w:val="14"/>
                              <w:szCs w:val="14"/>
                              <w14:textFill>
                                <w14:solidFill>
                                  <w14:srgbClr w14:val="000000">
                                    <w14:lumMod w14:val="50000"/>
                                  </w14:srgbClr>
                                </w14:solidFill>
                              </w14:textFill>
                            </w:rPr>
                          </w:pPr>
                          <w:r>
                            <w:rPr>
                              <w:rFonts w:ascii="Arial" w:eastAsia="Arial" w:hAnsi="Arial" w:cs="Arial"/>
                              <w:color w:val="000000"/>
                              <w:kern w:val="2"/>
                              <w:sz w:val="14"/>
                              <w:szCs w:val="14"/>
                              <w:lang w:val="lt-LT"/>
                            </w:rPr>
                            <w:t>3S–4S</w:t>
                          </w:r>
                        </w:p>
                        <w:p/>
                        <w:p/>
                      </w:txbxContent>
                    </v:textbox>
                  </v:rect>
                  <v:rect id="TextBox 61" o:spid="_x0000_s1115" style="position:absolute;left:961560;top:88560;width:388800;height:191160;rotation: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" filled="f" stroked="f" strokeweight="0">
                    <v:textbox inset="0,0,0,0">
                      <w:txbxContent>
                        <w:p>
                          <w:pPr>
                            <w:jc w:val="center"/>
                            <w:textAlignment w:val="baseline"/>
                            <w:rPr>
                              <w:rFonts w:ascii="Arial" w:hAnsi="Arial" w:cs="Arial"/>
                              <w:color w:val="000000"/>
                              <w:kern w:val="2"/>
                              <w:sz w:val="14"/>
                              <w:szCs w:val="14"/>
                              <w14:textFill>
                                <w14:solidFill>
                                  <w14:srgbClr w14:val="000000">
                                    <w14:lumMod w14:val="50000"/>
                                  </w14:srgbClr>
                                </w14:solidFill>
                              </w14:textFill>
                            </w:rPr>
                          </w:pPr>
                          <w:r>
                            <w:rPr>
                              <w:rFonts w:ascii="Arial" w:eastAsia="Arial" w:hAnsi="Arial" w:cs="Arial"/>
                              <w:color w:val="000000"/>
                              <w:kern w:val="2"/>
                              <w:sz w:val="14"/>
                              <w:szCs w:val="14"/>
                              <w:lang w:val="lt-LT"/>
                            </w:rPr>
                            <w:t>5S–6S</w:t>
                          </w:r>
                        </w:p>
                        <w:p/>
                        <w:p/>
                      </w:txbxContent>
                    </v:textbox>
                  </v:rect>
                  <v:rect id="TextBox 62" o:spid="_x0000_s1116" style="position:absolute;left:1264320;top:88560;width:389160;height:191160;rotation: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" filled="f" stroked="f" strokeweight="0">
                    <v:textbox inset="0,0,0,0">
                      <w:txbxContent>
                        <w:p>
                          <w:pPr>
                            <w:jc w:val="center"/>
                            <w:textAlignment w:val="baseline"/>
                            <w:rPr>
                              <w:rFonts w:ascii="Arial" w:hAnsi="Arial" w:cs="Arial"/>
                              <w:color w:val="000000"/>
                              <w:kern w:val="2"/>
                              <w:sz w:val="14"/>
                              <w:szCs w:val="14"/>
                              <w14:textFill>
                                <w14:solidFill>
                                  <w14:srgbClr w14:val="000000">
                                    <w14:lumMod w14:val="50000"/>
                                  </w14:srgbClr>
                                </w14:solidFill>
                              </w14:textFill>
                            </w:rPr>
                          </w:pPr>
                          <w:r>
                            <w:rPr>
                              <w:rFonts w:ascii="Arial" w:eastAsia="Arial" w:hAnsi="Arial" w:cs="Arial"/>
                              <w:color w:val="000000"/>
                              <w:kern w:val="2"/>
                              <w:sz w:val="14"/>
                              <w:szCs w:val="14"/>
                              <w:lang w:val="lt-LT"/>
                            </w:rPr>
                            <w:t>7S–8S</w:t>
                          </w:r>
                        </w:p>
                        <w:p/>
                        <w:p/>
                      </w:txbxContent>
                    </v:textbox>
                  </v:rect>
                  <v:rect id="TextBox 63" o:spid="_x0000_s1117" style="position:absolute;left:1567440;top:88560;width:388800;height:191160;rotation: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" filled="f" stroked="f" strokeweight="0">
                    <v:textbox inset="0,0,0,0">
                      <w:txbxContent>
                        <w:p>
                          <w:pPr>
                            <w:jc w:val="center"/>
                            <w:textAlignment w:val="baseline"/>
                            <w:rPr>
                              <w:rFonts w:ascii="Arial" w:hAnsi="Arial" w:cs="Arial"/>
                              <w:color w:val="000000"/>
                              <w:kern w:val="2"/>
                              <w:sz w:val="14"/>
                              <w:szCs w:val="14"/>
                              <w14:textFill>
                                <w14:solidFill>
                                  <w14:srgbClr w14:val="000000">
                                    <w14:lumMod w14:val="50000"/>
                                  </w14:srgbClr>
                                </w14:solidFill>
                              </w14:textFill>
                            </w:rPr>
                          </w:pPr>
                          <w:r>
                            <w:rPr>
                              <w:rFonts w:ascii="Arial" w:eastAsia="Arial" w:hAnsi="Arial" w:cs="Arial"/>
                              <w:color w:val="000000"/>
                              <w:kern w:val="2"/>
                              <w:sz w:val="14"/>
                              <w:szCs w:val="14"/>
                              <w:lang w:val="lt-LT"/>
                            </w:rPr>
                            <w:t>9S–10S</w:t>
                          </w:r>
                        </w:p>
                        <w:p/>
                        <w:p/>
                      </w:txbxContent>
                    </v:textbox>
                  </v:rect>
                  <v:rect id="TextBox 64" o:spid="_x0000_s1118" style="position:absolute;left:1870200;top:99720;width:438120;height:191160;rotation: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" filled="f" stroked="f" strokeweight="0">
                    <v:textbox inset="0,0,0,0">
                      <w:txbxContent>
                        <w:p>
                          <w:pPr>
                            <w:jc w:val="center"/>
                            <w:textAlignment w:val="baseline"/>
                            <w:rPr>
                              <w:rFonts w:ascii="Arial" w:hAnsi="Arial" w:cs="Arial"/>
                              <w:color w:val="000000"/>
                              <w:kern w:val="2"/>
                              <w:sz w:val="14"/>
                              <w:szCs w:val="14"/>
                              <w14:textFill>
                                <w14:solidFill>
                                  <w14:srgbClr w14:val="000000">
                                    <w14:lumMod w14:val="50000"/>
                                  </w14:srgbClr>
                                </w14:solidFill>
                              </w14:textFill>
                            </w:rPr>
                          </w:pPr>
                          <w:r>
                            <w:rPr>
                              <w:rFonts w:ascii="Arial" w:eastAsia="Arial" w:hAnsi="Arial" w:cs="Arial"/>
                              <w:color w:val="000000"/>
                              <w:kern w:val="2"/>
                              <w:sz w:val="14"/>
                              <w:szCs w:val="14"/>
                              <w:lang w:val="lt-LT"/>
                            </w:rPr>
                            <w:t>11S–12S</w:t>
                          </w:r>
                        </w:p>
                        <w:p/>
                        <w:p/>
                      </w:txbxContent>
                    </v:textbox>
                  </v:rect>
                  <v:rect id="TextBox 65" o:spid="_x0000_s1119" style="position:absolute;left:2217600;top:99360;width:444960;height:191160;rotation: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" filled="f" stroked="f" strokeweight="0">
                    <v:textbox inset="0,0,0,0">
                      <w:txbxContent>
                        <w:p>
                          <w:pPr>
                            <w:jc w:val="center"/>
                            <w:textAlignment w:val="baseline"/>
                            <w:rPr>
                              <w:rFonts w:ascii="Arial" w:hAnsi="Arial" w:cs="Arial"/>
                              <w:color w:val="000000"/>
                              <w:kern w:val="2"/>
                              <w:sz w:val="14"/>
                              <w:szCs w:val="14"/>
                              <w14:textFill>
                                <w14:solidFill>
                                  <w14:srgbClr w14:val="000000">
                                    <w14:lumMod w14:val="50000"/>
                                  </w14:srgbClr>
                                </w14:solidFill>
                              </w14:textFill>
                            </w:rPr>
                          </w:pPr>
                          <w:r>
                            <w:rPr>
                              <w:rFonts w:ascii="Arial" w:eastAsia="Arial" w:hAnsi="Arial" w:cs="Arial"/>
                              <w:color w:val="000000"/>
                              <w:kern w:val="2"/>
                              <w:sz w:val="14"/>
                              <w:szCs w:val="14"/>
                              <w:lang w:val="lt-LT"/>
                            </w:rPr>
                            <w:t>13S–14S</w:t>
                          </w:r>
                        </w:p>
                        <w:p/>
                        <w:p/>
                      </w:txbxContent>
                    </v:textbox>
                  </v:rect>
                  <v:rect id="TextBox 66" o:spid="_x0000_s1120" style="position:absolute;left:2563920;top:99720;width:440640;height:191160;rotation: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" filled="f" stroked="f" strokeweight="0">
                    <v:textbox inset="0,0,0,0">
                      <w:txbxContent>
                        <w:p>
                          <w:pPr>
                            <w:jc w:val="center"/>
                            <w:textAlignment w:val="baseline"/>
                            <w:rPr>
                              <w:rFonts w:ascii="Arial" w:hAnsi="Arial" w:cs="Arial"/>
                              <w:color w:val="000000"/>
                              <w:kern w:val="2"/>
                              <w:sz w:val="14"/>
                              <w:szCs w:val="14"/>
                              <w14:textFill>
                                <w14:solidFill>
                                  <w14:srgbClr w14:val="000000">
                                    <w14:lumMod w14:val="50000"/>
                                  </w14:srgbClr>
                                </w14:solidFill>
                              </w14:textFill>
                            </w:rPr>
                          </w:pPr>
                          <w:r>
                            <w:rPr>
                              <w:rFonts w:ascii="Arial" w:eastAsia="Arial" w:hAnsi="Arial" w:cs="Arial"/>
                              <w:color w:val="000000"/>
                              <w:kern w:val="2"/>
                              <w:sz w:val="14"/>
                              <w:szCs w:val="14"/>
                              <w:lang w:val="lt-LT"/>
                            </w:rPr>
                            <w:t>15S–16S</w:t>
                          </w:r>
                        </w:p>
                        <w:p/>
                        <w:p/>
                      </w:txbxContent>
                    </v:textbox>
                  </v:rect>
                  <v:rect id="TextBox 67" o:spid="_x0000_s1121" style="position:absolute;left:2912040;top:99360;width:442080;height:191160;rotation: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" filled="f" stroked="f" strokeweight="0">
                    <v:textbox inset="0,0,0,0">
                      <w:txbxContent>
                        <w:p>
                          <w:pPr>
                            <w:jc w:val="center"/>
                            <w:textAlignment w:val="baseline"/>
                            <w:rPr>
                              <w:rFonts w:ascii="Arial" w:hAnsi="Arial" w:cs="Arial"/>
                              <w:color w:val="000000"/>
                              <w:kern w:val="2"/>
                              <w:sz w:val="14"/>
                              <w:szCs w:val="14"/>
                              <w14:textFill>
                                <w14:solidFill>
                                  <w14:srgbClr w14:val="000000">
                                    <w14:lumMod w14:val="50000"/>
                                  </w14:srgbClr>
                                </w14:solidFill>
                              </w14:textFill>
                            </w:rPr>
                          </w:pPr>
                          <w:r>
                            <w:rPr>
                              <w:rFonts w:ascii="Arial" w:eastAsia="Arial" w:hAnsi="Arial" w:cs="Arial"/>
                              <w:color w:val="000000"/>
                              <w:kern w:val="2"/>
                              <w:sz w:val="14"/>
                              <w:szCs w:val="14"/>
                              <w:lang w:val="lt-LT"/>
                            </w:rPr>
                            <w:t>17S–18S</w:t>
                          </w:r>
                        </w:p>
                        <w:p/>
                        <w:p/>
                      </w:txbxContent>
                    </v:textbox>
                  </v:rect>
                  <v:rect id="TextBox 68" o:spid="_x0000_s1122" style="position:absolute;left:3258720;top:110160;width:478800;height:191160;rotation: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" filled="f" stroked="f" strokeweight="0">
                    <v:textbox inset="0,0,0,0">
                      <w:txbxContent>
                        <w:p>
                          <w:pPr>
                            <w:jc w:val="center"/>
                            <w:textAlignment w:val="baseline"/>
                            <w:rPr>
                              <w:rFonts w:ascii="Arial" w:hAnsi="Arial" w:cs="Arial"/>
                              <w:color w:val="000000"/>
                              <w:kern w:val="2"/>
                              <w:sz w:val="14"/>
                              <w:szCs w:val="14"/>
                              <w14:textFill>
                                <w14:solidFill>
                                  <w14:srgbClr w14:val="000000">
                                    <w14:lumMod w14:val="50000"/>
                                  </w14:srgbClr>
                                </w14:solidFill>
                              </w14:textFill>
                            </w:rPr>
                          </w:pPr>
                          <w:r>
                            <w:rPr>
                              <w:rFonts w:ascii="Arial" w:eastAsia="Arial" w:hAnsi="Arial" w:cs="Arial"/>
                              <w:color w:val="000000"/>
                              <w:kern w:val="2"/>
                              <w:sz w:val="14"/>
                              <w:szCs w:val="14"/>
                              <w:lang w:val="lt-LT"/>
                            </w:rPr>
                            <w:t>19S–20S</w:t>
                          </w:r>
                        </w:p>
                        <w:p/>
                        <w:p/>
                      </w:txbxContent>
                    </v:textbox>
                  </v:rect>
                  <v:rect id="TextBox 69" o:spid="_x0000_s1123" style="position:absolute;left:3644640;top:99360;width:444600;height:191160;rotation: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" filled="f" stroked="f" strokeweight="0">
                    <v:textbox inset="0,0,0,0">
                      <w:txbxContent>
                        <w:p>
                          <w:pPr>
                            <w:jc w:val="center"/>
                            <w:textAlignment w:val="baseline"/>
                            <w:rPr>
                              <w:rFonts w:ascii="Arial" w:hAnsi="Arial" w:cs="Arial"/>
                              <w:color w:val="000000"/>
                              <w:kern w:val="2"/>
                              <w:sz w:val="14"/>
                              <w:szCs w:val="14"/>
                              <w14:textFill>
                                <w14:solidFill>
                                  <w14:srgbClr w14:val="000000">
                                    <w14:lumMod w14:val="50000"/>
                                  </w14:srgbClr>
                                </w14:solidFill>
                              </w14:textFill>
                            </w:rPr>
                          </w:pPr>
                          <w:r>
                            <w:rPr>
                              <w:rFonts w:ascii="Arial" w:eastAsia="Arial" w:hAnsi="Arial" w:cs="Arial"/>
                              <w:color w:val="000000"/>
                              <w:kern w:val="2"/>
                              <w:sz w:val="14"/>
                              <w:szCs w:val="14"/>
                              <w:lang w:val="lt-LT"/>
                            </w:rPr>
                            <w:t>21S–22S</w:t>
                          </w:r>
                        </w:p>
                        <w:p/>
                        <w:p/>
                      </w:txbxContent>
                    </v:textbox>
                  </v:rect>
                  <v:rect id="TextBox 70" o:spid="_x0000_s1124" style="position:absolute;left:3996720;top:99360;width:449640;height:191160;rotation: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" filled="f" stroked="f" strokeweight="0">
                    <v:textbox inset="0,0,0,0">
                      <w:txbxContent>
                        <w:p>
                          <w:pPr>
                            <w:jc w:val="center"/>
                            <w:textAlignment w:val="baseline"/>
                            <w:rPr>
                              <w:rFonts w:ascii="Arial" w:hAnsi="Arial" w:cs="Arial"/>
                              <w:color w:val="000000"/>
                              <w:kern w:val="2"/>
                              <w:sz w:val="14"/>
                              <w:szCs w:val="14"/>
                              <w14:textFill>
                                <w14:solidFill>
                                  <w14:srgbClr w14:val="000000">
                                    <w14:lumMod w14:val="50000"/>
                                  </w14:srgbClr>
                                </w14:solidFill>
                              </w14:textFill>
                            </w:rPr>
                          </w:pPr>
                          <w:r>
                            <w:rPr>
                              <w:rFonts w:ascii="Arial" w:eastAsia="Arial" w:hAnsi="Arial" w:cs="Arial"/>
                              <w:color w:val="000000"/>
                              <w:kern w:val="2"/>
                              <w:sz w:val="14"/>
                              <w:szCs w:val="14"/>
                              <w:lang w:val="lt-LT"/>
                            </w:rPr>
                            <w:t>23S–24S</w:t>
                          </w:r>
                        </w:p>
                        <w:p/>
                        <w:p/>
                      </w:txbxContent>
                    </v:textbox>
                  </v:rect>
                  <v:rect id="TextBox 71" o:spid="_x0000_s1125" style="position:absolute;left:4349160;top:105120;width:447120;height:191160;rotation: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" filled="f" stroked="f" strokeweight="0">
                    <v:textbox inset="0,0,0,0">
                      <w:txbxContent>
                        <w:p>
                          <w:pPr>
                            <w:jc w:val="center"/>
                            <w:textAlignment w:val="baseline"/>
                            <w:rPr>
                              <w:rFonts w:ascii="Arial" w:hAnsi="Arial" w:cs="Arial"/>
                              <w:color w:val="000000"/>
                              <w:kern w:val="2"/>
                              <w:sz w:val="14"/>
                              <w:szCs w:val="14"/>
                              <w14:textFill>
                                <w14:solidFill>
                                  <w14:srgbClr w14:val="000000">
                                    <w14:lumMod w14:val="50000"/>
                                  </w14:srgbClr>
                                </w14:solidFill>
                              </w14:textFill>
                            </w:rPr>
                          </w:pPr>
                          <w:r>
                            <w:rPr>
                              <w:rFonts w:ascii="Arial" w:eastAsia="Arial" w:hAnsi="Arial" w:cs="Arial"/>
                              <w:color w:val="000000"/>
                              <w:kern w:val="2"/>
                              <w:sz w:val="14"/>
                              <w:szCs w:val="14"/>
                              <w:lang w:val="lt-LT"/>
                            </w:rPr>
                            <w:t>25S–26S</w:t>
                          </w:r>
                        </w:p>
                        <w:p/>
                        <w:p/>
                      </w:txbxContent>
                    </v:textbox>
                  </v:rect>
                </v:group>
                <v:rect id="Rectangle 116" o:spid="_x0000_s1126" style="position:absolute;left:10008;top:23742;width:46054;height:17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" filled="f" strokeweight="1pt"/>
                <v:group id="Group 103" o:spid="_x0000_s1127" style="position:absolute;left:11131;top:25552;width:43815;height:418" coordsize="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">
                  <v:shape id="Freeform: Shape 77" o:spid="_x0000_s1128" style="position:absolute;width:7560;height:41760;visibility:visible;mso-wrap-style:square;v-text-anchor:top" coordsize="15778,76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" path="m,l,76211e" filled="f" strokecolor="#231f20" strokeweight=".43814mm">
                    <v:stroke joinstyle="miter"/>
                    <v:path arrowok="t" o:connecttype="custom" o:connectlocs="0,0;0,41761" o:connectangles="0,0" textboxrect="0,0,17093,77365"/>
                  </v:shape>
                  <v:shape id="Freeform: Shape 78" o:spid="_x0000_s1129" style="position:absolute;left:337680;width:8280;height:41760;visibility:visible;mso-wrap-style:square;v-text-anchor:top" coordsize="15778,76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" path="m,l,76211e" filled="f" strokecolor="#231f20" strokeweight=".43814mm">
                    <v:stroke joinstyle="miter"/>
                    <v:path arrowok="t" o:connecttype="custom" o:connectlocs="0,0;0,41761" o:connectangles="0,0" textboxrect="0,0,16992,77365"/>
                  </v:shape>
                  <v:shape id="Freeform: Shape 79" o:spid="_x0000_s1130" style="position:absolute;left:4374000;width:7560;height:41760;visibility:visible;mso-wrap-style:square;v-text-anchor:top" coordsize="15778,76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" path="m,l,76211e" filled="f" strokecolor="#231f20" strokeweight=".43814mm">
                    <v:stroke joinstyle="miter"/>
                    <v:path arrowok="t" o:connecttype="custom" o:connectlocs="0,0;0,41761" o:connectangles="0,0" textboxrect="0,0,17093,77365"/>
                  </v:shape>
                  <v:shape id="Freeform: Shape 80" o:spid="_x0000_s1131" style="position:absolute;left:673200;width:8280;height:41760;visibility:visible;mso-wrap-style:square;v-text-anchor:top" coordsize="15778,76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" path="m,l,76211e" filled="f" strokecolor="#231f20" strokeweight=".43814mm">
                    <v:stroke joinstyle="miter"/>
                    <v:path arrowok="t" o:connecttype="custom" o:connectlocs="0,0;0,41761" o:connectangles="0,0" textboxrect="0,0,16992,77365"/>
                  </v:shape>
                  <v:shape id="Freeform: Shape 81" o:spid="_x0000_s1132" style="position:absolute;left:1013400;width:8280;height:41760;visibility:visible;mso-wrap-style:square;v-text-anchor:top" coordsize="15778,76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" path="m,l,76211e" filled="f" strokecolor="#231f20" strokeweight=".43814mm">
                    <v:stroke joinstyle="miter"/>
                    <v:path arrowok="t" o:connecttype="custom" o:connectlocs="0,0;0,41761" o:connectangles="0,0" textboxrect="0,0,16992,77365"/>
                  </v:shape>
                  <v:shape id="Freeform: Shape 82" o:spid="_x0000_s1133" style="position:absolute;left:1346400;width:8280;height:41760;visibility:visible;mso-wrap-style:square;v-text-anchor:top" coordsize="15778,76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" path="m,l,76211e" filled="f" strokecolor="#231f20" strokeweight=".43814mm">
                    <v:stroke joinstyle="miter"/>
                    <v:path arrowok="t" o:connecttype="custom" o:connectlocs="0,0;0,41761" o:connectangles="0,0" textboxrect="0,0,16992,77365"/>
                  </v:shape>
                  <v:shape id="Freeform: Shape 83" o:spid="_x0000_s1134" style="position:absolute;left:1684080;width:8280;height:41760;visibility:visible;mso-wrap-style:square;v-text-anchor:top" coordsize="15778,76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" path="m,l,76211e" filled="f" strokecolor="#231f20" strokeweight=".43814mm">
                    <v:stroke joinstyle="miter"/>
                    <v:path arrowok="t" o:connecttype="custom" o:connectlocs="0,0;0,41761" o:connectangles="0,0" textboxrect="0,0,16992,77365"/>
                  </v:shape>
                  <v:shape id="Freeform: Shape 84" o:spid="_x0000_s1135" style="position:absolute;left:2019240;width:8280;height:41760;visibility:visible;mso-wrap-style:square;v-text-anchor:top" coordsize="15778,76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" path="m,l,76211e" filled="f" strokecolor="#231f20" strokeweight=".43814mm">
                    <v:stroke joinstyle="miter"/>
                    <v:path arrowok="t" o:connecttype="custom" o:connectlocs="0,0;0,41761" o:connectangles="0,0" textboxrect="0,0,16992,77365"/>
                  </v:shape>
                  <v:shape id="Freeform: Shape 85" o:spid="_x0000_s1136" style="position:absolute;left:2354760;width:8280;height:41760;visibility:visible;mso-wrap-style:square;v-text-anchor:top" coordsize="15778,76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" path="m,l,76211e" filled="f" strokecolor="#231f20" strokeweight=".43814mm">
                    <v:stroke joinstyle="miter"/>
                    <v:path arrowok="t" o:connecttype="custom" o:connectlocs="0,0;0,41761" o:connectangles="0,0" textboxrect="0,0,16992,77365"/>
                  </v:shape>
                  <v:shape id="Freeform: Shape 86" o:spid="_x0000_s1137" style="position:absolute;left:4038480;width:8280;height:41760;visibility:visible;mso-wrap-style:square;v-text-anchor:top" coordsize="15778,76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" path="m,l,76211e" filled="f" strokecolor="#231f20" strokeweight=".43814mm">
                    <v:stroke joinstyle="miter"/>
                    <v:path arrowok="t" o:connecttype="custom" o:connectlocs="0,0;0,41761" o:connectangles="0,0" textboxrect="0,0,16992,77365"/>
                  </v:shape>
                  <v:shape id="Freeform: Shape 87" o:spid="_x0000_s1138" style="position:absolute;left:2692440;width:8280;height:41760;visibility:visible;mso-wrap-style:square;v-text-anchor:top" coordsize="15778,76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" path="m,l,76211e" filled="f" strokecolor="#231f20" strokeweight=".43814mm">
                    <v:stroke joinstyle="miter"/>
                    <v:path arrowok="t" o:connecttype="custom" o:connectlocs="0,0;0,41761" o:connectangles="0,0" textboxrect="0,0,16992,77365"/>
                  </v:shape>
                  <v:shape id="Freeform: Shape 88" o:spid="_x0000_s1139" style="position:absolute;left:3030120;width:8280;height:41760;visibility:visible;mso-wrap-style:square;v-text-anchor:top" coordsize="15778,76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" path="m,l,76211e" filled="f" strokecolor="#231f20" strokeweight=".43814mm">
                    <v:stroke joinstyle="miter"/>
                    <v:path arrowok="t" o:connecttype="custom" o:connectlocs="0,0;0,41761" o:connectangles="0,0" textboxrect="0,0,16992,77365"/>
                  </v:shape>
                  <v:shape id="Freeform: Shape 89" o:spid="_x0000_s1140" style="position:absolute;left:3368160;width:8280;height:41760;visibility:visible;mso-wrap-style:square;v-text-anchor:top" coordsize="15778,76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" path="m,l,76211e" filled="f" strokecolor="#231f20" strokeweight=".43814mm">
                    <v:stroke joinstyle="miter"/>
                    <v:path arrowok="t" o:connecttype="custom" o:connectlocs="0,0;0,41761" o:connectangles="0,0" textboxrect="0,0,16992,77365"/>
                  </v:shape>
                  <v:shape id="Freeform: Shape 90" o:spid="_x0000_s1141" style="position:absolute;left:3700800;width:8280;height:41760;visibility:visible;mso-wrap-style:square;v-text-anchor:top" coordsize="15778,76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" path="m,l,76211e" filled="f" strokecolor="#231f20" strokeweight=".43814mm">
                    <v:stroke joinstyle="miter"/>
                    <v:path arrowok="t" o:connecttype="custom" o:connectlocs="0,0;0,41761" o:connectangles="0,0" textboxrect="0,0,16992,77365"/>
                  </v:shape>
                </v:group>
                <w10:wrap type="tight"/>
              </v:group>
            </w:pict>
          </mc:Fallback>
        </mc:AlternateContent>
      </w:r>
    </w:p>
    <w:p>
      <w:pPr>
        <w:jc w:val="both"/>
        <w:rPr>
          <w:lang w:val="lt-LT"/>
        </w:rPr>
      </w:pPr>
    </w:p>
    <w:p>
      <w:pPr>
        <w:jc w:val="both"/>
        <w:rPr>
          <w:lang w:val="lt-LT"/>
        </w:rPr>
      </w:pPr>
    </w:p>
    <w:p>
      <w:pPr>
        <w:jc w:val="both"/>
        <w:rPr>
          <w:lang w:val="lt-LT"/>
        </w:rPr>
      </w:pPr>
    </w:p>
    <w:p>
      <w:pPr>
        <w:jc w:val="both"/>
        <w:rPr>
          <w:lang w:val="lt-LT"/>
        </w:rPr>
      </w:pPr>
    </w:p>
    <w:p>
      <w:pPr>
        <w:jc w:val="both"/>
        <w:rPr>
          <w:lang w:val="lt-LT"/>
        </w:rPr>
      </w:pPr>
    </w:p>
    <w:p>
      <w:pPr>
        <w:jc w:val="both"/>
        <w:rPr>
          <w:lang w:val="lt-LT"/>
        </w:rPr>
      </w:pPr>
    </w:p>
    <w:p>
      <w:pPr>
        <w:jc w:val="both"/>
        <w:rPr>
          <w:lang w:val="lt-LT"/>
        </w:rPr>
      </w:pPr>
    </w:p>
    <w:p>
      <w:pPr>
        <w:jc w:val="both"/>
        <w:rPr>
          <w:lang w:val="lt-LT"/>
        </w:rPr>
      </w:pPr>
    </w:p>
    <w:p>
      <w:pPr>
        <w:jc w:val="both"/>
        <w:rPr>
          <w:lang w:val="lt-LT"/>
        </w:rPr>
      </w:pPr>
    </w:p>
    <w:p>
      <w:pPr>
        <w:jc w:val="both"/>
        <w:rPr>
          <w:lang w:val="lt-LT"/>
        </w:rPr>
      </w:pPr>
    </w:p>
    <w:p>
      <w:pPr>
        <w:jc w:val="both"/>
        <w:rPr>
          <w:lang w:val="lt-LT"/>
        </w:rPr>
      </w:pPr>
    </w:p>
    <w:p>
      <w:pPr>
        <w:jc w:val="both"/>
        <w:rPr>
          <w:lang w:val="lt-LT"/>
        </w:rPr>
      </w:pPr>
    </w:p>
    <w:p>
      <w:pPr>
        <w:jc w:val="both"/>
        <w:rPr>
          <w:lang w:val="lt-LT"/>
        </w:rPr>
      </w:pPr>
    </w:p>
    <w:p>
      <w:pPr>
        <w:jc w:val="both"/>
        <w:rPr>
          <w:lang w:val="lt-LT"/>
        </w:rPr>
      </w:pPr>
    </w:p>
    <w:p>
      <w:pPr>
        <w:tabs>
          <w:tab w:val="left" w:pos="144"/>
        </w:tabs>
        <w:rPr>
          <w:sz w:val="20"/>
          <w:lang w:val="lt-LT"/>
        </w:rPr>
      </w:pPr>
      <w:r>
        <w:rPr>
          <w:noProof/>
          <w:sz w:val="20"/>
          <w:lang w:val="lt-LT"/>
        </w:rPr>
        <mc:AlternateContent>
          <mc:Choice Requires="wpg">
            <w:drawing>
              <wp:anchor distT="12700" distB="15240" distL="0" distR="16510" simplePos="0" relativeHeight="27" behindDoc="0" locked="0" layoutInCell="1" allowOverlap="1">
                <wp:simplePos x="0" y="0"/>
                <wp:positionH relativeFrom="column">
                  <wp:posOffset>1828165</wp:posOffset>
                </wp:positionH>
                <wp:positionV relativeFrom="paragraph">
                  <wp:posOffset>241300</wp:posOffset>
                </wp:positionV>
                <wp:extent cx="262890" cy="47625"/>
                <wp:effectExtent l="0" t="10160" r="635" b="9525"/>
                <wp:wrapNone/>
                <wp:docPr id="105" name="Group 1"/>
                <wp:cNvGraphicFramePr/>
                <a:graphic xmlns:a="http://schemas.openxmlformats.org/drawingml/2006/main">
                  <a:graphicData uri="http://schemas.microsoft.com/office/word/2010/wordprocessingGroup">
                    <wpg:wgp>
                      <wpg:cNvGrpSpPr/>
                      <wpg:grpSpPr>
                        <a:xfrm>
                          <a:off x="0" y="0"/>
                          <a:ext cx="262800" cy="47520"/>
                          <a:chOff x="0" y="0"/>
                          <a:chExt cx="262800" cy="47520"/>
                        </a:xfrm>
                      </wpg:grpSpPr>
                      <wps:wsp>
                        <wps:cNvPr id="119" name="Oval 1664926680"/>
                        <wps:cNvSpPr/>
                        <wps:spPr>
                          <a:xfrm>
                            <a:off x="87120" y="0"/>
                            <a:ext cx="47520" cy="47520"/>
                          </a:xfrm>
                          <a:prstGeom prst="ellipse">
                            <a:avLst/>
                          </a:prstGeom>
                          <a:solidFill>
                            <a:schemeClr val="tx1"/>
                          </a:solidFill>
                          <a:ln w="19050">
                            <a:solidFill>
                              <a:srgbClr val="000000"/>
                            </a:solidFill>
                          </a:ln>
                        </wps:spPr>
                        <wps:style>
                          <a:lnRef idx="1">
                            <a:schemeClr val="accent1"/>
                          </a:lnRef>
                          <a:fillRef idx="0">
                            <a:schemeClr val="accent1"/>
                          </a:fillRef>
                          <a:effectRef idx="0">
                            <a:schemeClr val="accent1"/>
                          </a:effectRef>
                          <a:fontRef idx="minor"/>
                        </wps:style>
                        <wps:bodyPr/>
                      </wps:wsp>
                      <wps:wsp>
                        <wps:cNvPr id="120" name="Straight Connector 120"/>
                        <wps:cNvCnPr/>
                        <wps:spPr>
                          <a:xfrm>
                            <a:off x="0" y="24120"/>
                            <a:ext cx="262800" cy="0"/>
                          </a:xfrm>
                          <a:prstGeom prst="line">
                            <a:avLst/>
                          </a:prstGeom>
                          <a:ln w="25400">
                            <a:solidFill>
                              <a:srgbClr val="000000"/>
                            </a:solidFill>
                            <a:prstDash val="sysDot"/>
                          </a:ln>
                        </wps:spPr>
                        <wps:style>
                          <a:lnRef idx="1">
                            <a:schemeClr val="accent1"/>
                          </a:lnRef>
                          <a:fillRef idx="0">
                            <a:schemeClr val="accent1"/>
                          </a:fillRef>
                          <a:effectRef idx="0">
                            <a:schemeClr val="accent1"/>
                          </a:effectRef>
                          <a:fontRef idx="minor"/>
                        </wps:style>
                        <wps:bodyPr/>
                      </wps:wsp>
                    </wpg:wgp>
                  </a:graphicData>
                </a:graphic>
              </wp:anchor>
            </w:drawing>
          </mc:Choice>
          <mc:Fallback>
            <w:pict>
              <v:group id="Group 1" o:spid="_x0000_s1026" style="position:absolute;margin-left:143.95pt;margin-top:19pt;width:20.7pt;height:3.75pt;z-index:27;mso-wrap-distance-left:0;mso-wrap-distance-top:1pt;mso-wrap-distance-right:1.3pt;mso-wrap-distance-bottom:1.2pt" coordsize="262800,475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">
                <v:oval id="Oval 1664926680" o:spid="_x0000_s1027" style="position:absolute;left:87120;width:47520;height:47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" fillcolor="black [3213]" strokeweight="1.5pt">
                  <v:stroke joinstyle="miter"/>
                </v:oval>
                <v:line id="Straight Connector 120" o:spid="_x0000_s1028" style="position:absolute;visibility:visible;mso-wrap-style:square" from="0,24120" to="262800,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" strokeweight="2pt">
                  <v:stroke dashstyle="1 1" joinstyle="miter"/>
                </v:line>
              </v:group>
            </w:pict>
          </mc:Fallback>
        </mc:AlternateContent>
      </w:r>
    </w:p>
    <w:tbl>
      <w:tblPr>
        <w:tblStyle w:val="TableGrid"/>
        <w:tblW w:w="6231" w:type="dxa"/>
        <w:tblInd w:w="1649" w:type="dxa"/>
        <w:tblLayout w:type="fixed"/>
        <w:tblLook w:val="04A0" w:firstRow="1" w:lastRow="0" w:firstColumn="1" w:lastColumn="0" w:noHBand="0" w:noVBand="1"/>
      </w:tblPr>
      <w:tblGrid>
        <w:gridCol w:w="6231"/>
      </w:tblGrid>
      <w:tr>
        <w:trPr>
          <w:trHeight w:val="265"/>
        </w:trPr>
        <w:tc>
          <w:tcPr>
            <w:tcW w:w="6231" w:type="dxa"/>
          </w:tcPr>
          <w:p>
            <w:pPr>
              <w:pStyle w:val="Footer"/>
              <w:jc w:val="center"/>
              <w:rPr>
                <w:rFonts w:cs="Arial"/>
                <w:sz w:val="15"/>
                <w:szCs w:val="15"/>
                <w:lang w:val="lt-LT"/>
              </w:rPr>
            </w:pPr>
            <w:r>
              <w:rPr>
                <w:noProof/>
              </w:rPr>
              <mc:AlternateContent>
                <mc:Choice Requires="wps">
                  <w:drawing>
                    <wp:anchor distT="0" distB="0" distL="0" distR="0" simplePos="0" relativeHeight="28" behindDoc="0" locked="0" layoutInCell="1" allowOverlap="1">
                      <wp:simplePos x="0" y="0"/>
                      <wp:positionH relativeFrom="column">
                        <wp:posOffset>3133725</wp:posOffset>
                      </wp:positionH>
                      <wp:positionV relativeFrom="paragraph">
                        <wp:posOffset>65405</wp:posOffset>
                      </wp:positionV>
                      <wp:extent cx="262890" cy="54610"/>
                      <wp:effectExtent l="0" t="8255" r="635" b="0"/>
                      <wp:wrapNone/>
                      <wp:docPr id="107" name="Freeform: Shape 257"/>
                      <wp:cNvGraphicFramePr/>
                      <a:graphic xmlns:a="http://schemas.openxmlformats.org/drawingml/2006/main">
                        <a:graphicData uri="http://schemas.microsoft.com/office/word/2010/wordprocessingShape">
                          <wps:wsp>
                            <wps:cNvSpPr/>
                            <wps:spPr>
                              <a:xfrm>
                                <a:off x="0" y="0"/>
                                <a:ext cx="262800" cy="54720"/>
                              </a:xfrm>
                              <a:custGeom>
                                <a:avLst/>
                                <a:gdLst>
                                  <a:gd name="textAreaLeft" fmla="*/ 0 w 149040"/>
                                  <a:gd name="textAreaRight" fmla="*/ 149400 w 149040"/>
                                  <a:gd name="textAreaTop" fmla="*/ 0 h 30960"/>
                                  <a:gd name="textAreaBottom" fmla="*/ 31320 h 30960"/>
                                  <a:gd name="GluePoint1X" fmla="*/ 0 w 7139963"/>
                                  <a:gd name="GluePoint1Y" fmla="*/ 0 h 15778"/>
                                  <a:gd name="GluePoint2X" fmla="*/ 7139964 w 7139963"/>
                                  <a:gd name="GluePoint2Y" fmla="*/ 0 h 15778"/>
                                </a:gdLst>
                                <a:ahLst/>
                                <a:cxnLst>
                                  <a:cxn ang="0">
                                    <a:pos x="GluePoint1X" y="GluePoint1Y"/>
                                  </a:cxn>
                                  <a:cxn ang="0">
                                    <a:pos x="GluePoint2X" y="GluePoint2Y"/>
                                  </a:cxn>
                                </a:cxnLst>
                                <a:rect l="textAreaLeft" t="textAreaTop" r="textAreaRight" b="textAreaBottom"/>
                                <a:pathLst>
                                  <a:path w="7139963" h="15778">
                                    <a:moveTo>
                                      <a:pt x="0" y="0"/>
                                    </a:moveTo>
                                    <a:lnTo>
                                      <a:pt x="7139964" y="0"/>
                                    </a:lnTo>
                                  </a:path>
                                </a:pathLst>
                              </a:custGeom>
                              <a:noFill/>
                              <a:ln w="15773">
                                <a:solidFill>
                                  <a:srgbClr val="000000"/>
                                </a:solidFill>
                                <a:custDash>
                                  <a:ds d="299000" sp="299000"/>
                                </a:custDash>
                                <a:miter/>
                              </a:ln>
                            </wps:spPr>
                            <wps:style>
                              <a:lnRef idx="0">
                                <a:scrgbClr r="0" g="0" b="0"/>
                              </a:lnRef>
                              <a:fillRef idx="0">
                                <a:scrgbClr r="0" g="0" b="0"/>
                              </a:fillRef>
                              <a:effectRef idx="0">
                                <a:scrgbClr r="0" g="0" b="0"/>
                              </a:effectRef>
                              <a:fontRef idx="minor"/>
                            </wps:style>
                            <wps:bodyPr/>
                          </wps:wsp>
                        </a:graphicData>
                      </a:graphic>
                    </wp:anchor>
                  </w:drawing>
                </mc:Choice>
                <mc:Fallback>
                  <w:pict>
                    <v:shape id="Freeform: Shape 257" o:spid="_x0000_s1026" style="position:absolute;margin-left:246.75pt;margin-top:5.15pt;width:20.7pt;height:4.3pt;z-index:28;visibility:visible;mso-wrap-style:square;mso-wrap-distance-left:0;mso-wrap-distance-top:0;mso-wrap-distance-right:0;mso-wrap-distance-bottom:0;mso-position-horizontal:absolute;mso-position-horizontal-relative:text;mso-position-vertical:absolute;mso-position-vertical-relative:text;v-text-anchor:top" coordsize="7139963,157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" path="m,l7139964,e" filled="f" strokeweight=".43814mm">
                      <v:stroke joinstyle="miter"/>
                      <v:path arrowok="t" o:connecttype="custom" o:connectlocs="0,0;262800,0" o:connectangles="0,0" textboxrect="0,0,7157215,15961"/>
                    </v:shape>
                  </w:pict>
                </mc:Fallback>
              </mc:AlternateContent>
            </w:r>
            <w:r>
              <w:rPr>
                <w:rFonts w:cs="Arial"/>
                <w:sz w:val="15"/>
                <w:szCs w:val="15"/>
                <w:lang w:val="lt-LT"/>
              </w:rPr>
              <w:t>Parametrai                   Phe suvartojimas su maistu (mg/kg per parą)              RPN</w:t>
            </w:r>
          </w:p>
        </w:tc>
      </w:tr>
    </w:tbl>
    <w:p>
      <w:pPr>
        <w:tabs>
          <w:tab w:val="left" w:pos="144"/>
        </w:tabs>
        <w:rPr>
          <w:sz w:val="20"/>
          <w:lang w:val="lt-LT"/>
        </w:rPr>
      </w:pPr>
      <w:r>
        <w:rPr>
          <w:rFonts w:ascii="Arial" w:hAnsi="Arial" w:cs="Arial"/>
          <w:b/>
          <w:bCs/>
          <w:color w:val="000000" w:themeColor="text1"/>
          <w:kern w:val="2"/>
          <w:sz w:val="12"/>
          <w:szCs w:val="12"/>
          <w:lang w:val="lt-LT"/>
        </w:rPr>
        <w:t xml:space="preserve"> </w:t>
      </w:r>
    </w:p>
    <w:p>
      <w:pPr>
        <w:tabs>
          <w:tab w:val="left" w:pos="144"/>
        </w:tabs>
        <w:spacing w:line="240" w:lineRule="auto"/>
        <w:rPr>
          <w:sz w:val="20"/>
          <w:lang w:val="lt-LT"/>
        </w:rPr>
      </w:pPr>
      <w:r>
        <w:rPr>
          <w:sz w:val="20"/>
          <w:lang w:val="lt-LT"/>
        </w:rPr>
        <w:t>Phe – fenilalaninas; FKU – fenilketonurija; RPN – rekomenduojama paros norma; SN – standartinis nuokrypis; S – savaitė</w:t>
      </w:r>
    </w:p>
    <w:p>
      <w:pPr>
        <w:rPr>
          <w:sz w:val="20"/>
          <w:lang w:val="lt-LT"/>
        </w:rPr>
      </w:pPr>
      <w:r>
        <w:rPr>
          <w:sz w:val="20"/>
          <w:lang w:val="lt-LT"/>
        </w:rPr>
        <w:t xml:space="preserve">Pastaba. Pradinė vertė apibrėžiama kaip vidutinis per parą su maistu suvartojamas Phe kiekis (mg/kg per parą) 1 mėnesį. RPN yra 0,8 g baltymų/kg (tai atitinka maždaug 40 mg/kg per parą Phe). Pradinio įvertinimo Phe lygis kraujyje yra 1–2 savaičių pirminio įvertinimo laikotarpio vidurkis. 1 g baltymo atitinka maždaug 50 mg Phe. </w:t>
      </w:r>
    </w:p>
    <w:p>
      <w:pPr>
        <w:tabs>
          <w:tab w:val="clear" w:pos="567"/>
        </w:tabs>
        <w:spacing w:line="240" w:lineRule="auto"/>
        <w:rPr>
          <w:b/>
          <w:szCs w:val="22"/>
          <w:lang w:val="lt-LT"/>
        </w:rPr>
      </w:pPr>
    </w:p>
    <w:p>
      <w:pPr>
        <w:spacing w:line="240" w:lineRule="auto"/>
        <w:rPr>
          <w:szCs w:val="22"/>
          <w:lang w:val="lt-LT"/>
        </w:rPr>
      </w:pPr>
      <w:r>
        <w:rPr>
          <w:szCs w:val="22"/>
          <w:lang w:val="lt-LT"/>
        </w:rPr>
        <w:t>Šie duomenys rodo, kad sepiapterino vartojimas gali leisti sušvelninti labai ribojančią dietą, kurios turi laikytis FKU sergantys pacientai.</w:t>
      </w:r>
    </w:p>
    <w:p>
      <w:pPr>
        <w:spacing w:line="240" w:lineRule="auto"/>
        <w:rPr>
          <w:szCs w:val="22"/>
          <w:lang w:val="lt-LT"/>
        </w:rPr>
      </w:pPr>
    </w:p>
    <w:p>
      <w:pPr>
        <w:pStyle w:val="paragraph"/>
        <w:spacing w:beforeAutospacing="0" w:afterAutospacing="0"/>
        <w:textAlignment w:val="baseline"/>
        <w:rPr>
          <w:sz w:val="22"/>
          <w:szCs w:val="22"/>
          <w:lang w:val="lt-LT" w:eastAsia="en-US"/>
        </w:rPr>
      </w:pPr>
      <w:r>
        <w:rPr>
          <w:b/>
          <w:bCs/>
          <w:sz w:val="22"/>
          <w:szCs w:val="22"/>
          <w:lang w:val="lt-LT" w:eastAsia="en-US"/>
        </w:rPr>
        <w:t>4 tyrimas (PTC923-PKU-301)</w:t>
      </w:r>
      <w:r>
        <w:rPr>
          <w:sz w:val="22"/>
          <w:szCs w:val="22"/>
          <w:lang w:val="lt-LT" w:eastAsia="en-US"/>
        </w:rPr>
        <w:t xml:space="preserve"> buvo 3 fazės 2 dalių atvirojo gydymo randomizuotas veikliuoju preparatu kontroliuojamas kryžminis sepiapterino ir sapropterino palyginimo tyrimas su FKU sergančiais ≥2 metų dalyviais.</w:t>
      </w:r>
    </w:p>
    <w:p>
      <w:pPr>
        <w:pStyle w:val="paragraph"/>
        <w:spacing w:beforeAutospacing="0" w:afterAutospacing="0"/>
        <w:textAlignment w:val="baseline"/>
        <w:rPr>
          <w:sz w:val="22"/>
          <w:szCs w:val="22"/>
          <w:lang w:val="lt-LT" w:eastAsia="en-US"/>
        </w:rPr>
      </w:pPr>
    </w:p>
    <w:p>
      <w:pPr>
        <w:pStyle w:val="paragraph"/>
        <w:spacing w:beforeAutospacing="0" w:afterAutospacing="0"/>
        <w:textAlignment w:val="baseline"/>
        <w:rPr>
          <w:sz w:val="22"/>
          <w:szCs w:val="22"/>
          <w:lang w:val="lt-LT"/>
        </w:rPr>
      </w:pPr>
      <w:r>
        <w:rPr>
          <w:sz w:val="22"/>
          <w:szCs w:val="22"/>
          <w:lang w:val="lt-LT" w:eastAsia="en-US"/>
        </w:rPr>
        <w:t>Tyrimo 1 dalyje dalyviams buvo taikytas 14 dienų trukmės atvirasis gydymas 60 mg/kg per parą sepiapterinu, siekiant įvertinti jų atsaką, apibrėžiamą kaip ≥20 % Phe lygio kraujyje sumažėjimas nuo pradinio įvertinimo. Iš 82 dalyvių atsaką patyrė 67 (81,7 %) – vidutinis Phe sumažėjimas buvo 415,5 μmol/l (59,1 % sumažėjimas nuo pradinio įvertinimo). Iš jų 62 dalyviai tiko dalyvauti 2 dalyje, kurioje jie buvo randomizuoti į dvi sekas: sapropterino-sepiapterino (n = 30) arba sepiapterino-sapropterino (n = 32), kiekvieną gydymą atskiriant 14 dienų pašalinimo iš organizmo laikotarpiu. 2 dalies pirminė veiksmingumo vertinamoji baigtis buvo Phe lygio kraujyje vidutinis pokytis nuo pradinio įvertinimo iki 3 ir 4 savaitės. Pradinė analizė parodė statistiškai reikšmingą gydymo skirtumą 60 mg/kg per parą sepiapterino naudai prieš 20 mg/kg per parą sapropterino (p &lt; 0,0001) tarp dalyvių, kurių Phe sumažėjimas per 1 dalį buvo ≥30 %. Gydymas sepiapterinu staigiai ir ilgam laikui sumažino Phe lygį. Iki 28 gydymo dienos Phe lygio kraujyje MK vidurkių pokytis nuo pradinio įvertinimo iki 3 ir 4 savaitės sepiapterino atveju buvo –437,0 μmol/l, o sapropterino atveju –256,6 μmol/l, taigi, gydymo būdo MK vidurkių skirtumas buvo –180,4 μmol/l (p &lt; 0,0001). Į BH</w:t>
      </w:r>
      <w:r>
        <w:rPr>
          <w:sz w:val="22"/>
          <w:szCs w:val="22"/>
          <w:vertAlign w:val="subscript"/>
          <w:lang w:val="lt-LT" w:eastAsia="en-US"/>
        </w:rPr>
        <w:t>4</w:t>
      </w:r>
      <w:r>
        <w:rPr>
          <w:sz w:val="22"/>
          <w:szCs w:val="22"/>
          <w:lang w:val="lt-LT" w:eastAsia="en-US"/>
        </w:rPr>
        <w:t xml:space="preserve"> reagavusių dalyvių vidutinė absoliučioji Phe koncentracija sepiapterino atveju sumažėjo nuo 775,9 µmol/l iki 323,7 µmol/l, o sapropterino dihidrochlorido atveju – nuo 854,1 µmol/l iki 552 µmol/l (MK vidurkių skirtumas: –214 µmol/l [95 % PI: –274,1; –153,9]; p &lt; 0,0001). Patenkant į tyrimą BH</w:t>
      </w:r>
      <w:r>
        <w:rPr>
          <w:sz w:val="22"/>
          <w:szCs w:val="22"/>
          <w:vertAlign w:val="subscript"/>
          <w:lang w:val="lt-LT" w:eastAsia="en-US"/>
        </w:rPr>
        <w:t>4</w:t>
      </w:r>
      <w:r>
        <w:rPr>
          <w:sz w:val="22"/>
          <w:szCs w:val="22"/>
          <w:lang w:val="lt-LT" w:eastAsia="en-US"/>
        </w:rPr>
        <w:t xml:space="preserve"> vartojusių pacientų vidutinė absoliučioji Phe koncentracija sepiapterino atveju sumažėjo nuo 842,6 µmol/l iki 370,9 µmol/l, o sapropterino dihidrochlorido atveju – nuo 910,8 µmol/l iki 629,0 µmol/l (MK vidurkių skirtumas: –248,5 µmol/l [95 % PI: –320,5; –176,5]; p &lt; 0,0001). </w:t>
      </w:r>
      <w:r>
        <w:rPr>
          <w:sz w:val="22"/>
          <w:szCs w:val="22"/>
          <w:lang w:val="lt-LT"/>
        </w:rPr>
        <w:t>Sepiapterinas statistiškai reikšmingai labiau sumažino pirminės vertinamosios baigties rodiklį, palyginti su sapropterinu visoje populiacijoje, todėl didesnė pacientų dalis pasiekė tikslinį Phe lygį kraujyje.</w:t>
      </w:r>
    </w:p>
    <w:p>
      <w:pPr>
        <w:pStyle w:val="paragraph"/>
        <w:spacing w:beforeAutospacing="0" w:afterAutospacing="0"/>
        <w:textAlignment w:val="baseline"/>
        <w:rPr>
          <w:sz w:val="22"/>
          <w:szCs w:val="22"/>
          <w:lang w:val="lt-LT"/>
        </w:rPr>
      </w:pPr>
    </w:p>
    <w:p>
      <w:pPr>
        <w:spacing w:line="240" w:lineRule="auto"/>
        <w:rPr>
          <w:lang w:val="lt-LT"/>
        </w:rPr>
      </w:pPr>
      <w:r>
        <w:rPr>
          <w:szCs w:val="22"/>
          <w:lang w:val="lt-LT"/>
        </w:rPr>
        <w:t>Klinikiniuose tyrimuose nedalyvavo asmenys, kuriems anksčiau buvo nustatyta alergija ar nepageidaujamos reakcijos į sintetinį BH</w:t>
      </w:r>
      <w:r>
        <w:rPr>
          <w:szCs w:val="22"/>
          <w:vertAlign w:val="subscript"/>
          <w:lang w:val="lt-LT"/>
        </w:rPr>
        <w:t>4</w:t>
      </w:r>
      <w:r>
        <w:rPr>
          <w:szCs w:val="22"/>
          <w:lang w:val="lt-LT"/>
        </w:rPr>
        <w:t>.</w:t>
      </w:r>
    </w:p>
    <w:p>
      <w:pPr>
        <w:spacing w:line="240" w:lineRule="auto"/>
        <w:rPr>
          <w:lang w:val="lt-LT"/>
        </w:rPr>
      </w:pPr>
    </w:p>
    <w:p>
      <w:pPr>
        <w:spacing w:line="240" w:lineRule="auto"/>
        <w:rPr>
          <w:lang w:val="lt-LT"/>
        </w:rPr>
      </w:pPr>
      <w:r>
        <w:rPr>
          <w:szCs w:val="22"/>
          <w:lang w:val="lt-LT"/>
        </w:rPr>
        <w:t>Europos vaistų agentūra atidėjo įpareigojimą pateikti Sephience tyrimų su vienu arba daugiau vaikų, turinčių HFA, populiacijos pogrupiais duomenis (vartojimo vaikams informacija pateikiama 4.2 skyriuje).</w:t>
      </w:r>
    </w:p>
    <w:p>
      <w:pPr>
        <w:spacing w:line="240" w:lineRule="auto"/>
        <w:rPr>
          <w:lang w:val="lt-LT"/>
        </w:rPr>
      </w:pPr>
    </w:p>
    <w:p>
      <w:pPr>
        <w:keepNext/>
        <w:spacing w:line="240" w:lineRule="auto"/>
        <w:ind w:left="562" w:hanging="562"/>
        <w:rPr>
          <w:b/>
          <w:szCs w:val="22"/>
          <w:lang w:val="lt-LT"/>
        </w:rPr>
      </w:pPr>
      <w:r>
        <w:rPr>
          <w:b/>
          <w:bCs/>
          <w:szCs w:val="22"/>
          <w:lang w:val="lt-LT"/>
        </w:rPr>
        <w:t>5.2</w:t>
      </w:r>
      <w:r>
        <w:rPr>
          <w:b/>
          <w:bCs/>
          <w:szCs w:val="22"/>
          <w:lang w:val="lt-LT"/>
        </w:rPr>
        <w:tab/>
        <w:t>Farmakokinetinės savybės</w:t>
      </w:r>
      <w:r>
        <w:rPr>
          <w:b/>
          <w:szCs w:val="22"/>
          <w:highlight w:val="yellow"/>
          <w:lang w:val="lt-LT"/>
        </w:rPr>
        <w:fldChar w:fldCharType="begin"/>
      </w:r>
      <w:r>
        <w:rPr>
          <w:b/>
          <w:szCs w:val="22"/>
          <w:highlight w:val="yellow"/>
          <w:lang w:val="lt-LT"/>
        </w:rPr>
        <w:instrText xml:space="preserve"> DOCVARIABLE vault_nd_edee54ce-4cb8-427a-ae96-e047486cf424 </w:instrText>
      </w:r>
      <w:r>
        <w:rPr>
          <w:b/>
          <w:szCs w:val="22"/>
          <w:highlight w:val="yellow"/>
          <w:lang w:val="lt-LT"/>
        </w:rPr>
        <w:fldChar w:fldCharType="separate"/>
      </w:r>
      <w:r>
        <w:rPr>
          <w:b/>
          <w:szCs w:val="22"/>
          <w:highlight w:val="yellow"/>
          <w:lang w:val="lt-LT"/>
        </w:rPr>
        <w:t xml:space="preserve"> </w:t>
      </w:r>
      <w:r>
        <w:rPr>
          <w:b/>
          <w:szCs w:val="22"/>
          <w:highlight w:val="yellow"/>
          <w:lang w:val="lt-LT"/>
        </w:rPr>
        <w:fldChar w:fldCharType="end"/>
      </w:r>
    </w:p>
    <w:p>
      <w:pPr>
        <w:keepNext/>
        <w:spacing w:line="240" w:lineRule="auto"/>
        <w:ind w:right="-2"/>
        <w:rPr>
          <w:u w:val="single"/>
          <w:lang w:val="lt-LT"/>
        </w:rPr>
      </w:pPr>
    </w:p>
    <w:p>
      <w:pPr>
        <w:keepNext/>
        <w:spacing w:line="240" w:lineRule="auto"/>
        <w:ind w:right="-2"/>
        <w:rPr>
          <w:u w:val="single"/>
          <w:lang w:val="lt-LT"/>
        </w:rPr>
      </w:pPr>
      <w:r>
        <w:rPr>
          <w:szCs w:val="22"/>
          <w:u w:val="single"/>
          <w:lang w:val="lt-LT"/>
        </w:rPr>
        <w:t>Absorbcija</w:t>
      </w:r>
    </w:p>
    <w:p>
      <w:pPr>
        <w:keepNext/>
        <w:spacing w:line="240" w:lineRule="auto"/>
        <w:ind w:right="-2"/>
        <w:rPr>
          <w:u w:val="single"/>
          <w:lang w:val="lt-LT"/>
        </w:rPr>
      </w:pPr>
    </w:p>
    <w:p>
      <w:pPr>
        <w:spacing w:line="240" w:lineRule="auto"/>
        <w:ind w:right="-2"/>
        <w:rPr>
          <w:lang w:val="lt-LT"/>
        </w:rPr>
      </w:pPr>
      <w:r>
        <w:rPr>
          <w:szCs w:val="22"/>
          <w:lang w:val="lt-LT"/>
        </w:rPr>
        <w:t>Išgėrus sepiapterinas greitai absorbuojamas, didžiausia koncentracija plazmoje pasiekiama maždaug per 1–3 valandas ir greitai (paprastai per 12 valandų) sumažėja žemiau kiekybinio nustatymo ribos (0,75 ng/ml). Didžiausia sepiapterino koncentracija plazmoje (C</w:t>
      </w:r>
      <w:r>
        <w:rPr>
          <w:szCs w:val="22"/>
          <w:vertAlign w:val="subscript"/>
          <w:lang w:val="lt-LT"/>
        </w:rPr>
        <w:t>max</w:t>
      </w:r>
      <w:r>
        <w:rPr>
          <w:szCs w:val="22"/>
          <w:lang w:val="lt-LT"/>
        </w:rPr>
        <w:t>) buvo maždaug 2,80 ng/ml, 7 dienas pavartojus po 60 mg/kg per parą, laikantis didelio kaloringumo dietos, kurioje gausu riebalų. Po pakartotinio dozavimo sepiapterino kaupimosi nepastebėta.</w:t>
      </w:r>
    </w:p>
    <w:p>
      <w:pPr>
        <w:spacing w:line="240" w:lineRule="auto"/>
        <w:ind w:right="-2"/>
        <w:rPr>
          <w:lang w:val="lt-LT"/>
        </w:rPr>
      </w:pPr>
    </w:p>
    <w:p>
      <w:pPr>
        <w:spacing w:line="240" w:lineRule="auto"/>
        <w:ind w:right="-2"/>
        <w:rPr>
          <w:szCs w:val="22"/>
          <w:lang w:val="lt-LT"/>
        </w:rPr>
      </w:pPr>
      <w:r>
        <w:rPr>
          <w:szCs w:val="22"/>
          <w:lang w:val="lt-LT"/>
        </w:rPr>
        <w:t>Plazmoje sepiapterinas yra aktyviai metabolizuojamas, susidarant farmakologiškai aktyviam metabolitui BH</w:t>
      </w:r>
      <w:r>
        <w:rPr>
          <w:szCs w:val="22"/>
          <w:vertAlign w:val="subscript"/>
          <w:lang w:val="lt-LT"/>
        </w:rPr>
        <w:t>4</w:t>
      </w:r>
      <w:r>
        <w:rPr>
          <w:szCs w:val="22"/>
          <w:lang w:val="lt-LT"/>
        </w:rPr>
        <w:t>. Akivaizdus galutinis BH</w:t>
      </w:r>
      <w:r>
        <w:rPr>
          <w:szCs w:val="22"/>
          <w:vertAlign w:val="subscript"/>
          <w:lang w:val="lt-LT"/>
        </w:rPr>
        <w:t>4</w:t>
      </w:r>
      <w:r>
        <w:rPr>
          <w:szCs w:val="22"/>
          <w:lang w:val="lt-LT"/>
        </w:rPr>
        <w:t xml:space="preserve"> pusinės eliminacijos laikas yra maždaug 5 valandos. Tiek BH</w:t>
      </w:r>
      <w:r>
        <w:rPr>
          <w:szCs w:val="22"/>
          <w:vertAlign w:val="subscript"/>
          <w:lang w:val="lt-LT"/>
        </w:rPr>
        <w:t>4</w:t>
      </w:r>
      <w:r>
        <w:rPr>
          <w:szCs w:val="22"/>
          <w:lang w:val="lt-LT"/>
        </w:rPr>
        <w:t xml:space="preserve"> C</w:t>
      </w:r>
      <w:r>
        <w:rPr>
          <w:szCs w:val="22"/>
          <w:vertAlign w:val="subscript"/>
          <w:lang w:val="lt-LT"/>
        </w:rPr>
        <w:t>max</w:t>
      </w:r>
      <w:r>
        <w:rPr>
          <w:szCs w:val="22"/>
          <w:lang w:val="lt-LT"/>
        </w:rPr>
        <w:t>, tiek plotas po koncentracijos ir laiko kreive nuo nulio iki 24 valandų po dozės (AUC</w:t>
      </w:r>
      <w:r>
        <w:rPr>
          <w:szCs w:val="22"/>
          <w:vertAlign w:val="subscript"/>
          <w:lang w:val="lt-LT"/>
        </w:rPr>
        <w:t>0-24h</w:t>
      </w:r>
      <w:r>
        <w:rPr>
          <w:szCs w:val="22"/>
          <w:lang w:val="lt-LT"/>
        </w:rPr>
        <w:t>)</w:t>
      </w:r>
      <w:r>
        <w:rPr>
          <w:szCs w:val="22"/>
          <w:vertAlign w:val="subscript"/>
          <w:lang w:val="lt-LT"/>
        </w:rPr>
        <w:t xml:space="preserve"> </w:t>
      </w:r>
      <w:r>
        <w:rPr>
          <w:szCs w:val="22"/>
          <w:lang w:val="lt-LT"/>
        </w:rPr>
        <w:t>didėjo didėjant dozei, o kai sepiapterino dozė buvo didesnė nei 20 mg/kg, didėjimas buvo mažiau proporcingas dozei. Po pakartotinių sepiapterino dozių iki 60 mg/kg vartojimo 7 dienas BH</w:t>
      </w:r>
      <w:r>
        <w:rPr>
          <w:szCs w:val="22"/>
          <w:vertAlign w:val="subscript"/>
          <w:lang w:val="lt-LT"/>
        </w:rPr>
        <w:t>4</w:t>
      </w:r>
      <w:r>
        <w:rPr>
          <w:szCs w:val="22"/>
          <w:lang w:val="lt-LT"/>
        </w:rPr>
        <w:t xml:space="preserve"> nesikaupia.</w:t>
      </w:r>
    </w:p>
    <w:p>
      <w:pPr>
        <w:spacing w:line="240" w:lineRule="auto"/>
        <w:ind w:right="-2"/>
        <w:rPr>
          <w:lang w:val="lt-LT"/>
        </w:rPr>
      </w:pPr>
    </w:p>
    <w:p>
      <w:pPr>
        <w:spacing w:line="240" w:lineRule="auto"/>
        <w:ind w:right="-2"/>
        <w:rPr>
          <w:i/>
          <w:lang w:val="lt-LT"/>
        </w:rPr>
      </w:pPr>
      <w:r>
        <w:rPr>
          <w:i/>
          <w:iCs/>
          <w:szCs w:val="22"/>
          <w:lang w:val="lt-LT"/>
        </w:rPr>
        <w:t>Maisto poveikis</w:t>
      </w:r>
    </w:p>
    <w:p>
      <w:pPr>
        <w:spacing w:line="240" w:lineRule="auto"/>
        <w:ind w:right="-2"/>
        <w:rPr>
          <w:lang w:val="lt-LT"/>
        </w:rPr>
      </w:pPr>
      <w:r>
        <w:rPr>
          <w:szCs w:val="22"/>
          <w:lang w:val="lt-LT"/>
        </w:rPr>
        <w:t>Kai sepiapterinas buvo vartojamas su mažai riebalų ir mažai kalorijų turinčiu maistu nuo 20 iki 60 mg/kg dozės intervale, BH</w:t>
      </w:r>
      <w:r>
        <w:rPr>
          <w:szCs w:val="22"/>
          <w:vertAlign w:val="subscript"/>
          <w:lang w:val="lt-LT"/>
        </w:rPr>
        <w:t>4</w:t>
      </w:r>
      <w:r>
        <w:rPr>
          <w:szCs w:val="22"/>
          <w:lang w:val="lt-LT"/>
        </w:rPr>
        <w:t xml:space="preserve"> ekspozicija buvo 1,69–1,72 karto didesnė pagal C</w:t>
      </w:r>
      <w:r>
        <w:rPr>
          <w:szCs w:val="22"/>
          <w:vertAlign w:val="subscript"/>
          <w:lang w:val="lt-LT"/>
        </w:rPr>
        <w:t>max</w:t>
      </w:r>
      <w:r>
        <w:rPr>
          <w:szCs w:val="22"/>
          <w:lang w:val="lt-LT"/>
        </w:rPr>
        <w:t xml:space="preserve"> ir 1,62–1,73 karto didesnė pagal AUC</w:t>
      </w:r>
      <w:r>
        <w:rPr>
          <w:szCs w:val="22"/>
          <w:vertAlign w:val="subscript"/>
          <w:lang w:val="lt-LT"/>
        </w:rPr>
        <w:t>0–24h</w:t>
      </w:r>
      <w:r>
        <w:rPr>
          <w:szCs w:val="22"/>
          <w:lang w:val="lt-LT"/>
        </w:rPr>
        <w:t>, palyginti su vartojimu nevalgius. Kai sepiapterinas buvo vartojamas su didelio riebumo kaloringu maistu, BH</w:t>
      </w:r>
      <w:r>
        <w:rPr>
          <w:szCs w:val="22"/>
          <w:vertAlign w:val="subscript"/>
          <w:lang w:val="lt-LT"/>
        </w:rPr>
        <w:t>4</w:t>
      </w:r>
      <w:r>
        <w:rPr>
          <w:szCs w:val="22"/>
          <w:lang w:val="lt-LT"/>
        </w:rPr>
        <w:t xml:space="preserve"> ekspozicija buvo 2,21–2,26 karto didesnė pagal C</w:t>
      </w:r>
      <w:r>
        <w:rPr>
          <w:szCs w:val="22"/>
          <w:vertAlign w:val="subscript"/>
          <w:lang w:val="lt-LT"/>
        </w:rPr>
        <w:t>max</w:t>
      </w:r>
      <w:r>
        <w:rPr>
          <w:szCs w:val="22"/>
          <w:lang w:val="lt-LT"/>
        </w:rPr>
        <w:t xml:space="preserve"> ir 2,51–2,84 karto didesnė pagal AUC</w:t>
      </w:r>
      <w:r>
        <w:rPr>
          <w:szCs w:val="22"/>
          <w:vertAlign w:val="subscript"/>
          <w:lang w:val="lt-LT"/>
        </w:rPr>
        <w:t>0–24h</w:t>
      </w:r>
      <w:r>
        <w:rPr>
          <w:szCs w:val="22"/>
          <w:lang w:val="lt-LT"/>
        </w:rPr>
        <w:t xml:space="preserve">, palyginti su vartojimu nevalgius. </w:t>
      </w:r>
    </w:p>
    <w:p>
      <w:pPr>
        <w:spacing w:line="240" w:lineRule="auto"/>
        <w:ind w:right="-2"/>
        <w:rPr>
          <w:lang w:val="lt-LT"/>
        </w:rPr>
      </w:pPr>
    </w:p>
    <w:p>
      <w:pPr>
        <w:spacing w:line="240" w:lineRule="auto"/>
        <w:ind w:right="-2"/>
        <w:rPr>
          <w:lang w:val="lt-LT"/>
        </w:rPr>
      </w:pPr>
      <w:r>
        <w:rPr>
          <w:szCs w:val="22"/>
          <w:lang w:val="lt-LT"/>
        </w:rPr>
        <w:t>Sepiapteriną galima gerti bet kuriuo paros metu tuo pačiu metu kasdien su bet kokiu maistu.</w:t>
      </w:r>
    </w:p>
    <w:p>
      <w:pPr>
        <w:spacing w:line="240" w:lineRule="auto"/>
        <w:ind w:right="-2"/>
        <w:rPr>
          <w:lang w:val="lt-LT"/>
        </w:rPr>
      </w:pPr>
    </w:p>
    <w:p>
      <w:pPr>
        <w:keepNext/>
        <w:spacing w:line="240" w:lineRule="auto"/>
        <w:rPr>
          <w:u w:val="single"/>
          <w:lang w:val="lt-LT"/>
        </w:rPr>
      </w:pPr>
      <w:r>
        <w:rPr>
          <w:szCs w:val="22"/>
          <w:u w:val="single"/>
          <w:lang w:val="lt-LT"/>
        </w:rPr>
        <w:t>Pasiskirstymas</w:t>
      </w:r>
    </w:p>
    <w:p>
      <w:pPr>
        <w:keepNext/>
        <w:spacing w:line="240" w:lineRule="auto"/>
        <w:rPr>
          <w:u w:val="single"/>
          <w:lang w:val="lt-LT"/>
        </w:rPr>
      </w:pPr>
    </w:p>
    <w:p>
      <w:pPr>
        <w:spacing w:line="240" w:lineRule="auto"/>
        <w:ind w:right="-2"/>
        <w:rPr>
          <w:lang w:val="lt-LT"/>
        </w:rPr>
      </w:pPr>
      <w:r>
        <w:rPr>
          <w:szCs w:val="22"/>
          <w:lang w:val="lt-LT"/>
        </w:rPr>
        <w:t>Sepiapterinas arba BH</w:t>
      </w:r>
      <w:r>
        <w:rPr>
          <w:szCs w:val="22"/>
          <w:vertAlign w:val="subscript"/>
          <w:lang w:val="lt-LT"/>
        </w:rPr>
        <w:t>4</w:t>
      </w:r>
      <w:r>
        <w:rPr>
          <w:szCs w:val="22"/>
          <w:lang w:val="lt-LT"/>
        </w:rPr>
        <w:t xml:space="preserve"> mažai jungiasi su plazmos baltymais, todėl didžioji dalis sepiapterino ir BH</w:t>
      </w:r>
      <w:r>
        <w:rPr>
          <w:szCs w:val="22"/>
          <w:vertAlign w:val="subscript"/>
          <w:lang w:val="lt-LT"/>
        </w:rPr>
        <w:t>4</w:t>
      </w:r>
      <w:r>
        <w:rPr>
          <w:szCs w:val="22"/>
          <w:lang w:val="lt-LT"/>
        </w:rPr>
        <w:t xml:space="preserve">, esančių plazmoje, gali laisvai daryti farmakologinį poveikį. </w:t>
      </w:r>
      <w:r>
        <w:rPr>
          <w:i/>
          <w:iCs/>
          <w:szCs w:val="22"/>
          <w:lang w:val="lt-LT"/>
        </w:rPr>
        <w:t>In vitro</w:t>
      </w:r>
      <w:r>
        <w:rPr>
          <w:szCs w:val="22"/>
          <w:lang w:val="lt-LT"/>
        </w:rPr>
        <w:t xml:space="preserve"> tyrimai rodo, kad sepiapterinas (vidutiniškai 15,4 %) jungiasi su plazmos baltymais, esant 0,1 % ditiotreitolio, kurio koncentracijos intervalas yra nuo 0,1 iki 10 μM. BH</w:t>
      </w:r>
      <w:r>
        <w:rPr>
          <w:szCs w:val="22"/>
          <w:vertAlign w:val="subscript"/>
          <w:lang w:val="lt-LT"/>
        </w:rPr>
        <w:t>4</w:t>
      </w:r>
      <w:r>
        <w:rPr>
          <w:szCs w:val="22"/>
          <w:lang w:val="lt-LT"/>
        </w:rPr>
        <w:t xml:space="preserve"> buvo 41,3 % (esant 2 μM), 33,0 % (esant 5 μM) ir 24,1 % (esant 15 μM) surištas su baltymais žmogaus plazmoje, esant 0,5 % β-merkaptoetanolio. </w:t>
      </w:r>
    </w:p>
    <w:p>
      <w:pPr>
        <w:spacing w:line="240" w:lineRule="auto"/>
        <w:ind w:right="-2"/>
        <w:rPr>
          <w:lang w:val="lt-LT"/>
        </w:rPr>
      </w:pPr>
    </w:p>
    <w:p>
      <w:pPr>
        <w:spacing w:line="240" w:lineRule="auto"/>
        <w:ind w:right="-2"/>
        <w:rPr>
          <w:lang w:val="lt-LT"/>
        </w:rPr>
      </w:pPr>
      <w:r>
        <w:rPr>
          <w:szCs w:val="22"/>
          <w:lang w:val="lt-LT"/>
        </w:rPr>
        <w:t>Sveikiems tiriamiesiems pakartotinai pavartojus sepiapterino per burną, cerebrospinaliniame skystyje nustatyta padidėjusi BH</w:t>
      </w:r>
      <w:r>
        <w:rPr>
          <w:szCs w:val="22"/>
          <w:vertAlign w:val="subscript"/>
          <w:lang w:val="lt-LT"/>
        </w:rPr>
        <w:t>4</w:t>
      </w:r>
      <w:r>
        <w:rPr>
          <w:szCs w:val="22"/>
          <w:lang w:val="lt-LT"/>
        </w:rPr>
        <w:t xml:space="preserve"> koncentracija.</w:t>
      </w:r>
    </w:p>
    <w:p>
      <w:pPr>
        <w:spacing w:line="240" w:lineRule="auto"/>
        <w:ind w:right="-2"/>
        <w:rPr>
          <w:lang w:val="lt-LT"/>
        </w:rPr>
      </w:pPr>
    </w:p>
    <w:p>
      <w:pPr>
        <w:keepNext/>
        <w:spacing w:line="240" w:lineRule="auto"/>
        <w:rPr>
          <w:u w:val="single"/>
          <w:lang w:val="lt-LT"/>
        </w:rPr>
      </w:pPr>
      <w:r>
        <w:rPr>
          <w:szCs w:val="22"/>
          <w:u w:val="single"/>
          <w:lang w:val="lt-LT"/>
        </w:rPr>
        <w:t>Biotransformacija</w:t>
      </w:r>
    </w:p>
    <w:p>
      <w:pPr>
        <w:keepNext/>
        <w:spacing w:line="240" w:lineRule="auto"/>
        <w:rPr>
          <w:u w:val="single"/>
          <w:lang w:val="lt-LT"/>
        </w:rPr>
      </w:pPr>
    </w:p>
    <w:p>
      <w:pPr>
        <w:keepNext/>
        <w:spacing w:line="240" w:lineRule="auto"/>
        <w:rPr>
          <w:lang w:val="lt-LT"/>
        </w:rPr>
      </w:pPr>
      <w:r>
        <w:rPr>
          <w:szCs w:val="22"/>
          <w:lang w:val="lt-LT"/>
        </w:rPr>
        <w:t>Sepiapteriną metabolizuoja SR / karbonilreduktazė ir DHFR vykstant 2 etapų vienkrypčiam procesui ir susidarant BH</w:t>
      </w:r>
      <w:r>
        <w:rPr>
          <w:szCs w:val="22"/>
          <w:vertAlign w:val="subscript"/>
          <w:lang w:val="lt-LT"/>
        </w:rPr>
        <w:t>4</w:t>
      </w:r>
      <w:r>
        <w:rPr>
          <w:szCs w:val="22"/>
          <w:lang w:val="lt-LT"/>
        </w:rPr>
        <w:t>. Spėjama, kad BH</w:t>
      </w:r>
      <w:r>
        <w:rPr>
          <w:szCs w:val="22"/>
          <w:vertAlign w:val="subscript"/>
          <w:lang w:val="lt-LT"/>
        </w:rPr>
        <w:t>4</w:t>
      </w:r>
      <w:r>
        <w:rPr>
          <w:szCs w:val="22"/>
          <w:lang w:val="lt-LT"/>
        </w:rPr>
        <w:t xml:space="preserve"> metabolizmas vyksta tuo pačiu keliu kaip ir endogeninio BH</w:t>
      </w:r>
      <w:r>
        <w:rPr>
          <w:szCs w:val="22"/>
          <w:vertAlign w:val="subscript"/>
          <w:lang w:val="lt-LT"/>
        </w:rPr>
        <w:t>4</w:t>
      </w:r>
      <w:r>
        <w:rPr>
          <w:szCs w:val="22"/>
          <w:lang w:val="lt-LT"/>
        </w:rPr>
        <w:t>, kuris oksiduojamas kaip kofermentas aromatinių aminorūgščių hidroksilazėms, tokioms kaip FAH, tirozino hidroksilazė, triptofano hidroksilazė ir alkilglicerolio monooksigenazė, ir azoto oksido sintazei, o kai kurie metabolitai, pavyzdžiui, 4α-hidroksi-tetrahidrobiopterinas ir chinonoidinis dihidrobiopterinas, gali būti perdirbami BH</w:t>
      </w:r>
      <w:r>
        <w:rPr>
          <w:szCs w:val="22"/>
          <w:vertAlign w:val="subscript"/>
          <w:lang w:val="lt-LT"/>
        </w:rPr>
        <w:t>4</w:t>
      </w:r>
      <w:r>
        <w:rPr>
          <w:szCs w:val="22"/>
          <w:lang w:val="lt-LT"/>
        </w:rPr>
        <w:t xml:space="preserve"> regeneruoti, tarpininkaujant pterin-4α-karbinolamino dehidratazei ir dihidropteridino reduktazei.</w:t>
      </w:r>
    </w:p>
    <w:p>
      <w:pPr>
        <w:spacing w:line="240" w:lineRule="auto"/>
        <w:ind w:right="-2"/>
        <w:rPr>
          <w:lang w:val="lt-LT"/>
        </w:rPr>
      </w:pPr>
    </w:p>
    <w:p>
      <w:pPr>
        <w:spacing w:line="240" w:lineRule="auto"/>
        <w:rPr>
          <w:lang w:val="lt-LT"/>
        </w:rPr>
      </w:pPr>
      <w:r>
        <w:rPr>
          <w:szCs w:val="22"/>
          <w:lang w:val="lt-LT"/>
        </w:rPr>
        <w:t xml:space="preserve">Po vienkartinės geriamosios </w:t>
      </w:r>
      <w:r>
        <w:rPr>
          <w:szCs w:val="22"/>
          <w:vertAlign w:val="superscript"/>
          <w:lang w:val="lt-LT"/>
        </w:rPr>
        <w:t>14</w:t>
      </w:r>
      <w:r>
        <w:rPr>
          <w:szCs w:val="22"/>
          <w:lang w:val="lt-LT"/>
        </w:rPr>
        <w:t>C-sepiapterino dozės žmogui pastebėtas aktyvus sepiapterino metabolizmas. Pagrindiniai medžiagų apykaitos būdai – oksidacija ir (arba) dehidrogenacija, redukcija ir (arba) oksidacija, oksidacinė deaminacija, dehidratacija, šoninės grandinės skilimas, metilinimas ir t. t., atskirai arba kartu.</w:t>
      </w:r>
    </w:p>
    <w:p>
      <w:pPr>
        <w:spacing w:line="240" w:lineRule="auto"/>
        <w:rPr>
          <w:lang w:val="lt-LT"/>
        </w:rPr>
      </w:pPr>
    </w:p>
    <w:p>
      <w:pPr>
        <w:keepNext/>
        <w:spacing w:line="240" w:lineRule="auto"/>
        <w:rPr>
          <w:u w:val="single"/>
          <w:lang w:val="lt-LT"/>
        </w:rPr>
      </w:pPr>
      <w:r>
        <w:rPr>
          <w:szCs w:val="22"/>
          <w:u w:val="single"/>
          <w:lang w:val="lt-LT"/>
        </w:rPr>
        <w:t>Eliminacija</w:t>
      </w:r>
    </w:p>
    <w:p>
      <w:pPr>
        <w:keepNext/>
        <w:spacing w:line="240" w:lineRule="auto"/>
        <w:rPr>
          <w:u w:val="single"/>
          <w:lang w:val="lt-LT"/>
        </w:rPr>
      </w:pPr>
    </w:p>
    <w:p>
      <w:pPr>
        <w:spacing w:line="240" w:lineRule="auto"/>
        <w:ind w:right="-2"/>
        <w:rPr>
          <w:lang w:val="lt-LT"/>
        </w:rPr>
      </w:pPr>
      <w:r>
        <w:rPr>
          <w:szCs w:val="22"/>
          <w:lang w:val="lt-LT"/>
        </w:rPr>
        <w:t>Sveikiems žmonėms pavartojus sepiapterino per burną, jis buvo aktyviai metabolizuojamas, o metabolitai daugiausia išsiskyrė su išmatomis. Po C</w:t>
      </w:r>
      <w:r>
        <w:rPr>
          <w:szCs w:val="22"/>
          <w:vertAlign w:val="subscript"/>
          <w:lang w:val="lt-LT"/>
        </w:rPr>
        <w:t>max</w:t>
      </w:r>
      <w:r>
        <w:rPr>
          <w:szCs w:val="22"/>
          <w:lang w:val="lt-LT"/>
        </w:rPr>
        <w:t xml:space="preserve"> sepiapterino koncentracija plazmoje greitai mažėjo ir buvo mažesnė už kiekybinio įvertinimo ribą, dažniausiai praėjus 12 valandų po dozės. BH</w:t>
      </w:r>
      <w:r>
        <w:rPr>
          <w:szCs w:val="22"/>
          <w:vertAlign w:val="subscript"/>
          <w:lang w:val="lt-LT"/>
        </w:rPr>
        <w:t>4</w:t>
      </w:r>
      <w:r>
        <w:rPr>
          <w:szCs w:val="22"/>
          <w:lang w:val="lt-LT"/>
        </w:rPr>
        <w:t xml:space="preserve"> kiekis plazmoje mažėjo monoeksponentiškai po C</w:t>
      </w:r>
      <w:r>
        <w:rPr>
          <w:szCs w:val="22"/>
          <w:vertAlign w:val="subscript"/>
          <w:lang w:val="lt-LT"/>
        </w:rPr>
        <w:t>max</w:t>
      </w:r>
      <w:r>
        <w:rPr>
          <w:szCs w:val="22"/>
          <w:lang w:val="lt-LT"/>
        </w:rPr>
        <w:t>. Galutinis pusinės eliminacijos laikas buvo maždaug 5 valandos.</w:t>
      </w:r>
    </w:p>
    <w:p>
      <w:pPr>
        <w:spacing w:line="240" w:lineRule="auto"/>
        <w:ind w:right="-2"/>
        <w:rPr>
          <w:lang w:val="lt-LT"/>
        </w:rPr>
      </w:pPr>
    </w:p>
    <w:p>
      <w:pPr>
        <w:spacing w:line="240" w:lineRule="auto"/>
        <w:rPr>
          <w:lang w:val="lt-LT"/>
        </w:rPr>
      </w:pPr>
      <w:r>
        <w:rPr>
          <w:szCs w:val="22"/>
          <w:lang w:val="lt-LT"/>
        </w:rPr>
        <w:t xml:space="preserve">Suaugusiems sveikiems tiriamiesiems suvartojus vienkartinę geriamąją </w:t>
      </w:r>
      <w:r>
        <w:rPr>
          <w:szCs w:val="22"/>
          <w:vertAlign w:val="superscript"/>
          <w:lang w:val="lt-LT"/>
        </w:rPr>
        <w:t>14</w:t>
      </w:r>
      <w:r>
        <w:rPr>
          <w:szCs w:val="22"/>
          <w:lang w:val="lt-LT"/>
        </w:rPr>
        <w:t xml:space="preserve">C-sepiapterino dozę, vidutiniškai 6,71 % dozės radioaktyvumo buvo nustatyta šlapime ir 26,18 % išmatose, o bendras radioaktyvumo išsiskyrimas po 240 valandų siekė 32,9 %. Didžioji dalis šio radioaktyvumo išsiskyrė per pirmąsias 48 valandas po dozės suvartojimo (28,2 %). Bendras iš </w:t>
      </w:r>
      <w:r>
        <w:rPr>
          <w:szCs w:val="22"/>
          <w:vertAlign w:val="superscript"/>
          <w:lang w:val="lt-LT"/>
        </w:rPr>
        <w:t>14</w:t>
      </w:r>
      <w:r>
        <w:rPr>
          <w:szCs w:val="22"/>
          <w:lang w:val="lt-LT"/>
        </w:rPr>
        <w:t xml:space="preserve">C-sepiapterino gauto radioaktyvumo inkstų klirensas buvo 1,54 l/val. (25,6 ml/min.). Lakiųjų metabolitų susidarymas iš sepiapterino virškinimo trakte buvo patvirtintas </w:t>
      </w:r>
      <w:r>
        <w:rPr>
          <w:i/>
          <w:iCs/>
          <w:szCs w:val="22"/>
          <w:lang w:val="lt-LT"/>
        </w:rPr>
        <w:t>in vitro</w:t>
      </w:r>
      <w:r>
        <w:rPr>
          <w:szCs w:val="22"/>
          <w:lang w:val="lt-LT"/>
        </w:rPr>
        <w:t xml:space="preserve"> tyrime, kuriame buvo naudojama žmogaus žarnyno mikrobiota. </w:t>
      </w:r>
    </w:p>
    <w:p>
      <w:pPr>
        <w:spacing w:line="240" w:lineRule="auto"/>
        <w:rPr>
          <w:lang w:val="lt-LT"/>
        </w:rPr>
      </w:pPr>
    </w:p>
    <w:p>
      <w:pPr>
        <w:keepNext/>
        <w:spacing w:line="240" w:lineRule="auto"/>
        <w:rPr>
          <w:szCs w:val="22"/>
          <w:u w:val="single"/>
          <w:lang w:val="lt-LT"/>
        </w:rPr>
      </w:pPr>
      <w:r>
        <w:rPr>
          <w:szCs w:val="22"/>
          <w:u w:val="single"/>
          <w:lang w:val="lt-LT"/>
        </w:rPr>
        <w:t>Ypatingos populiacijos</w:t>
      </w:r>
    </w:p>
    <w:p>
      <w:pPr>
        <w:keepNext/>
        <w:spacing w:line="240" w:lineRule="auto"/>
        <w:rPr>
          <w:u w:val="single"/>
          <w:lang w:val="lt-LT"/>
        </w:rPr>
      </w:pPr>
    </w:p>
    <w:p>
      <w:pPr>
        <w:keepNext/>
        <w:spacing w:line="240" w:lineRule="auto"/>
        <w:rPr>
          <w:i/>
          <w:lang w:val="lt-LT"/>
        </w:rPr>
      </w:pPr>
      <w:r>
        <w:rPr>
          <w:i/>
          <w:iCs/>
          <w:szCs w:val="22"/>
          <w:lang w:val="lt-LT"/>
        </w:rPr>
        <w:t>Amžius</w:t>
      </w:r>
    </w:p>
    <w:p>
      <w:pPr>
        <w:spacing w:line="240" w:lineRule="auto"/>
        <w:rPr>
          <w:lang w:val="lt-LT"/>
        </w:rPr>
      </w:pPr>
      <w:r>
        <w:rPr>
          <w:szCs w:val="22"/>
          <w:lang w:val="lt-LT"/>
        </w:rPr>
        <w:t>Į 3 fazės klinikinius tyrimus buvo įtraukti visų amžiaus grupių pacientai, sergantys FKU. Išskyrus alometrinį poveikį klirensui ir pasiskirstymo tūriui, atlikus populiacijos FK tyrimą, jokio kito amžiaus poveikio nenustatyta.</w:t>
      </w:r>
    </w:p>
    <w:p>
      <w:pPr>
        <w:spacing w:line="240" w:lineRule="auto"/>
        <w:rPr>
          <w:lang w:val="lt-LT"/>
        </w:rPr>
      </w:pPr>
    </w:p>
    <w:p>
      <w:pPr>
        <w:spacing w:line="240" w:lineRule="auto"/>
        <w:rPr>
          <w:i/>
          <w:lang w:val="lt-LT"/>
        </w:rPr>
      </w:pPr>
      <w:r>
        <w:rPr>
          <w:i/>
          <w:iCs/>
          <w:szCs w:val="22"/>
          <w:lang w:val="lt-LT"/>
        </w:rPr>
        <w:t>Etninė kilmė ir rasė</w:t>
      </w:r>
    </w:p>
    <w:p>
      <w:pPr>
        <w:spacing w:line="240" w:lineRule="auto"/>
        <w:rPr>
          <w:lang w:val="lt-LT"/>
        </w:rPr>
      </w:pPr>
      <w:r>
        <w:rPr>
          <w:szCs w:val="22"/>
          <w:lang w:val="lt-LT"/>
        </w:rPr>
        <w:t>Azijiečiams tiriamiesiems stebėta didesnė BH</w:t>
      </w:r>
      <w:r>
        <w:rPr>
          <w:szCs w:val="22"/>
          <w:vertAlign w:val="subscript"/>
          <w:lang w:val="lt-LT"/>
        </w:rPr>
        <w:t>4</w:t>
      </w:r>
      <w:r>
        <w:rPr>
          <w:szCs w:val="22"/>
          <w:lang w:val="lt-LT"/>
        </w:rPr>
        <w:t xml:space="preserve"> ekspozicija. Atlikus japonų etnojungiamąjį tyrimą, japonams, palyginti su tiriamaisiais ne japonais, buvo nustatytas 10–24 % didesnis BH</w:t>
      </w:r>
      <w:r>
        <w:rPr>
          <w:szCs w:val="22"/>
          <w:vertAlign w:val="subscript"/>
          <w:lang w:val="lt-LT"/>
        </w:rPr>
        <w:t xml:space="preserve">4 </w:t>
      </w:r>
      <w:r>
        <w:rPr>
          <w:szCs w:val="22"/>
          <w:lang w:val="lt-LT"/>
        </w:rPr>
        <w:t>AUC</w:t>
      </w:r>
      <w:r>
        <w:rPr>
          <w:szCs w:val="22"/>
          <w:vertAlign w:val="subscript"/>
          <w:lang w:val="lt-LT"/>
        </w:rPr>
        <w:t>0-pask.</w:t>
      </w:r>
      <w:r>
        <w:rPr>
          <w:szCs w:val="22"/>
          <w:lang w:val="lt-LT"/>
        </w:rPr>
        <w:t xml:space="preserve"> ir 14–29 % didesnė C</w:t>
      </w:r>
      <w:r>
        <w:rPr>
          <w:szCs w:val="22"/>
          <w:vertAlign w:val="subscript"/>
          <w:lang w:val="lt-LT"/>
        </w:rPr>
        <w:t>max</w:t>
      </w:r>
      <w:r>
        <w:rPr>
          <w:szCs w:val="22"/>
          <w:lang w:val="lt-LT"/>
        </w:rPr>
        <w:t>, kai sepiapterino dozė buvo nuo 20 iki 60 mg/kg.</w:t>
      </w:r>
    </w:p>
    <w:p>
      <w:pPr>
        <w:spacing w:line="240" w:lineRule="auto"/>
        <w:rPr>
          <w:lang w:val="lt-LT"/>
        </w:rPr>
      </w:pPr>
    </w:p>
    <w:p>
      <w:pPr>
        <w:spacing w:line="240" w:lineRule="auto"/>
        <w:rPr>
          <w:i/>
          <w:lang w:val="lt-LT"/>
        </w:rPr>
      </w:pPr>
      <w:r>
        <w:rPr>
          <w:i/>
          <w:iCs/>
          <w:szCs w:val="22"/>
          <w:lang w:val="lt-LT"/>
        </w:rPr>
        <w:t>Sutrikusi inkstų funkcija</w:t>
      </w:r>
    </w:p>
    <w:p>
      <w:pPr>
        <w:spacing w:line="240" w:lineRule="auto"/>
        <w:rPr>
          <w:lang w:val="lt-LT"/>
        </w:rPr>
      </w:pPr>
      <w:r>
        <w:rPr>
          <w:szCs w:val="22"/>
          <w:lang w:val="lt-LT"/>
        </w:rPr>
        <w:t>Sepiapterino FK ir saugumas pacientams, kuriems yra inkstų funkcijos sutrikimas, neištirtas.</w:t>
      </w:r>
    </w:p>
    <w:p>
      <w:pPr>
        <w:spacing w:line="240" w:lineRule="auto"/>
        <w:rPr>
          <w:lang w:val="lt-LT"/>
        </w:rPr>
      </w:pPr>
    </w:p>
    <w:p>
      <w:pPr>
        <w:spacing w:line="240" w:lineRule="auto"/>
        <w:rPr>
          <w:i/>
          <w:lang w:val="lt-LT"/>
        </w:rPr>
      </w:pPr>
      <w:r>
        <w:rPr>
          <w:i/>
          <w:iCs/>
          <w:szCs w:val="22"/>
          <w:lang w:val="lt-LT"/>
        </w:rPr>
        <w:t>Sutrikusi kepenų funkcija</w:t>
      </w:r>
    </w:p>
    <w:p>
      <w:pPr>
        <w:spacing w:line="240" w:lineRule="auto"/>
        <w:rPr>
          <w:lang w:val="lt-LT"/>
        </w:rPr>
      </w:pPr>
      <w:r>
        <w:rPr>
          <w:szCs w:val="22"/>
          <w:lang w:val="lt-LT"/>
        </w:rPr>
        <w:t>Sepiapterino FK ir saugumas pacientams, kuriems yra kepenų funkcijos sutrikimas, neištirtas.</w:t>
      </w:r>
    </w:p>
    <w:p>
      <w:pPr>
        <w:spacing w:line="240" w:lineRule="auto"/>
        <w:rPr>
          <w:lang w:val="lt-LT"/>
        </w:rPr>
      </w:pPr>
    </w:p>
    <w:p>
      <w:pPr>
        <w:keepNext/>
        <w:spacing w:line="240" w:lineRule="auto"/>
        <w:ind w:right="-2"/>
        <w:rPr>
          <w:u w:val="single"/>
          <w:lang w:val="lt-LT"/>
        </w:rPr>
      </w:pPr>
      <w:r>
        <w:rPr>
          <w:szCs w:val="22"/>
          <w:u w:val="single"/>
          <w:lang w:val="lt-LT"/>
        </w:rPr>
        <w:t>Vaistinių preparatų sąveika</w:t>
      </w:r>
    </w:p>
    <w:p>
      <w:pPr>
        <w:keepNext/>
        <w:spacing w:line="240" w:lineRule="auto"/>
        <w:ind w:right="-2"/>
        <w:rPr>
          <w:u w:val="single"/>
          <w:lang w:val="lt-LT"/>
        </w:rPr>
      </w:pPr>
    </w:p>
    <w:p>
      <w:pPr>
        <w:pStyle w:val="C-BodyText"/>
        <w:keepNext/>
        <w:spacing w:before="0" w:after="0"/>
        <w:rPr>
          <w:i/>
          <w:iCs/>
          <w:sz w:val="22"/>
          <w:szCs w:val="22"/>
          <w:lang w:val="lt-LT"/>
        </w:rPr>
      </w:pPr>
      <w:r>
        <w:rPr>
          <w:i/>
          <w:iCs/>
          <w:sz w:val="22"/>
          <w:szCs w:val="22"/>
          <w:lang w:val="lt-LT"/>
        </w:rPr>
        <w:t>In vitro tyrimai</w:t>
      </w:r>
    </w:p>
    <w:p>
      <w:pPr>
        <w:pStyle w:val="C-BodyText"/>
        <w:keepNext/>
        <w:spacing w:before="0" w:after="0"/>
        <w:rPr>
          <w:sz w:val="22"/>
          <w:lang w:val="lt-LT"/>
        </w:rPr>
      </w:pPr>
      <w:r>
        <w:rPr>
          <w:i/>
          <w:iCs/>
          <w:sz w:val="22"/>
          <w:szCs w:val="22"/>
          <w:lang w:val="lt-LT"/>
        </w:rPr>
        <w:t>In vitro</w:t>
      </w:r>
      <w:r>
        <w:rPr>
          <w:sz w:val="22"/>
          <w:szCs w:val="22"/>
          <w:lang w:val="lt-LT"/>
        </w:rPr>
        <w:t xml:space="preserve"> tyrimai rodo, kad sepiapterinas ir BH</w:t>
      </w:r>
      <w:r>
        <w:rPr>
          <w:sz w:val="22"/>
          <w:szCs w:val="22"/>
          <w:vertAlign w:val="subscript"/>
          <w:lang w:val="lt-LT"/>
        </w:rPr>
        <w:t>4</w:t>
      </w:r>
      <w:r>
        <w:rPr>
          <w:sz w:val="22"/>
          <w:szCs w:val="22"/>
          <w:lang w:val="lt-LT"/>
        </w:rPr>
        <w:t xml:space="preserve"> greičiausiai nėra CYP450 tarpininkaujamo metabolizmo provokuojančios medžiagos. </w:t>
      </w:r>
    </w:p>
    <w:p>
      <w:pPr>
        <w:pStyle w:val="C-BodyText"/>
        <w:spacing w:before="0" w:after="0"/>
        <w:rPr>
          <w:sz w:val="22"/>
          <w:lang w:val="lt-LT"/>
        </w:rPr>
      </w:pPr>
      <w:r>
        <w:rPr>
          <w:i/>
          <w:iCs/>
          <w:sz w:val="22"/>
          <w:szCs w:val="22"/>
          <w:lang w:val="lt-LT"/>
        </w:rPr>
        <w:t>In vitro</w:t>
      </w:r>
      <w:r>
        <w:rPr>
          <w:sz w:val="22"/>
          <w:szCs w:val="22"/>
          <w:lang w:val="lt-LT"/>
        </w:rPr>
        <w:t xml:space="preserve"> sepiapterinas neslopino CYP1A2, CYP2B6, CYP2C8, CYP2C9, CYP2C19, CYP2D6 arba CYP3A4 ir neskatino CYP1A2, CYP2B6 arba CYP3A4.</w:t>
      </w:r>
    </w:p>
    <w:p>
      <w:pPr>
        <w:pStyle w:val="C-BodyText"/>
        <w:spacing w:before="0" w:after="0"/>
        <w:rPr>
          <w:sz w:val="22"/>
          <w:lang w:val="lt-LT"/>
        </w:rPr>
      </w:pPr>
    </w:p>
    <w:p>
      <w:pPr>
        <w:pStyle w:val="C-BodyText"/>
        <w:spacing w:before="0" w:after="0"/>
        <w:rPr>
          <w:i/>
          <w:iCs/>
          <w:sz w:val="22"/>
          <w:szCs w:val="22"/>
          <w:lang w:val="lt-LT"/>
        </w:rPr>
      </w:pPr>
      <w:r>
        <w:rPr>
          <w:i/>
          <w:iCs/>
          <w:sz w:val="22"/>
          <w:szCs w:val="22"/>
          <w:lang w:val="lt-LT"/>
        </w:rPr>
        <w:t>In vivo tyrimai</w:t>
      </w:r>
    </w:p>
    <w:p>
      <w:pPr>
        <w:pStyle w:val="C-BodyText"/>
        <w:spacing w:before="0" w:after="0"/>
        <w:rPr>
          <w:sz w:val="22"/>
          <w:szCs w:val="22"/>
          <w:lang w:val="lt-LT"/>
        </w:rPr>
      </w:pPr>
      <w:r>
        <w:rPr>
          <w:sz w:val="22"/>
          <w:szCs w:val="22"/>
          <w:lang w:val="lt-LT"/>
        </w:rPr>
        <w:t>Sveikiems tiriamiesiems sepiapterino (20 mg/kg) vartojimas kartu su vienkartine krūties vėžio atsparumo baltymo (BCRP) inhibitoriaus kurkumino (2 g) doze šiek tiek padidino BH4 poveikį. Bendras apskaičiuotasis BH4 C</w:t>
      </w:r>
      <w:r>
        <w:rPr>
          <w:sz w:val="22"/>
          <w:szCs w:val="22"/>
          <w:vertAlign w:val="subscript"/>
          <w:lang w:val="lt-LT"/>
        </w:rPr>
        <w:t>max</w:t>
      </w:r>
      <w:r>
        <w:rPr>
          <w:sz w:val="22"/>
          <w:szCs w:val="22"/>
          <w:lang w:val="lt-LT"/>
        </w:rPr>
        <w:t xml:space="preserve"> ir ploto po koncentracijos ir laiko kreive nuo nulinio iki paskutinio kiekybiškai įvertinamo matavimo laiko (AUC</w:t>
      </w:r>
      <w:r>
        <w:rPr>
          <w:sz w:val="22"/>
          <w:szCs w:val="22"/>
          <w:vertAlign w:val="subscript"/>
          <w:lang w:val="lt-LT"/>
        </w:rPr>
        <w:t>0-pask.</w:t>
      </w:r>
      <w:r>
        <w:rPr>
          <w:sz w:val="22"/>
          <w:szCs w:val="22"/>
          <w:lang w:val="lt-LT"/>
        </w:rPr>
        <w:t>), kai sepiapterinas buvo vartojamas kartu su kurkuminu, palyginti su vien tik sepiapterinu, geometrinių vidurkių santykis (GVS) (90 % PI) buvo atitinkamai 1,24 (1,15–1,33) ir 1,20 (1,13–1,28). Šis nedidelis padidėjimas nelaikomas kliniškai reikšmingu.</w:t>
      </w:r>
    </w:p>
    <w:p>
      <w:pPr>
        <w:pStyle w:val="C-BodyText"/>
        <w:spacing w:before="0" w:after="0"/>
        <w:rPr>
          <w:sz w:val="22"/>
          <w:szCs w:val="22"/>
          <w:lang w:val="lt-LT"/>
        </w:rPr>
      </w:pPr>
    </w:p>
    <w:p>
      <w:pPr>
        <w:pStyle w:val="C-BodyText"/>
        <w:spacing w:before="0" w:after="0"/>
        <w:rPr>
          <w:sz w:val="22"/>
          <w:lang w:val="lt-LT"/>
        </w:rPr>
      </w:pPr>
      <w:r>
        <w:rPr>
          <w:sz w:val="22"/>
          <w:szCs w:val="22"/>
          <w:lang w:val="lt-LT"/>
        </w:rPr>
        <w:t>Vienkartinės didžiausios terapinės 60 mg/kg sepiapterino dozės ir BCRP substrato rozuvastatino (10 mg) vartojimas kartu neturėjo įtakos rozuvastatino FK. Bendras apskaičiuotasis rozuvastatino C</w:t>
      </w:r>
      <w:r>
        <w:rPr>
          <w:sz w:val="22"/>
          <w:szCs w:val="22"/>
          <w:vertAlign w:val="subscript"/>
          <w:lang w:val="lt-LT"/>
        </w:rPr>
        <w:t>max</w:t>
      </w:r>
      <w:r>
        <w:rPr>
          <w:sz w:val="22"/>
          <w:szCs w:val="22"/>
          <w:lang w:val="lt-LT"/>
        </w:rPr>
        <w:t xml:space="preserve"> ir AUC</w:t>
      </w:r>
      <w:r>
        <w:rPr>
          <w:sz w:val="22"/>
          <w:szCs w:val="22"/>
          <w:vertAlign w:val="subscript"/>
          <w:lang w:val="lt-LT"/>
        </w:rPr>
        <w:t>0-pask.</w:t>
      </w:r>
      <w:r>
        <w:rPr>
          <w:sz w:val="22"/>
          <w:szCs w:val="22"/>
          <w:lang w:val="lt-LT"/>
        </w:rPr>
        <w:t xml:space="preserve"> GVS (90 % PI), kai rozuvastatinas buvo skiriamas kartu su sepiapterinu, palyginti su vien rozuvastatinu, buvo atitinkamai 1,13 (1,00–1,28) ir 1,02 (0,93–1,13).</w:t>
      </w:r>
    </w:p>
    <w:p>
      <w:pPr>
        <w:pStyle w:val="C-BodyText"/>
        <w:spacing w:before="0" w:after="0"/>
        <w:rPr>
          <w:sz w:val="22"/>
          <w:lang w:val="lt-LT"/>
        </w:rPr>
      </w:pPr>
    </w:p>
    <w:p>
      <w:pPr>
        <w:keepNext/>
        <w:keepLines/>
        <w:spacing w:line="240" w:lineRule="auto"/>
        <w:ind w:left="567" w:hanging="567"/>
        <w:rPr>
          <w:b/>
          <w:szCs w:val="22"/>
          <w:lang w:val="lt-LT"/>
        </w:rPr>
      </w:pPr>
      <w:r>
        <w:rPr>
          <w:b/>
          <w:bCs/>
          <w:szCs w:val="22"/>
          <w:lang w:val="lt-LT"/>
        </w:rPr>
        <w:t>5.3</w:t>
      </w:r>
      <w:r>
        <w:rPr>
          <w:b/>
          <w:bCs/>
          <w:szCs w:val="22"/>
          <w:lang w:val="lt-LT"/>
        </w:rPr>
        <w:tab/>
        <w:t>Ikiklinikinių saugumo tyrimų duomenys</w:t>
      </w:r>
      <w:r>
        <w:rPr>
          <w:b/>
          <w:szCs w:val="22"/>
          <w:highlight w:val="yellow"/>
          <w:lang w:val="lt-LT"/>
        </w:rPr>
        <w:fldChar w:fldCharType="begin"/>
      </w:r>
      <w:r>
        <w:rPr>
          <w:b/>
          <w:szCs w:val="22"/>
          <w:highlight w:val="yellow"/>
          <w:lang w:val="lt-LT"/>
        </w:rPr>
        <w:instrText xml:space="preserve"> DOCVARIABLE vault_nd_cc9e8405-22b0-45c2-97a4-d6e7c09bb6c3 </w:instrText>
      </w:r>
      <w:r>
        <w:rPr>
          <w:b/>
          <w:szCs w:val="22"/>
          <w:highlight w:val="yellow"/>
          <w:lang w:val="lt-LT"/>
        </w:rPr>
        <w:fldChar w:fldCharType="separate"/>
      </w:r>
      <w:r>
        <w:rPr>
          <w:b/>
          <w:szCs w:val="22"/>
          <w:highlight w:val="yellow"/>
          <w:lang w:val="lt-LT"/>
        </w:rPr>
        <w:t xml:space="preserve"> </w:t>
      </w:r>
      <w:r>
        <w:rPr>
          <w:b/>
          <w:szCs w:val="22"/>
          <w:highlight w:val="yellow"/>
          <w:lang w:val="lt-LT"/>
        </w:rPr>
        <w:fldChar w:fldCharType="end"/>
      </w:r>
    </w:p>
    <w:p>
      <w:pPr>
        <w:keepNext/>
        <w:keepLines/>
        <w:spacing w:line="240" w:lineRule="auto"/>
        <w:ind w:left="567" w:hanging="567"/>
        <w:rPr>
          <w:szCs w:val="22"/>
          <w:lang w:val="lt-LT"/>
        </w:rPr>
      </w:pPr>
    </w:p>
    <w:p>
      <w:pPr>
        <w:spacing w:line="240" w:lineRule="auto"/>
        <w:rPr>
          <w:lang w:val="lt-LT"/>
        </w:rPr>
      </w:pPr>
      <w:r>
        <w:rPr>
          <w:szCs w:val="22"/>
          <w:lang w:val="lt-LT"/>
        </w:rPr>
        <w:t>Įprastų farmakologinio saugumo, genotoksiškumo, galimo kancerogeniškumo ir toksinio poveikio reprodukcijai ir vystymuisi ikiklinikinių tyrimų duomenys specifinio pavojaus žmogui nerodo.</w:t>
      </w:r>
    </w:p>
    <w:p>
      <w:pPr>
        <w:spacing w:line="240" w:lineRule="auto"/>
        <w:rPr>
          <w:lang w:val="lt-LT"/>
        </w:rPr>
      </w:pPr>
    </w:p>
    <w:p>
      <w:pPr>
        <w:spacing w:line="240" w:lineRule="auto"/>
        <w:rPr>
          <w:lang w:val="lt-LT"/>
        </w:rPr>
      </w:pPr>
      <w:r>
        <w:rPr>
          <w:szCs w:val="22"/>
          <w:lang w:val="lt-LT"/>
        </w:rPr>
        <w:t>Žiurkėms po pakartotinio sušėrimo pastebėta su sepiapterinu susijusi inkstų kanalėlių degeneracija ir (arba) regeneracija, intersticinis uždegimas ir fibrozė dėl kristalų nusėdimo papiliniuose surenkamuosiuose kanalėliuose. Šie rezultatai buvo iš dalies grįžtami po 4 savaičių atsigavimo laikotarpio, o toksinio poveikio inkstams nepasireiškė, kai BH</w:t>
      </w:r>
      <w:r>
        <w:rPr>
          <w:szCs w:val="22"/>
          <w:vertAlign w:val="subscript"/>
          <w:lang w:val="lt-LT"/>
        </w:rPr>
        <w:t>4</w:t>
      </w:r>
      <w:r>
        <w:rPr>
          <w:szCs w:val="22"/>
          <w:lang w:val="lt-LT"/>
        </w:rPr>
        <w:t xml:space="preserve"> ekspozicija buvo 2 kartus didesnė už klinikinę BH</w:t>
      </w:r>
      <w:r>
        <w:rPr>
          <w:szCs w:val="22"/>
          <w:vertAlign w:val="subscript"/>
          <w:lang w:val="lt-LT"/>
        </w:rPr>
        <w:t>4</w:t>
      </w:r>
      <w:r>
        <w:rPr>
          <w:szCs w:val="22"/>
          <w:lang w:val="lt-LT"/>
        </w:rPr>
        <w:t xml:space="preserve"> ekspoziciją, skiriant didžiausią rekomenduojamą dozę žmogui (MRHD).</w:t>
      </w:r>
    </w:p>
    <w:p>
      <w:pPr>
        <w:spacing w:line="240" w:lineRule="auto"/>
        <w:rPr>
          <w:lang w:val="lt-LT"/>
        </w:rPr>
      </w:pPr>
    </w:p>
    <w:p>
      <w:pPr>
        <w:spacing w:line="240" w:lineRule="auto"/>
        <w:rPr>
          <w:lang w:val="lt-LT"/>
        </w:rPr>
      </w:pPr>
    </w:p>
    <w:p>
      <w:pPr>
        <w:keepNext/>
        <w:spacing w:line="240" w:lineRule="auto"/>
        <w:ind w:left="562" w:hanging="562"/>
        <w:rPr>
          <w:b/>
          <w:szCs w:val="22"/>
          <w:highlight w:val="yellow"/>
          <w:lang w:val="lt-LT"/>
        </w:rPr>
      </w:pPr>
      <w:r>
        <w:rPr>
          <w:b/>
          <w:bCs/>
          <w:szCs w:val="22"/>
          <w:lang w:val="lt-LT"/>
        </w:rPr>
        <w:t>6.</w:t>
      </w:r>
      <w:r>
        <w:rPr>
          <w:b/>
          <w:bCs/>
          <w:szCs w:val="22"/>
          <w:lang w:val="lt-LT"/>
        </w:rPr>
        <w:tab/>
        <w:t>FARMACINĖ INFORMACIJA</w:t>
      </w:r>
    </w:p>
    <w:p>
      <w:pPr>
        <w:keepNext/>
        <w:spacing w:line="240" w:lineRule="auto"/>
        <w:ind w:left="562" w:hanging="562"/>
        <w:rPr>
          <w:b/>
          <w:szCs w:val="22"/>
          <w:highlight w:val="yellow"/>
          <w:lang w:val="lt-LT"/>
        </w:rPr>
      </w:pPr>
    </w:p>
    <w:p>
      <w:pPr>
        <w:spacing w:line="240" w:lineRule="auto"/>
        <w:ind w:left="567" w:hanging="567"/>
        <w:rPr>
          <w:b/>
          <w:szCs w:val="22"/>
          <w:lang w:val="lt-LT"/>
        </w:rPr>
      </w:pPr>
      <w:r>
        <w:rPr>
          <w:b/>
          <w:bCs/>
          <w:szCs w:val="22"/>
          <w:lang w:val="lt-LT"/>
        </w:rPr>
        <w:t>6.1</w:t>
      </w:r>
      <w:r>
        <w:rPr>
          <w:b/>
          <w:bCs/>
          <w:szCs w:val="22"/>
          <w:lang w:val="lt-LT"/>
        </w:rPr>
        <w:tab/>
        <w:t>Pagalbinių medžiagų sąrašas</w:t>
      </w:r>
      <w:r>
        <w:rPr>
          <w:b/>
          <w:szCs w:val="22"/>
          <w:highlight w:val="yellow"/>
          <w:lang w:val="lt-LT"/>
        </w:rPr>
        <w:fldChar w:fldCharType="begin"/>
      </w:r>
      <w:r>
        <w:rPr>
          <w:b/>
          <w:szCs w:val="22"/>
          <w:highlight w:val="yellow"/>
          <w:lang w:val="lt-LT"/>
        </w:rPr>
        <w:instrText xml:space="preserve"> DOCVARIABLE vault_nd_791e8034-9e1a-4505-a840-7fefa8631993 </w:instrText>
      </w:r>
      <w:r>
        <w:rPr>
          <w:b/>
          <w:szCs w:val="22"/>
          <w:highlight w:val="yellow"/>
          <w:lang w:val="lt-LT"/>
        </w:rPr>
        <w:fldChar w:fldCharType="separate"/>
      </w:r>
      <w:r>
        <w:rPr>
          <w:b/>
          <w:szCs w:val="22"/>
          <w:highlight w:val="yellow"/>
          <w:lang w:val="lt-LT"/>
        </w:rPr>
        <w:t xml:space="preserve"> </w:t>
      </w:r>
      <w:r>
        <w:rPr>
          <w:b/>
          <w:szCs w:val="22"/>
          <w:highlight w:val="yellow"/>
          <w:lang w:val="lt-LT"/>
        </w:rPr>
        <w:fldChar w:fldCharType="end"/>
      </w:r>
    </w:p>
    <w:p>
      <w:pPr>
        <w:spacing w:line="240" w:lineRule="auto"/>
        <w:ind w:left="567" w:hanging="567"/>
        <w:rPr>
          <w:szCs w:val="22"/>
          <w:lang w:val="lt-LT"/>
        </w:rPr>
      </w:pPr>
    </w:p>
    <w:p>
      <w:pPr>
        <w:spacing w:line="240" w:lineRule="auto"/>
        <w:rPr>
          <w:szCs w:val="22"/>
          <w:lang w:val="lt-LT"/>
        </w:rPr>
      </w:pPr>
      <w:r>
        <w:rPr>
          <w:szCs w:val="22"/>
          <w:lang w:val="lt-LT"/>
        </w:rPr>
        <w:t>Mikrokristalinė celiuliozė (E460)</w:t>
      </w:r>
    </w:p>
    <w:p>
      <w:pPr>
        <w:spacing w:line="240" w:lineRule="auto"/>
        <w:rPr>
          <w:szCs w:val="22"/>
          <w:lang w:val="lt-LT"/>
        </w:rPr>
      </w:pPr>
      <w:r>
        <w:rPr>
          <w:szCs w:val="22"/>
          <w:lang w:val="lt-LT"/>
        </w:rPr>
        <w:t>Izomaltas (E953)</w:t>
      </w:r>
    </w:p>
    <w:p>
      <w:pPr>
        <w:spacing w:line="240" w:lineRule="auto"/>
        <w:rPr>
          <w:szCs w:val="22"/>
          <w:lang w:val="lt-LT"/>
        </w:rPr>
      </w:pPr>
      <w:r>
        <w:rPr>
          <w:szCs w:val="22"/>
          <w:lang w:val="lt-LT"/>
        </w:rPr>
        <w:t>Manitolis (E421)</w:t>
      </w:r>
    </w:p>
    <w:p>
      <w:pPr>
        <w:spacing w:line="240" w:lineRule="auto"/>
        <w:rPr>
          <w:szCs w:val="22"/>
          <w:lang w:val="lt-LT"/>
        </w:rPr>
      </w:pPr>
      <w:r>
        <w:rPr>
          <w:szCs w:val="22"/>
          <w:lang w:val="lt-LT"/>
        </w:rPr>
        <w:t>Kroskarmeliozės natrio druska (E468)</w:t>
      </w:r>
    </w:p>
    <w:p>
      <w:pPr>
        <w:spacing w:line="240" w:lineRule="auto"/>
        <w:rPr>
          <w:szCs w:val="22"/>
          <w:lang w:val="lt-LT"/>
        </w:rPr>
      </w:pPr>
      <w:r>
        <w:rPr>
          <w:szCs w:val="22"/>
          <w:lang w:val="lt-LT"/>
        </w:rPr>
        <w:t>Ksantano lipai (E415)</w:t>
      </w:r>
    </w:p>
    <w:p>
      <w:pPr>
        <w:spacing w:line="240" w:lineRule="auto"/>
        <w:rPr>
          <w:szCs w:val="22"/>
          <w:lang w:val="lt-LT"/>
        </w:rPr>
      </w:pPr>
      <w:r>
        <w:rPr>
          <w:szCs w:val="22"/>
          <w:lang w:val="lt-LT"/>
        </w:rPr>
        <w:t>Koloidinis bevandenis silicio dioksidas arba koloidinis silicio dioksidas (E551)</w:t>
      </w:r>
    </w:p>
    <w:p>
      <w:pPr>
        <w:spacing w:line="240" w:lineRule="auto"/>
        <w:rPr>
          <w:szCs w:val="22"/>
          <w:lang w:val="lt-LT"/>
        </w:rPr>
      </w:pPr>
      <w:r>
        <w:rPr>
          <w:szCs w:val="22"/>
          <w:lang w:val="lt-LT"/>
        </w:rPr>
        <w:t>Sukralozė (E955)</w:t>
      </w:r>
    </w:p>
    <w:p>
      <w:pPr>
        <w:spacing w:line="240" w:lineRule="auto"/>
        <w:rPr>
          <w:szCs w:val="22"/>
          <w:lang w:val="lt-LT"/>
        </w:rPr>
      </w:pPr>
      <w:r>
        <w:rPr>
          <w:szCs w:val="22"/>
          <w:lang w:val="lt-LT"/>
        </w:rPr>
        <w:t>Magnio stearatas (E470)</w:t>
      </w:r>
    </w:p>
    <w:p>
      <w:pPr>
        <w:spacing w:line="240" w:lineRule="auto"/>
        <w:rPr>
          <w:szCs w:val="22"/>
          <w:lang w:val="lt-LT"/>
        </w:rPr>
      </w:pPr>
    </w:p>
    <w:p>
      <w:pPr>
        <w:spacing w:line="240" w:lineRule="auto"/>
        <w:ind w:left="567" w:hanging="567"/>
        <w:rPr>
          <w:b/>
          <w:szCs w:val="22"/>
          <w:lang w:val="lt-LT"/>
        </w:rPr>
      </w:pPr>
      <w:r>
        <w:rPr>
          <w:b/>
          <w:bCs/>
          <w:szCs w:val="22"/>
          <w:lang w:val="lt-LT"/>
        </w:rPr>
        <w:t>6.2</w:t>
      </w:r>
      <w:r>
        <w:rPr>
          <w:b/>
          <w:bCs/>
          <w:szCs w:val="22"/>
          <w:lang w:val="lt-LT"/>
        </w:rPr>
        <w:tab/>
        <w:t>Nesuderinamumas</w:t>
      </w:r>
      <w:r>
        <w:rPr>
          <w:b/>
          <w:szCs w:val="22"/>
          <w:highlight w:val="yellow"/>
          <w:lang w:val="lt-LT"/>
        </w:rPr>
        <w:fldChar w:fldCharType="begin"/>
      </w:r>
      <w:r>
        <w:rPr>
          <w:b/>
          <w:szCs w:val="22"/>
          <w:highlight w:val="yellow"/>
          <w:lang w:val="lt-LT"/>
        </w:rPr>
        <w:instrText xml:space="preserve"> DOCVARIABLE vault_nd_3d0e93fd-744c-41ae-8ddd-622f2cbc3a6c </w:instrText>
      </w:r>
      <w:r>
        <w:rPr>
          <w:b/>
          <w:szCs w:val="22"/>
          <w:highlight w:val="yellow"/>
          <w:lang w:val="lt-LT"/>
        </w:rPr>
        <w:fldChar w:fldCharType="separate"/>
      </w:r>
      <w:r>
        <w:rPr>
          <w:b/>
          <w:szCs w:val="22"/>
          <w:highlight w:val="yellow"/>
          <w:lang w:val="lt-LT"/>
        </w:rPr>
        <w:t xml:space="preserve"> </w:t>
      </w:r>
      <w:r>
        <w:rPr>
          <w:b/>
          <w:szCs w:val="22"/>
          <w:highlight w:val="yellow"/>
          <w:lang w:val="lt-LT"/>
        </w:rPr>
        <w:fldChar w:fldCharType="end"/>
      </w:r>
    </w:p>
    <w:p>
      <w:pPr>
        <w:spacing w:line="240" w:lineRule="auto"/>
        <w:ind w:left="567" w:hanging="567"/>
        <w:rPr>
          <w:szCs w:val="22"/>
          <w:lang w:val="lt-LT"/>
        </w:rPr>
      </w:pPr>
    </w:p>
    <w:p>
      <w:pPr>
        <w:spacing w:line="240" w:lineRule="auto"/>
        <w:rPr>
          <w:szCs w:val="22"/>
          <w:lang w:val="lt-LT"/>
        </w:rPr>
      </w:pPr>
      <w:r>
        <w:rPr>
          <w:szCs w:val="22"/>
          <w:lang w:val="lt-LT"/>
        </w:rPr>
        <w:t>Duomenys nebūtini.</w:t>
      </w:r>
    </w:p>
    <w:p>
      <w:pPr>
        <w:spacing w:line="240" w:lineRule="auto"/>
        <w:rPr>
          <w:szCs w:val="22"/>
          <w:lang w:val="lt-LT"/>
        </w:rPr>
      </w:pPr>
    </w:p>
    <w:p>
      <w:pPr>
        <w:keepNext/>
        <w:spacing w:line="240" w:lineRule="auto"/>
        <w:ind w:left="562" w:hanging="562"/>
        <w:rPr>
          <w:b/>
          <w:szCs w:val="22"/>
          <w:lang w:val="lt-LT"/>
        </w:rPr>
      </w:pPr>
      <w:r>
        <w:rPr>
          <w:b/>
          <w:bCs/>
          <w:szCs w:val="22"/>
          <w:lang w:val="lt-LT"/>
        </w:rPr>
        <w:t>6.3</w:t>
      </w:r>
      <w:r>
        <w:rPr>
          <w:b/>
          <w:bCs/>
          <w:szCs w:val="22"/>
          <w:lang w:val="lt-LT"/>
        </w:rPr>
        <w:tab/>
        <w:t>Tinkamumo laikas</w:t>
      </w:r>
      <w:r>
        <w:rPr>
          <w:b/>
          <w:szCs w:val="22"/>
          <w:highlight w:val="yellow"/>
          <w:lang w:val="lt-LT"/>
        </w:rPr>
        <w:fldChar w:fldCharType="begin"/>
      </w:r>
      <w:r>
        <w:rPr>
          <w:b/>
          <w:szCs w:val="22"/>
          <w:highlight w:val="yellow"/>
          <w:lang w:val="lt-LT"/>
        </w:rPr>
        <w:instrText xml:space="preserve"> DOCVARIABLE vault_nd_d210b476-2868-44d3-b69e-1bc83f610cfb </w:instrText>
      </w:r>
      <w:r>
        <w:rPr>
          <w:b/>
          <w:szCs w:val="22"/>
          <w:highlight w:val="yellow"/>
          <w:lang w:val="lt-LT"/>
        </w:rPr>
        <w:fldChar w:fldCharType="separate"/>
      </w:r>
      <w:r>
        <w:rPr>
          <w:b/>
          <w:szCs w:val="22"/>
          <w:highlight w:val="yellow"/>
          <w:lang w:val="lt-LT"/>
        </w:rPr>
        <w:t xml:space="preserve"> </w:t>
      </w:r>
      <w:r>
        <w:rPr>
          <w:b/>
          <w:szCs w:val="22"/>
          <w:highlight w:val="yellow"/>
          <w:lang w:val="lt-LT"/>
        </w:rPr>
        <w:fldChar w:fldCharType="end"/>
      </w:r>
    </w:p>
    <w:p>
      <w:pPr>
        <w:keepNext/>
        <w:spacing w:line="240" w:lineRule="auto"/>
        <w:ind w:left="562" w:hanging="562"/>
        <w:rPr>
          <w:szCs w:val="22"/>
          <w:lang w:val="lt-LT"/>
        </w:rPr>
      </w:pPr>
    </w:p>
    <w:p>
      <w:pPr>
        <w:spacing w:line="240" w:lineRule="auto"/>
        <w:rPr>
          <w:szCs w:val="22"/>
          <w:lang w:val="lt-LT"/>
        </w:rPr>
      </w:pPr>
      <w:r>
        <w:rPr>
          <w:szCs w:val="22"/>
          <w:lang w:val="lt-LT"/>
        </w:rPr>
        <w:t>3 metai.</w:t>
      </w:r>
    </w:p>
    <w:p>
      <w:pPr>
        <w:spacing w:line="240" w:lineRule="auto"/>
        <w:rPr>
          <w:szCs w:val="22"/>
          <w:lang w:val="lt-LT"/>
        </w:rPr>
      </w:pPr>
    </w:p>
    <w:p>
      <w:pPr>
        <w:spacing w:line="240" w:lineRule="auto"/>
        <w:rPr>
          <w:szCs w:val="22"/>
          <w:u w:val="single"/>
          <w:lang w:val="lt-LT"/>
        </w:rPr>
      </w:pPr>
      <w:r>
        <w:rPr>
          <w:szCs w:val="22"/>
          <w:u w:val="single"/>
          <w:lang w:val="lt-LT"/>
        </w:rPr>
        <w:t>Po paruošimo</w:t>
      </w:r>
    </w:p>
    <w:p>
      <w:pPr>
        <w:spacing w:line="240" w:lineRule="auto"/>
        <w:rPr>
          <w:szCs w:val="22"/>
          <w:lang w:val="lt-LT"/>
        </w:rPr>
      </w:pPr>
    </w:p>
    <w:p>
      <w:pPr>
        <w:spacing w:line="240" w:lineRule="auto"/>
        <w:rPr>
          <w:szCs w:val="22"/>
          <w:lang w:val="lt-LT"/>
        </w:rPr>
      </w:pPr>
      <w:r>
        <w:rPr>
          <w:szCs w:val="22"/>
          <w:lang w:val="lt-LT"/>
        </w:rPr>
        <w:t>Kiekvieną dozę suvartoti iškart po paruošimo. Paruoštą dozę išmesti, jei ji nesuvartojama per 24 valandas, jei ji laikoma šaldytuve (2 °C–8 °C), arba per 6 valandas, jei ji laikoma žemesnėje kaip 25 °C temperatūroje.</w:t>
      </w:r>
    </w:p>
    <w:p>
      <w:pPr>
        <w:spacing w:line="240" w:lineRule="auto"/>
        <w:rPr>
          <w:szCs w:val="22"/>
          <w:lang w:val="lt-LT"/>
        </w:rPr>
      </w:pPr>
    </w:p>
    <w:p>
      <w:pPr>
        <w:spacing w:line="240" w:lineRule="auto"/>
        <w:ind w:left="567" w:hanging="567"/>
        <w:rPr>
          <w:b/>
          <w:szCs w:val="22"/>
          <w:lang w:val="lt-LT"/>
        </w:rPr>
      </w:pPr>
      <w:r>
        <w:rPr>
          <w:b/>
          <w:bCs/>
          <w:szCs w:val="22"/>
          <w:lang w:val="lt-LT"/>
        </w:rPr>
        <w:t>6.4</w:t>
      </w:r>
      <w:r>
        <w:rPr>
          <w:b/>
          <w:bCs/>
          <w:szCs w:val="22"/>
          <w:lang w:val="lt-LT"/>
        </w:rPr>
        <w:tab/>
        <w:t>Specialios laikymo sąlygos</w:t>
      </w:r>
      <w:r>
        <w:rPr>
          <w:b/>
          <w:szCs w:val="22"/>
          <w:lang w:val="lt-LT"/>
        </w:rPr>
        <w:fldChar w:fldCharType="begin"/>
      </w:r>
      <w:r>
        <w:rPr>
          <w:b/>
          <w:szCs w:val="22"/>
          <w:lang w:val="lt-LT"/>
        </w:rPr>
        <w:instrText xml:space="preserve"> DOCVARIABLE vault_nd_7d25a52f-e8c8-492e-b721-86c25301deff </w:instrText>
      </w:r>
      <w:r>
        <w:rPr>
          <w:b/>
          <w:szCs w:val="22"/>
          <w:lang w:val="lt-LT"/>
        </w:rPr>
        <w:fldChar w:fldCharType="separate"/>
      </w:r>
      <w:r>
        <w:rPr>
          <w:b/>
          <w:szCs w:val="22"/>
          <w:lang w:val="lt-LT"/>
        </w:rPr>
        <w:t xml:space="preserve"> </w:t>
      </w:r>
      <w:r>
        <w:rPr>
          <w:b/>
          <w:szCs w:val="22"/>
          <w:lang w:val="lt-LT"/>
        </w:rPr>
        <w:fldChar w:fldCharType="end"/>
      </w:r>
    </w:p>
    <w:p>
      <w:pPr>
        <w:spacing w:line="240" w:lineRule="auto"/>
        <w:ind w:left="567" w:hanging="567"/>
        <w:rPr>
          <w:b/>
          <w:szCs w:val="22"/>
          <w:lang w:val="lt-LT"/>
        </w:rPr>
      </w:pPr>
    </w:p>
    <w:p>
      <w:pPr>
        <w:spacing w:line="240" w:lineRule="auto"/>
        <w:rPr>
          <w:lang w:val="lt-LT"/>
        </w:rPr>
      </w:pPr>
      <w:r>
        <w:rPr>
          <w:lang w:val="lt-LT"/>
        </w:rPr>
        <w:t>Šio vaistinio preparato laikymui specialių temperatūros sąlygų nereikalaujama</w:t>
      </w:r>
      <w:r>
        <w:rPr>
          <w:szCs w:val="22"/>
          <w:lang w:val="lt-LT"/>
        </w:rPr>
        <w:t xml:space="preserve">. </w:t>
      </w:r>
    </w:p>
    <w:p>
      <w:pPr>
        <w:spacing w:line="240" w:lineRule="auto"/>
        <w:rPr>
          <w:lang w:val="lt-LT"/>
        </w:rPr>
      </w:pPr>
    </w:p>
    <w:p>
      <w:pPr>
        <w:spacing w:line="240" w:lineRule="auto"/>
        <w:rPr>
          <w:lang w:val="lt-LT"/>
        </w:rPr>
      </w:pPr>
      <w:r>
        <w:rPr>
          <w:szCs w:val="22"/>
          <w:lang w:val="lt-LT"/>
        </w:rPr>
        <w:t>Laikyti gamintojo pakuotėje, kad vaistinis preparatas būtų apsaugotas nuo šviesos.</w:t>
      </w:r>
    </w:p>
    <w:p>
      <w:pPr>
        <w:spacing w:line="240" w:lineRule="auto"/>
        <w:rPr>
          <w:lang w:val="lt-LT"/>
        </w:rPr>
      </w:pPr>
    </w:p>
    <w:p>
      <w:pPr>
        <w:spacing w:line="240" w:lineRule="auto"/>
        <w:rPr>
          <w:szCs w:val="22"/>
          <w:lang w:val="lt-LT"/>
        </w:rPr>
      </w:pPr>
      <w:r>
        <w:rPr>
          <w:szCs w:val="22"/>
          <w:lang w:val="lt-LT"/>
        </w:rPr>
        <w:t>Paruošto vaistinio preparato laikymo sąlygos pateikiamos 6.3 skyriuje.</w:t>
      </w:r>
    </w:p>
    <w:p>
      <w:pPr>
        <w:spacing w:line="240" w:lineRule="auto"/>
        <w:rPr>
          <w:szCs w:val="22"/>
          <w:lang w:val="lt-LT"/>
        </w:rPr>
      </w:pPr>
    </w:p>
    <w:p>
      <w:pPr>
        <w:keepNext/>
        <w:spacing w:line="240" w:lineRule="auto"/>
        <w:ind w:left="562" w:hanging="562"/>
        <w:rPr>
          <w:b/>
          <w:szCs w:val="22"/>
          <w:lang w:val="lt-LT"/>
        </w:rPr>
      </w:pPr>
      <w:r>
        <w:rPr>
          <w:b/>
          <w:bCs/>
          <w:szCs w:val="22"/>
          <w:lang w:val="lt-LT"/>
        </w:rPr>
        <w:t>6.5</w:t>
      </w:r>
      <w:r>
        <w:rPr>
          <w:b/>
          <w:bCs/>
          <w:szCs w:val="22"/>
          <w:lang w:val="lt-LT"/>
        </w:rPr>
        <w:tab/>
        <w:t>Talpyklės pobūdis ir jos turinys</w:t>
      </w:r>
      <w:r>
        <w:rPr>
          <w:b/>
          <w:szCs w:val="22"/>
          <w:lang w:val="lt-LT"/>
        </w:rPr>
        <w:fldChar w:fldCharType="begin"/>
      </w:r>
      <w:r>
        <w:rPr>
          <w:b/>
          <w:szCs w:val="22"/>
          <w:lang w:val="lt-LT"/>
        </w:rPr>
        <w:instrText xml:space="preserve"> DOCVARIABLE vault_nd_794ebd6c-1e2f-4ef9-a9d4-45f0ddc130b5 </w:instrText>
      </w:r>
      <w:r>
        <w:rPr>
          <w:b/>
          <w:szCs w:val="22"/>
          <w:lang w:val="lt-LT"/>
        </w:rPr>
        <w:fldChar w:fldCharType="separate"/>
      </w:r>
      <w:r>
        <w:rPr>
          <w:b/>
          <w:szCs w:val="22"/>
          <w:lang w:val="lt-LT"/>
        </w:rPr>
        <w:t xml:space="preserve"> </w:t>
      </w:r>
      <w:r>
        <w:rPr>
          <w:b/>
          <w:szCs w:val="22"/>
          <w:lang w:val="lt-LT"/>
        </w:rPr>
        <w:fldChar w:fldCharType="end"/>
      </w:r>
    </w:p>
    <w:p>
      <w:pPr>
        <w:keepNext/>
        <w:spacing w:line="240" w:lineRule="auto"/>
        <w:ind w:left="562" w:hanging="562"/>
        <w:rPr>
          <w:b/>
          <w:szCs w:val="22"/>
          <w:lang w:val="lt-LT"/>
        </w:rPr>
      </w:pPr>
    </w:p>
    <w:p>
      <w:pPr>
        <w:spacing w:line="240" w:lineRule="auto"/>
        <w:rPr>
          <w:lang w:val="lt-LT"/>
        </w:rPr>
      </w:pPr>
      <w:r>
        <w:rPr>
          <w:szCs w:val="22"/>
          <w:lang w:val="lt-LT"/>
        </w:rPr>
        <w:t>Užlydytas laminuotos aliuminio folijos paketėlis: Polietileno tereftalatas, baltas ekstruzinis polietilenas (poliesterio ir folijos sujungimas), aliuminio folija (drėgmės barjeras) ir termoizoliuojanti jonomerinė derva (klijai).</w:t>
      </w:r>
    </w:p>
    <w:p>
      <w:pPr>
        <w:spacing w:line="240" w:lineRule="auto"/>
        <w:rPr>
          <w:lang w:val="lt-LT"/>
        </w:rPr>
      </w:pPr>
    </w:p>
    <w:p>
      <w:pPr>
        <w:spacing w:line="240" w:lineRule="auto"/>
        <w:rPr>
          <w:szCs w:val="22"/>
          <w:lang w:val="lt-LT"/>
        </w:rPr>
      </w:pPr>
      <w:r>
        <w:rPr>
          <w:szCs w:val="22"/>
          <w:lang w:val="lt-LT"/>
        </w:rPr>
        <w:t>Kiekvienoje dėžutėje yra 30 vienadozių paketėlių.</w:t>
      </w:r>
    </w:p>
    <w:p>
      <w:pPr>
        <w:spacing w:line="240" w:lineRule="auto"/>
        <w:rPr>
          <w:szCs w:val="22"/>
          <w:lang w:val="lt-LT"/>
        </w:rPr>
      </w:pPr>
    </w:p>
    <w:p>
      <w:pPr>
        <w:keepNext/>
        <w:keepLines/>
        <w:spacing w:line="240" w:lineRule="auto"/>
        <w:ind w:left="567" w:hanging="567"/>
        <w:rPr>
          <w:b/>
          <w:szCs w:val="22"/>
          <w:lang w:val="lt-LT"/>
        </w:rPr>
      </w:pPr>
      <w:bookmarkStart w:id="4" w:name="OLE_LINK1"/>
      <w:r>
        <w:rPr>
          <w:b/>
          <w:bCs/>
          <w:szCs w:val="22"/>
          <w:lang w:val="lt-LT"/>
        </w:rPr>
        <w:t>6.6</w:t>
      </w:r>
      <w:r>
        <w:rPr>
          <w:b/>
          <w:bCs/>
          <w:szCs w:val="22"/>
          <w:lang w:val="lt-LT"/>
        </w:rPr>
        <w:tab/>
        <w:t>Specialūs reikalavimai atliekoms tvarkyti ir vaistiniam preparatui ruošti</w:t>
      </w:r>
      <w:r>
        <w:rPr>
          <w:b/>
          <w:szCs w:val="22"/>
          <w:highlight w:val="yellow"/>
          <w:lang w:val="lt-LT"/>
        </w:rPr>
        <w:fldChar w:fldCharType="begin"/>
      </w:r>
      <w:r>
        <w:rPr>
          <w:b/>
          <w:szCs w:val="22"/>
          <w:highlight w:val="yellow"/>
          <w:lang w:val="lt-LT"/>
        </w:rPr>
        <w:instrText xml:space="preserve"> DOCVARIABLE vault_nd_18fc5cdf-1142-4eed-b885-9e47bf639b2c </w:instrText>
      </w:r>
      <w:r>
        <w:rPr>
          <w:b/>
          <w:szCs w:val="22"/>
          <w:highlight w:val="yellow"/>
          <w:lang w:val="lt-LT"/>
        </w:rPr>
        <w:fldChar w:fldCharType="separate"/>
      </w:r>
      <w:r>
        <w:rPr>
          <w:b/>
          <w:szCs w:val="22"/>
          <w:highlight w:val="yellow"/>
          <w:lang w:val="lt-LT"/>
        </w:rPr>
        <w:t xml:space="preserve"> </w:t>
      </w:r>
      <w:r>
        <w:rPr>
          <w:b/>
          <w:szCs w:val="22"/>
          <w:highlight w:val="yellow"/>
          <w:lang w:val="lt-LT"/>
        </w:rPr>
        <w:fldChar w:fldCharType="end"/>
      </w:r>
    </w:p>
    <w:p>
      <w:pPr>
        <w:keepNext/>
        <w:keepLines/>
        <w:spacing w:line="240" w:lineRule="auto"/>
        <w:ind w:left="567" w:hanging="567"/>
        <w:rPr>
          <w:szCs w:val="22"/>
          <w:lang w:val="lt-LT"/>
        </w:rPr>
      </w:pPr>
    </w:p>
    <w:p>
      <w:pPr>
        <w:keepNext/>
        <w:keepLines/>
        <w:spacing w:line="240" w:lineRule="auto"/>
        <w:rPr>
          <w:lang w:val="lt-LT"/>
        </w:rPr>
      </w:pPr>
      <w:r>
        <w:rPr>
          <w:szCs w:val="22"/>
          <w:lang w:val="lt-LT"/>
        </w:rPr>
        <w:t xml:space="preserve">Specialių reikalavimų atliekoms tvarkyti nėra. </w:t>
      </w:r>
    </w:p>
    <w:p>
      <w:pPr>
        <w:spacing w:line="240" w:lineRule="auto"/>
        <w:rPr>
          <w:szCs w:val="22"/>
          <w:lang w:val="lt-LT"/>
        </w:rPr>
      </w:pPr>
    </w:p>
    <w:p>
      <w:pPr>
        <w:spacing w:line="240" w:lineRule="auto"/>
        <w:rPr>
          <w:lang w:val="lt-LT"/>
        </w:rPr>
      </w:pPr>
      <w:r>
        <w:rPr>
          <w:szCs w:val="22"/>
          <w:lang w:val="lt-LT"/>
        </w:rPr>
        <w:t xml:space="preserve">Nesuvartotą vaistinį preparatą ar atliekas reikia tvarkyti laikantis vietinių reikalavimų. </w:t>
      </w:r>
    </w:p>
    <w:p>
      <w:pPr>
        <w:spacing w:line="240" w:lineRule="auto"/>
        <w:rPr>
          <w:lang w:val="lt-LT"/>
        </w:rPr>
      </w:pPr>
    </w:p>
    <w:p>
      <w:pPr>
        <w:spacing w:line="240" w:lineRule="auto"/>
        <w:rPr>
          <w:u w:val="single"/>
          <w:lang w:val="lt-LT"/>
        </w:rPr>
      </w:pPr>
      <w:bookmarkStart w:id="5" w:name="_Hlk183502169"/>
      <w:r>
        <w:rPr>
          <w:szCs w:val="22"/>
          <w:u w:val="single"/>
          <w:lang w:val="lt-LT"/>
        </w:rPr>
        <w:t>Vartojimo per enterinio maitinimo vamzdelį nurodymai</w:t>
      </w:r>
    </w:p>
    <w:p>
      <w:pPr>
        <w:spacing w:line="240" w:lineRule="auto"/>
        <w:rPr>
          <w:u w:val="single"/>
          <w:lang w:val="lt-LT"/>
        </w:rPr>
      </w:pPr>
    </w:p>
    <w:p>
      <w:pPr>
        <w:tabs>
          <w:tab w:val="clear" w:pos="567"/>
        </w:tabs>
        <w:spacing w:line="240" w:lineRule="auto"/>
        <w:rPr>
          <w:lang w:val="lt-LT"/>
        </w:rPr>
      </w:pPr>
      <w:r>
        <w:rPr>
          <w:szCs w:val="22"/>
          <w:lang w:val="lt-LT"/>
        </w:rPr>
        <w:t>1) Prieš pradėdami vartoti, įsitikinkite, kad enterinio maitinimo vamzdelyje (6 Fr arba 8 Fr dydžio) nėra kliūčių.</w:t>
      </w:r>
    </w:p>
    <w:p>
      <w:pPr>
        <w:tabs>
          <w:tab w:val="clear" w:pos="567"/>
        </w:tabs>
        <w:spacing w:line="240" w:lineRule="auto"/>
        <w:rPr>
          <w:lang w:val="lt-LT"/>
        </w:rPr>
      </w:pPr>
      <w:r>
        <w:rPr>
          <w:szCs w:val="22"/>
          <w:lang w:val="lt-LT"/>
        </w:rPr>
        <w:t>2) Praplaukite enterinio maitinimo vamzdelį 10 ml vandens.</w:t>
      </w:r>
    </w:p>
    <w:p>
      <w:pPr>
        <w:tabs>
          <w:tab w:val="clear" w:pos="567"/>
        </w:tabs>
        <w:spacing w:line="240" w:lineRule="auto"/>
        <w:rPr>
          <w:lang w:val="lt-LT"/>
        </w:rPr>
      </w:pPr>
      <w:r>
        <w:rPr>
          <w:szCs w:val="22"/>
          <w:lang w:val="lt-LT"/>
        </w:rPr>
        <w:t>3) Reikiamą Sephience geriamųjų miltelių dozę suduokite per 30 minučių nuo sumaišymo (žr. 4.2 skyrių).</w:t>
      </w:r>
    </w:p>
    <w:p>
      <w:pPr>
        <w:tabs>
          <w:tab w:val="clear" w:pos="567"/>
        </w:tabs>
        <w:spacing w:line="240" w:lineRule="auto"/>
        <w:rPr>
          <w:lang w:val="lt-LT"/>
        </w:rPr>
      </w:pPr>
      <w:r>
        <w:rPr>
          <w:szCs w:val="22"/>
          <w:lang w:val="lt-LT"/>
        </w:rPr>
        <w:t>4) Praplaukite enterinio maitinimo vamzdelį mažiausiai 5 ml (6 Fr dydžio) arba 15 ml (8 Fr dydžio) vandens ir suduokite skalavimo tirpalą.</w:t>
      </w:r>
    </w:p>
    <w:p>
      <w:pPr>
        <w:spacing w:line="240" w:lineRule="auto"/>
        <w:rPr>
          <w:lang w:val="lt-LT"/>
        </w:rPr>
      </w:pPr>
    </w:p>
    <w:p>
      <w:pPr>
        <w:spacing w:line="240" w:lineRule="auto"/>
        <w:rPr>
          <w:lang w:val="lt-LT"/>
        </w:rPr>
      </w:pPr>
      <w:r>
        <w:rPr>
          <w:szCs w:val="22"/>
          <w:lang w:val="lt-LT"/>
        </w:rPr>
        <w:t xml:space="preserve">Šis vaistinis preparatas yra suderinamas su silikoniniu ir poliuretaniniu enterinio maitinimo vamzdeliu. </w:t>
      </w:r>
    </w:p>
    <w:p>
      <w:pPr>
        <w:spacing w:line="240" w:lineRule="auto"/>
        <w:rPr>
          <w:lang w:val="lt-LT"/>
        </w:rPr>
      </w:pPr>
    </w:p>
    <w:bookmarkEnd w:id="4"/>
    <w:bookmarkEnd w:id="5"/>
    <w:p>
      <w:pPr>
        <w:spacing w:line="240" w:lineRule="auto"/>
        <w:rPr>
          <w:lang w:val="lt-LT"/>
        </w:rPr>
      </w:pPr>
    </w:p>
    <w:p>
      <w:pPr>
        <w:spacing w:line="240" w:lineRule="auto"/>
        <w:ind w:left="567" w:hanging="567"/>
        <w:rPr>
          <w:szCs w:val="22"/>
          <w:lang w:val="lt-LT"/>
        </w:rPr>
      </w:pPr>
      <w:r>
        <w:rPr>
          <w:b/>
          <w:bCs/>
          <w:szCs w:val="22"/>
          <w:lang w:val="lt-LT"/>
        </w:rPr>
        <w:t>7.</w:t>
      </w:r>
      <w:r>
        <w:rPr>
          <w:b/>
          <w:bCs/>
          <w:szCs w:val="22"/>
          <w:lang w:val="lt-LT"/>
        </w:rPr>
        <w:tab/>
        <w:t>REGISTRUOTOJAS</w:t>
      </w:r>
    </w:p>
    <w:p>
      <w:pPr>
        <w:spacing w:line="240" w:lineRule="auto"/>
        <w:rPr>
          <w:szCs w:val="22"/>
          <w:lang w:val="lt-LT"/>
        </w:rPr>
      </w:pPr>
      <w:bookmarkStart w:id="6" w:name="_Hlk158113643"/>
    </w:p>
    <w:p>
      <w:pPr>
        <w:spacing w:line="240" w:lineRule="auto"/>
        <w:rPr>
          <w:szCs w:val="22"/>
          <w:lang w:val="lt-LT"/>
        </w:rPr>
      </w:pPr>
      <w:r>
        <w:rPr>
          <w:szCs w:val="22"/>
          <w:lang w:val="lt-LT"/>
        </w:rPr>
        <w:t>PTC Therapeutics International Limited</w:t>
      </w:r>
    </w:p>
    <w:p>
      <w:pPr>
        <w:spacing w:line="240" w:lineRule="auto"/>
        <w:rPr>
          <w:szCs w:val="22"/>
          <w:lang w:val="lt-LT"/>
        </w:rPr>
      </w:pPr>
      <w:r>
        <w:rPr>
          <w:szCs w:val="22"/>
          <w:lang w:val="lt-LT"/>
        </w:rPr>
        <w:t>Unit 1, 52-55 Sir John Rogerson’s Quay</w:t>
      </w:r>
    </w:p>
    <w:p>
      <w:pPr>
        <w:spacing w:line="240" w:lineRule="auto"/>
        <w:rPr>
          <w:szCs w:val="22"/>
          <w:lang w:val="lt-LT"/>
        </w:rPr>
      </w:pPr>
      <w:r>
        <w:rPr>
          <w:szCs w:val="22"/>
          <w:lang w:val="lt-LT"/>
        </w:rPr>
        <w:t>Dublin 2, D02 NA07</w:t>
      </w:r>
    </w:p>
    <w:p>
      <w:pPr>
        <w:spacing w:line="240" w:lineRule="auto"/>
        <w:rPr>
          <w:szCs w:val="22"/>
          <w:lang w:val="lt-LT"/>
        </w:rPr>
      </w:pPr>
      <w:r>
        <w:rPr>
          <w:szCs w:val="22"/>
          <w:lang w:val="lt-LT"/>
        </w:rPr>
        <w:t>Airija</w:t>
      </w:r>
    </w:p>
    <w:p>
      <w:pPr>
        <w:spacing w:line="240" w:lineRule="auto"/>
        <w:rPr>
          <w:szCs w:val="22"/>
          <w:lang w:val="lt-LT"/>
        </w:rPr>
      </w:pPr>
    </w:p>
    <w:bookmarkEnd w:id="6"/>
    <w:p>
      <w:pPr>
        <w:spacing w:line="240" w:lineRule="auto"/>
        <w:rPr>
          <w:szCs w:val="22"/>
          <w:lang w:val="lt-LT"/>
        </w:rPr>
      </w:pPr>
    </w:p>
    <w:p>
      <w:pPr>
        <w:spacing w:line="240" w:lineRule="auto"/>
        <w:ind w:left="567" w:hanging="567"/>
        <w:rPr>
          <w:b/>
          <w:szCs w:val="22"/>
          <w:lang w:val="lt-LT"/>
        </w:rPr>
      </w:pPr>
      <w:r>
        <w:rPr>
          <w:b/>
          <w:bCs/>
          <w:szCs w:val="22"/>
          <w:lang w:val="lt-LT"/>
        </w:rPr>
        <w:t>8.</w:t>
      </w:r>
      <w:r>
        <w:rPr>
          <w:b/>
          <w:bCs/>
          <w:szCs w:val="22"/>
          <w:lang w:val="lt-LT"/>
        </w:rPr>
        <w:tab/>
        <w:t xml:space="preserve">REGISTRACIJOS PAŽYMĖJIMO NUMERIS (-IAI) </w:t>
      </w:r>
    </w:p>
    <w:p>
      <w:pPr>
        <w:spacing w:line="240" w:lineRule="auto"/>
        <w:rPr>
          <w:szCs w:val="22"/>
          <w:lang w:val="lt-LT"/>
        </w:rPr>
      </w:pPr>
    </w:p>
    <w:p>
      <w:pPr>
        <w:spacing w:line="240" w:lineRule="auto"/>
        <w:rPr>
          <w:szCs w:val="22"/>
          <w:lang w:val="lt-LT"/>
        </w:rPr>
      </w:pPr>
      <w:r>
        <w:rPr>
          <w:szCs w:val="22"/>
          <w:lang w:val="lt-LT"/>
        </w:rPr>
        <w:t>EU/1/25/1939/001</w:t>
      </w:r>
    </w:p>
    <w:p>
      <w:pPr>
        <w:spacing w:line="240" w:lineRule="auto"/>
        <w:rPr>
          <w:lang w:val="lt-LT"/>
        </w:rPr>
      </w:pPr>
      <w:r>
        <w:rPr>
          <w:lang w:val="lt-LT"/>
        </w:rPr>
        <w:t>EU/1/25/1939/002</w:t>
      </w:r>
    </w:p>
    <w:p>
      <w:pPr>
        <w:spacing w:line="240" w:lineRule="auto"/>
        <w:rPr>
          <w:szCs w:val="22"/>
          <w:lang w:val="lt-LT"/>
        </w:rPr>
      </w:pPr>
    </w:p>
    <w:p>
      <w:pPr>
        <w:spacing w:line="240" w:lineRule="auto"/>
        <w:rPr>
          <w:szCs w:val="22"/>
          <w:lang w:val="lt-LT"/>
        </w:rPr>
      </w:pPr>
    </w:p>
    <w:p>
      <w:pPr>
        <w:spacing w:line="240" w:lineRule="auto"/>
        <w:ind w:left="567" w:hanging="567"/>
        <w:rPr>
          <w:szCs w:val="22"/>
          <w:lang w:val="lt-LT"/>
        </w:rPr>
      </w:pPr>
      <w:r>
        <w:rPr>
          <w:b/>
          <w:bCs/>
          <w:szCs w:val="22"/>
          <w:lang w:val="lt-LT"/>
        </w:rPr>
        <w:t>9.</w:t>
      </w:r>
      <w:r>
        <w:rPr>
          <w:b/>
          <w:bCs/>
          <w:szCs w:val="22"/>
          <w:lang w:val="lt-LT"/>
        </w:rPr>
        <w:tab/>
        <w:t>REGISTRAVIMO / PERREGISTRAVIMO DATA</w:t>
      </w:r>
    </w:p>
    <w:p>
      <w:pPr>
        <w:spacing w:line="240" w:lineRule="auto"/>
        <w:rPr>
          <w:szCs w:val="22"/>
          <w:lang w:val="lt-LT"/>
        </w:rPr>
      </w:pPr>
    </w:p>
    <w:p>
      <w:pPr>
        <w:spacing w:line="240" w:lineRule="auto"/>
        <w:rPr>
          <w:i/>
          <w:szCs w:val="22"/>
          <w:lang w:val="lt-LT"/>
        </w:rPr>
      </w:pPr>
      <w:r>
        <w:rPr>
          <w:szCs w:val="22"/>
          <w:lang w:val="lt-LT"/>
        </w:rPr>
        <w:t>Registravimo data 2025 m. birželio 19 d.</w:t>
      </w:r>
    </w:p>
    <w:p>
      <w:pPr>
        <w:spacing w:line="240" w:lineRule="auto"/>
        <w:rPr>
          <w:szCs w:val="22"/>
          <w:lang w:val="lt-LT"/>
        </w:rPr>
      </w:pPr>
    </w:p>
    <w:p>
      <w:pPr>
        <w:spacing w:line="240" w:lineRule="auto"/>
        <w:rPr>
          <w:szCs w:val="22"/>
          <w:lang w:val="lt-LT"/>
        </w:rPr>
      </w:pPr>
    </w:p>
    <w:p>
      <w:pPr>
        <w:spacing w:line="240" w:lineRule="auto"/>
        <w:ind w:left="567" w:hanging="567"/>
        <w:rPr>
          <w:b/>
          <w:szCs w:val="22"/>
          <w:lang w:val="lt-LT"/>
        </w:rPr>
      </w:pPr>
      <w:r>
        <w:rPr>
          <w:b/>
          <w:bCs/>
          <w:szCs w:val="22"/>
          <w:lang w:val="lt-LT"/>
        </w:rPr>
        <w:t>10.</w:t>
      </w:r>
      <w:r>
        <w:rPr>
          <w:b/>
          <w:bCs/>
          <w:szCs w:val="22"/>
          <w:lang w:val="lt-LT"/>
        </w:rPr>
        <w:tab/>
        <w:t>TEKSTO PERŽIŪROS DATA</w:t>
      </w:r>
    </w:p>
    <w:p>
      <w:pPr>
        <w:spacing w:line="240" w:lineRule="auto"/>
        <w:rPr>
          <w:i/>
          <w:szCs w:val="22"/>
          <w:lang w:val="lt-LT"/>
        </w:rPr>
      </w:pPr>
    </w:p>
    <w:p>
      <w:pPr>
        <w:spacing w:line="240" w:lineRule="auto"/>
        <w:rPr>
          <w:i/>
          <w:szCs w:val="22"/>
          <w:lang w:val="lt-LT"/>
        </w:rPr>
      </w:pPr>
    </w:p>
    <w:p>
      <w:pPr>
        <w:spacing w:line="240" w:lineRule="auto"/>
        <w:ind w:right="-2"/>
        <w:rPr>
          <w:szCs w:val="22"/>
          <w:lang w:val="lt-LT"/>
        </w:rPr>
      </w:pPr>
      <w:r>
        <w:rPr>
          <w:szCs w:val="22"/>
          <w:lang w:val="lt-LT"/>
        </w:rPr>
        <w:t xml:space="preserve">Išsami informacija apie šį vaistinį preparatą pateikiama Europos vaistų agentūros tinklalapyje </w:t>
      </w:r>
      <w:hyperlink r:id="rId13">
        <w:r>
          <w:rPr>
            <w:color w:val="0000FF"/>
            <w:szCs w:val="22"/>
            <w:u w:val="single"/>
            <w:lang w:val="lt-LT"/>
          </w:rPr>
          <w:t>https://www.ema.europa.eu/</w:t>
        </w:r>
      </w:hyperlink>
      <w:r>
        <w:rPr>
          <w:szCs w:val="22"/>
          <w:lang w:val="lt-LT"/>
        </w:rPr>
        <w:t>.</w:t>
      </w:r>
      <w:r>
        <w:br w:type="page"/>
      </w:r>
    </w:p>
    <w:p>
      <w:pPr>
        <w:spacing w:line="240" w:lineRule="auto"/>
        <w:rPr>
          <w:szCs w:val="22"/>
          <w:lang w:val="lt-LT"/>
        </w:rPr>
      </w:pPr>
    </w:p>
    <w:p>
      <w:pPr>
        <w:spacing w:line="240" w:lineRule="auto"/>
        <w:rPr>
          <w:szCs w:val="22"/>
          <w:lang w:val="lt-LT"/>
        </w:rPr>
      </w:pPr>
    </w:p>
    <w:p>
      <w:pPr>
        <w:spacing w:line="240" w:lineRule="auto"/>
        <w:rPr>
          <w:szCs w:val="22"/>
          <w:lang w:val="lt-LT"/>
        </w:rPr>
      </w:pPr>
    </w:p>
    <w:p>
      <w:pPr>
        <w:spacing w:line="240" w:lineRule="auto"/>
        <w:rPr>
          <w:szCs w:val="22"/>
          <w:lang w:val="lt-LT"/>
        </w:rPr>
      </w:pPr>
    </w:p>
    <w:p>
      <w:pPr>
        <w:spacing w:line="240" w:lineRule="auto"/>
        <w:rPr>
          <w:szCs w:val="22"/>
          <w:lang w:val="lt-LT"/>
        </w:rPr>
      </w:pPr>
    </w:p>
    <w:p>
      <w:pPr>
        <w:spacing w:line="240" w:lineRule="auto"/>
        <w:rPr>
          <w:szCs w:val="22"/>
          <w:lang w:val="lt-LT"/>
        </w:rPr>
      </w:pPr>
    </w:p>
    <w:p>
      <w:pPr>
        <w:spacing w:line="240" w:lineRule="auto"/>
        <w:rPr>
          <w:szCs w:val="22"/>
          <w:lang w:val="lt-LT"/>
        </w:rPr>
      </w:pPr>
    </w:p>
    <w:p>
      <w:pPr>
        <w:spacing w:line="240" w:lineRule="auto"/>
        <w:rPr>
          <w:szCs w:val="22"/>
          <w:lang w:val="lt-LT"/>
        </w:rPr>
      </w:pPr>
    </w:p>
    <w:p>
      <w:pPr>
        <w:spacing w:line="240" w:lineRule="auto"/>
        <w:rPr>
          <w:szCs w:val="22"/>
          <w:lang w:val="lt-LT"/>
        </w:rPr>
      </w:pPr>
    </w:p>
    <w:p>
      <w:pPr>
        <w:spacing w:line="240" w:lineRule="auto"/>
        <w:rPr>
          <w:szCs w:val="22"/>
          <w:lang w:val="lt-LT"/>
        </w:rPr>
      </w:pPr>
    </w:p>
    <w:p>
      <w:pPr>
        <w:spacing w:line="240" w:lineRule="auto"/>
        <w:rPr>
          <w:szCs w:val="22"/>
          <w:lang w:val="lt-LT"/>
        </w:rPr>
      </w:pPr>
    </w:p>
    <w:p>
      <w:pPr>
        <w:spacing w:line="240" w:lineRule="auto"/>
        <w:rPr>
          <w:szCs w:val="22"/>
          <w:lang w:val="lt-LT"/>
        </w:rPr>
      </w:pPr>
    </w:p>
    <w:p>
      <w:pPr>
        <w:spacing w:line="240" w:lineRule="auto"/>
        <w:rPr>
          <w:szCs w:val="22"/>
          <w:lang w:val="lt-LT"/>
        </w:rPr>
      </w:pPr>
    </w:p>
    <w:p>
      <w:pPr>
        <w:spacing w:line="240" w:lineRule="auto"/>
        <w:rPr>
          <w:szCs w:val="22"/>
          <w:lang w:val="lt-LT"/>
        </w:rPr>
      </w:pPr>
    </w:p>
    <w:p>
      <w:pPr>
        <w:spacing w:line="240" w:lineRule="auto"/>
        <w:rPr>
          <w:szCs w:val="22"/>
          <w:lang w:val="lt-LT"/>
        </w:rPr>
      </w:pPr>
    </w:p>
    <w:p>
      <w:pPr>
        <w:spacing w:line="240" w:lineRule="auto"/>
        <w:rPr>
          <w:szCs w:val="22"/>
          <w:lang w:val="lt-LT"/>
        </w:rPr>
      </w:pPr>
    </w:p>
    <w:p>
      <w:pPr>
        <w:spacing w:line="240" w:lineRule="auto"/>
        <w:rPr>
          <w:szCs w:val="22"/>
          <w:lang w:val="lt-LT"/>
        </w:rPr>
      </w:pPr>
    </w:p>
    <w:p>
      <w:pPr>
        <w:spacing w:line="240" w:lineRule="auto"/>
        <w:rPr>
          <w:szCs w:val="22"/>
          <w:lang w:val="lt-LT"/>
        </w:rPr>
      </w:pPr>
    </w:p>
    <w:p>
      <w:pPr>
        <w:spacing w:line="240" w:lineRule="auto"/>
        <w:rPr>
          <w:szCs w:val="22"/>
          <w:lang w:val="lt-LT"/>
        </w:rPr>
      </w:pPr>
    </w:p>
    <w:p>
      <w:pPr>
        <w:spacing w:line="240" w:lineRule="auto"/>
        <w:rPr>
          <w:szCs w:val="22"/>
          <w:lang w:val="lt-LT"/>
        </w:rPr>
      </w:pPr>
    </w:p>
    <w:p>
      <w:pPr>
        <w:spacing w:line="240" w:lineRule="auto"/>
        <w:rPr>
          <w:szCs w:val="22"/>
          <w:lang w:val="lt-LT"/>
        </w:rPr>
      </w:pPr>
    </w:p>
    <w:p>
      <w:pPr>
        <w:spacing w:line="240" w:lineRule="auto"/>
        <w:rPr>
          <w:szCs w:val="22"/>
          <w:lang w:val="lt-LT"/>
        </w:rPr>
      </w:pPr>
    </w:p>
    <w:p>
      <w:pPr>
        <w:spacing w:line="240" w:lineRule="auto"/>
        <w:rPr>
          <w:szCs w:val="22"/>
          <w:lang w:val="lt-LT"/>
        </w:rPr>
      </w:pPr>
    </w:p>
    <w:p>
      <w:pPr>
        <w:spacing w:line="240" w:lineRule="auto"/>
        <w:jc w:val="center"/>
        <w:rPr>
          <w:szCs w:val="22"/>
          <w:lang w:val="lt-LT"/>
        </w:rPr>
      </w:pPr>
      <w:r>
        <w:rPr>
          <w:b/>
          <w:bCs/>
          <w:szCs w:val="22"/>
          <w:lang w:val="lt-LT"/>
        </w:rPr>
        <w:t>II PRIEDAS</w:t>
      </w:r>
    </w:p>
    <w:p>
      <w:pPr>
        <w:spacing w:line="240" w:lineRule="auto"/>
        <w:ind w:right="1416"/>
        <w:rPr>
          <w:szCs w:val="22"/>
          <w:highlight w:val="yellow"/>
          <w:lang w:val="lt-LT"/>
        </w:rPr>
      </w:pPr>
    </w:p>
    <w:p>
      <w:pPr>
        <w:pStyle w:val="ListParagraph"/>
        <w:numPr>
          <w:ilvl w:val="0"/>
          <w:numId w:val="9"/>
        </w:numPr>
        <w:spacing w:line="240" w:lineRule="auto"/>
        <w:ind w:left="1556" w:right="1411" w:hanging="850"/>
        <w:rPr>
          <w:b/>
          <w:szCs w:val="22"/>
          <w:lang w:val="lt-LT"/>
        </w:rPr>
      </w:pPr>
      <w:r>
        <w:rPr>
          <w:b/>
          <w:bCs/>
          <w:szCs w:val="22"/>
          <w:lang w:val="lt-LT"/>
        </w:rPr>
        <w:t>GAMINTOJAS, ATSAKINGAS UŽ SERIJŲ IŠLEIDIMĄ</w:t>
      </w:r>
    </w:p>
    <w:p>
      <w:pPr>
        <w:spacing w:line="240" w:lineRule="auto"/>
        <w:ind w:left="1560" w:hanging="851"/>
        <w:rPr>
          <w:szCs w:val="22"/>
          <w:highlight w:val="yellow"/>
          <w:lang w:val="lt-LT"/>
        </w:rPr>
      </w:pPr>
    </w:p>
    <w:p>
      <w:pPr>
        <w:spacing w:line="240" w:lineRule="auto"/>
        <w:ind w:left="1560" w:right="1418" w:hanging="851"/>
        <w:rPr>
          <w:b/>
          <w:szCs w:val="22"/>
          <w:highlight w:val="yellow"/>
          <w:lang w:val="lt-LT"/>
        </w:rPr>
      </w:pPr>
      <w:r>
        <w:rPr>
          <w:b/>
          <w:bCs/>
          <w:szCs w:val="22"/>
          <w:lang w:val="lt-LT"/>
        </w:rPr>
        <w:t>B.</w:t>
      </w:r>
      <w:r>
        <w:rPr>
          <w:b/>
          <w:bCs/>
          <w:szCs w:val="22"/>
          <w:lang w:val="lt-LT"/>
        </w:rPr>
        <w:tab/>
        <w:t>TIEKIMO IR VARTOJIMO SĄLYGOS AR APRIBOJIMAI</w:t>
      </w:r>
    </w:p>
    <w:p>
      <w:pPr>
        <w:spacing w:line="240" w:lineRule="auto"/>
        <w:ind w:left="1560" w:hanging="851"/>
        <w:rPr>
          <w:szCs w:val="22"/>
          <w:highlight w:val="yellow"/>
          <w:lang w:val="lt-LT"/>
        </w:rPr>
      </w:pPr>
    </w:p>
    <w:p>
      <w:pPr>
        <w:spacing w:line="240" w:lineRule="auto"/>
        <w:ind w:left="1560" w:right="1559" w:hanging="851"/>
        <w:rPr>
          <w:b/>
          <w:szCs w:val="22"/>
          <w:highlight w:val="yellow"/>
          <w:lang w:val="lt-LT"/>
        </w:rPr>
      </w:pPr>
      <w:r>
        <w:rPr>
          <w:b/>
          <w:bCs/>
          <w:szCs w:val="22"/>
          <w:lang w:val="lt-LT"/>
        </w:rPr>
        <w:t>C.</w:t>
      </w:r>
      <w:r>
        <w:rPr>
          <w:b/>
          <w:bCs/>
          <w:szCs w:val="22"/>
          <w:lang w:val="lt-LT"/>
        </w:rPr>
        <w:tab/>
        <w:t>KITOS SĄLYGOS IR REIKALAVIMAI REGISTRUOTOJUI</w:t>
      </w:r>
    </w:p>
    <w:p>
      <w:pPr>
        <w:spacing w:line="240" w:lineRule="auto"/>
        <w:ind w:left="1560" w:right="1558" w:hanging="851"/>
        <w:rPr>
          <w:b/>
          <w:highlight w:val="yellow"/>
          <w:lang w:val="lt-LT"/>
        </w:rPr>
      </w:pPr>
    </w:p>
    <w:p>
      <w:pPr>
        <w:spacing w:line="240" w:lineRule="auto"/>
        <w:ind w:left="1560" w:right="1416" w:hanging="851"/>
        <w:rPr>
          <w:b/>
          <w:lang w:val="lt-LT"/>
        </w:rPr>
      </w:pPr>
      <w:r>
        <w:rPr>
          <w:b/>
          <w:bCs/>
          <w:szCs w:val="22"/>
          <w:lang w:val="lt-LT"/>
        </w:rPr>
        <w:t>D.</w:t>
      </w:r>
      <w:r>
        <w:rPr>
          <w:b/>
          <w:bCs/>
          <w:szCs w:val="22"/>
          <w:lang w:val="lt-LT"/>
        </w:rPr>
        <w:tab/>
      </w:r>
      <w:r>
        <w:rPr>
          <w:b/>
          <w:bCs/>
          <w:caps/>
          <w:szCs w:val="22"/>
          <w:lang w:val="lt-LT"/>
        </w:rPr>
        <w:t>Sąlygos ar apribojimai, skirti saugiam ir veiksmingam vaistinio preparato vartojimui užtikrinti</w:t>
      </w:r>
    </w:p>
    <w:p>
      <w:pPr>
        <w:spacing w:line="240" w:lineRule="auto"/>
        <w:ind w:right="1416"/>
        <w:rPr>
          <w:b/>
          <w:lang w:val="lt-LT"/>
        </w:rPr>
      </w:pPr>
    </w:p>
    <w:p>
      <w:pPr>
        <w:spacing w:line="240" w:lineRule="auto"/>
        <w:ind w:left="567" w:hanging="567"/>
        <w:rPr>
          <w:szCs w:val="22"/>
          <w:lang w:val="lt-LT"/>
        </w:rPr>
      </w:pPr>
      <w:r>
        <w:br w:type="page"/>
      </w:r>
    </w:p>
    <w:p>
      <w:pPr>
        <w:pStyle w:val="TitleB"/>
      </w:pPr>
      <w:bookmarkStart w:id="7" w:name="OLE_LINK2"/>
      <w:r>
        <w:t>A.</w:t>
      </w:r>
      <w:r>
        <w:tab/>
        <w:t>GAMINTOJAS, ATSAKINGAS UŽ SERIJŲ IŠLEIDIMĄ</w:t>
      </w:r>
    </w:p>
    <w:p>
      <w:pPr>
        <w:spacing w:line="240" w:lineRule="auto"/>
        <w:ind w:left="567" w:hanging="567"/>
        <w:rPr>
          <w:b/>
          <w:szCs w:val="22"/>
          <w:lang w:val="lt-LT"/>
        </w:rPr>
      </w:pPr>
    </w:p>
    <w:p>
      <w:pPr>
        <w:spacing w:line="240" w:lineRule="auto"/>
        <w:ind w:left="567" w:hanging="567"/>
        <w:rPr>
          <w:szCs w:val="22"/>
          <w:u w:val="single"/>
          <w:lang w:val="lt-LT"/>
        </w:rPr>
      </w:pPr>
      <w:r>
        <w:rPr>
          <w:szCs w:val="22"/>
          <w:u w:val="single"/>
          <w:lang w:val="lt-LT"/>
        </w:rPr>
        <w:t>Gamintojo, atsakingo už serijų išleidimą, pavadinimas ir adresas</w:t>
      </w:r>
    </w:p>
    <w:p>
      <w:pPr>
        <w:spacing w:line="240" w:lineRule="auto"/>
        <w:ind w:left="567" w:hanging="567"/>
        <w:rPr>
          <w:b/>
          <w:szCs w:val="22"/>
          <w:lang w:val="lt-LT"/>
        </w:rPr>
      </w:pPr>
    </w:p>
    <w:p>
      <w:pPr>
        <w:spacing w:line="240" w:lineRule="auto"/>
        <w:ind w:left="567" w:hanging="567"/>
        <w:rPr>
          <w:szCs w:val="22"/>
          <w:lang w:val="lt-LT"/>
        </w:rPr>
      </w:pPr>
      <w:r>
        <w:rPr>
          <w:szCs w:val="22"/>
          <w:lang w:val="lt-LT"/>
        </w:rPr>
        <w:t>PTC Therapeutics International Limited</w:t>
      </w:r>
    </w:p>
    <w:p>
      <w:pPr>
        <w:spacing w:line="240" w:lineRule="auto"/>
        <w:ind w:left="567" w:hanging="567"/>
        <w:rPr>
          <w:szCs w:val="22"/>
          <w:lang w:val="lt-LT"/>
        </w:rPr>
      </w:pPr>
      <w:r>
        <w:rPr>
          <w:szCs w:val="22"/>
          <w:lang w:val="lt-LT"/>
        </w:rPr>
        <w:t>Unit 1, 52-55 Sir John Rogerson’s Quay</w:t>
      </w:r>
    </w:p>
    <w:p>
      <w:pPr>
        <w:spacing w:line="240" w:lineRule="auto"/>
        <w:ind w:left="567" w:hanging="567"/>
        <w:rPr>
          <w:szCs w:val="22"/>
          <w:lang w:val="lt-LT"/>
        </w:rPr>
      </w:pPr>
      <w:r>
        <w:rPr>
          <w:szCs w:val="22"/>
          <w:lang w:val="lt-LT"/>
        </w:rPr>
        <w:t>Dublin 2, D02 NA07</w:t>
      </w:r>
    </w:p>
    <w:p>
      <w:pPr>
        <w:spacing w:line="240" w:lineRule="auto"/>
        <w:ind w:left="567" w:hanging="567"/>
        <w:rPr>
          <w:szCs w:val="22"/>
          <w:lang w:val="lt-LT"/>
        </w:rPr>
      </w:pPr>
      <w:r>
        <w:rPr>
          <w:szCs w:val="22"/>
          <w:lang w:val="lt-LT"/>
        </w:rPr>
        <w:t>Airija</w:t>
      </w:r>
    </w:p>
    <w:p>
      <w:pPr>
        <w:spacing w:line="240" w:lineRule="auto"/>
        <w:ind w:left="567" w:hanging="567"/>
        <w:rPr>
          <w:b/>
          <w:szCs w:val="22"/>
          <w:lang w:val="lt-LT"/>
        </w:rPr>
      </w:pPr>
    </w:p>
    <w:p>
      <w:pPr>
        <w:spacing w:line="240" w:lineRule="auto"/>
        <w:ind w:left="567" w:hanging="567"/>
        <w:rPr>
          <w:b/>
          <w:szCs w:val="22"/>
          <w:lang w:val="lt-LT"/>
        </w:rPr>
      </w:pPr>
    </w:p>
    <w:p>
      <w:pPr>
        <w:pStyle w:val="TitleB"/>
      </w:pPr>
      <w:r>
        <w:t>B.</w:t>
      </w:r>
      <w:bookmarkEnd w:id="7"/>
      <w:r>
        <w:tab/>
        <w:t xml:space="preserve">TIEKIMO IR VARTOJIMO SĄLYGOS AR APRIBOJIMAI </w:t>
      </w:r>
    </w:p>
    <w:p>
      <w:pPr>
        <w:spacing w:line="240" w:lineRule="auto"/>
        <w:rPr>
          <w:szCs w:val="22"/>
          <w:lang w:val="lt-LT"/>
        </w:rPr>
      </w:pPr>
    </w:p>
    <w:p>
      <w:pPr>
        <w:spacing w:line="240" w:lineRule="auto"/>
        <w:rPr>
          <w:szCs w:val="22"/>
          <w:lang w:val="lt-LT"/>
        </w:rPr>
      </w:pPr>
      <w:r>
        <w:rPr>
          <w:szCs w:val="22"/>
          <w:lang w:val="lt-LT"/>
        </w:rPr>
        <w:t>Riboto išrašymo receptinis vaistinis preparatas (žr. I priedo preparato charakteristikų santraukos 4.2 skyrių).</w:t>
      </w:r>
    </w:p>
    <w:p>
      <w:pPr>
        <w:spacing w:line="240" w:lineRule="auto"/>
        <w:rPr>
          <w:szCs w:val="22"/>
          <w:lang w:val="lt-LT"/>
        </w:rPr>
      </w:pPr>
    </w:p>
    <w:p>
      <w:pPr>
        <w:spacing w:line="240" w:lineRule="auto"/>
        <w:rPr>
          <w:szCs w:val="22"/>
          <w:lang w:val="lt-LT"/>
        </w:rPr>
      </w:pPr>
    </w:p>
    <w:p>
      <w:pPr>
        <w:pStyle w:val="TitleB"/>
      </w:pPr>
      <w:r>
        <w:t>C.</w:t>
      </w:r>
      <w:r>
        <w:tab/>
        <w:t>KITOS SĄLYGOS IR REIKALAVIMAI REGISTRUOTOJUI</w:t>
      </w:r>
    </w:p>
    <w:p>
      <w:pPr>
        <w:spacing w:line="240" w:lineRule="auto"/>
        <w:ind w:right="-1"/>
        <w:rPr>
          <w:szCs w:val="22"/>
          <w:u w:val="single"/>
          <w:lang w:val="lt-LT"/>
        </w:rPr>
      </w:pPr>
    </w:p>
    <w:p>
      <w:pPr>
        <w:numPr>
          <w:ilvl w:val="0"/>
          <w:numId w:val="3"/>
        </w:numPr>
        <w:spacing w:line="240" w:lineRule="auto"/>
        <w:ind w:left="567" w:right="-1" w:hanging="567"/>
        <w:rPr>
          <w:b/>
          <w:szCs w:val="22"/>
          <w:lang w:val="lt-LT"/>
        </w:rPr>
      </w:pPr>
      <w:r>
        <w:rPr>
          <w:b/>
          <w:bCs/>
          <w:szCs w:val="22"/>
          <w:lang w:val="lt-LT"/>
        </w:rPr>
        <w:t>Periodiškai atnaujinami saugumo protokolai (PASP)</w:t>
      </w:r>
    </w:p>
    <w:p>
      <w:pPr>
        <w:tabs>
          <w:tab w:val="left" w:pos="0"/>
        </w:tabs>
        <w:spacing w:line="240" w:lineRule="auto"/>
        <w:ind w:right="567"/>
        <w:rPr>
          <w:lang w:val="lt-LT"/>
        </w:rPr>
      </w:pPr>
    </w:p>
    <w:p>
      <w:pPr>
        <w:spacing w:line="240" w:lineRule="auto"/>
        <w:rPr>
          <w:szCs w:val="22"/>
          <w:lang w:val="lt-LT"/>
        </w:rPr>
      </w:pPr>
      <w:r>
        <w:rPr>
          <w:szCs w:val="22"/>
          <w:lang w:val="lt-LT"/>
        </w:rPr>
        <w:t>Šio vaistinio preparato PASP pateikimo reikalavimai išdėstyti Direktyvos 2001/83/EB 107c straipsnio 7 dalyje numatytame Sąjungos referencinių datų sąraše (</w:t>
      </w:r>
      <w:r>
        <w:rPr>
          <w:i/>
          <w:iCs/>
          <w:szCs w:val="22"/>
          <w:lang w:val="lt-LT"/>
        </w:rPr>
        <w:t>EURD</w:t>
      </w:r>
      <w:r>
        <w:rPr>
          <w:szCs w:val="22"/>
          <w:lang w:val="lt-LT"/>
        </w:rPr>
        <w:t xml:space="preserve"> sąraše), kuris skelbiamas Europos vaistų tinklalapyje.</w:t>
      </w:r>
    </w:p>
    <w:p>
      <w:pPr>
        <w:spacing w:line="240" w:lineRule="auto"/>
        <w:ind w:right="-1"/>
        <w:rPr>
          <w:szCs w:val="22"/>
          <w:u w:val="single"/>
          <w:lang w:val="lt-LT"/>
        </w:rPr>
      </w:pPr>
    </w:p>
    <w:p>
      <w:pPr>
        <w:spacing w:line="240" w:lineRule="auto"/>
        <w:ind w:right="-1"/>
        <w:rPr>
          <w:lang w:val="lt-LT"/>
        </w:rPr>
      </w:pPr>
      <w:r>
        <w:rPr>
          <w:lang w:val="lt-LT"/>
        </w:rPr>
        <w:t>Registruotojas pirmąjį šio vaistinio preparato PASP pateikia per 6 mėnesius nuo registracijos dienos.</w:t>
      </w:r>
    </w:p>
    <w:p>
      <w:pPr>
        <w:spacing w:line="240" w:lineRule="auto"/>
        <w:ind w:right="-1"/>
        <w:rPr>
          <w:szCs w:val="22"/>
          <w:u w:val="single"/>
          <w:lang w:val="lt-LT"/>
        </w:rPr>
      </w:pPr>
    </w:p>
    <w:p>
      <w:pPr>
        <w:spacing w:line="240" w:lineRule="auto"/>
        <w:ind w:right="-1"/>
        <w:rPr>
          <w:u w:val="single"/>
          <w:lang w:val="lt-LT"/>
        </w:rPr>
      </w:pPr>
    </w:p>
    <w:p>
      <w:pPr>
        <w:pStyle w:val="TitleB"/>
      </w:pPr>
      <w:r>
        <w:t>D.</w:t>
      </w:r>
      <w:r>
        <w:tab/>
        <w:t>SĄLYGOS AR APRIBOJIMAI, SKIRTI SAUGIAM IR VEIKSMINGAM VAISTINIO PREPARATO VARTOJIMUI UŽTIKRINTI</w:t>
      </w:r>
    </w:p>
    <w:p>
      <w:pPr>
        <w:spacing w:line="240" w:lineRule="auto"/>
        <w:ind w:right="-1"/>
        <w:rPr>
          <w:u w:val="single"/>
          <w:lang w:val="lt-LT"/>
        </w:rPr>
      </w:pPr>
    </w:p>
    <w:p>
      <w:pPr>
        <w:numPr>
          <w:ilvl w:val="0"/>
          <w:numId w:val="3"/>
        </w:numPr>
        <w:spacing w:line="240" w:lineRule="auto"/>
        <w:ind w:left="567" w:right="-1" w:hanging="567"/>
        <w:rPr>
          <w:b/>
          <w:lang w:val="lt-LT"/>
        </w:rPr>
      </w:pPr>
      <w:r>
        <w:rPr>
          <w:b/>
          <w:bCs/>
          <w:szCs w:val="22"/>
          <w:lang w:val="lt-LT"/>
        </w:rPr>
        <w:t>Rizikos valdymo planas (RVP)</w:t>
      </w:r>
    </w:p>
    <w:p>
      <w:pPr>
        <w:spacing w:line="240" w:lineRule="auto"/>
        <w:ind w:left="720" w:right="-1"/>
        <w:rPr>
          <w:b/>
          <w:lang w:val="lt-LT"/>
        </w:rPr>
      </w:pPr>
    </w:p>
    <w:p>
      <w:pPr>
        <w:tabs>
          <w:tab w:val="left" w:pos="0"/>
        </w:tabs>
        <w:spacing w:line="240" w:lineRule="auto"/>
        <w:ind w:right="567"/>
        <w:rPr>
          <w:szCs w:val="22"/>
          <w:highlight w:val="yellow"/>
          <w:lang w:val="lt-LT"/>
        </w:rPr>
      </w:pPr>
      <w:r>
        <w:rPr>
          <w:szCs w:val="22"/>
          <w:lang w:val="lt-LT"/>
        </w:rPr>
        <w:t>Registruotojas atlieka reikalaujamą farmakologinio budrumo veiklą ir veiksmus, kurie išsamiai aprašyti registracijos bylos 1.8.2 modulyje pateiktame RVP ir suderintose tolesnėse jo versijose.</w:t>
      </w:r>
    </w:p>
    <w:p>
      <w:pPr>
        <w:spacing w:line="240" w:lineRule="auto"/>
        <w:ind w:right="-1"/>
        <w:rPr>
          <w:szCs w:val="22"/>
          <w:highlight w:val="yellow"/>
          <w:lang w:val="lt-LT"/>
        </w:rPr>
      </w:pPr>
    </w:p>
    <w:p>
      <w:pPr>
        <w:spacing w:line="240" w:lineRule="auto"/>
        <w:ind w:right="-1"/>
        <w:rPr>
          <w:szCs w:val="22"/>
          <w:highlight w:val="yellow"/>
          <w:lang w:val="lt-LT"/>
        </w:rPr>
      </w:pPr>
      <w:r>
        <w:rPr>
          <w:szCs w:val="22"/>
          <w:lang w:val="lt-LT"/>
        </w:rPr>
        <w:t>Atnaujintas rizikos valdymo planas turi būti pateiktas:</w:t>
      </w:r>
    </w:p>
    <w:p>
      <w:pPr>
        <w:numPr>
          <w:ilvl w:val="0"/>
          <w:numId w:val="2"/>
        </w:numPr>
        <w:tabs>
          <w:tab w:val="clear" w:pos="567"/>
        </w:tabs>
        <w:spacing w:line="240" w:lineRule="auto"/>
        <w:ind w:left="562" w:hanging="562"/>
        <w:rPr>
          <w:szCs w:val="22"/>
          <w:lang w:val="lt-LT"/>
        </w:rPr>
      </w:pPr>
      <w:r>
        <w:rPr>
          <w:szCs w:val="22"/>
          <w:lang w:val="lt-LT"/>
        </w:rPr>
        <w:t>pareikalavus Europos vaistų agentūrai;</w:t>
      </w:r>
    </w:p>
    <w:p>
      <w:pPr>
        <w:numPr>
          <w:ilvl w:val="0"/>
          <w:numId w:val="2"/>
        </w:numPr>
        <w:tabs>
          <w:tab w:val="clear" w:pos="567"/>
        </w:tabs>
        <w:spacing w:line="240" w:lineRule="auto"/>
        <w:ind w:left="562" w:hanging="562"/>
        <w:rPr>
          <w:szCs w:val="22"/>
          <w:lang w:val="lt-LT"/>
        </w:rPr>
      </w:pPr>
      <w:r>
        <w:rPr>
          <w:szCs w:val="22"/>
          <w:lang w:val="lt-LT"/>
        </w:rPr>
        <w:t>kai keičiama rizikos valdymo sistema, ypač gavus naujos informacijos, kuri gali lemti didelį naudos ir rizikos santykio pokytį arba pasiekus svarbų (farmakologinio budrumo ar rizikos mažinimo) etapą.</w:t>
      </w:r>
    </w:p>
    <w:p>
      <w:pPr>
        <w:spacing w:line="240" w:lineRule="auto"/>
        <w:ind w:right="-1"/>
        <w:rPr>
          <w:szCs w:val="22"/>
          <w:lang w:val="lt-LT"/>
        </w:rPr>
      </w:pPr>
    </w:p>
    <w:p>
      <w:pPr>
        <w:spacing w:line="240" w:lineRule="auto"/>
        <w:ind w:right="-1"/>
        <w:rPr>
          <w:b/>
          <w:szCs w:val="22"/>
          <w:lang w:val="lt-LT"/>
        </w:rPr>
      </w:pPr>
    </w:p>
    <w:p>
      <w:pPr>
        <w:pStyle w:val="NormalAgency"/>
        <w:rPr>
          <w:lang w:val="lt-LT"/>
        </w:rPr>
      </w:pPr>
    </w:p>
    <w:p>
      <w:pPr>
        <w:spacing w:line="240" w:lineRule="auto"/>
        <w:ind w:right="566"/>
        <w:rPr>
          <w:szCs w:val="22"/>
          <w:lang w:val="lt-LT"/>
        </w:rPr>
      </w:pPr>
      <w:r>
        <w:br w:type="page"/>
      </w:r>
    </w:p>
    <w:p>
      <w:pPr>
        <w:spacing w:line="240" w:lineRule="auto"/>
        <w:rPr>
          <w:lang w:val="lt-LT"/>
        </w:rPr>
      </w:pPr>
    </w:p>
    <w:p>
      <w:pPr>
        <w:spacing w:line="240" w:lineRule="auto"/>
        <w:rPr>
          <w:lang w:val="lt-LT"/>
        </w:rPr>
      </w:pPr>
    </w:p>
    <w:p>
      <w:pPr>
        <w:spacing w:line="240" w:lineRule="auto"/>
        <w:rPr>
          <w:lang w:val="lt-LT"/>
        </w:rPr>
      </w:pPr>
    </w:p>
    <w:p>
      <w:pPr>
        <w:spacing w:line="240" w:lineRule="auto"/>
        <w:rPr>
          <w:lang w:val="lt-LT"/>
        </w:rPr>
      </w:pPr>
    </w:p>
    <w:p>
      <w:pPr>
        <w:spacing w:line="240" w:lineRule="auto"/>
        <w:rPr>
          <w:lang w:val="lt-LT"/>
        </w:rPr>
      </w:pPr>
    </w:p>
    <w:p>
      <w:pPr>
        <w:spacing w:line="240" w:lineRule="auto"/>
        <w:rPr>
          <w:lang w:val="lt-LT"/>
        </w:rPr>
      </w:pPr>
    </w:p>
    <w:p>
      <w:pPr>
        <w:spacing w:line="240" w:lineRule="auto"/>
        <w:rPr>
          <w:lang w:val="lt-LT"/>
        </w:rPr>
      </w:pPr>
    </w:p>
    <w:p>
      <w:pPr>
        <w:spacing w:line="240" w:lineRule="auto"/>
        <w:rPr>
          <w:lang w:val="lt-LT"/>
        </w:rPr>
      </w:pPr>
    </w:p>
    <w:p>
      <w:pPr>
        <w:spacing w:line="240" w:lineRule="auto"/>
        <w:rPr>
          <w:lang w:val="lt-LT"/>
        </w:rPr>
      </w:pPr>
    </w:p>
    <w:p>
      <w:pPr>
        <w:spacing w:line="240" w:lineRule="auto"/>
        <w:rPr>
          <w:lang w:val="lt-LT"/>
        </w:rPr>
      </w:pPr>
    </w:p>
    <w:p>
      <w:pPr>
        <w:spacing w:line="240" w:lineRule="auto"/>
        <w:rPr>
          <w:lang w:val="lt-LT"/>
        </w:rPr>
      </w:pPr>
    </w:p>
    <w:p>
      <w:pPr>
        <w:spacing w:line="240" w:lineRule="auto"/>
        <w:rPr>
          <w:lang w:val="lt-LT"/>
        </w:rPr>
      </w:pPr>
    </w:p>
    <w:p>
      <w:pPr>
        <w:spacing w:line="240" w:lineRule="auto"/>
        <w:rPr>
          <w:lang w:val="lt-LT"/>
        </w:rPr>
      </w:pPr>
    </w:p>
    <w:p>
      <w:pPr>
        <w:spacing w:line="240" w:lineRule="auto"/>
        <w:rPr>
          <w:lang w:val="lt-LT"/>
        </w:rPr>
      </w:pPr>
    </w:p>
    <w:p>
      <w:pPr>
        <w:spacing w:line="240" w:lineRule="auto"/>
        <w:rPr>
          <w:lang w:val="lt-LT"/>
        </w:rPr>
      </w:pPr>
    </w:p>
    <w:p>
      <w:pPr>
        <w:spacing w:line="240" w:lineRule="auto"/>
        <w:rPr>
          <w:lang w:val="lt-LT"/>
        </w:rPr>
      </w:pPr>
    </w:p>
    <w:p>
      <w:pPr>
        <w:spacing w:line="240" w:lineRule="auto"/>
        <w:rPr>
          <w:lang w:val="lt-LT"/>
        </w:rPr>
      </w:pPr>
    </w:p>
    <w:p>
      <w:pPr>
        <w:spacing w:line="240" w:lineRule="auto"/>
        <w:rPr>
          <w:lang w:val="lt-LT"/>
        </w:rPr>
      </w:pPr>
    </w:p>
    <w:p>
      <w:pPr>
        <w:spacing w:line="240" w:lineRule="auto"/>
        <w:rPr>
          <w:lang w:val="lt-LT"/>
        </w:rPr>
      </w:pPr>
    </w:p>
    <w:p>
      <w:pPr>
        <w:spacing w:line="240" w:lineRule="auto"/>
        <w:rPr>
          <w:lang w:val="lt-LT"/>
        </w:rPr>
      </w:pPr>
    </w:p>
    <w:p>
      <w:pPr>
        <w:spacing w:line="240" w:lineRule="auto"/>
        <w:rPr>
          <w:lang w:val="lt-LT"/>
        </w:rPr>
      </w:pPr>
    </w:p>
    <w:p>
      <w:pPr>
        <w:spacing w:line="240" w:lineRule="auto"/>
        <w:rPr>
          <w:lang w:val="lt-LT"/>
        </w:rPr>
      </w:pPr>
    </w:p>
    <w:p>
      <w:pPr>
        <w:spacing w:line="240" w:lineRule="auto"/>
        <w:rPr>
          <w:lang w:val="lt-LT"/>
        </w:rPr>
      </w:pPr>
    </w:p>
    <w:p>
      <w:pPr>
        <w:spacing w:line="240" w:lineRule="auto"/>
        <w:jc w:val="center"/>
        <w:rPr>
          <w:b/>
          <w:szCs w:val="22"/>
          <w:lang w:val="lt-LT"/>
        </w:rPr>
      </w:pPr>
      <w:r>
        <w:rPr>
          <w:b/>
          <w:bCs/>
          <w:szCs w:val="22"/>
          <w:lang w:val="lt-LT"/>
        </w:rPr>
        <w:t>III PRIEDAS</w:t>
      </w:r>
      <w:r>
        <w:rPr>
          <w:b/>
          <w:szCs w:val="22"/>
          <w:lang w:val="lt-LT"/>
        </w:rPr>
        <w:fldChar w:fldCharType="begin"/>
      </w:r>
      <w:r>
        <w:rPr>
          <w:b/>
          <w:szCs w:val="22"/>
          <w:lang w:val="lt-LT"/>
        </w:rPr>
        <w:instrText xml:space="preserve"> DOCVARIABLE VAULT_ND_f2b9c496-8033-49d3-a8cb-6beec686580f </w:instrText>
      </w:r>
      <w:r>
        <w:rPr>
          <w:b/>
          <w:szCs w:val="22"/>
          <w:lang w:val="lt-LT"/>
        </w:rPr>
        <w:fldChar w:fldCharType="separate"/>
      </w:r>
      <w:r>
        <w:rPr>
          <w:b/>
          <w:szCs w:val="22"/>
          <w:lang w:val="lt-LT"/>
        </w:rPr>
        <w:t xml:space="preserve"> </w:t>
      </w:r>
      <w:r>
        <w:rPr>
          <w:b/>
          <w:szCs w:val="22"/>
          <w:lang w:val="lt-LT"/>
        </w:rPr>
        <w:fldChar w:fldCharType="end"/>
      </w:r>
    </w:p>
    <w:p>
      <w:pPr>
        <w:spacing w:line="240" w:lineRule="auto"/>
        <w:jc w:val="center"/>
        <w:rPr>
          <w:b/>
          <w:szCs w:val="22"/>
          <w:highlight w:val="yellow"/>
          <w:lang w:val="lt-LT"/>
        </w:rPr>
      </w:pPr>
    </w:p>
    <w:p>
      <w:pPr>
        <w:spacing w:line="240" w:lineRule="auto"/>
        <w:jc w:val="center"/>
        <w:rPr>
          <w:b/>
          <w:szCs w:val="22"/>
          <w:lang w:val="lt-LT"/>
        </w:rPr>
      </w:pPr>
      <w:r>
        <w:rPr>
          <w:b/>
          <w:bCs/>
          <w:szCs w:val="22"/>
          <w:lang w:val="lt-LT"/>
        </w:rPr>
        <w:t>ŽENKLINIMAS IR PAKUOTĖS LAPELIS</w:t>
      </w:r>
      <w:r>
        <w:rPr>
          <w:b/>
          <w:szCs w:val="22"/>
          <w:highlight w:val="yellow"/>
          <w:lang w:val="lt-LT"/>
        </w:rPr>
        <w:fldChar w:fldCharType="begin"/>
      </w:r>
      <w:r>
        <w:rPr>
          <w:b/>
          <w:szCs w:val="22"/>
          <w:highlight w:val="yellow"/>
          <w:lang w:val="lt-LT"/>
        </w:rPr>
        <w:instrText xml:space="preserve"> DOCVARIABLE VAULT_ND_acdf766e-556d-4a82-ac15-d24c3f05cdd1 </w:instrText>
      </w:r>
      <w:r>
        <w:rPr>
          <w:b/>
          <w:szCs w:val="22"/>
          <w:highlight w:val="yellow"/>
          <w:lang w:val="lt-LT"/>
        </w:rPr>
        <w:fldChar w:fldCharType="separate"/>
      </w:r>
      <w:r>
        <w:rPr>
          <w:b/>
          <w:szCs w:val="22"/>
          <w:highlight w:val="yellow"/>
          <w:lang w:val="lt-LT"/>
        </w:rPr>
        <w:t xml:space="preserve"> </w:t>
      </w:r>
      <w:r>
        <w:rPr>
          <w:b/>
          <w:szCs w:val="22"/>
          <w:highlight w:val="yellow"/>
          <w:lang w:val="lt-LT"/>
        </w:rPr>
        <w:fldChar w:fldCharType="end"/>
      </w:r>
    </w:p>
    <w:p>
      <w:pPr>
        <w:spacing w:line="240" w:lineRule="auto"/>
        <w:rPr>
          <w:b/>
          <w:szCs w:val="22"/>
          <w:lang w:val="lt-LT"/>
        </w:rPr>
      </w:pPr>
      <w:r>
        <w:br w:type="page"/>
      </w:r>
    </w:p>
    <w:p>
      <w:pPr>
        <w:spacing w:line="240" w:lineRule="auto"/>
        <w:rPr>
          <w:lang w:val="lt-LT"/>
        </w:rPr>
      </w:pPr>
    </w:p>
    <w:p>
      <w:pPr>
        <w:spacing w:line="240" w:lineRule="auto"/>
        <w:rPr>
          <w:lang w:val="lt-LT"/>
        </w:rPr>
      </w:pPr>
    </w:p>
    <w:p>
      <w:pPr>
        <w:spacing w:line="240" w:lineRule="auto"/>
        <w:rPr>
          <w:lang w:val="lt-LT"/>
        </w:rPr>
      </w:pPr>
    </w:p>
    <w:p>
      <w:pPr>
        <w:spacing w:line="240" w:lineRule="auto"/>
        <w:rPr>
          <w:lang w:val="lt-LT"/>
        </w:rPr>
      </w:pPr>
    </w:p>
    <w:p>
      <w:pPr>
        <w:spacing w:line="240" w:lineRule="auto"/>
        <w:rPr>
          <w:lang w:val="lt-LT"/>
        </w:rPr>
      </w:pPr>
    </w:p>
    <w:p>
      <w:pPr>
        <w:spacing w:line="240" w:lineRule="auto"/>
        <w:rPr>
          <w:lang w:val="lt-LT"/>
        </w:rPr>
      </w:pPr>
    </w:p>
    <w:p>
      <w:pPr>
        <w:spacing w:line="240" w:lineRule="auto"/>
        <w:rPr>
          <w:lang w:val="lt-LT"/>
        </w:rPr>
      </w:pPr>
    </w:p>
    <w:p>
      <w:pPr>
        <w:spacing w:line="240" w:lineRule="auto"/>
        <w:rPr>
          <w:lang w:val="lt-LT"/>
        </w:rPr>
      </w:pPr>
    </w:p>
    <w:p>
      <w:pPr>
        <w:spacing w:line="240" w:lineRule="auto"/>
        <w:rPr>
          <w:lang w:val="lt-LT"/>
        </w:rPr>
      </w:pPr>
    </w:p>
    <w:p>
      <w:pPr>
        <w:spacing w:line="240" w:lineRule="auto"/>
        <w:rPr>
          <w:lang w:val="lt-LT"/>
        </w:rPr>
      </w:pPr>
    </w:p>
    <w:p>
      <w:pPr>
        <w:spacing w:line="240" w:lineRule="auto"/>
        <w:rPr>
          <w:lang w:val="lt-LT"/>
        </w:rPr>
      </w:pPr>
    </w:p>
    <w:p>
      <w:pPr>
        <w:spacing w:line="240" w:lineRule="auto"/>
        <w:rPr>
          <w:lang w:val="lt-LT"/>
        </w:rPr>
      </w:pPr>
    </w:p>
    <w:p>
      <w:pPr>
        <w:spacing w:line="240" w:lineRule="auto"/>
        <w:rPr>
          <w:lang w:val="lt-LT"/>
        </w:rPr>
      </w:pPr>
    </w:p>
    <w:p>
      <w:pPr>
        <w:spacing w:line="240" w:lineRule="auto"/>
        <w:rPr>
          <w:lang w:val="lt-LT"/>
        </w:rPr>
      </w:pPr>
    </w:p>
    <w:p>
      <w:pPr>
        <w:spacing w:line="240" w:lineRule="auto"/>
        <w:rPr>
          <w:lang w:val="lt-LT"/>
        </w:rPr>
      </w:pPr>
    </w:p>
    <w:p>
      <w:pPr>
        <w:spacing w:line="240" w:lineRule="auto"/>
        <w:rPr>
          <w:lang w:val="lt-LT"/>
        </w:rPr>
      </w:pPr>
    </w:p>
    <w:p>
      <w:pPr>
        <w:spacing w:line="240" w:lineRule="auto"/>
        <w:rPr>
          <w:lang w:val="lt-LT"/>
        </w:rPr>
      </w:pPr>
    </w:p>
    <w:p>
      <w:pPr>
        <w:spacing w:line="240" w:lineRule="auto"/>
        <w:rPr>
          <w:lang w:val="lt-LT"/>
        </w:rPr>
      </w:pPr>
    </w:p>
    <w:p>
      <w:pPr>
        <w:spacing w:line="240" w:lineRule="auto"/>
        <w:rPr>
          <w:lang w:val="lt-LT"/>
        </w:rPr>
      </w:pPr>
    </w:p>
    <w:p>
      <w:pPr>
        <w:spacing w:line="240" w:lineRule="auto"/>
        <w:rPr>
          <w:lang w:val="lt-LT"/>
        </w:rPr>
      </w:pPr>
    </w:p>
    <w:p>
      <w:pPr>
        <w:spacing w:line="240" w:lineRule="auto"/>
        <w:rPr>
          <w:lang w:val="lt-LT"/>
        </w:rPr>
      </w:pPr>
    </w:p>
    <w:p>
      <w:pPr>
        <w:spacing w:line="240" w:lineRule="auto"/>
        <w:rPr>
          <w:lang w:val="lt-LT"/>
        </w:rPr>
      </w:pPr>
    </w:p>
    <w:p>
      <w:pPr>
        <w:spacing w:line="240" w:lineRule="auto"/>
        <w:rPr>
          <w:lang w:val="lt-LT"/>
        </w:rPr>
      </w:pPr>
    </w:p>
    <w:p>
      <w:pPr>
        <w:pStyle w:val="TitleA"/>
      </w:pPr>
      <w:r>
        <w:t>A. ŽENKLINIMAS</w:t>
      </w:r>
      <w:r>
        <w:rPr>
          <w:highlight w:val="yellow"/>
        </w:rPr>
        <w:fldChar w:fldCharType="begin"/>
      </w:r>
      <w:r>
        <w:rPr>
          <w:highlight w:val="yellow"/>
        </w:rPr>
        <w:instrText xml:space="preserve"> DOCVARIABLE VAULT_ND_58d03c74-3bbd-49c7-9587-a2dae2a615de </w:instrText>
      </w:r>
      <w:r>
        <w:rPr>
          <w:highlight w:val="yellow"/>
        </w:rPr>
        <w:fldChar w:fldCharType="separate"/>
      </w:r>
      <w:r>
        <w:rPr>
          <w:highlight w:val="yellow"/>
        </w:rPr>
        <w:t xml:space="preserve"> </w:t>
      </w:r>
      <w:r>
        <w:rPr>
          <w:highlight w:val="yellow"/>
        </w:rPr>
        <w:fldChar w:fldCharType="end"/>
      </w:r>
    </w:p>
    <w:p>
      <w:pPr>
        <w:shd w:val="clear" w:color="auto" w:fill="FFFFFF"/>
        <w:spacing w:line="240" w:lineRule="auto"/>
        <w:rPr>
          <w:szCs w:val="22"/>
          <w:lang w:val="lt-LT"/>
        </w:rPr>
      </w:pPr>
      <w:r>
        <w:br w:type="page"/>
      </w:r>
    </w:p>
    <w:p>
      <w:pPr>
        <w:pBdr>
          <w:top w:val="single" w:sz="4" w:space="1" w:color="000000"/>
          <w:left w:val="single" w:sz="4" w:space="4" w:color="000000"/>
          <w:bottom w:val="single" w:sz="4" w:space="1" w:color="000000"/>
          <w:right w:val="single" w:sz="4" w:space="4" w:color="000000"/>
        </w:pBdr>
        <w:spacing w:line="240" w:lineRule="auto"/>
        <w:rPr>
          <w:b/>
          <w:szCs w:val="22"/>
          <w:lang w:val="lt-LT"/>
        </w:rPr>
      </w:pPr>
      <w:r>
        <w:rPr>
          <w:b/>
          <w:bCs/>
          <w:szCs w:val="22"/>
          <w:lang w:val="lt-LT"/>
        </w:rPr>
        <w:t>INFORMACIJA ANT IŠORINĖS PAKUOTĖS</w:t>
      </w:r>
    </w:p>
    <w:p>
      <w:pPr>
        <w:pBdr>
          <w:top w:val="single" w:sz="4" w:space="1" w:color="000000"/>
          <w:left w:val="single" w:sz="4" w:space="4" w:color="000000"/>
          <w:bottom w:val="single" w:sz="4" w:space="1" w:color="000000"/>
          <w:right w:val="single" w:sz="4" w:space="4" w:color="000000"/>
        </w:pBdr>
        <w:spacing w:line="240" w:lineRule="auto"/>
        <w:ind w:left="567" w:hanging="567"/>
        <w:rPr>
          <w:szCs w:val="22"/>
          <w:lang w:val="lt-LT"/>
        </w:rPr>
      </w:pPr>
    </w:p>
    <w:p>
      <w:pPr>
        <w:pBdr>
          <w:top w:val="single" w:sz="4" w:space="1" w:color="000000"/>
          <w:left w:val="single" w:sz="4" w:space="4" w:color="000000"/>
          <w:bottom w:val="single" w:sz="4" w:space="1" w:color="000000"/>
          <w:right w:val="single" w:sz="4" w:space="4" w:color="000000"/>
        </w:pBdr>
        <w:spacing w:line="240" w:lineRule="auto"/>
        <w:rPr>
          <w:szCs w:val="22"/>
          <w:lang w:val="lt-LT"/>
        </w:rPr>
      </w:pPr>
      <w:r>
        <w:rPr>
          <w:b/>
          <w:bCs/>
          <w:szCs w:val="22"/>
          <w:lang w:val="lt-LT"/>
        </w:rPr>
        <w:t>KARTONO DĖŽUTĖ</w:t>
      </w:r>
    </w:p>
    <w:p>
      <w:pPr>
        <w:spacing w:line="240" w:lineRule="auto"/>
        <w:rPr>
          <w:lang w:val="lt-LT"/>
        </w:rPr>
      </w:pPr>
    </w:p>
    <w:p>
      <w:pPr>
        <w:spacing w:line="240" w:lineRule="auto"/>
        <w:rPr>
          <w:szCs w:val="22"/>
          <w:lang w:val="lt-LT"/>
        </w:rPr>
      </w:pPr>
    </w:p>
    <w:p>
      <w:pPr>
        <w:pBdr>
          <w:top w:val="single" w:sz="4" w:space="1" w:color="000000"/>
          <w:left w:val="single" w:sz="4" w:space="4" w:color="000000"/>
          <w:bottom w:val="single" w:sz="4" w:space="1" w:color="000000"/>
          <w:right w:val="single" w:sz="4" w:space="4" w:color="000000"/>
        </w:pBdr>
        <w:spacing w:line="240" w:lineRule="auto"/>
        <w:rPr>
          <w:b/>
          <w:bCs/>
          <w:szCs w:val="22"/>
          <w:lang w:val="lt-LT"/>
        </w:rPr>
      </w:pPr>
      <w:r>
        <w:rPr>
          <w:b/>
          <w:bCs/>
          <w:szCs w:val="22"/>
          <w:lang w:val="lt-LT"/>
        </w:rPr>
        <w:t>1.</w:t>
      </w:r>
      <w:r>
        <w:rPr>
          <w:b/>
          <w:bCs/>
          <w:szCs w:val="22"/>
          <w:lang w:val="lt-LT"/>
        </w:rPr>
        <w:tab/>
        <w:t>VAISTINIO PREPARATO PAVADINIMAS</w:t>
      </w:r>
      <w:r>
        <w:rPr>
          <w:b/>
          <w:bCs/>
          <w:szCs w:val="22"/>
          <w:lang w:val="lt-LT"/>
        </w:rPr>
        <w:fldChar w:fldCharType="begin"/>
      </w:r>
      <w:r>
        <w:rPr>
          <w:b/>
          <w:bCs/>
          <w:szCs w:val="22"/>
          <w:lang w:val="lt-LT"/>
        </w:rPr>
        <w:instrText xml:space="preserve"> DOCVARIABLE VAULT_ND_8698708a-95a1-4728-93d4-b03857bd3b92 </w:instrText>
      </w:r>
      <w:r>
        <w:rPr>
          <w:b/>
          <w:bCs/>
          <w:szCs w:val="22"/>
          <w:lang w:val="lt-LT"/>
        </w:rPr>
        <w:fldChar w:fldCharType="separate"/>
      </w:r>
      <w:r>
        <w:rPr>
          <w:b/>
          <w:bCs/>
          <w:szCs w:val="22"/>
          <w:lang w:val="lt-LT"/>
        </w:rPr>
        <w:t xml:space="preserve"> </w:t>
      </w:r>
      <w:r>
        <w:rPr>
          <w:b/>
          <w:bCs/>
          <w:szCs w:val="22"/>
          <w:lang w:val="lt-LT"/>
        </w:rPr>
        <w:fldChar w:fldCharType="end"/>
      </w:r>
    </w:p>
    <w:p>
      <w:pPr>
        <w:spacing w:line="240" w:lineRule="auto"/>
        <w:rPr>
          <w:szCs w:val="22"/>
          <w:lang w:val="lt-LT"/>
        </w:rPr>
      </w:pPr>
    </w:p>
    <w:p>
      <w:pPr>
        <w:spacing w:line="240" w:lineRule="auto"/>
        <w:rPr>
          <w:szCs w:val="22"/>
          <w:lang w:val="lt-LT"/>
        </w:rPr>
      </w:pPr>
      <w:r>
        <w:rPr>
          <w:szCs w:val="22"/>
          <w:lang w:val="lt-LT"/>
        </w:rPr>
        <w:t>Sephience 250 mg geriamieji milteliai paketėlyje</w:t>
      </w:r>
    </w:p>
    <w:p>
      <w:pPr>
        <w:spacing w:line="240" w:lineRule="auto"/>
        <w:rPr>
          <w:b/>
          <w:szCs w:val="22"/>
          <w:lang w:val="lt-LT"/>
        </w:rPr>
      </w:pPr>
      <w:r>
        <w:rPr>
          <w:szCs w:val="22"/>
          <w:lang w:val="lt-LT"/>
        </w:rPr>
        <w:t>sepiapterinas</w:t>
      </w:r>
    </w:p>
    <w:p>
      <w:pPr>
        <w:spacing w:line="240" w:lineRule="auto"/>
        <w:rPr>
          <w:szCs w:val="22"/>
          <w:lang w:val="lt-LT"/>
        </w:rPr>
      </w:pPr>
    </w:p>
    <w:p>
      <w:pPr>
        <w:spacing w:line="240" w:lineRule="auto"/>
        <w:rPr>
          <w:szCs w:val="22"/>
          <w:lang w:val="lt-LT"/>
        </w:rPr>
      </w:pPr>
    </w:p>
    <w:p>
      <w:pPr>
        <w:pBdr>
          <w:top w:val="single" w:sz="4" w:space="1" w:color="000000"/>
          <w:left w:val="single" w:sz="4" w:space="4" w:color="000000"/>
          <w:bottom w:val="single" w:sz="4" w:space="1" w:color="000000"/>
          <w:right w:val="single" w:sz="4" w:space="4" w:color="000000"/>
        </w:pBdr>
        <w:spacing w:line="240" w:lineRule="auto"/>
        <w:ind w:left="567" w:hanging="567"/>
        <w:rPr>
          <w:b/>
          <w:szCs w:val="22"/>
          <w:lang w:val="lt-LT"/>
        </w:rPr>
      </w:pPr>
      <w:r>
        <w:rPr>
          <w:b/>
          <w:bCs/>
          <w:szCs w:val="22"/>
          <w:lang w:val="lt-LT"/>
        </w:rPr>
        <w:t>2.</w:t>
      </w:r>
      <w:r>
        <w:rPr>
          <w:b/>
          <w:bCs/>
          <w:szCs w:val="22"/>
          <w:lang w:val="lt-LT"/>
        </w:rPr>
        <w:tab/>
        <w:t>VEIKLIOJI (-IOS) MEDŽIAGA (-OS) IR JOS (-Ų) KIEKIS (-IAI)</w:t>
      </w:r>
      <w:r>
        <w:rPr>
          <w:b/>
          <w:szCs w:val="22"/>
          <w:highlight w:val="yellow"/>
          <w:lang w:val="lt-LT"/>
        </w:rPr>
        <w:fldChar w:fldCharType="begin"/>
      </w:r>
      <w:r>
        <w:rPr>
          <w:b/>
          <w:szCs w:val="22"/>
          <w:highlight w:val="yellow"/>
          <w:lang w:val="lt-LT"/>
        </w:rPr>
        <w:instrText xml:space="preserve"> DOCVARIABLE VAULT_ND_3d1e9f7c-7dc1-46b6-a23c-9120b450abbe </w:instrText>
      </w:r>
      <w:r>
        <w:rPr>
          <w:b/>
          <w:szCs w:val="22"/>
          <w:highlight w:val="yellow"/>
          <w:lang w:val="lt-LT"/>
        </w:rPr>
        <w:fldChar w:fldCharType="separate"/>
      </w:r>
      <w:r>
        <w:rPr>
          <w:b/>
          <w:szCs w:val="22"/>
          <w:highlight w:val="yellow"/>
          <w:lang w:val="lt-LT"/>
        </w:rPr>
        <w:t xml:space="preserve"> </w:t>
      </w:r>
      <w:r>
        <w:rPr>
          <w:b/>
          <w:szCs w:val="22"/>
          <w:highlight w:val="yellow"/>
          <w:lang w:val="lt-LT"/>
        </w:rPr>
        <w:fldChar w:fldCharType="end"/>
      </w:r>
    </w:p>
    <w:p>
      <w:pPr>
        <w:spacing w:line="240" w:lineRule="auto"/>
        <w:rPr>
          <w:szCs w:val="22"/>
          <w:lang w:val="lt-LT"/>
        </w:rPr>
      </w:pPr>
    </w:p>
    <w:p>
      <w:pPr>
        <w:spacing w:line="240" w:lineRule="auto"/>
        <w:rPr>
          <w:szCs w:val="22"/>
          <w:lang w:val="lt-LT"/>
        </w:rPr>
      </w:pPr>
      <w:r>
        <w:rPr>
          <w:szCs w:val="22"/>
          <w:lang w:val="lt-LT"/>
        </w:rPr>
        <w:t>Kiekviename paketėlyje yra 250 mg sepiapterino.</w:t>
      </w:r>
    </w:p>
    <w:p>
      <w:pPr>
        <w:spacing w:line="240" w:lineRule="auto"/>
        <w:rPr>
          <w:szCs w:val="22"/>
          <w:lang w:val="lt-LT"/>
        </w:rPr>
      </w:pPr>
    </w:p>
    <w:p>
      <w:pPr>
        <w:spacing w:line="240" w:lineRule="auto"/>
        <w:rPr>
          <w:szCs w:val="22"/>
          <w:lang w:val="lt-LT"/>
        </w:rPr>
      </w:pPr>
    </w:p>
    <w:p>
      <w:pPr>
        <w:pBdr>
          <w:top w:val="single" w:sz="4" w:space="1" w:color="000000"/>
          <w:left w:val="single" w:sz="4" w:space="4" w:color="000000"/>
          <w:bottom w:val="single" w:sz="4" w:space="1" w:color="000000"/>
          <w:right w:val="single" w:sz="4" w:space="4" w:color="000000"/>
        </w:pBdr>
        <w:spacing w:line="240" w:lineRule="auto"/>
        <w:ind w:left="567" w:hanging="567"/>
        <w:rPr>
          <w:szCs w:val="22"/>
          <w:lang w:val="lt-LT"/>
        </w:rPr>
      </w:pPr>
      <w:r>
        <w:rPr>
          <w:b/>
          <w:bCs/>
          <w:szCs w:val="22"/>
          <w:lang w:val="lt-LT"/>
        </w:rPr>
        <w:t>3.</w:t>
      </w:r>
      <w:r>
        <w:rPr>
          <w:b/>
          <w:bCs/>
          <w:szCs w:val="22"/>
          <w:lang w:val="lt-LT"/>
        </w:rPr>
        <w:tab/>
        <w:t>PAGALBINIŲ MEDŽIAGŲ SĄRAŠAS</w:t>
      </w:r>
      <w:r>
        <w:rPr>
          <w:b/>
          <w:szCs w:val="22"/>
          <w:highlight w:val="yellow"/>
          <w:lang w:val="lt-LT"/>
        </w:rPr>
        <w:fldChar w:fldCharType="begin"/>
      </w:r>
      <w:r>
        <w:rPr>
          <w:b/>
          <w:szCs w:val="22"/>
          <w:highlight w:val="yellow"/>
          <w:lang w:val="lt-LT"/>
        </w:rPr>
        <w:instrText xml:space="preserve"> DOCVARIABLE VAULT_ND_28b7caca-7bb6-4b6f-a4d4-6f74ea4fce11 </w:instrText>
      </w:r>
      <w:r>
        <w:rPr>
          <w:b/>
          <w:szCs w:val="22"/>
          <w:highlight w:val="yellow"/>
          <w:lang w:val="lt-LT"/>
        </w:rPr>
        <w:fldChar w:fldCharType="separate"/>
      </w:r>
      <w:r>
        <w:rPr>
          <w:b/>
          <w:szCs w:val="22"/>
          <w:highlight w:val="yellow"/>
          <w:lang w:val="lt-LT"/>
        </w:rPr>
        <w:t xml:space="preserve"> </w:t>
      </w:r>
      <w:r>
        <w:rPr>
          <w:b/>
          <w:szCs w:val="22"/>
          <w:highlight w:val="yellow"/>
          <w:lang w:val="lt-LT"/>
        </w:rPr>
        <w:fldChar w:fldCharType="end"/>
      </w:r>
    </w:p>
    <w:p>
      <w:pPr>
        <w:spacing w:line="240" w:lineRule="auto"/>
        <w:rPr>
          <w:szCs w:val="22"/>
          <w:lang w:val="lt-LT"/>
        </w:rPr>
      </w:pPr>
    </w:p>
    <w:p>
      <w:pPr>
        <w:spacing w:line="240" w:lineRule="auto"/>
        <w:rPr>
          <w:szCs w:val="22"/>
          <w:lang w:val="lt-LT"/>
        </w:rPr>
      </w:pPr>
      <w:r>
        <w:rPr>
          <w:szCs w:val="22"/>
          <w:lang w:val="lt-LT"/>
        </w:rPr>
        <w:t xml:space="preserve">Sudėtyje yra izomalto (E953). </w:t>
      </w:r>
      <w:r>
        <w:rPr>
          <w:szCs w:val="22"/>
          <w:highlight w:val="lightGray"/>
          <w:lang w:val="lt-LT"/>
        </w:rPr>
        <w:t>Daugiau informacijos pateikiama pakuotės lapelyje.</w:t>
      </w:r>
    </w:p>
    <w:p>
      <w:pPr>
        <w:spacing w:line="240" w:lineRule="auto"/>
        <w:rPr>
          <w:szCs w:val="22"/>
          <w:lang w:val="lt-LT"/>
        </w:rPr>
      </w:pPr>
    </w:p>
    <w:p>
      <w:pPr>
        <w:spacing w:line="240" w:lineRule="auto"/>
        <w:rPr>
          <w:szCs w:val="22"/>
          <w:lang w:val="lt-LT"/>
        </w:rPr>
      </w:pPr>
    </w:p>
    <w:p>
      <w:pPr>
        <w:pBdr>
          <w:top w:val="single" w:sz="4" w:space="1" w:color="000000"/>
          <w:left w:val="single" w:sz="4" w:space="4" w:color="000000"/>
          <w:bottom w:val="single" w:sz="4" w:space="1" w:color="000000"/>
          <w:right w:val="single" w:sz="4" w:space="4" w:color="000000"/>
        </w:pBdr>
        <w:spacing w:line="240" w:lineRule="auto"/>
        <w:ind w:left="567" w:hanging="567"/>
        <w:rPr>
          <w:szCs w:val="22"/>
          <w:lang w:val="lt-LT"/>
        </w:rPr>
      </w:pPr>
      <w:r>
        <w:rPr>
          <w:b/>
          <w:bCs/>
          <w:szCs w:val="22"/>
          <w:lang w:val="lt-LT"/>
        </w:rPr>
        <w:t>4.</w:t>
      </w:r>
      <w:r>
        <w:rPr>
          <w:b/>
          <w:bCs/>
          <w:szCs w:val="22"/>
          <w:lang w:val="lt-LT"/>
        </w:rPr>
        <w:tab/>
        <w:t>FARMACINĖ FORMA IR KIEKIS PAKUOTĖJE</w:t>
      </w:r>
      <w:r>
        <w:rPr>
          <w:b/>
          <w:szCs w:val="22"/>
          <w:highlight w:val="yellow"/>
          <w:lang w:val="lt-LT"/>
        </w:rPr>
        <w:fldChar w:fldCharType="begin"/>
      </w:r>
      <w:r>
        <w:rPr>
          <w:b/>
          <w:szCs w:val="22"/>
          <w:highlight w:val="yellow"/>
          <w:lang w:val="lt-LT"/>
        </w:rPr>
        <w:instrText xml:space="preserve"> DOCVARIABLE VAULT_ND_456c5bed-4dda-49fe-82a7-7d12523c2379 </w:instrText>
      </w:r>
      <w:r>
        <w:rPr>
          <w:b/>
          <w:szCs w:val="22"/>
          <w:highlight w:val="yellow"/>
          <w:lang w:val="lt-LT"/>
        </w:rPr>
        <w:fldChar w:fldCharType="separate"/>
      </w:r>
      <w:r>
        <w:rPr>
          <w:b/>
          <w:szCs w:val="22"/>
          <w:highlight w:val="yellow"/>
          <w:lang w:val="lt-LT"/>
        </w:rPr>
        <w:t xml:space="preserve"> </w:t>
      </w:r>
      <w:r>
        <w:rPr>
          <w:b/>
          <w:szCs w:val="22"/>
          <w:highlight w:val="yellow"/>
          <w:lang w:val="lt-LT"/>
        </w:rPr>
        <w:fldChar w:fldCharType="end"/>
      </w:r>
    </w:p>
    <w:p>
      <w:pPr>
        <w:spacing w:line="240" w:lineRule="auto"/>
        <w:rPr>
          <w:szCs w:val="22"/>
          <w:lang w:val="lt-LT"/>
        </w:rPr>
      </w:pPr>
    </w:p>
    <w:p>
      <w:pPr>
        <w:spacing w:line="240" w:lineRule="auto"/>
        <w:rPr>
          <w:szCs w:val="22"/>
          <w:lang w:val="lt-LT"/>
        </w:rPr>
      </w:pPr>
      <w:r>
        <w:rPr>
          <w:szCs w:val="22"/>
          <w:lang w:val="lt-LT"/>
        </w:rPr>
        <w:t>Geriamieji milteliai</w:t>
      </w:r>
    </w:p>
    <w:p>
      <w:pPr>
        <w:spacing w:line="240" w:lineRule="auto"/>
        <w:rPr>
          <w:szCs w:val="22"/>
          <w:lang w:val="lt-LT"/>
        </w:rPr>
      </w:pPr>
      <w:r>
        <w:rPr>
          <w:szCs w:val="22"/>
          <w:lang w:val="lt-LT"/>
        </w:rPr>
        <w:t>30 paketėlių</w:t>
      </w:r>
    </w:p>
    <w:p>
      <w:pPr>
        <w:spacing w:line="240" w:lineRule="auto"/>
        <w:rPr>
          <w:szCs w:val="22"/>
          <w:lang w:val="lt-LT"/>
        </w:rPr>
      </w:pPr>
    </w:p>
    <w:p>
      <w:pPr>
        <w:spacing w:line="240" w:lineRule="auto"/>
        <w:rPr>
          <w:szCs w:val="22"/>
          <w:lang w:val="lt-LT"/>
        </w:rPr>
      </w:pPr>
    </w:p>
    <w:p>
      <w:pPr>
        <w:pBdr>
          <w:top w:val="single" w:sz="4" w:space="1" w:color="000000"/>
          <w:left w:val="single" w:sz="4" w:space="4" w:color="000000"/>
          <w:bottom w:val="single" w:sz="4" w:space="1" w:color="000000"/>
          <w:right w:val="single" w:sz="4" w:space="4" w:color="000000"/>
        </w:pBdr>
        <w:spacing w:line="240" w:lineRule="auto"/>
        <w:ind w:left="567" w:hanging="567"/>
        <w:rPr>
          <w:szCs w:val="22"/>
          <w:lang w:val="lt-LT"/>
        </w:rPr>
      </w:pPr>
      <w:r>
        <w:rPr>
          <w:b/>
          <w:bCs/>
          <w:szCs w:val="22"/>
          <w:lang w:val="lt-LT"/>
        </w:rPr>
        <w:t>5.</w:t>
      </w:r>
      <w:r>
        <w:rPr>
          <w:b/>
          <w:bCs/>
          <w:szCs w:val="22"/>
          <w:lang w:val="lt-LT"/>
        </w:rPr>
        <w:tab/>
        <w:t>VARTOJIMO METODAS IR BŪDAS (-AI)</w:t>
      </w:r>
      <w:r>
        <w:rPr>
          <w:b/>
          <w:szCs w:val="22"/>
          <w:highlight w:val="yellow"/>
          <w:lang w:val="lt-LT"/>
        </w:rPr>
        <w:fldChar w:fldCharType="begin"/>
      </w:r>
      <w:r>
        <w:rPr>
          <w:b/>
          <w:szCs w:val="22"/>
          <w:highlight w:val="yellow"/>
          <w:lang w:val="lt-LT"/>
        </w:rPr>
        <w:instrText xml:space="preserve"> DOCVARIABLE VAULT_ND_55eccff9-1859-4c3d-8689-fc4a2733bc85 </w:instrText>
      </w:r>
      <w:r>
        <w:rPr>
          <w:b/>
          <w:szCs w:val="22"/>
          <w:highlight w:val="yellow"/>
          <w:lang w:val="lt-LT"/>
        </w:rPr>
        <w:fldChar w:fldCharType="separate"/>
      </w:r>
      <w:r>
        <w:rPr>
          <w:b/>
          <w:szCs w:val="22"/>
          <w:highlight w:val="yellow"/>
          <w:lang w:val="lt-LT"/>
        </w:rPr>
        <w:t xml:space="preserve"> </w:t>
      </w:r>
      <w:r>
        <w:rPr>
          <w:b/>
          <w:szCs w:val="22"/>
          <w:highlight w:val="yellow"/>
          <w:lang w:val="lt-LT"/>
        </w:rPr>
        <w:fldChar w:fldCharType="end"/>
      </w:r>
    </w:p>
    <w:p>
      <w:pPr>
        <w:spacing w:line="240" w:lineRule="auto"/>
        <w:rPr>
          <w:szCs w:val="22"/>
          <w:lang w:val="lt-LT"/>
        </w:rPr>
      </w:pPr>
    </w:p>
    <w:p>
      <w:pPr>
        <w:spacing w:line="240" w:lineRule="auto"/>
        <w:rPr>
          <w:szCs w:val="22"/>
          <w:lang w:val="lt-LT"/>
        </w:rPr>
      </w:pPr>
      <w:r>
        <w:rPr>
          <w:szCs w:val="22"/>
          <w:lang w:val="lt-LT"/>
        </w:rPr>
        <w:t>Prieš vartojimą perskaitykite pakuotės lapelį.</w:t>
      </w:r>
    </w:p>
    <w:p>
      <w:pPr>
        <w:spacing w:line="240" w:lineRule="auto"/>
        <w:rPr>
          <w:szCs w:val="22"/>
          <w:lang w:val="lt-LT"/>
        </w:rPr>
      </w:pPr>
      <w:r>
        <w:rPr>
          <w:szCs w:val="22"/>
          <w:lang w:val="lt-LT"/>
        </w:rPr>
        <w:t>Vartoti per burną.</w:t>
      </w:r>
    </w:p>
    <w:p>
      <w:pPr>
        <w:spacing w:line="240" w:lineRule="auto"/>
        <w:rPr>
          <w:szCs w:val="22"/>
          <w:lang w:val="lt-LT"/>
        </w:rPr>
      </w:pPr>
    </w:p>
    <w:p>
      <w:pPr>
        <w:spacing w:line="240" w:lineRule="auto"/>
        <w:rPr>
          <w:szCs w:val="22"/>
          <w:lang w:val="lt-LT"/>
        </w:rPr>
      </w:pPr>
    </w:p>
    <w:p>
      <w:pPr>
        <w:pBdr>
          <w:top w:val="single" w:sz="4" w:space="1" w:color="000000"/>
          <w:left w:val="single" w:sz="4" w:space="4" w:color="000000"/>
          <w:bottom w:val="single" w:sz="4" w:space="1" w:color="000000"/>
          <w:right w:val="single" w:sz="4" w:space="4" w:color="000000"/>
        </w:pBdr>
        <w:spacing w:line="240" w:lineRule="auto"/>
        <w:ind w:left="567" w:hanging="567"/>
        <w:rPr>
          <w:szCs w:val="22"/>
          <w:lang w:val="lt-LT"/>
        </w:rPr>
      </w:pPr>
      <w:r>
        <w:rPr>
          <w:b/>
          <w:bCs/>
          <w:szCs w:val="22"/>
          <w:lang w:val="lt-LT"/>
        </w:rPr>
        <w:t>6.</w:t>
      </w:r>
      <w:r>
        <w:rPr>
          <w:b/>
          <w:bCs/>
          <w:szCs w:val="22"/>
          <w:lang w:val="lt-LT"/>
        </w:rPr>
        <w:tab/>
        <w:t>SPECIALUS ĮSPĖJIMAS, KAD VAISTINĮ PREPARATĄ BŪTINA LAIKYTI VAIKAMS NEPASTEBIMOJE IR NEPASIEKIAMOJE VIETOJE</w:t>
      </w:r>
      <w:r>
        <w:rPr>
          <w:b/>
          <w:szCs w:val="22"/>
          <w:highlight w:val="yellow"/>
          <w:lang w:val="lt-LT"/>
        </w:rPr>
        <w:fldChar w:fldCharType="begin"/>
      </w:r>
      <w:r>
        <w:rPr>
          <w:b/>
          <w:szCs w:val="22"/>
          <w:highlight w:val="yellow"/>
          <w:lang w:val="lt-LT"/>
        </w:rPr>
        <w:instrText xml:space="preserve"> DOCVARIABLE VAULT_ND_f6db21ca-c433-4454-807c-ffee8a46ab96 </w:instrText>
      </w:r>
      <w:r>
        <w:rPr>
          <w:b/>
          <w:szCs w:val="22"/>
          <w:highlight w:val="yellow"/>
          <w:lang w:val="lt-LT"/>
        </w:rPr>
        <w:fldChar w:fldCharType="separate"/>
      </w:r>
      <w:r>
        <w:rPr>
          <w:b/>
          <w:szCs w:val="22"/>
          <w:highlight w:val="yellow"/>
          <w:lang w:val="lt-LT"/>
        </w:rPr>
        <w:t xml:space="preserve"> </w:t>
      </w:r>
      <w:r>
        <w:rPr>
          <w:b/>
          <w:szCs w:val="22"/>
          <w:highlight w:val="yellow"/>
          <w:lang w:val="lt-LT"/>
        </w:rPr>
        <w:fldChar w:fldCharType="end"/>
      </w:r>
    </w:p>
    <w:p>
      <w:pPr>
        <w:spacing w:line="240" w:lineRule="auto"/>
        <w:rPr>
          <w:szCs w:val="22"/>
          <w:lang w:val="lt-LT"/>
        </w:rPr>
      </w:pPr>
    </w:p>
    <w:p>
      <w:pPr>
        <w:spacing w:line="240" w:lineRule="auto"/>
        <w:rPr>
          <w:szCs w:val="22"/>
          <w:lang w:val="lt-LT"/>
        </w:rPr>
      </w:pPr>
      <w:r>
        <w:rPr>
          <w:szCs w:val="22"/>
          <w:lang w:val="lt-LT"/>
        </w:rPr>
        <w:t>Laikyti vaikams nepastebimoje ir nepasiekiamoje vietoje.</w:t>
      </w:r>
      <w:r>
        <w:rPr>
          <w:szCs w:val="22"/>
          <w:highlight w:val="yellow"/>
          <w:lang w:val="lt-LT"/>
        </w:rPr>
        <w:fldChar w:fldCharType="begin"/>
      </w:r>
      <w:r>
        <w:rPr>
          <w:szCs w:val="22"/>
          <w:highlight w:val="yellow"/>
          <w:lang w:val="lt-LT"/>
        </w:rPr>
        <w:instrText xml:space="preserve"> DOCVARIABLE vault_nd_33970f40-4d10-4e78-9043-ef415487a022 </w:instrText>
      </w:r>
      <w:r>
        <w:rPr>
          <w:szCs w:val="22"/>
          <w:highlight w:val="yellow"/>
          <w:lang w:val="lt-LT"/>
        </w:rPr>
        <w:fldChar w:fldCharType="separate"/>
      </w:r>
      <w:r>
        <w:rPr>
          <w:szCs w:val="22"/>
          <w:highlight w:val="yellow"/>
          <w:lang w:val="lt-LT"/>
        </w:rPr>
        <w:t xml:space="preserve"> </w:t>
      </w:r>
      <w:r>
        <w:rPr>
          <w:szCs w:val="22"/>
          <w:highlight w:val="yellow"/>
          <w:lang w:val="lt-LT"/>
        </w:rPr>
        <w:fldChar w:fldCharType="end"/>
      </w:r>
    </w:p>
    <w:p>
      <w:pPr>
        <w:spacing w:line="240" w:lineRule="auto"/>
        <w:rPr>
          <w:szCs w:val="22"/>
          <w:lang w:val="lt-LT"/>
        </w:rPr>
      </w:pPr>
    </w:p>
    <w:p>
      <w:pPr>
        <w:spacing w:line="240" w:lineRule="auto"/>
        <w:rPr>
          <w:szCs w:val="22"/>
          <w:lang w:val="lt-LT"/>
        </w:rPr>
      </w:pPr>
    </w:p>
    <w:p>
      <w:pPr>
        <w:pBdr>
          <w:top w:val="single" w:sz="4" w:space="1" w:color="000000"/>
          <w:left w:val="single" w:sz="4" w:space="4" w:color="000000"/>
          <w:bottom w:val="single" w:sz="4" w:space="1" w:color="000000"/>
          <w:right w:val="single" w:sz="4" w:space="4" w:color="000000"/>
        </w:pBdr>
        <w:spacing w:line="240" w:lineRule="auto"/>
        <w:ind w:left="567" w:hanging="567"/>
        <w:rPr>
          <w:szCs w:val="22"/>
          <w:lang w:val="lt-LT"/>
        </w:rPr>
      </w:pPr>
      <w:r>
        <w:rPr>
          <w:b/>
          <w:bCs/>
          <w:szCs w:val="22"/>
          <w:lang w:val="lt-LT"/>
        </w:rPr>
        <w:t>7.</w:t>
      </w:r>
      <w:r>
        <w:rPr>
          <w:b/>
          <w:bCs/>
          <w:szCs w:val="22"/>
          <w:lang w:val="lt-LT"/>
        </w:rPr>
        <w:tab/>
        <w:t>KITAS (-I) SPECIALUS (-ŪS) ĮSPĖJIMAS (-AI) (JEI REIKIA)</w:t>
      </w:r>
      <w:r>
        <w:rPr>
          <w:b/>
          <w:szCs w:val="22"/>
          <w:highlight w:val="yellow"/>
          <w:lang w:val="lt-LT"/>
        </w:rPr>
        <w:fldChar w:fldCharType="begin"/>
      </w:r>
      <w:r>
        <w:rPr>
          <w:b/>
          <w:szCs w:val="22"/>
          <w:highlight w:val="yellow"/>
          <w:lang w:val="lt-LT"/>
        </w:rPr>
        <w:instrText xml:space="preserve"> DOCVARIABLE VAULT_ND_6624c09f-51e1-4601-84d1-dcd19bdfb3aa </w:instrText>
      </w:r>
      <w:r>
        <w:rPr>
          <w:b/>
          <w:szCs w:val="22"/>
          <w:highlight w:val="yellow"/>
          <w:lang w:val="lt-LT"/>
        </w:rPr>
        <w:fldChar w:fldCharType="separate"/>
      </w:r>
      <w:r>
        <w:rPr>
          <w:b/>
          <w:szCs w:val="22"/>
          <w:highlight w:val="yellow"/>
          <w:lang w:val="lt-LT"/>
        </w:rPr>
        <w:t xml:space="preserve"> </w:t>
      </w:r>
      <w:r>
        <w:rPr>
          <w:b/>
          <w:szCs w:val="22"/>
          <w:highlight w:val="yellow"/>
          <w:lang w:val="lt-LT"/>
        </w:rPr>
        <w:fldChar w:fldCharType="end"/>
      </w:r>
    </w:p>
    <w:p>
      <w:pPr>
        <w:spacing w:line="240" w:lineRule="auto"/>
        <w:rPr>
          <w:szCs w:val="22"/>
          <w:lang w:val="lt-LT"/>
        </w:rPr>
      </w:pPr>
    </w:p>
    <w:p>
      <w:pPr>
        <w:tabs>
          <w:tab w:val="left" w:pos="749"/>
        </w:tabs>
        <w:spacing w:line="240" w:lineRule="auto"/>
        <w:rPr>
          <w:lang w:val="lt-LT"/>
        </w:rPr>
      </w:pPr>
    </w:p>
    <w:p>
      <w:pPr>
        <w:pBdr>
          <w:top w:val="single" w:sz="4" w:space="1" w:color="000000"/>
          <w:left w:val="single" w:sz="4" w:space="4" w:color="000000"/>
          <w:bottom w:val="single" w:sz="4" w:space="1" w:color="000000"/>
          <w:right w:val="single" w:sz="4" w:space="4" w:color="000000"/>
        </w:pBdr>
        <w:spacing w:line="240" w:lineRule="auto"/>
        <w:ind w:left="567" w:hanging="567"/>
        <w:rPr>
          <w:lang w:val="lt-LT"/>
        </w:rPr>
      </w:pPr>
      <w:r>
        <w:rPr>
          <w:b/>
          <w:bCs/>
          <w:szCs w:val="22"/>
          <w:lang w:val="lt-LT"/>
        </w:rPr>
        <w:t>8.</w:t>
      </w:r>
      <w:r>
        <w:rPr>
          <w:b/>
          <w:bCs/>
          <w:szCs w:val="22"/>
          <w:lang w:val="lt-LT"/>
        </w:rPr>
        <w:tab/>
        <w:t>TINKAMUMO LAIKAS</w:t>
      </w:r>
      <w:r>
        <w:rPr>
          <w:b/>
          <w:highlight w:val="yellow"/>
          <w:lang w:val="lt-LT"/>
        </w:rPr>
        <w:fldChar w:fldCharType="begin"/>
      </w:r>
      <w:r>
        <w:rPr>
          <w:b/>
          <w:highlight w:val="yellow"/>
          <w:lang w:val="lt-LT"/>
        </w:rPr>
        <w:instrText xml:space="preserve"> DOCVARIABLE VAULT_ND_3b2853c3-91e8-4d8e-89e1-53b3c6775897 </w:instrText>
      </w:r>
      <w:r>
        <w:rPr>
          <w:b/>
          <w:highlight w:val="yellow"/>
          <w:lang w:val="lt-LT"/>
        </w:rPr>
        <w:fldChar w:fldCharType="separate"/>
      </w:r>
      <w:r>
        <w:rPr>
          <w:b/>
          <w:highlight w:val="yellow"/>
          <w:lang w:val="lt-LT"/>
        </w:rPr>
        <w:t xml:space="preserve"> </w:t>
      </w:r>
      <w:r>
        <w:rPr>
          <w:b/>
          <w:highlight w:val="yellow"/>
          <w:lang w:val="lt-LT"/>
        </w:rPr>
        <w:fldChar w:fldCharType="end"/>
      </w:r>
    </w:p>
    <w:p>
      <w:pPr>
        <w:spacing w:line="240" w:lineRule="auto"/>
        <w:rPr>
          <w:lang w:val="lt-LT"/>
        </w:rPr>
      </w:pPr>
    </w:p>
    <w:p>
      <w:pPr>
        <w:spacing w:line="240" w:lineRule="auto"/>
        <w:rPr>
          <w:lang w:val="lt-LT"/>
        </w:rPr>
      </w:pPr>
      <w:r>
        <w:rPr>
          <w:szCs w:val="22"/>
          <w:lang w:val="lt-LT"/>
        </w:rPr>
        <w:t>Tinka iki</w:t>
      </w:r>
    </w:p>
    <w:p>
      <w:pPr>
        <w:spacing w:line="240" w:lineRule="auto"/>
        <w:rPr>
          <w:lang w:val="lt-LT"/>
        </w:rPr>
      </w:pPr>
    </w:p>
    <w:p>
      <w:pPr>
        <w:spacing w:line="240" w:lineRule="auto"/>
        <w:rPr>
          <w:szCs w:val="22"/>
          <w:lang w:val="lt-LT"/>
        </w:rPr>
      </w:pPr>
      <w:r>
        <w:rPr>
          <w:szCs w:val="22"/>
          <w:lang w:val="lt-LT"/>
        </w:rPr>
        <w:t>Kiekvieną dozę suvartoti iškart po paruošimo. Mišinį išmesti, jei jis nesuvartojamas per 24 valandas po paruošimo, laikant šaldytuve (2 °C–8 °C), arba per 6 valandas, laikant žemesnėje kaip 25 °C temperatūroje.</w:t>
      </w:r>
    </w:p>
    <w:p>
      <w:pPr>
        <w:spacing w:line="240" w:lineRule="auto"/>
        <w:rPr>
          <w:szCs w:val="22"/>
          <w:lang w:val="lt-LT"/>
        </w:rPr>
      </w:pPr>
    </w:p>
    <w:p>
      <w:pPr>
        <w:spacing w:line="240" w:lineRule="auto"/>
        <w:rPr>
          <w:szCs w:val="22"/>
          <w:lang w:val="lt-LT"/>
        </w:rPr>
      </w:pPr>
    </w:p>
    <w:p>
      <w:pPr>
        <w:keepNext/>
        <w:pBdr>
          <w:top w:val="single" w:sz="4" w:space="1" w:color="000000"/>
          <w:left w:val="single" w:sz="4" w:space="4" w:color="000000"/>
          <w:bottom w:val="single" w:sz="4" w:space="1" w:color="000000"/>
          <w:right w:val="single" w:sz="4" w:space="4" w:color="000000"/>
        </w:pBdr>
        <w:spacing w:line="240" w:lineRule="auto"/>
        <w:ind w:left="567" w:hanging="567"/>
        <w:rPr>
          <w:szCs w:val="22"/>
          <w:lang w:val="lt-LT"/>
        </w:rPr>
      </w:pPr>
      <w:r>
        <w:rPr>
          <w:b/>
          <w:bCs/>
          <w:szCs w:val="22"/>
          <w:lang w:val="lt-LT"/>
        </w:rPr>
        <w:t>9.</w:t>
      </w:r>
      <w:r>
        <w:rPr>
          <w:b/>
          <w:bCs/>
          <w:szCs w:val="22"/>
          <w:lang w:val="lt-LT"/>
        </w:rPr>
        <w:tab/>
        <w:t>SPECIALIOS LAIKYMO SĄLYGOS</w:t>
      </w:r>
      <w:r>
        <w:rPr>
          <w:b/>
          <w:szCs w:val="22"/>
          <w:highlight w:val="yellow"/>
          <w:lang w:val="lt-LT"/>
        </w:rPr>
        <w:fldChar w:fldCharType="begin"/>
      </w:r>
      <w:r>
        <w:rPr>
          <w:b/>
          <w:szCs w:val="22"/>
          <w:highlight w:val="yellow"/>
          <w:lang w:val="lt-LT"/>
        </w:rPr>
        <w:instrText xml:space="preserve"> DOCVARIABLE VAULT_ND_3601a9c7-ee2b-4e78-8c7f-c077cd68a5e7 </w:instrText>
      </w:r>
      <w:r>
        <w:rPr>
          <w:b/>
          <w:szCs w:val="22"/>
          <w:highlight w:val="yellow"/>
          <w:lang w:val="lt-LT"/>
        </w:rPr>
        <w:fldChar w:fldCharType="separate"/>
      </w:r>
      <w:r>
        <w:rPr>
          <w:b/>
          <w:szCs w:val="22"/>
          <w:highlight w:val="yellow"/>
          <w:lang w:val="lt-LT"/>
        </w:rPr>
        <w:t xml:space="preserve"> </w:t>
      </w:r>
      <w:r>
        <w:rPr>
          <w:b/>
          <w:szCs w:val="22"/>
          <w:highlight w:val="yellow"/>
          <w:lang w:val="lt-LT"/>
        </w:rPr>
        <w:fldChar w:fldCharType="end"/>
      </w:r>
    </w:p>
    <w:p>
      <w:pPr>
        <w:tabs>
          <w:tab w:val="clear" w:pos="567"/>
          <w:tab w:val="left" w:pos="0"/>
        </w:tabs>
        <w:spacing w:line="240" w:lineRule="auto"/>
        <w:rPr>
          <w:szCs w:val="22"/>
          <w:lang w:val="lt-LT"/>
        </w:rPr>
      </w:pPr>
    </w:p>
    <w:p>
      <w:pPr>
        <w:tabs>
          <w:tab w:val="clear" w:pos="567"/>
          <w:tab w:val="left" w:pos="0"/>
        </w:tabs>
        <w:spacing w:line="240" w:lineRule="auto"/>
        <w:rPr>
          <w:szCs w:val="22"/>
          <w:lang w:val="lt-LT"/>
        </w:rPr>
      </w:pPr>
      <w:r>
        <w:rPr>
          <w:szCs w:val="22"/>
          <w:lang w:val="lt-LT"/>
        </w:rPr>
        <w:t>Laikyti gamintojo pakuotėje, kad vaistas būtų apsaugotas nuo šviesos.</w:t>
      </w:r>
    </w:p>
    <w:p>
      <w:pPr>
        <w:tabs>
          <w:tab w:val="clear" w:pos="567"/>
          <w:tab w:val="left" w:pos="0"/>
        </w:tabs>
        <w:spacing w:line="240" w:lineRule="auto"/>
        <w:rPr>
          <w:szCs w:val="22"/>
          <w:lang w:val="lt-LT"/>
        </w:rPr>
      </w:pPr>
    </w:p>
    <w:p>
      <w:pPr>
        <w:tabs>
          <w:tab w:val="clear" w:pos="567"/>
          <w:tab w:val="left" w:pos="0"/>
        </w:tabs>
        <w:spacing w:line="240" w:lineRule="auto"/>
        <w:rPr>
          <w:szCs w:val="22"/>
          <w:lang w:val="lt-LT"/>
        </w:rPr>
      </w:pPr>
    </w:p>
    <w:p>
      <w:pPr>
        <w:pBdr>
          <w:top w:val="single" w:sz="4" w:space="1" w:color="000000"/>
          <w:left w:val="single" w:sz="4" w:space="4" w:color="000000"/>
          <w:bottom w:val="single" w:sz="4" w:space="1" w:color="000000"/>
          <w:right w:val="single" w:sz="4" w:space="4" w:color="000000"/>
        </w:pBdr>
        <w:spacing w:line="240" w:lineRule="auto"/>
        <w:ind w:left="567" w:hanging="567"/>
        <w:rPr>
          <w:b/>
          <w:szCs w:val="22"/>
          <w:lang w:val="lt-LT"/>
        </w:rPr>
      </w:pPr>
      <w:r>
        <w:rPr>
          <w:b/>
          <w:bCs/>
          <w:szCs w:val="22"/>
          <w:lang w:val="lt-LT"/>
        </w:rPr>
        <w:t>10.</w:t>
      </w:r>
      <w:r>
        <w:rPr>
          <w:b/>
          <w:bCs/>
          <w:szCs w:val="22"/>
          <w:lang w:val="lt-LT"/>
        </w:rPr>
        <w:tab/>
        <w:t>SPECIALIOS ATSARGUMO PRIEMONĖS DĖL NESUVARTOTO VAISTINIO PREPARATO AR JO ATLIEKŲ TVARKYMO (JEI REIKIA)</w:t>
      </w:r>
      <w:r>
        <w:rPr>
          <w:b/>
          <w:szCs w:val="22"/>
          <w:highlight w:val="yellow"/>
          <w:lang w:val="lt-LT"/>
        </w:rPr>
        <w:fldChar w:fldCharType="begin"/>
      </w:r>
      <w:r>
        <w:rPr>
          <w:b/>
          <w:szCs w:val="22"/>
          <w:highlight w:val="yellow"/>
          <w:lang w:val="lt-LT"/>
        </w:rPr>
        <w:instrText xml:space="preserve"> DOCVARIABLE VAULT_ND_f173d885-4656-4bd5-b05f-cb99cbcd3477 </w:instrText>
      </w:r>
      <w:r>
        <w:rPr>
          <w:b/>
          <w:szCs w:val="22"/>
          <w:highlight w:val="yellow"/>
          <w:lang w:val="lt-LT"/>
        </w:rPr>
        <w:fldChar w:fldCharType="separate"/>
      </w:r>
      <w:r>
        <w:rPr>
          <w:b/>
          <w:szCs w:val="22"/>
          <w:highlight w:val="yellow"/>
          <w:lang w:val="lt-LT"/>
        </w:rPr>
        <w:t xml:space="preserve"> </w:t>
      </w:r>
      <w:r>
        <w:rPr>
          <w:b/>
          <w:szCs w:val="22"/>
          <w:highlight w:val="yellow"/>
          <w:lang w:val="lt-LT"/>
        </w:rPr>
        <w:fldChar w:fldCharType="end"/>
      </w:r>
    </w:p>
    <w:p>
      <w:pPr>
        <w:spacing w:line="240" w:lineRule="auto"/>
        <w:rPr>
          <w:szCs w:val="22"/>
          <w:lang w:val="lt-LT"/>
        </w:rPr>
      </w:pPr>
    </w:p>
    <w:p>
      <w:pPr>
        <w:spacing w:line="240" w:lineRule="auto"/>
        <w:rPr>
          <w:szCs w:val="22"/>
          <w:lang w:val="lt-LT"/>
        </w:rPr>
      </w:pPr>
    </w:p>
    <w:p>
      <w:pPr>
        <w:pBdr>
          <w:top w:val="single" w:sz="4" w:space="1" w:color="000000"/>
          <w:left w:val="single" w:sz="4" w:space="4" w:color="000000"/>
          <w:bottom w:val="single" w:sz="4" w:space="1" w:color="000000"/>
          <w:right w:val="single" w:sz="4" w:space="4" w:color="000000"/>
        </w:pBdr>
        <w:spacing w:line="240" w:lineRule="auto"/>
        <w:ind w:left="567" w:hanging="567"/>
        <w:rPr>
          <w:b/>
          <w:szCs w:val="22"/>
          <w:lang w:val="lt-LT"/>
        </w:rPr>
      </w:pPr>
      <w:r>
        <w:rPr>
          <w:b/>
          <w:bCs/>
          <w:szCs w:val="22"/>
          <w:lang w:val="lt-LT"/>
        </w:rPr>
        <w:t>11.</w:t>
      </w:r>
      <w:r>
        <w:rPr>
          <w:b/>
          <w:bCs/>
          <w:szCs w:val="22"/>
          <w:lang w:val="lt-LT"/>
        </w:rPr>
        <w:tab/>
        <w:t>REGISTRUOTOJO PAVADINIMAS IR ADRESAS</w:t>
      </w:r>
      <w:r>
        <w:rPr>
          <w:b/>
          <w:szCs w:val="22"/>
          <w:highlight w:val="yellow"/>
          <w:lang w:val="lt-LT"/>
        </w:rPr>
        <w:fldChar w:fldCharType="begin"/>
      </w:r>
      <w:r>
        <w:rPr>
          <w:b/>
          <w:szCs w:val="22"/>
          <w:highlight w:val="yellow"/>
          <w:lang w:val="lt-LT"/>
        </w:rPr>
        <w:instrText xml:space="preserve"> DOCVARIABLE VAULT_ND_e3c36f8a-0711-4a7e-b4be-4abd35e0d1ba </w:instrText>
      </w:r>
      <w:r>
        <w:rPr>
          <w:b/>
          <w:szCs w:val="22"/>
          <w:highlight w:val="yellow"/>
          <w:lang w:val="lt-LT"/>
        </w:rPr>
        <w:fldChar w:fldCharType="separate"/>
      </w:r>
      <w:r>
        <w:rPr>
          <w:b/>
          <w:szCs w:val="22"/>
          <w:highlight w:val="yellow"/>
          <w:lang w:val="lt-LT"/>
        </w:rPr>
        <w:t xml:space="preserve"> </w:t>
      </w:r>
      <w:r>
        <w:rPr>
          <w:b/>
          <w:szCs w:val="22"/>
          <w:highlight w:val="yellow"/>
          <w:lang w:val="lt-LT"/>
        </w:rPr>
        <w:fldChar w:fldCharType="end"/>
      </w:r>
    </w:p>
    <w:p>
      <w:pPr>
        <w:spacing w:line="240" w:lineRule="auto"/>
        <w:rPr>
          <w:szCs w:val="22"/>
          <w:lang w:val="lt-LT"/>
        </w:rPr>
      </w:pPr>
    </w:p>
    <w:p>
      <w:pPr>
        <w:pStyle w:val="NormalWeb"/>
        <w:tabs>
          <w:tab w:val="left" w:pos="0"/>
        </w:tabs>
        <w:spacing w:beforeAutospacing="0" w:afterAutospacing="0"/>
        <w:rPr>
          <w:sz w:val="22"/>
          <w:lang w:val="lt-LT"/>
        </w:rPr>
      </w:pPr>
      <w:r>
        <w:rPr>
          <w:sz w:val="22"/>
          <w:lang w:val="lt-LT"/>
        </w:rPr>
        <w:t>PTC Therapeutics International Limited</w:t>
      </w:r>
    </w:p>
    <w:p>
      <w:pPr>
        <w:pStyle w:val="NormalWeb"/>
        <w:tabs>
          <w:tab w:val="left" w:pos="0"/>
        </w:tabs>
        <w:spacing w:beforeAutospacing="0" w:afterAutospacing="0"/>
        <w:rPr>
          <w:sz w:val="22"/>
          <w:szCs w:val="22"/>
          <w:lang w:val="lt-LT"/>
        </w:rPr>
      </w:pPr>
      <w:r>
        <w:rPr>
          <w:sz w:val="22"/>
          <w:szCs w:val="22"/>
          <w:lang w:val="lt-LT"/>
        </w:rPr>
        <w:t>Unit 1, 52-55 Sir John Rogerson’s Quay,</w:t>
      </w:r>
    </w:p>
    <w:p>
      <w:pPr>
        <w:pStyle w:val="NormalWeb"/>
        <w:tabs>
          <w:tab w:val="left" w:pos="0"/>
        </w:tabs>
        <w:spacing w:beforeAutospacing="0" w:afterAutospacing="0"/>
        <w:rPr>
          <w:sz w:val="22"/>
          <w:szCs w:val="22"/>
          <w:lang w:val="lt-LT"/>
        </w:rPr>
      </w:pPr>
      <w:r>
        <w:rPr>
          <w:sz w:val="22"/>
          <w:szCs w:val="22"/>
          <w:lang w:val="lt-LT"/>
        </w:rPr>
        <w:t>Dublin 2, D02 NA07,</w:t>
      </w:r>
    </w:p>
    <w:p>
      <w:pPr>
        <w:pStyle w:val="NormalWeb"/>
        <w:tabs>
          <w:tab w:val="left" w:pos="0"/>
        </w:tabs>
        <w:spacing w:beforeAutospacing="0" w:afterAutospacing="0"/>
        <w:rPr>
          <w:sz w:val="22"/>
          <w:szCs w:val="22"/>
          <w:lang w:val="lt-LT"/>
        </w:rPr>
      </w:pPr>
      <w:r>
        <w:rPr>
          <w:sz w:val="22"/>
          <w:szCs w:val="22"/>
          <w:lang w:val="lt-LT"/>
        </w:rPr>
        <w:t>Airija</w:t>
      </w:r>
    </w:p>
    <w:p>
      <w:pPr>
        <w:spacing w:line="240" w:lineRule="auto"/>
        <w:rPr>
          <w:szCs w:val="22"/>
          <w:lang w:val="lt-LT"/>
        </w:rPr>
      </w:pPr>
    </w:p>
    <w:p>
      <w:pPr>
        <w:spacing w:line="240" w:lineRule="auto"/>
        <w:rPr>
          <w:szCs w:val="22"/>
          <w:lang w:val="lt-LT"/>
        </w:rPr>
      </w:pPr>
    </w:p>
    <w:p>
      <w:pPr>
        <w:pBdr>
          <w:top w:val="single" w:sz="4" w:space="1" w:color="000000"/>
          <w:left w:val="single" w:sz="4" w:space="4" w:color="000000"/>
          <w:bottom w:val="single" w:sz="4" w:space="1" w:color="000000"/>
          <w:right w:val="single" w:sz="4" w:space="4" w:color="000000"/>
        </w:pBdr>
        <w:spacing w:line="240" w:lineRule="auto"/>
        <w:ind w:left="567" w:hanging="567"/>
        <w:rPr>
          <w:szCs w:val="22"/>
          <w:lang w:val="lt-LT"/>
        </w:rPr>
      </w:pPr>
      <w:r>
        <w:rPr>
          <w:b/>
          <w:bCs/>
          <w:szCs w:val="22"/>
          <w:lang w:val="lt-LT"/>
        </w:rPr>
        <w:t>12.</w:t>
      </w:r>
      <w:r>
        <w:rPr>
          <w:b/>
          <w:bCs/>
          <w:szCs w:val="22"/>
          <w:lang w:val="lt-LT"/>
        </w:rPr>
        <w:tab/>
        <w:t>REGISTRACIJOS PAŽYMĖJIMO NUMERIS (-IAI)</w:t>
      </w:r>
      <w:r>
        <w:rPr>
          <w:b/>
          <w:szCs w:val="22"/>
          <w:lang w:val="lt-LT"/>
        </w:rPr>
        <w:fldChar w:fldCharType="begin"/>
      </w:r>
      <w:r>
        <w:rPr>
          <w:b/>
          <w:szCs w:val="22"/>
          <w:lang w:val="lt-LT"/>
        </w:rPr>
        <w:instrText xml:space="preserve"> DOCVARIABLE VAULT_ND_dfdfb262-eeed-400a-9174-18bac1359e00 </w:instrText>
      </w:r>
      <w:r>
        <w:rPr>
          <w:b/>
          <w:szCs w:val="22"/>
          <w:lang w:val="lt-LT"/>
        </w:rPr>
        <w:fldChar w:fldCharType="separate"/>
      </w:r>
      <w:r>
        <w:rPr>
          <w:b/>
          <w:szCs w:val="22"/>
          <w:lang w:val="lt-LT"/>
        </w:rPr>
        <w:t xml:space="preserve"> </w:t>
      </w:r>
      <w:r>
        <w:rPr>
          <w:b/>
          <w:szCs w:val="22"/>
          <w:lang w:val="lt-LT"/>
        </w:rPr>
        <w:fldChar w:fldCharType="end"/>
      </w:r>
    </w:p>
    <w:p>
      <w:pPr>
        <w:spacing w:line="240" w:lineRule="auto"/>
        <w:rPr>
          <w:szCs w:val="22"/>
          <w:lang w:val="lt-LT"/>
        </w:rPr>
      </w:pPr>
    </w:p>
    <w:p>
      <w:pPr>
        <w:spacing w:line="240" w:lineRule="auto"/>
        <w:rPr>
          <w:szCs w:val="22"/>
          <w:lang w:val="lt-LT"/>
        </w:rPr>
      </w:pPr>
      <w:r>
        <w:rPr>
          <w:szCs w:val="22"/>
          <w:lang w:val="lt-LT"/>
        </w:rPr>
        <w:t>EU/1/25/1939/001</w:t>
      </w:r>
    </w:p>
    <w:p>
      <w:pPr>
        <w:spacing w:line="240" w:lineRule="auto"/>
        <w:rPr>
          <w:szCs w:val="22"/>
          <w:lang w:val="lt-LT"/>
        </w:rPr>
      </w:pPr>
    </w:p>
    <w:p>
      <w:pPr>
        <w:spacing w:line="240" w:lineRule="auto"/>
        <w:rPr>
          <w:szCs w:val="22"/>
          <w:lang w:val="lt-LT"/>
        </w:rPr>
      </w:pPr>
    </w:p>
    <w:p>
      <w:pPr>
        <w:pBdr>
          <w:top w:val="single" w:sz="4" w:space="1" w:color="000000"/>
          <w:left w:val="single" w:sz="4" w:space="4" w:color="000000"/>
          <w:bottom w:val="single" w:sz="4" w:space="1" w:color="000000"/>
          <w:right w:val="single" w:sz="4" w:space="4" w:color="000000"/>
        </w:pBdr>
        <w:spacing w:line="240" w:lineRule="auto"/>
        <w:ind w:left="567" w:hanging="567"/>
        <w:rPr>
          <w:szCs w:val="22"/>
          <w:lang w:val="lt-LT"/>
        </w:rPr>
      </w:pPr>
      <w:r>
        <w:rPr>
          <w:b/>
          <w:bCs/>
          <w:szCs w:val="22"/>
          <w:lang w:val="lt-LT"/>
        </w:rPr>
        <w:t>13.</w:t>
      </w:r>
      <w:r>
        <w:rPr>
          <w:b/>
          <w:bCs/>
          <w:szCs w:val="22"/>
          <w:lang w:val="lt-LT"/>
        </w:rPr>
        <w:tab/>
        <w:t>SERIJOS NUMERIS</w:t>
      </w:r>
    </w:p>
    <w:p>
      <w:pPr>
        <w:spacing w:line="240" w:lineRule="auto"/>
        <w:rPr>
          <w:i/>
          <w:szCs w:val="22"/>
          <w:lang w:val="lt-LT"/>
        </w:rPr>
      </w:pPr>
    </w:p>
    <w:p>
      <w:pPr>
        <w:spacing w:line="240" w:lineRule="auto"/>
        <w:rPr>
          <w:szCs w:val="22"/>
          <w:lang w:val="lt-LT"/>
        </w:rPr>
      </w:pPr>
      <w:r>
        <w:rPr>
          <w:szCs w:val="22"/>
          <w:lang w:val="lt-LT"/>
        </w:rPr>
        <w:t>Serija</w:t>
      </w:r>
    </w:p>
    <w:p>
      <w:pPr>
        <w:spacing w:line="240" w:lineRule="auto"/>
        <w:rPr>
          <w:szCs w:val="22"/>
          <w:lang w:val="lt-LT"/>
        </w:rPr>
      </w:pPr>
    </w:p>
    <w:p>
      <w:pPr>
        <w:spacing w:line="240" w:lineRule="auto"/>
        <w:rPr>
          <w:szCs w:val="22"/>
          <w:lang w:val="lt-LT"/>
        </w:rPr>
      </w:pPr>
    </w:p>
    <w:p>
      <w:pPr>
        <w:pBdr>
          <w:top w:val="single" w:sz="4" w:space="1" w:color="000000"/>
          <w:left w:val="single" w:sz="4" w:space="4" w:color="000000"/>
          <w:bottom w:val="single" w:sz="4" w:space="1" w:color="000000"/>
          <w:right w:val="single" w:sz="4" w:space="4" w:color="000000"/>
        </w:pBdr>
        <w:spacing w:line="240" w:lineRule="auto"/>
        <w:ind w:left="567" w:hanging="567"/>
        <w:rPr>
          <w:szCs w:val="22"/>
          <w:lang w:val="lt-LT"/>
        </w:rPr>
      </w:pPr>
      <w:r>
        <w:rPr>
          <w:b/>
          <w:bCs/>
          <w:szCs w:val="22"/>
          <w:lang w:val="lt-LT"/>
        </w:rPr>
        <w:t>14.</w:t>
      </w:r>
      <w:r>
        <w:rPr>
          <w:b/>
          <w:bCs/>
          <w:szCs w:val="22"/>
          <w:lang w:val="lt-LT"/>
        </w:rPr>
        <w:tab/>
        <w:t>PARDAVIMO (IŠDAVIMO) TVARKA</w:t>
      </w:r>
      <w:r>
        <w:rPr>
          <w:b/>
          <w:szCs w:val="22"/>
          <w:highlight w:val="yellow"/>
          <w:lang w:val="lt-LT"/>
        </w:rPr>
        <w:fldChar w:fldCharType="begin"/>
      </w:r>
      <w:r>
        <w:rPr>
          <w:b/>
          <w:szCs w:val="22"/>
          <w:highlight w:val="yellow"/>
          <w:lang w:val="lt-LT"/>
        </w:rPr>
        <w:instrText xml:space="preserve"> DOCVARIABLE VAULT_ND_981f0308-3f59-43aa-9686-a4b4cac2aebf </w:instrText>
      </w:r>
      <w:r>
        <w:rPr>
          <w:b/>
          <w:szCs w:val="22"/>
          <w:highlight w:val="yellow"/>
          <w:lang w:val="lt-LT"/>
        </w:rPr>
        <w:fldChar w:fldCharType="separate"/>
      </w:r>
      <w:r>
        <w:rPr>
          <w:b/>
          <w:szCs w:val="22"/>
          <w:highlight w:val="yellow"/>
          <w:lang w:val="lt-LT"/>
        </w:rPr>
        <w:t xml:space="preserve"> </w:t>
      </w:r>
      <w:r>
        <w:rPr>
          <w:b/>
          <w:szCs w:val="22"/>
          <w:highlight w:val="yellow"/>
          <w:lang w:val="lt-LT"/>
        </w:rPr>
        <w:fldChar w:fldCharType="end"/>
      </w:r>
    </w:p>
    <w:p>
      <w:pPr>
        <w:spacing w:line="240" w:lineRule="auto"/>
        <w:rPr>
          <w:szCs w:val="22"/>
          <w:lang w:val="lt-LT"/>
        </w:rPr>
      </w:pPr>
    </w:p>
    <w:p>
      <w:pPr>
        <w:spacing w:line="240" w:lineRule="auto"/>
        <w:rPr>
          <w:szCs w:val="22"/>
          <w:lang w:val="lt-LT"/>
        </w:rPr>
      </w:pPr>
    </w:p>
    <w:p>
      <w:pPr>
        <w:pBdr>
          <w:top w:val="single" w:sz="4" w:space="2" w:color="000000"/>
          <w:left w:val="single" w:sz="4" w:space="4" w:color="000000"/>
          <w:bottom w:val="single" w:sz="4" w:space="1" w:color="000000"/>
          <w:right w:val="single" w:sz="4" w:space="4" w:color="000000"/>
        </w:pBdr>
        <w:spacing w:line="240" w:lineRule="auto"/>
        <w:ind w:left="567" w:hanging="567"/>
        <w:rPr>
          <w:szCs w:val="22"/>
          <w:lang w:val="lt-LT"/>
        </w:rPr>
      </w:pPr>
      <w:r>
        <w:rPr>
          <w:b/>
          <w:bCs/>
          <w:szCs w:val="22"/>
          <w:lang w:val="lt-LT"/>
        </w:rPr>
        <w:t>15.</w:t>
      </w:r>
      <w:r>
        <w:rPr>
          <w:b/>
          <w:bCs/>
          <w:szCs w:val="22"/>
          <w:lang w:val="lt-LT"/>
        </w:rPr>
        <w:tab/>
        <w:t>VARTOJIMO INSTRUKCIJA</w:t>
      </w:r>
      <w:r>
        <w:rPr>
          <w:b/>
          <w:szCs w:val="22"/>
          <w:highlight w:val="yellow"/>
          <w:lang w:val="lt-LT"/>
        </w:rPr>
        <w:fldChar w:fldCharType="begin"/>
      </w:r>
      <w:r>
        <w:rPr>
          <w:b/>
          <w:szCs w:val="22"/>
          <w:highlight w:val="yellow"/>
          <w:lang w:val="lt-LT"/>
        </w:rPr>
        <w:instrText xml:space="preserve"> DOCVARIABLE VAULT_ND_c6e4db47-3fe0-46cc-a945-7e6b504c930d </w:instrText>
      </w:r>
      <w:r>
        <w:rPr>
          <w:b/>
          <w:szCs w:val="22"/>
          <w:highlight w:val="yellow"/>
          <w:lang w:val="lt-LT"/>
        </w:rPr>
        <w:fldChar w:fldCharType="separate"/>
      </w:r>
      <w:r>
        <w:rPr>
          <w:b/>
          <w:szCs w:val="22"/>
          <w:highlight w:val="yellow"/>
          <w:lang w:val="lt-LT"/>
        </w:rPr>
        <w:t xml:space="preserve"> </w:t>
      </w:r>
      <w:r>
        <w:rPr>
          <w:b/>
          <w:szCs w:val="22"/>
          <w:highlight w:val="yellow"/>
          <w:lang w:val="lt-LT"/>
        </w:rPr>
        <w:fldChar w:fldCharType="end"/>
      </w:r>
    </w:p>
    <w:p>
      <w:pPr>
        <w:spacing w:line="240" w:lineRule="auto"/>
        <w:rPr>
          <w:szCs w:val="22"/>
          <w:lang w:val="lt-LT"/>
        </w:rPr>
      </w:pPr>
    </w:p>
    <w:p>
      <w:pPr>
        <w:spacing w:line="240" w:lineRule="auto"/>
        <w:rPr>
          <w:szCs w:val="22"/>
          <w:lang w:val="lt-LT"/>
        </w:rPr>
      </w:pPr>
    </w:p>
    <w:p>
      <w:pPr>
        <w:pBdr>
          <w:top w:val="single" w:sz="4" w:space="1" w:color="000000"/>
          <w:left w:val="single" w:sz="4" w:space="4" w:color="000000"/>
          <w:bottom w:val="single" w:sz="4" w:space="0" w:color="000000"/>
          <w:right w:val="single" w:sz="4" w:space="4" w:color="000000"/>
        </w:pBdr>
        <w:spacing w:line="240" w:lineRule="auto"/>
        <w:ind w:left="567" w:hanging="567"/>
        <w:rPr>
          <w:szCs w:val="22"/>
          <w:lang w:val="lt-LT"/>
        </w:rPr>
      </w:pPr>
      <w:r>
        <w:rPr>
          <w:b/>
          <w:bCs/>
          <w:szCs w:val="22"/>
          <w:lang w:val="lt-LT"/>
        </w:rPr>
        <w:t>16.</w:t>
      </w:r>
      <w:r>
        <w:rPr>
          <w:b/>
          <w:bCs/>
          <w:szCs w:val="22"/>
          <w:lang w:val="lt-LT"/>
        </w:rPr>
        <w:tab/>
        <w:t>INFORMACIJA BRAILIO RAŠTU</w:t>
      </w:r>
    </w:p>
    <w:p>
      <w:pPr>
        <w:spacing w:line="240" w:lineRule="auto"/>
        <w:rPr>
          <w:szCs w:val="22"/>
          <w:lang w:val="lt-LT"/>
        </w:rPr>
      </w:pPr>
    </w:p>
    <w:p>
      <w:pPr>
        <w:spacing w:line="240" w:lineRule="auto"/>
        <w:rPr>
          <w:szCs w:val="22"/>
          <w:shd w:val="clear" w:color="auto" w:fill="CCCCCC"/>
          <w:lang w:val="lt-LT"/>
        </w:rPr>
      </w:pPr>
      <w:r>
        <w:rPr>
          <w:szCs w:val="22"/>
          <w:lang w:val="lt-LT"/>
        </w:rPr>
        <w:t>Sephience 250 mg</w:t>
      </w:r>
    </w:p>
    <w:p>
      <w:pPr>
        <w:spacing w:line="240" w:lineRule="auto"/>
        <w:rPr>
          <w:szCs w:val="22"/>
          <w:shd w:val="clear" w:color="auto" w:fill="CCCCCC"/>
          <w:lang w:val="lt-LT"/>
        </w:rPr>
      </w:pPr>
    </w:p>
    <w:p>
      <w:pPr>
        <w:spacing w:line="240" w:lineRule="auto"/>
        <w:rPr>
          <w:szCs w:val="22"/>
          <w:shd w:val="clear" w:color="auto" w:fill="CCCCCC"/>
          <w:lang w:val="lt-LT"/>
        </w:rPr>
      </w:pPr>
    </w:p>
    <w:p>
      <w:pPr>
        <w:pBdr>
          <w:top w:val="single" w:sz="4" w:space="1" w:color="000000"/>
          <w:left w:val="single" w:sz="4" w:space="4" w:color="000000"/>
          <w:bottom w:val="single" w:sz="4" w:space="0" w:color="000000"/>
          <w:right w:val="single" w:sz="4" w:space="4" w:color="000000"/>
        </w:pBdr>
        <w:tabs>
          <w:tab w:val="clear" w:pos="567"/>
        </w:tabs>
        <w:spacing w:line="240" w:lineRule="auto"/>
        <w:ind w:left="567" w:hanging="567"/>
        <w:rPr>
          <w:i/>
          <w:lang w:val="lt-LT"/>
        </w:rPr>
      </w:pPr>
      <w:r>
        <w:rPr>
          <w:b/>
          <w:bCs/>
          <w:szCs w:val="22"/>
          <w:lang w:val="lt-LT"/>
        </w:rPr>
        <w:t>17.</w:t>
      </w:r>
      <w:r>
        <w:rPr>
          <w:b/>
          <w:bCs/>
          <w:szCs w:val="22"/>
          <w:lang w:val="lt-LT"/>
        </w:rPr>
        <w:tab/>
        <w:t>UNIKALUS IDENTIFIKATORIUS – 2D BRŪKŠNINIS KODAS</w:t>
      </w:r>
    </w:p>
    <w:p>
      <w:pPr>
        <w:tabs>
          <w:tab w:val="clear" w:pos="567"/>
        </w:tabs>
        <w:spacing w:line="240" w:lineRule="auto"/>
        <w:rPr>
          <w:lang w:val="lt-LT"/>
        </w:rPr>
      </w:pPr>
    </w:p>
    <w:p>
      <w:pPr>
        <w:spacing w:line="240" w:lineRule="auto"/>
        <w:rPr>
          <w:szCs w:val="22"/>
          <w:lang w:val="lt-LT"/>
        </w:rPr>
      </w:pPr>
      <w:r>
        <w:rPr>
          <w:szCs w:val="22"/>
          <w:lang w:val="lt-LT"/>
        </w:rPr>
        <w:t>2D brūkšninis kodas su nurodytu unikaliu identifikatoriumi.</w:t>
      </w:r>
    </w:p>
    <w:p>
      <w:pPr>
        <w:tabs>
          <w:tab w:val="clear" w:pos="567"/>
        </w:tabs>
        <w:spacing w:line="240" w:lineRule="auto"/>
        <w:rPr>
          <w:lang w:val="lt-LT"/>
        </w:rPr>
      </w:pPr>
    </w:p>
    <w:p>
      <w:pPr>
        <w:tabs>
          <w:tab w:val="clear" w:pos="567"/>
        </w:tabs>
        <w:spacing w:line="240" w:lineRule="auto"/>
        <w:rPr>
          <w:lang w:val="lt-LT"/>
        </w:rPr>
      </w:pPr>
    </w:p>
    <w:p>
      <w:pPr>
        <w:pBdr>
          <w:top w:val="single" w:sz="4" w:space="1" w:color="000000"/>
          <w:left w:val="single" w:sz="4" w:space="4" w:color="000000"/>
          <w:bottom w:val="single" w:sz="4" w:space="0" w:color="000000"/>
          <w:right w:val="single" w:sz="4" w:space="4" w:color="000000"/>
        </w:pBdr>
        <w:tabs>
          <w:tab w:val="clear" w:pos="567"/>
        </w:tabs>
        <w:spacing w:line="240" w:lineRule="auto"/>
        <w:ind w:left="567" w:hanging="567"/>
        <w:rPr>
          <w:i/>
          <w:lang w:val="lt-LT"/>
        </w:rPr>
      </w:pPr>
      <w:r>
        <w:rPr>
          <w:b/>
          <w:bCs/>
          <w:szCs w:val="22"/>
          <w:lang w:val="lt-LT"/>
        </w:rPr>
        <w:t>18.</w:t>
      </w:r>
      <w:r>
        <w:rPr>
          <w:b/>
          <w:bCs/>
          <w:szCs w:val="22"/>
          <w:lang w:val="lt-LT"/>
        </w:rPr>
        <w:tab/>
        <w:t>UNIKALUS IDENTIFIKATORIUS – ŽMONĖMS SUPRANTAMI DUOMENYS</w:t>
      </w:r>
    </w:p>
    <w:p>
      <w:pPr>
        <w:tabs>
          <w:tab w:val="clear" w:pos="567"/>
        </w:tabs>
        <w:spacing w:line="240" w:lineRule="auto"/>
        <w:rPr>
          <w:lang w:val="lt-LT"/>
        </w:rPr>
      </w:pPr>
    </w:p>
    <w:p>
      <w:pPr>
        <w:spacing w:line="240" w:lineRule="auto"/>
        <w:rPr>
          <w:color w:val="008000"/>
          <w:szCs w:val="22"/>
          <w:lang w:val="lt-LT"/>
        </w:rPr>
      </w:pPr>
      <w:r>
        <w:rPr>
          <w:szCs w:val="22"/>
          <w:lang w:val="lt-LT"/>
        </w:rPr>
        <w:t>PC</w:t>
      </w:r>
    </w:p>
    <w:p>
      <w:pPr>
        <w:spacing w:line="240" w:lineRule="auto"/>
        <w:rPr>
          <w:szCs w:val="22"/>
          <w:lang w:val="lt-LT"/>
        </w:rPr>
      </w:pPr>
      <w:r>
        <w:rPr>
          <w:szCs w:val="22"/>
          <w:lang w:val="lt-LT"/>
        </w:rPr>
        <w:t>SN</w:t>
      </w:r>
    </w:p>
    <w:p>
      <w:pPr>
        <w:spacing w:line="240" w:lineRule="auto"/>
        <w:rPr>
          <w:szCs w:val="22"/>
          <w:lang w:val="lt-LT"/>
        </w:rPr>
      </w:pPr>
      <w:r>
        <w:rPr>
          <w:szCs w:val="22"/>
          <w:lang w:val="lt-LT"/>
        </w:rPr>
        <w:t>NN</w:t>
      </w:r>
    </w:p>
    <w:p>
      <w:pPr>
        <w:spacing w:line="240" w:lineRule="auto"/>
        <w:rPr>
          <w:szCs w:val="22"/>
          <w:lang w:val="lt-LT"/>
        </w:rPr>
      </w:pPr>
    </w:p>
    <w:p>
      <w:pPr>
        <w:spacing w:line="240" w:lineRule="auto"/>
        <w:rPr>
          <w:szCs w:val="22"/>
          <w:lang w:val="lt-LT"/>
        </w:rPr>
      </w:pPr>
    </w:p>
    <w:p>
      <w:pPr>
        <w:spacing w:line="240" w:lineRule="auto"/>
        <w:rPr>
          <w:b/>
          <w:szCs w:val="22"/>
          <w:lang w:val="lt-LT"/>
        </w:rPr>
      </w:pPr>
      <w:r>
        <w:br w:type="page"/>
      </w:r>
    </w:p>
    <w:p>
      <w:pPr>
        <w:pBdr>
          <w:top w:val="single" w:sz="4" w:space="1" w:color="000000"/>
          <w:left w:val="single" w:sz="4" w:space="4" w:color="000000"/>
          <w:bottom w:val="single" w:sz="4" w:space="1" w:color="000000"/>
          <w:right w:val="single" w:sz="4" w:space="4" w:color="000000"/>
        </w:pBdr>
        <w:spacing w:line="240" w:lineRule="auto"/>
        <w:rPr>
          <w:b/>
          <w:szCs w:val="22"/>
          <w:lang w:val="lt-LT"/>
        </w:rPr>
      </w:pPr>
      <w:r>
        <w:rPr>
          <w:b/>
          <w:bCs/>
          <w:szCs w:val="22"/>
          <w:lang w:val="lt-LT"/>
        </w:rPr>
        <w:t>MINIMALI INFORMACIJA ANT MAŽŲ VIDINIŲ PAKUOČIŲ</w:t>
      </w:r>
    </w:p>
    <w:p>
      <w:pPr>
        <w:pBdr>
          <w:top w:val="single" w:sz="4" w:space="1" w:color="000000"/>
          <w:left w:val="single" w:sz="4" w:space="4" w:color="000000"/>
          <w:bottom w:val="single" w:sz="4" w:space="1" w:color="000000"/>
          <w:right w:val="single" w:sz="4" w:space="4" w:color="000000"/>
        </w:pBdr>
        <w:spacing w:line="240" w:lineRule="auto"/>
        <w:rPr>
          <w:b/>
          <w:szCs w:val="22"/>
          <w:lang w:val="lt-LT"/>
        </w:rPr>
      </w:pPr>
    </w:p>
    <w:p>
      <w:pPr>
        <w:pBdr>
          <w:top w:val="single" w:sz="4" w:space="1" w:color="000000"/>
          <w:left w:val="single" w:sz="4" w:space="4" w:color="000000"/>
          <w:bottom w:val="single" w:sz="4" w:space="1" w:color="000000"/>
          <w:right w:val="single" w:sz="4" w:space="4" w:color="000000"/>
        </w:pBdr>
        <w:spacing w:line="240" w:lineRule="auto"/>
        <w:rPr>
          <w:b/>
          <w:szCs w:val="22"/>
          <w:lang w:val="lt-LT"/>
        </w:rPr>
      </w:pPr>
      <w:r>
        <w:rPr>
          <w:b/>
          <w:bCs/>
          <w:szCs w:val="22"/>
          <w:lang w:val="lt-LT"/>
        </w:rPr>
        <w:t>ALIUMINIO PAKETĖLIS</w:t>
      </w:r>
    </w:p>
    <w:p>
      <w:pPr>
        <w:spacing w:line="240" w:lineRule="auto"/>
        <w:rPr>
          <w:szCs w:val="22"/>
          <w:lang w:val="lt-LT"/>
        </w:rPr>
      </w:pPr>
    </w:p>
    <w:p>
      <w:pPr>
        <w:spacing w:line="240" w:lineRule="auto"/>
        <w:rPr>
          <w:szCs w:val="22"/>
          <w:lang w:val="lt-LT"/>
        </w:rPr>
      </w:pPr>
    </w:p>
    <w:p>
      <w:pPr>
        <w:pBdr>
          <w:top w:val="single" w:sz="4" w:space="1" w:color="000000"/>
          <w:left w:val="single" w:sz="4" w:space="4" w:color="000000"/>
          <w:bottom w:val="single" w:sz="4" w:space="1" w:color="000000"/>
          <w:right w:val="single" w:sz="4" w:space="4" w:color="000000"/>
        </w:pBdr>
        <w:spacing w:line="240" w:lineRule="auto"/>
        <w:ind w:left="567" w:hanging="567"/>
        <w:rPr>
          <w:b/>
          <w:szCs w:val="22"/>
          <w:lang w:val="lt-LT"/>
        </w:rPr>
      </w:pPr>
      <w:r>
        <w:rPr>
          <w:b/>
          <w:bCs/>
          <w:szCs w:val="22"/>
          <w:lang w:val="lt-LT"/>
        </w:rPr>
        <w:t>1.</w:t>
      </w:r>
      <w:r>
        <w:rPr>
          <w:b/>
          <w:bCs/>
          <w:szCs w:val="22"/>
          <w:lang w:val="lt-LT"/>
        </w:rPr>
        <w:tab/>
        <w:t>VAISTINIO PREPARATO PAVADINIMAS IR VARTOJIMO BŪDAS (-AI)</w:t>
      </w:r>
      <w:r>
        <w:rPr>
          <w:b/>
          <w:szCs w:val="22"/>
          <w:highlight w:val="yellow"/>
          <w:lang w:val="lt-LT"/>
        </w:rPr>
        <w:fldChar w:fldCharType="begin"/>
      </w:r>
      <w:r>
        <w:rPr>
          <w:b/>
          <w:szCs w:val="22"/>
          <w:highlight w:val="yellow"/>
          <w:lang w:val="lt-LT"/>
        </w:rPr>
        <w:instrText xml:space="preserve"> DOCVARIABLE VAULT_ND_6ea353ec-fc5d-4f28-af33-f567a49a84d4 </w:instrText>
      </w:r>
      <w:r>
        <w:rPr>
          <w:b/>
          <w:szCs w:val="22"/>
          <w:highlight w:val="yellow"/>
          <w:lang w:val="lt-LT"/>
        </w:rPr>
        <w:fldChar w:fldCharType="separate"/>
      </w:r>
      <w:r>
        <w:rPr>
          <w:b/>
          <w:szCs w:val="22"/>
          <w:highlight w:val="yellow"/>
          <w:lang w:val="lt-LT"/>
        </w:rPr>
        <w:t xml:space="preserve"> </w:t>
      </w:r>
      <w:r>
        <w:rPr>
          <w:b/>
          <w:szCs w:val="22"/>
          <w:highlight w:val="yellow"/>
          <w:lang w:val="lt-LT"/>
        </w:rPr>
        <w:fldChar w:fldCharType="end"/>
      </w:r>
    </w:p>
    <w:p>
      <w:pPr>
        <w:spacing w:line="240" w:lineRule="auto"/>
        <w:ind w:left="567" w:hanging="567"/>
        <w:rPr>
          <w:szCs w:val="22"/>
          <w:lang w:val="lt-LT"/>
        </w:rPr>
      </w:pPr>
    </w:p>
    <w:p>
      <w:pPr>
        <w:spacing w:line="240" w:lineRule="auto"/>
        <w:rPr>
          <w:szCs w:val="22"/>
          <w:lang w:val="lt-LT"/>
        </w:rPr>
      </w:pPr>
      <w:r>
        <w:rPr>
          <w:szCs w:val="22"/>
          <w:lang w:val="lt-LT"/>
        </w:rPr>
        <w:t>Sephience 250 mg geriamieji milteliai paketėlyje</w:t>
      </w:r>
    </w:p>
    <w:p>
      <w:pPr>
        <w:spacing w:line="240" w:lineRule="auto"/>
        <w:rPr>
          <w:szCs w:val="22"/>
          <w:lang w:val="lt-LT"/>
        </w:rPr>
      </w:pPr>
      <w:r>
        <w:rPr>
          <w:szCs w:val="22"/>
          <w:lang w:val="lt-LT"/>
        </w:rPr>
        <w:t>sepiapterinas</w:t>
      </w:r>
    </w:p>
    <w:p>
      <w:pPr>
        <w:spacing w:line="240" w:lineRule="auto"/>
        <w:rPr>
          <w:szCs w:val="22"/>
          <w:lang w:val="lt-LT"/>
        </w:rPr>
      </w:pPr>
      <w:r>
        <w:rPr>
          <w:szCs w:val="22"/>
          <w:lang w:val="lt-LT"/>
        </w:rPr>
        <w:t>Vartoti per burną</w:t>
      </w:r>
    </w:p>
    <w:p>
      <w:pPr>
        <w:spacing w:line="240" w:lineRule="auto"/>
        <w:rPr>
          <w:szCs w:val="22"/>
          <w:lang w:val="lt-LT"/>
        </w:rPr>
      </w:pPr>
    </w:p>
    <w:p>
      <w:pPr>
        <w:spacing w:line="240" w:lineRule="auto"/>
        <w:rPr>
          <w:szCs w:val="22"/>
          <w:lang w:val="lt-LT"/>
        </w:rPr>
      </w:pPr>
    </w:p>
    <w:p>
      <w:pPr>
        <w:pBdr>
          <w:top w:val="single" w:sz="4" w:space="1" w:color="000000"/>
          <w:left w:val="single" w:sz="4" w:space="4" w:color="000000"/>
          <w:bottom w:val="single" w:sz="4" w:space="1" w:color="000000"/>
          <w:right w:val="single" w:sz="4" w:space="4" w:color="000000"/>
        </w:pBdr>
        <w:spacing w:line="240" w:lineRule="auto"/>
        <w:ind w:left="567" w:hanging="567"/>
        <w:rPr>
          <w:b/>
          <w:szCs w:val="22"/>
          <w:lang w:val="lt-LT"/>
        </w:rPr>
      </w:pPr>
      <w:r>
        <w:rPr>
          <w:b/>
          <w:bCs/>
          <w:szCs w:val="22"/>
          <w:lang w:val="lt-LT"/>
        </w:rPr>
        <w:t>2.</w:t>
      </w:r>
      <w:r>
        <w:rPr>
          <w:b/>
          <w:bCs/>
          <w:szCs w:val="22"/>
          <w:lang w:val="lt-LT"/>
        </w:rPr>
        <w:tab/>
        <w:t>VARTOJIMO METODAS</w:t>
      </w:r>
      <w:r>
        <w:rPr>
          <w:b/>
          <w:szCs w:val="22"/>
          <w:highlight w:val="yellow"/>
          <w:lang w:val="lt-LT"/>
        </w:rPr>
        <w:fldChar w:fldCharType="begin"/>
      </w:r>
      <w:r>
        <w:rPr>
          <w:b/>
          <w:szCs w:val="22"/>
          <w:highlight w:val="yellow"/>
          <w:lang w:val="lt-LT"/>
        </w:rPr>
        <w:instrText xml:space="preserve"> DOCVARIABLE VAULT_ND_4a5c3b14-1ab7-4aad-be13-79c6707f1b28 </w:instrText>
      </w:r>
      <w:r>
        <w:rPr>
          <w:b/>
          <w:szCs w:val="22"/>
          <w:highlight w:val="yellow"/>
          <w:lang w:val="lt-LT"/>
        </w:rPr>
        <w:fldChar w:fldCharType="separate"/>
      </w:r>
      <w:r>
        <w:rPr>
          <w:b/>
          <w:szCs w:val="22"/>
          <w:highlight w:val="yellow"/>
          <w:lang w:val="lt-LT"/>
        </w:rPr>
        <w:t xml:space="preserve"> </w:t>
      </w:r>
      <w:r>
        <w:rPr>
          <w:b/>
          <w:szCs w:val="22"/>
          <w:highlight w:val="yellow"/>
          <w:lang w:val="lt-LT"/>
        </w:rPr>
        <w:fldChar w:fldCharType="end"/>
      </w:r>
    </w:p>
    <w:p>
      <w:pPr>
        <w:spacing w:line="240" w:lineRule="auto"/>
        <w:rPr>
          <w:szCs w:val="22"/>
          <w:lang w:val="lt-LT"/>
        </w:rPr>
      </w:pPr>
    </w:p>
    <w:p>
      <w:pPr>
        <w:spacing w:line="240" w:lineRule="auto"/>
        <w:rPr>
          <w:szCs w:val="22"/>
          <w:lang w:val="lt-LT"/>
        </w:rPr>
      </w:pPr>
    </w:p>
    <w:p>
      <w:pPr>
        <w:pBdr>
          <w:top w:val="single" w:sz="4" w:space="1" w:color="000000"/>
          <w:left w:val="single" w:sz="4" w:space="4" w:color="000000"/>
          <w:bottom w:val="single" w:sz="4" w:space="1" w:color="000000"/>
          <w:right w:val="single" w:sz="4" w:space="4" w:color="000000"/>
        </w:pBdr>
        <w:spacing w:line="240" w:lineRule="auto"/>
        <w:ind w:left="567" w:hanging="567"/>
        <w:rPr>
          <w:b/>
          <w:szCs w:val="22"/>
          <w:lang w:val="lt-LT"/>
        </w:rPr>
      </w:pPr>
      <w:r>
        <w:rPr>
          <w:b/>
          <w:bCs/>
          <w:szCs w:val="22"/>
          <w:lang w:val="lt-LT"/>
        </w:rPr>
        <w:t>3.</w:t>
      </w:r>
      <w:r>
        <w:rPr>
          <w:b/>
          <w:bCs/>
          <w:szCs w:val="22"/>
          <w:lang w:val="lt-LT"/>
        </w:rPr>
        <w:tab/>
        <w:t>TINKAMUMO LAIKAS</w:t>
      </w:r>
      <w:r>
        <w:rPr>
          <w:b/>
          <w:szCs w:val="22"/>
          <w:highlight w:val="yellow"/>
          <w:lang w:val="lt-LT"/>
        </w:rPr>
        <w:fldChar w:fldCharType="begin"/>
      </w:r>
      <w:r>
        <w:rPr>
          <w:b/>
          <w:szCs w:val="22"/>
          <w:highlight w:val="yellow"/>
          <w:lang w:val="lt-LT"/>
        </w:rPr>
        <w:instrText xml:space="preserve"> DOCVARIABLE VAULT_ND_6674c304-9de1-464e-a2b0-a57cc48e68a8 </w:instrText>
      </w:r>
      <w:r>
        <w:rPr>
          <w:b/>
          <w:szCs w:val="22"/>
          <w:highlight w:val="yellow"/>
          <w:lang w:val="lt-LT"/>
        </w:rPr>
        <w:fldChar w:fldCharType="separate"/>
      </w:r>
      <w:r>
        <w:rPr>
          <w:b/>
          <w:szCs w:val="22"/>
          <w:highlight w:val="yellow"/>
          <w:lang w:val="lt-LT"/>
        </w:rPr>
        <w:t xml:space="preserve"> </w:t>
      </w:r>
      <w:r>
        <w:rPr>
          <w:b/>
          <w:szCs w:val="22"/>
          <w:highlight w:val="yellow"/>
          <w:lang w:val="lt-LT"/>
        </w:rPr>
        <w:fldChar w:fldCharType="end"/>
      </w:r>
    </w:p>
    <w:p>
      <w:pPr>
        <w:spacing w:line="240" w:lineRule="auto"/>
        <w:rPr>
          <w:lang w:val="lt-LT"/>
        </w:rPr>
      </w:pPr>
    </w:p>
    <w:p>
      <w:pPr>
        <w:spacing w:line="240" w:lineRule="auto"/>
        <w:rPr>
          <w:lang w:val="lt-LT"/>
        </w:rPr>
      </w:pPr>
      <w:r>
        <w:rPr>
          <w:szCs w:val="22"/>
          <w:lang w:val="lt-LT"/>
        </w:rPr>
        <w:t>EXP</w:t>
      </w:r>
    </w:p>
    <w:p>
      <w:pPr>
        <w:spacing w:line="240" w:lineRule="auto"/>
        <w:rPr>
          <w:lang w:val="lt-LT"/>
        </w:rPr>
      </w:pPr>
    </w:p>
    <w:p>
      <w:pPr>
        <w:spacing w:line="240" w:lineRule="auto"/>
        <w:rPr>
          <w:lang w:val="lt-LT"/>
        </w:rPr>
      </w:pPr>
    </w:p>
    <w:p>
      <w:pPr>
        <w:pBdr>
          <w:top w:val="single" w:sz="4" w:space="1" w:color="000000"/>
          <w:left w:val="single" w:sz="4" w:space="4" w:color="000000"/>
          <w:bottom w:val="single" w:sz="4" w:space="1" w:color="000000"/>
          <w:right w:val="single" w:sz="4" w:space="4" w:color="000000"/>
        </w:pBdr>
        <w:spacing w:line="240" w:lineRule="auto"/>
        <w:ind w:left="567" w:hanging="567"/>
        <w:rPr>
          <w:b/>
          <w:lang w:val="lt-LT"/>
        </w:rPr>
      </w:pPr>
      <w:r>
        <w:rPr>
          <w:b/>
          <w:bCs/>
          <w:szCs w:val="22"/>
          <w:lang w:val="lt-LT"/>
        </w:rPr>
        <w:t>4.</w:t>
      </w:r>
      <w:r>
        <w:rPr>
          <w:b/>
          <w:bCs/>
          <w:szCs w:val="22"/>
          <w:lang w:val="lt-LT"/>
        </w:rPr>
        <w:tab/>
        <w:t>SERIJOS NUMERIS</w:t>
      </w:r>
    </w:p>
    <w:p>
      <w:pPr>
        <w:spacing w:line="240" w:lineRule="auto"/>
        <w:ind w:right="113"/>
        <w:rPr>
          <w:lang w:val="lt-LT"/>
        </w:rPr>
      </w:pPr>
    </w:p>
    <w:p>
      <w:pPr>
        <w:spacing w:line="240" w:lineRule="auto"/>
        <w:ind w:right="113"/>
        <w:rPr>
          <w:lang w:val="lt-LT"/>
        </w:rPr>
      </w:pPr>
      <w:r>
        <w:rPr>
          <w:szCs w:val="22"/>
          <w:lang w:val="lt-LT"/>
        </w:rPr>
        <w:t>Lot</w:t>
      </w:r>
    </w:p>
    <w:p>
      <w:pPr>
        <w:spacing w:line="240" w:lineRule="auto"/>
        <w:ind w:right="113"/>
        <w:rPr>
          <w:lang w:val="lt-LT"/>
        </w:rPr>
      </w:pPr>
    </w:p>
    <w:p>
      <w:pPr>
        <w:spacing w:line="240" w:lineRule="auto"/>
        <w:ind w:right="113"/>
        <w:rPr>
          <w:lang w:val="lt-LT"/>
        </w:rPr>
      </w:pPr>
    </w:p>
    <w:p>
      <w:pPr>
        <w:pBdr>
          <w:top w:val="single" w:sz="4" w:space="1" w:color="000000"/>
          <w:left w:val="single" w:sz="4" w:space="4" w:color="000000"/>
          <w:bottom w:val="single" w:sz="4" w:space="1" w:color="000000"/>
          <w:right w:val="single" w:sz="4" w:space="4" w:color="000000"/>
        </w:pBdr>
        <w:spacing w:line="240" w:lineRule="auto"/>
        <w:ind w:left="567" w:hanging="567"/>
        <w:rPr>
          <w:b/>
          <w:szCs w:val="22"/>
          <w:lang w:val="lt-LT"/>
        </w:rPr>
      </w:pPr>
      <w:r>
        <w:rPr>
          <w:b/>
          <w:bCs/>
          <w:szCs w:val="22"/>
          <w:lang w:val="lt-LT"/>
        </w:rPr>
        <w:t>5.</w:t>
      </w:r>
      <w:r>
        <w:rPr>
          <w:b/>
          <w:bCs/>
          <w:szCs w:val="22"/>
          <w:lang w:val="lt-LT"/>
        </w:rPr>
        <w:tab/>
        <w:t>KIEKIS (MASĖ, TŪRIS ARBA VIENETAI)</w:t>
      </w:r>
      <w:r>
        <w:rPr>
          <w:b/>
          <w:szCs w:val="22"/>
          <w:highlight w:val="yellow"/>
          <w:lang w:val="lt-LT"/>
        </w:rPr>
        <w:fldChar w:fldCharType="begin"/>
      </w:r>
      <w:r>
        <w:rPr>
          <w:b/>
          <w:szCs w:val="22"/>
          <w:highlight w:val="yellow"/>
          <w:lang w:val="lt-LT"/>
        </w:rPr>
        <w:instrText xml:space="preserve"> DOCVARIABLE VAULT_ND_6b4a62b8-8903-484d-a2a1-17b7684c58f2 </w:instrText>
      </w:r>
      <w:r>
        <w:rPr>
          <w:b/>
          <w:szCs w:val="22"/>
          <w:highlight w:val="yellow"/>
          <w:lang w:val="lt-LT"/>
        </w:rPr>
        <w:fldChar w:fldCharType="separate"/>
      </w:r>
      <w:r>
        <w:rPr>
          <w:b/>
          <w:szCs w:val="22"/>
          <w:highlight w:val="yellow"/>
          <w:lang w:val="lt-LT"/>
        </w:rPr>
        <w:t xml:space="preserve"> </w:t>
      </w:r>
      <w:r>
        <w:rPr>
          <w:b/>
          <w:szCs w:val="22"/>
          <w:highlight w:val="yellow"/>
          <w:lang w:val="lt-LT"/>
        </w:rPr>
        <w:fldChar w:fldCharType="end"/>
      </w:r>
    </w:p>
    <w:p>
      <w:pPr>
        <w:spacing w:line="240" w:lineRule="auto"/>
        <w:ind w:right="113"/>
        <w:rPr>
          <w:szCs w:val="22"/>
          <w:lang w:val="lt-LT"/>
        </w:rPr>
      </w:pPr>
    </w:p>
    <w:p>
      <w:pPr>
        <w:spacing w:line="240" w:lineRule="auto"/>
        <w:ind w:right="113"/>
        <w:rPr>
          <w:szCs w:val="22"/>
          <w:lang w:val="lt-LT"/>
        </w:rPr>
      </w:pPr>
      <w:r>
        <w:rPr>
          <w:szCs w:val="22"/>
          <w:lang w:val="lt-LT"/>
        </w:rPr>
        <w:t>250 mg</w:t>
      </w:r>
    </w:p>
    <w:p>
      <w:pPr>
        <w:spacing w:line="240" w:lineRule="auto"/>
        <w:ind w:right="113"/>
        <w:rPr>
          <w:szCs w:val="22"/>
          <w:lang w:val="lt-LT"/>
        </w:rPr>
      </w:pPr>
    </w:p>
    <w:p>
      <w:pPr>
        <w:spacing w:line="240" w:lineRule="auto"/>
        <w:ind w:right="113"/>
        <w:rPr>
          <w:szCs w:val="22"/>
          <w:lang w:val="lt-LT"/>
        </w:rPr>
      </w:pPr>
    </w:p>
    <w:p>
      <w:pPr>
        <w:pBdr>
          <w:top w:val="single" w:sz="4" w:space="1" w:color="000000"/>
          <w:left w:val="single" w:sz="4" w:space="4" w:color="000000"/>
          <w:bottom w:val="single" w:sz="4" w:space="1" w:color="000000"/>
          <w:right w:val="single" w:sz="4" w:space="4" w:color="000000"/>
        </w:pBdr>
        <w:spacing w:line="240" w:lineRule="auto"/>
        <w:ind w:left="567" w:hanging="567"/>
        <w:rPr>
          <w:b/>
          <w:szCs w:val="22"/>
          <w:lang w:val="lt-LT"/>
        </w:rPr>
      </w:pPr>
      <w:r>
        <w:rPr>
          <w:b/>
          <w:bCs/>
          <w:szCs w:val="22"/>
          <w:lang w:val="lt-LT"/>
        </w:rPr>
        <w:t>6.</w:t>
      </w:r>
      <w:r>
        <w:rPr>
          <w:b/>
          <w:bCs/>
          <w:szCs w:val="22"/>
          <w:lang w:val="lt-LT"/>
        </w:rPr>
        <w:tab/>
        <w:t>KITA</w:t>
      </w:r>
      <w:r>
        <w:rPr>
          <w:b/>
          <w:szCs w:val="22"/>
          <w:lang w:val="lt-LT"/>
        </w:rPr>
        <w:fldChar w:fldCharType="begin"/>
      </w:r>
      <w:r>
        <w:rPr>
          <w:b/>
          <w:szCs w:val="22"/>
          <w:lang w:val="lt-LT"/>
        </w:rPr>
        <w:instrText xml:space="preserve"> DOCVARIABLE VAULT_ND_dffcf502-a091-44dc-a2c2-31b339db862c </w:instrText>
      </w:r>
      <w:r>
        <w:rPr>
          <w:b/>
          <w:szCs w:val="22"/>
          <w:lang w:val="lt-LT"/>
        </w:rPr>
        <w:fldChar w:fldCharType="separate"/>
      </w:r>
      <w:r>
        <w:rPr>
          <w:b/>
          <w:szCs w:val="22"/>
          <w:lang w:val="lt-LT"/>
        </w:rPr>
        <w:t xml:space="preserve"> </w:t>
      </w:r>
      <w:r>
        <w:rPr>
          <w:b/>
          <w:szCs w:val="22"/>
          <w:lang w:val="lt-LT"/>
        </w:rPr>
        <w:fldChar w:fldCharType="end"/>
      </w:r>
    </w:p>
    <w:p>
      <w:pPr>
        <w:spacing w:line="240" w:lineRule="auto"/>
        <w:ind w:right="113"/>
        <w:rPr>
          <w:szCs w:val="22"/>
          <w:lang w:val="lt-LT"/>
        </w:rPr>
      </w:pPr>
    </w:p>
    <w:p>
      <w:pPr>
        <w:spacing w:line="240" w:lineRule="auto"/>
        <w:ind w:right="113"/>
        <w:rPr>
          <w:lang w:val="lt-LT"/>
        </w:rPr>
      </w:pPr>
    </w:p>
    <w:p>
      <w:pPr>
        <w:spacing w:line="240" w:lineRule="auto"/>
        <w:ind w:right="113"/>
        <w:rPr>
          <w:lang w:val="lt-LT"/>
        </w:rPr>
      </w:pPr>
    </w:p>
    <w:p>
      <w:pPr>
        <w:spacing w:line="240" w:lineRule="auto"/>
        <w:rPr>
          <w:b/>
          <w:lang w:val="lt-LT"/>
        </w:rPr>
      </w:pPr>
      <w:r>
        <w:br w:type="page"/>
      </w:r>
    </w:p>
    <w:p>
      <w:pPr>
        <w:pBdr>
          <w:top w:val="single" w:sz="4" w:space="1" w:color="000000"/>
          <w:left w:val="single" w:sz="4" w:space="4" w:color="000000"/>
          <w:bottom w:val="single" w:sz="4" w:space="1" w:color="000000"/>
          <w:right w:val="single" w:sz="4" w:space="4" w:color="000000"/>
        </w:pBdr>
        <w:spacing w:line="240" w:lineRule="auto"/>
        <w:rPr>
          <w:b/>
          <w:szCs w:val="22"/>
          <w:lang w:val="lt-LT"/>
        </w:rPr>
      </w:pPr>
      <w:r>
        <w:rPr>
          <w:b/>
          <w:bCs/>
          <w:szCs w:val="22"/>
          <w:lang w:val="lt-LT"/>
        </w:rPr>
        <w:t>INFORMACIJA ANT IŠORINĖS PAKUOTĖS</w:t>
      </w:r>
    </w:p>
    <w:p>
      <w:pPr>
        <w:pBdr>
          <w:top w:val="single" w:sz="4" w:space="1" w:color="000000"/>
          <w:left w:val="single" w:sz="4" w:space="4" w:color="000000"/>
          <w:bottom w:val="single" w:sz="4" w:space="1" w:color="000000"/>
          <w:right w:val="single" w:sz="4" w:space="4" w:color="000000"/>
        </w:pBdr>
        <w:spacing w:line="240" w:lineRule="auto"/>
        <w:ind w:left="567" w:hanging="567"/>
        <w:rPr>
          <w:szCs w:val="22"/>
          <w:lang w:val="lt-LT"/>
        </w:rPr>
      </w:pPr>
    </w:p>
    <w:p>
      <w:pPr>
        <w:pBdr>
          <w:top w:val="single" w:sz="4" w:space="1" w:color="000000"/>
          <w:left w:val="single" w:sz="4" w:space="4" w:color="000000"/>
          <w:bottom w:val="single" w:sz="4" w:space="1" w:color="000000"/>
          <w:right w:val="single" w:sz="4" w:space="4" w:color="000000"/>
        </w:pBdr>
        <w:spacing w:line="240" w:lineRule="auto"/>
        <w:rPr>
          <w:szCs w:val="22"/>
          <w:lang w:val="lt-LT"/>
        </w:rPr>
      </w:pPr>
      <w:r>
        <w:rPr>
          <w:b/>
          <w:bCs/>
          <w:szCs w:val="22"/>
          <w:lang w:val="lt-LT"/>
        </w:rPr>
        <w:t>Kartono dėžutė</w:t>
      </w:r>
    </w:p>
    <w:p>
      <w:pPr>
        <w:spacing w:line="240" w:lineRule="auto"/>
        <w:rPr>
          <w:lang w:val="lt-LT"/>
        </w:rPr>
      </w:pPr>
    </w:p>
    <w:p>
      <w:pPr>
        <w:spacing w:line="240" w:lineRule="auto"/>
        <w:rPr>
          <w:szCs w:val="22"/>
          <w:lang w:val="lt-LT"/>
        </w:rPr>
      </w:pPr>
    </w:p>
    <w:p>
      <w:pPr>
        <w:pBdr>
          <w:top w:val="single" w:sz="4" w:space="1" w:color="000000"/>
          <w:left w:val="single" w:sz="4" w:space="4" w:color="000000"/>
          <w:bottom w:val="single" w:sz="4" w:space="1" w:color="000000"/>
          <w:right w:val="single" w:sz="4" w:space="4" w:color="000000"/>
        </w:pBdr>
        <w:spacing w:line="240" w:lineRule="auto"/>
        <w:ind w:left="567" w:hanging="567"/>
        <w:rPr>
          <w:lang w:val="lt-LT"/>
        </w:rPr>
      </w:pPr>
      <w:r>
        <w:rPr>
          <w:b/>
          <w:bCs/>
          <w:szCs w:val="22"/>
          <w:lang w:val="lt-LT"/>
        </w:rPr>
        <w:t>1.</w:t>
      </w:r>
      <w:r>
        <w:rPr>
          <w:b/>
          <w:bCs/>
          <w:szCs w:val="22"/>
          <w:lang w:val="lt-LT"/>
        </w:rPr>
        <w:tab/>
        <w:t>VAISTINIO PREPARATO PAVADINIMAS</w:t>
      </w:r>
      <w:r>
        <w:rPr>
          <w:b/>
          <w:highlight w:val="yellow"/>
          <w:lang w:val="lt-LT"/>
        </w:rPr>
        <w:fldChar w:fldCharType="begin"/>
      </w:r>
      <w:r>
        <w:rPr>
          <w:b/>
          <w:highlight w:val="yellow"/>
          <w:lang w:val="lt-LT"/>
        </w:rPr>
        <w:instrText xml:space="preserve"> DOCVARIABLE VAULT_ND_0893534f-f662-489c-aa07-d8e55ccf6f80 </w:instrText>
      </w:r>
      <w:r>
        <w:rPr>
          <w:b/>
          <w:highlight w:val="yellow"/>
          <w:lang w:val="lt-LT"/>
        </w:rPr>
        <w:fldChar w:fldCharType="separate"/>
      </w:r>
      <w:r>
        <w:rPr>
          <w:b/>
          <w:highlight w:val="yellow"/>
          <w:lang w:val="lt-LT"/>
        </w:rPr>
        <w:t xml:space="preserve"> </w:t>
      </w:r>
      <w:r>
        <w:rPr>
          <w:b/>
          <w:highlight w:val="yellow"/>
          <w:lang w:val="lt-LT"/>
        </w:rPr>
        <w:fldChar w:fldCharType="end"/>
      </w:r>
    </w:p>
    <w:p>
      <w:pPr>
        <w:spacing w:line="240" w:lineRule="auto"/>
        <w:rPr>
          <w:szCs w:val="22"/>
          <w:lang w:val="lt-LT"/>
        </w:rPr>
      </w:pPr>
    </w:p>
    <w:p>
      <w:pPr>
        <w:spacing w:line="240" w:lineRule="auto"/>
        <w:rPr>
          <w:szCs w:val="22"/>
          <w:lang w:val="lt-LT"/>
        </w:rPr>
      </w:pPr>
      <w:r>
        <w:rPr>
          <w:szCs w:val="22"/>
          <w:lang w:val="lt-LT"/>
        </w:rPr>
        <w:t>Sephience 1 000 mg geriamieji milteliai paketėlyje</w:t>
      </w:r>
    </w:p>
    <w:p>
      <w:pPr>
        <w:spacing w:line="240" w:lineRule="auto"/>
        <w:rPr>
          <w:b/>
          <w:szCs w:val="22"/>
          <w:lang w:val="lt-LT"/>
        </w:rPr>
      </w:pPr>
      <w:r>
        <w:rPr>
          <w:szCs w:val="22"/>
          <w:lang w:val="lt-LT"/>
        </w:rPr>
        <w:t>sepiapterinas</w:t>
      </w:r>
    </w:p>
    <w:p>
      <w:pPr>
        <w:spacing w:line="240" w:lineRule="auto"/>
        <w:rPr>
          <w:szCs w:val="22"/>
          <w:lang w:val="lt-LT"/>
        </w:rPr>
      </w:pPr>
    </w:p>
    <w:p>
      <w:pPr>
        <w:spacing w:line="240" w:lineRule="auto"/>
        <w:rPr>
          <w:szCs w:val="22"/>
          <w:lang w:val="lt-LT"/>
        </w:rPr>
      </w:pPr>
    </w:p>
    <w:p>
      <w:pPr>
        <w:pBdr>
          <w:top w:val="single" w:sz="4" w:space="1" w:color="000000"/>
          <w:left w:val="single" w:sz="4" w:space="4" w:color="000000"/>
          <w:bottom w:val="single" w:sz="4" w:space="1" w:color="000000"/>
          <w:right w:val="single" w:sz="4" w:space="4" w:color="000000"/>
        </w:pBdr>
        <w:spacing w:line="240" w:lineRule="auto"/>
        <w:ind w:left="567" w:hanging="567"/>
        <w:rPr>
          <w:b/>
          <w:szCs w:val="22"/>
          <w:lang w:val="lt-LT"/>
        </w:rPr>
      </w:pPr>
      <w:r>
        <w:rPr>
          <w:b/>
          <w:bCs/>
          <w:szCs w:val="22"/>
          <w:lang w:val="lt-LT"/>
        </w:rPr>
        <w:t>2.</w:t>
      </w:r>
      <w:r>
        <w:rPr>
          <w:b/>
          <w:bCs/>
          <w:szCs w:val="22"/>
          <w:lang w:val="lt-LT"/>
        </w:rPr>
        <w:tab/>
        <w:t>VEIKLIOJI (-IOS) MEDŽIAGA (-OS) IR JOS (-Ų) KIEKIS (-IAI)</w:t>
      </w:r>
      <w:r>
        <w:rPr>
          <w:b/>
          <w:szCs w:val="22"/>
          <w:highlight w:val="yellow"/>
          <w:lang w:val="lt-LT"/>
        </w:rPr>
        <w:fldChar w:fldCharType="begin"/>
      </w:r>
      <w:r>
        <w:rPr>
          <w:b/>
          <w:szCs w:val="22"/>
          <w:highlight w:val="yellow"/>
          <w:lang w:val="lt-LT"/>
        </w:rPr>
        <w:instrText xml:space="preserve"> DOCVARIABLE VAULT_ND_926877e5-7076-41b2-9804-e8793ae98875 </w:instrText>
      </w:r>
      <w:r>
        <w:rPr>
          <w:b/>
          <w:szCs w:val="22"/>
          <w:highlight w:val="yellow"/>
          <w:lang w:val="lt-LT"/>
        </w:rPr>
        <w:fldChar w:fldCharType="separate"/>
      </w:r>
      <w:r>
        <w:rPr>
          <w:b/>
          <w:szCs w:val="22"/>
          <w:highlight w:val="yellow"/>
          <w:lang w:val="lt-LT"/>
        </w:rPr>
        <w:t xml:space="preserve"> </w:t>
      </w:r>
      <w:r>
        <w:rPr>
          <w:b/>
          <w:szCs w:val="22"/>
          <w:highlight w:val="yellow"/>
          <w:lang w:val="lt-LT"/>
        </w:rPr>
        <w:fldChar w:fldCharType="end"/>
      </w:r>
    </w:p>
    <w:p>
      <w:pPr>
        <w:spacing w:line="240" w:lineRule="auto"/>
        <w:rPr>
          <w:szCs w:val="22"/>
          <w:lang w:val="lt-LT"/>
        </w:rPr>
      </w:pPr>
    </w:p>
    <w:p>
      <w:pPr>
        <w:spacing w:line="240" w:lineRule="auto"/>
        <w:rPr>
          <w:szCs w:val="22"/>
          <w:lang w:val="lt-LT"/>
        </w:rPr>
      </w:pPr>
      <w:r>
        <w:rPr>
          <w:szCs w:val="22"/>
          <w:lang w:val="lt-LT"/>
        </w:rPr>
        <w:t>Kiekviename paketėlyje yra 1 000 mg sepiapterino.</w:t>
      </w:r>
    </w:p>
    <w:p>
      <w:pPr>
        <w:spacing w:line="240" w:lineRule="auto"/>
        <w:rPr>
          <w:szCs w:val="22"/>
          <w:lang w:val="lt-LT"/>
        </w:rPr>
      </w:pPr>
    </w:p>
    <w:p>
      <w:pPr>
        <w:spacing w:line="240" w:lineRule="auto"/>
        <w:rPr>
          <w:szCs w:val="22"/>
          <w:lang w:val="lt-LT"/>
        </w:rPr>
      </w:pPr>
    </w:p>
    <w:p>
      <w:pPr>
        <w:pBdr>
          <w:top w:val="single" w:sz="4" w:space="1" w:color="000000"/>
          <w:left w:val="single" w:sz="4" w:space="4" w:color="000000"/>
          <w:bottom w:val="single" w:sz="4" w:space="1" w:color="000000"/>
          <w:right w:val="single" w:sz="4" w:space="4" w:color="000000"/>
        </w:pBdr>
        <w:spacing w:line="240" w:lineRule="auto"/>
        <w:ind w:left="567" w:hanging="567"/>
        <w:rPr>
          <w:szCs w:val="22"/>
          <w:lang w:val="lt-LT"/>
        </w:rPr>
      </w:pPr>
      <w:r>
        <w:rPr>
          <w:b/>
          <w:bCs/>
          <w:szCs w:val="22"/>
          <w:lang w:val="lt-LT"/>
        </w:rPr>
        <w:t>3.</w:t>
      </w:r>
      <w:r>
        <w:rPr>
          <w:b/>
          <w:bCs/>
          <w:szCs w:val="22"/>
          <w:lang w:val="lt-LT"/>
        </w:rPr>
        <w:tab/>
        <w:t>PAGALBINIŲ MEDŽIAGŲ SĄRAŠAS</w:t>
      </w:r>
      <w:r>
        <w:rPr>
          <w:b/>
          <w:szCs w:val="22"/>
          <w:highlight w:val="yellow"/>
          <w:lang w:val="lt-LT"/>
        </w:rPr>
        <w:fldChar w:fldCharType="begin"/>
      </w:r>
      <w:r>
        <w:rPr>
          <w:b/>
          <w:szCs w:val="22"/>
          <w:highlight w:val="yellow"/>
          <w:lang w:val="lt-LT"/>
        </w:rPr>
        <w:instrText xml:space="preserve"> DOCVARIABLE VAULT_ND_390f478a-0661-4762-b38b-9b6da95170ac </w:instrText>
      </w:r>
      <w:r>
        <w:rPr>
          <w:b/>
          <w:szCs w:val="22"/>
          <w:highlight w:val="yellow"/>
          <w:lang w:val="lt-LT"/>
        </w:rPr>
        <w:fldChar w:fldCharType="separate"/>
      </w:r>
      <w:r>
        <w:rPr>
          <w:b/>
          <w:szCs w:val="22"/>
          <w:highlight w:val="yellow"/>
          <w:lang w:val="lt-LT"/>
        </w:rPr>
        <w:t xml:space="preserve"> </w:t>
      </w:r>
      <w:r>
        <w:rPr>
          <w:b/>
          <w:szCs w:val="22"/>
          <w:highlight w:val="yellow"/>
          <w:lang w:val="lt-LT"/>
        </w:rPr>
        <w:fldChar w:fldCharType="end"/>
      </w:r>
    </w:p>
    <w:p>
      <w:pPr>
        <w:spacing w:line="240" w:lineRule="auto"/>
        <w:rPr>
          <w:szCs w:val="22"/>
          <w:lang w:val="lt-LT"/>
        </w:rPr>
      </w:pPr>
    </w:p>
    <w:p>
      <w:pPr>
        <w:spacing w:line="240" w:lineRule="auto"/>
        <w:rPr>
          <w:szCs w:val="22"/>
          <w:lang w:val="lt-LT"/>
        </w:rPr>
      </w:pPr>
      <w:r>
        <w:rPr>
          <w:szCs w:val="22"/>
          <w:lang w:val="lt-LT"/>
        </w:rPr>
        <w:t xml:space="preserve">Sudėtyje yra izomalto (E953). </w:t>
      </w:r>
      <w:r>
        <w:rPr>
          <w:szCs w:val="22"/>
          <w:highlight w:val="lightGray"/>
          <w:lang w:val="lt-LT"/>
        </w:rPr>
        <w:t>Daugiau informacijos pateikiama pakuotės lapelyje.</w:t>
      </w:r>
    </w:p>
    <w:p>
      <w:pPr>
        <w:spacing w:line="240" w:lineRule="auto"/>
        <w:rPr>
          <w:szCs w:val="22"/>
          <w:lang w:val="lt-LT"/>
        </w:rPr>
      </w:pPr>
    </w:p>
    <w:p>
      <w:pPr>
        <w:spacing w:line="240" w:lineRule="auto"/>
        <w:rPr>
          <w:szCs w:val="22"/>
          <w:lang w:val="lt-LT"/>
        </w:rPr>
      </w:pPr>
    </w:p>
    <w:p>
      <w:pPr>
        <w:pBdr>
          <w:top w:val="single" w:sz="4" w:space="1" w:color="000000"/>
          <w:left w:val="single" w:sz="4" w:space="4" w:color="000000"/>
          <w:bottom w:val="single" w:sz="4" w:space="1" w:color="000000"/>
          <w:right w:val="single" w:sz="4" w:space="4" w:color="000000"/>
        </w:pBdr>
        <w:spacing w:line="240" w:lineRule="auto"/>
        <w:ind w:left="567" w:hanging="567"/>
        <w:rPr>
          <w:szCs w:val="22"/>
          <w:lang w:val="lt-LT"/>
        </w:rPr>
      </w:pPr>
      <w:r>
        <w:rPr>
          <w:b/>
          <w:bCs/>
          <w:szCs w:val="22"/>
          <w:lang w:val="lt-LT"/>
        </w:rPr>
        <w:t>4.</w:t>
      </w:r>
      <w:r>
        <w:rPr>
          <w:b/>
          <w:bCs/>
          <w:szCs w:val="22"/>
          <w:lang w:val="lt-LT"/>
        </w:rPr>
        <w:tab/>
        <w:t>FARMACINĖ FORMA IR KIEKIS PAKUOTĖJE</w:t>
      </w:r>
      <w:r>
        <w:rPr>
          <w:b/>
          <w:szCs w:val="22"/>
          <w:highlight w:val="yellow"/>
          <w:lang w:val="lt-LT"/>
        </w:rPr>
        <w:fldChar w:fldCharType="begin"/>
      </w:r>
      <w:r>
        <w:rPr>
          <w:b/>
          <w:szCs w:val="22"/>
          <w:highlight w:val="yellow"/>
          <w:lang w:val="lt-LT"/>
        </w:rPr>
        <w:instrText xml:space="preserve"> DOCVARIABLE VAULT_ND_c9bed406-52c6-4475-b309-a84d71225e28 </w:instrText>
      </w:r>
      <w:r>
        <w:rPr>
          <w:b/>
          <w:szCs w:val="22"/>
          <w:highlight w:val="yellow"/>
          <w:lang w:val="lt-LT"/>
        </w:rPr>
        <w:fldChar w:fldCharType="separate"/>
      </w:r>
      <w:r>
        <w:rPr>
          <w:b/>
          <w:szCs w:val="22"/>
          <w:highlight w:val="yellow"/>
          <w:lang w:val="lt-LT"/>
        </w:rPr>
        <w:t xml:space="preserve"> </w:t>
      </w:r>
      <w:r>
        <w:rPr>
          <w:b/>
          <w:szCs w:val="22"/>
          <w:highlight w:val="yellow"/>
          <w:lang w:val="lt-LT"/>
        </w:rPr>
        <w:fldChar w:fldCharType="end"/>
      </w:r>
    </w:p>
    <w:p>
      <w:pPr>
        <w:spacing w:line="240" w:lineRule="auto"/>
        <w:rPr>
          <w:szCs w:val="22"/>
          <w:lang w:val="lt-LT"/>
        </w:rPr>
      </w:pPr>
    </w:p>
    <w:p>
      <w:pPr>
        <w:spacing w:line="240" w:lineRule="auto"/>
        <w:rPr>
          <w:szCs w:val="22"/>
          <w:lang w:val="lt-LT"/>
        </w:rPr>
      </w:pPr>
      <w:r>
        <w:rPr>
          <w:szCs w:val="22"/>
          <w:lang w:val="lt-LT"/>
        </w:rPr>
        <w:t>Geriamieji milteliai</w:t>
      </w:r>
    </w:p>
    <w:p>
      <w:pPr>
        <w:spacing w:line="240" w:lineRule="auto"/>
        <w:rPr>
          <w:szCs w:val="22"/>
          <w:lang w:val="lt-LT"/>
        </w:rPr>
      </w:pPr>
      <w:r>
        <w:rPr>
          <w:szCs w:val="22"/>
          <w:lang w:val="lt-LT"/>
        </w:rPr>
        <w:t>30 paketėlių</w:t>
      </w:r>
    </w:p>
    <w:p>
      <w:pPr>
        <w:spacing w:line="240" w:lineRule="auto"/>
        <w:rPr>
          <w:szCs w:val="22"/>
          <w:lang w:val="lt-LT"/>
        </w:rPr>
      </w:pPr>
    </w:p>
    <w:p>
      <w:pPr>
        <w:spacing w:line="240" w:lineRule="auto"/>
        <w:rPr>
          <w:szCs w:val="22"/>
          <w:lang w:val="lt-LT"/>
        </w:rPr>
      </w:pPr>
    </w:p>
    <w:p>
      <w:pPr>
        <w:pBdr>
          <w:top w:val="single" w:sz="4" w:space="1" w:color="000000"/>
          <w:left w:val="single" w:sz="4" w:space="4" w:color="000000"/>
          <w:bottom w:val="single" w:sz="4" w:space="1" w:color="000000"/>
          <w:right w:val="single" w:sz="4" w:space="4" w:color="000000"/>
        </w:pBdr>
        <w:spacing w:line="240" w:lineRule="auto"/>
        <w:ind w:left="567" w:hanging="567"/>
        <w:rPr>
          <w:szCs w:val="22"/>
          <w:lang w:val="lt-LT"/>
        </w:rPr>
      </w:pPr>
      <w:r>
        <w:rPr>
          <w:b/>
          <w:bCs/>
          <w:szCs w:val="22"/>
          <w:lang w:val="lt-LT"/>
        </w:rPr>
        <w:t>5.</w:t>
      </w:r>
      <w:r>
        <w:rPr>
          <w:b/>
          <w:bCs/>
          <w:szCs w:val="22"/>
          <w:lang w:val="lt-LT"/>
        </w:rPr>
        <w:tab/>
        <w:t>VARTOJIMO METODAS IR BŪDAS (-AI)</w:t>
      </w:r>
      <w:r>
        <w:rPr>
          <w:b/>
          <w:szCs w:val="22"/>
          <w:highlight w:val="yellow"/>
          <w:lang w:val="lt-LT"/>
        </w:rPr>
        <w:fldChar w:fldCharType="begin"/>
      </w:r>
      <w:r>
        <w:rPr>
          <w:b/>
          <w:szCs w:val="22"/>
          <w:highlight w:val="yellow"/>
          <w:lang w:val="lt-LT"/>
        </w:rPr>
        <w:instrText xml:space="preserve"> DOCVARIABLE VAULT_ND_d0c735c2-7f38-4d68-a009-47093e3c7bd4 </w:instrText>
      </w:r>
      <w:r>
        <w:rPr>
          <w:b/>
          <w:szCs w:val="22"/>
          <w:highlight w:val="yellow"/>
          <w:lang w:val="lt-LT"/>
        </w:rPr>
        <w:fldChar w:fldCharType="separate"/>
      </w:r>
      <w:r>
        <w:rPr>
          <w:b/>
          <w:szCs w:val="22"/>
          <w:highlight w:val="yellow"/>
          <w:lang w:val="lt-LT"/>
        </w:rPr>
        <w:t xml:space="preserve"> </w:t>
      </w:r>
      <w:r>
        <w:rPr>
          <w:b/>
          <w:szCs w:val="22"/>
          <w:highlight w:val="yellow"/>
          <w:lang w:val="lt-LT"/>
        </w:rPr>
        <w:fldChar w:fldCharType="end"/>
      </w:r>
    </w:p>
    <w:p>
      <w:pPr>
        <w:spacing w:line="240" w:lineRule="auto"/>
        <w:rPr>
          <w:szCs w:val="22"/>
          <w:lang w:val="lt-LT"/>
        </w:rPr>
      </w:pPr>
    </w:p>
    <w:p>
      <w:pPr>
        <w:spacing w:line="240" w:lineRule="auto"/>
        <w:rPr>
          <w:szCs w:val="22"/>
          <w:lang w:val="lt-LT"/>
        </w:rPr>
      </w:pPr>
      <w:r>
        <w:rPr>
          <w:szCs w:val="22"/>
          <w:lang w:val="lt-LT"/>
        </w:rPr>
        <w:t>Prieš vartojimą perskaitykite pakuotės lapelį.</w:t>
      </w:r>
    </w:p>
    <w:p>
      <w:pPr>
        <w:spacing w:line="240" w:lineRule="auto"/>
        <w:rPr>
          <w:szCs w:val="22"/>
          <w:lang w:val="lt-LT"/>
        </w:rPr>
      </w:pPr>
      <w:r>
        <w:rPr>
          <w:szCs w:val="22"/>
          <w:lang w:val="lt-LT"/>
        </w:rPr>
        <w:t>Vartoti per burną.</w:t>
      </w:r>
    </w:p>
    <w:p>
      <w:pPr>
        <w:spacing w:line="240" w:lineRule="auto"/>
        <w:rPr>
          <w:szCs w:val="22"/>
          <w:lang w:val="lt-LT"/>
        </w:rPr>
      </w:pPr>
    </w:p>
    <w:p>
      <w:pPr>
        <w:spacing w:line="240" w:lineRule="auto"/>
        <w:rPr>
          <w:szCs w:val="22"/>
          <w:lang w:val="lt-LT"/>
        </w:rPr>
      </w:pPr>
    </w:p>
    <w:p>
      <w:pPr>
        <w:pBdr>
          <w:top w:val="single" w:sz="4" w:space="1" w:color="000000"/>
          <w:left w:val="single" w:sz="4" w:space="4" w:color="000000"/>
          <w:bottom w:val="single" w:sz="4" w:space="1" w:color="000000"/>
          <w:right w:val="single" w:sz="4" w:space="4" w:color="000000"/>
        </w:pBdr>
        <w:spacing w:line="240" w:lineRule="auto"/>
        <w:ind w:left="567" w:hanging="567"/>
        <w:rPr>
          <w:szCs w:val="22"/>
          <w:lang w:val="lt-LT"/>
        </w:rPr>
      </w:pPr>
      <w:r>
        <w:rPr>
          <w:b/>
          <w:bCs/>
          <w:szCs w:val="22"/>
          <w:lang w:val="lt-LT"/>
        </w:rPr>
        <w:t>6.</w:t>
      </w:r>
      <w:r>
        <w:rPr>
          <w:b/>
          <w:bCs/>
          <w:szCs w:val="22"/>
          <w:lang w:val="lt-LT"/>
        </w:rPr>
        <w:tab/>
        <w:t>SPECIALUS ĮSPĖJIMAS, KAD VAISTINĮ PREPARATĄ BŪTINA LAIKYTI VAIKAMS NEPASTEBIMOJE IR NEPASIEKIAMOJE VIETOJE</w:t>
      </w:r>
      <w:r>
        <w:rPr>
          <w:b/>
          <w:szCs w:val="22"/>
          <w:highlight w:val="yellow"/>
          <w:lang w:val="lt-LT"/>
        </w:rPr>
        <w:fldChar w:fldCharType="begin"/>
      </w:r>
      <w:r>
        <w:rPr>
          <w:b/>
          <w:szCs w:val="22"/>
          <w:highlight w:val="yellow"/>
          <w:lang w:val="lt-LT"/>
        </w:rPr>
        <w:instrText xml:space="preserve"> DOCVARIABLE VAULT_ND_f5243eb1-61b8-49a1-bebc-6085983af275 </w:instrText>
      </w:r>
      <w:r>
        <w:rPr>
          <w:b/>
          <w:szCs w:val="22"/>
          <w:highlight w:val="yellow"/>
          <w:lang w:val="lt-LT"/>
        </w:rPr>
        <w:fldChar w:fldCharType="separate"/>
      </w:r>
      <w:r>
        <w:rPr>
          <w:b/>
          <w:szCs w:val="22"/>
          <w:highlight w:val="yellow"/>
          <w:lang w:val="lt-LT"/>
        </w:rPr>
        <w:t xml:space="preserve"> </w:t>
      </w:r>
      <w:r>
        <w:rPr>
          <w:b/>
          <w:szCs w:val="22"/>
          <w:highlight w:val="yellow"/>
          <w:lang w:val="lt-LT"/>
        </w:rPr>
        <w:fldChar w:fldCharType="end"/>
      </w:r>
    </w:p>
    <w:p>
      <w:pPr>
        <w:spacing w:line="240" w:lineRule="auto"/>
        <w:rPr>
          <w:szCs w:val="22"/>
          <w:lang w:val="lt-LT"/>
        </w:rPr>
      </w:pPr>
    </w:p>
    <w:p>
      <w:pPr>
        <w:spacing w:line="240" w:lineRule="auto"/>
        <w:rPr>
          <w:szCs w:val="22"/>
          <w:lang w:val="lt-LT"/>
        </w:rPr>
      </w:pPr>
      <w:r>
        <w:rPr>
          <w:szCs w:val="22"/>
          <w:lang w:val="lt-LT"/>
        </w:rPr>
        <w:t>Laikyti vaikams nepastebimoje ir nepasiekiamoje vietoje.</w:t>
      </w:r>
      <w:r>
        <w:rPr>
          <w:szCs w:val="22"/>
          <w:highlight w:val="yellow"/>
          <w:lang w:val="lt-LT"/>
        </w:rPr>
        <w:fldChar w:fldCharType="begin"/>
      </w:r>
      <w:r>
        <w:rPr>
          <w:szCs w:val="22"/>
          <w:highlight w:val="yellow"/>
          <w:lang w:val="lt-LT"/>
        </w:rPr>
        <w:instrText xml:space="preserve"> DOCVARIABLE vault_nd_9265a39b-219f-4f01-8ebf-9b0a86d2625c </w:instrText>
      </w:r>
      <w:r>
        <w:rPr>
          <w:szCs w:val="22"/>
          <w:highlight w:val="yellow"/>
          <w:lang w:val="lt-LT"/>
        </w:rPr>
        <w:fldChar w:fldCharType="separate"/>
      </w:r>
      <w:r>
        <w:rPr>
          <w:szCs w:val="22"/>
          <w:highlight w:val="yellow"/>
          <w:lang w:val="lt-LT"/>
        </w:rPr>
        <w:t xml:space="preserve"> </w:t>
      </w:r>
      <w:r>
        <w:rPr>
          <w:szCs w:val="22"/>
          <w:highlight w:val="yellow"/>
          <w:lang w:val="lt-LT"/>
        </w:rPr>
        <w:fldChar w:fldCharType="end"/>
      </w:r>
    </w:p>
    <w:p>
      <w:pPr>
        <w:spacing w:line="240" w:lineRule="auto"/>
        <w:rPr>
          <w:szCs w:val="22"/>
          <w:lang w:val="lt-LT"/>
        </w:rPr>
      </w:pPr>
    </w:p>
    <w:p>
      <w:pPr>
        <w:spacing w:line="240" w:lineRule="auto"/>
        <w:rPr>
          <w:szCs w:val="22"/>
          <w:lang w:val="lt-LT"/>
        </w:rPr>
      </w:pPr>
    </w:p>
    <w:p>
      <w:pPr>
        <w:pBdr>
          <w:top w:val="single" w:sz="4" w:space="1" w:color="000000"/>
          <w:left w:val="single" w:sz="4" w:space="4" w:color="000000"/>
          <w:bottom w:val="single" w:sz="4" w:space="1" w:color="000000"/>
          <w:right w:val="single" w:sz="4" w:space="4" w:color="000000"/>
        </w:pBdr>
        <w:spacing w:line="240" w:lineRule="auto"/>
        <w:ind w:left="567" w:hanging="567"/>
        <w:rPr>
          <w:szCs w:val="22"/>
          <w:lang w:val="lt-LT"/>
        </w:rPr>
      </w:pPr>
      <w:r>
        <w:rPr>
          <w:b/>
          <w:bCs/>
          <w:szCs w:val="22"/>
          <w:lang w:val="lt-LT"/>
        </w:rPr>
        <w:t>7.</w:t>
      </w:r>
      <w:r>
        <w:rPr>
          <w:b/>
          <w:bCs/>
          <w:szCs w:val="22"/>
          <w:lang w:val="lt-LT"/>
        </w:rPr>
        <w:tab/>
        <w:t>KITAS (-I) SPECIALUS (-ŪS) ĮSPĖJIMAS (-AI) (JEI REIKIA)</w:t>
      </w:r>
      <w:r>
        <w:rPr>
          <w:b/>
          <w:szCs w:val="22"/>
          <w:highlight w:val="yellow"/>
          <w:lang w:val="lt-LT"/>
        </w:rPr>
        <w:fldChar w:fldCharType="begin"/>
      </w:r>
      <w:r>
        <w:rPr>
          <w:b/>
          <w:szCs w:val="22"/>
          <w:highlight w:val="yellow"/>
          <w:lang w:val="lt-LT"/>
        </w:rPr>
        <w:instrText xml:space="preserve"> DOCVARIABLE VAULT_ND_0ae3f97a-59ac-499d-8321-98790b9058dc </w:instrText>
      </w:r>
      <w:r>
        <w:rPr>
          <w:b/>
          <w:szCs w:val="22"/>
          <w:highlight w:val="yellow"/>
          <w:lang w:val="lt-LT"/>
        </w:rPr>
        <w:fldChar w:fldCharType="separate"/>
      </w:r>
      <w:r>
        <w:rPr>
          <w:b/>
          <w:szCs w:val="22"/>
          <w:highlight w:val="yellow"/>
          <w:lang w:val="lt-LT"/>
        </w:rPr>
        <w:t xml:space="preserve"> </w:t>
      </w:r>
      <w:r>
        <w:rPr>
          <w:b/>
          <w:szCs w:val="22"/>
          <w:highlight w:val="yellow"/>
          <w:lang w:val="lt-LT"/>
        </w:rPr>
        <w:fldChar w:fldCharType="end"/>
      </w:r>
    </w:p>
    <w:p>
      <w:pPr>
        <w:tabs>
          <w:tab w:val="left" w:pos="749"/>
        </w:tabs>
        <w:spacing w:line="240" w:lineRule="auto"/>
        <w:rPr>
          <w:lang w:val="lt-LT"/>
        </w:rPr>
      </w:pPr>
    </w:p>
    <w:p>
      <w:pPr>
        <w:tabs>
          <w:tab w:val="left" w:pos="749"/>
        </w:tabs>
        <w:spacing w:line="240" w:lineRule="auto"/>
        <w:rPr>
          <w:lang w:val="lt-LT"/>
        </w:rPr>
      </w:pPr>
    </w:p>
    <w:p>
      <w:pPr>
        <w:pBdr>
          <w:top w:val="single" w:sz="4" w:space="1" w:color="000000"/>
          <w:left w:val="single" w:sz="4" w:space="4" w:color="000000"/>
          <w:bottom w:val="single" w:sz="4" w:space="1" w:color="000000"/>
          <w:right w:val="single" w:sz="4" w:space="4" w:color="000000"/>
        </w:pBdr>
        <w:spacing w:line="240" w:lineRule="auto"/>
        <w:ind w:left="567" w:hanging="567"/>
        <w:rPr>
          <w:lang w:val="lt-LT"/>
        </w:rPr>
      </w:pPr>
      <w:r>
        <w:rPr>
          <w:b/>
          <w:bCs/>
          <w:szCs w:val="22"/>
          <w:lang w:val="lt-LT"/>
        </w:rPr>
        <w:t>8.</w:t>
      </w:r>
      <w:r>
        <w:rPr>
          <w:b/>
          <w:bCs/>
          <w:szCs w:val="22"/>
          <w:lang w:val="lt-LT"/>
        </w:rPr>
        <w:tab/>
        <w:t>TINKAMUMO LAIKAS</w:t>
      </w:r>
      <w:r>
        <w:rPr>
          <w:b/>
          <w:highlight w:val="yellow"/>
          <w:lang w:val="lt-LT"/>
        </w:rPr>
        <w:fldChar w:fldCharType="begin"/>
      </w:r>
      <w:r>
        <w:rPr>
          <w:b/>
          <w:highlight w:val="yellow"/>
          <w:lang w:val="lt-LT"/>
        </w:rPr>
        <w:instrText xml:space="preserve"> DOCVARIABLE VAULT_ND_b421690e-49c9-4a20-b049-b439d62b6fb4 </w:instrText>
      </w:r>
      <w:r>
        <w:rPr>
          <w:b/>
          <w:highlight w:val="yellow"/>
          <w:lang w:val="lt-LT"/>
        </w:rPr>
        <w:fldChar w:fldCharType="separate"/>
      </w:r>
      <w:r>
        <w:rPr>
          <w:b/>
          <w:highlight w:val="yellow"/>
          <w:lang w:val="lt-LT"/>
        </w:rPr>
        <w:t xml:space="preserve"> </w:t>
      </w:r>
      <w:r>
        <w:rPr>
          <w:b/>
          <w:highlight w:val="yellow"/>
          <w:lang w:val="lt-LT"/>
        </w:rPr>
        <w:fldChar w:fldCharType="end"/>
      </w:r>
    </w:p>
    <w:p>
      <w:pPr>
        <w:spacing w:line="240" w:lineRule="auto"/>
        <w:rPr>
          <w:lang w:val="lt-LT"/>
        </w:rPr>
      </w:pPr>
    </w:p>
    <w:p>
      <w:pPr>
        <w:spacing w:line="240" w:lineRule="auto"/>
        <w:rPr>
          <w:lang w:val="lt-LT"/>
        </w:rPr>
      </w:pPr>
      <w:r>
        <w:rPr>
          <w:szCs w:val="22"/>
          <w:lang w:val="lt-LT"/>
        </w:rPr>
        <w:t>Tinka iki</w:t>
      </w:r>
    </w:p>
    <w:p>
      <w:pPr>
        <w:spacing w:line="240" w:lineRule="auto"/>
        <w:rPr>
          <w:lang w:val="lt-LT"/>
        </w:rPr>
      </w:pPr>
    </w:p>
    <w:p>
      <w:pPr>
        <w:spacing w:line="240" w:lineRule="auto"/>
        <w:rPr>
          <w:szCs w:val="22"/>
          <w:lang w:val="lt-LT"/>
        </w:rPr>
      </w:pPr>
      <w:r>
        <w:rPr>
          <w:szCs w:val="22"/>
          <w:lang w:val="lt-LT"/>
        </w:rPr>
        <w:t>Kiekvieną dozę suvartoti iškart po paruošimo. Mišinį išmesti, jei jis nesuvartojamas per 24 valandas po paruošimo, laikant šaldytuve (2 °C–8 °C), arba per 6 valandas, laikant žemesnėje kaip 25 °C temperatūroje.</w:t>
      </w:r>
    </w:p>
    <w:p>
      <w:pPr>
        <w:spacing w:line="240" w:lineRule="auto"/>
        <w:rPr>
          <w:szCs w:val="22"/>
          <w:lang w:val="lt-LT"/>
        </w:rPr>
      </w:pPr>
    </w:p>
    <w:p>
      <w:pPr>
        <w:spacing w:line="240" w:lineRule="auto"/>
        <w:rPr>
          <w:szCs w:val="22"/>
          <w:lang w:val="lt-LT"/>
        </w:rPr>
      </w:pPr>
    </w:p>
    <w:p>
      <w:pPr>
        <w:keepNext/>
        <w:pBdr>
          <w:top w:val="single" w:sz="4" w:space="1" w:color="000000"/>
          <w:left w:val="single" w:sz="4" w:space="4" w:color="000000"/>
          <w:bottom w:val="single" w:sz="4" w:space="1" w:color="000000"/>
          <w:right w:val="single" w:sz="4" w:space="4" w:color="000000"/>
        </w:pBdr>
        <w:spacing w:line="240" w:lineRule="auto"/>
        <w:ind w:left="567" w:hanging="567"/>
        <w:rPr>
          <w:szCs w:val="22"/>
          <w:lang w:val="lt-LT"/>
        </w:rPr>
      </w:pPr>
      <w:r>
        <w:rPr>
          <w:b/>
          <w:bCs/>
          <w:szCs w:val="22"/>
          <w:lang w:val="lt-LT"/>
        </w:rPr>
        <w:t>9.</w:t>
      </w:r>
      <w:r>
        <w:rPr>
          <w:b/>
          <w:bCs/>
          <w:szCs w:val="22"/>
          <w:lang w:val="lt-LT"/>
        </w:rPr>
        <w:tab/>
        <w:t>SPECIALIOS LAIKYMO SĄLYGOS</w:t>
      </w:r>
      <w:r>
        <w:rPr>
          <w:b/>
          <w:szCs w:val="22"/>
          <w:highlight w:val="yellow"/>
          <w:lang w:val="lt-LT"/>
        </w:rPr>
        <w:fldChar w:fldCharType="begin"/>
      </w:r>
      <w:r>
        <w:rPr>
          <w:b/>
          <w:szCs w:val="22"/>
          <w:highlight w:val="yellow"/>
          <w:lang w:val="lt-LT"/>
        </w:rPr>
        <w:instrText xml:space="preserve"> DOCVARIABLE VAULT_ND_7b63f38f-ecb5-4dcc-b1b8-5938e1109939 </w:instrText>
      </w:r>
      <w:r>
        <w:rPr>
          <w:b/>
          <w:szCs w:val="22"/>
          <w:highlight w:val="yellow"/>
          <w:lang w:val="lt-LT"/>
        </w:rPr>
        <w:fldChar w:fldCharType="separate"/>
      </w:r>
      <w:r>
        <w:rPr>
          <w:b/>
          <w:szCs w:val="22"/>
          <w:highlight w:val="yellow"/>
          <w:lang w:val="lt-LT"/>
        </w:rPr>
        <w:t xml:space="preserve"> </w:t>
      </w:r>
      <w:r>
        <w:rPr>
          <w:b/>
          <w:szCs w:val="22"/>
          <w:highlight w:val="yellow"/>
          <w:lang w:val="lt-LT"/>
        </w:rPr>
        <w:fldChar w:fldCharType="end"/>
      </w:r>
    </w:p>
    <w:p>
      <w:pPr>
        <w:spacing w:line="240" w:lineRule="auto"/>
        <w:rPr>
          <w:szCs w:val="22"/>
          <w:lang w:val="lt-LT"/>
        </w:rPr>
      </w:pPr>
    </w:p>
    <w:p>
      <w:pPr>
        <w:tabs>
          <w:tab w:val="clear" w:pos="567"/>
          <w:tab w:val="left" w:pos="0"/>
        </w:tabs>
        <w:spacing w:line="240" w:lineRule="auto"/>
        <w:rPr>
          <w:szCs w:val="22"/>
          <w:lang w:val="lt-LT"/>
        </w:rPr>
      </w:pPr>
      <w:r>
        <w:rPr>
          <w:lang w:val="lt-LT"/>
        </w:rPr>
        <w:t>Laikyti gamintojo pakuotėje, kad vaistas būtų apsaugotas nuo šviesos</w:t>
      </w:r>
      <w:r>
        <w:rPr>
          <w:szCs w:val="22"/>
          <w:lang w:val="lt-LT"/>
        </w:rPr>
        <w:t>.</w:t>
      </w:r>
    </w:p>
    <w:p>
      <w:pPr>
        <w:tabs>
          <w:tab w:val="clear" w:pos="567"/>
          <w:tab w:val="left" w:pos="0"/>
        </w:tabs>
        <w:spacing w:line="240" w:lineRule="auto"/>
        <w:rPr>
          <w:szCs w:val="22"/>
          <w:lang w:val="lt-LT"/>
        </w:rPr>
      </w:pPr>
    </w:p>
    <w:p>
      <w:pPr>
        <w:tabs>
          <w:tab w:val="clear" w:pos="567"/>
          <w:tab w:val="left" w:pos="0"/>
        </w:tabs>
        <w:spacing w:line="240" w:lineRule="auto"/>
        <w:rPr>
          <w:szCs w:val="22"/>
          <w:lang w:val="lt-LT"/>
        </w:rPr>
      </w:pPr>
    </w:p>
    <w:p>
      <w:pPr>
        <w:pBdr>
          <w:top w:val="single" w:sz="4" w:space="1" w:color="000000"/>
          <w:left w:val="single" w:sz="4" w:space="4" w:color="000000"/>
          <w:bottom w:val="single" w:sz="4" w:space="1" w:color="000000"/>
          <w:right w:val="single" w:sz="4" w:space="4" w:color="000000"/>
        </w:pBdr>
        <w:spacing w:line="240" w:lineRule="auto"/>
        <w:ind w:left="567" w:hanging="567"/>
        <w:rPr>
          <w:b/>
          <w:szCs w:val="22"/>
          <w:lang w:val="lt-LT"/>
        </w:rPr>
      </w:pPr>
      <w:r>
        <w:rPr>
          <w:b/>
          <w:bCs/>
          <w:szCs w:val="22"/>
          <w:lang w:val="lt-LT"/>
        </w:rPr>
        <w:t>10.</w:t>
      </w:r>
      <w:r>
        <w:rPr>
          <w:b/>
          <w:bCs/>
          <w:szCs w:val="22"/>
          <w:lang w:val="lt-LT"/>
        </w:rPr>
        <w:tab/>
        <w:t>SPECIALIOS ATSARGUMO PRIEMONĖS DĖL NESUVARTOTO VAISTINIO PREPARATO AR JO ATLIEKŲ TVARKYMO (JEI REIKIA)</w:t>
      </w:r>
      <w:r>
        <w:rPr>
          <w:b/>
          <w:szCs w:val="22"/>
          <w:highlight w:val="yellow"/>
          <w:lang w:val="lt-LT"/>
        </w:rPr>
        <w:fldChar w:fldCharType="begin"/>
      </w:r>
      <w:r>
        <w:rPr>
          <w:b/>
          <w:szCs w:val="22"/>
          <w:highlight w:val="yellow"/>
          <w:lang w:val="lt-LT"/>
        </w:rPr>
        <w:instrText xml:space="preserve"> DOCVARIABLE VAULT_ND_8459eaa6-1aa8-440c-9293-bbb91e92354c </w:instrText>
      </w:r>
      <w:r>
        <w:rPr>
          <w:b/>
          <w:szCs w:val="22"/>
          <w:highlight w:val="yellow"/>
          <w:lang w:val="lt-LT"/>
        </w:rPr>
        <w:fldChar w:fldCharType="separate"/>
      </w:r>
      <w:r>
        <w:rPr>
          <w:b/>
          <w:szCs w:val="22"/>
          <w:highlight w:val="yellow"/>
          <w:lang w:val="lt-LT"/>
        </w:rPr>
        <w:t xml:space="preserve"> </w:t>
      </w:r>
      <w:r>
        <w:rPr>
          <w:b/>
          <w:szCs w:val="22"/>
          <w:highlight w:val="yellow"/>
          <w:lang w:val="lt-LT"/>
        </w:rPr>
        <w:fldChar w:fldCharType="end"/>
      </w:r>
    </w:p>
    <w:p>
      <w:pPr>
        <w:spacing w:line="240" w:lineRule="auto"/>
        <w:rPr>
          <w:szCs w:val="22"/>
          <w:lang w:val="lt-LT"/>
        </w:rPr>
      </w:pPr>
    </w:p>
    <w:p>
      <w:pPr>
        <w:spacing w:line="240" w:lineRule="auto"/>
        <w:rPr>
          <w:szCs w:val="22"/>
          <w:lang w:val="lt-LT"/>
        </w:rPr>
      </w:pPr>
    </w:p>
    <w:p>
      <w:pPr>
        <w:pBdr>
          <w:top w:val="single" w:sz="4" w:space="1" w:color="000000"/>
          <w:left w:val="single" w:sz="4" w:space="4" w:color="000000"/>
          <w:bottom w:val="single" w:sz="4" w:space="1" w:color="000000"/>
          <w:right w:val="single" w:sz="4" w:space="4" w:color="000000"/>
        </w:pBdr>
        <w:spacing w:line="240" w:lineRule="auto"/>
        <w:ind w:left="567" w:hanging="567"/>
        <w:rPr>
          <w:b/>
          <w:szCs w:val="22"/>
          <w:lang w:val="lt-LT"/>
        </w:rPr>
      </w:pPr>
      <w:r>
        <w:rPr>
          <w:b/>
          <w:bCs/>
          <w:szCs w:val="22"/>
          <w:lang w:val="lt-LT"/>
        </w:rPr>
        <w:t>11.</w:t>
      </w:r>
      <w:r>
        <w:rPr>
          <w:b/>
          <w:bCs/>
          <w:szCs w:val="22"/>
          <w:lang w:val="lt-LT"/>
        </w:rPr>
        <w:tab/>
        <w:t>REGISTRUOTOJO PAVADINIMAS IR ADRESAS</w:t>
      </w:r>
      <w:r>
        <w:rPr>
          <w:b/>
          <w:szCs w:val="22"/>
          <w:highlight w:val="yellow"/>
          <w:lang w:val="lt-LT"/>
        </w:rPr>
        <w:fldChar w:fldCharType="begin"/>
      </w:r>
      <w:r>
        <w:rPr>
          <w:b/>
          <w:szCs w:val="22"/>
          <w:highlight w:val="yellow"/>
          <w:lang w:val="lt-LT"/>
        </w:rPr>
        <w:instrText xml:space="preserve"> DOCVARIABLE VAULT_ND_b777b7a3-413b-4767-926e-912adde2292a </w:instrText>
      </w:r>
      <w:r>
        <w:rPr>
          <w:b/>
          <w:szCs w:val="22"/>
          <w:highlight w:val="yellow"/>
          <w:lang w:val="lt-LT"/>
        </w:rPr>
        <w:fldChar w:fldCharType="separate"/>
      </w:r>
      <w:r>
        <w:rPr>
          <w:b/>
          <w:szCs w:val="22"/>
          <w:highlight w:val="yellow"/>
          <w:lang w:val="lt-LT"/>
        </w:rPr>
        <w:t xml:space="preserve"> </w:t>
      </w:r>
      <w:r>
        <w:rPr>
          <w:b/>
          <w:szCs w:val="22"/>
          <w:highlight w:val="yellow"/>
          <w:lang w:val="lt-LT"/>
        </w:rPr>
        <w:fldChar w:fldCharType="end"/>
      </w:r>
    </w:p>
    <w:p>
      <w:pPr>
        <w:spacing w:line="240" w:lineRule="auto"/>
        <w:rPr>
          <w:szCs w:val="22"/>
          <w:lang w:val="lt-LT"/>
        </w:rPr>
      </w:pPr>
    </w:p>
    <w:p>
      <w:pPr>
        <w:pStyle w:val="NormalWeb"/>
        <w:tabs>
          <w:tab w:val="left" w:pos="0"/>
        </w:tabs>
        <w:spacing w:beforeAutospacing="0" w:afterAutospacing="0"/>
        <w:rPr>
          <w:sz w:val="22"/>
          <w:lang w:val="lt-LT"/>
        </w:rPr>
      </w:pPr>
      <w:r>
        <w:rPr>
          <w:sz w:val="22"/>
          <w:lang w:val="lt-LT"/>
        </w:rPr>
        <w:t>PTC Therapeutics International Limited</w:t>
      </w:r>
    </w:p>
    <w:p>
      <w:pPr>
        <w:pStyle w:val="NormalWeb"/>
        <w:tabs>
          <w:tab w:val="left" w:pos="0"/>
        </w:tabs>
        <w:spacing w:beforeAutospacing="0" w:afterAutospacing="0"/>
        <w:rPr>
          <w:sz w:val="22"/>
          <w:lang w:val="lt-LT"/>
        </w:rPr>
      </w:pPr>
      <w:r>
        <w:rPr>
          <w:sz w:val="22"/>
          <w:lang w:val="lt-LT"/>
        </w:rPr>
        <w:t>Unit 1, 52-55 Sir John Rogerson’s Quay,</w:t>
      </w:r>
    </w:p>
    <w:p>
      <w:pPr>
        <w:pStyle w:val="NormalWeb"/>
        <w:tabs>
          <w:tab w:val="left" w:pos="0"/>
        </w:tabs>
        <w:spacing w:beforeAutospacing="0" w:afterAutospacing="0"/>
        <w:rPr>
          <w:sz w:val="22"/>
          <w:lang w:val="lt-LT"/>
        </w:rPr>
      </w:pPr>
      <w:r>
        <w:rPr>
          <w:sz w:val="22"/>
          <w:lang w:val="lt-LT"/>
        </w:rPr>
        <w:t>Dublin 2, D02 NA07,</w:t>
      </w:r>
    </w:p>
    <w:p>
      <w:pPr>
        <w:pStyle w:val="NormalWeb"/>
        <w:tabs>
          <w:tab w:val="left" w:pos="0"/>
        </w:tabs>
        <w:spacing w:beforeAutospacing="0" w:afterAutospacing="0"/>
        <w:rPr>
          <w:sz w:val="22"/>
          <w:szCs w:val="22"/>
          <w:lang w:val="lt-LT"/>
        </w:rPr>
      </w:pPr>
      <w:r>
        <w:rPr>
          <w:sz w:val="22"/>
          <w:szCs w:val="22"/>
          <w:lang w:val="lt-LT"/>
        </w:rPr>
        <w:t>Airija</w:t>
      </w:r>
    </w:p>
    <w:p>
      <w:pPr>
        <w:spacing w:line="240" w:lineRule="auto"/>
        <w:rPr>
          <w:szCs w:val="22"/>
          <w:lang w:val="lt-LT"/>
        </w:rPr>
      </w:pPr>
    </w:p>
    <w:p>
      <w:pPr>
        <w:spacing w:line="240" w:lineRule="auto"/>
        <w:rPr>
          <w:szCs w:val="22"/>
          <w:lang w:val="lt-LT"/>
        </w:rPr>
      </w:pPr>
    </w:p>
    <w:p>
      <w:pPr>
        <w:pBdr>
          <w:top w:val="single" w:sz="4" w:space="1" w:color="000000"/>
          <w:left w:val="single" w:sz="4" w:space="4" w:color="000000"/>
          <w:bottom w:val="single" w:sz="4" w:space="1" w:color="000000"/>
          <w:right w:val="single" w:sz="4" w:space="4" w:color="000000"/>
        </w:pBdr>
        <w:spacing w:line="240" w:lineRule="auto"/>
        <w:ind w:left="567" w:hanging="567"/>
        <w:rPr>
          <w:szCs w:val="22"/>
          <w:lang w:val="lt-LT"/>
        </w:rPr>
      </w:pPr>
      <w:r>
        <w:rPr>
          <w:b/>
          <w:bCs/>
          <w:szCs w:val="22"/>
          <w:lang w:val="lt-LT"/>
        </w:rPr>
        <w:t>12.</w:t>
      </w:r>
      <w:r>
        <w:rPr>
          <w:b/>
          <w:bCs/>
          <w:szCs w:val="22"/>
          <w:lang w:val="lt-LT"/>
        </w:rPr>
        <w:tab/>
        <w:t>REGISTRACIJOS PAŽYMĖJIMO NUMERIS (-IAI)</w:t>
      </w:r>
      <w:r>
        <w:rPr>
          <w:b/>
          <w:szCs w:val="22"/>
          <w:lang w:val="lt-LT"/>
        </w:rPr>
        <w:fldChar w:fldCharType="begin"/>
      </w:r>
      <w:r>
        <w:rPr>
          <w:b/>
          <w:szCs w:val="22"/>
          <w:lang w:val="lt-LT"/>
        </w:rPr>
        <w:instrText xml:space="preserve"> DOCVARIABLE VAULT_ND_74018404-81ed-4130-b33b-729df2c10d9a </w:instrText>
      </w:r>
      <w:r>
        <w:rPr>
          <w:b/>
          <w:szCs w:val="22"/>
          <w:lang w:val="lt-LT"/>
        </w:rPr>
        <w:fldChar w:fldCharType="separate"/>
      </w:r>
      <w:r>
        <w:rPr>
          <w:b/>
          <w:szCs w:val="22"/>
          <w:lang w:val="lt-LT"/>
        </w:rPr>
        <w:t xml:space="preserve"> </w:t>
      </w:r>
      <w:r>
        <w:rPr>
          <w:b/>
          <w:szCs w:val="22"/>
          <w:lang w:val="lt-LT"/>
        </w:rPr>
        <w:fldChar w:fldCharType="end"/>
      </w:r>
    </w:p>
    <w:p>
      <w:pPr>
        <w:spacing w:line="240" w:lineRule="auto"/>
        <w:rPr>
          <w:szCs w:val="22"/>
          <w:lang w:val="lt-LT"/>
        </w:rPr>
      </w:pPr>
    </w:p>
    <w:p>
      <w:pPr>
        <w:spacing w:line="240" w:lineRule="auto"/>
        <w:rPr>
          <w:lang w:val="lt-LT"/>
        </w:rPr>
      </w:pPr>
      <w:r>
        <w:rPr>
          <w:lang w:val="lt-LT"/>
        </w:rPr>
        <w:t>EU/1/25/1939/002</w:t>
      </w:r>
    </w:p>
    <w:p>
      <w:pPr>
        <w:spacing w:line="240" w:lineRule="auto"/>
        <w:rPr>
          <w:szCs w:val="22"/>
          <w:lang w:val="lt-LT"/>
        </w:rPr>
      </w:pPr>
    </w:p>
    <w:p>
      <w:pPr>
        <w:spacing w:line="240" w:lineRule="auto"/>
        <w:rPr>
          <w:szCs w:val="22"/>
          <w:lang w:val="lt-LT"/>
        </w:rPr>
      </w:pPr>
    </w:p>
    <w:p>
      <w:pPr>
        <w:pBdr>
          <w:top w:val="single" w:sz="4" w:space="1" w:color="000000"/>
          <w:left w:val="single" w:sz="4" w:space="4" w:color="000000"/>
          <w:bottom w:val="single" w:sz="4" w:space="1" w:color="000000"/>
          <w:right w:val="single" w:sz="4" w:space="4" w:color="000000"/>
        </w:pBdr>
        <w:spacing w:line="240" w:lineRule="auto"/>
        <w:ind w:left="567" w:hanging="567"/>
        <w:rPr>
          <w:szCs w:val="22"/>
          <w:lang w:val="lt-LT"/>
        </w:rPr>
      </w:pPr>
      <w:r>
        <w:rPr>
          <w:b/>
          <w:bCs/>
          <w:szCs w:val="22"/>
          <w:lang w:val="lt-LT"/>
        </w:rPr>
        <w:t>13.</w:t>
      </w:r>
      <w:r>
        <w:rPr>
          <w:b/>
          <w:bCs/>
          <w:szCs w:val="22"/>
          <w:lang w:val="lt-LT"/>
        </w:rPr>
        <w:tab/>
        <w:t>SERIJOS NUMERIS</w:t>
      </w:r>
    </w:p>
    <w:p>
      <w:pPr>
        <w:spacing w:line="240" w:lineRule="auto"/>
        <w:rPr>
          <w:i/>
          <w:szCs w:val="22"/>
          <w:lang w:val="lt-LT"/>
        </w:rPr>
      </w:pPr>
    </w:p>
    <w:p>
      <w:pPr>
        <w:spacing w:line="240" w:lineRule="auto"/>
        <w:rPr>
          <w:szCs w:val="22"/>
          <w:lang w:val="lt-LT"/>
        </w:rPr>
      </w:pPr>
      <w:r>
        <w:rPr>
          <w:szCs w:val="22"/>
          <w:lang w:val="lt-LT"/>
        </w:rPr>
        <w:t>Serija</w:t>
      </w:r>
    </w:p>
    <w:p>
      <w:pPr>
        <w:spacing w:line="240" w:lineRule="auto"/>
        <w:rPr>
          <w:szCs w:val="22"/>
          <w:lang w:val="lt-LT"/>
        </w:rPr>
      </w:pPr>
    </w:p>
    <w:p>
      <w:pPr>
        <w:spacing w:line="240" w:lineRule="auto"/>
        <w:rPr>
          <w:szCs w:val="22"/>
          <w:lang w:val="lt-LT"/>
        </w:rPr>
      </w:pPr>
    </w:p>
    <w:p>
      <w:pPr>
        <w:pBdr>
          <w:top w:val="single" w:sz="4" w:space="1" w:color="000000"/>
          <w:left w:val="single" w:sz="4" w:space="4" w:color="000000"/>
          <w:bottom w:val="single" w:sz="4" w:space="1" w:color="000000"/>
          <w:right w:val="single" w:sz="4" w:space="4" w:color="000000"/>
        </w:pBdr>
        <w:spacing w:line="240" w:lineRule="auto"/>
        <w:ind w:left="567" w:hanging="567"/>
        <w:rPr>
          <w:szCs w:val="22"/>
          <w:lang w:val="lt-LT"/>
        </w:rPr>
      </w:pPr>
      <w:r>
        <w:rPr>
          <w:b/>
          <w:bCs/>
          <w:szCs w:val="22"/>
          <w:lang w:val="lt-LT"/>
        </w:rPr>
        <w:t>14.</w:t>
      </w:r>
      <w:r>
        <w:rPr>
          <w:b/>
          <w:bCs/>
          <w:szCs w:val="22"/>
          <w:lang w:val="lt-LT"/>
        </w:rPr>
        <w:tab/>
        <w:t>PARDAVIMO (IŠDAVIMO) TVARKA</w:t>
      </w:r>
      <w:r>
        <w:rPr>
          <w:b/>
          <w:szCs w:val="22"/>
          <w:highlight w:val="yellow"/>
          <w:lang w:val="lt-LT"/>
        </w:rPr>
        <w:fldChar w:fldCharType="begin"/>
      </w:r>
      <w:r>
        <w:rPr>
          <w:b/>
          <w:szCs w:val="22"/>
          <w:highlight w:val="yellow"/>
          <w:lang w:val="lt-LT"/>
        </w:rPr>
        <w:instrText xml:space="preserve"> DOCVARIABLE VAULT_ND_440345ba-1e5c-4e7c-b477-795815b11ab6 </w:instrText>
      </w:r>
      <w:r>
        <w:rPr>
          <w:b/>
          <w:szCs w:val="22"/>
          <w:highlight w:val="yellow"/>
          <w:lang w:val="lt-LT"/>
        </w:rPr>
        <w:fldChar w:fldCharType="separate"/>
      </w:r>
      <w:r>
        <w:rPr>
          <w:b/>
          <w:szCs w:val="22"/>
          <w:highlight w:val="yellow"/>
          <w:lang w:val="lt-LT"/>
        </w:rPr>
        <w:t xml:space="preserve"> </w:t>
      </w:r>
      <w:r>
        <w:rPr>
          <w:b/>
          <w:szCs w:val="22"/>
          <w:highlight w:val="yellow"/>
          <w:lang w:val="lt-LT"/>
        </w:rPr>
        <w:fldChar w:fldCharType="end"/>
      </w:r>
    </w:p>
    <w:p>
      <w:pPr>
        <w:spacing w:line="240" w:lineRule="auto"/>
        <w:rPr>
          <w:szCs w:val="22"/>
          <w:lang w:val="lt-LT"/>
        </w:rPr>
      </w:pPr>
    </w:p>
    <w:p>
      <w:pPr>
        <w:spacing w:line="240" w:lineRule="auto"/>
        <w:rPr>
          <w:szCs w:val="22"/>
          <w:lang w:val="lt-LT"/>
        </w:rPr>
      </w:pPr>
    </w:p>
    <w:p>
      <w:pPr>
        <w:pBdr>
          <w:top w:val="single" w:sz="4" w:space="2" w:color="000000"/>
          <w:left w:val="single" w:sz="4" w:space="4" w:color="000000"/>
          <w:bottom w:val="single" w:sz="4" w:space="1" w:color="000000"/>
          <w:right w:val="single" w:sz="4" w:space="4" w:color="000000"/>
        </w:pBdr>
        <w:spacing w:line="240" w:lineRule="auto"/>
        <w:ind w:left="567" w:hanging="567"/>
        <w:rPr>
          <w:szCs w:val="22"/>
          <w:lang w:val="lt-LT"/>
        </w:rPr>
      </w:pPr>
      <w:r>
        <w:rPr>
          <w:b/>
          <w:bCs/>
          <w:szCs w:val="22"/>
          <w:lang w:val="lt-LT"/>
        </w:rPr>
        <w:t>15.</w:t>
      </w:r>
      <w:r>
        <w:rPr>
          <w:b/>
          <w:bCs/>
          <w:szCs w:val="22"/>
          <w:lang w:val="lt-LT"/>
        </w:rPr>
        <w:tab/>
        <w:t>VARTOJIMO INSTRUKCIJA</w:t>
      </w:r>
      <w:r>
        <w:rPr>
          <w:b/>
          <w:szCs w:val="22"/>
          <w:highlight w:val="yellow"/>
          <w:lang w:val="lt-LT"/>
        </w:rPr>
        <w:fldChar w:fldCharType="begin"/>
      </w:r>
      <w:r>
        <w:rPr>
          <w:b/>
          <w:szCs w:val="22"/>
          <w:highlight w:val="yellow"/>
          <w:lang w:val="lt-LT"/>
        </w:rPr>
        <w:instrText xml:space="preserve"> DOCVARIABLE VAULT_ND_1dc7af02-c68c-4cb9-af67-455c6e2a83ac </w:instrText>
      </w:r>
      <w:r>
        <w:rPr>
          <w:b/>
          <w:szCs w:val="22"/>
          <w:highlight w:val="yellow"/>
          <w:lang w:val="lt-LT"/>
        </w:rPr>
        <w:fldChar w:fldCharType="separate"/>
      </w:r>
      <w:r>
        <w:rPr>
          <w:b/>
          <w:szCs w:val="22"/>
          <w:highlight w:val="yellow"/>
          <w:lang w:val="lt-LT"/>
        </w:rPr>
        <w:t xml:space="preserve"> </w:t>
      </w:r>
      <w:r>
        <w:rPr>
          <w:b/>
          <w:szCs w:val="22"/>
          <w:highlight w:val="yellow"/>
          <w:lang w:val="lt-LT"/>
        </w:rPr>
        <w:fldChar w:fldCharType="end"/>
      </w:r>
    </w:p>
    <w:p>
      <w:pPr>
        <w:spacing w:line="240" w:lineRule="auto"/>
        <w:rPr>
          <w:szCs w:val="22"/>
          <w:lang w:val="lt-LT"/>
        </w:rPr>
      </w:pPr>
    </w:p>
    <w:p>
      <w:pPr>
        <w:spacing w:line="240" w:lineRule="auto"/>
        <w:rPr>
          <w:szCs w:val="22"/>
          <w:lang w:val="lt-LT"/>
        </w:rPr>
      </w:pPr>
    </w:p>
    <w:p>
      <w:pPr>
        <w:pBdr>
          <w:top w:val="single" w:sz="4" w:space="1" w:color="000000"/>
          <w:left w:val="single" w:sz="4" w:space="4" w:color="000000"/>
          <w:bottom w:val="single" w:sz="4" w:space="0" w:color="000000"/>
          <w:right w:val="single" w:sz="4" w:space="4" w:color="000000"/>
        </w:pBdr>
        <w:spacing w:line="240" w:lineRule="auto"/>
        <w:ind w:left="567" w:hanging="567"/>
        <w:rPr>
          <w:szCs w:val="22"/>
          <w:lang w:val="lt-LT"/>
        </w:rPr>
      </w:pPr>
      <w:r>
        <w:rPr>
          <w:b/>
          <w:bCs/>
          <w:szCs w:val="22"/>
          <w:lang w:val="lt-LT"/>
        </w:rPr>
        <w:t>16.</w:t>
      </w:r>
      <w:r>
        <w:rPr>
          <w:b/>
          <w:bCs/>
          <w:szCs w:val="22"/>
          <w:lang w:val="lt-LT"/>
        </w:rPr>
        <w:tab/>
        <w:t>INFORMACIJA BRAILIO RAŠTU</w:t>
      </w:r>
    </w:p>
    <w:p>
      <w:pPr>
        <w:spacing w:line="240" w:lineRule="auto"/>
        <w:rPr>
          <w:szCs w:val="22"/>
          <w:lang w:val="lt-LT"/>
        </w:rPr>
      </w:pPr>
    </w:p>
    <w:p>
      <w:pPr>
        <w:spacing w:line="240" w:lineRule="auto"/>
        <w:rPr>
          <w:szCs w:val="22"/>
          <w:shd w:val="clear" w:color="auto" w:fill="CCCCCC"/>
          <w:lang w:val="lt-LT"/>
        </w:rPr>
      </w:pPr>
      <w:r>
        <w:rPr>
          <w:szCs w:val="22"/>
          <w:lang w:val="lt-LT"/>
        </w:rPr>
        <w:t>Sephience 1 000 mg</w:t>
      </w:r>
    </w:p>
    <w:p>
      <w:pPr>
        <w:spacing w:line="240" w:lineRule="auto"/>
        <w:rPr>
          <w:szCs w:val="22"/>
          <w:shd w:val="clear" w:color="auto" w:fill="CCCCCC"/>
          <w:lang w:val="lt-LT"/>
        </w:rPr>
      </w:pPr>
    </w:p>
    <w:p>
      <w:pPr>
        <w:spacing w:line="240" w:lineRule="auto"/>
        <w:rPr>
          <w:szCs w:val="22"/>
          <w:shd w:val="clear" w:color="auto" w:fill="CCCCCC"/>
          <w:lang w:val="lt-LT"/>
        </w:rPr>
      </w:pPr>
    </w:p>
    <w:p>
      <w:pPr>
        <w:pBdr>
          <w:top w:val="single" w:sz="4" w:space="1" w:color="000000"/>
          <w:left w:val="single" w:sz="4" w:space="4" w:color="000000"/>
          <w:bottom w:val="single" w:sz="4" w:space="0" w:color="000000"/>
          <w:right w:val="single" w:sz="4" w:space="4" w:color="000000"/>
        </w:pBdr>
        <w:tabs>
          <w:tab w:val="clear" w:pos="567"/>
        </w:tabs>
        <w:spacing w:line="240" w:lineRule="auto"/>
        <w:ind w:left="567" w:hanging="567"/>
        <w:rPr>
          <w:i/>
          <w:lang w:val="lt-LT"/>
        </w:rPr>
      </w:pPr>
      <w:r>
        <w:rPr>
          <w:b/>
          <w:bCs/>
          <w:szCs w:val="22"/>
          <w:lang w:val="lt-LT"/>
        </w:rPr>
        <w:t>17.</w:t>
      </w:r>
      <w:r>
        <w:rPr>
          <w:b/>
          <w:bCs/>
          <w:szCs w:val="22"/>
          <w:lang w:val="lt-LT"/>
        </w:rPr>
        <w:tab/>
        <w:t>UNIKALUS IDENTIFIKATORIUS – 2D BRŪKŠNINIS KODAS</w:t>
      </w:r>
    </w:p>
    <w:p>
      <w:pPr>
        <w:tabs>
          <w:tab w:val="clear" w:pos="567"/>
        </w:tabs>
        <w:spacing w:line="240" w:lineRule="auto"/>
        <w:rPr>
          <w:lang w:val="lt-LT"/>
        </w:rPr>
      </w:pPr>
    </w:p>
    <w:p>
      <w:pPr>
        <w:spacing w:line="240" w:lineRule="auto"/>
        <w:rPr>
          <w:szCs w:val="22"/>
          <w:lang w:val="lt-LT"/>
        </w:rPr>
      </w:pPr>
      <w:r>
        <w:rPr>
          <w:szCs w:val="22"/>
          <w:lang w:val="lt-LT"/>
        </w:rPr>
        <w:t>2D brūkšninis kodas su nurodytu unikaliu identifikatoriumi.</w:t>
      </w:r>
    </w:p>
    <w:p>
      <w:pPr>
        <w:tabs>
          <w:tab w:val="clear" w:pos="567"/>
        </w:tabs>
        <w:spacing w:line="240" w:lineRule="auto"/>
        <w:rPr>
          <w:lang w:val="lt-LT"/>
        </w:rPr>
      </w:pPr>
    </w:p>
    <w:p>
      <w:pPr>
        <w:tabs>
          <w:tab w:val="clear" w:pos="567"/>
        </w:tabs>
        <w:spacing w:line="240" w:lineRule="auto"/>
        <w:rPr>
          <w:lang w:val="lt-LT"/>
        </w:rPr>
      </w:pPr>
    </w:p>
    <w:p>
      <w:pPr>
        <w:pBdr>
          <w:top w:val="single" w:sz="4" w:space="1" w:color="000000"/>
          <w:left w:val="single" w:sz="4" w:space="4" w:color="000000"/>
          <w:bottom w:val="single" w:sz="4" w:space="0" w:color="000000"/>
          <w:right w:val="single" w:sz="4" w:space="4" w:color="000000"/>
        </w:pBdr>
        <w:tabs>
          <w:tab w:val="clear" w:pos="567"/>
        </w:tabs>
        <w:spacing w:line="240" w:lineRule="auto"/>
        <w:ind w:left="567" w:hanging="567"/>
        <w:rPr>
          <w:i/>
          <w:lang w:val="lt-LT"/>
        </w:rPr>
      </w:pPr>
      <w:r>
        <w:rPr>
          <w:b/>
          <w:bCs/>
          <w:szCs w:val="22"/>
          <w:lang w:val="lt-LT"/>
        </w:rPr>
        <w:t>18.</w:t>
      </w:r>
      <w:r>
        <w:rPr>
          <w:b/>
          <w:bCs/>
          <w:szCs w:val="22"/>
          <w:lang w:val="lt-LT"/>
        </w:rPr>
        <w:tab/>
        <w:t>UNIKALUS IDENTIFIKATORIUS – ŽMONĖMS SUPRANTAMI DUOMENYS</w:t>
      </w:r>
    </w:p>
    <w:p>
      <w:pPr>
        <w:tabs>
          <w:tab w:val="clear" w:pos="567"/>
        </w:tabs>
        <w:spacing w:line="240" w:lineRule="auto"/>
        <w:rPr>
          <w:lang w:val="lt-LT"/>
        </w:rPr>
      </w:pPr>
    </w:p>
    <w:p>
      <w:pPr>
        <w:spacing w:line="240" w:lineRule="auto"/>
        <w:rPr>
          <w:color w:val="008000"/>
          <w:szCs w:val="22"/>
          <w:lang w:val="lt-LT"/>
        </w:rPr>
      </w:pPr>
      <w:r>
        <w:rPr>
          <w:szCs w:val="22"/>
          <w:lang w:val="lt-LT"/>
        </w:rPr>
        <w:t>PC</w:t>
      </w:r>
    </w:p>
    <w:p>
      <w:pPr>
        <w:spacing w:line="240" w:lineRule="auto"/>
        <w:rPr>
          <w:szCs w:val="22"/>
          <w:lang w:val="lt-LT"/>
        </w:rPr>
      </w:pPr>
      <w:r>
        <w:rPr>
          <w:szCs w:val="22"/>
          <w:lang w:val="lt-LT"/>
        </w:rPr>
        <w:t>SN</w:t>
      </w:r>
    </w:p>
    <w:p>
      <w:pPr>
        <w:spacing w:line="240" w:lineRule="auto"/>
        <w:rPr>
          <w:szCs w:val="22"/>
          <w:lang w:val="lt-LT"/>
        </w:rPr>
      </w:pPr>
      <w:r>
        <w:rPr>
          <w:szCs w:val="22"/>
          <w:lang w:val="lt-LT"/>
        </w:rPr>
        <w:t>NN</w:t>
      </w:r>
    </w:p>
    <w:p>
      <w:pPr>
        <w:spacing w:line="240" w:lineRule="auto"/>
        <w:rPr>
          <w:szCs w:val="22"/>
          <w:lang w:val="lt-LT"/>
        </w:rPr>
      </w:pPr>
    </w:p>
    <w:p>
      <w:pPr>
        <w:spacing w:line="240" w:lineRule="auto"/>
        <w:rPr>
          <w:szCs w:val="22"/>
          <w:lang w:val="lt-LT"/>
        </w:rPr>
      </w:pPr>
    </w:p>
    <w:p>
      <w:pPr>
        <w:spacing w:line="240" w:lineRule="auto"/>
        <w:rPr>
          <w:b/>
          <w:szCs w:val="22"/>
          <w:lang w:val="lt-LT"/>
        </w:rPr>
      </w:pPr>
      <w:r>
        <w:br w:type="page"/>
      </w:r>
    </w:p>
    <w:p>
      <w:pPr>
        <w:pBdr>
          <w:top w:val="single" w:sz="4" w:space="1" w:color="000000"/>
          <w:left w:val="single" w:sz="4" w:space="4" w:color="000000"/>
          <w:bottom w:val="single" w:sz="4" w:space="1" w:color="000000"/>
          <w:right w:val="single" w:sz="4" w:space="4" w:color="000000"/>
        </w:pBdr>
        <w:spacing w:line="240" w:lineRule="auto"/>
        <w:rPr>
          <w:b/>
          <w:szCs w:val="22"/>
          <w:lang w:val="lt-LT"/>
        </w:rPr>
      </w:pPr>
      <w:r>
        <w:rPr>
          <w:b/>
          <w:bCs/>
          <w:szCs w:val="22"/>
          <w:lang w:val="lt-LT"/>
        </w:rPr>
        <w:t>MINIMALI INFORMACIJA ANT MAŽŲ VIDINIŲ PAKUOČIŲ</w:t>
      </w:r>
    </w:p>
    <w:p>
      <w:pPr>
        <w:pBdr>
          <w:top w:val="single" w:sz="4" w:space="1" w:color="000000"/>
          <w:left w:val="single" w:sz="4" w:space="4" w:color="000000"/>
          <w:bottom w:val="single" w:sz="4" w:space="1" w:color="000000"/>
          <w:right w:val="single" w:sz="4" w:space="4" w:color="000000"/>
        </w:pBdr>
        <w:spacing w:line="240" w:lineRule="auto"/>
        <w:rPr>
          <w:b/>
          <w:szCs w:val="22"/>
          <w:lang w:val="lt-LT"/>
        </w:rPr>
      </w:pPr>
    </w:p>
    <w:p>
      <w:pPr>
        <w:pBdr>
          <w:top w:val="single" w:sz="4" w:space="1" w:color="000000"/>
          <w:left w:val="single" w:sz="4" w:space="4" w:color="000000"/>
          <w:bottom w:val="single" w:sz="4" w:space="1" w:color="000000"/>
          <w:right w:val="single" w:sz="4" w:space="4" w:color="000000"/>
        </w:pBdr>
        <w:spacing w:line="240" w:lineRule="auto"/>
        <w:rPr>
          <w:b/>
          <w:szCs w:val="22"/>
          <w:lang w:val="lt-LT"/>
        </w:rPr>
      </w:pPr>
      <w:r>
        <w:rPr>
          <w:b/>
          <w:bCs/>
          <w:szCs w:val="22"/>
          <w:lang w:val="lt-LT"/>
        </w:rPr>
        <w:t>Aliuminio paketėlis</w:t>
      </w:r>
    </w:p>
    <w:p>
      <w:pPr>
        <w:spacing w:line="240" w:lineRule="auto"/>
        <w:rPr>
          <w:szCs w:val="22"/>
          <w:lang w:val="lt-LT"/>
        </w:rPr>
      </w:pPr>
    </w:p>
    <w:p>
      <w:pPr>
        <w:spacing w:line="240" w:lineRule="auto"/>
        <w:rPr>
          <w:szCs w:val="22"/>
          <w:lang w:val="lt-LT"/>
        </w:rPr>
      </w:pPr>
    </w:p>
    <w:p>
      <w:pPr>
        <w:pBdr>
          <w:top w:val="single" w:sz="4" w:space="1" w:color="000000"/>
          <w:left w:val="single" w:sz="4" w:space="4" w:color="000000"/>
          <w:bottom w:val="single" w:sz="4" w:space="1" w:color="000000"/>
          <w:right w:val="single" w:sz="4" w:space="4" w:color="000000"/>
        </w:pBdr>
        <w:spacing w:line="240" w:lineRule="auto"/>
        <w:ind w:left="567" w:hanging="567"/>
        <w:rPr>
          <w:b/>
          <w:szCs w:val="22"/>
          <w:lang w:val="lt-LT"/>
        </w:rPr>
      </w:pPr>
      <w:r>
        <w:rPr>
          <w:b/>
          <w:bCs/>
          <w:szCs w:val="22"/>
          <w:lang w:val="lt-LT"/>
        </w:rPr>
        <w:t>1.</w:t>
      </w:r>
      <w:r>
        <w:rPr>
          <w:b/>
          <w:bCs/>
          <w:szCs w:val="22"/>
          <w:lang w:val="lt-LT"/>
        </w:rPr>
        <w:tab/>
        <w:t>VAISTINIO PREPARATO PAVADINIMAS IR VARTOJIMO BŪDAS (-AI)</w:t>
      </w:r>
      <w:r>
        <w:rPr>
          <w:b/>
          <w:szCs w:val="22"/>
          <w:highlight w:val="yellow"/>
          <w:lang w:val="lt-LT"/>
        </w:rPr>
        <w:fldChar w:fldCharType="begin"/>
      </w:r>
      <w:r>
        <w:rPr>
          <w:b/>
          <w:szCs w:val="22"/>
          <w:highlight w:val="yellow"/>
          <w:lang w:val="lt-LT"/>
        </w:rPr>
        <w:instrText xml:space="preserve"> DOCVARIABLE VAULT_ND_7d2fe377-1428-4cf3-8c1c-cfcf69f353a2 </w:instrText>
      </w:r>
      <w:r>
        <w:rPr>
          <w:b/>
          <w:szCs w:val="22"/>
          <w:highlight w:val="yellow"/>
          <w:lang w:val="lt-LT"/>
        </w:rPr>
        <w:fldChar w:fldCharType="separate"/>
      </w:r>
      <w:r>
        <w:rPr>
          <w:b/>
          <w:szCs w:val="22"/>
          <w:highlight w:val="yellow"/>
          <w:lang w:val="lt-LT"/>
        </w:rPr>
        <w:t xml:space="preserve"> </w:t>
      </w:r>
      <w:r>
        <w:rPr>
          <w:b/>
          <w:szCs w:val="22"/>
          <w:highlight w:val="yellow"/>
          <w:lang w:val="lt-LT"/>
        </w:rPr>
        <w:fldChar w:fldCharType="end"/>
      </w:r>
    </w:p>
    <w:p>
      <w:pPr>
        <w:spacing w:line="240" w:lineRule="auto"/>
        <w:ind w:left="567" w:hanging="567"/>
        <w:rPr>
          <w:szCs w:val="22"/>
          <w:lang w:val="lt-LT"/>
        </w:rPr>
      </w:pPr>
    </w:p>
    <w:p>
      <w:pPr>
        <w:spacing w:line="240" w:lineRule="auto"/>
        <w:rPr>
          <w:szCs w:val="22"/>
          <w:lang w:val="lt-LT"/>
        </w:rPr>
      </w:pPr>
      <w:r>
        <w:rPr>
          <w:szCs w:val="22"/>
          <w:lang w:val="lt-LT"/>
        </w:rPr>
        <w:t>Sephience 1 000 mg geriamieji milteliai paketėlyje</w:t>
      </w:r>
    </w:p>
    <w:p>
      <w:pPr>
        <w:spacing w:line="240" w:lineRule="auto"/>
        <w:rPr>
          <w:szCs w:val="22"/>
          <w:lang w:val="lt-LT"/>
        </w:rPr>
      </w:pPr>
      <w:r>
        <w:rPr>
          <w:szCs w:val="22"/>
          <w:lang w:val="lt-LT"/>
        </w:rPr>
        <w:t>sepiapterinas</w:t>
      </w:r>
    </w:p>
    <w:p>
      <w:pPr>
        <w:spacing w:line="240" w:lineRule="auto"/>
        <w:rPr>
          <w:szCs w:val="22"/>
          <w:lang w:val="lt-LT"/>
        </w:rPr>
      </w:pPr>
      <w:r>
        <w:rPr>
          <w:szCs w:val="22"/>
          <w:lang w:val="lt-LT"/>
        </w:rPr>
        <w:t>Vartoti per burną</w:t>
      </w:r>
    </w:p>
    <w:p>
      <w:pPr>
        <w:spacing w:line="240" w:lineRule="auto"/>
        <w:rPr>
          <w:szCs w:val="22"/>
          <w:lang w:val="lt-LT"/>
        </w:rPr>
      </w:pPr>
    </w:p>
    <w:p>
      <w:pPr>
        <w:spacing w:line="240" w:lineRule="auto"/>
        <w:rPr>
          <w:szCs w:val="22"/>
          <w:lang w:val="lt-LT"/>
        </w:rPr>
      </w:pPr>
    </w:p>
    <w:p>
      <w:pPr>
        <w:pBdr>
          <w:top w:val="single" w:sz="4" w:space="1" w:color="000000"/>
          <w:left w:val="single" w:sz="4" w:space="4" w:color="000000"/>
          <w:bottom w:val="single" w:sz="4" w:space="1" w:color="000000"/>
          <w:right w:val="single" w:sz="4" w:space="4" w:color="000000"/>
        </w:pBdr>
        <w:spacing w:line="240" w:lineRule="auto"/>
        <w:ind w:left="567" w:hanging="567"/>
        <w:rPr>
          <w:b/>
          <w:szCs w:val="22"/>
          <w:lang w:val="lt-LT"/>
        </w:rPr>
      </w:pPr>
      <w:r>
        <w:rPr>
          <w:b/>
          <w:bCs/>
          <w:szCs w:val="22"/>
          <w:lang w:val="lt-LT"/>
        </w:rPr>
        <w:t>2.</w:t>
      </w:r>
      <w:r>
        <w:rPr>
          <w:b/>
          <w:bCs/>
          <w:szCs w:val="22"/>
          <w:lang w:val="lt-LT"/>
        </w:rPr>
        <w:tab/>
        <w:t>VARTOJIMO METODAS</w:t>
      </w:r>
      <w:r>
        <w:rPr>
          <w:b/>
          <w:szCs w:val="22"/>
          <w:highlight w:val="yellow"/>
          <w:lang w:val="lt-LT"/>
        </w:rPr>
        <w:fldChar w:fldCharType="begin"/>
      </w:r>
      <w:r>
        <w:rPr>
          <w:b/>
          <w:szCs w:val="22"/>
          <w:highlight w:val="yellow"/>
          <w:lang w:val="lt-LT"/>
        </w:rPr>
        <w:instrText xml:space="preserve"> DOCVARIABLE VAULT_ND_60dc7dc8-e070-4ee6-b5c6-f437a73c1f3d </w:instrText>
      </w:r>
      <w:r>
        <w:rPr>
          <w:b/>
          <w:szCs w:val="22"/>
          <w:highlight w:val="yellow"/>
          <w:lang w:val="lt-LT"/>
        </w:rPr>
        <w:fldChar w:fldCharType="separate"/>
      </w:r>
      <w:r>
        <w:rPr>
          <w:b/>
          <w:szCs w:val="22"/>
          <w:highlight w:val="yellow"/>
          <w:lang w:val="lt-LT"/>
        </w:rPr>
        <w:t xml:space="preserve"> </w:t>
      </w:r>
      <w:r>
        <w:rPr>
          <w:b/>
          <w:szCs w:val="22"/>
          <w:highlight w:val="yellow"/>
          <w:lang w:val="lt-LT"/>
        </w:rPr>
        <w:fldChar w:fldCharType="end"/>
      </w:r>
    </w:p>
    <w:p>
      <w:pPr>
        <w:spacing w:line="240" w:lineRule="auto"/>
        <w:rPr>
          <w:szCs w:val="22"/>
          <w:lang w:val="lt-LT"/>
        </w:rPr>
      </w:pPr>
    </w:p>
    <w:p>
      <w:pPr>
        <w:spacing w:line="240" w:lineRule="auto"/>
        <w:rPr>
          <w:szCs w:val="22"/>
          <w:lang w:val="lt-LT"/>
        </w:rPr>
      </w:pPr>
    </w:p>
    <w:p>
      <w:pPr>
        <w:pBdr>
          <w:top w:val="single" w:sz="4" w:space="1" w:color="000000"/>
          <w:left w:val="single" w:sz="4" w:space="4" w:color="000000"/>
          <w:bottom w:val="single" w:sz="4" w:space="1" w:color="000000"/>
          <w:right w:val="single" w:sz="4" w:space="4" w:color="000000"/>
        </w:pBdr>
        <w:spacing w:line="240" w:lineRule="auto"/>
        <w:ind w:left="567" w:hanging="567"/>
        <w:rPr>
          <w:b/>
          <w:szCs w:val="22"/>
          <w:lang w:val="lt-LT"/>
        </w:rPr>
      </w:pPr>
      <w:r>
        <w:rPr>
          <w:b/>
          <w:bCs/>
          <w:szCs w:val="22"/>
          <w:lang w:val="lt-LT"/>
        </w:rPr>
        <w:t>3.</w:t>
      </w:r>
      <w:r>
        <w:rPr>
          <w:b/>
          <w:bCs/>
          <w:szCs w:val="22"/>
          <w:lang w:val="lt-LT"/>
        </w:rPr>
        <w:tab/>
        <w:t>TINKAMUMO LAIKAS</w:t>
      </w:r>
      <w:r>
        <w:rPr>
          <w:b/>
          <w:szCs w:val="22"/>
          <w:highlight w:val="yellow"/>
          <w:lang w:val="lt-LT"/>
        </w:rPr>
        <w:fldChar w:fldCharType="begin"/>
      </w:r>
      <w:r>
        <w:rPr>
          <w:b/>
          <w:szCs w:val="22"/>
          <w:highlight w:val="yellow"/>
          <w:lang w:val="lt-LT"/>
        </w:rPr>
        <w:instrText xml:space="preserve"> DOCVARIABLE VAULT_ND_1ef94f94-b055-4e30-97f0-bc5defdb165e </w:instrText>
      </w:r>
      <w:r>
        <w:rPr>
          <w:b/>
          <w:szCs w:val="22"/>
          <w:highlight w:val="yellow"/>
          <w:lang w:val="lt-LT"/>
        </w:rPr>
        <w:fldChar w:fldCharType="separate"/>
      </w:r>
      <w:r>
        <w:rPr>
          <w:b/>
          <w:szCs w:val="22"/>
          <w:highlight w:val="yellow"/>
          <w:lang w:val="lt-LT"/>
        </w:rPr>
        <w:t xml:space="preserve"> </w:t>
      </w:r>
      <w:r>
        <w:rPr>
          <w:b/>
          <w:szCs w:val="22"/>
          <w:highlight w:val="yellow"/>
          <w:lang w:val="lt-LT"/>
        </w:rPr>
        <w:fldChar w:fldCharType="end"/>
      </w:r>
    </w:p>
    <w:p>
      <w:pPr>
        <w:spacing w:line="240" w:lineRule="auto"/>
        <w:rPr>
          <w:lang w:val="lt-LT"/>
        </w:rPr>
      </w:pPr>
    </w:p>
    <w:p>
      <w:pPr>
        <w:spacing w:line="240" w:lineRule="auto"/>
        <w:rPr>
          <w:lang w:val="lt-LT"/>
        </w:rPr>
      </w:pPr>
      <w:r>
        <w:rPr>
          <w:szCs w:val="22"/>
          <w:lang w:val="lt-LT"/>
        </w:rPr>
        <w:t>EXP</w:t>
      </w:r>
    </w:p>
    <w:p>
      <w:pPr>
        <w:spacing w:line="240" w:lineRule="auto"/>
        <w:rPr>
          <w:lang w:val="lt-LT"/>
        </w:rPr>
      </w:pPr>
    </w:p>
    <w:p>
      <w:pPr>
        <w:spacing w:line="240" w:lineRule="auto"/>
        <w:rPr>
          <w:lang w:val="lt-LT"/>
        </w:rPr>
      </w:pPr>
    </w:p>
    <w:p>
      <w:pPr>
        <w:pBdr>
          <w:top w:val="single" w:sz="4" w:space="1" w:color="000000"/>
          <w:left w:val="single" w:sz="4" w:space="4" w:color="000000"/>
          <w:bottom w:val="single" w:sz="4" w:space="1" w:color="000000"/>
          <w:right w:val="single" w:sz="4" w:space="4" w:color="000000"/>
        </w:pBdr>
        <w:spacing w:line="240" w:lineRule="auto"/>
        <w:ind w:left="567" w:hanging="567"/>
        <w:rPr>
          <w:b/>
          <w:lang w:val="lt-LT"/>
        </w:rPr>
      </w:pPr>
      <w:r>
        <w:rPr>
          <w:b/>
          <w:bCs/>
          <w:szCs w:val="22"/>
          <w:lang w:val="lt-LT"/>
        </w:rPr>
        <w:t>4.</w:t>
      </w:r>
      <w:r>
        <w:rPr>
          <w:b/>
          <w:bCs/>
          <w:szCs w:val="22"/>
          <w:lang w:val="lt-LT"/>
        </w:rPr>
        <w:tab/>
        <w:t>SERIJOS NUMERIS</w:t>
      </w:r>
    </w:p>
    <w:p>
      <w:pPr>
        <w:spacing w:line="240" w:lineRule="auto"/>
        <w:ind w:right="113"/>
        <w:rPr>
          <w:lang w:val="lt-LT"/>
        </w:rPr>
      </w:pPr>
    </w:p>
    <w:p>
      <w:pPr>
        <w:spacing w:line="240" w:lineRule="auto"/>
        <w:ind w:right="113"/>
        <w:rPr>
          <w:lang w:val="lt-LT"/>
        </w:rPr>
      </w:pPr>
      <w:r>
        <w:rPr>
          <w:szCs w:val="22"/>
          <w:lang w:val="lt-LT"/>
        </w:rPr>
        <w:t>Lot</w:t>
      </w:r>
    </w:p>
    <w:p>
      <w:pPr>
        <w:spacing w:line="240" w:lineRule="auto"/>
        <w:ind w:right="113"/>
        <w:rPr>
          <w:lang w:val="lt-LT"/>
        </w:rPr>
      </w:pPr>
    </w:p>
    <w:p>
      <w:pPr>
        <w:spacing w:line="240" w:lineRule="auto"/>
        <w:ind w:right="113"/>
        <w:rPr>
          <w:lang w:val="lt-LT"/>
        </w:rPr>
      </w:pPr>
    </w:p>
    <w:p>
      <w:pPr>
        <w:pBdr>
          <w:top w:val="single" w:sz="4" w:space="1" w:color="000000"/>
          <w:left w:val="single" w:sz="4" w:space="4" w:color="000000"/>
          <w:bottom w:val="single" w:sz="4" w:space="1" w:color="000000"/>
          <w:right w:val="single" w:sz="4" w:space="4" w:color="000000"/>
        </w:pBdr>
        <w:spacing w:line="240" w:lineRule="auto"/>
        <w:ind w:left="567" w:hanging="567"/>
        <w:rPr>
          <w:b/>
          <w:szCs w:val="22"/>
          <w:lang w:val="lt-LT"/>
        </w:rPr>
      </w:pPr>
      <w:r>
        <w:rPr>
          <w:b/>
          <w:bCs/>
          <w:szCs w:val="22"/>
          <w:lang w:val="lt-LT"/>
        </w:rPr>
        <w:t>5.</w:t>
      </w:r>
      <w:r>
        <w:rPr>
          <w:b/>
          <w:bCs/>
          <w:szCs w:val="22"/>
          <w:lang w:val="lt-LT"/>
        </w:rPr>
        <w:tab/>
        <w:t>KIEKIS (MASĖ, TŪRIS ARBA VIENETAI)</w:t>
      </w:r>
      <w:r>
        <w:rPr>
          <w:b/>
          <w:szCs w:val="22"/>
          <w:highlight w:val="yellow"/>
          <w:lang w:val="lt-LT"/>
        </w:rPr>
        <w:fldChar w:fldCharType="begin"/>
      </w:r>
      <w:r>
        <w:rPr>
          <w:b/>
          <w:szCs w:val="22"/>
          <w:highlight w:val="yellow"/>
          <w:lang w:val="lt-LT"/>
        </w:rPr>
        <w:instrText xml:space="preserve"> DOCVARIABLE VAULT_ND_2745a441-23aa-4676-880d-7371f0373a39 </w:instrText>
      </w:r>
      <w:r>
        <w:rPr>
          <w:b/>
          <w:szCs w:val="22"/>
          <w:highlight w:val="yellow"/>
          <w:lang w:val="lt-LT"/>
        </w:rPr>
        <w:fldChar w:fldCharType="separate"/>
      </w:r>
      <w:r>
        <w:rPr>
          <w:b/>
          <w:szCs w:val="22"/>
          <w:highlight w:val="yellow"/>
          <w:lang w:val="lt-LT"/>
        </w:rPr>
        <w:t xml:space="preserve"> </w:t>
      </w:r>
      <w:r>
        <w:rPr>
          <w:b/>
          <w:szCs w:val="22"/>
          <w:highlight w:val="yellow"/>
          <w:lang w:val="lt-LT"/>
        </w:rPr>
        <w:fldChar w:fldCharType="end"/>
      </w:r>
    </w:p>
    <w:p>
      <w:pPr>
        <w:spacing w:line="240" w:lineRule="auto"/>
        <w:ind w:right="113"/>
        <w:rPr>
          <w:szCs w:val="22"/>
          <w:lang w:val="lt-LT"/>
        </w:rPr>
      </w:pPr>
    </w:p>
    <w:p>
      <w:pPr>
        <w:spacing w:line="240" w:lineRule="auto"/>
        <w:ind w:right="113"/>
        <w:rPr>
          <w:szCs w:val="22"/>
          <w:lang w:val="lt-LT"/>
        </w:rPr>
      </w:pPr>
      <w:r>
        <w:rPr>
          <w:szCs w:val="22"/>
          <w:lang w:val="lt-LT"/>
        </w:rPr>
        <w:t>1 000 mg</w:t>
      </w:r>
    </w:p>
    <w:p>
      <w:pPr>
        <w:spacing w:line="240" w:lineRule="auto"/>
        <w:ind w:right="113"/>
        <w:rPr>
          <w:szCs w:val="22"/>
          <w:lang w:val="lt-LT"/>
        </w:rPr>
      </w:pPr>
    </w:p>
    <w:p>
      <w:pPr>
        <w:spacing w:line="240" w:lineRule="auto"/>
        <w:ind w:right="113"/>
        <w:rPr>
          <w:szCs w:val="22"/>
          <w:lang w:val="lt-LT"/>
        </w:rPr>
      </w:pPr>
    </w:p>
    <w:p>
      <w:pPr>
        <w:pBdr>
          <w:top w:val="single" w:sz="4" w:space="1" w:color="000000"/>
          <w:left w:val="single" w:sz="4" w:space="4" w:color="000000"/>
          <w:bottom w:val="single" w:sz="4" w:space="1" w:color="000000"/>
          <w:right w:val="single" w:sz="4" w:space="4" w:color="000000"/>
        </w:pBdr>
        <w:spacing w:line="240" w:lineRule="auto"/>
        <w:ind w:left="567" w:hanging="567"/>
        <w:rPr>
          <w:b/>
          <w:szCs w:val="22"/>
          <w:lang w:val="lt-LT"/>
        </w:rPr>
      </w:pPr>
      <w:r>
        <w:rPr>
          <w:b/>
          <w:bCs/>
          <w:szCs w:val="22"/>
          <w:lang w:val="lt-LT"/>
        </w:rPr>
        <w:t>6.</w:t>
      </w:r>
      <w:r>
        <w:rPr>
          <w:b/>
          <w:bCs/>
          <w:szCs w:val="22"/>
          <w:lang w:val="lt-LT"/>
        </w:rPr>
        <w:tab/>
        <w:t>KITA</w:t>
      </w:r>
      <w:r>
        <w:rPr>
          <w:b/>
          <w:szCs w:val="22"/>
          <w:lang w:val="lt-LT"/>
        </w:rPr>
        <w:fldChar w:fldCharType="begin"/>
      </w:r>
      <w:r>
        <w:rPr>
          <w:b/>
          <w:szCs w:val="22"/>
          <w:lang w:val="lt-LT"/>
        </w:rPr>
        <w:instrText xml:space="preserve"> DOCVARIABLE VAULT_ND_5767d96d-224f-4d56-9832-a6be44c2b6df </w:instrText>
      </w:r>
      <w:r>
        <w:rPr>
          <w:b/>
          <w:szCs w:val="22"/>
          <w:lang w:val="lt-LT"/>
        </w:rPr>
        <w:fldChar w:fldCharType="separate"/>
      </w:r>
      <w:r>
        <w:rPr>
          <w:b/>
          <w:szCs w:val="22"/>
          <w:lang w:val="lt-LT"/>
        </w:rPr>
        <w:t xml:space="preserve"> </w:t>
      </w:r>
      <w:r>
        <w:rPr>
          <w:b/>
          <w:szCs w:val="22"/>
          <w:lang w:val="lt-LT"/>
        </w:rPr>
        <w:fldChar w:fldCharType="end"/>
      </w:r>
    </w:p>
    <w:p>
      <w:pPr>
        <w:spacing w:line="240" w:lineRule="auto"/>
        <w:ind w:right="113"/>
        <w:rPr>
          <w:szCs w:val="22"/>
          <w:lang w:val="lt-LT"/>
        </w:rPr>
      </w:pPr>
    </w:p>
    <w:p>
      <w:pPr>
        <w:spacing w:line="240" w:lineRule="auto"/>
        <w:ind w:right="113"/>
        <w:rPr>
          <w:szCs w:val="22"/>
          <w:lang w:val="lt-LT"/>
        </w:rPr>
      </w:pPr>
    </w:p>
    <w:p>
      <w:pPr>
        <w:spacing w:line="240" w:lineRule="auto"/>
        <w:ind w:right="113"/>
        <w:rPr>
          <w:lang w:val="lt-LT"/>
        </w:rPr>
      </w:pPr>
    </w:p>
    <w:p>
      <w:pPr>
        <w:spacing w:line="240" w:lineRule="auto"/>
        <w:rPr>
          <w:b/>
          <w:lang w:val="lt-LT"/>
        </w:rPr>
      </w:pPr>
      <w:r>
        <w:br w:type="page"/>
      </w:r>
    </w:p>
    <w:p>
      <w:pPr>
        <w:spacing w:line="240" w:lineRule="auto"/>
        <w:rPr>
          <w:lang w:val="lt-LT"/>
        </w:rPr>
      </w:pPr>
    </w:p>
    <w:p>
      <w:pPr>
        <w:spacing w:line="240" w:lineRule="auto"/>
        <w:rPr>
          <w:lang w:val="lt-LT"/>
        </w:rPr>
      </w:pPr>
    </w:p>
    <w:p>
      <w:pPr>
        <w:spacing w:line="240" w:lineRule="auto"/>
        <w:rPr>
          <w:lang w:val="lt-LT"/>
        </w:rPr>
      </w:pPr>
    </w:p>
    <w:p>
      <w:pPr>
        <w:spacing w:line="240" w:lineRule="auto"/>
        <w:rPr>
          <w:lang w:val="lt-LT"/>
        </w:rPr>
      </w:pPr>
    </w:p>
    <w:p>
      <w:pPr>
        <w:spacing w:line="240" w:lineRule="auto"/>
        <w:rPr>
          <w:lang w:val="lt-LT"/>
        </w:rPr>
      </w:pPr>
    </w:p>
    <w:p>
      <w:pPr>
        <w:spacing w:line="240" w:lineRule="auto"/>
        <w:rPr>
          <w:lang w:val="lt-LT"/>
        </w:rPr>
      </w:pPr>
    </w:p>
    <w:p>
      <w:pPr>
        <w:spacing w:line="240" w:lineRule="auto"/>
        <w:rPr>
          <w:lang w:val="lt-LT"/>
        </w:rPr>
      </w:pPr>
    </w:p>
    <w:p>
      <w:pPr>
        <w:spacing w:line="240" w:lineRule="auto"/>
        <w:rPr>
          <w:lang w:val="lt-LT"/>
        </w:rPr>
      </w:pPr>
    </w:p>
    <w:p>
      <w:pPr>
        <w:spacing w:line="240" w:lineRule="auto"/>
        <w:rPr>
          <w:lang w:val="lt-LT"/>
        </w:rPr>
      </w:pPr>
    </w:p>
    <w:p>
      <w:pPr>
        <w:spacing w:line="240" w:lineRule="auto"/>
        <w:rPr>
          <w:lang w:val="lt-LT"/>
        </w:rPr>
      </w:pPr>
    </w:p>
    <w:p>
      <w:pPr>
        <w:spacing w:line="240" w:lineRule="auto"/>
        <w:rPr>
          <w:lang w:val="lt-LT"/>
        </w:rPr>
      </w:pPr>
    </w:p>
    <w:p>
      <w:pPr>
        <w:spacing w:line="240" w:lineRule="auto"/>
        <w:rPr>
          <w:lang w:val="lt-LT"/>
        </w:rPr>
      </w:pPr>
    </w:p>
    <w:p>
      <w:pPr>
        <w:spacing w:line="240" w:lineRule="auto"/>
        <w:rPr>
          <w:lang w:val="lt-LT"/>
        </w:rPr>
      </w:pPr>
    </w:p>
    <w:p>
      <w:pPr>
        <w:spacing w:line="240" w:lineRule="auto"/>
        <w:rPr>
          <w:lang w:val="lt-LT"/>
        </w:rPr>
      </w:pPr>
    </w:p>
    <w:p>
      <w:pPr>
        <w:spacing w:line="240" w:lineRule="auto"/>
        <w:rPr>
          <w:lang w:val="lt-LT"/>
        </w:rPr>
      </w:pPr>
    </w:p>
    <w:p>
      <w:pPr>
        <w:spacing w:line="240" w:lineRule="auto"/>
        <w:rPr>
          <w:lang w:val="lt-LT"/>
        </w:rPr>
      </w:pPr>
    </w:p>
    <w:p>
      <w:pPr>
        <w:spacing w:line="240" w:lineRule="auto"/>
        <w:rPr>
          <w:lang w:val="lt-LT"/>
        </w:rPr>
      </w:pPr>
    </w:p>
    <w:p>
      <w:pPr>
        <w:spacing w:line="240" w:lineRule="auto"/>
        <w:rPr>
          <w:lang w:val="lt-LT"/>
        </w:rPr>
      </w:pPr>
    </w:p>
    <w:p>
      <w:pPr>
        <w:spacing w:line="240" w:lineRule="auto"/>
        <w:rPr>
          <w:lang w:val="lt-LT"/>
        </w:rPr>
      </w:pPr>
    </w:p>
    <w:p>
      <w:pPr>
        <w:spacing w:line="240" w:lineRule="auto"/>
        <w:rPr>
          <w:lang w:val="lt-LT"/>
        </w:rPr>
      </w:pPr>
    </w:p>
    <w:p>
      <w:pPr>
        <w:spacing w:line="240" w:lineRule="auto"/>
        <w:rPr>
          <w:lang w:val="lt-LT"/>
        </w:rPr>
      </w:pPr>
    </w:p>
    <w:p>
      <w:pPr>
        <w:spacing w:line="240" w:lineRule="auto"/>
        <w:rPr>
          <w:lang w:val="lt-LT"/>
        </w:rPr>
      </w:pPr>
    </w:p>
    <w:p>
      <w:pPr>
        <w:spacing w:line="240" w:lineRule="auto"/>
        <w:rPr>
          <w:lang w:val="lt-LT"/>
        </w:rPr>
      </w:pPr>
    </w:p>
    <w:p>
      <w:pPr>
        <w:pStyle w:val="TitleA"/>
      </w:pPr>
      <w:r>
        <w:t>B. PAKUOTĖS LAPELIS</w:t>
      </w:r>
      <w:r>
        <w:rPr>
          <w:highlight w:val="yellow"/>
        </w:rPr>
        <w:fldChar w:fldCharType="begin"/>
      </w:r>
      <w:r>
        <w:rPr>
          <w:highlight w:val="yellow"/>
        </w:rPr>
        <w:instrText xml:space="preserve"> DOCVARIABLE VAULT_ND_ac8e9381-01c0-4d93-83ce-4eaebad63aa8 </w:instrText>
      </w:r>
      <w:r>
        <w:rPr>
          <w:highlight w:val="yellow"/>
        </w:rPr>
        <w:fldChar w:fldCharType="separate"/>
      </w:r>
      <w:r>
        <w:rPr>
          <w:highlight w:val="yellow"/>
        </w:rPr>
        <w:t xml:space="preserve"> </w:t>
      </w:r>
      <w:r>
        <w:rPr>
          <w:highlight w:val="yellow"/>
        </w:rPr>
        <w:fldChar w:fldCharType="end"/>
      </w:r>
      <w:r>
        <w:br w:type="page"/>
      </w:r>
    </w:p>
    <w:p>
      <w:pPr>
        <w:tabs>
          <w:tab w:val="clear" w:pos="567"/>
        </w:tabs>
        <w:spacing w:line="240" w:lineRule="auto"/>
        <w:jc w:val="center"/>
        <w:rPr>
          <w:lang w:val="lt-LT"/>
        </w:rPr>
      </w:pPr>
      <w:r>
        <w:rPr>
          <w:b/>
          <w:bCs/>
          <w:szCs w:val="22"/>
          <w:lang w:val="lt-LT"/>
        </w:rPr>
        <w:t>Pakuotės lapelis: informacija pacientui</w:t>
      </w:r>
      <w:r>
        <w:rPr>
          <w:b/>
          <w:highlight w:val="yellow"/>
          <w:lang w:val="lt-LT"/>
        </w:rPr>
        <w:fldChar w:fldCharType="begin"/>
      </w:r>
      <w:r>
        <w:rPr>
          <w:b/>
          <w:highlight w:val="yellow"/>
          <w:lang w:val="lt-LT"/>
        </w:rPr>
        <w:instrText xml:space="preserve"> DOCVARIABLE vault_nd_e576cd7f-49cc-4ea3-801c-cd57a82ae218 </w:instrText>
      </w:r>
      <w:r>
        <w:rPr>
          <w:b/>
          <w:highlight w:val="yellow"/>
          <w:lang w:val="lt-LT"/>
        </w:rPr>
        <w:fldChar w:fldCharType="separate"/>
      </w:r>
      <w:r>
        <w:rPr>
          <w:b/>
          <w:highlight w:val="yellow"/>
          <w:lang w:val="lt-LT"/>
        </w:rPr>
        <w:t xml:space="preserve"> </w:t>
      </w:r>
      <w:r>
        <w:rPr>
          <w:b/>
          <w:highlight w:val="yellow"/>
          <w:lang w:val="lt-LT"/>
        </w:rPr>
        <w:fldChar w:fldCharType="end"/>
      </w:r>
    </w:p>
    <w:p>
      <w:pPr>
        <w:shd w:val="clear" w:color="auto" w:fill="FFFFFF"/>
        <w:tabs>
          <w:tab w:val="clear" w:pos="567"/>
        </w:tabs>
        <w:spacing w:line="240" w:lineRule="auto"/>
        <w:jc w:val="center"/>
        <w:rPr>
          <w:lang w:val="lt-LT"/>
        </w:rPr>
      </w:pPr>
    </w:p>
    <w:p>
      <w:pPr>
        <w:tabs>
          <w:tab w:val="left" w:pos="993"/>
        </w:tabs>
        <w:spacing w:line="240" w:lineRule="auto"/>
        <w:jc w:val="center"/>
        <w:rPr>
          <w:b/>
          <w:lang w:val="lt-LT"/>
        </w:rPr>
      </w:pPr>
      <w:r>
        <w:rPr>
          <w:b/>
          <w:bCs/>
          <w:szCs w:val="22"/>
          <w:lang w:val="lt-LT"/>
        </w:rPr>
        <w:t>Sephience 250 mg geriamieji milteliai</w:t>
      </w:r>
      <w:r>
        <w:rPr>
          <w:b/>
          <w:lang w:val="lt-LT"/>
        </w:rPr>
        <w:fldChar w:fldCharType="begin"/>
      </w:r>
      <w:r>
        <w:rPr>
          <w:b/>
          <w:lang w:val="lt-LT"/>
        </w:rPr>
        <w:instrText xml:space="preserve"> DOCVARIABLE vault_nd_4a3785ce-b988-4655-aa05-03fcaba99807 </w:instrText>
      </w:r>
      <w:r>
        <w:rPr>
          <w:b/>
          <w:lang w:val="lt-LT"/>
        </w:rPr>
        <w:fldChar w:fldCharType="separate"/>
      </w:r>
      <w:r>
        <w:rPr>
          <w:b/>
          <w:lang w:val="lt-LT"/>
        </w:rPr>
        <w:t xml:space="preserve"> </w:t>
      </w:r>
      <w:r>
        <w:rPr>
          <w:b/>
          <w:lang w:val="lt-LT"/>
        </w:rPr>
        <w:fldChar w:fldCharType="end"/>
      </w:r>
      <w:r>
        <w:rPr>
          <w:b/>
          <w:bCs/>
          <w:szCs w:val="22"/>
          <w:lang w:val="lt-LT"/>
        </w:rPr>
        <w:t>paketėlyje</w:t>
      </w:r>
    </w:p>
    <w:p>
      <w:pPr>
        <w:tabs>
          <w:tab w:val="left" w:pos="993"/>
        </w:tabs>
        <w:spacing w:line="240" w:lineRule="auto"/>
        <w:jc w:val="center"/>
        <w:rPr>
          <w:b/>
          <w:lang w:val="lt-LT"/>
        </w:rPr>
      </w:pPr>
      <w:r>
        <w:rPr>
          <w:b/>
          <w:bCs/>
          <w:szCs w:val="22"/>
          <w:lang w:val="lt-LT"/>
        </w:rPr>
        <w:t>Sephience 1 000 mg geriamieji milteliai</w:t>
      </w:r>
      <w:r>
        <w:rPr>
          <w:b/>
          <w:lang w:val="lt-LT"/>
        </w:rPr>
        <w:fldChar w:fldCharType="begin"/>
      </w:r>
      <w:r>
        <w:rPr>
          <w:b/>
          <w:lang w:val="lt-LT"/>
        </w:rPr>
        <w:instrText xml:space="preserve"> DOCVARIABLE vault_nd_363d876a-4758-4b18-994c-0f252517de4c </w:instrText>
      </w:r>
      <w:r>
        <w:rPr>
          <w:b/>
          <w:lang w:val="lt-LT"/>
        </w:rPr>
        <w:fldChar w:fldCharType="separate"/>
      </w:r>
      <w:r>
        <w:rPr>
          <w:b/>
          <w:lang w:val="lt-LT"/>
        </w:rPr>
        <w:t xml:space="preserve"> </w:t>
      </w:r>
      <w:r>
        <w:rPr>
          <w:b/>
          <w:lang w:val="lt-LT"/>
        </w:rPr>
        <w:fldChar w:fldCharType="end"/>
      </w:r>
      <w:r>
        <w:rPr>
          <w:b/>
          <w:bCs/>
          <w:szCs w:val="22"/>
          <w:lang w:val="lt-LT"/>
        </w:rPr>
        <w:t>paketėlyje</w:t>
      </w:r>
    </w:p>
    <w:p>
      <w:pPr>
        <w:tabs>
          <w:tab w:val="clear" w:pos="567"/>
        </w:tabs>
        <w:spacing w:line="240" w:lineRule="auto"/>
        <w:jc w:val="center"/>
        <w:rPr>
          <w:lang w:val="lt-LT"/>
        </w:rPr>
      </w:pPr>
      <w:r>
        <w:rPr>
          <w:szCs w:val="22"/>
          <w:lang w:val="lt-LT"/>
        </w:rPr>
        <w:t>sepiapterinas</w:t>
      </w:r>
    </w:p>
    <w:p>
      <w:pPr>
        <w:tabs>
          <w:tab w:val="clear" w:pos="567"/>
        </w:tabs>
        <w:spacing w:line="240" w:lineRule="auto"/>
        <w:rPr>
          <w:lang w:val="lt-LT"/>
        </w:rPr>
      </w:pPr>
    </w:p>
    <w:p>
      <w:pPr>
        <w:spacing w:line="240" w:lineRule="auto"/>
        <w:rPr>
          <w:szCs w:val="22"/>
          <w:lang w:val="lt-LT"/>
        </w:rPr>
      </w:pPr>
      <w:r>
        <w:rPr>
          <w:noProof/>
        </w:rPr>
        <w:drawing>
          <wp:inline distT="0" distB="0" distL="0" distR="0">
            <wp:extent cx="184150" cy="184150"/>
            <wp:effectExtent l="0" t="0" r="0" b="0"/>
            <wp:docPr id="10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Picture 2"/>
                    <pic:cNvPicPr>
                      <a:picLocks noChangeAspect="1" noChangeArrowheads="1"/>
                    </pic:cNvPicPr>
                  </pic:nvPicPr>
                  <pic:blipFill>
                    <a:blip r:embed="rId11"/>
                    <a:stretch>
                      <a:fillRect/>
                    </a:stretch>
                  </pic:blipFill>
                  <pic:spPr bwMode="auto">
                    <a:xfrm>
                      <a:off x="0" y="0"/>
                      <a:ext cx="184150" cy="184150"/>
                    </a:xfrm>
                    <a:prstGeom prst="rect">
                      <a:avLst/>
                    </a:prstGeom>
                    <a:noFill/>
                  </pic:spPr>
                </pic:pic>
              </a:graphicData>
            </a:graphic>
          </wp:inline>
        </w:drawing>
      </w:r>
      <w:r>
        <w:rPr>
          <w:szCs w:val="22"/>
          <w:lang w:val="lt-LT"/>
        </w:rPr>
        <w:t>Vykdoma papildoma šio vaisto stebėsena. Tai padės greitai nustatyti naują saugumo informaciją. Mums galite padėti pranešdami apie bet kokį Jums pasireiškiantį šalutinį poveikį. Apie tai, kaip pranešti apie šalutinį poveikį, žr. 4 skyriaus pabaigoje.</w:t>
      </w:r>
    </w:p>
    <w:p>
      <w:pPr>
        <w:spacing w:line="240" w:lineRule="auto"/>
        <w:rPr>
          <w:lang w:val="lt-LT"/>
        </w:rPr>
      </w:pPr>
    </w:p>
    <w:p>
      <w:pPr>
        <w:tabs>
          <w:tab w:val="clear" w:pos="567"/>
          <w:tab w:val="left" w:pos="720"/>
        </w:tabs>
        <w:spacing w:line="240" w:lineRule="auto"/>
        <w:rPr>
          <w:lang w:val="lt-LT"/>
        </w:rPr>
      </w:pPr>
      <w:r>
        <w:rPr>
          <w:b/>
          <w:bCs/>
          <w:szCs w:val="22"/>
          <w:lang w:val="lt-LT"/>
        </w:rPr>
        <w:t>Atidžiai perskaitykite visą šį lapelį, prieš pradėdami vartoti vaistą, nes jame pateikiama Jums svarbi informacija.</w:t>
      </w:r>
    </w:p>
    <w:p>
      <w:pPr>
        <w:numPr>
          <w:ilvl w:val="0"/>
          <w:numId w:val="4"/>
        </w:numPr>
        <w:tabs>
          <w:tab w:val="clear" w:pos="567"/>
          <w:tab w:val="left" w:pos="720"/>
        </w:tabs>
        <w:spacing w:line="240" w:lineRule="auto"/>
        <w:ind w:left="567" w:right="-2" w:hanging="567"/>
        <w:rPr>
          <w:lang w:val="lt-LT"/>
        </w:rPr>
      </w:pPr>
      <w:r>
        <w:rPr>
          <w:szCs w:val="22"/>
          <w:lang w:val="lt-LT"/>
        </w:rPr>
        <w:t xml:space="preserve">Neišmeskite šio lapelio, nes vėl gali prireikti jį perskaityti. </w:t>
      </w:r>
    </w:p>
    <w:p>
      <w:pPr>
        <w:numPr>
          <w:ilvl w:val="0"/>
          <w:numId w:val="4"/>
        </w:numPr>
        <w:tabs>
          <w:tab w:val="clear" w:pos="567"/>
          <w:tab w:val="left" w:pos="720"/>
        </w:tabs>
        <w:spacing w:line="240" w:lineRule="auto"/>
        <w:ind w:left="567" w:right="-2" w:hanging="567"/>
        <w:rPr>
          <w:lang w:val="lt-LT"/>
        </w:rPr>
      </w:pPr>
      <w:r>
        <w:rPr>
          <w:szCs w:val="22"/>
          <w:lang w:val="lt-LT"/>
        </w:rPr>
        <w:t>Jeigu kiltų daugiau klausimų, kreipkitės į gydytoją arba vaistininką.</w:t>
      </w:r>
    </w:p>
    <w:p>
      <w:pPr>
        <w:numPr>
          <w:ilvl w:val="0"/>
          <w:numId w:val="4"/>
        </w:numPr>
        <w:spacing w:line="240" w:lineRule="auto"/>
        <w:ind w:left="567" w:right="-2" w:hanging="567"/>
        <w:rPr>
          <w:lang w:val="lt-LT"/>
        </w:rPr>
      </w:pPr>
      <w:r>
        <w:rPr>
          <w:szCs w:val="22"/>
          <w:lang w:val="lt-LT"/>
        </w:rPr>
        <w:t>Šis vaistas skirtas tik Jums, todėl kitiems žmonėms jo duoti negalima. Vaistas gali jiems pakenkti (net tiems, kurių ligos požymiai yra tokie patys kaip Jūsų).</w:t>
      </w:r>
    </w:p>
    <w:p>
      <w:pPr>
        <w:numPr>
          <w:ilvl w:val="0"/>
          <w:numId w:val="4"/>
        </w:numPr>
        <w:spacing w:line="240" w:lineRule="auto"/>
        <w:ind w:left="567" w:hanging="567"/>
        <w:rPr>
          <w:lang w:val="lt-LT"/>
        </w:rPr>
      </w:pPr>
      <w:r>
        <w:rPr>
          <w:szCs w:val="22"/>
          <w:lang w:val="lt-LT"/>
        </w:rPr>
        <w:t>Jeigu pasireiškė šalutinis poveikis (net jeigu jis šiame lapelyje nenurodytas), kreipkitės į gydytoją arba vaistininką. Žr. 4 skyrių.</w:t>
      </w:r>
    </w:p>
    <w:p>
      <w:pPr>
        <w:tabs>
          <w:tab w:val="clear" w:pos="567"/>
        </w:tabs>
        <w:spacing w:line="240" w:lineRule="auto"/>
        <w:ind w:right="-2"/>
        <w:rPr>
          <w:lang w:val="lt-LT"/>
        </w:rPr>
      </w:pPr>
    </w:p>
    <w:p>
      <w:pPr>
        <w:tabs>
          <w:tab w:val="clear" w:pos="567"/>
        </w:tabs>
        <w:spacing w:line="240" w:lineRule="auto"/>
        <w:ind w:right="-2"/>
        <w:rPr>
          <w:b/>
          <w:lang w:val="lt-LT"/>
        </w:rPr>
      </w:pPr>
      <w:r>
        <w:rPr>
          <w:b/>
          <w:bCs/>
          <w:szCs w:val="22"/>
          <w:lang w:val="lt-LT"/>
        </w:rPr>
        <w:t>Apie ką rašoma šiame lapelyje?</w:t>
      </w:r>
    </w:p>
    <w:p>
      <w:pPr>
        <w:tabs>
          <w:tab w:val="clear" w:pos="567"/>
        </w:tabs>
        <w:spacing w:line="240" w:lineRule="auto"/>
        <w:ind w:right="-2"/>
        <w:rPr>
          <w:lang w:val="lt-LT"/>
        </w:rPr>
      </w:pPr>
    </w:p>
    <w:p>
      <w:pPr>
        <w:spacing w:line="240" w:lineRule="auto"/>
        <w:ind w:right="-29"/>
        <w:rPr>
          <w:highlight w:val="yellow"/>
          <w:lang w:val="lt-LT"/>
        </w:rPr>
      </w:pPr>
      <w:r>
        <w:rPr>
          <w:szCs w:val="22"/>
          <w:lang w:val="lt-LT"/>
        </w:rPr>
        <w:t>1.</w:t>
      </w:r>
      <w:r>
        <w:rPr>
          <w:szCs w:val="22"/>
          <w:lang w:val="lt-LT"/>
        </w:rPr>
        <w:tab/>
        <w:t>Kas yra Sephience ir kam jis vartojamas</w:t>
      </w:r>
      <w:r>
        <w:rPr>
          <w:szCs w:val="22"/>
          <w:highlight w:val="yellow"/>
          <w:lang w:val="lt-LT"/>
        </w:rPr>
        <w:t xml:space="preserve"> </w:t>
      </w:r>
    </w:p>
    <w:p>
      <w:pPr>
        <w:spacing w:line="240" w:lineRule="auto"/>
        <w:ind w:right="-29"/>
        <w:rPr>
          <w:highlight w:val="yellow"/>
          <w:lang w:val="lt-LT"/>
        </w:rPr>
      </w:pPr>
      <w:r>
        <w:rPr>
          <w:szCs w:val="22"/>
          <w:lang w:val="lt-LT"/>
        </w:rPr>
        <w:t>2.</w:t>
      </w:r>
      <w:r>
        <w:rPr>
          <w:szCs w:val="22"/>
          <w:lang w:val="lt-LT"/>
        </w:rPr>
        <w:tab/>
        <w:t>Kas žinotina prieš vartojant Sephience</w:t>
      </w:r>
    </w:p>
    <w:p>
      <w:pPr>
        <w:spacing w:line="240" w:lineRule="auto"/>
        <w:ind w:right="-29"/>
        <w:rPr>
          <w:highlight w:val="yellow"/>
          <w:lang w:val="lt-LT"/>
        </w:rPr>
      </w:pPr>
      <w:r>
        <w:rPr>
          <w:szCs w:val="22"/>
          <w:lang w:val="lt-LT"/>
        </w:rPr>
        <w:t>3.</w:t>
      </w:r>
      <w:r>
        <w:rPr>
          <w:szCs w:val="22"/>
          <w:lang w:val="lt-LT"/>
        </w:rPr>
        <w:tab/>
        <w:t>Kaip vartoti Sephience</w:t>
      </w:r>
    </w:p>
    <w:p>
      <w:pPr>
        <w:spacing w:line="240" w:lineRule="auto"/>
        <w:ind w:right="-29"/>
        <w:rPr>
          <w:highlight w:val="yellow"/>
          <w:lang w:val="lt-LT"/>
        </w:rPr>
      </w:pPr>
      <w:r>
        <w:rPr>
          <w:szCs w:val="22"/>
          <w:lang w:val="lt-LT"/>
        </w:rPr>
        <w:t>4.</w:t>
      </w:r>
      <w:r>
        <w:rPr>
          <w:szCs w:val="22"/>
          <w:lang w:val="lt-LT"/>
        </w:rPr>
        <w:tab/>
        <w:t>Galimas šalutinis poveikis</w:t>
      </w:r>
      <w:r>
        <w:rPr>
          <w:szCs w:val="22"/>
          <w:highlight w:val="yellow"/>
          <w:lang w:val="lt-LT"/>
        </w:rPr>
        <w:t xml:space="preserve"> </w:t>
      </w:r>
    </w:p>
    <w:p>
      <w:pPr>
        <w:spacing w:line="240" w:lineRule="auto"/>
        <w:ind w:right="-29"/>
        <w:rPr>
          <w:highlight w:val="yellow"/>
          <w:lang w:val="lt-LT"/>
        </w:rPr>
      </w:pPr>
      <w:r>
        <w:rPr>
          <w:szCs w:val="22"/>
          <w:lang w:val="lt-LT"/>
        </w:rPr>
        <w:t>5.</w:t>
      </w:r>
      <w:r>
        <w:rPr>
          <w:szCs w:val="22"/>
          <w:lang w:val="lt-LT"/>
        </w:rPr>
        <w:tab/>
        <w:t>Kaip laikyti Sephience</w:t>
      </w:r>
    </w:p>
    <w:p>
      <w:pPr>
        <w:spacing w:line="240" w:lineRule="auto"/>
        <w:ind w:right="-29"/>
        <w:rPr>
          <w:lang w:val="lt-LT"/>
        </w:rPr>
      </w:pPr>
      <w:r>
        <w:rPr>
          <w:szCs w:val="22"/>
          <w:lang w:val="lt-LT"/>
        </w:rPr>
        <w:t>6.</w:t>
      </w:r>
      <w:r>
        <w:rPr>
          <w:szCs w:val="22"/>
          <w:lang w:val="lt-LT"/>
        </w:rPr>
        <w:tab/>
        <w:t>Pakuotės turinys ir kita informacija</w:t>
      </w:r>
    </w:p>
    <w:p>
      <w:pPr>
        <w:tabs>
          <w:tab w:val="clear" w:pos="567"/>
        </w:tabs>
        <w:spacing w:line="240" w:lineRule="auto"/>
        <w:rPr>
          <w:szCs w:val="22"/>
          <w:lang w:val="lt-LT"/>
        </w:rPr>
      </w:pPr>
    </w:p>
    <w:p>
      <w:pPr>
        <w:tabs>
          <w:tab w:val="clear" w:pos="567"/>
        </w:tabs>
        <w:spacing w:line="240" w:lineRule="auto"/>
        <w:rPr>
          <w:szCs w:val="22"/>
          <w:lang w:val="lt-LT"/>
        </w:rPr>
      </w:pPr>
    </w:p>
    <w:p>
      <w:pPr>
        <w:spacing w:line="240" w:lineRule="auto"/>
        <w:ind w:right="-2"/>
        <w:rPr>
          <w:b/>
          <w:szCs w:val="22"/>
          <w:lang w:val="lt-LT"/>
        </w:rPr>
      </w:pPr>
      <w:r>
        <w:rPr>
          <w:b/>
          <w:bCs/>
          <w:szCs w:val="22"/>
          <w:lang w:val="lt-LT"/>
        </w:rPr>
        <w:t>1.</w:t>
      </w:r>
      <w:r>
        <w:rPr>
          <w:b/>
          <w:bCs/>
          <w:szCs w:val="22"/>
          <w:lang w:val="lt-LT"/>
        </w:rPr>
        <w:tab/>
        <w:t>Kas yra Sephience ir kam jis vartojamas</w:t>
      </w:r>
    </w:p>
    <w:p>
      <w:pPr>
        <w:tabs>
          <w:tab w:val="clear" w:pos="567"/>
          <w:tab w:val="left" w:pos="720"/>
        </w:tabs>
        <w:spacing w:line="240" w:lineRule="auto"/>
        <w:rPr>
          <w:szCs w:val="22"/>
          <w:lang w:val="lt-LT"/>
        </w:rPr>
      </w:pPr>
    </w:p>
    <w:p>
      <w:pPr>
        <w:tabs>
          <w:tab w:val="clear" w:pos="567"/>
          <w:tab w:val="left" w:pos="720"/>
        </w:tabs>
        <w:spacing w:line="240" w:lineRule="auto"/>
        <w:rPr>
          <w:lang w:val="lt-LT"/>
        </w:rPr>
      </w:pPr>
      <w:bookmarkStart w:id="8" w:name="_Hlk152944872"/>
      <w:r>
        <w:rPr>
          <w:szCs w:val="22"/>
          <w:lang w:val="lt-LT"/>
        </w:rPr>
        <w:t>Sephience</w:t>
      </w:r>
      <w:bookmarkEnd w:id="8"/>
      <w:r>
        <w:rPr>
          <w:szCs w:val="22"/>
          <w:lang w:val="lt-LT"/>
        </w:rPr>
        <w:t xml:space="preserve"> sudėtyje yra veikliosios medžiagos sepiapterino, kuris yra natūralios medžiagos, reikalingos kofaktoriui BH4 gaminti, dirbtinė versija. Ji reikalinga kai kuriems organizmo fermentams (baltymams) amino rūgščiai Phe skaidyti į tiroziną.</w:t>
      </w:r>
    </w:p>
    <w:p>
      <w:pPr>
        <w:tabs>
          <w:tab w:val="clear" w:pos="567"/>
          <w:tab w:val="left" w:pos="720"/>
        </w:tabs>
        <w:spacing w:line="240" w:lineRule="auto"/>
        <w:rPr>
          <w:szCs w:val="22"/>
          <w:lang w:val="lt-LT"/>
        </w:rPr>
      </w:pPr>
    </w:p>
    <w:p>
      <w:pPr>
        <w:tabs>
          <w:tab w:val="clear" w:pos="567"/>
          <w:tab w:val="left" w:pos="720"/>
        </w:tabs>
        <w:spacing w:line="240" w:lineRule="auto"/>
        <w:rPr>
          <w:szCs w:val="22"/>
          <w:lang w:val="lt-LT"/>
        </w:rPr>
      </w:pPr>
      <w:r>
        <w:rPr>
          <w:szCs w:val="22"/>
          <w:lang w:val="lt-LT"/>
        </w:rPr>
        <w:t>Sephience vartojamas įvairaus amžiaus pacientų, sergančių fenilketonurija (FKU), hiperfenilalaninemijai (aukštam Phe lygiui kraujyje) gydyti. Mūsų organizmas maisto produktuose esančius baltymus skaido į aminorūgštis. FKU yra paveldima liga, kai žmonės negali suskaidyti aminorūgšties Phe, todėl ji kaupiasi kraujyje ir smegenyse, o tai gali pakenkti.</w:t>
      </w:r>
    </w:p>
    <w:p>
      <w:pPr>
        <w:tabs>
          <w:tab w:val="clear" w:pos="567"/>
          <w:tab w:val="left" w:pos="720"/>
        </w:tabs>
        <w:spacing w:line="240" w:lineRule="auto"/>
        <w:rPr>
          <w:szCs w:val="22"/>
          <w:lang w:val="lt-LT"/>
        </w:rPr>
      </w:pPr>
    </w:p>
    <w:p>
      <w:pPr>
        <w:tabs>
          <w:tab w:val="clear" w:pos="567"/>
          <w:tab w:val="left" w:pos="720"/>
        </w:tabs>
        <w:spacing w:line="240" w:lineRule="auto"/>
        <w:rPr>
          <w:lang w:val="lt-LT"/>
        </w:rPr>
      </w:pPr>
      <w:r>
        <w:rPr>
          <w:szCs w:val="22"/>
          <w:lang w:val="lt-LT"/>
        </w:rPr>
        <w:t xml:space="preserve">Sepiapterinas padeda organizmui skaidyti Phe ir tai sumažina žalingą fenilalanino perteklių kraujyje. </w:t>
      </w:r>
    </w:p>
    <w:p>
      <w:pPr>
        <w:tabs>
          <w:tab w:val="clear" w:pos="567"/>
        </w:tabs>
        <w:spacing w:line="240" w:lineRule="auto"/>
        <w:rPr>
          <w:iCs/>
          <w:szCs w:val="22"/>
          <w:lang w:val="lt-LT"/>
        </w:rPr>
      </w:pPr>
    </w:p>
    <w:p>
      <w:pPr>
        <w:tabs>
          <w:tab w:val="clear" w:pos="567"/>
        </w:tabs>
        <w:spacing w:line="240" w:lineRule="auto"/>
        <w:rPr>
          <w:iCs/>
          <w:szCs w:val="22"/>
          <w:lang w:val="lt-LT"/>
        </w:rPr>
      </w:pPr>
    </w:p>
    <w:p>
      <w:pPr>
        <w:spacing w:line="240" w:lineRule="auto"/>
        <w:ind w:right="-2"/>
        <w:rPr>
          <w:b/>
          <w:szCs w:val="22"/>
          <w:lang w:val="lt-LT"/>
        </w:rPr>
      </w:pPr>
      <w:r>
        <w:rPr>
          <w:b/>
          <w:bCs/>
          <w:szCs w:val="22"/>
          <w:lang w:val="lt-LT"/>
        </w:rPr>
        <w:t>2.</w:t>
      </w:r>
      <w:r>
        <w:rPr>
          <w:b/>
          <w:bCs/>
          <w:szCs w:val="22"/>
          <w:lang w:val="lt-LT"/>
        </w:rPr>
        <w:tab/>
        <w:t>Kas žinotina prieš vartojant Sephience</w:t>
      </w:r>
    </w:p>
    <w:p>
      <w:pPr>
        <w:tabs>
          <w:tab w:val="clear" w:pos="567"/>
          <w:tab w:val="left" w:pos="720"/>
        </w:tabs>
        <w:spacing w:line="240" w:lineRule="auto"/>
        <w:rPr>
          <w:i/>
          <w:szCs w:val="22"/>
          <w:lang w:val="lt-LT"/>
        </w:rPr>
      </w:pPr>
    </w:p>
    <w:p>
      <w:pPr>
        <w:tabs>
          <w:tab w:val="clear" w:pos="567"/>
          <w:tab w:val="left" w:pos="720"/>
        </w:tabs>
        <w:spacing w:line="240" w:lineRule="auto"/>
        <w:rPr>
          <w:szCs w:val="22"/>
          <w:lang w:val="lt-LT"/>
        </w:rPr>
      </w:pPr>
      <w:r>
        <w:rPr>
          <w:b/>
          <w:bCs/>
          <w:szCs w:val="22"/>
          <w:lang w:val="lt-LT"/>
        </w:rPr>
        <w:t>Sephience</w:t>
      </w:r>
      <w:r>
        <w:rPr>
          <w:b/>
          <w:lang w:val="lt-LT"/>
        </w:rPr>
        <w:t xml:space="preserve"> vartoti draudžiama</w:t>
      </w:r>
    </w:p>
    <w:p>
      <w:pPr>
        <w:tabs>
          <w:tab w:val="clear" w:pos="567"/>
          <w:tab w:val="left" w:pos="720"/>
        </w:tabs>
        <w:spacing w:line="240" w:lineRule="auto"/>
        <w:ind w:left="567" w:hanging="567"/>
        <w:rPr>
          <w:lang w:val="lt-LT"/>
        </w:rPr>
      </w:pPr>
      <w:r>
        <w:rPr>
          <w:szCs w:val="22"/>
          <w:lang w:val="lt-LT"/>
        </w:rPr>
        <w:t>-</w:t>
      </w:r>
      <w:r>
        <w:rPr>
          <w:szCs w:val="22"/>
          <w:lang w:val="lt-LT"/>
        </w:rPr>
        <w:tab/>
        <w:t>jeigu yra alergija sepiapterinui arba bet kuriai pagalbinei šio vaisto medžiagai (jos išvardytos 6 skyriuje).</w:t>
      </w:r>
    </w:p>
    <w:p>
      <w:pPr>
        <w:tabs>
          <w:tab w:val="clear" w:pos="567"/>
          <w:tab w:val="left" w:pos="720"/>
        </w:tabs>
        <w:spacing w:line="240" w:lineRule="auto"/>
        <w:rPr>
          <w:lang w:val="lt-LT"/>
        </w:rPr>
      </w:pPr>
    </w:p>
    <w:p>
      <w:pPr>
        <w:tabs>
          <w:tab w:val="clear" w:pos="567"/>
          <w:tab w:val="left" w:pos="720"/>
        </w:tabs>
        <w:spacing w:line="240" w:lineRule="auto"/>
        <w:rPr>
          <w:b/>
          <w:lang w:val="lt-LT"/>
        </w:rPr>
      </w:pPr>
      <w:r>
        <w:rPr>
          <w:b/>
          <w:bCs/>
          <w:szCs w:val="22"/>
          <w:lang w:val="lt-LT"/>
        </w:rPr>
        <w:t>Įspėjimai ir atsargumo priemonės</w:t>
      </w:r>
      <w:r>
        <w:rPr>
          <w:b/>
          <w:lang w:val="lt-LT"/>
        </w:rPr>
        <w:fldChar w:fldCharType="begin"/>
      </w:r>
      <w:r>
        <w:rPr>
          <w:b/>
          <w:lang w:val="lt-LT"/>
        </w:rPr>
        <w:instrText xml:space="preserve"> DOCVARIABLE vault_nd_10c35ca3-0f18-4b6a-88f6-7dcc0cce44cf </w:instrText>
      </w:r>
      <w:r>
        <w:rPr>
          <w:b/>
          <w:lang w:val="lt-LT"/>
        </w:rPr>
        <w:fldChar w:fldCharType="separate"/>
      </w:r>
      <w:r>
        <w:rPr>
          <w:b/>
          <w:lang w:val="lt-LT"/>
        </w:rPr>
        <w:t xml:space="preserve"> </w:t>
      </w:r>
      <w:r>
        <w:rPr>
          <w:b/>
          <w:lang w:val="lt-LT"/>
        </w:rPr>
        <w:fldChar w:fldCharType="end"/>
      </w:r>
    </w:p>
    <w:p>
      <w:pPr>
        <w:tabs>
          <w:tab w:val="clear" w:pos="567"/>
          <w:tab w:val="left" w:pos="720"/>
        </w:tabs>
        <w:spacing w:line="240" w:lineRule="auto"/>
        <w:rPr>
          <w:lang w:val="lt-LT"/>
        </w:rPr>
      </w:pPr>
      <w:r>
        <w:rPr>
          <w:szCs w:val="22"/>
          <w:lang w:val="lt-LT"/>
        </w:rPr>
        <w:t xml:space="preserve">Pasitarkite su gydytoju arba vaistininku, prieš pradėdami vartoti Sephience. </w:t>
      </w:r>
    </w:p>
    <w:p>
      <w:pPr>
        <w:tabs>
          <w:tab w:val="clear" w:pos="567"/>
          <w:tab w:val="left" w:pos="720"/>
        </w:tabs>
        <w:spacing w:line="240" w:lineRule="auto"/>
        <w:ind w:right="-2"/>
        <w:rPr>
          <w:lang w:val="lt-LT"/>
        </w:rPr>
      </w:pPr>
    </w:p>
    <w:p>
      <w:pPr>
        <w:tabs>
          <w:tab w:val="clear" w:pos="567"/>
          <w:tab w:val="left" w:pos="720"/>
        </w:tabs>
        <w:spacing w:line="240" w:lineRule="auto"/>
        <w:ind w:right="-2"/>
        <w:rPr>
          <w:lang w:val="lt-LT"/>
        </w:rPr>
      </w:pPr>
      <w:r>
        <w:rPr>
          <w:szCs w:val="22"/>
          <w:lang w:val="lt-LT"/>
        </w:rPr>
        <w:t>Gydantis Sephience, gydytojas arba slaugytojas reguliariai tirs Jūsų kraują, kad patikrintų Phe kiekį kraujyje.</w:t>
      </w:r>
    </w:p>
    <w:p>
      <w:pPr>
        <w:tabs>
          <w:tab w:val="clear" w:pos="567"/>
          <w:tab w:val="left" w:pos="720"/>
        </w:tabs>
        <w:spacing w:line="240" w:lineRule="auto"/>
        <w:ind w:right="-2"/>
        <w:rPr>
          <w:lang w:val="lt-LT"/>
        </w:rPr>
      </w:pPr>
    </w:p>
    <w:p>
      <w:pPr>
        <w:tabs>
          <w:tab w:val="clear" w:pos="567"/>
          <w:tab w:val="left" w:pos="720"/>
        </w:tabs>
        <w:spacing w:line="240" w:lineRule="auto"/>
        <w:ind w:right="-2"/>
        <w:rPr>
          <w:lang w:val="lt-LT"/>
        </w:rPr>
      </w:pPr>
      <w:r>
        <w:rPr>
          <w:szCs w:val="22"/>
          <w:lang w:val="lt-LT"/>
        </w:rPr>
        <w:t>Ilgalaikio saugumo duomenų FKU sergantiems pacientams yra nedaug (žr. 4 skyrių apie iki šiol įvertintą šalutinį Sephience poveikį).</w:t>
      </w:r>
    </w:p>
    <w:p>
      <w:pPr>
        <w:tabs>
          <w:tab w:val="clear" w:pos="567"/>
          <w:tab w:val="left" w:pos="720"/>
        </w:tabs>
        <w:spacing w:line="240" w:lineRule="auto"/>
        <w:rPr>
          <w:b/>
          <w:lang w:val="lt-LT"/>
        </w:rPr>
      </w:pPr>
    </w:p>
    <w:p>
      <w:pPr>
        <w:keepNext/>
        <w:tabs>
          <w:tab w:val="clear" w:pos="567"/>
          <w:tab w:val="left" w:pos="720"/>
        </w:tabs>
        <w:spacing w:line="240" w:lineRule="auto"/>
        <w:rPr>
          <w:lang w:val="lt-LT"/>
        </w:rPr>
      </w:pPr>
      <w:r>
        <w:rPr>
          <w:b/>
          <w:bCs/>
          <w:szCs w:val="22"/>
          <w:lang w:val="lt-LT"/>
        </w:rPr>
        <w:t>Kiti vaistai ir Sephience</w:t>
      </w:r>
    </w:p>
    <w:p>
      <w:pPr>
        <w:tabs>
          <w:tab w:val="clear" w:pos="567"/>
          <w:tab w:val="left" w:pos="720"/>
        </w:tabs>
        <w:spacing w:line="240" w:lineRule="auto"/>
        <w:ind w:right="-2"/>
        <w:rPr>
          <w:szCs w:val="22"/>
          <w:lang w:val="lt-LT"/>
        </w:rPr>
      </w:pPr>
      <w:r>
        <w:rPr>
          <w:szCs w:val="22"/>
          <w:lang w:val="lt-LT"/>
        </w:rPr>
        <w:t xml:space="preserve">Jeigu vartojate ar neseniai vartojote kitų vaistų arba dėl to nesate tikri, apie tai pasakykite gydytojui arba vaistininkui. </w:t>
      </w:r>
      <w:r>
        <w:rPr>
          <w:b/>
          <w:bCs/>
          <w:szCs w:val="22"/>
          <w:lang w:val="lt-LT"/>
        </w:rPr>
        <w:t>Ypač</w:t>
      </w:r>
      <w:r>
        <w:rPr>
          <w:szCs w:val="22"/>
          <w:lang w:val="lt-LT"/>
        </w:rPr>
        <w:t xml:space="preserve"> turėtumėte pasakyti gydytojui, jei vartojate kai kuriuos vaistus, vadinamus dihidrofolato (DHFR) inhibitoriais, kuriems priskiriami antibiotikai, imuninę sistemą slopinantys vaistai arba vėžiui gydyti vartojami vaistai (pvz., trimetoprimas, metotreksatas, pemetreksedas, pralatreksatas ir trimetreksatas), vaistai, kurie sukelia kraujagyslių išsiplėtimą (pvz., glicerilo trinitratas (GTN), izosorbido dinitratas (ISDN), natrio nitroprusidas (SNP), molsidominas, minoksidilis) arba levodopa (vartojama Parkinsono ligai gydyti). Vartojant šiuos vaistus gali reikėti dažniau stebėti Jūsų kraujo rodiklius.</w:t>
      </w:r>
    </w:p>
    <w:p>
      <w:pPr>
        <w:tabs>
          <w:tab w:val="clear" w:pos="567"/>
          <w:tab w:val="left" w:pos="720"/>
        </w:tabs>
        <w:spacing w:line="240" w:lineRule="auto"/>
        <w:ind w:right="-2"/>
        <w:rPr>
          <w:szCs w:val="22"/>
          <w:lang w:val="lt-LT"/>
        </w:rPr>
      </w:pPr>
    </w:p>
    <w:p>
      <w:pPr>
        <w:tabs>
          <w:tab w:val="clear" w:pos="567"/>
          <w:tab w:val="left" w:pos="720"/>
        </w:tabs>
        <w:spacing w:line="240" w:lineRule="auto"/>
        <w:ind w:right="-2"/>
        <w:rPr>
          <w:b/>
          <w:szCs w:val="22"/>
          <w:lang w:val="lt-LT"/>
        </w:rPr>
      </w:pPr>
      <w:r>
        <w:rPr>
          <w:b/>
          <w:bCs/>
          <w:szCs w:val="22"/>
          <w:lang w:val="lt-LT"/>
        </w:rPr>
        <w:t>Nėštumas, žindymo laikotarpis ir vaisingumas</w:t>
      </w:r>
      <w:r>
        <w:rPr>
          <w:b/>
          <w:highlight w:val="yellow"/>
          <w:lang w:val="lt-LT"/>
        </w:rPr>
        <w:fldChar w:fldCharType="begin"/>
      </w:r>
      <w:r>
        <w:rPr>
          <w:b/>
          <w:highlight w:val="yellow"/>
          <w:lang w:val="lt-LT"/>
        </w:rPr>
        <w:instrText xml:space="preserve"> DOCVARIABLE vault_nd_0cef9695-7fcb-4dd1-8ef1-2c09e07e9be2 </w:instrText>
      </w:r>
      <w:r>
        <w:rPr>
          <w:b/>
          <w:highlight w:val="yellow"/>
          <w:lang w:val="lt-LT"/>
        </w:rPr>
        <w:fldChar w:fldCharType="separate"/>
      </w:r>
      <w:r>
        <w:rPr>
          <w:b/>
          <w:highlight w:val="yellow"/>
          <w:lang w:val="lt-LT"/>
        </w:rPr>
        <w:t xml:space="preserve"> </w:t>
      </w:r>
      <w:r>
        <w:rPr>
          <w:b/>
          <w:highlight w:val="yellow"/>
          <w:lang w:val="lt-LT"/>
        </w:rPr>
        <w:fldChar w:fldCharType="end"/>
      </w:r>
    </w:p>
    <w:p>
      <w:pPr>
        <w:tabs>
          <w:tab w:val="clear" w:pos="567"/>
          <w:tab w:val="left" w:pos="720"/>
        </w:tabs>
        <w:spacing w:line="240" w:lineRule="auto"/>
        <w:rPr>
          <w:lang w:val="lt-LT"/>
        </w:rPr>
      </w:pPr>
      <w:r>
        <w:rPr>
          <w:szCs w:val="22"/>
          <w:lang w:val="lt-LT"/>
        </w:rPr>
        <w:t>Jeigu esate nėščia, žindote kūdikį, manote, kad galbūt esate nėščia arba planuojate pastoti, tai prieš vartodama šį vaistą pasitarkite su gydytoju. Nėštumo arba žindymo metu sepiapterino geriau nevartoti.</w:t>
      </w:r>
    </w:p>
    <w:p>
      <w:pPr>
        <w:tabs>
          <w:tab w:val="clear" w:pos="567"/>
          <w:tab w:val="left" w:pos="720"/>
        </w:tabs>
        <w:spacing w:line="240" w:lineRule="auto"/>
        <w:rPr>
          <w:lang w:val="lt-LT"/>
        </w:rPr>
      </w:pPr>
    </w:p>
    <w:p>
      <w:pPr>
        <w:tabs>
          <w:tab w:val="clear" w:pos="567"/>
          <w:tab w:val="left" w:pos="720"/>
        </w:tabs>
        <w:spacing w:line="240" w:lineRule="auto"/>
        <w:rPr>
          <w:lang w:val="lt-LT"/>
        </w:rPr>
      </w:pPr>
      <w:r>
        <w:rPr>
          <w:szCs w:val="22"/>
          <w:lang w:val="lt-LT"/>
        </w:rPr>
        <w:t>Tikimasi, kad Sephience neturės įtakos vaisingumui.</w:t>
      </w:r>
    </w:p>
    <w:p>
      <w:pPr>
        <w:tabs>
          <w:tab w:val="clear" w:pos="567"/>
          <w:tab w:val="left" w:pos="720"/>
        </w:tabs>
        <w:spacing w:line="240" w:lineRule="auto"/>
        <w:rPr>
          <w:szCs w:val="22"/>
          <w:lang w:val="lt-LT"/>
        </w:rPr>
      </w:pPr>
    </w:p>
    <w:p>
      <w:pPr>
        <w:tabs>
          <w:tab w:val="clear" w:pos="567"/>
          <w:tab w:val="left" w:pos="720"/>
        </w:tabs>
        <w:spacing w:line="240" w:lineRule="auto"/>
        <w:ind w:right="-2"/>
        <w:rPr>
          <w:szCs w:val="22"/>
          <w:lang w:val="lt-LT"/>
        </w:rPr>
      </w:pPr>
      <w:r>
        <w:rPr>
          <w:b/>
          <w:bCs/>
          <w:szCs w:val="22"/>
          <w:lang w:val="lt-LT"/>
        </w:rPr>
        <w:t>Vairavimas ir mechanizmų valdymas</w:t>
      </w:r>
      <w:r>
        <w:rPr>
          <w:b/>
          <w:szCs w:val="22"/>
          <w:highlight w:val="yellow"/>
          <w:lang w:val="lt-LT"/>
        </w:rPr>
        <w:fldChar w:fldCharType="begin"/>
      </w:r>
      <w:r>
        <w:rPr>
          <w:b/>
          <w:szCs w:val="22"/>
          <w:highlight w:val="yellow"/>
          <w:lang w:val="lt-LT"/>
        </w:rPr>
        <w:instrText xml:space="preserve"> DOCVARIABLE vault_nd_045adabd-9985-46a0-a441-17689a98e693 </w:instrText>
      </w:r>
      <w:r>
        <w:rPr>
          <w:b/>
          <w:szCs w:val="22"/>
          <w:highlight w:val="yellow"/>
          <w:lang w:val="lt-LT"/>
        </w:rPr>
        <w:fldChar w:fldCharType="separate"/>
      </w:r>
      <w:r>
        <w:rPr>
          <w:b/>
          <w:szCs w:val="22"/>
          <w:highlight w:val="yellow"/>
          <w:lang w:val="lt-LT"/>
        </w:rPr>
        <w:t xml:space="preserve"> </w:t>
      </w:r>
      <w:r>
        <w:rPr>
          <w:b/>
          <w:szCs w:val="22"/>
          <w:highlight w:val="yellow"/>
          <w:lang w:val="lt-LT"/>
        </w:rPr>
        <w:fldChar w:fldCharType="end"/>
      </w:r>
    </w:p>
    <w:p>
      <w:pPr>
        <w:tabs>
          <w:tab w:val="clear" w:pos="567"/>
          <w:tab w:val="left" w:pos="720"/>
        </w:tabs>
        <w:spacing w:line="240" w:lineRule="auto"/>
        <w:ind w:right="-2"/>
        <w:rPr>
          <w:szCs w:val="22"/>
          <w:lang w:val="lt-LT"/>
        </w:rPr>
      </w:pPr>
      <w:r>
        <w:rPr>
          <w:szCs w:val="22"/>
          <w:lang w:val="lt-LT"/>
        </w:rPr>
        <w:t>Tikimasi, kad Sephience neturės įtakos gebėjimui vairuoti ir valdyti mechanizmus.</w:t>
      </w:r>
    </w:p>
    <w:p>
      <w:pPr>
        <w:spacing w:line="240" w:lineRule="auto"/>
        <w:ind w:right="-2"/>
        <w:rPr>
          <w:b/>
          <w:lang w:val="lt-LT"/>
        </w:rPr>
      </w:pPr>
    </w:p>
    <w:p>
      <w:pPr>
        <w:spacing w:line="240" w:lineRule="auto"/>
        <w:ind w:right="-2"/>
        <w:rPr>
          <w:b/>
          <w:bCs/>
          <w:lang w:val="lt-LT"/>
        </w:rPr>
      </w:pPr>
      <w:r>
        <w:rPr>
          <w:b/>
          <w:bCs/>
          <w:szCs w:val="22"/>
          <w:lang w:val="lt-LT"/>
        </w:rPr>
        <w:t xml:space="preserve">Sephience sudėtyje yra natrio </w:t>
      </w:r>
    </w:p>
    <w:p>
      <w:pPr>
        <w:spacing w:line="240" w:lineRule="auto"/>
        <w:ind w:right="-2"/>
        <w:rPr>
          <w:szCs w:val="22"/>
          <w:lang w:val="lt-LT"/>
        </w:rPr>
      </w:pPr>
      <w:r>
        <w:rPr>
          <w:szCs w:val="22"/>
          <w:lang w:val="lt-LT"/>
        </w:rPr>
        <w:t>Šio vaisto paketėlyje yra mažiau kaip 1 mmol (23 mg) natrio, t. y. jis beveik neturi reikšmės.</w:t>
      </w:r>
    </w:p>
    <w:p>
      <w:pPr>
        <w:spacing w:line="240" w:lineRule="auto"/>
        <w:ind w:right="-2"/>
        <w:rPr>
          <w:szCs w:val="22"/>
          <w:lang w:val="lt-LT"/>
        </w:rPr>
      </w:pPr>
    </w:p>
    <w:p>
      <w:pPr>
        <w:spacing w:line="240" w:lineRule="auto"/>
        <w:ind w:right="-2"/>
        <w:rPr>
          <w:szCs w:val="22"/>
          <w:lang w:val="lt-LT"/>
        </w:rPr>
      </w:pPr>
      <w:r>
        <w:rPr>
          <w:b/>
          <w:bCs/>
          <w:szCs w:val="22"/>
          <w:lang w:val="lt-LT"/>
        </w:rPr>
        <w:t>Sephience sudėtyje yra izomalto (E953)</w:t>
      </w:r>
    </w:p>
    <w:p>
      <w:pPr>
        <w:spacing w:line="240" w:lineRule="auto"/>
        <w:ind w:right="-2"/>
        <w:rPr>
          <w:b/>
          <w:lang w:val="lt-LT"/>
        </w:rPr>
      </w:pPr>
      <w:r>
        <w:rPr>
          <w:szCs w:val="22"/>
          <w:lang w:val="lt-LT"/>
        </w:rPr>
        <w:t>Jeigu gydytojas Jums yra sakęs, kad netoleruojate kokių nors angliavandenių, kreipkitės į jį prieš pradėdami vartoti šį vaistą.</w:t>
      </w:r>
    </w:p>
    <w:p>
      <w:pPr>
        <w:spacing w:line="240" w:lineRule="auto"/>
        <w:ind w:right="-2"/>
        <w:rPr>
          <w:b/>
          <w:lang w:val="lt-LT"/>
        </w:rPr>
      </w:pPr>
    </w:p>
    <w:p>
      <w:pPr>
        <w:spacing w:line="240" w:lineRule="auto"/>
        <w:ind w:right="-2"/>
        <w:rPr>
          <w:b/>
          <w:lang w:val="lt-LT"/>
        </w:rPr>
      </w:pPr>
    </w:p>
    <w:p>
      <w:pPr>
        <w:spacing w:line="240" w:lineRule="auto"/>
        <w:ind w:right="-2"/>
        <w:rPr>
          <w:b/>
          <w:szCs w:val="22"/>
          <w:lang w:val="lt-LT"/>
        </w:rPr>
      </w:pPr>
      <w:r>
        <w:rPr>
          <w:b/>
          <w:bCs/>
          <w:szCs w:val="22"/>
          <w:lang w:val="lt-LT"/>
        </w:rPr>
        <w:t>3.</w:t>
      </w:r>
      <w:r>
        <w:rPr>
          <w:b/>
          <w:bCs/>
          <w:szCs w:val="22"/>
          <w:lang w:val="lt-LT"/>
        </w:rPr>
        <w:tab/>
        <w:t>Kaip vartoti Sephience</w:t>
      </w:r>
    </w:p>
    <w:p>
      <w:pPr>
        <w:tabs>
          <w:tab w:val="clear" w:pos="567"/>
          <w:tab w:val="left" w:pos="720"/>
        </w:tabs>
        <w:spacing w:line="240" w:lineRule="auto"/>
        <w:ind w:right="-2"/>
        <w:rPr>
          <w:szCs w:val="22"/>
          <w:lang w:val="lt-LT"/>
        </w:rPr>
      </w:pPr>
    </w:p>
    <w:p>
      <w:pPr>
        <w:tabs>
          <w:tab w:val="clear" w:pos="567"/>
          <w:tab w:val="left" w:pos="720"/>
        </w:tabs>
        <w:spacing w:line="240" w:lineRule="auto"/>
        <w:ind w:right="-2"/>
        <w:rPr>
          <w:bCs/>
          <w:szCs w:val="22"/>
          <w:lang w:val="lt-LT"/>
        </w:rPr>
      </w:pPr>
      <w:r>
        <w:rPr>
          <w:bCs/>
          <w:szCs w:val="22"/>
          <w:lang w:val="lt-LT"/>
        </w:rPr>
        <w:t xml:space="preserve">Visada vartokite šį vaistą tiksliai, kaip nurodė gydytojas. Jeigu abejojate, kreipkitės į gydytoją. </w:t>
      </w:r>
    </w:p>
    <w:p>
      <w:pPr>
        <w:tabs>
          <w:tab w:val="clear" w:pos="567"/>
          <w:tab w:val="left" w:pos="720"/>
        </w:tabs>
        <w:spacing w:line="240" w:lineRule="auto"/>
        <w:ind w:right="-2"/>
        <w:rPr>
          <w:bCs/>
          <w:szCs w:val="22"/>
          <w:lang w:val="lt-LT"/>
        </w:rPr>
      </w:pPr>
    </w:p>
    <w:p>
      <w:pPr>
        <w:tabs>
          <w:tab w:val="clear" w:pos="567"/>
          <w:tab w:val="left" w:pos="720"/>
        </w:tabs>
        <w:spacing w:line="240" w:lineRule="auto"/>
        <w:ind w:right="-2"/>
        <w:rPr>
          <w:szCs w:val="22"/>
          <w:lang w:val="lt-LT"/>
        </w:rPr>
      </w:pPr>
      <w:r>
        <w:rPr>
          <w:szCs w:val="22"/>
          <w:lang w:val="lt-LT"/>
        </w:rPr>
        <w:t>Sephience tiekiamas milteliais, kurie tirpinami skystyje, pvz., vandenyje arba obuolių sultyse, arba kitame skystame maiste, o po to mišinys vartojamas per burną. Vaistą taip pat galima vartoti per enterinio maitinimo vamzdelį.</w:t>
      </w:r>
    </w:p>
    <w:p>
      <w:pPr>
        <w:tabs>
          <w:tab w:val="clear" w:pos="567"/>
          <w:tab w:val="left" w:pos="720"/>
        </w:tabs>
        <w:spacing w:line="240" w:lineRule="auto"/>
        <w:ind w:right="-2"/>
        <w:rPr>
          <w:szCs w:val="22"/>
          <w:lang w:val="lt-LT"/>
        </w:rPr>
      </w:pPr>
    </w:p>
    <w:p>
      <w:pPr>
        <w:tabs>
          <w:tab w:val="clear" w:pos="567"/>
          <w:tab w:val="left" w:pos="720"/>
        </w:tabs>
        <w:spacing w:line="240" w:lineRule="auto"/>
        <w:ind w:right="-2"/>
        <w:rPr>
          <w:szCs w:val="22"/>
          <w:lang w:val="lt-LT"/>
        </w:rPr>
      </w:pPr>
      <w:r>
        <w:rPr>
          <w:b/>
          <w:bCs/>
          <w:szCs w:val="22"/>
          <w:lang w:val="lt-LT"/>
        </w:rPr>
        <w:t>Kiek Sephience vartoti</w:t>
      </w:r>
    </w:p>
    <w:p>
      <w:pPr>
        <w:tabs>
          <w:tab w:val="clear" w:pos="567"/>
          <w:tab w:val="left" w:pos="720"/>
        </w:tabs>
        <w:spacing w:line="240" w:lineRule="auto"/>
        <w:ind w:right="-2"/>
        <w:rPr>
          <w:lang w:val="lt-LT"/>
        </w:rPr>
      </w:pPr>
      <w:r>
        <w:rPr>
          <w:szCs w:val="22"/>
          <w:lang w:val="lt-LT"/>
        </w:rPr>
        <w:t>Dozę, kuri priklauso nuo Jūsų amžiaus ir svorio kilogramais (kg), apskaičiuos Jūsų gydytojas, kuris ją Jums (arba Jūsų vaikui) paskirs. Remdamasis ta apskaičiuota doze gydytojas Jums nurodys, kiek paketėlių turėtumėte suvartoti kasdien.</w:t>
      </w:r>
    </w:p>
    <w:p>
      <w:pPr>
        <w:tabs>
          <w:tab w:val="clear" w:pos="567"/>
          <w:tab w:val="left" w:pos="720"/>
        </w:tabs>
        <w:spacing w:line="240" w:lineRule="auto"/>
        <w:ind w:right="-2"/>
        <w:rPr>
          <w:szCs w:val="22"/>
          <w:lang w:val="lt-LT"/>
        </w:rPr>
      </w:pPr>
    </w:p>
    <w:p>
      <w:pPr>
        <w:tabs>
          <w:tab w:val="clear" w:pos="567"/>
          <w:tab w:val="left" w:pos="720"/>
        </w:tabs>
        <w:spacing w:line="240" w:lineRule="auto"/>
        <w:ind w:right="-2"/>
        <w:rPr>
          <w:szCs w:val="22"/>
          <w:lang w:val="lt-LT"/>
        </w:rPr>
      </w:pPr>
      <w:r>
        <w:rPr>
          <w:szCs w:val="22"/>
          <w:lang w:val="lt-LT"/>
        </w:rPr>
        <w:t>Rekomenduojama dozė yra:</w:t>
      </w:r>
    </w:p>
    <w:p>
      <w:pPr>
        <w:tabs>
          <w:tab w:val="clear" w:pos="567"/>
          <w:tab w:val="left" w:pos="720"/>
        </w:tabs>
        <w:spacing w:line="240" w:lineRule="auto"/>
        <w:ind w:right="-2"/>
        <w:rPr>
          <w:lang w:val="lt-LT"/>
        </w:rPr>
      </w:pPr>
    </w:p>
    <w:p>
      <w:pPr>
        <w:spacing w:line="240" w:lineRule="auto"/>
        <w:rPr>
          <w:b/>
          <w:bCs/>
          <w:i/>
          <w:iCs/>
          <w:lang w:val="lt-LT"/>
        </w:rPr>
      </w:pPr>
      <w:r>
        <w:rPr>
          <w:b/>
          <w:bCs/>
          <w:iCs/>
          <w:szCs w:val="22"/>
          <w:lang w:val="lt-LT"/>
        </w:rPr>
        <w:t>Vaikai iki 2 metų</w:t>
      </w:r>
    </w:p>
    <w:p>
      <w:pPr>
        <w:pStyle w:val="ListParagraph"/>
        <w:numPr>
          <w:ilvl w:val="0"/>
          <w:numId w:val="5"/>
        </w:numPr>
        <w:tabs>
          <w:tab w:val="clear" w:pos="567"/>
        </w:tabs>
        <w:spacing w:line="240" w:lineRule="auto"/>
        <w:ind w:left="567" w:hanging="567"/>
        <w:rPr>
          <w:lang w:val="lt-LT"/>
        </w:rPr>
      </w:pPr>
      <w:r>
        <w:rPr>
          <w:szCs w:val="22"/>
          <w:lang w:val="lt-LT"/>
        </w:rPr>
        <w:t>Iki 6 mėnesių amžiaus: 7,5 mg/kg kūno svorio kartą per parą</w:t>
      </w:r>
    </w:p>
    <w:p>
      <w:pPr>
        <w:pStyle w:val="ListParagraph"/>
        <w:numPr>
          <w:ilvl w:val="0"/>
          <w:numId w:val="5"/>
        </w:numPr>
        <w:tabs>
          <w:tab w:val="clear" w:pos="567"/>
        </w:tabs>
        <w:spacing w:line="240" w:lineRule="auto"/>
        <w:ind w:left="567" w:hanging="567"/>
        <w:rPr>
          <w:lang w:val="lt-LT"/>
        </w:rPr>
      </w:pPr>
      <w:r>
        <w:rPr>
          <w:szCs w:val="22"/>
          <w:lang w:val="lt-LT"/>
        </w:rPr>
        <w:t>Nuo 6 iki 12 mėnesių amžiaus: 15 mg/kg kūno svorio kartą per dieną</w:t>
      </w:r>
    </w:p>
    <w:p>
      <w:pPr>
        <w:pStyle w:val="ListParagraph"/>
        <w:numPr>
          <w:ilvl w:val="0"/>
          <w:numId w:val="5"/>
        </w:numPr>
        <w:tabs>
          <w:tab w:val="clear" w:pos="567"/>
        </w:tabs>
        <w:spacing w:line="240" w:lineRule="auto"/>
        <w:ind w:left="567" w:hanging="567"/>
        <w:rPr>
          <w:lang w:val="lt-LT"/>
        </w:rPr>
      </w:pPr>
      <w:r>
        <w:rPr>
          <w:szCs w:val="22"/>
          <w:lang w:val="lt-LT"/>
        </w:rPr>
        <w:t>Nuo 12 iki 24 mėnesių amžiaus: 30 mg/kg kūno svorio kartą per dieną</w:t>
      </w:r>
    </w:p>
    <w:p>
      <w:pPr>
        <w:tabs>
          <w:tab w:val="clear" w:pos="567"/>
        </w:tabs>
        <w:spacing w:line="240" w:lineRule="auto"/>
        <w:ind w:left="1134"/>
        <w:rPr>
          <w:i/>
          <w:iCs/>
          <w:lang w:val="lt-LT"/>
        </w:rPr>
      </w:pPr>
    </w:p>
    <w:p>
      <w:pPr>
        <w:spacing w:line="240" w:lineRule="auto"/>
        <w:rPr>
          <w:b/>
          <w:bCs/>
          <w:i/>
          <w:iCs/>
          <w:lang w:val="lt-LT"/>
        </w:rPr>
      </w:pPr>
      <w:r>
        <w:rPr>
          <w:b/>
          <w:bCs/>
          <w:iCs/>
          <w:szCs w:val="22"/>
          <w:lang w:val="lt-LT"/>
        </w:rPr>
        <w:t>Suaugusieji ir vyresni nei 2 metų vaikai</w:t>
      </w:r>
    </w:p>
    <w:p>
      <w:pPr>
        <w:tabs>
          <w:tab w:val="clear" w:pos="567"/>
          <w:tab w:val="left" w:pos="720"/>
        </w:tabs>
        <w:spacing w:line="240" w:lineRule="auto"/>
        <w:ind w:right="-2"/>
        <w:rPr>
          <w:bCs/>
          <w:szCs w:val="22"/>
          <w:lang w:val="lt-LT"/>
        </w:rPr>
      </w:pPr>
      <w:r>
        <w:rPr>
          <w:bCs/>
          <w:szCs w:val="22"/>
          <w:lang w:val="lt-LT"/>
        </w:rPr>
        <w:t>Rekomenduojama dozė yra 60 mg/kg kūno svorio kartą per parą.</w:t>
      </w:r>
      <w:r>
        <w:rPr>
          <w:bCs/>
          <w:szCs w:val="22"/>
          <w:lang w:val="lt-LT"/>
        </w:rPr>
        <w:fldChar w:fldCharType="begin"/>
      </w:r>
      <w:r>
        <w:rPr>
          <w:bCs/>
          <w:szCs w:val="22"/>
          <w:lang w:val="lt-LT"/>
        </w:rPr>
        <w:instrText xml:space="preserve"> DOCVARIABLE vault_nd_0e225abd-eb88-41ec-babb-8627d47153ce </w:instrText>
      </w:r>
      <w:r>
        <w:rPr>
          <w:bCs/>
          <w:szCs w:val="22"/>
          <w:lang w:val="lt-LT"/>
        </w:rPr>
        <w:fldChar w:fldCharType="separate"/>
      </w:r>
      <w:r>
        <w:rPr>
          <w:bCs/>
          <w:szCs w:val="22"/>
          <w:lang w:val="lt-LT"/>
        </w:rPr>
        <w:t xml:space="preserve"> </w:t>
      </w:r>
      <w:r>
        <w:rPr>
          <w:bCs/>
          <w:szCs w:val="22"/>
          <w:lang w:val="lt-LT"/>
        </w:rPr>
        <w:fldChar w:fldCharType="end"/>
      </w:r>
    </w:p>
    <w:p>
      <w:pPr>
        <w:tabs>
          <w:tab w:val="clear" w:pos="567"/>
          <w:tab w:val="left" w:pos="720"/>
        </w:tabs>
        <w:spacing w:line="240" w:lineRule="auto"/>
        <w:ind w:right="-2"/>
        <w:rPr>
          <w:bCs/>
          <w:szCs w:val="22"/>
          <w:lang w:val="lt-LT"/>
        </w:rPr>
      </w:pPr>
    </w:p>
    <w:p>
      <w:pPr>
        <w:keepNext/>
        <w:keepLines/>
        <w:tabs>
          <w:tab w:val="clear" w:pos="567"/>
          <w:tab w:val="left" w:pos="720"/>
        </w:tabs>
        <w:spacing w:line="240" w:lineRule="auto"/>
        <w:rPr>
          <w:b/>
          <w:szCs w:val="22"/>
          <w:lang w:val="lt-LT"/>
        </w:rPr>
      </w:pPr>
      <w:r>
        <w:rPr>
          <w:b/>
          <w:bCs/>
          <w:szCs w:val="22"/>
          <w:lang w:val="lt-LT"/>
        </w:rPr>
        <w:t>Kaip Sephience vartojamas</w:t>
      </w:r>
      <w:r>
        <w:rPr>
          <w:b/>
          <w:lang w:val="lt-LT"/>
        </w:rPr>
        <w:fldChar w:fldCharType="begin"/>
      </w:r>
      <w:r>
        <w:rPr>
          <w:b/>
          <w:lang w:val="lt-LT"/>
        </w:rPr>
        <w:instrText xml:space="preserve"> DOCVARIABLE vault_nd_6fa85a7a-1bbc-4503-b1f7-77846920be23 </w:instrText>
      </w:r>
      <w:r>
        <w:rPr>
          <w:b/>
          <w:lang w:val="lt-LT"/>
        </w:rPr>
        <w:fldChar w:fldCharType="separate"/>
      </w:r>
      <w:r>
        <w:rPr>
          <w:b/>
          <w:lang w:val="lt-LT"/>
        </w:rPr>
        <w:t xml:space="preserve"> </w:t>
      </w:r>
      <w:r>
        <w:rPr>
          <w:b/>
          <w:lang w:val="lt-LT"/>
        </w:rPr>
        <w:fldChar w:fldCharType="end"/>
      </w:r>
    </w:p>
    <w:p>
      <w:pPr>
        <w:keepNext/>
        <w:spacing w:line="240" w:lineRule="auto"/>
        <w:rPr>
          <w:lang w:val="lt-LT"/>
        </w:rPr>
      </w:pPr>
      <w:r>
        <w:rPr>
          <w:szCs w:val="22"/>
          <w:lang w:val="lt-LT"/>
        </w:rPr>
        <w:t>Sephience galima sumaišyti su vandeniu, obuolių sultimis ar minkštais maisto produktais, pvz., obuolių tyrele ar uogiene. Dozė priklauso nuo amžiaus ir kūno svorio. Jūsų gydytojas Jums pasakys:</w:t>
      </w:r>
    </w:p>
    <w:p>
      <w:pPr>
        <w:pStyle w:val="ListParagraph"/>
        <w:numPr>
          <w:ilvl w:val="0"/>
          <w:numId w:val="5"/>
        </w:numPr>
        <w:tabs>
          <w:tab w:val="clear" w:pos="567"/>
        </w:tabs>
        <w:spacing w:line="240" w:lineRule="auto"/>
        <w:ind w:left="567" w:hanging="567"/>
        <w:rPr>
          <w:lang w:val="lt-LT"/>
        </w:rPr>
      </w:pPr>
      <w:r>
        <w:rPr>
          <w:szCs w:val="22"/>
          <w:lang w:val="lt-LT"/>
        </w:rPr>
        <w:t>kurio paketėlio dozę vartoti (250 mg arba 1 000 mg);</w:t>
      </w:r>
    </w:p>
    <w:p>
      <w:pPr>
        <w:pStyle w:val="ListParagraph"/>
        <w:numPr>
          <w:ilvl w:val="0"/>
          <w:numId w:val="5"/>
        </w:numPr>
        <w:tabs>
          <w:tab w:val="clear" w:pos="567"/>
        </w:tabs>
        <w:spacing w:line="240" w:lineRule="auto"/>
        <w:ind w:left="567" w:hanging="567"/>
        <w:rPr>
          <w:lang w:val="lt-LT"/>
        </w:rPr>
      </w:pPr>
      <w:r>
        <w:rPr>
          <w:szCs w:val="22"/>
          <w:lang w:val="lt-LT"/>
        </w:rPr>
        <w:t>kokį kiekį vandens, obuolių sulčių ar minkštų maisto produktų pridėti prie Sephience;</w:t>
      </w:r>
    </w:p>
    <w:p>
      <w:pPr>
        <w:pStyle w:val="ListParagraph"/>
        <w:numPr>
          <w:ilvl w:val="0"/>
          <w:numId w:val="5"/>
        </w:numPr>
        <w:tabs>
          <w:tab w:val="clear" w:pos="567"/>
        </w:tabs>
        <w:spacing w:line="240" w:lineRule="auto"/>
        <w:ind w:left="567" w:hanging="567"/>
        <w:rPr>
          <w:lang w:val="lt-LT"/>
        </w:rPr>
      </w:pPr>
      <w:r>
        <w:rPr>
          <w:szCs w:val="22"/>
          <w:lang w:val="lt-LT"/>
        </w:rPr>
        <w:t>kokį kiekį suvartoti, kad gautumėte paskirtą dozę.</w:t>
      </w:r>
    </w:p>
    <w:p>
      <w:pPr>
        <w:pStyle w:val="ListParagraph"/>
        <w:numPr>
          <w:ilvl w:val="0"/>
          <w:numId w:val="5"/>
        </w:numPr>
        <w:tabs>
          <w:tab w:val="clear" w:pos="567"/>
        </w:tabs>
        <w:spacing w:line="240" w:lineRule="auto"/>
        <w:ind w:left="567" w:hanging="567"/>
        <w:rPr>
          <w:lang w:val="lt-LT"/>
        </w:rPr>
      </w:pPr>
      <w:r>
        <w:rPr>
          <w:szCs w:val="22"/>
          <w:lang w:val="lt-LT"/>
        </w:rPr>
        <w:t>Jeigu reikia, Sephience gali būti vartojamas per enterinio maitinimo vamzdelį. Kaip tai daryti teiraukitės gydytojo, vaistininko arba slaugytojo.</w:t>
      </w:r>
    </w:p>
    <w:p>
      <w:pPr>
        <w:spacing w:line="240" w:lineRule="auto"/>
        <w:rPr>
          <w:lang w:val="lt-LT"/>
        </w:rPr>
      </w:pPr>
    </w:p>
    <w:p>
      <w:pPr>
        <w:spacing w:line="240" w:lineRule="auto"/>
        <w:rPr>
          <w:b/>
          <w:bCs/>
          <w:lang w:val="lt-LT"/>
        </w:rPr>
      </w:pPr>
      <w:r>
        <w:rPr>
          <w:b/>
          <w:bCs/>
          <w:szCs w:val="22"/>
          <w:lang w:val="lt-LT"/>
        </w:rPr>
        <w:t>Yra 4 dozavimo grupės pagal amžių ir svorį.</w:t>
      </w:r>
    </w:p>
    <w:p>
      <w:pPr>
        <w:spacing w:line="240" w:lineRule="auto"/>
        <w:ind w:right="-2"/>
        <w:rPr>
          <w:b/>
          <w:szCs w:val="22"/>
          <w:lang w:val="lt-LT"/>
        </w:rPr>
      </w:pPr>
      <w:r>
        <w:rPr>
          <w:b/>
          <w:bCs/>
          <w:szCs w:val="22"/>
          <w:lang w:val="lt-LT"/>
        </w:rPr>
        <w:t>1.</w:t>
      </w:r>
      <w:r>
        <w:rPr>
          <w:b/>
          <w:bCs/>
          <w:szCs w:val="22"/>
          <w:lang w:val="lt-LT"/>
        </w:rPr>
        <w:tab/>
        <w:t>Jaunesniems nei 12 mėnesių ir 16 kg arba mažiau sveriantiems kūdikiams (žr. 1 lentelę)</w:t>
      </w:r>
      <w:r>
        <w:rPr>
          <w:b/>
          <w:szCs w:val="22"/>
          <w:lang w:val="lt-LT"/>
        </w:rPr>
        <w:fldChar w:fldCharType="begin"/>
      </w:r>
      <w:r>
        <w:rPr>
          <w:b/>
          <w:szCs w:val="22"/>
          <w:lang w:val="lt-LT"/>
        </w:rPr>
        <w:instrText xml:space="preserve"> DOCVARIABLE vault_nd_8ae7d81b-5069-42a5-9d53-daf0b9a35204 </w:instrText>
      </w:r>
      <w:r>
        <w:rPr>
          <w:b/>
          <w:szCs w:val="22"/>
          <w:lang w:val="lt-LT"/>
        </w:rPr>
        <w:fldChar w:fldCharType="separate"/>
      </w:r>
      <w:r>
        <w:rPr>
          <w:b/>
          <w:szCs w:val="22"/>
          <w:lang w:val="lt-LT"/>
        </w:rPr>
        <w:t xml:space="preserve"> </w:t>
      </w:r>
      <w:r>
        <w:rPr>
          <w:b/>
          <w:szCs w:val="22"/>
          <w:lang w:val="lt-LT"/>
        </w:rPr>
        <w:fldChar w:fldCharType="end"/>
      </w:r>
    </w:p>
    <w:p>
      <w:pPr>
        <w:pStyle w:val="ListParagraph"/>
        <w:numPr>
          <w:ilvl w:val="0"/>
          <w:numId w:val="6"/>
        </w:numPr>
        <w:tabs>
          <w:tab w:val="clear" w:pos="567"/>
        </w:tabs>
        <w:spacing w:line="240" w:lineRule="auto"/>
        <w:ind w:left="567" w:hanging="567"/>
        <w:rPr>
          <w:bCs/>
          <w:szCs w:val="22"/>
          <w:lang w:val="lt-LT"/>
        </w:rPr>
      </w:pPr>
      <w:bookmarkStart w:id="9" w:name="_Hlk181635342"/>
      <w:bookmarkStart w:id="10" w:name="_Hlk181281461"/>
      <w:r>
        <w:rPr>
          <w:bCs/>
          <w:szCs w:val="22"/>
          <w:lang w:val="lt-LT"/>
        </w:rPr>
        <w:t>Šį vaistą vartokite tiksliai kaip nurodė gydytojas, laikydamiesi Jums paskirtos dozės.</w:t>
      </w:r>
    </w:p>
    <w:p>
      <w:pPr>
        <w:pStyle w:val="ListParagraph"/>
        <w:numPr>
          <w:ilvl w:val="0"/>
          <w:numId w:val="6"/>
        </w:numPr>
        <w:tabs>
          <w:tab w:val="clear" w:pos="567"/>
        </w:tabs>
        <w:spacing w:line="240" w:lineRule="auto"/>
        <w:ind w:left="567" w:hanging="567"/>
        <w:rPr>
          <w:bCs/>
          <w:szCs w:val="22"/>
          <w:lang w:val="lt-LT"/>
        </w:rPr>
      </w:pPr>
      <w:r>
        <w:rPr>
          <w:szCs w:val="22"/>
          <w:lang w:val="lt-LT"/>
        </w:rPr>
        <w:t xml:space="preserve">Šios dozavimo grupės pacientams bus naudojamas </w:t>
      </w:r>
      <w:r>
        <w:rPr>
          <w:b/>
          <w:bCs/>
          <w:szCs w:val="22"/>
          <w:lang w:val="lt-LT"/>
        </w:rPr>
        <w:t>vienas</w:t>
      </w:r>
      <w:r>
        <w:rPr>
          <w:szCs w:val="22"/>
          <w:lang w:val="lt-LT"/>
        </w:rPr>
        <w:t xml:space="preserve"> paketėlis.</w:t>
      </w:r>
      <w:r>
        <w:rPr>
          <w:bCs/>
          <w:szCs w:val="22"/>
          <w:lang w:val="lt-LT"/>
        </w:rPr>
        <w:fldChar w:fldCharType="begin"/>
      </w:r>
      <w:r>
        <w:rPr>
          <w:bCs/>
          <w:szCs w:val="22"/>
          <w:lang w:val="lt-LT"/>
        </w:rPr>
        <w:instrText xml:space="preserve"> DOCVARIABLE vault_nd_b764d2b7-cb97-4ad5-ac3b-041325fcad0f </w:instrText>
      </w:r>
      <w:r>
        <w:rPr>
          <w:bCs/>
          <w:szCs w:val="22"/>
          <w:lang w:val="lt-LT"/>
        </w:rPr>
        <w:fldChar w:fldCharType="separate"/>
      </w:r>
      <w:r>
        <w:rPr>
          <w:bCs/>
          <w:szCs w:val="22"/>
          <w:lang w:val="lt-LT"/>
        </w:rPr>
        <w:t xml:space="preserve"> </w:t>
      </w:r>
      <w:r>
        <w:rPr>
          <w:bCs/>
          <w:szCs w:val="22"/>
          <w:lang w:val="lt-LT"/>
        </w:rPr>
        <w:fldChar w:fldCharType="end"/>
      </w:r>
    </w:p>
    <w:p>
      <w:pPr>
        <w:pStyle w:val="ListParagraph"/>
        <w:numPr>
          <w:ilvl w:val="0"/>
          <w:numId w:val="6"/>
        </w:numPr>
        <w:tabs>
          <w:tab w:val="clear" w:pos="567"/>
        </w:tabs>
        <w:spacing w:line="240" w:lineRule="auto"/>
        <w:ind w:left="567" w:hanging="567"/>
        <w:rPr>
          <w:bCs/>
          <w:szCs w:val="22"/>
          <w:lang w:val="lt-LT"/>
        </w:rPr>
      </w:pPr>
      <w:r>
        <w:rPr>
          <w:bCs/>
          <w:szCs w:val="22"/>
          <w:lang w:val="lt-LT"/>
        </w:rPr>
        <w:t>Prieš atidarydami Sephience geriamųjų miltelių paketėlį, papurtykite arba pastuksenkite jį ant kieto paviršiaus, kad įsitikintumėte, jog milteliai yra apačioje.</w:t>
      </w:r>
      <w:r>
        <w:rPr>
          <w:bCs/>
          <w:szCs w:val="22"/>
          <w:lang w:val="lt-LT"/>
        </w:rPr>
        <w:fldChar w:fldCharType="begin"/>
      </w:r>
      <w:r>
        <w:rPr>
          <w:bCs/>
          <w:szCs w:val="22"/>
          <w:lang w:val="lt-LT"/>
        </w:rPr>
        <w:instrText xml:space="preserve"> DOCVARIABLE vault_nd_9350b82e-89f1-46ee-90c2-7b781ef10da1 </w:instrText>
      </w:r>
      <w:r>
        <w:rPr>
          <w:bCs/>
          <w:szCs w:val="22"/>
          <w:lang w:val="lt-LT"/>
        </w:rPr>
        <w:fldChar w:fldCharType="separate"/>
      </w:r>
      <w:r>
        <w:rPr>
          <w:bCs/>
          <w:szCs w:val="22"/>
          <w:lang w:val="lt-LT"/>
        </w:rPr>
        <w:t xml:space="preserve"> </w:t>
      </w:r>
      <w:r>
        <w:rPr>
          <w:bCs/>
          <w:szCs w:val="22"/>
          <w:lang w:val="lt-LT"/>
        </w:rPr>
        <w:fldChar w:fldCharType="end"/>
      </w:r>
    </w:p>
    <w:p>
      <w:pPr>
        <w:pStyle w:val="ListParagraph"/>
        <w:numPr>
          <w:ilvl w:val="0"/>
          <w:numId w:val="6"/>
        </w:numPr>
        <w:tabs>
          <w:tab w:val="clear" w:pos="567"/>
        </w:tabs>
        <w:spacing w:line="240" w:lineRule="auto"/>
        <w:ind w:left="567" w:hanging="567"/>
        <w:rPr>
          <w:bCs/>
          <w:szCs w:val="22"/>
          <w:lang w:val="lt-LT"/>
        </w:rPr>
      </w:pPr>
      <w:r>
        <w:rPr>
          <w:bCs/>
          <w:szCs w:val="22"/>
          <w:lang w:val="lt-LT"/>
        </w:rPr>
        <w:t>Atidarykit</w:t>
      </w:r>
      <w:bookmarkStart w:id="11" w:name="_Hlk181281476"/>
      <w:r>
        <w:rPr>
          <w:bCs/>
          <w:szCs w:val="22"/>
          <w:lang w:val="lt-LT"/>
        </w:rPr>
        <w:t>e Sephience geriamųjų miltelių paketėlį, a</w:t>
      </w:r>
      <w:bookmarkEnd w:id="11"/>
      <w:r>
        <w:rPr>
          <w:bCs/>
          <w:szCs w:val="22"/>
          <w:lang w:val="lt-LT"/>
        </w:rPr>
        <w:t>tsargiai nuplėšdami arba nukirpdami paketėlio viršų.</w:t>
      </w:r>
      <w:bookmarkEnd w:id="9"/>
      <w:r>
        <w:rPr>
          <w:bCs/>
          <w:szCs w:val="22"/>
          <w:lang w:val="lt-LT"/>
        </w:rPr>
        <w:t xml:space="preserve"> </w:t>
      </w:r>
      <w:r>
        <w:rPr>
          <w:bCs/>
          <w:szCs w:val="22"/>
          <w:lang w:val="lt-LT"/>
        </w:rPr>
        <w:fldChar w:fldCharType="begin"/>
      </w:r>
      <w:r>
        <w:rPr>
          <w:bCs/>
          <w:szCs w:val="22"/>
          <w:lang w:val="lt-LT"/>
        </w:rPr>
        <w:instrText xml:space="preserve"> DOCVARIABLE vault_nd_29226362-5a75-46d6-94a1-b6ab608a5704 </w:instrText>
      </w:r>
      <w:r>
        <w:rPr>
          <w:bCs/>
          <w:szCs w:val="22"/>
          <w:lang w:val="lt-LT"/>
        </w:rPr>
        <w:fldChar w:fldCharType="separate"/>
      </w:r>
      <w:r>
        <w:rPr>
          <w:bCs/>
          <w:szCs w:val="22"/>
          <w:lang w:val="lt-LT"/>
        </w:rPr>
        <w:t xml:space="preserve"> </w:t>
      </w:r>
      <w:r>
        <w:rPr>
          <w:bCs/>
          <w:szCs w:val="22"/>
          <w:lang w:val="lt-LT"/>
        </w:rPr>
        <w:fldChar w:fldCharType="end"/>
      </w:r>
      <w:bookmarkEnd w:id="10"/>
    </w:p>
    <w:p>
      <w:pPr>
        <w:pStyle w:val="ListParagraph"/>
        <w:numPr>
          <w:ilvl w:val="0"/>
          <w:numId w:val="6"/>
        </w:numPr>
        <w:tabs>
          <w:tab w:val="clear" w:pos="567"/>
        </w:tabs>
        <w:spacing w:line="240" w:lineRule="auto"/>
        <w:ind w:left="567" w:hanging="567"/>
        <w:rPr>
          <w:bCs/>
          <w:szCs w:val="22"/>
          <w:lang w:val="lt-LT"/>
        </w:rPr>
      </w:pPr>
      <w:r>
        <w:rPr>
          <w:bCs/>
          <w:szCs w:val="22"/>
          <w:lang w:val="lt-LT"/>
        </w:rPr>
        <w:t xml:space="preserve">Sumaišykite </w:t>
      </w:r>
      <w:r>
        <w:rPr>
          <w:b/>
          <w:bCs/>
          <w:szCs w:val="22"/>
          <w:lang w:val="lt-LT"/>
        </w:rPr>
        <w:t>vieną</w:t>
      </w:r>
      <w:r>
        <w:rPr>
          <w:szCs w:val="22"/>
          <w:lang w:val="lt-LT"/>
        </w:rPr>
        <w:t xml:space="preserve"> 250 mg paketėlį su </w:t>
      </w:r>
      <w:r>
        <w:rPr>
          <w:b/>
          <w:bCs/>
          <w:szCs w:val="22"/>
          <w:lang w:val="lt-LT"/>
        </w:rPr>
        <w:t>9 ml</w:t>
      </w:r>
      <w:r>
        <w:rPr>
          <w:szCs w:val="22"/>
          <w:lang w:val="lt-LT"/>
        </w:rPr>
        <w:t xml:space="preserve"> vandens arba obuolių sulčių.</w:t>
      </w:r>
      <w:r>
        <w:rPr>
          <w:bCs/>
          <w:szCs w:val="22"/>
          <w:lang w:val="lt-LT"/>
        </w:rPr>
        <w:fldChar w:fldCharType="begin"/>
      </w:r>
      <w:r>
        <w:rPr>
          <w:bCs/>
          <w:szCs w:val="22"/>
          <w:lang w:val="lt-LT"/>
        </w:rPr>
        <w:instrText xml:space="preserve"> DOCVARIABLE vault_nd_66f41f99-f82e-4a44-8c72-955ff7f9caf8 </w:instrText>
      </w:r>
      <w:r>
        <w:rPr>
          <w:bCs/>
          <w:szCs w:val="22"/>
          <w:lang w:val="lt-LT"/>
        </w:rPr>
        <w:fldChar w:fldCharType="separate"/>
      </w:r>
      <w:r>
        <w:rPr>
          <w:bCs/>
          <w:szCs w:val="22"/>
          <w:lang w:val="lt-LT"/>
        </w:rPr>
        <w:t xml:space="preserve"> </w:t>
      </w:r>
      <w:r>
        <w:rPr>
          <w:bCs/>
          <w:szCs w:val="22"/>
          <w:lang w:val="lt-LT"/>
        </w:rPr>
        <w:fldChar w:fldCharType="end"/>
      </w:r>
    </w:p>
    <w:p>
      <w:pPr>
        <w:pStyle w:val="ListParagraph"/>
        <w:numPr>
          <w:ilvl w:val="0"/>
          <w:numId w:val="6"/>
        </w:numPr>
        <w:tabs>
          <w:tab w:val="clear" w:pos="567"/>
        </w:tabs>
        <w:spacing w:line="240" w:lineRule="auto"/>
        <w:ind w:left="567" w:hanging="567"/>
        <w:rPr>
          <w:bCs/>
          <w:szCs w:val="22"/>
          <w:lang w:val="lt-LT"/>
        </w:rPr>
      </w:pPr>
      <w:r>
        <w:rPr>
          <w:bCs/>
          <w:szCs w:val="22"/>
          <w:lang w:val="lt-LT"/>
        </w:rPr>
        <w:t>Gerai maišykite 30 sekundžių ar ilgiau, kol mišinyje neliks gumulėlių.</w:t>
      </w:r>
      <w:r>
        <w:rPr>
          <w:bCs/>
          <w:szCs w:val="22"/>
          <w:lang w:val="lt-LT"/>
        </w:rPr>
        <w:fldChar w:fldCharType="begin"/>
      </w:r>
      <w:r>
        <w:rPr>
          <w:bCs/>
          <w:szCs w:val="22"/>
          <w:lang w:val="lt-LT"/>
        </w:rPr>
        <w:instrText xml:space="preserve"> DOCVARIABLE vault_nd_2eac8338-8f7f-4ae5-beb8-f9c0279d1c85 </w:instrText>
      </w:r>
      <w:r>
        <w:rPr>
          <w:bCs/>
          <w:szCs w:val="22"/>
          <w:lang w:val="lt-LT"/>
        </w:rPr>
        <w:fldChar w:fldCharType="separate"/>
      </w:r>
      <w:r>
        <w:rPr>
          <w:bCs/>
          <w:szCs w:val="22"/>
          <w:lang w:val="lt-LT"/>
        </w:rPr>
        <w:t xml:space="preserve"> </w:t>
      </w:r>
      <w:r>
        <w:rPr>
          <w:bCs/>
          <w:szCs w:val="22"/>
          <w:lang w:val="lt-LT"/>
        </w:rPr>
        <w:fldChar w:fldCharType="end"/>
      </w:r>
    </w:p>
    <w:p>
      <w:pPr>
        <w:pStyle w:val="ListParagraph"/>
        <w:numPr>
          <w:ilvl w:val="0"/>
          <w:numId w:val="6"/>
        </w:numPr>
        <w:tabs>
          <w:tab w:val="clear" w:pos="567"/>
        </w:tabs>
        <w:spacing w:line="240" w:lineRule="auto"/>
        <w:ind w:left="567" w:hanging="567"/>
        <w:rPr>
          <w:bCs/>
          <w:szCs w:val="22"/>
          <w:lang w:val="lt-LT"/>
        </w:rPr>
      </w:pPr>
      <w:r>
        <w:rPr>
          <w:bCs/>
          <w:szCs w:val="22"/>
          <w:lang w:val="lt-LT"/>
        </w:rPr>
        <w:t>Sumaišius, mišinį reikia suvartoti nedelsiant; jei ne,</w:t>
      </w:r>
      <w:bookmarkStart w:id="12" w:name="_Hlk158714098"/>
      <w:r>
        <w:rPr>
          <w:bCs/>
          <w:szCs w:val="22"/>
          <w:lang w:val="lt-LT"/>
        </w:rPr>
        <w:t xml:space="preserve"> mišinį galima laikyti iki 24 valandų šaldytuve (nuo 2 °C iki 8 °C) arba 6 valandas laikant žemesnėje kaip 25 °C temperatūroje.</w:t>
      </w:r>
      <w:r>
        <w:rPr>
          <w:bCs/>
          <w:szCs w:val="22"/>
          <w:lang w:val="lt-LT"/>
        </w:rPr>
        <w:fldChar w:fldCharType="begin"/>
      </w:r>
      <w:r>
        <w:rPr>
          <w:bCs/>
          <w:szCs w:val="22"/>
          <w:lang w:val="lt-LT"/>
        </w:rPr>
        <w:instrText xml:space="preserve"> DOCVARIABLE vault_nd_2a5b3c14-2ecb-4a68-8958-e61fd30071de </w:instrText>
      </w:r>
      <w:r>
        <w:rPr>
          <w:bCs/>
          <w:szCs w:val="22"/>
          <w:lang w:val="lt-LT"/>
        </w:rPr>
        <w:fldChar w:fldCharType="separate"/>
      </w:r>
      <w:r>
        <w:rPr>
          <w:bCs/>
          <w:szCs w:val="22"/>
          <w:lang w:val="lt-LT"/>
        </w:rPr>
        <w:t xml:space="preserve"> </w:t>
      </w:r>
      <w:r>
        <w:rPr>
          <w:bCs/>
          <w:szCs w:val="22"/>
          <w:lang w:val="lt-LT"/>
        </w:rPr>
        <w:fldChar w:fldCharType="end"/>
      </w:r>
    </w:p>
    <w:p>
      <w:pPr>
        <w:pStyle w:val="ListParagraph"/>
        <w:numPr>
          <w:ilvl w:val="0"/>
          <w:numId w:val="6"/>
        </w:numPr>
        <w:tabs>
          <w:tab w:val="clear" w:pos="567"/>
        </w:tabs>
        <w:spacing w:line="240" w:lineRule="auto"/>
        <w:ind w:left="567" w:hanging="567"/>
        <w:rPr>
          <w:bCs/>
          <w:szCs w:val="22"/>
          <w:lang w:val="lt-LT"/>
        </w:rPr>
      </w:pPr>
      <w:r>
        <w:rPr>
          <w:bCs/>
          <w:szCs w:val="22"/>
          <w:lang w:val="lt-LT"/>
        </w:rPr>
        <w:t>Jei ne iš karto suvartojama, mišinį prieš pat vartojimą reikia vėl maišyti mažiausiai 30 sekundžių ar ilgiau, kad neliktų gumulėlių.</w:t>
      </w:r>
      <w:r>
        <w:rPr>
          <w:bCs/>
          <w:szCs w:val="22"/>
          <w:lang w:val="lt-LT"/>
        </w:rPr>
        <w:fldChar w:fldCharType="begin"/>
      </w:r>
      <w:r>
        <w:rPr>
          <w:bCs/>
          <w:szCs w:val="22"/>
          <w:lang w:val="lt-LT"/>
        </w:rPr>
        <w:instrText xml:space="preserve"> DOCVARIABLE vault_nd_5094f12d-0b8f-4fa8-a6af-3720880da6aa </w:instrText>
      </w:r>
      <w:r>
        <w:rPr>
          <w:bCs/>
          <w:szCs w:val="22"/>
          <w:lang w:val="lt-LT"/>
        </w:rPr>
        <w:fldChar w:fldCharType="separate"/>
      </w:r>
      <w:r>
        <w:rPr>
          <w:bCs/>
          <w:szCs w:val="22"/>
          <w:lang w:val="lt-LT"/>
        </w:rPr>
        <w:t xml:space="preserve"> </w:t>
      </w:r>
      <w:r>
        <w:rPr>
          <w:bCs/>
          <w:szCs w:val="22"/>
          <w:lang w:val="lt-LT"/>
        </w:rPr>
        <w:fldChar w:fldCharType="end"/>
      </w:r>
      <w:bookmarkEnd w:id="12"/>
    </w:p>
    <w:p>
      <w:pPr>
        <w:pStyle w:val="ListParagraph"/>
        <w:numPr>
          <w:ilvl w:val="0"/>
          <w:numId w:val="6"/>
        </w:numPr>
        <w:tabs>
          <w:tab w:val="clear" w:pos="567"/>
        </w:tabs>
        <w:spacing w:line="240" w:lineRule="auto"/>
        <w:ind w:left="567" w:hanging="567"/>
        <w:rPr>
          <w:bCs/>
          <w:szCs w:val="22"/>
          <w:lang w:val="lt-LT"/>
        </w:rPr>
      </w:pPr>
      <w:r>
        <w:rPr>
          <w:bCs/>
          <w:szCs w:val="22"/>
          <w:lang w:val="lt-LT"/>
        </w:rPr>
        <w:t>Reikiamą dozę (žr. 1 lentelę) suleiskite į burną švirkštu arba per enterinio maitinimo vamzdelį.</w:t>
      </w:r>
      <w:r>
        <w:rPr>
          <w:szCs w:val="22"/>
          <w:lang w:val="lt-LT"/>
        </w:rPr>
        <w:fldChar w:fldCharType="begin"/>
      </w:r>
      <w:r>
        <w:rPr>
          <w:szCs w:val="22"/>
          <w:lang w:val="lt-LT"/>
        </w:rPr>
        <w:instrText xml:space="preserve"> DOCVARIABLE vault_nd_feed98ae-9eb3-4cac-bd12-1b5a0607151d </w:instrText>
      </w:r>
      <w:r>
        <w:rPr>
          <w:szCs w:val="22"/>
          <w:lang w:val="lt-LT"/>
        </w:rPr>
        <w:fldChar w:fldCharType="separate"/>
      </w:r>
      <w:r>
        <w:rPr>
          <w:szCs w:val="22"/>
          <w:lang w:val="lt-LT"/>
        </w:rPr>
        <w:t xml:space="preserve"> </w:t>
      </w:r>
      <w:r>
        <w:rPr>
          <w:szCs w:val="22"/>
          <w:lang w:val="lt-LT"/>
        </w:rPr>
        <w:fldChar w:fldCharType="end"/>
      </w:r>
    </w:p>
    <w:p>
      <w:pPr>
        <w:pStyle w:val="ListParagraph"/>
        <w:numPr>
          <w:ilvl w:val="0"/>
          <w:numId w:val="6"/>
        </w:numPr>
        <w:tabs>
          <w:tab w:val="clear" w:pos="567"/>
        </w:tabs>
        <w:spacing w:line="240" w:lineRule="auto"/>
        <w:ind w:left="567" w:hanging="567"/>
        <w:rPr>
          <w:bCs/>
          <w:szCs w:val="22"/>
          <w:lang w:val="lt-LT"/>
        </w:rPr>
      </w:pPr>
      <w:r>
        <w:rPr>
          <w:szCs w:val="22"/>
          <w:lang w:val="lt-LT"/>
        </w:rPr>
        <w:t>Išplaukite švirkštą papildomu vandens arba obuolių sulčių kiekiu (ne mažiau kaip 15 ml) ir nurykite turinį, kad tikrai būtų suvartota visa dozė.</w:t>
      </w:r>
    </w:p>
    <w:p>
      <w:pPr>
        <w:tabs>
          <w:tab w:val="clear" w:pos="567"/>
          <w:tab w:val="left" w:pos="720"/>
        </w:tabs>
        <w:spacing w:line="240" w:lineRule="auto"/>
        <w:ind w:right="-2"/>
        <w:rPr>
          <w:bCs/>
          <w:szCs w:val="22"/>
          <w:lang w:val="lt-LT"/>
        </w:rPr>
      </w:pPr>
    </w:p>
    <w:p>
      <w:pPr>
        <w:keepNext/>
        <w:tabs>
          <w:tab w:val="clear" w:pos="567"/>
          <w:tab w:val="left" w:pos="720"/>
        </w:tabs>
        <w:spacing w:line="240" w:lineRule="auto"/>
        <w:rPr>
          <w:b/>
          <w:szCs w:val="22"/>
          <w:lang w:val="lt-LT"/>
        </w:rPr>
      </w:pPr>
      <w:r>
        <w:rPr>
          <w:b/>
          <w:bCs/>
          <w:szCs w:val="22"/>
          <w:lang w:val="lt-LT"/>
        </w:rPr>
        <w:t>1 lentelė. Kaip apskaičiuoti dozę vaikams iki 12 mėnesių amžiaus pagal kūno svorį</w:t>
      </w:r>
      <w:r>
        <w:rPr>
          <w:b/>
          <w:szCs w:val="22"/>
          <w:lang w:val="lt-LT"/>
        </w:rPr>
        <w:fldChar w:fldCharType="begin"/>
      </w:r>
      <w:r>
        <w:rPr>
          <w:b/>
          <w:szCs w:val="22"/>
          <w:lang w:val="lt-LT"/>
        </w:rPr>
        <w:instrText xml:space="preserve"> DOCVARIABLE vault_nd_02b3bb82-a951-4ca6-8866-54233ef00cb2 </w:instrText>
      </w:r>
      <w:r>
        <w:rPr>
          <w:b/>
          <w:szCs w:val="22"/>
          <w:lang w:val="lt-LT"/>
        </w:rPr>
        <w:fldChar w:fldCharType="separate"/>
      </w:r>
      <w:r>
        <w:rPr>
          <w:b/>
          <w:szCs w:val="22"/>
          <w:lang w:val="lt-LT"/>
        </w:rPr>
        <w:t xml:space="preserve"> </w:t>
      </w:r>
      <w:r>
        <w:rPr>
          <w:b/>
          <w:szCs w:val="22"/>
          <w:lang w:val="lt-LT"/>
        </w:rPr>
        <w:fldChar w:fldCharType="end"/>
      </w:r>
    </w:p>
    <w:tbl>
      <w:tblPr>
        <w:tblStyle w:val="TableGrid"/>
        <w:tblW w:w="9061" w:type="dxa"/>
        <w:tblLayout w:type="fixed"/>
        <w:tblLook w:val="04A0" w:firstRow="1" w:lastRow="0" w:firstColumn="1" w:lastColumn="0" w:noHBand="0" w:noVBand="1"/>
      </w:tblPr>
      <w:tblGrid>
        <w:gridCol w:w="1271"/>
        <w:gridCol w:w="1701"/>
        <w:gridCol w:w="1985"/>
        <w:gridCol w:w="1842"/>
        <w:gridCol w:w="2262"/>
      </w:tblGrid>
      <w:tr>
        <w:tc>
          <w:tcPr>
            <w:tcW w:w="1271" w:type="dxa"/>
            <w:vMerge w:val="restart"/>
            <w:vAlign w:val="center"/>
          </w:tcPr>
          <w:p>
            <w:pPr>
              <w:keepNext/>
              <w:spacing w:line="240" w:lineRule="auto"/>
              <w:ind w:right="-2"/>
              <w:jc w:val="center"/>
              <w:rPr>
                <w:b/>
                <w:szCs w:val="22"/>
                <w:lang w:val="lt-LT"/>
              </w:rPr>
            </w:pPr>
            <w:r>
              <w:rPr>
                <w:b/>
                <w:bCs/>
                <w:szCs w:val="22"/>
                <w:lang w:val="lt-LT"/>
              </w:rPr>
              <w:t>Svoris (kg)</w:t>
            </w:r>
          </w:p>
        </w:tc>
        <w:tc>
          <w:tcPr>
            <w:tcW w:w="3686" w:type="dxa"/>
            <w:gridSpan w:val="2"/>
          </w:tcPr>
          <w:p>
            <w:pPr>
              <w:keepNext/>
              <w:tabs>
                <w:tab w:val="clear" w:pos="567"/>
                <w:tab w:val="left" w:pos="720"/>
              </w:tabs>
              <w:spacing w:line="240" w:lineRule="auto"/>
              <w:ind w:right="-2"/>
              <w:jc w:val="center"/>
              <w:rPr>
                <w:b/>
                <w:szCs w:val="22"/>
                <w:lang w:val="lt-LT"/>
              </w:rPr>
            </w:pPr>
            <w:r>
              <w:rPr>
                <w:b/>
                <w:bCs/>
                <w:szCs w:val="22"/>
                <w:lang w:val="lt-LT"/>
              </w:rPr>
              <w:t>Dozė: 7,5 mg/kg per parą</w:t>
            </w:r>
          </w:p>
        </w:tc>
        <w:tc>
          <w:tcPr>
            <w:tcW w:w="4104" w:type="dxa"/>
            <w:gridSpan w:val="2"/>
          </w:tcPr>
          <w:p>
            <w:pPr>
              <w:keepNext/>
              <w:tabs>
                <w:tab w:val="clear" w:pos="567"/>
                <w:tab w:val="left" w:pos="720"/>
              </w:tabs>
              <w:spacing w:line="240" w:lineRule="auto"/>
              <w:ind w:right="-2"/>
              <w:jc w:val="center"/>
              <w:rPr>
                <w:b/>
                <w:szCs w:val="22"/>
                <w:lang w:val="lt-LT"/>
              </w:rPr>
            </w:pPr>
            <w:r>
              <w:rPr>
                <w:b/>
                <w:bCs/>
                <w:szCs w:val="22"/>
                <w:lang w:val="lt-LT"/>
              </w:rPr>
              <w:t>Dozė: 15 mg/kg per parą</w:t>
            </w:r>
          </w:p>
        </w:tc>
      </w:tr>
      <w:tr>
        <w:tc>
          <w:tcPr>
            <w:tcW w:w="1271" w:type="dxa"/>
            <w:vMerge/>
            <w:vAlign w:val="center"/>
          </w:tcPr>
          <w:p>
            <w:pPr>
              <w:tabs>
                <w:tab w:val="clear" w:pos="567"/>
              </w:tabs>
              <w:spacing w:line="240" w:lineRule="auto"/>
              <w:rPr>
                <w:b/>
                <w:szCs w:val="22"/>
                <w:lang w:val="lt-LT"/>
              </w:rPr>
            </w:pPr>
          </w:p>
        </w:tc>
        <w:tc>
          <w:tcPr>
            <w:tcW w:w="3686" w:type="dxa"/>
            <w:gridSpan w:val="2"/>
          </w:tcPr>
          <w:p>
            <w:pPr>
              <w:keepNext/>
              <w:tabs>
                <w:tab w:val="clear" w:pos="567"/>
                <w:tab w:val="left" w:pos="720"/>
              </w:tabs>
              <w:spacing w:line="240" w:lineRule="auto"/>
              <w:ind w:right="-2"/>
              <w:jc w:val="center"/>
              <w:rPr>
                <w:b/>
                <w:szCs w:val="22"/>
                <w:lang w:val="lt-LT"/>
              </w:rPr>
            </w:pPr>
            <w:r>
              <w:rPr>
                <w:b/>
                <w:bCs/>
                <w:szCs w:val="22"/>
                <w:lang w:val="lt-LT"/>
              </w:rPr>
              <w:t>Amžius: nuo 0 iki mažiau nei 6 mėnesių</w:t>
            </w:r>
          </w:p>
        </w:tc>
        <w:tc>
          <w:tcPr>
            <w:tcW w:w="4104" w:type="dxa"/>
            <w:gridSpan w:val="2"/>
          </w:tcPr>
          <w:p>
            <w:pPr>
              <w:keepNext/>
              <w:tabs>
                <w:tab w:val="clear" w:pos="567"/>
                <w:tab w:val="left" w:pos="720"/>
              </w:tabs>
              <w:spacing w:line="240" w:lineRule="auto"/>
              <w:ind w:right="-2"/>
              <w:jc w:val="center"/>
              <w:rPr>
                <w:b/>
                <w:szCs w:val="22"/>
                <w:lang w:val="lt-LT"/>
              </w:rPr>
            </w:pPr>
            <w:r>
              <w:rPr>
                <w:b/>
                <w:bCs/>
                <w:szCs w:val="22"/>
                <w:lang w:val="lt-LT"/>
              </w:rPr>
              <w:t>Amžius: nuo 6 mėnesių iki mažiau nei 12 mėnesių</w:t>
            </w:r>
          </w:p>
        </w:tc>
      </w:tr>
      <w:tr>
        <w:tc>
          <w:tcPr>
            <w:tcW w:w="1271" w:type="dxa"/>
            <w:vMerge/>
            <w:vAlign w:val="center"/>
          </w:tcPr>
          <w:p>
            <w:pPr>
              <w:tabs>
                <w:tab w:val="clear" w:pos="567"/>
              </w:tabs>
              <w:spacing w:line="240" w:lineRule="auto"/>
              <w:rPr>
                <w:b/>
                <w:szCs w:val="22"/>
                <w:lang w:val="lt-LT"/>
              </w:rPr>
            </w:pPr>
          </w:p>
        </w:tc>
        <w:tc>
          <w:tcPr>
            <w:tcW w:w="1701" w:type="dxa"/>
          </w:tcPr>
          <w:p>
            <w:pPr>
              <w:keepNext/>
              <w:tabs>
                <w:tab w:val="clear" w:pos="567"/>
                <w:tab w:val="left" w:pos="720"/>
              </w:tabs>
              <w:spacing w:line="240" w:lineRule="auto"/>
              <w:ind w:right="-2"/>
              <w:jc w:val="center"/>
              <w:rPr>
                <w:b/>
                <w:szCs w:val="22"/>
                <w:lang w:val="lt-LT"/>
              </w:rPr>
            </w:pPr>
            <w:r>
              <w:rPr>
                <w:b/>
                <w:bCs/>
                <w:szCs w:val="22"/>
                <w:lang w:val="lt-LT"/>
              </w:rPr>
              <w:t>250 g maišelių skaičius</w:t>
            </w:r>
          </w:p>
        </w:tc>
        <w:tc>
          <w:tcPr>
            <w:tcW w:w="1985" w:type="dxa"/>
          </w:tcPr>
          <w:p>
            <w:pPr>
              <w:keepNext/>
              <w:tabs>
                <w:tab w:val="clear" w:pos="567"/>
                <w:tab w:val="left" w:pos="720"/>
              </w:tabs>
              <w:spacing w:line="240" w:lineRule="auto"/>
              <w:ind w:right="-2"/>
              <w:jc w:val="center"/>
              <w:rPr>
                <w:b/>
                <w:szCs w:val="22"/>
                <w:lang w:val="lt-LT"/>
              </w:rPr>
            </w:pPr>
            <w:r>
              <w:rPr>
                <w:b/>
                <w:bCs/>
                <w:szCs w:val="22"/>
                <w:lang w:val="lt-LT"/>
              </w:rPr>
              <w:t>Vartojamas tūris (ml)</w:t>
            </w:r>
          </w:p>
        </w:tc>
        <w:tc>
          <w:tcPr>
            <w:tcW w:w="1842" w:type="dxa"/>
          </w:tcPr>
          <w:p>
            <w:pPr>
              <w:keepNext/>
              <w:tabs>
                <w:tab w:val="clear" w:pos="567"/>
                <w:tab w:val="left" w:pos="720"/>
              </w:tabs>
              <w:spacing w:line="240" w:lineRule="auto"/>
              <w:ind w:right="-2"/>
              <w:jc w:val="center"/>
              <w:rPr>
                <w:b/>
                <w:szCs w:val="22"/>
                <w:lang w:val="lt-LT"/>
              </w:rPr>
            </w:pPr>
            <w:r>
              <w:rPr>
                <w:b/>
                <w:bCs/>
                <w:szCs w:val="22"/>
                <w:lang w:val="lt-LT"/>
              </w:rPr>
              <w:t>250 g maišelių skaičius</w:t>
            </w:r>
          </w:p>
        </w:tc>
        <w:tc>
          <w:tcPr>
            <w:tcW w:w="2262" w:type="dxa"/>
          </w:tcPr>
          <w:p>
            <w:pPr>
              <w:keepNext/>
              <w:tabs>
                <w:tab w:val="clear" w:pos="567"/>
                <w:tab w:val="left" w:pos="720"/>
              </w:tabs>
              <w:spacing w:line="240" w:lineRule="auto"/>
              <w:ind w:right="-2"/>
              <w:jc w:val="center"/>
              <w:rPr>
                <w:b/>
                <w:szCs w:val="22"/>
                <w:lang w:val="lt-LT"/>
              </w:rPr>
            </w:pPr>
            <w:r>
              <w:rPr>
                <w:b/>
                <w:bCs/>
                <w:szCs w:val="22"/>
                <w:lang w:val="lt-LT"/>
              </w:rPr>
              <w:t>Vartojamas tūris (ml)</w:t>
            </w:r>
          </w:p>
        </w:tc>
      </w:tr>
      <w:tr>
        <w:tc>
          <w:tcPr>
            <w:tcW w:w="1271" w:type="dxa"/>
          </w:tcPr>
          <w:p>
            <w:pPr>
              <w:keepNext/>
              <w:tabs>
                <w:tab w:val="clear" w:pos="567"/>
                <w:tab w:val="left" w:pos="720"/>
              </w:tabs>
              <w:spacing w:line="240" w:lineRule="auto"/>
              <w:ind w:right="-2"/>
              <w:jc w:val="center"/>
              <w:rPr>
                <w:bCs/>
                <w:szCs w:val="22"/>
                <w:lang w:val="lt-LT"/>
              </w:rPr>
            </w:pPr>
            <w:r>
              <w:rPr>
                <w:bCs/>
                <w:szCs w:val="22"/>
                <w:lang w:val="lt-LT"/>
              </w:rPr>
              <w:t>2</w:t>
            </w:r>
          </w:p>
        </w:tc>
        <w:tc>
          <w:tcPr>
            <w:tcW w:w="1701" w:type="dxa"/>
          </w:tcPr>
          <w:p>
            <w:pPr>
              <w:keepNext/>
              <w:tabs>
                <w:tab w:val="clear" w:pos="567"/>
                <w:tab w:val="left" w:pos="720"/>
              </w:tabs>
              <w:spacing w:line="240" w:lineRule="auto"/>
              <w:ind w:right="-2"/>
              <w:jc w:val="center"/>
              <w:rPr>
                <w:bCs/>
                <w:szCs w:val="22"/>
                <w:lang w:val="lt-LT"/>
              </w:rPr>
            </w:pPr>
            <w:r>
              <w:rPr>
                <w:color w:val="000000"/>
                <w:szCs w:val="22"/>
                <w:lang w:val="lt-LT"/>
              </w:rPr>
              <w:t>1</w:t>
            </w:r>
          </w:p>
        </w:tc>
        <w:tc>
          <w:tcPr>
            <w:tcW w:w="1985" w:type="dxa"/>
          </w:tcPr>
          <w:p>
            <w:pPr>
              <w:keepNext/>
              <w:tabs>
                <w:tab w:val="clear" w:pos="567"/>
                <w:tab w:val="left" w:pos="720"/>
              </w:tabs>
              <w:spacing w:line="240" w:lineRule="auto"/>
              <w:ind w:right="-2"/>
              <w:jc w:val="center"/>
              <w:rPr>
                <w:bCs/>
                <w:szCs w:val="22"/>
                <w:lang w:val="lt-LT"/>
              </w:rPr>
            </w:pPr>
            <w:r>
              <w:rPr>
                <w:bCs/>
                <w:szCs w:val="22"/>
                <w:lang w:val="lt-LT"/>
              </w:rPr>
              <w:t>0,6</w:t>
            </w:r>
          </w:p>
        </w:tc>
        <w:tc>
          <w:tcPr>
            <w:tcW w:w="1842" w:type="dxa"/>
          </w:tcPr>
          <w:p>
            <w:pPr>
              <w:keepNext/>
              <w:tabs>
                <w:tab w:val="clear" w:pos="567"/>
                <w:tab w:val="left" w:pos="720"/>
              </w:tabs>
              <w:spacing w:line="240" w:lineRule="auto"/>
              <w:ind w:right="-2"/>
              <w:jc w:val="center"/>
              <w:rPr>
                <w:bCs/>
                <w:szCs w:val="22"/>
                <w:lang w:val="lt-LT"/>
              </w:rPr>
            </w:pPr>
            <w:r>
              <w:rPr>
                <w:color w:val="000000"/>
                <w:szCs w:val="22"/>
                <w:lang w:val="lt-LT"/>
              </w:rPr>
              <w:t>1</w:t>
            </w:r>
          </w:p>
        </w:tc>
        <w:tc>
          <w:tcPr>
            <w:tcW w:w="2262" w:type="dxa"/>
          </w:tcPr>
          <w:p>
            <w:pPr>
              <w:keepNext/>
              <w:tabs>
                <w:tab w:val="clear" w:pos="567"/>
                <w:tab w:val="left" w:pos="720"/>
              </w:tabs>
              <w:spacing w:line="240" w:lineRule="auto"/>
              <w:ind w:right="-2"/>
              <w:jc w:val="center"/>
              <w:rPr>
                <w:bCs/>
                <w:szCs w:val="22"/>
                <w:lang w:val="lt-LT"/>
              </w:rPr>
            </w:pPr>
            <w:r>
              <w:rPr>
                <w:color w:val="000000"/>
                <w:szCs w:val="22"/>
                <w:lang w:val="lt-LT"/>
              </w:rPr>
              <w:t>1,2</w:t>
            </w:r>
          </w:p>
        </w:tc>
      </w:tr>
      <w:tr>
        <w:tc>
          <w:tcPr>
            <w:tcW w:w="1271" w:type="dxa"/>
          </w:tcPr>
          <w:p>
            <w:pPr>
              <w:keepNext/>
              <w:tabs>
                <w:tab w:val="clear" w:pos="567"/>
                <w:tab w:val="left" w:pos="720"/>
              </w:tabs>
              <w:spacing w:line="240" w:lineRule="auto"/>
              <w:ind w:right="-2"/>
              <w:jc w:val="center"/>
              <w:rPr>
                <w:bCs/>
                <w:szCs w:val="22"/>
                <w:lang w:val="lt-LT"/>
              </w:rPr>
            </w:pPr>
            <w:r>
              <w:rPr>
                <w:bCs/>
                <w:szCs w:val="22"/>
                <w:lang w:val="lt-LT"/>
              </w:rPr>
              <w:t>3</w:t>
            </w:r>
          </w:p>
        </w:tc>
        <w:tc>
          <w:tcPr>
            <w:tcW w:w="1701" w:type="dxa"/>
          </w:tcPr>
          <w:p>
            <w:pPr>
              <w:keepNext/>
              <w:tabs>
                <w:tab w:val="clear" w:pos="567"/>
                <w:tab w:val="left" w:pos="720"/>
              </w:tabs>
              <w:spacing w:line="240" w:lineRule="auto"/>
              <w:ind w:right="-2"/>
              <w:jc w:val="center"/>
              <w:rPr>
                <w:bCs/>
                <w:szCs w:val="22"/>
                <w:lang w:val="lt-LT"/>
              </w:rPr>
            </w:pPr>
            <w:r>
              <w:rPr>
                <w:color w:val="000000"/>
                <w:szCs w:val="22"/>
                <w:lang w:val="lt-LT"/>
              </w:rPr>
              <w:t>1</w:t>
            </w:r>
          </w:p>
        </w:tc>
        <w:tc>
          <w:tcPr>
            <w:tcW w:w="1985" w:type="dxa"/>
          </w:tcPr>
          <w:p>
            <w:pPr>
              <w:keepNext/>
              <w:tabs>
                <w:tab w:val="clear" w:pos="567"/>
                <w:tab w:val="left" w:pos="720"/>
              </w:tabs>
              <w:spacing w:line="240" w:lineRule="auto"/>
              <w:ind w:right="-2"/>
              <w:jc w:val="center"/>
              <w:rPr>
                <w:bCs/>
                <w:szCs w:val="22"/>
                <w:lang w:val="lt-LT"/>
              </w:rPr>
            </w:pPr>
            <w:r>
              <w:rPr>
                <w:bCs/>
                <w:szCs w:val="22"/>
                <w:lang w:val="lt-LT"/>
              </w:rPr>
              <w:t>0,9</w:t>
            </w:r>
          </w:p>
        </w:tc>
        <w:tc>
          <w:tcPr>
            <w:tcW w:w="1842" w:type="dxa"/>
          </w:tcPr>
          <w:p>
            <w:pPr>
              <w:keepNext/>
              <w:tabs>
                <w:tab w:val="clear" w:pos="567"/>
                <w:tab w:val="left" w:pos="720"/>
              </w:tabs>
              <w:spacing w:line="240" w:lineRule="auto"/>
              <w:ind w:right="-2"/>
              <w:jc w:val="center"/>
              <w:rPr>
                <w:bCs/>
                <w:szCs w:val="22"/>
                <w:lang w:val="lt-LT"/>
              </w:rPr>
            </w:pPr>
            <w:r>
              <w:rPr>
                <w:color w:val="000000"/>
                <w:szCs w:val="22"/>
                <w:lang w:val="lt-LT"/>
              </w:rPr>
              <w:t>1</w:t>
            </w:r>
          </w:p>
        </w:tc>
        <w:tc>
          <w:tcPr>
            <w:tcW w:w="2262" w:type="dxa"/>
          </w:tcPr>
          <w:p>
            <w:pPr>
              <w:keepNext/>
              <w:tabs>
                <w:tab w:val="clear" w:pos="567"/>
                <w:tab w:val="left" w:pos="720"/>
              </w:tabs>
              <w:spacing w:line="240" w:lineRule="auto"/>
              <w:ind w:right="-2"/>
              <w:jc w:val="center"/>
              <w:rPr>
                <w:bCs/>
                <w:szCs w:val="22"/>
                <w:lang w:val="lt-LT"/>
              </w:rPr>
            </w:pPr>
            <w:r>
              <w:rPr>
                <w:color w:val="000000"/>
                <w:szCs w:val="22"/>
                <w:lang w:val="lt-LT"/>
              </w:rPr>
              <w:t>1,8</w:t>
            </w:r>
          </w:p>
        </w:tc>
      </w:tr>
      <w:tr>
        <w:tc>
          <w:tcPr>
            <w:tcW w:w="1271" w:type="dxa"/>
          </w:tcPr>
          <w:p>
            <w:pPr>
              <w:keepNext/>
              <w:tabs>
                <w:tab w:val="clear" w:pos="567"/>
                <w:tab w:val="left" w:pos="720"/>
              </w:tabs>
              <w:spacing w:line="240" w:lineRule="auto"/>
              <w:ind w:right="-2"/>
              <w:jc w:val="center"/>
              <w:rPr>
                <w:bCs/>
                <w:szCs w:val="22"/>
                <w:lang w:val="lt-LT"/>
              </w:rPr>
            </w:pPr>
            <w:r>
              <w:rPr>
                <w:bCs/>
                <w:szCs w:val="22"/>
                <w:lang w:val="lt-LT"/>
              </w:rPr>
              <w:t>4</w:t>
            </w:r>
          </w:p>
        </w:tc>
        <w:tc>
          <w:tcPr>
            <w:tcW w:w="1701" w:type="dxa"/>
          </w:tcPr>
          <w:p>
            <w:pPr>
              <w:keepNext/>
              <w:tabs>
                <w:tab w:val="clear" w:pos="567"/>
                <w:tab w:val="left" w:pos="720"/>
              </w:tabs>
              <w:spacing w:line="240" w:lineRule="auto"/>
              <w:ind w:right="-2"/>
              <w:jc w:val="center"/>
              <w:rPr>
                <w:bCs/>
                <w:szCs w:val="22"/>
                <w:lang w:val="lt-LT"/>
              </w:rPr>
            </w:pPr>
            <w:r>
              <w:rPr>
                <w:color w:val="000000"/>
                <w:szCs w:val="22"/>
                <w:lang w:val="lt-LT"/>
              </w:rPr>
              <w:t>1</w:t>
            </w:r>
          </w:p>
        </w:tc>
        <w:tc>
          <w:tcPr>
            <w:tcW w:w="1985" w:type="dxa"/>
          </w:tcPr>
          <w:p>
            <w:pPr>
              <w:keepNext/>
              <w:tabs>
                <w:tab w:val="clear" w:pos="567"/>
                <w:tab w:val="left" w:pos="720"/>
              </w:tabs>
              <w:spacing w:line="240" w:lineRule="auto"/>
              <w:ind w:right="-2"/>
              <w:jc w:val="center"/>
              <w:rPr>
                <w:bCs/>
                <w:szCs w:val="22"/>
                <w:lang w:val="lt-LT"/>
              </w:rPr>
            </w:pPr>
            <w:r>
              <w:rPr>
                <w:bCs/>
                <w:szCs w:val="22"/>
                <w:lang w:val="lt-LT"/>
              </w:rPr>
              <w:t>1,2</w:t>
            </w:r>
          </w:p>
        </w:tc>
        <w:tc>
          <w:tcPr>
            <w:tcW w:w="1842" w:type="dxa"/>
          </w:tcPr>
          <w:p>
            <w:pPr>
              <w:keepNext/>
              <w:tabs>
                <w:tab w:val="clear" w:pos="567"/>
                <w:tab w:val="left" w:pos="720"/>
              </w:tabs>
              <w:spacing w:line="240" w:lineRule="auto"/>
              <w:ind w:right="-2"/>
              <w:jc w:val="center"/>
              <w:rPr>
                <w:bCs/>
                <w:szCs w:val="22"/>
                <w:lang w:val="lt-LT"/>
              </w:rPr>
            </w:pPr>
            <w:r>
              <w:rPr>
                <w:color w:val="000000"/>
                <w:szCs w:val="22"/>
                <w:lang w:val="lt-LT"/>
              </w:rPr>
              <w:t>1</w:t>
            </w:r>
          </w:p>
        </w:tc>
        <w:tc>
          <w:tcPr>
            <w:tcW w:w="2262" w:type="dxa"/>
          </w:tcPr>
          <w:p>
            <w:pPr>
              <w:keepNext/>
              <w:tabs>
                <w:tab w:val="clear" w:pos="567"/>
                <w:tab w:val="left" w:pos="720"/>
              </w:tabs>
              <w:spacing w:line="240" w:lineRule="auto"/>
              <w:ind w:right="-2"/>
              <w:jc w:val="center"/>
              <w:rPr>
                <w:bCs/>
                <w:szCs w:val="22"/>
                <w:lang w:val="lt-LT"/>
              </w:rPr>
            </w:pPr>
            <w:r>
              <w:rPr>
                <w:color w:val="000000"/>
                <w:szCs w:val="22"/>
                <w:lang w:val="lt-LT"/>
              </w:rPr>
              <w:t>2,4</w:t>
            </w:r>
          </w:p>
        </w:tc>
      </w:tr>
      <w:tr>
        <w:tc>
          <w:tcPr>
            <w:tcW w:w="1271" w:type="dxa"/>
          </w:tcPr>
          <w:p>
            <w:pPr>
              <w:keepNext/>
              <w:tabs>
                <w:tab w:val="clear" w:pos="567"/>
                <w:tab w:val="left" w:pos="720"/>
              </w:tabs>
              <w:spacing w:line="240" w:lineRule="auto"/>
              <w:ind w:right="-2"/>
              <w:jc w:val="center"/>
              <w:rPr>
                <w:bCs/>
                <w:szCs w:val="22"/>
                <w:lang w:val="lt-LT"/>
              </w:rPr>
            </w:pPr>
            <w:r>
              <w:rPr>
                <w:bCs/>
                <w:szCs w:val="22"/>
                <w:lang w:val="lt-LT"/>
              </w:rPr>
              <w:t>5</w:t>
            </w:r>
          </w:p>
        </w:tc>
        <w:tc>
          <w:tcPr>
            <w:tcW w:w="1701" w:type="dxa"/>
          </w:tcPr>
          <w:p>
            <w:pPr>
              <w:keepNext/>
              <w:tabs>
                <w:tab w:val="clear" w:pos="567"/>
                <w:tab w:val="left" w:pos="720"/>
              </w:tabs>
              <w:spacing w:line="240" w:lineRule="auto"/>
              <w:ind w:right="-2"/>
              <w:jc w:val="center"/>
              <w:rPr>
                <w:bCs/>
                <w:szCs w:val="22"/>
                <w:lang w:val="lt-LT"/>
              </w:rPr>
            </w:pPr>
            <w:r>
              <w:rPr>
                <w:color w:val="000000"/>
                <w:szCs w:val="22"/>
                <w:lang w:val="lt-LT"/>
              </w:rPr>
              <w:t>1</w:t>
            </w:r>
          </w:p>
        </w:tc>
        <w:tc>
          <w:tcPr>
            <w:tcW w:w="1985" w:type="dxa"/>
          </w:tcPr>
          <w:p>
            <w:pPr>
              <w:keepNext/>
              <w:tabs>
                <w:tab w:val="clear" w:pos="567"/>
                <w:tab w:val="left" w:pos="720"/>
              </w:tabs>
              <w:spacing w:line="240" w:lineRule="auto"/>
              <w:ind w:right="-2"/>
              <w:jc w:val="center"/>
              <w:rPr>
                <w:bCs/>
                <w:szCs w:val="22"/>
                <w:lang w:val="lt-LT"/>
              </w:rPr>
            </w:pPr>
            <w:r>
              <w:rPr>
                <w:bCs/>
                <w:szCs w:val="22"/>
                <w:lang w:val="lt-LT"/>
              </w:rPr>
              <w:t>1,5</w:t>
            </w:r>
          </w:p>
        </w:tc>
        <w:tc>
          <w:tcPr>
            <w:tcW w:w="1842" w:type="dxa"/>
          </w:tcPr>
          <w:p>
            <w:pPr>
              <w:keepNext/>
              <w:tabs>
                <w:tab w:val="clear" w:pos="567"/>
                <w:tab w:val="left" w:pos="720"/>
              </w:tabs>
              <w:spacing w:line="240" w:lineRule="auto"/>
              <w:ind w:right="-2"/>
              <w:jc w:val="center"/>
              <w:rPr>
                <w:bCs/>
                <w:szCs w:val="22"/>
                <w:lang w:val="lt-LT"/>
              </w:rPr>
            </w:pPr>
            <w:r>
              <w:rPr>
                <w:color w:val="000000"/>
                <w:szCs w:val="22"/>
                <w:lang w:val="lt-LT"/>
              </w:rPr>
              <w:t>1</w:t>
            </w:r>
          </w:p>
        </w:tc>
        <w:tc>
          <w:tcPr>
            <w:tcW w:w="2262" w:type="dxa"/>
          </w:tcPr>
          <w:p>
            <w:pPr>
              <w:keepNext/>
              <w:tabs>
                <w:tab w:val="clear" w:pos="567"/>
                <w:tab w:val="left" w:pos="720"/>
              </w:tabs>
              <w:spacing w:line="240" w:lineRule="auto"/>
              <w:ind w:right="-2"/>
              <w:jc w:val="center"/>
              <w:rPr>
                <w:bCs/>
                <w:szCs w:val="22"/>
                <w:lang w:val="lt-LT"/>
              </w:rPr>
            </w:pPr>
            <w:r>
              <w:rPr>
                <w:color w:val="000000"/>
                <w:szCs w:val="22"/>
                <w:lang w:val="lt-LT"/>
              </w:rPr>
              <w:t>3</w:t>
            </w:r>
          </w:p>
        </w:tc>
      </w:tr>
      <w:tr>
        <w:tc>
          <w:tcPr>
            <w:tcW w:w="1271" w:type="dxa"/>
          </w:tcPr>
          <w:p>
            <w:pPr>
              <w:keepNext/>
              <w:tabs>
                <w:tab w:val="clear" w:pos="567"/>
                <w:tab w:val="left" w:pos="720"/>
              </w:tabs>
              <w:spacing w:line="240" w:lineRule="auto"/>
              <w:ind w:right="-2"/>
              <w:jc w:val="center"/>
              <w:rPr>
                <w:bCs/>
                <w:szCs w:val="22"/>
                <w:lang w:val="lt-LT"/>
              </w:rPr>
            </w:pPr>
            <w:r>
              <w:rPr>
                <w:bCs/>
                <w:szCs w:val="22"/>
                <w:lang w:val="lt-LT"/>
              </w:rPr>
              <w:t>6</w:t>
            </w:r>
          </w:p>
        </w:tc>
        <w:tc>
          <w:tcPr>
            <w:tcW w:w="1701" w:type="dxa"/>
          </w:tcPr>
          <w:p>
            <w:pPr>
              <w:keepNext/>
              <w:tabs>
                <w:tab w:val="clear" w:pos="567"/>
                <w:tab w:val="left" w:pos="720"/>
              </w:tabs>
              <w:spacing w:line="240" w:lineRule="auto"/>
              <w:ind w:right="-2"/>
              <w:jc w:val="center"/>
              <w:rPr>
                <w:bCs/>
                <w:szCs w:val="22"/>
                <w:lang w:val="lt-LT"/>
              </w:rPr>
            </w:pPr>
            <w:r>
              <w:rPr>
                <w:color w:val="000000"/>
                <w:szCs w:val="22"/>
                <w:lang w:val="lt-LT"/>
              </w:rPr>
              <w:t>1</w:t>
            </w:r>
          </w:p>
        </w:tc>
        <w:tc>
          <w:tcPr>
            <w:tcW w:w="1985" w:type="dxa"/>
          </w:tcPr>
          <w:p>
            <w:pPr>
              <w:keepNext/>
              <w:tabs>
                <w:tab w:val="clear" w:pos="567"/>
                <w:tab w:val="left" w:pos="720"/>
              </w:tabs>
              <w:spacing w:line="240" w:lineRule="auto"/>
              <w:ind w:right="-2"/>
              <w:jc w:val="center"/>
              <w:rPr>
                <w:bCs/>
                <w:szCs w:val="22"/>
                <w:lang w:val="lt-LT"/>
              </w:rPr>
            </w:pPr>
            <w:r>
              <w:rPr>
                <w:bCs/>
                <w:szCs w:val="22"/>
                <w:lang w:val="lt-LT"/>
              </w:rPr>
              <w:t>1,8</w:t>
            </w:r>
          </w:p>
        </w:tc>
        <w:tc>
          <w:tcPr>
            <w:tcW w:w="1842" w:type="dxa"/>
          </w:tcPr>
          <w:p>
            <w:pPr>
              <w:keepNext/>
              <w:tabs>
                <w:tab w:val="clear" w:pos="567"/>
                <w:tab w:val="left" w:pos="720"/>
              </w:tabs>
              <w:spacing w:line="240" w:lineRule="auto"/>
              <w:ind w:right="-2"/>
              <w:jc w:val="center"/>
              <w:rPr>
                <w:bCs/>
                <w:szCs w:val="22"/>
                <w:lang w:val="lt-LT"/>
              </w:rPr>
            </w:pPr>
            <w:r>
              <w:rPr>
                <w:color w:val="000000"/>
                <w:szCs w:val="22"/>
                <w:lang w:val="lt-LT"/>
              </w:rPr>
              <w:t>1</w:t>
            </w:r>
          </w:p>
        </w:tc>
        <w:tc>
          <w:tcPr>
            <w:tcW w:w="2262" w:type="dxa"/>
          </w:tcPr>
          <w:p>
            <w:pPr>
              <w:keepNext/>
              <w:tabs>
                <w:tab w:val="clear" w:pos="567"/>
                <w:tab w:val="left" w:pos="720"/>
              </w:tabs>
              <w:spacing w:line="240" w:lineRule="auto"/>
              <w:ind w:right="-2"/>
              <w:jc w:val="center"/>
              <w:rPr>
                <w:bCs/>
                <w:szCs w:val="22"/>
                <w:lang w:val="lt-LT"/>
              </w:rPr>
            </w:pPr>
            <w:r>
              <w:rPr>
                <w:color w:val="000000"/>
                <w:szCs w:val="22"/>
                <w:lang w:val="lt-LT"/>
              </w:rPr>
              <w:t>3,6</w:t>
            </w:r>
          </w:p>
        </w:tc>
      </w:tr>
      <w:tr>
        <w:tc>
          <w:tcPr>
            <w:tcW w:w="1271" w:type="dxa"/>
          </w:tcPr>
          <w:p>
            <w:pPr>
              <w:keepNext/>
              <w:tabs>
                <w:tab w:val="clear" w:pos="567"/>
                <w:tab w:val="left" w:pos="720"/>
              </w:tabs>
              <w:spacing w:line="240" w:lineRule="auto"/>
              <w:ind w:right="-2"/>
              <w:jc w:val="center"/>
              <w:rPr>
                <w:bCs/>
                <w:szCs w:val="22"/>
                <w:lang w:val="lt-LT"/>
              </w:rPr>
            </w:pPr>
            <w:r>
              <w:rPr>
                <w:bCs/>
                <w:szCs w:val="22"/>
                <w:lang w:val="lt-LT"/>
              </w:rPr>
              <w:t>7</w:t>
            </w:r>
          </w:p>
        </w:tc>
        <w:tc>
          <w:tcPr>
            <w:tcW w:w="1701" w:type="dxa"/>
          </w:tcPr>
          <w:p>
            <w:pPr>
              <w:keepNext/>
              <w:tabs>
                <w:tab w:val="clear" w:pos="567"/>
                <w:tab w:val="left" w:pos="720"/>
              </w:tabs>
              <w:spacing w:line="240" w:lineRule="auto"/>
              <w:ind w:right="-2"/>
              <w:jc w:val="center"/>
              <w:rPr>
                <w:bCs/>
                <w:szCs w:val="22"/>
                <w:lang w:val="lt-LT"/>
              </w:rPr>
            </w:pPr>
            <w:r>
              <w:rPr>
                <w:color w:val="000000"/>
                <w:szCs w:val="22"/>
                <w:lang w:val="lt-LT"/>
              </w:rPr>
              <w:t>1</w:t>
            </w:r>
          </w:p>
        </w:tc>
        <w:tc>
          <w:tcPr>
            <w:tcW w:w="1985" w:type="dxa"/>
          </w:tcPr>
          <w:p>
            <w:pPr>
              <w:keepNext/>
              <w:tabs>
                <w:tab w:val="clear" w:pos="567"/>
                <w:tab w:val="left" w:pos="720"/>
              </w:tabs>
              <w:spacing w:line="240" w:lineRule="auto"/>
              <w:ind w:right="-2"/>
              <w:jc w:val="center"/>
              <w:rPr>
                <w:bCs/>
                <w:szCs w:val="22"/>
                <w:lang w:val="lt-LT"/>
              </w:rPr>
            </w:pPr>
            <w:r>
              <w:rPr>
                <w:bCs/>
                <w:szCs w:val="22"/>
                <w:lang w:val="lt-LT"/>
              </w:rPr>
              <w:t>2,1</w:t>
            </w:r>
          </w:p>
        </w:tc>
        <w:tc>
          <w:tcPr>
            <w:tcW w:w="1842" w:type="dxa"/>
          </w:tcPr>
          <w:p>
            <w:pPr>
              <w:keepNext/>
              <w:tabs>
                <w:tab w:val="clear" w:pos="567"/>
                <w:tab w:val="left" w:pos="720"/>
              </w:tabs>
              <w:spacing w:line="240" w:lineRule="auto"/>
              <w:ind w:right="-2"/>
              <w:jc w:val="center"/>
              <w:rPr>
                <w:bCs/>
                <w:szCs w:val="22"/>
                <w:lang w:val="lt-LT"/>
              </w:rPr>
            </w:pPr>
            <w:r>
              <w:rPr>
                <w:color w:val="000000"/>
                <w:szCs w:val="22"/>
                <w:lang w:val="lt-LT"/>
              </w:rPr>
              <w:t>1</w:t>
            </w:r>
          </w:p>
        </w:tc>
        <w:tc>
          <w:tcPr>
            <w:tcW w:w="2262" w:type="dxa"/>
          </w:tcPr>
          <w:p>
            <w:pPr>
              <w:keepNext/>
              <w:tabs>
                <w:tab w:val="clear" w:pos="567"/>
                <w:tab w:val="left" w:pos="720"/>
              </w:tabs>
              <w:spacing w:line="240" w:lineRule="auto"/>
              <w:ind w:right="-2"/>
              <w:jc w:val="center"/>
              <w:rPr>
                <w:bCs/>
                <w:szCs w:val="22"/>
                <w:lang w:val="lt-LT"/>
              </w:rPr>
            </w:pPr>
            <w:r>
              <w:rPr>
                <w:color w:val="000000"/>
                <w:szCs w:val="22"/>
                <w:lang w:val="lt-LT"/>
              </w:rPr>
              <w:t>4,2</w:t>
            </w:r>
          </w:p>
        </w:tc>
      </w:tr>
      <w:tr>
        <w:tc>
          <w:tcPr>
            <w:tcW w:w="1271" w:type="dxa"/>
          </w:tcPr>
          <w:p>
            <w:pPr>
              <w:keepNext/>
              <w:tabs>
                <w:tab w:val="clear" w:pos="567"/>
                <w:tab w:val="left" w:pos="720"/>
              </w:tabs>
              <w:spacing w:line="240" w:lineRule="auto"/>
              <w:ind w:right="-2"/>
              <w:jc w:val="center"/>
              <w:rPr>
                <w:bCs/>
                <w:szCs w:val="22"/>
                <w:lang w:val="lt-LT"/>
              </w:rPr>
            </w:pPr>
            <w:r>
              <w:rPr>
                <w:bCs/>
                <w:szCs w:val="22"/>
                <w:lang w:val="lt-LT"/>
              </w:rPr>
              <w:t>8</w:t>
            </w:r>
          </w:p>
        </w:tc>
        <w:tc>
          <w:tcPr>
            <w:tcW w:w="1701" w:type="dxa"/>
          </w:tcPr>
          <w:p>
            <w:pPr>
              <w:keepNext/>
              <w:tabs>
                <w:tab w:val="clear" w:pos="567"/>
                <w:tab w:val="left" w:pos="720"/>
              </w:tabs>
              <w:spacing w:line="240" w:lineRule="auto"/>
              <w:ind w:right="-2"/>
              <w:jc w:val="center"/>
              <w:rPr>
                <w:bCs/>
                <w:szCs w:val="22"/>
                <w:lang w:val="lt-LT"/>
              </w:rPr>
            </w:pPr>
            <w:r>
              <w:rPr>
                <w:color w:val="000000"/>
                <w:szCs w:val="22"/>
                <w:lang w:val="lt-LT"/>
              </w:rPr>
              <w:t>1</w:t>
            </w:r>
          </w:p>
        </w:tc>
        <w:tc>
          <w:tcPr>
            <w:tcW w:w="1985" w:type="dxa"/>
          </w:tcPr>
          <w:p>
            <w:pPr>
              <w:keepNext/>
              <w:tabs>
                <w:tab w:val="clear" w:pos="567"/>
                <w:tab w:val="left" w:pos="720"/>
              </w:tabs>
              <w:spacing w:line="240" w:lineRule="auto"/>
              <w:ind w:right="-2"/>
              <w:jc w:val="center"/>
              <w:rPr>
                <w:bCs/>
                <w:szCs w:val="22"/>
                <w:lang w:val="lt-LT"/>
              </w:rPr>
            </w:pPr>
            <w:r>
              <w:rPr>
                <w:bCs/>
                <w:szCs w:val="22"/>
                <w:lang w:val="lt-LT"/>
              </w:rPr>
              <w:t>2,4</w:t>
            </w:r>
          </w:p>
        </w:tc>
        <w:tc>
          <w:tcPr>
            <w:tcW w:w="1842" w:type="dxa"/>
          </w:tcPr>
          <w:p>
            <w:pPr>
              <w:keepNext/>
              <w:tabs>
                <w:tab w:val="clear" w:pos="567"/>
                <w:tab w:val="left" w:pos="720"/>
              </w:tabs>
              <w:spacing w:line="240" w:lineRule="auto"/>
              <w:ind w:right="-2"/>
              <w:jc w:val="center"/>
              <w:rPr>
                <w:bCs/>
                <w:szCs w:val="22"/>
                <w:lang w:val="lt-LT"/>
              </w:rPr>
            </w:pPr>
            <w:r>
              <w:rPr>
                <w:color w:val="000000"/>
                <w:szCs w:val="22"/>
                <w:lang w:val="lt-LT"/>
              </w:rPr>
              <w:t>1</w:t>
            </w:r>
          </w:p>
        </w:tc>
        <w:tc>
          <w:tcPr>
            <w:tcW w:w="2262" w:type="dxa"/>
          </w:tcPr>
          <w:p>
            <w:pPr>
              <w:keepNext/>
              <w:tabs>
                <w:tab w:val="clear" w:pos="567"/>
                <w:tab w:val="left" w:pos="720"/>
              </w:tabs>
              <w:spacing w:line="240" w:lineRule="auto"/>
              <w:ind w:right="-2"/>
              <w:jc w:val="center"/>
              <w:rPr>
                <w:bCs/>
                <w:szCs w:val="22"/>
                <w:lang w:val="lt-LT"/>
              </w:rPr>
            </w:pPr>
            <w:r>
              <w:rPr>
                <w:color w:val="000000"/>
                <w:szCs w:val="22"/>
                <w:lang w:val="lt-LT"/>
              </w:rPr>
              <w:t>4,8</w:t>
            </w:r>
          </w:p>
        </w:tc>
      </w:tr>
      <w:tr>
        <w:tc>
          <w:tcPr>
            <w:tcW w:w="1271" w:type="dxa"/>
          </w:tcPr>
          <w:p>
            <w:pPr>
              <w:keepNext/>
              <w:tabs>
                <w:tab w:val="clear" w:pos="567"/>
                <w:tab w:val="left" w:pos="720"/>
              </w:tabs>
              <w:spacing w:line="240" w:lineRule="auto"/>
              <w:ind w:right="-2"/>
              <w:jc w:val="center"/>
              <w:rPr>
                <w:bCs/>
                <w:szCs w:val="22"/>
                <w:lang w:val="lt-LT"/>
              </w:rPr>
            </w:pPr>
            <w:r>
              <w:rPr>
                <w:bCs/>
                <w:szCs w:val="22"/>
                <w:lang w:val="lt-LT"/>
              </w:rPr>
              <w:t>9</w:t>
            </w:r>
          </w:p>
        </w:tc>
        <w:tc>
          <w:tcPr>
            <w:tcW w:w="1701" w:type="dxa"/>
          </w:tcPr>
          <w:p>
            <w:pPr>
              <w:keepNext/>
              <w:tabs>
                <w:tab w:val="clear" w:pos="567"/>
                <w:tab w:val="left" w:pos="720"/>
              </w:tabs>
              <w:spacing w:line="240" w:lineRule="auto"/>
              <w:ind w:right="-2"/>
              <w:jc w:val="center"/>
              <w:rPr>
                <w:bCs/>
                <w:szCs w:val="22"/>
                <w:lang w:val="lt-LT"/>
              </w:rPr>
            </w:pPr>
            <w:r>
              <w:rPr>
                <w:color w:val="000000"/>
                <w:szCs w:val="22"/>
                <w:lang w:val="lt-LT"/>
              </w:rPr>
              <w:t>1</w:t>
            </w:r>
          </w:p>
        </w:tc>
        <w:tc>
          <w:tcPr>
            <w:tcW w:w="1985" w:type="dxa"/>
          </w:tcPr>
          <w:p>
            <w:pPr>
              <w:keepNext/>
              <w:tabs>
                <w:tab w:val="clear" w:pos="567"/>
                <w:tab w:val="left" w:pos="720"/>
              </w:tabs>
              <w:spacing w:line="240" w:lineRule="auto"/>
              <w:ind w:right="-2"/>
              <w:jc w:val="center"/>
              <w:rPr>
                <w:bCs/>
                <w:szCs w:val="22"/>
                <w:lang w:val="lt-LT"/>
              </w:rPr>
            </w:pPr>
            <w:r>
              <w:rPr>
                <w:bCs/>
                <w:szCs w:val="22"/>
                <w:lang w:val="lt-LT"/>
              </w:rPr>
              <w:t>2,7</w:t>
            </w:r>
          </w:p>
        </w:tc>
        <w:tc>
          <w:tcPr>
            <w:tcW w:w="1842" w:type="dxa"/>
          </w:tcPr>
          <w:p>
            <w:pPr>
              <w:keepNext/>
              <w:tabs>
                <w:tab w:val="clear" w:pos="567"/>
                <w:tab w:val="left" w:pos="720"/>
              </w:tabs>
              <w:spacing w:line="240" w:lineRule="auto"/>
              <w:ind w:right="-2"/>
              <w:jc w:val="center"/>
              <w:rPr>
                <w:bCs/>
                <w:szCs w:val="22"/>
                <w:lang w:val="lt-LT"/>
              </w:rPr>
            </w:pPr>
            <w:r>
              <w:rPr>
                <w:color w:val="000000"/>
                <w:szCs w:val="22"/>
                <w:lang w:val="lt-LT"/>
              </w:rPr>
              <w:t>1</w:t>
            </w:r>
          </w:p>
        </w:tc>
        <w:tc>
          <w:tcPr>
            <w:tcW w:w="2262" w:type="dxa"/>
          </w:tcPr>
          <w:p>
            <w:pPr>
              <w:keepNext/>
              <w:tabs>
                <w:tab w:val="clear" w:pos="567"/>
                <w:tab w:val="left" w:pos="720"/>
              </w:tabs>
              <w:spacing w:line="240" w:lineRule="auto"/>
              <w:ind w:right="-2"/>
              <w:jc w:val="center"/>
              <w:rPr>
                <w:bCs/>
                <w:szCs w:val="22"/>
                <w:lang w:val="lt-LT"/>
              </w:rPr>
            </w:pPr>
            <w:r>
              <w:rPr>
                <w:color w:val="000000"/>
                <w:szCs w:val="22"/>
                <w:lang w:val="lt-LT"/>
              </w:rPr>
              <w:t>5,4</w:t>
            </w:r>
          </w:p>
        </w:tc>
      </w:tr>
      <w:tr>
        <w:tc>
          <w:tcPr>
            <w:tcW w:w="1271" w:type="dxa"/>
          </w:tcPr>
          <w:p>
            <w:pPr>
              <w:keepNext/>
              <w:tabs>
                <w:tab w:val="clear" w:pos="567"/>
                <w:tab w:val="left" w:pos="720"/>
              </w:tabs>
              <w:spacing w:line="240" w:lineRule="auto"/>
              <w:ind w:right="-2"/>
              <w:jc w:val="center"/>
              <w:rPr>
                <w:bCs/>
                <w:szCs w:val="22"/>
                <w:lang w:val="lt-LT"/>
              </w:rPr>
            </w:pPr>
            <w:r>
              <w:rPr>
                <w:bCs/>
                <w:szCs w:val="22"/>
                <w:lang w:val="lt-LT"/>
              </w:rPr>
              <w:t>10</w:t>
            </w:r>
          </w:p>
        </w:tc>
        <w:tc>
          <w:tcPr>
            <w:tcW w:w="1701" w:type="dxa"/>
          </w:tcPr>
          <w:p>
            <w:pPr>
              <w:keepNext/>
              <w:tabs>
                <w:tab w:val="clear" w:pos="567"/>
                <w:tab w:val="left" w:pos="720"/>
              </w:tabs>
              <w:spacing w:line="240" w:lineRule="auto"/>
              <w:ind w:right="-2"/>
              <w:jc w:val="center"/>
              <w:rPr>
                <w:bCs/>
                <w:szCs w:val="22"/>
                <w:lang w:val="lt-LT"/>
              </w:rPr>
            </w:pPr>
            <w:r>
              <w:rPr>
                <w:color w:val="000000"/>
                <w:szCs w:val="22"/>
                <w:lang w:val="lt-LT"/>
              </w:rPr>
              <w:t>1</w:t>
            </w:r>
          </w:p>
        </w:tc>
        <w:tc>
          <w:tcPr>
            <w:tcW w:w="1985" w:type="dxa"/>
          </w:tcPr>
          <w:p>
            <w:pPr>
              <w:keepNext/>
              <w:tabs>
                <w:tab w:val="clear" w:pos="567"/>
                <w:tab w:val="left" w:pos="720"/>
              </w:tabs>
              <w:spacing w:line="240" w:lineRule="auto"/>
              <w:ind w:right="-2"/>
              <w:jc w:val="center"/>
              <w:rPr>
                <w:bCs/>
                <w:szCs w:val="22"/>
                <w:lang w:val="lt-LT"/>
              </w:rPr>
            </w:pPr>
            <w:r>
              <w:rPr>
                <w:bCs/>
                <w:szCs w:val="22"/>
                <w:lang w:val="lt-LT"/>
              </w:rPr>
              <w:t>3</w:t>
            </w:r>
          </w:p>
        </w:tc>
        <w:tc>
          <w:tcPr>
            <w:tcW w:w="1842" w:type="dxa"/>
          </w:tcPr>
          <w:p>
            <w:pPr>
              <w:keepNext/>
              <w:tabs>
                <w:tab w:val="clear" w:pos="567"/>
                <w:tab w:val="left" w:pos="720"/>
              </w:tabs>
              <w:spacing w:line="240" w:lineRule="auto"/>
              <w:ind w:right="-2"/>
              <w:jc w:val="center"/>
              <w:rPr>
                <w:bCs/>
                <w:szCs w:val="22"/>
                <w:lang w:val="lt-LT"/>
              </w:rPr>
            </w:pPr>
            <w:r>
              <w:rPr>
                <w:color w:val="000000"/>
                <w:szCs w:val="22"/>
                <w:lang w:val="lt-LT"/>
              </w:rPr>
              <w:t>1</w:t>
            </w:r>
          </w:p>
        </w:tc>
        <w:tc>
          <w:tcPr>
            <w:tcW w:w="2262" w:type="dxa"/>
          </w:tcPr>
          <w:p>
            <w:pPr>
              <w:keepNext/>
              <w:tabs>
                <w:tab w:val="clear" w:pos="567"/>
                <w:tab w:val="left" w:pos="720"/>
              </w:tabs>
              <w:spacing w:line="240" w:lineRule="auto"/>
              <w:ind w:right="-2"/>
              <w:jc w:val="center"/>
              <w:rPr>
                <w:bCs/>
                <w:szCs w:val="22"/>
                <w:lang w:val="lt-LT"/>
              </w:rPr>
            </w:pPr>
            <w:r>
              <w:rPr>
                <w:color w:val="000000"/>
                <w:szCs w:val="22"/>
                <w:lang w:val="lt-LT"/>
              </w:rPr>
              <w:t>6</w:t>
            </w:r>
          </w:p>
        </w:tc>
      </w:tr>
      <w:tr>
        <w:tc>
          <w:tcPr>
            <w:tcW w:w="1271" w:type="dxa"/>
          </w:tcPr>
          <w:p>
            <w:pPr>
              <w:keepNext/>
              <w:tabs>
                <w:tab w:val="clear" w:pos="567"/>
                <w:tab w:val="left" w:pos="720"/>
              </w:tabs>
              <w:spacing w:line="240" w:lineRule="auto"/>
              <w:ind w:right="-2"/>
              <w:jc w:val="center"/>
              <w:rPr>
                <w:bCs/>
                <w:szCs w:val="22"/>
                <w:lang w:val="lt-LT"/>
              </w:rPr>
            </w:pPr>
            <w:r>
              <w:rPr>
                <w:bCs/>
                <w:szCs w:val="22"/>
                <w:lang w:val="lt-LT"/>
              </w:rPr>
              <w:t>11</w:t>
            </w:r>
          </w:p>
        </w:tc>
        <w:tc>
          <w:tcPr>
            <w:tcW w:w="1701" w:type="dxa"/>
          </w:tcPr>
          <w:p>
            <w:pPr>
              <w:keepNext/>
              <w:tabs>
                <w:tab w:val="clear" w:pos="567"/>
                <w:tab w:val="left" w:pos="720"/>
              </w:tabs>
              <w:spacing w:line="240" w:lineRule="auto"/>
              <w:ind w:right="-2"/>
              <w:jc w:val="center"/>
              <w:rPr>
                <w:bCs/>
                <w:szCs w:val="22"/>
                <w:lang w:val="lt-LT"/>
              </w:rPr>
            </w:pPr>
            <w:r>
              <w:rPr>
                <w:color w:val="000000"/>
                <w:szCs w:val="22"/>
                <w:lang w:val="lt-LT"/>
              </w:rPr>
              <w:t>1</w:t>
            </w:r>
          </w:p>
        </w:tc>
        <w:tc>
          <w:tcPr>
            <w:tcW w:w="1985" w:type="dxa"/>
          </w:tcPr>
          <w:p>
            <w:pPr>
              <w:keepNext/>
              <w:tabs>
                <w:tab w:val="clear" w:pos="567"/>
                <w:tab w:val="left" w:pos="720"/>
              </w:tabs>
              <w:spacing w:line="240" w:lineRule="auto"/>
              <w:ind w:right="-2"/>
              <w:jc w:val="center"/>
              <w:rPr>
                <w:bCs/>
                <w:szCs w:val="22"/>
                <w:lang w:val="lt-LT"/>
              </w:rPr>
            </w:pPr>
            <w:r>
              <w:rPr>
                <w:bCs/>
                <w:szCs w:val="22"/>
                <w:lang w:val="lt-LT"/>
              </w:rPr>
              <w:t>3,3</w:t>
            </w:r>
          </w:p>
        </w:tc>
        <w:tc>
          <w:tcPr>
            <w:tcW w:w="1842" w:type="dxa"/>
          </w:tcPr>
          <w:p>
            <w:pPr>
              <w:keepNext/>
              <w:tabs>
                <w:tab w:val="clear" w:pos="567"/>
                <w:tab w:val="left" w:pos="720"/>
              </w:tabs>
              <w:spacing w:line="240" w:lineRule="auto"/>
              <w:ind w:right="-2"/>
              <w:jc w:val="center"/>
              <w:rPr>
                <w:bCs/>
                <w:szCs w:val="22"/>
                <w:lang w:val="lt-LT"/>
              </w:rPr>
            </w:pPr>
            <w:r>
              <w:rPr>
                <w:color w:val="000000"/>
                <w:szCs w:val="22"/>
                <w:lang w:val="lt-LT"/>
              </w:rPr>
              <w:t>1</w:t>
            </w:r>
          </w:p>
        </w:tc>
        <w:tc>
          <w:tcPr>
            <w:tcW w:w="2262" w:type="dxa"/>
          </w:tcPr>
          <w:p>
            <w:pPr>
              <w:keepNext/>
              <w:tabs>
                <w:tab w:val="clear" w:pos="567"/>
                <w:tab w:val="left" w:pos="720"/>
              </w:tabs>
              <w:spacing w:line="240" w:lineRule="auto"/>
              <w:ind w:right="-2"/>
              <w:jc w:val="center"/>
              <w:rPr>
                <w:bCs/>
                <w:szCs w:val="22"/>
                <w:lang w:val="lt-LT"/>
              </w:rPr>
            </w:pPr>
            <w:r>
              <w:rPr>
                <w:color w:val="000000"/>
                <w:szCs w:val="22"/>
                <w:lang w:val="lt-LT"/>
              </w:rPr>
              <w:t>6,6</w:t>
            </w:r>
          </w:p>
        </w:tc>
      </w:tr>
      <w:tr>
        <w:tc>
          <w:tcPr>
            <w:tcW w:w="1271" w:type="dxa"/>
          </w:tcPr>
          <w:p>
            <w:pPr>
              <w:keepNext/>
              <w:tabs>
                <w:tab w:val="clear" w:pos="567"/>
                <w:tab w:val="left" w:pos="720"/>
              </w:tabs>
              <w:spacing w:line="240" w:lineRule="auto"/>
              <w:ind w:right="-2"/>
              <w:jc w:val="center"/>
              <w:rPr>
                <w:bCs/>
                <w:szCs w:val="22"/>
                <w:lang w:val="lt-LT"/>
              </w:rPr>
            </w:pPr>
            <w:r>
              <w:rPr>
                <w:bCs/>
                <w:szCs w:val="22"/>
                <w:lang w:val="lt-LT"/>
              </w:rPr>
              <w:t>12</w:t>
            </w:r>
          </w:p>
        </w:tc>
        <w:tc>
          <w:tcPr>
            <w:tcW w:w="1701" w:type="dxa"/>
          </w:tcPr>
          <w:p>
            <w:pPr>
              <w:keepNext/>
              <w:tabs>
                <w:tab w:val="clear" w:pos="567"/>
                <w:tab w:val="left" w:pos="720"/>
              </w:tabs>
              <w:spacing w:line="240" w:lineRule="auto"/>
              <w:ind w:right="-2"/>
              <w:jc w:val="center"/>
              <w:rPr>
                <w:bCs/>
                <w:szCs w:val="22"/>
                <w:lang w:val="lt-LT"/>
              </w:rPr>
            </w:pPr>
            <w:r>
              <w:rPr>
                <w:color w:val="000000"/>
                <w:szCs w:val="22"/>
                <w:lang w:val="lt-LT"/>
              </w:rPr>
              <w:t>1</w:t>
            </w:r>
          </w:p>
        </w:tc>
        <w:tc>
          <w:tcPr>
            <w:tcW w:w="1985" w:type="dxa"/>
          </w:tcPr>
          <w:p>
            <w:pPr>
              <w:keepNext/>
              <w:tabs>
                <w:tab w:val="clear" w:pos="567"/>
                <w:tab w:val="left" w:pos="720"/>
              </w:tabs>
              <w:spacing w:line="240" w:lineRule="auto"/>
              <w:ind w:right="-2"/>
              <w:jc w:val="center"/>
              <w:rPr>
                <w:bCs/>
                <w:szCs w:val="22"/>
                <w:lang w:val="lt-LT"/>
              </w:rPr>
            </w:pPr>
            <w:r>
              <w:rPr>
                <w:bCs/>
                <w:szCs w:val="22"/>
                <w:lang w:val="lt-LT"/>
              </w:rPr>
              <w:t>3,6</w:t>
            </w:r>
          </w:p>
        </w:tc>
        <w:tc>
          <w:tcPr>
            <w:tcW w:w="1842" w:type="dxa"/>
          </w:tcPr>
          <w:p>
            <w:pPr>
              <w:keepNext/>
              <w:tabs>
                <w:tab w:val="clear" w:pos="567"/>
                <w:tab w:val="left" w:pos="720"/>
              </w:tabs>
              <w:spacing w:line="240" w:lineRule="auto"/>
              <w:ind w:right="-2"/>
              <w:jc w:val="center"/>
              <w:rPr>
                <w:bCs/>
                <w:szCs w:val="22"/>
                <w:lang w:val="lt-LT"/>
              </w:rPr>
            </w:pPr>
            <w:r>
              <w:rPr>
                <w:color w:val="000000"/>
                <w:szCs w:val="22"/>
                <w:lang w:val="lt-LT"/>
              </w:rPr>
              <w:t>1</w:t>
            </w:r>
          </w:p>
        </w:tc>
        <w:tc>
          <w:tcPr>
            <w:tcW w:w="2262" w:type="dxa"/>
          </w:tcPr>
          <w:p>
            <w:pPr>
              <w:keepNext/>
              <w:tabs>
                <w:tab w:val="clear" w:pos="567"/>
                <w:tab w:val="left" w:pos="720"/>
              </w:tabs>
              <w:spacing w:line="240" w:lineRule="auto"/>
              <w:ind w:right="-2"/>
              <w:jc w:val="center"/>
              <w:rPr>
                <w:bCs/>
                <w:szCs w:val="22"/>
                <w:lang w:val="lt-LT"/>
              </w:rPr>
            </w:pPr>
            <w:r>
              <w:rPr>
                <w:color w:val="000000"/>
                <w:szCs w:val="22"/>
                <w:lang w:val="lt-LT"/>
              </w:rPr>
              <w:t>7,2</w:t>
            </w:r>
          </w:p>
        </w:tc>
      </w:tr>
      <w:tr>
        <w:tc>
          <w:tcPr>
            <w:tcW w:w="1271" w:type="dxa"/>
          </w:tcPr>
          <w:p>
            <w:pPr>
              <w:keepNext/>
              <w:tabs>
                <w:tab w:val="clear" w:pos="567"/>
                <w:tab w:val="left" w:pos="720"/>
              </w:tabs>
              <w:spacing w:line="240" w:lineRule="auto"/>
              <w:ind w:right="-2"/>
              <w:jc w:val="center"/>
              <w:rPr>
                <w:bCs/>
                <w:szCs w:val="22"/>
                <w:lang w:val="lt-LT"/>
              </w:rPr>
            </w:pPr>
            <w:r>
              <w:rPr>
                <w:bCs/>
                <w:szCs w:val="22"/>
                <w:lang w:val="lt-LT"/>
              </w:rPr>
              <w:t>13</w:t>
            </w:r>
          </w:p>
        </w:tc>
        <w:tc>
          <w:tcPr>
            <w:tcW w:w="1701" w:type="dxa"/>
          </w:tcPr>
          <w:p>
            <w:pPr>
              <w:keepNext/>
              <w:tabs>
                <w:tab w:val="clear" w:pos="567"/>
                <w:tab w:val="left" w:pos="720"/>
              </w:tabs>
              <w:spacing w:line="240" w:lineRule="auto"/>
              <w:ind w:right="-2"/>
              <w:jc w:val="center"/>
              <w:rPr>
                <w:bCs/>
                <w:szCs w:val="22"/>
                <w:lang w:val="lt-LT"/>
              </w:rPr>
            </w:pPr>
            <w:r>
              <w:rPr>
                <w:color w:val="000000"/>
                <w:szCs w:val="22"/>
                <w:lang w:val="lt-LT"/>
              </w:rPr>
              <w:t>1</w:t>
            </w:r>
          </w:p>
        </w:tc>
        <w:tc>
          <w:tcPr>
            <w:tcW w:w="1985" w:type="dxa"/>
          </w:tcPr>
          <w:p>
            <w:pPr>
              <w:keepNext/>
              <w:tabs>
                <w:tab w:val="clear" w:pos="567"/>
                <w:tab w:val="left" w:pos="720"/>
              </w:tabs>
              <w:spacing w:line="240" w:lineRule="auto"/>
              <w:ind w:right="-2"/>
              <w:jc w:val="center"/>
              <w:rPr>
                <w:bCs/>
                <w:szCs w:val="22"/>
                <w:lang w:val="lt-LT"/>
              </w:rPr>
            </w:pPr>
            <w:r>
              <w:rPr>
                <w:bCs/>
                <w:szCs w:val="22"/>
                <w:lang w:val="lt-LT"/>
              </w:rPr>
              <w:t>3,9</w:t>
            </w:r>
          </w:p>
        </w:tc>
        <w:tc>
          <w:tcPr>
            <w:tcW w:w="1842" w:type="dxa"/>
          </w:tcPr>
          <w:p>
            <w:pPr>
              <w:keepNext/>
              <w:tabs>
                <w:tab w:val="clear" w:pos="567"/>
                <w:tab w:val="left" w:pos="720"/>
              </w:tabs>
              <w:spacing w:line="240" w:lineRule="auto"/>
              <w:ind w:right="-2"/>
              <w:jc w:val="center"/>
              <w:rPr>
                <w:bCs/>
                <w:szCs w:val="22"/>
                <w:lang w:val="lt-LT"/>
              </w:rPr>
            </w:pPr>
            <w:r>
              <w:rPr>
                <w:color w:val="000000"/>
                <w:szCs w:val="22"/>
                <w:lang w:val="lt-LT"/>
              </w:rPr>
              <w:t>1</w:t>
            </w:r>
          </w:p>
        </w:tc>
        <w:tc>
          <w:tcPr>
            <w:tcW w:w="2262" w:type="dxa"/>
          </w:tcPr>
          <w:p>
            <w:pPr>
              <w:keepNext/>
              <w:tabs>
                <w:tab w:val="clear" w:pos="567"/>
                <w:tab w:val="left" w:pos="720"/>
              </w:tabs>
              <w:spacing w:line="240" w:lineRule="auto"/>
              <w:ind w:right="-2"/>
              <w:jc w:val="center"/>
              <w:rPr>
                <w:bCs/>
                <w:szCs w:val="22"/>
                <w:lang w:val="lt-LT"/>
              </w:rPr>
            </w:pPr>
            <w:r>
              <w:rPr>
                <w:color w:val="000000"/>
                <w:szCs w:val="22"/>
                <w:lang w:val="lt-LT"/>
              </w:rPr>
              <w:t>7,8</w:t>
            </w:r>
          </w:p>
        </w:tc>
      </w:tr>
      <w:tr>
        <w:tc>
          <w:tcPr>
            <w:tcW w:w="1271" w:type="dxa"/>
          </w:tcPr>
          <w:p>
            <w:pPr>
              <w:keepNext/>
              <w:tabs>
                <w:tab w:val="clear" w:pos="567"/>
                <w:tab w:val="left" w:pos="720"/>
              </w:tabs>
              <w:spacing w:line="240" w:lineRule="auto"/>
              <w:ind w:right="-2"/>
              <w:jc w:val="center"/>
              <w:rPr>
                <w:bCs/>
                <w:szCs w:val="22"/>
                <w:lang w:val="lt-LT"/>
              </w:rPr>
            </w:pPr>
            <w:r>
              <w:rPr>
                <w:bCs/>
                <w:szCs w:val="22"/>
                <w:lang w:val="lt-LT"/>
              </w:rPr>
              <w:t>14</w:t>
            </w:r>
          </w:p>
        </w:tc>
        <w:tc>
          <w:tcPr>
            <w:tcW w:w="1701" w:type="dxa"/>
          </w:tcPr>
          <w:p>
            <w:pPr>
              <w:keepNext/>
              <w:tabs>
                <w:tab w:val="clear" w:pos="567"/>
                <w:tab w:val="left" w:pos="720"/>
              </w:tabs>
              <w:spacing w:line="240" w:lineRule="auto"/>
              <w:ind w:right="-2"/>
              <w:jc w:val="center"/>
              <w:rPr>
                <w:bCs/>
                <w:szCs w:val="22"/>
                <w:lang w:val="lt-LT"/>
              </w:rPr>
            </w:pPr>
            <w:r>
              <w:rPr>
                <w:color w:val="000000"/>
                <w:szCs w:val="22"/>
                <w:lang w:val="lt-LT"/>
              </w:rPr>
              <w:t>1</w:t>
            </w:r>
          </w:p>
        </w:tc>
        <w:tc>
          <w:tcPr>
            <w:tcW w:w="1985" w:type="dxa"/>
          </w:tcPr>
          <w:p>
            <w:pPr>
              <w:keepNext/>
              <w:tabs>
                <w:tab w:val="clear" w:pos="567"/>
                <w:tab w:val="left" w:pos="720"/>
              </w:tabs>
              <w:spacing w:line="240" w:lineRule="auto"/>
              <w:ind w:right="-2"/>
              <w:jc w:val="center"/>
              <w:rPr>
                <w:bCs/>
                <w:szCs w:val="22"/>
                <w:lang w:val="lt-LT"/>
              </w:rPr>
            </w:pPr>
            <w:r>
              <w:rPr>
                <w:bCs/>
                <w:szCs w:val="22"/>
                <w:lang w:val="lt-LT"/>
              </w:rPr>
              <w:t>4,2</w:t>
            </w:r>
          </w:p>
        </w:tc>
        <w:tc>
          <w:tcPr>
            <w:tcW w:w="1842" w:type="dxa"/>
          </w:tcPr>
          <w:p>
            <w:pPr>
              <w:keepNext/>
              <w:tabs>
                <w:tab w:val="clear" w:pos="567"/>
                <w:tab w:val="left" w:pos="720"/>
              </w:tabs>
              <w:spacing w:line="240" w:lineRule="auto"/>
              <w:ind w:right="-2"/>
              <w:jc w:val="center"/>
              <w:rPr>
                <w:bCs/>
                <w:szCs w:val="22"/>
                <w:lang w:val="lt-LT"/>
              </w:rPr>
            </w:pPr>
            <w:r>
              <w:rPr>
                <w:color w:val="000000"/>
                <w:szCs w:val="22"/>
                <w:lang w:val="lt-LT"/>
              </w:rPr>
              <w:t>1</w:t>
            </w:r>
          </w:p>
        </w:tc>
        <w:tc>
          <w:tcPr>
            <w:tcW w:w="2262" w:type="dxa"/>
          </w:tcPr>
          <w:p>
            <w:pPr>
              <w:keepNext/>
              <w:tabs>
                <w:tab w:val="clear" w:pos="567"/>
                <w:tab w:val="left" w:pos="720"/>
              </w:tabs>
              <w:spacing w:line="240" w:lineRule="auto"/>
              <w:ind w:right="-2"/>
              <w:jc w:val="center"/>
              <w:rPr>
                <w:bCs/>
                <w:szCs w:val="22"/>
                <w:lang w:val="lt-LT"/>
              </w:rPr>
            </w:pPr>
            <w:r>
              <w:rPr>
                <w:color w:val="000000"/>
                <w:szCs w:val="22"/>
                <w:lang w:val="lt-LT"/>
              </w:rPr>
              <w:t>8,4</w:t>
            </w:r>
          </w:p>
        </w:tc>
      </w:tr>
      <w:tr>
        <w:tc>
          <w:tcPr>
            <w:tcW w:w="1271" w:type="dxa"/>
          </w:tcPr>
          <w:p>
            <w:pPr>
              <w:keepNext/>
              <w:tabs>
                <w:tab w:val="clear" w:pos="567"/>
                <w:tab w:val="left" w:pos="720"/>
              </w:tabs>
              <w:spacing w:line="240" w:lineRule="auto"/>
              <w:ind w:right="-2"/>
              <w:jc w:val="center"/>
              <w:rPr>
                <w:bCs/>
                <w:szCs w:val="22"/>
                <w:lang w:val="lt-LT"/>
              </w:rPr>
            </w:pPr>
            <w:r>
              <w:rPr>
                <w:bCs/>
                <w:szCs w:val="22"/>
                <w:lang w:val="lt-LT"/>
              </w:rPr>
              <w:t>15</w:t>
            </w:r>
          </w:p>
        </w:tc>
        <w:tc>
          <w:tcPr>
            <w:tcW w:w="1701" w:type="dxa"/>
          </w:tcPr>
          <w:p>
            <w:pPr>
              <w:keepNext/>
              <w:tabs>
                <w:tab w:val="clear" w:pos="567"/>
                <w:tab w:val="left" w:pos="720"/>
              </w:tabs>
              <w:spacing w:line="240" w:lineRule="auto"/>
              <w:ind w:right="-2"/>
              <w:jc w:val="center"/>
              <w:rPr>
                <w:bCs/>
                <w:szCs w:val="22"/>
                <w:lang w:val="lt-LT"/>
              </w:rPr>
            </w:pPr>
            <w:r>
              <w:rPr>
                <w:color w:val="000000"/>
                <w:szCs w:val="22"/>
                <w:lang w:val="lt-LT"/>
              </w:rPr>
              <w:t>1</w:t>
            </w:r>
          </w:p>
        </w:tc>
        <w:tc>
          <w:tcPr>
            <w:tcW w:w="1985" w:type="dxa"/>
          </w:tcPr>
          <w:p>
            <w:pPr>
              <w:keepNext/>
              <w:tabs>
                <w:tab w:val="clear" w:pos="567"/>
                <w:tab w:val="left" w:pos="720"/>
              </w:tabs>
              <w:spacing w:line="240" w:lineRule="auto"/>
              <w:ind w:right="-2"/>
              <w:jc w:val="center"/>
              <w:rPr>
                <w:bCs/>
                <w:szCs w:val="22"/>
                <w:lang w:val="lt-LT"/>
              </w:rPr>
            </w:pPr>
            <w:r>
              <w:rPr>
                <w:bCs/>
                <w:szCs w:val="22"/>
                <w:lang w:val="lt-LT"/>
              </w:rPr>
              <w:t>4,5</w:t>
            </w:r>
          </w:p>
        </w:tc>
        <w:tc>
          <w:tcPr>
            <w:tcW w:w="1842" w:type="dxa"/>
          </w:tcPr>
          <w:p>
            <w:pPr>
              <w:keepNext/>
              <w:tabs>
                <w:tab w:val="clear" w:pos="567"/>
                <w:tab w:val="left" w:pos="720"/>
              </w:tabs>
              <w:spacing w:line="240" w:lineRule="auto"/>
              <w:ind w:right="-2"/>
              <w:jc w:val="center"/>
              <w:rPr>
                <w:bCs/>
                <w:szCs w:val="22"/>
                <w:lang w:val="lt-LT"/>
              </w:rPr>
            </w:pPr>
            <w:r>
              <w:rPr>
                <w:color w:val="000000"/>
                <w:szCs w:val="22"/>
                <w:lang w:val="lt-LT"/>
              </w:rPr>
              <w:t>1</w:t>
            </w:r>
          </w:p>
        </w:tc>
        <w:tc>
          <w:tcPr>
            <w:tcW w:w="2262" w:type="dxa"/>
          </w:tcPr>
          <w:p>
            <w:pPr>
              <w:keepNext/>
              <w:tabs>
                <w:tab w:val="clear" w:pos="567"/>
                <w:tab w:val="left" w:pos="720"/>
              </w:tabs>
              <w:spacing w:line="240" w:lineRule="auto"/>
              <w:ind w:right="-2"/>
              <w:jc w:val="center"/>
              <w:rPr>
                <w:bCs/>
                <w:szCs w:val="22"/>
                <w:lang w:val="lt-LT"/>
              </w:rPr>
            </w:pPr>
            <w:r>
              <w:rPr>
                <w:color w:val="000000"/>
                <w:szCs w:val="22"/>
                <w:lang w:val="lt-LT"/>
              </w:rPr>
              <w:t>9</w:t>
            </w:r>
          </w:p>
        </w:tc>
      </w:tr>
      <w:tr>
        <w:tc>
          <w:tcPr>
            <w:tcW w:w="1271" w:type="dxa"/>
          </w:tcPr>
          <w:p>
            <w:pPr>
              <w:keepNext/>
              <w:tabs>
                <w:tab w:val="clear" w:pos="567"/>
                <w:tab w:val="left" w:pos="720"/>
              </w:tabs>
              <w:spacing w:line="240" w:lineRule="auto"/>
              <w:ind w:right="-2"/>
              <w:jc w:val="center"/>
              <w:rPr>
                <w:bCs/>
                <w:szCs w:val="22"/>
                <w:lang w:val="lt-LT"/>
              </w:rPr>
            </w:pPr>
            <w:r>
              <w:rPr>
                <w:bCs/>
                <w:szCs w:val="22"/>
                <w:lang w:val="lt-LT"/>
              </w:rPr>
              <w:t>16</w:t>
            </w:r>
          </w:p>
        </w:tc>
        <w:tc>
          <w:tcPr>
            <w:tcW w:w="1701" w:type="dxa"/>
          </w:tcPr>
          <w:p>
            <w:pPr>
              <w:keepNext/>
              <w:tabs>
                <w:tab w:val="clear" w:pos="567"/>
                <w:tab w:val="left" w:pos="720"/>
              </w:tabs>
              <w:spacing w:line="240" w:lineRule="auto"/>
              <w:ind w:right="-2"/>
              <w:jc w:val="center"/>
              <w:rPr>
                <w:bCs/>
                <w:szCs w:val="22"/>
                <w:lang w:val="lt-LT"/>
              </w:rPr>
            </w:pPr>
            <w:r>
              <w:rPr>
                <w:color w:val="000000"/>
                <w:szCs w:val="22"/>
                <w:lang w:val="lt-LT"/>
              </w:rPr>
              <w:t>1</w:t>
            </w:r>
          </w:p>
        </w:tc>
        <w:tc>
          <w:tcPr>
            <w:tcW w:w="1985" w:type="dxa"/>
          </w:tcPr>
          <w:p>
            <w:pPr>
              <w:keepNext/>
              <w:tabs>
                <w:tab w:val="clear" w:pos="567"/>
                <w:tab w:val="left" w:pos="720"/>
              </w:tabs>
              <w:spacing w:line="240" w:lineRule="auto"/>
              <w:ind w:right="-2"/>
              <w:jc w:val="center"/>
              <w:rPr>
                <w:bCs/>
                <w:szCs w:val="22"/>
                <w:lang w:val="lt-LT"/>
              </w:rPr>
            </w:pPr>
            <w:r>
              <w:rPr>
                <w:bCs/>
                <w:szCs w:val="22"/>
                <w:lang w:val="lt-LT"/>
              </w:rPr>
              <w:t>4,8</w:t>
            </w:r>
          </w:p>
        </w:tc>
        <w:tc>
          <w:tcPr>
            <w:tcW w:w="1842" w:type="dxa"/>
          </w:tcPr>
          <w:p>
            <w:pPr>
              <w:keepNext/>
              <w:tabs>
                <w:tab w:val="clear" w:pos="567"/>
                <w:tab w:val="left" w:pos="720"/>
              </w:tabs>
              <w:spacing w:line="240" w:lineRule="auto"/>
              <w:ind w:right="-2"/>
              <w:jc w:val="center"/>
              <w:rPr>
                <w:bCs/>
                <w:szCs w:val="22"/>
                <w:lang w:val="lt-LT"/>
              </w:rPr>
            </w:pPr>
            <w:r>
              <w:rPr>
                <w:color w:val="000000"/>
                <w:szCs w:val="22"/>
                <w:lang w:val="lt-LT"/>
              </w:rPr>
              <w:t>1</w:t>
            </w:r>
          </w:p>
        </w:tc>
        <w:tc>
          <w:tcPr>
            <w:tcW w:w="2262" w:type="dxa"/>
          </w:tcPr>
          <w:p>
            <w:pPr>
              <w:keepNext/>
              <w:tabs>
                <w:tab w:val="clear" w:pos="567"/>
                <w:tab w:val="left" w:pos="720"/>
              </w:tabs>
              <w:spacing w:line="240" w:lineRule="auto"/>
              <w:ind w:right="-2"/>
              <w:jc w:val="center"/>
              <w:rPr>
                <w:bCs/>
                <w:szCs w:val="22"/>
                <w:lang w:val="lt-LT"/>
              </w:rPr>
            </w:pPr>
            <w:r>
              <w:rPr>
                <w:color w:val="000000"/>
                <w:szCs w:val="22"/>
                <w:lang w:val="lt-LT"/>
              </w:rPr>
              <w:t>9,6</w:t>
            </w:r>
          </w:p>
        </w:tc>
      </w:tr>
    </w:tbl>
    <w:p>
      <w:pPr>
        <w:tabs>
          <w:tab w:val="clear" w:pos="567"/>
          <w:tab w:val="left" w:pos="720"/>
        </w:tabs>
        <w:spacing w:line="240" w:lineRule="auto"/>
        <w:ind w:right="-2"/>
        <w:rPr>
          <w:bCs/>
          <w:szCs w:val="22"/>
          <w:lang w:val="lt-LT"/>
        </w:rPr>
      </w:pPr>
    </w:p>
    <w:p>
      <w:pPr>
        <w:keepNext/>
        <w:spacing w:line="240" w:lineRule="auto"/>
        <w:rPr>
          <w:b/>
          <w:szCs w:val="22"/>
          <w:lang w:val="lt-LT"/>
        </w:rPr>
      </w:pPr>
      <w:r>
        <w:rPr>
          <w:b/>
          <w:bCs/>
          <w:szCs w:val="22"/>
          <w:lang w:val="lt-LT"/>
        </w:rPr>
        <w:t>2.</w:t>
      </w:r>
      <w:r>
        <w:rPr>
          <w:b/>
          <w:bCs/>
          <w:szCs w:val="22"/>
          <w:lang w:val="lt-LT"/>
        </w:rPr>
        <w:tab/>
        <w:t>Vaikams nuo 12 mėnesių iki mažiau nei 2 metų ir sveriantiems 16 kg ar mažiau (žr. 2 lentelę)</w:t>
      </w:r>
      <w:r>
        <w:rPr>
          <w:b/>
          <w:szCs w:val="22"/>
          <w:lang w:val="lt-LT"/>
        </w:rPr>
        <w:fldChar w:fldCharType="begin"/>
      </w:r>
      <w:r>
        <w:rPr>
          <w:b/>
          <w:szCs w:val="22"/>
          <w:lang w:val="lt-LT"/>
        </w:rPr>
        <w:instrText xml:space="preserve"> DOCVARIABLE vault_nd_79d8a3fc-714e-44ec-acac-64568405e108 </w:instrText>
      </w:r>
      <w:r>
        <w:rPr>
          <w:b/>
          <w:szCs w:val="22"/>
          <w:lang w:val="lt-LT"/>
        </w:rPr>
        <w:fldChar w:fldCharType="separate"/>
      </w:r>
      <w:r>
        <w:rPr>
          <w:b/>
          <w:szCs w:val="22"/>
          <w:lang w:val="lt-LT"/>
        </w:rPr>
        <w:t xml:space="preserve"> </w:t>
      </w:r>
      <w:r>
        <w:rPr>
          <w:b/>
          <w:szCs w:val="22"/>
          <w:lang w:val="lt-LT"/>
        </w:rPr>
        <w:fldChar w:fldCharType="end"/>
      </w:r>
    </w:p>
    <w:p>
      <w:pPr>
        <w:pStyle w:val="ListParagraph"/>
        <w:numPr>
          <w:ilvl w:val="0"/>
          <w:numId w:val="6"/>
        </w:numPr>
        <w:tabs>
          <w:tab w:val="clear" w:pos="567"/>
        </w:tabs>
        <w:spacing w:line="240" w:lineRule="auto"/>
        <w:ind w:left="567" w:hanging="567"/>
        <w:rPr>
          <w:bCs/>
          <w:szCs w:val="22"/>
          <w:lang w:val="lt-LT"/>
        </w:rPr>
      </w:pPr>
      <w:r>
        <w:rPr>
          <w:bCs/>
          <w:szCs w:val="22"/>
          <w:lang w:val="lt-LT"/>
        </w:rPr>
        <w:t>Šį vaistą vartokite tiksliai kaip nurodė gydytojas, laikydamiesi Jums paskirtos dozės.</w:t>
      </w:r>
    </w:p>
    <w:p>
      <w:pPr>
        <w:pStyle w:val="ListParagraph"/>
        <w:numPr>
          <w:ilvl w:val="0"/>
          <w:numId w:val="6"/>
        </w:numPr>
        <w:tabs>
          <w:tab w:val="clear" w:pos="567"/>
        </w:tabs>
        <w:spacing w:line="240" w:lineRule="auto"/>
        <w:ind w:left="567" w:hanging="567"/>
        <w:rPr>
          <w:bCs/>
          <w:szCs w:val="22"/>
          <w:lang w:val="lt-LT"/>
        </w:rPr>
      </w:pPr>
      <w:r>
        <w:rPr>
          <w:bCs/>
          <w:szCs w:val="22"/>
          <w:lang w:val="lt-LT"/>
        </w:rPr>
        <w:t>Prieš atidarydami Sephience geriamųjų miltelių paketėlį (-ius), papurtykite arba pastuksenkite jį (juos) ant kieto paviršiaus, kad įsitikintumėte, jog milteliai yra apačioje.</w:t>
      </w:r>
      <w:r>
        <w:rPr>
          <w:bCs/>
          <w:szCs w:val="22"/>
          <w:lang w:val="lt-LT"/>
        </w:rPr>
        <w:fldChar w:fldCharType="begin"/>
      </w:r>
      <w:r>
        <w:rPr>
          <w:bCs/>
          <w:szCs w:val="22"/>
          <w:lang w:val="lt-LT"/>
        </w:rPr>
        <w:instrText xml:space="preserve"> DOCVARIABLE vault_nd_0bedb060-8d06-4eb1-a306-1c002d7844a3 </w:instrText>
      </w:r>
      <w:r>
        <w:rPr>
          <w:bCs/>
          <w:szCs w:val="22"/>
          <w:lang w:val="lt-LT"/>
        </w:rPr>
        <w:fldChar w:fldCharType="separate"/>
      </w:r>
      <w:r>
        <w:rPr>
          <w:bCs/>
          <w:szCs w:val="22"/>
          <w:lang w:val="lt-LT"/>
        </w:rPr>
        <w:t xml:space="preserve"> </w:t>
      </w:r>
      <w:r>
        <w:rPr>
          <w:bCs/>
          <w:szCs w:val="22"/>
          <w:lang w:val="lt-LT"/>
        </w:rPr>
        <w:fldChar w:fldCharType="end"/>
      </w:r>
    </w:p>
    <w:p>
      <w:pPr>
        <w:pStyle w:val="ListParagraph"/>
        <w:numPr>
          <w:ilvl w:val="0"/>
          <w:numId w:val="6"/>
        </w:numPr>
        <w:tabs>
          <w:tab w:val="clear" w:pos="567"/>
        </w:tabs>
        <w:spacing w:line="240" w:lineRule="auto"/>
        <w:ind w:left="567" w:hanging="567"/>
        <w:rPr>
          <w:bCs/>
          <w:szCs w:val="22"/>
          <w:lang w:val="lt-LT"/>
        </w:rPr>
      </w:pPr>
      <w:bookmarkStart w:id="13" w:name="_Hlk181907818"/>
      <w:r>
        <w:rPr>
          <w:bCs/>
          <w:szCs w:val="22"/>
          <w:lang w:val="lt-LT"/>
        </w:rPr>
        <w:t>Atidarykite Sephience geriamųjų miltelių paketėlį (-ius), atsargiai nuplėšdami arba nukirpdami paketėlio viršų.</w:t>
      </w:r>
      <w:r>
        <w:rPr>
          <w:bCs/>
          <w:szCs w:val="22"/>
          <w:lang w:val="lt-LT"/>
        </w:rPr>
        <w:fldChar w:fldCharType="begin"/>
      </w:r>
      <w:r>
        <w:rPr>
          <w:bCs/>
          <w:szCs w:val="22"/>
          <w:lang w:val="lt-LT"/>
        </w:rPr>
        <w:instrText xml:space="preserve"> DOCVARIABLE vault_nd_ce687b3b-003c-44b6-8bf4-bf49ce71c655 </w:instrText>
      </w:r>
      <w:r>
        <w:rPr>
          <w:bCs/>
          <w:szCs w:val="22"/>
          <w:lang w:val="lt-LT"/>
        </w:rPr>
        <w:fldChar w:fldCharType="separate"/>
      </w:r>
      <w:r>
        <w:rPr>
          <w:bCs/>
          <w:szCs w:val="22"/>
          <w:lang w:val="lt-LT"/>
        </w:rPr>
        <w:t xml:space="preserve"> </w:t>
      </w:r>
      <w:r>
        <w:rPr>
          <w:bCs/>
          <w:szCs w:val="22"/>
          <w:lang w:val="lt-LT"/>
        </w:rPr>
        <w:fldChar w:fldCharType="end"/>
      </w:r>
      <w:bookmarkEnd w:id="13"/>
    </w:p>
    <w:p>
      <w:pPr>
        <w:pStyle w:val="ListParagraph"/>
        <w:numPr>
          <w:ilvl w:val="0"/>
          <w:numId w:val="6"/>
        </w:numPr>
        <w:tabs>
          <w:tab w:val="clear" w:pos="567"/>
        </w:tabs>
        <w:spacing w:line="240" w:lineRule="auto"/>
        <w:ind w:left="567" w:hanging="567"/>
        <w:rPr>
          <w:bCs/>
          <w:szCs w:val="22"/>
          <w:lang w:val="lt-LT"/>
        </w:rPr>
      </w:pPr>
      <w:r>
        <w:rPr>
          <w:bCs/>
          <w:szCs w:val="22"/>
          <w:lang w:val="lt-LT"/>
        </w:rPr>
        <w:t>Kiekvieną</w:t>
      </w:r>
      <w:r>
        <w:rPr>
          <w:b/>
          <w:bCs/>
          <w:szCs w:val="22"/>
          <w:lang w:val="lt-LT"/>
        </w:rPr>
        <w:t xml:space="preserve"> </w:t>
      </w:r>
      <w:r>
        <w:rPr>
          <w:szCs w:val="22"/>
          <w:lang w:val="lt-LT"/>
        </w:rPr>
        <w:t>250 mg paketėlį (žr. 2 lentelę)</w:t>
      </w:r>
      <w:r>
        <w:rPr>
          <w:b/>
          <w:bCs/>
          <w:szCs w:val="22"/>
          <w:lang w:val="lt-LT"/>
        </w:rPr>
        <w:t xml:space="preserve"> </w:t>
      </w:r>
      <w:r>
        <w:rPr>
          <w:szCs w:val="22"/>
          <w:lang w:val="lt-LT"/>
        </w:rPr>
        <w:t xml:space="preserve">sumaišykite su </w:t>
      </w:r>
      <w:r>
        <w:rPr>
          <w:b/>
          <w:bCs/>
          <w:szCs w:val="22"/>
          <w:lang w:val="lt-LT"/>
        </w:rPr>
        <w:t>9 ml</w:t>
      </w:r>
      <w:r>
        <w:rPr>
          <w:szCs w:val="22"/>
          <w:lang w:val="lt-LT"/>
        </w:rPr>
        <w:t xml:space="preserve"> vandens arba obuolių sulčių. </w:t>
      </w:r>
      <w:r>
        <w:rPr>
          <w:bCs/>
          <w:szCs w:val="22"/>
          <w:lang w:val="lt-LT"/>
        </w:rPr>
        <w:t>Kai rekomenduojama vartoti daugiau kaip vieną paketėlį, jų turinys gali būti sumaišytas su atitinkamu vandens arba obuolių sulčių kiekiu (pvz., du 250 mg paketėliai sumaišomi su 18 ml vandens arba obuolių sulčių).</w:t>
      </w:r>
    </w:p>
    <w:p>
      <w:pPr>
        <w:pStyle w:val="ListParagraph"/>
        <w:numPr>
          <w:ilvl w:val="0"/>
          <w:numId w:val="6"/>
        </w:numPr>
        <w:tabs>
          <w:tab w:val="clear" w:pos="567"/>
        </w:tabs>
        <w:spacing w:line="240" w:lineRule="auto"/>
        <w:ind w:left="567" w:hanging="567"/>
        <w:rPr>
          <w:bCs/>
          <w:szCs w:val="22"/>
          <w:lang w:val="lt-LT"/>
        </w:rPr>
      </w:pPr>
      <w:r>
        <w:rPr>
          <w:bCs/>
          <w:szCs w:val="22"/>
          <w:lang w:val="lt-LT"/>
        </w:rPr>
        <w:t>Gerai maišykite bent 30 sekundžių ar ilgiau, kol mišinyje neliks gumulėlių.</w:t>
      </w:r>
      <w:r>
        <w:rPr>
          <w:bCs/>
          <w:szCs w:val="22"/>
          <w:lang w:val="lt-LT"/>
        </w:rPr>
        <w:fldChar w:fldCharType="begin"/>
      </w:r>
      <w:r>
        <w:rPr>
          <w:bCs/>
          <w:szCs w:val="22"/>
          <w:lang w:val="lt-LT"/>
        </w:rPr>
        <w:instrText xml:space="preserve"> DOCVARIABLE vault_nd_d8b01cfb-cc5c-4ca2-ab1d-76ecf4778598 </w:instrText>
      </w:r>
      <w:r>
        <w:rPr>
          <w:bCs/>
          <w:szCs w:val="22"/>
          <w:lang w:val="lt-LT"/>
        </w:rPr>
        <w:fldChar w:fldCharType="separate"/>
      </w:r>
      <w:r>
        <w:rPr>
          <w:bCs/>
          <w:szCs w:val="22"/>
          <w:lang w:val="lt-LT"/>
        </w:rPr>
        <w:t xml:space="preserve"> </w:t>
      </w:r>
      <w:r>
        <w:rPr>
          <w:bCs/>
          <w:szCs w:val="22"/>
          <w:lang w:val="lt-LT"/>
        </w:rPr>
        <w:fldChar w:fldCharType="end"/>
      </w:r>
    </w:p>
    <w:p>
      <w:pPr>
        <w:pStyle w:val="ListParagraph"/>
        <w:numPr>
          <w:ilvl w:val="0"/>
          <w:numId w:val="6"/>
        </w:numPr>
        <w:tabs>
          <w:tab w:val="clear" w:pos="567"/>
        </w:tabs>
        <w:spacing w:line="240" w:lineRule="auto"/>
        <w:ind w:left="567" w:hanging="567"/>
        <w:rPr>
          <w:bCs/>
          <w:szCs w:val="22"/>
          <w:lang w:val="lt-LT"/>
        </w:rPr>
      </w:pPr>
      <w:r>
        <w:rPr>
          <w:bCs/>
          <w:szCs w:val="22"/>
          <w:lang w:val="lt-LT"/>
        </w:rPr>
        <w:t>Sumaišius, dozę reikia suvartoti nedelsiant; jei ne, mišinį galima laikyti iki 24 valandų šaldytuve (nuo 2 °C iki 8 °C) arba 6 valandas laikant žemesnėje kaip 25 °C temperatūroje.</w:t>
      </w:r>
      <w:r>
        <w:rPr>
          <w:bCs/>
          <w:szCs w:val="22"/>
          <w:lang w:val="lt-LT"/>
        </w:rPr>
        <w:fldChar w:fldCharType="begin"/>
      </w:r>
      <w:r>
        <w:rPr>
          <w:bCs/>
          <w:szCs w:val="22"/>
          <w:lang w:val="lt-LT"/>
        </w:rPr>
        <w:instrText xml:space="preserve"> DOCVARIABLE vault_nd_3bfec7f3-6082-4924-a965-c418fe76f9dd </w:instrText>
      </w:r>
      <w:r>
        <w:rPr>
          <w:bCs/>
          <w:szCs w:val="22"/>
          <w:lang w:val="lt-LT"/>
        </w:rPr>
        <w:fldChar w:fldCharType="separate"/>
      </w:r>
      <w:r>
        <w:rPr>
          <w:bCs/>
          <w:szCs w:val="22"/>
          <w:lang w:val="lt-LT"/>
        </w:rPr>
        <w:t xml:space="preserve"> </w:t>
      </w:r>
      <w:r>
        <w:rPr>
          <w:bCs/>
          <w:szCs w:val="22"/>
          <w:lang w:val="lt-LT"/>
        </w:rPr>
        <w:fldChar w:fldCharType="end"/>
      </w:r>
    </w:p>
    <w:p>
      <w:pPr>
        <w:pStyle w:val="ListParagraph"/>
        <w:numPr>
          <w:ilvl w:val="0"/>
          <w:numId w:val="6"/>
        </w:numPr>
        <w:tabs>
          <w:tab w:val="clear" w:pos="567"/>
        </w:tabs>
        <w:spacing w:line="240" w:lineRule="auto"/>
        <w:ind w:left="567" w:hanging="567"/>
        <w:rPr>
          <w:bCs/>
          <w:szCs w:val="22"/>
          <w:lang w:val="lt-LT"/>
        </w:rPr>
      </w:pPr>
      <w:r>
        <w:rPr>
          <w:bCs/>
          <w:szCs w:val="22"/>
          <w:lang w:val="lt-LT"/>
        </w:rPr>
        <w:t>Jei ne iš karto suvartojama, mišinį prieš pat vartojimą reikia vėl maišyti mažiausiai 30 sekundžių ar ilgiau, kad neliktų gumulėlių.</w:t>
      </w:r>
      <w:r>
        <w:rPr>
          <w:bCs/>
          <w:szCs w:val="22"/>
          <w:lang w:val="lt-LT"/>
        </w:rPr>
        <w:fldChar w:fldCharType="begin"/>
      </w:r>
      <w:r>
        <w:rPr>
          <w:bCs/>
          <w:szCs w:val="22"/>
          <w:lang w:val="lt-LT"/>
        </w:rPr>
        <w:instrText xml:space="preserve"> DOCVARIABLE vault_nd_5094f12d-0b8f-4fa8-a6af-3720880da6aa </w:instrText>
      </w:r>
      <w:r>
        <w:rPr>
          <w:bCs/>
          <w:szCs w:val="22"/>
          <w:lang w:val="lt-LT"/>
        </w:rPr>
        <w:fldChar w:fldCharType="separate"/>
      </w:r>
      <w:r>
        <w:rPr>
          <w:bCs/>
          <w:szCs w:val="22"/>
          <w:lang w:val="lt-LT"/>
        </w:rPr>
        <w:t xml:space="preserve"> </w:t>
      </w:r>
      <w:r>
        <w:rPr>
          <w:bCs/>
          <w:szCs w:val="22"/>
          <w:lang w:val="lt-LT"/>
        </w:rPr>
        <w:fldChar w:fldCharType="end"/>
      </w:r>
    </w:p>
    <w:p>
      <w:pPr>
        <w:pStyle w:val="ListParagraph"/>
        <w:numPr>
          <w:ilvl w:val="0"/>
          <w:numId w:val="6"/>
        </w:numPr>
        <w:tabs>
          <w:tab w:val="clear" w:pos="567"/>
        </w:tabs>
        <w:spacing w:line="240" w:lineRule="auto"/>
        <w:ind w:left="567" w:hanging="567"/>
        <w:rPr>
          <w:bCs/>
          <w:szCs w:val="22"/>
          <w:lang w:val="lt-LT"/>
        </w:rPr>
      </w:pPr>
      <w:r>
        <w:rPr>
          <w:bCs/>
          <w:szCs w:val="22"/>
          <w:lang w:val="lt-LT"/>
        </w:rPr>
        <w:t>Reikiamą dozę (žr. 2 lentelę) suleiskite į burną švirkštu arba per enterinio maitinimo vamzdelį.</w:t>
      </w:r>
      <w:r>
        <w:rPr>
          <w:szCs w:val="22"/>
          <w:lang w:val="lt-LT"/>
        </w:rPr>
        <w:fldChar w:fldCharType="begin"/>
      </w:r>
      <w:r>
        <w:rPr>
          <w:szCs w:val="22"/>
          <w:lang w:val="lt-LT"/>
        </w:rPr>
        <w:instrText xml:space="preserve"> DOCVARIABLE vault_nd_feed98ae-9eb3-4cac-bd12-1b5a0607151d </w:instrText>
      </w:r>
      <w:r>
        <w:rPr>
          <w:szCs w:val="22"/>
          <w:lang w:val="lt-LT"/>
        </w:rPr>
        <w:fldChar w:fldCharType="separate"/>
      </w:r>
      <w:r>
        <w:rPr>
          <w:szCs w:val="22"/>
          <w:lang w:val="lt-LT"/>
        </w:rPr>
        <w:t xml:space="preserve"> </w:t>
      </w:r>
      <w:r>
        <w:rPr>
          <w:szCs w:val="22"/>
          <w:lang w:val="lt-LT"/>
        </w:rPr>
        <w:fldChar w:fldCharType="end"/>
      </w:r>
    </w:p>
    <w:p>
      <w:pPr>
        <w:pStyle w:val="ListParagraph"/>
        <w:numPr>
          <w:ilvl w:val="0"/>
          <w:numId w:val="6"/>
        </w:numPr>
        <w:tabs>
          <w:tab w:val="clear" w:pos="567"/>
        </w:tabs>
        <w:spacing w:line="240" w:lineRule="auto"/>
        <w:ind w:left="567" w:hanging="567"/>
        <w:rPr>
          <w:b/>
          <w:szCs w:val="22"/>
          <w:lang w:val="lt-LT"/>
        </w:rPr>
      </w:pPr>
      <w:r>
        <w:rPr>
          <w:szCs w:val="22"/>
          <w:lang w:val="lt-LT"/>
        </w:rPr>
        <w:t>Išplaukite švirkštą papildomu vandens arba obuolių sulčių kiekiu (ne mažiau kaip 15 ml) ir nurykite turinį, kad tikrai būtų suvartota visa dozė.</w:t>
      </w:r>
      <w:r>
        <w:rPr>
          <w:szCs w:val="22"/>
          <w:lang w:val="lt-LT"/>
        </w:rPr>
        <w:fldChar w:fldCharType="begin"/>
      </w:r>
      <w:r>
        <w:rPr>
          <w:szCs w:val="22"/>
          <w:lang w:val="lt-LT"/>
        </w:rPr>
        <w:instrText xml:space="preserve"> DOCVARIABLE vault_nd_8f623a90-6884-4606-86c5-63beed09a71b </w:instrText>
      </w:r>
      <w:r>
        <w:rPr>
          <w:szCs w:val="22"/>
          <w:lang w:val="lt-LT"/>
        </w:rPr>
        <w:fldChar w:fldCharType="separate"/>
      </w:r>
      <w:r>
        <w:rPr>
          <w:szCs w:val="22"/>
          <w:lang w:val="lt-LT"/>
        </w:rPr>
        <w:t xml:space="preserve"> </w:t>
      </w:r>
      <w:r>
        <w:rPr>
          <w:szCs w:val="22"/>
          <w:lang w:val="lt-LT"/>
        </w:rPr>
        <w:fldChar w:fldCharType="end"/>
      </w:r>
    </w:p>
    <w:p>
      <w:pPr>
        <w:tabs>
          <w:tab w:val="clear" w:pos="567"/>
          <w:tab w:val="left" w:pos="720"/>
        </w:tabs>
        <w:spacing w:line="240" w:lineRule="auto"/>
        <w:ind w:right="-2"/>
        <w:rPr>
          <w:b/>
          <w:szCs w:val="22"/>
          <w:lang w:val="lt-LT"/>
        </w:rPr>
      </w:pPr>
    </w:p>
    <w:p>
      <w:pPr>
        <w:tabs>
          <w:tab w:val="clear" w:pos="567"/>
          <w:tab w:val="left" w:pos="720"/>
        </w:tabs>
        <w:spacing w:line="240" w:lineRule="auto"/>
        <w:ind w:right="-2"/>
        <w:rPr>
          <w:b/>
          <w:szCs w:val="22"/>
          <w:lang w:val="lt-LT"/>
        </w:rPr>
      </w:pPr>
      <w:r>
        <w:rPr>
          <w:b/>
          <w:bCs/>
          <w:szCs w:val="22"/>
          <w:lang w:val="lt-LT"/>
        </w:rPr>
        <w:t>2 lentelė. Kaip apskaičiuoti dozę vaikams nuo 12 mėnesių iki mažiau nei 2 metų pagal kūno svorį</w:t>
      </w:r>
      <w:r>
        <w:rPr>
          <w:b/>
          <w:szCs w:val="22"/>
          <w:lang w:val="lt-LT"/>
        </w:rPr>
        <w:fldChar w:fldCharType="begin"/>
      </w:r>
      <w:r>
        <w:rPr>
          <w:b/>
          <w:szCs w:val="22"/>
          <w:lang w:val="lt-LT"/>
        </w:rPr>
        <w:instrText xml:space="preserve"> DOCVARIABLE vault_nd_84346f5d-e4a6-4829-8497-797e2fb9c725 </w:instrText>
      </w:r>
      <w:r>
        <w:rPr>
          <w:b/>
          <w:szCs w:val="22"/>
          <w:lang w:val="lt-LT"/>
        </w:rPr>
        <w:fldChar w:fldCharType="separate"/>
      </w:r>
      <w:r>
        <w:rPr>
          <w:b/>
          <w:szCs w:val="22"/>
          <w:lang w:val="lt-LT"/>
        </w:rPr>
        <w:t xml:space="preserve"> </w:t>
      </w:r>
      <w:r>
        <w:rPr>
          <w:b/>
          <w:szCs w:val="22"/>
          <w:lang w:val="lt-LT"/>
        </w:rPr>
        <w:fldChar w:fldCharType="end"/>
      </w:r>
    </w:p>
    <w:tbl>
      <w:tblPr>
        <w:tblStyle w:val="TableGrid"/>
        <w:tblW w:w="9209" w:type="dxa"/>
        <w:tblLayout w:type="fixed"/>
        <w:tblLook w:val="04A0" w:firstRow="1" w:lastRow="0" w:firstColumn="1" w:lastColumn="0" w:noHBand="0" w:noVBand="1"/>
      </w:tblPr>
      <w:tblGrid>
        <w:gridCol w:w="1792"/>
        <w:gridCol w:w="3731"/>
        <w:gridCol w:w="3686"/>
      </w:tblGrid>
      <w:tr>
        <w:tc>
          <w:tcPr>
            <w:tcW w:w="1792" w:type="dxa"/>
            <w:vMerge w:val="restart"/>
            <w:vAlign w:val="center"/>
          </w:tcPr>
          <w:p>
            <w:pPr>
              <w:spacing w:line="240" w:lineRule="auto"/>
              <w:ind w:right="-2"/>
              <w:jc w:val="center"/>
              <w:rPr>
                <w:b/>
                <w:szCs w:val="22"/>
                <w:lang w:val="lt-LT"/>
              </w:rPr>
            </w:pPr>
            <w:r>
              <w:rPr>
                <w:b/>
                <w:bCs/>
                <w:szCs w:val="22"/>
                <w:lang w:val="lt-LT"/>
              </w:rPr>
              <w:t>Svoris (kg)</w:t>
            </w:r>
          </w:p>
        </w:tc>
        <w:tc>
          <w:tcPr>
            <w:tcW w:w="7417" w:type="dxa"/>
            <w:gridSpan w:val="2"/>
          </w:tcPr>
          <w:p>
            <w:pPr>
              <w:tabs>
                <w:tab w:val="clear" w:pos="567"/>
                <w:tab w:val="left" w:pos="720"/>
              </w:tabs>
              <w:spacing w:line="240" w:lineRule="auto"/>
              <w:ind w:right="-2"/>
              <w:jc w:val="center"/>
              <w:rPr>
                <w:b/>
                <w:szCs w:val="22"/>
                <w:lang w:val="lt-LT"/>
              </w:rPr>
            </w:pPr>
            <w:r>
              <w:rPr>
                <w:b/>
                <w:bCs/>
                <w:szCs w:val="22"/>
                <w:lang w:val="lt-LT"/>
              </w:rPr>
              <w:t>Dozė: 30 mg/kg per parą</w:t>
            </w:r>
          </w:p>
        </w:tc>
      </w:tr>
      <w:tr>
        <w:tc>
          <w:tcPr>
            <w:tcW w:w="1792" w:type="dxa"/>
            <w:vMerge/>
            <w:vAlign w:val="center"/>
          </w:tcPr>
          <w:p>
            <w:pPr>
              <w:tabs>
                <w:tab w:val="clear" w:pos="567"/>
              </w:tabs>
              <w:spacing w:line="240" w:lineRule="auto"/>
              <w:rPr>
                <w:b/>
                <w:szCs w:val="22"/>
                <w:lang w:val="lt-LT"/>
              </w:rPr>
            </w:pPr>
          </w:p>
        </w:tc>
        <w:tc>
          <w:tcPr>
            <w:tcW w:w="7417" w:type="dxa"/>
            <w:gridSpan w:val="2"/>
          </w:tcPr>
          <w:p>
            <w:pPr>
              <w:tabs>
                <w:tab w:val="clear" w:pos="567"/>
                <w:tab w:val="left" w:pos="720"/>
              </w:tabs>
              <w:spacing w:line="240" w:lineRule="auto"/>
              <w:ind w:right="-2"/>
              <w:jc w:val="center"/>
              <w:rPr>
                <w:b/>
                <w:szCs w:val="22"/>
                <w:lang w:val="lt-LT"/>
              </w:rPr>
            </w:pPr>
            <w:r>
              <w:rPr>
                <w:b/>
                <w:bCs/>
                <w:szCs w:val="22"/>
                <w:lang w:val="lt-LT"/>
              </w:rPr>
              <w:t>Amžius: nuo 12 mėnesių iki mažiau nei 2 metų</w:t>
            </w:r>
          </w:p>
        </w:tc>
      </w:tr>
      <w:tr>
        <w:tc>
          <w:tcPr>
            <w:tcW w:w="1792" w:type="dxa"/>
            <w:vMerge/>
            <w:vAlign w:val="center"/>
          </w:tcPr>
          <w:p>
            <w:pPr>
              <w:tabs>
                <w:tab w:val="clear" w:pos="567"/>
              </w:tabs>
              <w:spacing w:line="240" w:lineRule="auto"/>
              <w:rPr>
                <w:b/>
                <w:szCs w:val="22"/>
                <w:lang w:val="lt-LT"/>
              </w:rPr>
            </w:pPr>
          </w:p>
        </w:tc>
        <w:tc>
          <w:tcPr>
            <w:tcW w:w="3731" w:type="dxa"/>
          </w:tcPr>
          <w:p>
            <w:pPr>
              <w:tabs>
                <w:tab w:val="clear" w:pos="567"/>
                <w:tab w:val="left" w:pos="720"/>
              </w:tabs>
              <w:spacing w:line="240" w:lineRule="auto"/>
              <w:ind w:right="-2"/>
              <w:jc w:val="center"/>
              <w:rPr>
                <w:b/>
                <w:szCs w:val="22"/>
                <w:lang w:val="lt-LT"/>
              </w:rPr>
            </w:pPr>
            <w:r>
              <w:rPr>
                <w:b/>
                <w:bCs/>
                <w:szCs w:val="22"/>
                <w:lang w:val="lt-LT"/>
              </w:rPr>
              <w:t>250 mg paketėlių skaičius</w:t>
            </w:r>
          </w:p>
        </w:tc>
        <w:tc>
          <w:tcPr>
            <w:tcW w:w="3686" w:type="dxa"/>
          </w:tcPr>
          <w:p>
            <w:pPr>
              <w:tabs>
                <w:tab w:val="clear" w:pos="567"/>
                <w:tab w:val="left" w:pos="720"/>
              </w:tabs>
              <w:spacing w:line="240" w:lineRule="auto"/>
              <w:ind w:right="-2"/>
              <w:jc w:val="center"/>
              <w:rPr>
                <w:b/>
                <w:szCs w:val="22"/>
                <w:lang w:val="lt-LT"/>
              </w:rPr>
            </w:pPr>
            <w:r>
              <w:rPr>
                <w:b/>
                <w:bCs/>
                <w:szCs w:val="22"/>
                <w:lang w:val="lt-LT"/>
              </w:rPr>
              <w:t>Vartojamas tūris (ml)</w:t>
            </w:r>
          </w:p>
        </w:tc>
      </w:tr>
      <w:tr>
        <w:tc>
          <w:tcPr>
            <w:tcW w:w="1792" w:type="dxa"/>
          </w:tcPr>
          <w:p>
            <w:pPr>
              <w:tabs>
                <w:tab w:val="clear" w:pos="567"/>
                <w:tab w:val="left" w:pos="720"/>
              </w:tabs>
              <w:spacing w:line="240" w:lineRule="auto"/>
              <w:ind w:right="-2"/>
              <w:jc w:val="center"/>
              <w:rPr>
                <w:bCs/>
                <w:szCs w:val="22"/>
                <w:lang w:val="lt-LT"/>
              </w:rPr>
            </w:pPr>
            <w:r>
              <w:rPr>
                <w:bCs/>
                <w:szCs w:val="22"/>
                <w:lang w:val="lt-LT"/>
              </w:rPr>
              <w:t>2</w:t>
            </w:r>
          </w:p>
        </w:tc>
        <w:tc>
          <w:tcPr>
            <w:tcW w:w="3731" w:type="dxa"/>
            <w:vAlign w:val="center"/>
          </w:tcPr>
          <w:p>
            <w:pPr>
              <w:tabs>
                <w:tab w:val="clear" w:pos="567"/>
                <w:tab w:val="left" w:pos="720"/>
              </w:tabs>
              <w:spacing w:line="240" w:lineRule="auto"/>
              <w:ind w:right="-2"/>
              <w:jc w:val="center"/>
              <w:rPr>
                <w:bCs/>
                <w:szCs w:val="22"/>
                <w:lang w:val="lt-LT"/>
              </w:rPr>
            </w:pPr>
            <w:r>
              <w:rPr>
                <w:color w:val="000000"/>
                <w:szCs w:val="22"/>
                <w:lang w:val="lt-LT"/>
              </w:rPr>
              <w:t>1</w:t>
            </w:r>
          </w:p>
        </w:tc>
        <w:tc>
          <w:tcPr>
            <w:tcW w:w="3686" w:type="dxa"/>
            <w:vAlign w:val="center"/>
          </w:tcPr>
          <w:p>
            <w:pPr>
              <w:tabs>
                <w:tab w:val="clear" w:pos="567"/>
                <w:tab w:val="left" w:pos="720"/>
              </w:tabs>
              <w:spacing w:line="240" w:lineRule="auto"/>
              <w:ind w:right="-2"/>
              <w:jc w:val="center"/>
              <w:rPr>
                <w:bCs/>
                <w:szCs w:val="22"/>
                <w:lang w:val="lt-LT"/>
              </w:rPr>
            </w:pPr>
            <w:r>
              <w:rPr>
                <w:color w:val="000000"/>
                <w:szCs w:val="22"/>
                <w:lang w:val="lt-LT"/>
              </w:rPr>
              <w:t>2,4</w:t>
            </w:r>
          </w:p>
        </w:tc>
      </w:tr>
      <w:tr>
        <w:tc>
          <w:tcPr>
            <w:tcW w:w="1792" w:type="dxa"/>
          </w:tcPr>
          <w:p>
            <w:pPr>
              <w:tabs>
                <w:tab w:val="clear" w:pos="567"/>
                <w:tab w:val="left" w:pos="720"/>
              </w:tabs>
              <w:spacing w:line="240" w:lineRule="auto"/>
              <w:ind w:right="-2"/>
              <w:jc w:val="center"/>
              <w:rPr>
                <w:bCs/>
                <w:szCs w:val="22"/>
                <w:lang w:val="lt-LT"/>
              </w:rPr>
            </w:pPr>
            <w:r>
              <w:rPr>
                <w:bCs/>
                <w:szCs w:val="22"/>
                <w:lang w:val="lt-LT"/>
              </w:rPr>
              <w:t>3</w:t>
            </w:r>
          </w:p>
        </w:tc>
        <w:tc>
          <w:tcPr>
            <w:tcW w:w="3731" w:type="dxa"/>
            <w:vAlign w:val="center"/>
          </w:tcPr>
          <w:p>
            <w:pPr>
              <w:tabs>
                <w:tab w:val="clear" w:pos="567"/>
                <w:tab w:val="left" w:pos="720"/>
              </w:tabs>
              <w:spacing w:line="240" w:lineRule="auto"/>
              <w:ind w:right="-2"/>
              <w:jc w:val="center"/>
              <w:rPr>
                <w:bCs/>
                <w:szCs w:val="22"/>
                <w:lang w:val="lt-LT"/>
              </w:rPr>
            </w:pPr>
            <w:r>
              <w:rPr>
                <w:color w:val="000000"/>
                <w:szCs w:val="22"/>
                <w:lang w:val="lt-LT"/>
              </w:rPr>
              <w:t>1</w:t>
            </w:r>
          </w:p>
        </w:tc>
        <w:tc>
          <w:tcPr>
            <w:tcW w:w="3686" w:type="dxa"/>
            <w:vAlign w:val="center"/>
          </w:tcPr>
          <w:p>
            <w:pPr>
              <w:tabs>
                <w:tab w:val="clear" w:pos="567"/>
                <w:tab w:val="left" w:pos="720"/>
              </w:tabs>
              <w:spacing w:line="240" w:lineRule="auto"/>
              <w:ind w:right="-2"/>
              <w:jc w:val="center"/>
              <w:rPr>
                <w:bCs/>
                <w:szCs w:val="22"/>
                <w:lang w:val="lt-LT"/>
              </w:rPr>
            </w:pPr>
            <w:r>
              <w:rPr>
                <w:color w:val="000000"/>
                <w:szCs w:val="22"/>
                <w:lang w:val="lt-LT"/>
              </w:rPr>
              <w:t>3,6</w:t>
            </w:r>
          </w:p>
        </w:tc>
      </w:tr>
      <w:tr>
        <w:tc>
          <w:tcPr>
            <w:tcW w:w="1792" w:type="dxa"/>
          </w:tcPr>
          <w:p>
            <w:pPr>
              <w:tabs>
                <w:tab w:val="clear" w:pos="567"/>
                <w:tab w:val="left" w:pos="720"/>
              </w:tabs>
              <w:spacing w:line="240" w:lineRule="auto"/>
              <w:ind w:right="-2"/>
              <w:jc w:val="center"/>
              <w:rPr>
                <w:bCs/>
                <w:szCs w:val="22"/>
                <w:lang w:val="lt-LT"/>
              </w:rPr>
            </w:pPr>
            <w:r>
              <w:rPr>
                <w:bCs/>
                <w:szCs w:val="22"/>
                <w:lang w:val="lt-LT"/>
              </w:rPr>
              <w:t>4</w:t>
            </w:r>
          </w:p>
        </w:tc>
        <w:tc>
          <w:tcPr>
            <w:tcW w:w="3731" w:type="dxa"/>
            <w:vAlign w:val="center"/>
          </w:tcPr>
          <w:p>
            <w:pPr>
              <w:tabs>
                <w:tab w:val="clear" w:pos="567"/>
                <w:tab w:val="left" w:pos="720"/>
              </w:tabs>
              <w:spacing w:line="240" w:lineRule="auto"/>
              <w:ind w:right="-2"/>
              <w:jc w:val="center"/>
              <w:rPr>
                <w:bCs/>
                <w:szCs w:val="22"/>
                <w:lang w:val="lt-LT"/>
              </w:rPr>
            </w:pPr>
            <w:r>
              <w:rPr>
                <w:color w:val="000000"/>
                <w:szCs w:val="22"/>
                <w:lang w:val="lt-LT"/>
              </w:rPr>
              <w:t>1</w:t>
            </w:r>
          </w:p>
        </w:tc>
        <w:tc>
          <w:tcPr>
            <w:tcW w:w="3686" w:type="dxa"/>
            <w:vAlign w:val="center"/>
          </w:tcPr>
          <w:p>
            <w:pPr>
              <w:tabs>
                <w:tab w:val="clear" w:pos="567"/>
                <w:tab w:val="left" w:pos="720"/>
              </w:tabs>
              <w:spacing w:line="240" w:lineRule="auto"/>
              <w:ind w:right="-2"/>
              <w:jc w:val="center"/>
              <w:rPr>
                <w:bCs/>
                <w:szCs w:val="22"/>
                <w:lang w:val="lt-LT"/>
              </w:rPr>
            </w:pPr>
            <w:r>
              <w:rPr>
                <w:color w:val="000000"/>
                <w:szCs w:val="22"/>
                <w:lang w:val="lt-LT"/>
              </w:rPr>
              <w:t>4,8</w:t>
            </w:r>
          </w:p>
        </w:tc>
      </w:tr>
      <w:tr>
        <w:tc>
          <w:tcPr>
            <w:tcW w:w="1792" w:type="dxa"/>
          </w:tcPr>
          <w:p>
            <w:pPr>
              <w:tabs>
                <w:tab w:val="clear" w:pos="567"/>
                <w:tab w:val="left" w:pos="720"/>
              </w:tabs>
              <w:spacing w:line="240" w:lineRule="auto"/>
              <w:ind w:right="-2"/>
              <w:jc w:val="center"/>
              <w:rPr>
                <w:bCs/>
                <w:szCs w:val="22"/>
                <w:lang w:val="lt-LT"/>
              </w:rPr>
            </w:pPr>
            <w:r>
              <w:rPr>
                <w:bCs/>
                <w:szCs w:val="22"/>
                <w:lang w:val="lt-LT"/>
              </w:rPr>
              <w:t>5</w:t>
            </w:r>
          </w:p>
        </w:tc>
        <w:tc>
          <w:tcPr>
            <w:tcW w:w="3731" w:type="dxa"/>
            <w:vAlign w:val="center"/>
          </w:tcPr>
          <w:p>
            <w:pPr>
              <w:tabs>
                <w:tab w:val="clear" w:pos="567"/>
                <w:tab w:val="left" w:pos="720"/>
              </w:tabs>
              <w:spacing w:line="240" w:lineRule="auto"/>
              <w:ind w:right="-2"/>
              <w:jc w:val="center"/>
              <w:rPr>
                <w:bCs/>
                <w:szCs w:val="22"/>
                <w:lang w:val="lt-LT"/>
              </w:rPr>
            </w:pPr>
            <w:r>
              <w:rPr>
                <w:color w:val="000000"/>
                <w:szCs w:val="22"/>
                <w:lang w:val="lt-LT"/>
              </w:rPr>
              <w:t>1</w:t>
            </w:r>
          </w:p>
        </w:tc>
        <w:tc>
          <w:tcPr>
            <w:tcW w:w="3686" w:type="dxa"/>
            <w:vAlign w:val="center"/>
          </w:tcPr>
          <w:p>
            <w:pPr>
              <w:tabs>
                <w:tab w:val="clear" w:pos="567"/>
                <w:tab w:val="left" w:pos="720"/>
              </w:tabs>
              <w:spacing w:line="240" w:lineRule="auto"/>
              <w:ind w:right="-2"/>
              <w:jc w:val="center"/>
              <w:rPr>
                <w:bCs/>
                <w:szCs w:val="22"/>
                <w:lang w:val="lt-LT"/>
              </w:rPr>
            </w:pPr>
            <w:r>
              <w:rPr>
                <w:color w:val="000000"/>
                <w:szCs w:val="22"/>
                <w:lang w:val="lt-LT"/>
              </w:rPr>
              <w:t>6</w:t>
            </w:r>
          </w:p>
        </w:tc>
      </w:tr>
      <w:tr>
        <w:tc>
          <w:tcPr>
            <w:tcW w:w="1792" w:type="dxa"/>
          </w:tcPr>
          <w:p>
            <w:pPr>
              <w:tabs>
                <w:tab w:val="clear" w:pos="567"/>
                <w:tab w:val="left" w:pos="720"/>
              </w:tabs>
              <w:spacing w:line="240" w:lineRule="auto"/>
              <w:ind w:right="-2"/>
              <w:jc w:val="center"/>
              <w:rPr>
                <w:bCs/>
                <w:szCs w:val="22"/>
                <w:lang w:val="lt-LT"/>
              </w:rPr>
            </w:pPr>
            <w:r>
              <w:rPr>
                <w:bCs/>
                <w:szCs w:val="22"/>
                <w:lang w:val="lt-LT"/>
              </w:rPr>
              <w:t>6</w:t>
            </w:r>
          </w:p>
        </w:tc>
        <w:tc>
          <w:tcPr>
            <w:tcW w:w="3731" w:type="dxa"/>
            <w:vAlign w:val="center"/>
          </w:tcPr>
          <w:p>
            <w:pPr>
              <w:tabs>
                <w:tab w:val="clear" w:pos="567"/>
                <w:tab w:val="left" w:pos="720"/>
              </w:tabs>
              <w:spacing w:line="240" w:lineRule="auto"/>
              <w:ind w:right="-2"/>
              <w:jc w:val="center"/>
              <w:rPr>
                <w:bCs/>
                <w:szCs w:val="22"/>
                <w:lang w:val="lt-LT"/>
              </w:rPr>
            </w:pPr>
            <w:r>
              <w:rPr>
                <w:color w:val="000000"/>
                <w:szCs w:val="22"/>
                <w:lang w:val="lt-LT"/>
              </w:rPr>
              <w:t>1</w:t>
            </w:r>
          </w:p>
        </w:tc>
        <w:tc>
          <w:tcPr>
            <w:tcW w:w="3686" w:type="dxa"/>
            <w:vAlign w:val="center"/>
          </w:tcPr>
          <w:p>
            <w:pPr>
              <w:tabs>
                <w:tab w:val="clear" w:pos="567"/>
                <w:tab w:val="left" w:pos="720"/>
              </w:tabs>
              <w:spacing w:line="240" w:lineRule="auto"/>
              <w:ind w:right="-2"/>
              <w:jc w:val="center"/>
              <w:rPr>
                <w:bCs/>
                <w:szCs w:val="22"/>
                <w:lang w:val="lt-LT"/>
              </w:rPr>
            </w:pPr>
            <w:r>
              <w:rPr>
                <w:color w:val="000000"/>
                <w:szCs w:val="22"/>
                <w:lang w:val="lt-LT"/>
              </w:rPr>
              <w:t>7,2</w:t>
            </w:r>
          </w:p>
        </w:tc>
      </w:tr>
      <w:tr>
        <w:tc>
          <w:tcPr>
            <w:tcW w:w="1792" w:type="dxa"/>
          </w:tcPr>
          <w:p>
            <w:pPr>
              <w:tabs>
                <w:tab w:val="clear" w:pos="567"/>
                <w:tab w:val="left" w:pos="720"/>
              </w:tabs>
              <w:spacing w:line="240" w:lineRule="auto"/>
              <w:ind w:right="-2"/>
              <w:jc w:val="center"/>
              <w:rPr>
                <w:bCs/>
                <w:szCs w:val="22"/>
                <w:lang w:val="lt-LT"/>
              </w:rPr>
            </w:pPr>
            <w:r>
              <w:rPr>
                <w:bCs/>
                <w:szCs w:val="22"/>
                <w:lang w:val="lt-LT"/>
              </w:rPr>
              <w:t>7</w:t>
            </w:r>
          </w:p>
        </w:tc>
        <w:tc>
          <w:tcPr>
            <w:tcW w:w="3731" w:type="dxa"/>
            <w:vAlign w:val="center"/>
          </w:tcPr>
          <w:p>
            <w:pPr>
              <w:tabs>
                <w:tab w:val="clear" w:pos="567"/>
                <w:tab w:val="left" w:pos="720"/>
              </w:tabs>
              <w:spacing w:line="240" w:lineRule="auto"/>
              <w:ind w:right="-2"/>
              <w:jc w:val="center"/>
              <w:rPr>
                <w:bCs/>
                <w:szCs w:val="22"/>
                <w:lang w:val="lt-LT"/>
              </w:rPr>
            </w:pPr>
            <w:r>
              <w:rPr>
                <w:color w:val="000000"/>
                <w:szCs w:val="22"/>
                <w:lang w:val="lt-LT"/>
              </w:rPr>
              <w:t>1</w:t>
            </w:r>
          </w:p>
        </w:tc>
        <w:tc>
          <w:tcPr>
            <w:tcW w:w="3686" w:type="dxa"/>
            <w:vAlign w:val="center"/>
          </w:tcPr>
          <w:p>
            <w:pPr>
              <w:tabs>
                <w:tab w:val="clear" w:pos="567"/>
                <w:tab w:val="left" w:pos="720"/>
              </w:tabs>
              <w:spacing w:line="240" w:lineRule="auto"/>
              <w:ind w:right="-2"/>
              <w:jc w:val="center"/>
              <w:rPr>
                <w:bCs/>
                <w:szCs w:val="22"/>
                <w:lang w:val="lt-LT"/>
              </w:rPr>
            </w:pPr>
            <w:r>
              <w:rPr>
                <w:color w:val="000000"/>
                <w:szCs w:val="22"/>
                <w:lang w:val="lt-LT"/>
              </w:rPr>
              <w:t>8,4</w:t>
            </w:r>
          </w:p>
        </w:tc>
      </w:tr>
      <w:tr>
        <w:tc>
          <w:tcPr>
            <w:tcW w:w="1792" w:type="dxa"/>
          </w:tcPr>
          <w:p>
            <w:pPr>
              <w:tabs>
                <w:tab w:val="clear" w:pos="567"/>
                <w:tab w:val="left" w:pos="720"/>
              </w:tabs>
              <w:spacing w:line="240" w:lineRule="auto"/>
              <w:ind w:right="-2"/>
              <w:jc w:val="center"/>
              <w:rPr>
                <w:bCs/>
                <w:szCs w:val="22"/>
                <w:lang w:val="lt-LT"/>
              </w:rPr>
            </w:pPr>
            <w:r>
              <w:rPr>
                <w:bCs/>
                <w:szCs w:val="22"/>
                <w:lang w:val="lt-LT"/>
              </w:rPr>
              <w:t>8</w:t>
            </w:r>
          </w:p>
        </w:tc>
        <w:tc>
          <w:tcPr>
            <w:tcW w:w="3731" w:type="dxa"/>
            <w:vAlign w:val="center"/>
          </w:tcPr>
          <w:p>
            <w:pPr>
              <w:tabs>
                <w:tab w:val="clear" w:pos="567"/>
                <w:tab w:val="left" w:pos="720"/>
              </w:tabs>
              <w:spacing w:line="240" w:lineRule="auto"/>
              <w:ind w:right="-2"/>
              <w:jc w:val="center"/>
              <w:rPr>
                <w:bCs/>
                <w:szCs w:val="22"/>
                <w:lang w:val="lt-LT"/>
              </w:rPr>
            </w:pPr>
            <w:r>
              <w:rPr>
                <w:color w:val="000000"/>
                <w:szCs w:val="22"/>
                <w:lang w:val="lt-LT"/>
              </w:rPr>
              <w:t>1</w:t>
            </w:r>
          </w:p>
        </w:tc>
        <w:tc>
          <w:tcPr>
            <w:tcW w:w="3686" w:type="dxa"/>
            <w:vAlign w:val="center"/>
          </w:tcPr>
          <w:p>
            <w:pPr>
              <w:tabs>
                <w:tab w:val="clear" w:pos="567"/>
                <w:tab w:val="left" w:pos="720"/>
              </w:tabs>
              <w:spacing w:line="240" w:lineRule="auto"/>
              <w:ind w:right="-2"/>
              <w:jc w:val="center"/>
              <w:rPr>
                <w:bCs/>
                <w:szCs w:val="22"/>
                <w:lang w:val="lt-LT"/>
              </w:rPr>
            </w:pPr>
            <w:r>
              <w:rPr>
                <w:color w:val="000000"/>
                <w:szCs w:val="22"/>
                <w:lang w:val="lt-LT"/>
              </w:rPr>
              <w:t>9,6</w:t>
            </w:r>
          </w:p>
        </w:tc>
      </w:tr>
      <w:tr>
        <w:tc>
          <w:tcPr>
            <w:tcW w:w="1792" w:type="dxa"/>
          </w:tcPr>
          <w:p>
            <w:pPr>
              <w:tabs>
                <w:tab w:val="clear" w:pos="567"/>
                <w:tab w:val="left" w:pos="720"/>
              </w:tabs>
              <w:spacing w:line="240" w:lineRule="auto"/>
              <w:ind w:right="-2"/>
              <w:jc w:val="center"/>
              <w:rPr>
                <w:bCs/>
                <w:szCs w:val="22"/>
                <w:lang w:val="lt-LT"/>
              </w:rPr>
            </w:pPr>
            <w:r>
              <w:rPr>
                <w:bCs/>
                <w:szCs w:val="22"/>
                <w:lang w:val="lt-LT"/>
              </w:rPr>
              <w:t>9</w:t>
            </w:r>
          </w:p>
        </w:tc>
        <w:tc>
          <w:tcPr>
            <w:tcW w:w="3731" w:type="dxa"/>
            <w:vAlign w:val="center"/>
          </w:tcPr>
          <w:p>
            <w:pPr>
              <w:tabs>
                <w:tab w:val="clear" w:pos="567"/>
                <w:tab w:val="left" w:pos="720"/>
              </w:tabs>
              <w:spacing w:line="240" w:lineRule="auto"/>
              <w:ind w:right="-2"/>
              <w:jc w:val="center"/>
              <w:rPr>
                <w:bCs/>
                <w:szCs w:val="22"/>
                <w:lang w:val="lt-LT"/>
              </w:rPr>
            </w:pPr>
            <w:r>
              <w:rPr>
                <w:color w:val="000000"/>
                <w:szCs w:val="22"/>
                <w:lang w:val="lt-LT"/>
              </w:rPr>
              <w:t>2</w:t>
            </w:r>
          </w:p>
        </w:tc>
        <w:tc>
          <w:tcPr>
            <w:tcW w:w="3686" w:type="dxa"/>
            <w:vAlign w:val="center"/>
          </w:tcPr>
          <w:p>
            <w:pPr>
              <w:tabs>
                <w:tab w:val="clear" w:pos="567"/>
                <w:tab w:val="left" w:pos="720"/>
              </w:tabs>
              <w:spacing w:line="240" w:lineRule="auto"/>
              <w:ind w:right="-2"/>
              <w:jc w:val="center"/>
              <w:rPr>
                <w:bCs/>
                <w:szCs w:val="22"/>
                <w:lang w:val="lt-LT"/>
              </w:rPr>
            </w:pPr>
            <w:r>
              <w:rPr>
                <w:color w:val="000000"/>
                <w:szCs w:val="22"/>
                <w:lang w:val="lt-LT"/>
              </w:rPr>
              <w:t>10,8</w:t>
            </w:r>
          </w:p>
        </w:tc>
      </w:tr>
      <w:tr>
        <w:tc>
          <w:tcPr>
            <w:tcW w:w="1792" w:type="dxa"/>
          </w:tcPr>
          <w:p>
            <w:pPr>
              <w:tabs>
                <w:tab w:val="clear" w:pos="567"/>
                <w:tab w:val="left" w:pos="720"/>
              </w:tabs>
              <w:spacing w:line="240" w:lineRule="auto"/>
              <w:ind w:right="-2"/>
              <w:jc w:val="center"/>
              <w:rPr>
                <w:bCs/>
                <w:szCs w:val="22"/>
                <w:lang w:val="lt-LT"/>
              </w:rPr>
            </w:pPr>
            <w:r>
              <w:rPr>
                <w:bCs/>
                <w:szCs w:val="22"/>
                <w:lang w:val="lt-LT"/>
              </w:rPr>
              <w:t>10</w:t>
            </w:r>
          </w:p>
        </w:tc>
        <w:tc>
          <w:tcPr>
            <w:tcW w:w="3731" w:type="dxa"/>
            <w:vAlign w:val="center"/>
          </w:tcPr>
          <w:p>
            <w:pPr>
              <w:tabs>
                <w:tab w:val="clear" w:pos="567"/>
                <w:tab w:val="left" w:pos="720"/>
              </w:tabs>
              <w:spacing w:line="240" w:lineRule="auto"/>
              <w:ind w:right="-2"/>
              <w:jc w:val="center"/>
              <w:rPr>
                <w:bCs/>
                <w:szCs w:val="22"/>
                <w:lang w:val="lt-LT"/>
              </w:rPr>
            </w:pPr>
            <w:r>
              <w:rPr>
                <w:color w:val="000000"/>
                <w:szCs w:val="22"/>
                <w:lang w:val="lt-LT"/>
              </w:rPr>
              <w:t>2</w:t>
            </w:r>
          </w:p>
        </w:tc>
        <w:tc>
          <w:tcPr>
            <w:tcW w:w="3686" w:type="dxa"/>
            <w:vAlign w:val="center"/>
          </w:tcPr>
          <w:p>
            <w:pPr>
              <w:tabs>
                <w:tab w:val="clear" w:pos="567"/>
                <w:tab w:val="left" w:pos="720"/>
              </w:tabs>
              <w:spacing w:line="240" w:lineRule="auto"/>
              <w:ind w:right="-2"/>
              <w:jc w:val="center"/>
              <w:rPr>
                <w:bCs/>
                <w:szCs w:val="22"/>
                <w:lang w:val="lt-LT"/>
              </w:rPr>
            </w:pPr>
            <w:r>
              <w:rPr>
                <w:color w:val="000000"/>
                <w:szCs w:val="22"/>
                <w:lang w:val="lt-LT"/>
              </w:rPr>
              <w:t>12</w:t>
            </w:r>
          </w:p>
        </w:tc>
      </w:tr>
      <w:tr>
        <w:tc>
          <w:tcPr>
            <w:tcW w:w="1792" w:type="dxa"/>
          </w:tcPr>
          <w:p>
            <w:pPr>
              <w:tabs>
                <w:tab w:val="clear" w:pos="567"/>
                <w:tab w:val="left" w:pos="720"/>
              </w:tabs>
              <w:spacing w:line="240" w:lineRule="auto"/>
              <w:ind w:right="-2"/>
              <w:jc w:val="center"/>
              <w:rPr>
                <w:bCs/>
                <w:szCs w:val="22"/>
                <w:lang w:val="lt-LT"/>
              </w:rPr>
            </w:pPr>
            <w:r>
              <w:rPr>
                <w:bCs/>
                <w:szCs w:val="22"/>
                <w:lang w:val="lt-LT"/>
              </w:rPr>
              <w:t>11</w:t>
            </w:r>
          </w:p>
        </w:tc>
        <w:tc>
          <w:tcPr>
            <w:tcW w:w="3731" w:type="dxa"/>
            <w:vAlign w:val="center"/>
          </w:tcPr>
          <w:p>
            <w:pPr>
              <w:tabs>
                <w:tab w:val="clear" w:pos="567"/>
                <w:tab w:val="left" w:pos="720"/>
              </w:tabs>
              <w:spacing w:line="240" w:lineRule="auto"/>
              <w:ind w:right="-2"/>
              <w:jc w:val="center"/>
              <w:rPr>
                <w:bCs/>
                <w:szCs w:val="22"/>
                <w:lang w:val="lt-LT"/>
              </w:rPr>
            </w:pPr>
            <w:r>
              <w:rPr>
                <w:color w:val="000000"/>
                <w:szCs w:val="22"/>
                <w:lang w:val="lt-LT"/>
              </w:rPr>
              <w:t>2</w:t>
            </w:r>
          </w:p>
        </w:tc>
        <w:tc>
          <w:tcPr>
            <w:tcW w:w="3686" w:type="dxa"/>
            <w:vAlign w:val="center"/>
          </w:tcPr>
          <w:p>
            <w:pPr>
              <w:tabs>
                <w:tab w:val="clear" w:pos="567"/>
                <w:tab w:val="left" w:pos="720"/>
              </w:tabs>
              <w:spacing w:line="240" w:lineRule="auto"/>
              <w:ind w:right="-2"/>
              <w:jc w:val="center"/>
              <w:rPr>
                <w:bCs/>
                <w:szCs w:val="22"/>
                <w:lang w:val="lt-LT"/>
              </w:rPr>
            </w:pPr>
            <w:r>
              <w:rPr>
                <w:color w:val="000000"/>
                <w:szCs w:val="22"/>
                <w:lang w:val="lt-LT"/>
              </w:rPr>
              <w:t>13,2</w:t>
            </w:r>
          </w:p>
        </w:tc>
      </w:tr>
      <w:tr>
        <w:tc>
          <w:tcPr>
            <w:tcW w:w="1792" w:type="dxa"/>
          </w:tcPr>
          <w:p>
            <w:pPr>
              <w:tabs>
                <w:tab w:val="clear" w:pos="567"/>
                <w:tab w:val="left" w:pos="720"/>
              </w:tabs>
              <w:spacing w:line="240" w:lineRule="auto"/>
              <w:ind w:right="-2"/>
              <w:jc w:val="center"/>
              <w:rPr>
                <w:bCs/>
                <w:szCs w:val="22"/>
                <w:lang w:val="lt-LT"/>
              </w:rPr>
            </w:pPr>
            <w:r>
              <w:rPr>
                <w:bCs/>
                <w:szCs w:val="22"/>
                <w:lang w:val="lt-LT"/>
              </w:rPr>
              <w:t>12</w:t>
            </w:r>
          </w:p>
        </w:tc>
        <w:tc>
          <w:tcPr>
            <w:tcW w:w="3731" w:type="dxa"/>
            <w:vAlign w:val="center"/>
          </w:tcPr>
          <w:p>
            <w:pPr>
              <w:tabs>
                <w:tab w:val="clear" w:pos="567"/>
                <w:tab w:val="left" w:pos="720"/>
              </w:tabs>
              <w:spacing w:line="240" w:lineRule="auto"/>
              <w:ind w:right="-2"/>
              <w:jc w:val="center"/>
              <w:rPr>
                <w:bCs/>
                <w:szCs w:val="22"/>
                <w:lang w:val="lt-LT"/>
              </w:rPr>
            </w:pPr>
            <w:r>
              <w:rPr>
                <w:color w:val="000000"/>
                <w:szCs w:val="22"/>
                <w:lang w:val="lt-LT"/>
              </w:rPr>
              <w:t>2</w:t>
            </w:r>
          </w:p>
        </w:tc>
        <w:tc>
          <w:tcPr>
            <w:tcW w:w="3686" w:type="dxa"/>
            <w:vAlign w:val="center"/>
          </w:tcPr>
          <w:p>
            <w:pPr>
              <w:tabs>
                <w:tab w:val="clear" w:pos="567"/>
                <w:tab w:val="left" w:pos="720"/>
              </w:tabs>
              <w:spacing w:line="240" w:lineRule="auto"/>
              <w:ind w:right="-2"/>
              <w:jc w:val="center"/>
              <w:rPr>
                <w:bCs/>
                <w:szCs w:val="22"/>
                <w:lang w:val="lt-LT"/>
              </w:rPr>
            </w:pPr>
            <w:r>
              <w:rPr>
                <w:color w:val="000000"/>
                <w:szCs w:val="22"/>
                <w:lang w:val="lt-LT"/>
              </w:rPr>
              <w:t>14,4</w:t>
            </w:r>
          </w:p>
        </w:tc>
      </w:tr>
      <w:tr>
        <w:tc>
          <w:tcPr>
            <w:tcW w:w="1792" w:type="dxa"/>
          </w:tcPr>
          <w:p>
            <w:pPr>
              <w:tabs>
                <w:tab w:val="clear" w:pos="567"/>
                <w:tab w:val="left" w:pos="720"/>
              </w:tabs>
              <w:spacing w:line="240" w:lineRule="auto"/>
              <w:ind w:right="-2"/>
              <w:jc w:val="center"/>
              <w:rPr>
                <w:bCs/>
                <w:szCs w:val="22"/>
                <w:lang w:val="lt-LT"/>
              </w:rPr>
            </w:pPr>
            <w:r>
              <w:rPr>
                <w:bCs/>
                <w:szCs w:val="22"/>
                <w:lang w:val="lt-LT"/>
              </w:rPr>
              <w:t>13</w:t>
            </w:r>
          </w:p>
        </w:tc>
        <w:tc>
          <w:tcPr>
            <w:tcW w:w="3731" w:type="dxa"/>
            <w:vAlign w:val="center"/>
          </w:tcPr>
          <w:p>
            <w:pPr>
              <w:tabs>
                <w:tab w:val="clear" w:pos="567"/>
                <w:tab w:val="left" w:pos="720"/>
              </w:tabs>
              <w:spacing w:line="240" w:lineRule="auto"/>
              <w:ind w:right="-2"/>
              <w:jc w:val="center"/>
              <w:rPr>
                <w:bCs/>
                <w:szCs w:val="22"/>
                <w:lang w:val="lt-LT"/>
              </w:rPr>
            </w:pPr>
            <w:r>
              <w:rPr>
                <w:color w:val="000000"/>
                <w:szCs w:val="22"/>
                <w:lang w:val="lt-LT"/>
              </w:rPr>
              <w:t>2</w:t>
            </w:r>
          </w:p>
        </w:tc>
        <w:tc>
          <w:tcPr>
            <w:tcW w:w="3686" w:type="dxa"/>
            <w:vAlign w:val="center"/>
          </w:tcPr>
          <w:p>
            <w:pPr>
              <w:tabs>
                <w:tab w:val="clear" w:pos="567"/>
                <w:tab w:val="left" w:pos="720"/>
              </w:tabs>
              <w:spacing w:line="240" w:lineRule="auto"/>
              <w:ind w:right="-2"/>
              <w:jc w:val="center"/>
              <w:rPr>
                <w:bCs/>
                <w:szCs w:val="22"/>
                <w:lang w:val="lt-LT"/>
              </w:rPr>
            </w:pPr>
            <w:r>
              <w:rPr>
                <w:color w:val="000000"/>
                <w:szCs w:val="22"/>
                <w:lang w:val="lt-LT"/>
              </w:rPr>
              <w:t>15,6</w:t>
            </w:r>
          </w:p>
        </w:tc>
      </w:tr>
      <w:tr>
        <w:tc>
          <w:tcPr>
            <w:tcW w:w="1792" w:type="dxa"/>
          </w:tcPr>
          <w:p>
            <w:pPr>
              <w:tabs>
                <w:tab w:val="clear" w:pos="567"/>
                <w:tab w:val="left" w:pos="720"/>
              </w:tabs>
              <w:spacing w:line="240" w:lineRule="auto"/>
              <w:ind w:right="-2"/>
              <w:jc w:val="center"/>
              <w:rPr>
                <w:bCs/>
                <w:szCs w:val="22"/>
                <w:lang w:val="lt-LT"/>
              </w:rPr>
            </w:pPr>
            <w:r>
              <w:rPr>
                <w:bCs/>
                <w:szCs w:val="22"/>
                <w:lang w:val="lt-LT"/>
              </w:rPr>
              <w:t>14</w:t>
            </w:r>
          </w:p>
        </w:tc>
        <w:tc>
          <w:tcPr>
            <w:tcW w:w="3731" w:type="dxa"/>
            <w:vAlign w:val="center"/>
          </w:tcPr>
          <w:p>
            <w:pPr>
              <w:tabs>
                <w:tab w:val="clear" w:pos="567"/>
                <w:tab w:val="left" w:pos="720"/>
              </w:tabs>
              <w:spacing w:line="240" w:lineRule="auto"/>
              <w:ind w:right="-2"/>
              <w:jc w:val="center"/>
              <w:rPr>
                <w:bCs/>
                <w:szCs w:val="22"/>
                <w:lang w:val="lt-LT"/>
              </w:rPr>
            </w:pPr>
            <w:r>
              <w:rPr>
                <w:color w:val="000000"/>
                <w:szCs w:val="22"/>
                <w:lang w:val="lt-LT"/>
              </w:rPr>
              <w:t>2</w:t>
            </w:r>
          </w:p>
        </w:tc>
        <w:tc>
          <w:tcPr>
            <w:tcW w:w="3686" w:type="dxa"/>
            <w:vAlign w:val="center"/>
          </w:tcPr>
          <w:p>
            <w:pPr>
              <w:tabs>
                <w:tab w:val="clear" w:pos="567"/>
                <w:tab w:val="left" w:pos="720"/>
              </w:tabs>
              <w:spacing w:line="240" w:lineRule="auto"/>
              <w:ind w:right="-2"/>
              <w:jc w:val="center"/>
              <w:rPr>
                <w:bCs/>
                <w:szCs w:val="22"/>
                <w:lang w:val="lt-LT"/>
              </w:rPr>
            </w:pPr>
            <w:r>
              <w:rPr>
                <w:color w:val="000000"/>
                <w:szCs w:val="22"/>
                <w:lang w:val="lt-LT"/>
              </w:rPr>
              <w:t>16,8</w:t>
            </w:r>
          </w:p>
        </w:tc>
      </w:tr>
      <w:tr>
        <w:tc>
          <w:tcPr>
            <w:tcW w:w="1792" w:type="dxa"/>
          </w:tcPr>
          <w:p>
            <w:pPr>
              <w:tabs>
                <w:tab w:val="clear" w:pos="567"/>
                <w:tab w:val="left" w:pos="720"/>
              </w:tabs>
              <w:spacing w:line="240" w:lineRule="auto"/>
              <w:ind w:right="-2"/>
              <w:jc w:val="center"/>
              <w:rPr>
                <w:bCs/>
                <w:szCs w:val="22"/>
                <w:lang w:val="lt-LT"/>
              </w:rPr>
            </w:pPr>
            <w:r>
              <w:rPr>
                <w:bCs/>
                <w:szCs w:val="22"/>
                <w:lang w:val="lt-LT"/>
              </w:rPr>
              <w:t>15</w:t>
            </w:r>
          </w:p>
        </w:tc>
        <w:tc>
          <w:tcPr>
            <w:tcW w:w="3731" w:type="dxa"/>
            <w:vAlign w:val="center"/>
          </w:tcPr>
          <w:p>
            <w:pPr>
              <w:tabs>
                <w:tab w:val="clear" w:pos="567"/>
                <w:tab w:val="left" w:pos="720"/>
              </w:tabs>
              <w:spacing w:line="240" w:lineRule="auto"/>
              <w:ind w:right="-2"/>
              <w:jc w:val="center"/>
              <w:rPr>
                <w:bCs/>
                <w:szCs w:val="22"/>
                <w:lang w:val="lt-LT"/>
              </w:rPr>
            </w:pPr>
            <w:r>
              <w:rPr>
                <w:color w:val="000000"/>
                <w:szCs w:val="22"/>
                <w:lang w:val="lt-LT"/>
              </w:rPr>
              <w:t>2</w:t>
            </w:r>
          </w:p>
        </w:tc>
        <w:tc>
          <w:tcPr>
            <w:tcW w:w="3686" w:type="dxa"/>
            <w:vAlign w:val="center"/>
          </w:tcPr>
          <w:p>
            <w:pPr>
              <w:tabs>
                <w:tab w:val="clear" w:pos="567"/>
                <w:tab w:val="left" w:pos="720"/>
              </w:tabs>
              <w:spacing w:line="240" w:lineRule="auto"/>
              <w:ind w:right="-2"/>
              <w:jc w:val="center"/>
              <w:rPr>
                <w:bCs/>
                <w:szCs w:val="22"/>
                <w:lang w:val="lt-LT"/>
              </w:rPr>
            </w:pPr>
            <w:r>
              <w:rPr>
                <w:color w:val="000000"/>
                <w:szCs w:val="22"/>
                <w:lang w:val="lt-LT"/>
              </w:rPr>
              <w:t>18</w:t>
            </w:r>
          </w:p>
        </w:tc>
      </w:tr>
      <w:tr>
        <w:tc>
          <w:tcPr>
            <w:tcW w:w="1792" w:type="dxa"/>
          </w:tcPr>
          <w:p>
            <w:pPr>
              <w:tabs>
                <w:tab w:val="clear" w:pos="567"/>
                <w:tab w:val="left" w:pos="720"/>
              </w:tabs>
              <w:spacing w:line="240" w:lineRule="auto"/>
              <w:ind w:right="-2"/>
              <w:jc w:val="center"/>
              <w:rPr>
                <w:bCs/>
                <w:szCs w:val="22"/>
                <w:lang w:val="lt-LT"/>
              </w:rPr>
            </w:pPr>
            <w:r>
              <w:rPr>
                <w:bCs/>
                <w:szCs w:val="22"/>
                <w:lang w:val="lt-LT"/>
              </w:rPr>
              <w:t>16</w:t>
            </w:r>
          </w:p>
        </w:tc>
        <w:tc>
          <w:tcPr>
            <w:tcW w:w="3731" w:type="dxa"/>
            <w:vAlign w:val="center"/>
          </w:tcPr>
          <w:p>
            <w:pPr>
              <w:tabs>
                <w:tab w:val="clear" w:pos="567"/>
                <w:tab w:val="left" w:pos="720"/>
              </w:tabs>
              <w:spacing w:line="240" w:lineRule="auto"/>
              <w:ind w:right="-2"/>
              <w:jc w:val="center"/>
              <w:rPr>
                <w:bCs/>
                <w:szCs w:val="22"/>
                <w:lang w:val="lt-LT"/>
              </w:rPr>
            </w:pPr>
            <w:r>
              <w:rPr>
                <w:color w:val="000000"/>
                <w:szCs w:val="22"/>
                <w:lang w:val="lt-LT"/>
              </w:rPr>
              <w:t>2</w:t>
            </w:r>
          </w:p>
        </w:tc>
        <w:tc>
          <w:tcPr>
            <w:tcW w:w="3686" w:type="dxa"/>
            <w:vAlign w:val="center"/>
          </w:tcPr>
          <w:p>
            <w:pPr>
              <w:tabs>
                <w:tab w:val="clear" w:pos="567"/>
                <w:tab w:val="left" w:pos="720"/>
              </w:tabs>
              <w:spacing w:line="240" w:lineRule="auto"/>
              <w:ind w:right="-2"/>
              <w:jc w:val="center"/>
              <w:rPr>
                <w:bCs/>
                <w:szCs w:val="22"/>
                <w:lang w:val="lt-LT"/>
              </w:rPr>
            </w:pPr>
            <w:r>
              <w:rPr>
                <w:color w:val="000000"/>
                <w:szCs w:val="22"/>
                <w:lang w:val="lt-LT"/>
              </w:rPr>
              <w:t>19,2</w:t>
            </w:r>
          </w:p>
        </w:tc>
      </w:tr>
    </w:tbl>
    <w:p>
      <w:pPr>
        <w:tabs>
          <w:tab w:val="clear" w:pos="567"/>
          <w:tab w:val="left" w:pos="720"/>
        </w:tabs>
        <w:spacing w:line="240" w:lineRule="auto"/>
        <w:ind w:right="-2"/>
        <w:rPr>
          <w:lang w:val="lt-LT"/>
        </w:rPr>
      </w:pPr>
    </w:p>
    <w:p>
      <w:pPr>
        <w:keepNext/>
        <w:spacing w:line="240" w:lineRule="auto"/>
        <w:rPr>
          <w:b/>
          <w:szCs w:val="22"/>
          <w:lang w:val="lt-LT"/>
        </w:rPr>
      </w:pPr>
      <w:r>
        <w:rPr>
          <w:b/>
          <w:bCs/>
          <w:szCs w:val="22"/>
          <w:lang w:val="lt-LT"/>
        </w:rPr>
        <w:t>3.</w:t>
      </w:r>
      <w:r>
        <w:rPr>
          <w:b/>
          <w:bCs/>
          <w:szCs w:val="22"/>
          <w:lang w:val="lt-LT"/>
        </w:rPr>
        <w:tab/>
        <w:t>Vaikams, vyresniems nei 2 metų ir sveriantiems 16 kg ar mažiau (žr. 3 lentelę)</w:t>
      </w:r>
      <w:r>
        <w:rPr>
          <w:b/>
          <w:szCs w:val="22"/>
          <w:lang w:val="lt-LT"/>
        </w:rPr>
        <w:fldChar w:fldCharType="begin"/>
      </w:r>
      <w:r>
        <w:rPr>
          <w:b/>
          <w:szCs w:val="22"/>
          <w:lang w:val="lt-LT"/>
        </w:rPr>
        <w:instrText xml:space="preserve"> DOCVARIABLE vault_nd_c5a04c7f-7255-4fdc-a1aa-895ec744c5b3 </w:instrText>
      </w:r>
      <w:r>
        <w:rPr>
          <w:b/>
          <w:szCs w:val="22"/>
          <w:lang w:val="lt-LT"/>
        </w:rPr>
        <w:fldChar w:fldCharType="separate"/>
      </w:r>
      <w:r>
        <w:rPr>
          <w:b/>
          <w:szCs w:val="22"/>
          <w:lang w:val="lt-LT"/>
        </w:rPr>
        <w:t xml:space="preserve"> </w:t>
      </w:r>
      <w:r>
        <w:rPr>
          <w:b/>
          <w:szCs w:val="22"/>
          <w:lang w:val="lt-LT"/>
        </w:rPr>
        <w:fldChar w:fldCharType="end"/>
      </w:r>
    </w:p>
    <w:p>
      <w:pPr>
        <w:pStyle w:val="ListParagraph"/>
        <w:numPr>
          <w:ilvl w:val="0"/>
          <w:numId w:val="6"/>
        </w:numPr>
        <w:tabs>
          <w:tab w:val="clear" w:pos="567"/>
        </w:tabs>
        <w:spacing w:line="240" w:lineRule="auto"/>
        <w:ind w:left="567" w:hanging="567"/>
        <w:rPr>
          <w:bCs/>
          <w:szCs w:val="22"/>
          <w:lang w:val="lt-LT"/>
        </w:rPr>
      </w:pPr>
      <w:bookmarkStart w:id="14" w:name="_Hlk194077273"/>
      <w:r>
        <w:rPr>
          <w:bCs/>
          <w:szCs w:val="22"/>
          <w:lang w:val="lt-LT"/>
        </w:rPr>
        <w:t>Šį vaistą vartokite tiksliai kaip nurodė gydytojas, laikydamiesi Jums paskirtos dozės.</w:t>
      </w:r>
      <w:bookmarkEnd w:id="14"/>
      <w:r>
        <w:rPr>
          <w:bCs/>
          <w:szCs w:val="22"/>
          <w:lang w:val="lt-LT"/>
        </w:rPr>
        <w:fldChar w:fldCharType="begin"/>
      </w:r>
      <w:r>
        <w:rPr>
          <w:bCs/>
          <w:szCs w:val="22"/>
          <w:lang w:val="lt-LT"/>
        </w:rPr>
        <w:instrText xml:space="preserve"> DOCVARIABLE vault_nd_14bd125b-5f80-4f76-a19a-8752f77fc494 </w:instrText>
      </w:r>
      <w:r>
        <w:rPr>
          <w:bCs/>
          <w:szCs w:val="22"/>
          <w:lang w:val="lt-LT"/>
        </w:rPr>
        <w:fldChar w:fldCharType="separate"/>
      </w:r>
      <w:r>
        <w:rPr>
          <w:bCs/>
          <w:szCs w:val="22"/>
          <w:lang w:val="lt-LT"/>
        </w:rPr>
        <w:t xml:space="preserve"> </w:t>
      </w:r>
      <w:r>
        <w:rPr>
          <w:bCs/>
          <w:szCs w:val="22"/>
          <w:lang w:val="lt-LT"/>
        </w:rPr>
        <w:fldChar w:fldCharType="end"/>
      </w:r>
    </w:p>
    <w:p>
      <w:pPr>
        <w:pStyle w:val="ListParagraph"/>
        <w:numPr>
          <w:ilvl w:val="0"/>
          <w:numId w:val="6"/>
        </w:numPr>
        <w:tabs>
          <w:tab w:val="clear" w:pos="567"/>
        </w:tabs>
        <w:spacing w:line="240" w:lineRule="auto"/>
        <w:ind w:left="567" w:hanging="567"/>
        <w:rPr>
          <w:bCs/>
          <w:szCs w:val="22"/>
          <w:lang w:val="lt-LT"/>
        </w:rPr>
      </w:pPr>
      <w:r>
        <w:rPr>
          <w:bCs/>
          <w:szCs w:val="22"/>
          <w:lang w:val="lt-LT"/>
        </w:rPr>
        <w:t>Prieš atidarydami Sephience geriamųjų miltelių paketėlį (-ius), papurtykite arba pastuksenkite jį (juos) ant kieto paviršiaus, kad įsitikintumėte, jog milteliai yra apačioje.</w:t>
      </w:r>
      <w:r>
        <w:rPr>
          <w:bCs/>
          <w:szCs w:val="22"/>
          <w:lang w:val="lt-LT"/>
        </w:rPr>
        <w:fldChar w:fldCharType="begin"/>
      </w:r>
      <w:r>
        <w:rPr>
          <w:bCs/>
          <w:szCs w:val="22"/>
          <w:lang w:val="lt-LT"/>
        </w:rPr>
        <w:instrText xml:space="preserve"> DOCVARIABLE vault_nd_0ffaf3f3-5804-4067-8fb9-d6ea1c5e8033 </w:instrText>
      </w:r>
      <w:r>
        <w:rPr>
          <w:bCs/>
          <w:szCs w:val="22"/>
          <w:lang w:val="lt-LT"/>
        </w:rPr>
        <w:fldChar w:fldCharType="separate"/>
      </w:r>
      <w:r>
        <w:rPr>
          <w:bCs/>
          <w:szCs w:val="22"/>
          <w:lang w:val="lt-LT"/>
        </w:rPr>
        <w:t xml:space="preserve"> </w:t>
      </w:r>
      <w:r>
        <w:rPr>
          <w:bCs/>
          <w:szCs w:val="22"/>
          <w:lang w:val="lt-LT"/>
        </w:rPr>
        <w:fldChar w:fldCharType="end"/>
      </w:r>
    </w:p>
    <w:p>
      <w:pPr>
        <w:pStyle w:val="ListParagraph"/>
        <w:numPr>
          <w:ilvl w:val="0"/>
          <w:numId w:val="6"/>
        </w:numPr>
        <w:tabs>
          <w:tab w:val="clear" w:pos="567"/>
        </w:tabs>
        <w:spacing w:line="240" w:lineRule="auto"/>
        <w:ind w:left="567" w:hanging="567"/>
        <w:rPr>
          <w:bCs/>
          <w:szCs w:val="22"/>
          <w:lang w:val="lt-LT"/>
        </w:rPr>
      </w:pPr>
      <w:r>
        <w:rPr>
          <w:bCs/>
          <w:szCs w:val="22"/>
          <w:lang w:val="lt-LT"/>
        </w:rPr>
        <w:t>Atidarykite Sephience geriamųjų miltelių paketėlį (-ius), atsargiai nuplėšdami arba nukirpdami paketėlio viršų.</w:t>
      </w:r>
      <w:r>
        <w:rPr>
          <w:bCs/>
          <w:szCs w:val="22"/>
          <w:lang w:val="lt-LT"/>
        </w:rPr>
        <w:fldChar w:fldCharType="begin"/>
      </w:r>
      <w:r>
        <w:rPr>
          <w:bCs/>
          <w:szCs w:val="22"/>
          <w:lang w:val="lt-LT"/>
        </w:rPr>
        <w:instrText xml:space="preserve"> DOCVARIABLE vault_nd_5b4a7426-9785-4359-9b16-8e1a4254e9f0 </w:instrText>
      </w:r>
      <w:r>
        <w:rPr>
          <w:bCs/>
          <w:szCs w:val="22"/>
          <w:lang w:val="lt-LT"/>
        </w:rPr>
        <w:fldChar w:fldCharType="separate"/>
      </w:r>
      <w:r>
        <w:rPr>
          <w:bCs/>
          <w:szCs w:val="22"/>
          <w:lang w:val="lt-LT"/>
        </w:rPr>
        <w:t xml:space="preserve"> </w:t>
      </w:r>
      <w:r>
        <w:rPr>
          <w:bCs/>
          <w:szCs w:val="22"/>
          <w:lang w:val="lt-LT"/>
        </w:rPr>
        <w:fldChar w:fldCharType="end"/>
      </w:r>
    </w:p>
    <w:p>
      <w:pPr>
        <w:pStyle w:val="ListParagraph"/>
        <w:numPr>
          <w:ilvl w:val="0"/>
          <w:numId w:val="6"/>
        </w:numPr>
        <w:tabs>
          <w:tab w:val="clear" w:pos="567"/>
        </w:tabs>
        <w:spacing w:line="240" w:lineRule="auto"/>
        <w:ind w:left="567" w:hanging="567"/>
        <w:rPr>
          <w:bCs/>
          <w:szCs w:val="22"/>
          <w:lang w:val="lt-LT"/>
        </w:rPr>
      </w:pPr>
      <w:r>
        <w:rPr>
          <w:bCs/>
          <w:szCs w:val="22"/>
          <w:lang w:val="lt-LT"/>
        </w:rPr>
        <w:t>Kiekvieną</w:t>
      </w:r>
      <w:r>
        <w:rPr>
          <w:b/>
          <w:bCs/>
          <w:szCs w:val="22"/>
          <w:lang w:val="lt-LT"/>
        </w:rPr>
        <w:t xml:space="preserve"> </w:t>
      </w:r>
      <w:r>
        <w:rPr>
          <w:szCs w:val="22"/>
          <w:lang w:val="lt-LT"/>
        </w:rPr>
        <w:t xml:space="preserve">250 mg paketėlį (žr. 3 lentelę) sumaišykite su </w:t>
      </w:r>
      <w:r>
        <w:rPr>
          <w:b/>
          <w:bCs/>
          <w:szCs w:val="22"/>
          <w:lang w:val="lt-LT"/>
        </w:rPr>
        <w:t>9 ml</w:t>
      </w:r>
      <w:r>
        <w:rPr>
          <w:szCs w:val="22"/>
          <w:lang w:val="lt-LT"/>
        </w:rPr>
        <w:t xml:space="preserve"> vandens arba obuolių sulčių. Paketėliai gali būti maišomi su atitinkamu vandens arba obuolių sulčių kiekiu (pvz., du 250 mg paketėliai sumaišomi su 18 ml vandens arba obuolių sulčių).</w:t>
      </w:r>
      <w:r>
        <w:rPr>
          <w:bCs/>
          <w:szCs w:val="22"/>
          <w:lang w:val="lt-LT"/>
        </w:rPr>
        <w:fldChar w:fldCharType="begin"/>
      </w:r>
      <w:r>
        <w:rPr>
          <w:bCs/>
          <w:szCs w:val="22"/>
          <w:lang w:val="lt-LT"/>
        </w:rPr>
        <w:instrText xml:space="preserve"> DOCVARIABLE vault_nd_3d2777e2-c948-4999-8240-54be23fc906f </w:instrText>
      </w:r>
      <w:r>
        <w:rPr>
          <w:bCs/>
          <w:szCs w:val="22"/>
          <w:lang w:val="lt-LT"/>
        </w:rPr>
        <w:fldChar w:fldCharType="separate"/>
      </w:r>
      <w:r>
        <w:rPr>
          <w:bCs/>
          <w:szCs w:val="22"/>
          <w:lang w:val="lt-LT"/>
        </w:rPr>
        <w:t xml:space="preserve"> </w:t>
      </w:r>
      <w:r>
        <w:rPr>
          <w:bCs/>
          <w:szCs w:val="22"/>
          <w:lang w:val="lt-LT"/>
        </w:rPr>
        <w:fldChar w:fldCharType="end"/>
      </w:r>
    </w:p>
    <w:p>
      <w:pPr>
        <w:pStyle w:val="ListParagraph"/>
        <w:numPr>
          <w:ilvl w:val="0"/>
          <w:numId w:val="6"/>
        </w:numPr>
        <w:tabs>
          <w:tab w:val="clear" w:pos="567"/>
        </w:tabs>
        <w:spacing w:line="240" w:lineRule="auto"/>
        <w:ind w:left="567" w:hanging="567"/>
        <w:rPr>
          <w:bCs/>
          <w:szCs w:val="22"/>
          <w:lang w:val="lt-LT"/>
        </w:rPr>
      </w:pPr>
      <w:r>
        <w:rPr>
          <w:bCs/>
          <w:szCs w:val="22"/>
          <w:lang w:val="lt-LT"/>
        </w:rPr>
        <w:t>Maišykite bent 30 sekundžių ar ilgiau, kol mišinyje neliks gumulėlių.</w:t>
      </w:r>
      <w:r>
        <w:rPr>
          <w:bCs/>
          <w:szCs w:val="22"/>
          <w:lang w:val="lt-LT"/>
        </w:rPr>
        <w:fldChar w:fldCharType="begin"/>
      </w:r>
      <w:r>
        <w:rPr>
          <w:bCs/>
          <w:szCs w:val="22"/>
          <w:lang w:val="lt-LT"/>
        </w:rPr>
        <w:instrText xml:space="preserve"> DOCVARIABLE vault_nd_39c66fb2-1d49-49da-88bb-e522a3223e9d </w:instrText>
      </w:r>
      <w:r>
        <w:rPr>
          <w:bCs/>
          <w:szCs w:val="22"/>
          <w:lang w:val="lt-LT"/>
        </w:rPr>
        <w:fldChar w:fldCharType="separate"/>
      </w:r>
      <w:r>
        <w:rPr>
          <w:bCs/>
          <w:szCs w:val="22"/>
          <w:lang w:val="lt-LT"/>
        </w:rPr>
        <w:t xml:space="preserve"> </w:t>
      </w:r>
      <w:r>
        <w:rPr>
          <w:bCs/>
          <w:szCs w:val="22"/>
          <w:lang w:val="lt-LT"/>
        </w:rPr>
        <w:fldChar w:fldCharType="end"/>
      </w:r>
    </w:p>
    <w:p>
      <w:pPr>
        <w:pStyle w:val="ListParagraph"/>
        <w:numPr>
          <w:ilvl w:val="0"/>
          <w:numId w:val="6"/>
        </w:numPr>
        <w:tabs>
          <w:tab w:val="clear" w:pos="567"/>
        </w:tabs>
        <w:spacing w:line="240" w:lineRule="auto"/>
        <w:ind w:left="567" w:hanging="567"/>
        <w:rPr>
          <w:bCs/>
          <w:szCs w:val="22"/>
          <w:lang w:val="lt-LT"/>
        </w:rPr>
      </w:pPr>
      <w:r>
        <w:rPr>
          <w:bCs/>
          <w:szCs w:val="22"/>
          <w:lang w:val="lt-LT"/>
        </w:rPr>
        <w:t>Sumaišius, dozę reikia suvartoti nedelsiant; jei ne, mišinį galima laikyti iki 24 valandų šaldytuve (nuo 2 °C iki 8 °C) arba 6 valandas laikant žemesnėje kaip 25 °C temperatūroje.</w:t>
      </w:r>
      <w:r>
        <w:rPr>
          <w:bCs/>
          <w:szCs w:val="22"/>
          <w:lang w:val="lt-LT"/>
        </w:rPr>
        <w:fldChar w:fldCharType="begin"/>
      </w:r>
      <w:r>
        <w:rPr>
          <w:bCs/>
          <w:szCs w:val="22"/>
          <w:lang w:val="lt-LT"/>
        </w:rPr>
        <w:instrText xml:space="preserve"> DOCVARIABLE vault_nd_e008be64-f392-4d14-9cd8-09e87c4f9424 </w:instrText>
      </w:r>
      <w:r>
        <w:rPr>
          <w:bCs/>
          <w:szCs w:val="22"/>
          <w:lang w:val="lt-LT"/>
        </w:rPr>
        <w:fldChar w:fldCharType="separate"/>
      </w:r>
      <w:r>
        <w:rPr>
          <w:bCs/>
          <w:szCs w:val="22"/>
          <w:lang w:val="lt-LT"/>
        </w:rPr>
        <w:t xml:space="preserve"> </w:t>
      </w:r>
      <w:r>
        <w:rPr>
          <w:bCs/>
          <w:szCs w:val="22"/>
          <w:lang w:val="lt-LT"/>
        </w:rPr>
        <w:fldChar w:fldCharType="end"/>
      </w:r>
    </w:p>
    <w:p>
      <w:pPr>
        <w:pStyle w:val="ListParagraph"/>
        <w:numPr>
          <w:ilvl w:val="0"/>
          <w:numId w:val="6"/>
        </w:numPr>
        <w:tabs>
          <w:tab w:val="clear" w:pos="567"/>
        </w:tabs>
        <w:spacing w:line="240" w:lineRule="auto"/>
        <w:ind w:left="567" w:hanging="567"/>
        <w:rPr>
          <w:bCs/>
          <w:szCs w:val="22"/>
          <w:lang w:val="lt-LT"/>
        </w:rPr>
      </w:pPr>
      <w:r>
        <w:rPr>
          <w:bCs/>
          <w:szCs w:val="22"/>
          <w:lang w:val="lt-LT"/>
        </w:rPr>
        <w:t>Jei ne iš karto suvartojama, mišinį prieš pat vartojimą reikia vėl maišyti mažiausiai 30 sekundžių ar ilgiau, kad neliktų gumulėlių.</w:t>
      </w:r>
      <w:r>
        <w:rPr>
          <w:bCs/>
          <w:szCs w:val="22"/>
          <w:lang w:val="lt-LT"/>
        </w:rPr>
        <w:fldChar w:fldCharType="begin"/>
      </w:r>
      <w:r>
        <w:rPr>
          <w:bCs/>
          <w:szCs w:val="22"/>
          <w:lang w:val="lt-LT"/>
        </w:rPr>
        <w:instrText xml:space="preserve"> DOCVARIABLE vault_nd_5094f12d-0b8f-4fa8-a6af-3720880da6aa </w:instrText>
      </w:r>
      <w:r>
        <w:rPr>
          <w:bCs/>
          <w:szCs w:val="22"/>
          <w:lang w:val="lt-LT"/>
        </w:rPr>
        <w:fldChar w:fldCharType="separate"/>
      </w:r>
      <w:r>
        <w:rPr>
          <w:bCs/>
          <w:szCs w:val="22"/>
          <w:lang w:val="lt-LT"/>
        </w:rPr>
        <w:t xml:space="preserve"> </w:t>
      </w:r>
      <w:r>
        <w:rPr>
          <w:bCs/>
          <w:szCs w:val="22"/>
          <w:lang w:val="lt-LT"/>
        </w:rPr>
        <w:fldChar w:fldCharType="end"/>
      </w:r>
    </w:p>
    <w:p>
      <w:pPr>
        <w:pStyle w:val="ListParagraph"/>
        <w:numPr>
          <w:ilvl w:val="0"/>
          <w:numId w:val="6"/>
        </w:numPr>
        <w:tabs>
          <w:tab w:val="clear" w:pos="567"/>
        </w:tabs>
        <w:spacing w:line="240" w:lineRule="auto"/>
        <w:ind w:left="567" w:hanging="567"/>
        <w:rPr>
          <w:bCs/>
          <w:szCs w:val="22"/>
          <w:lang w:val="lt-LT"/>
        </w:rPr>
      </w:pPr>
      <w:r>
        <w:rPr>
          <w:bCs/>
          <w:szCs w:val="22"/>
          <w:lang w:val="lt-LT"/>
        </w:rPr>
        <w:t>Reikiamą dozę (žr. 3 lentelę) suleiskite į burną švirkštu arba per enterinio maitinimo vamzdelį.</w:t>
      </w:r>
      <w:r>
        <w:rPr>
          <w:szCs w:val="22"/>
          <w:lang w:val="lt-LT"/>
        </w:rPr>
        <w:fldChar w:fldCharType="begin"/>
      </w:r>
      <w:r>
        <w:rPr>
          <w:szCs w:val="22"/>
          <w:lang w:val="lt-LT"/>
        </w:rPr>
        <w:instrText xml:space="preserve"> DOCVARIABLE vault_nd_feed98ae-9eb3-4cac-bd12-1b5a0607151d </w:instrText>
      </w:r>
      <w:r>
        <w:rPr>
          <w:szCs w:val="22"/>
          <w:lang w:val="lt-LT"/>
        </w:rPr>
        <w:fldChar w:fldCharType="separate"/>
      </w:r>
      <w:r>
        <w:rPr>
          <w:szCs w:val="22"/>
          <w:lang w:val="lt-LT"/>
        </w:rPr>
        <w:t xml:space="preserve"> </w:t>
      </w:r>
      <w:r>
        <w:rPr>
          <w:szCs w:val="22"/>
          <w:lang w:val="lt-LT"/>
        </w:rPr>
        <w:fldChar w:fldCharType="end"/>
      </w:r>
    </w:p>
    <w:p>
      <w:pPr>
        <w:pStyle w:val="ListParagraph"/>
        <w:numPr>
          <w:ilvl w:val="0"/>
          <w:numId w:val="6"/>
        </w:numPr>
        <w:tabs>
          <w:tab w:val="clear" w:pos="567"/>
        </w:tabs>
        <w:spacing w:line="240" w:lineRule="auto"/>
        <w:ind w:left="567" w:hanging="567"/>
        <w:rPr>
          <w:b/>
          <w:szCs w:val="22"/>
          <w:lang w:val="lt-LT"/>
        </w:rPr>
      </w:pPr>
      <w:r>
        <w:rPr>
          <w:szCs w:val="22"/>
          <w:lang w:val="lt-LT"/>
        </w:rPr>
        <w:t>Išplaukite švirkštą papildomu vandens arba obuolių sulčių kiekiu (ne mažiau kaip 15 ml) ir nurykite turinį, kad tikrai būtų suvartota visa dozė.</w:t>
      </w:r>
      <w:r>
        <w:rPr>
          <w:bCs/>
          <w:szCs w:val="22"/>
          <w:lang w:val="lt-LT"/>
        </w:rPr>
        <w:fldChar w:fldCharType="begin"/>
      </w:r>
      <w:r>
        <w:rPr>
          <w:bCs/>
          <w:szCs w:val="22"/>
          <w:lang w:val="lt-LT"/>
        </w:rPr>
        <w:instrText xml:space="preserve"> DOCVARIABLE vault_nd_bcac7e73-8787-486f-b45b-6216b7c70683 </w:instrText>
      </w:r>
      <w:r>
        <w:rPr>
          <w:bCs/>
          <w:szCs w:val="22"/>
          <w:lang w:val="lt-LT"/>
        </w:rPr>
        <w:fldChar w:fldCharType="separate"/>
      </w:r>
      <w:r>
        <w:rPr>
          <w:bCs/>
          <w:szCs w:val="22"/>
          <w:lang w:val="lt-LT"/>
        </w:rPr>
        <w:t xml:space="preserve"> </w:t>
      </w:r>
      <w:r>
        <w:rPr>
          <w:bCs/>
          <w:szCs w:val="22"/>
          <w:lang w:val="lt-LT"/>
        </w:rPr>
        <w:fldChar w:fldCharType="end"/>
      </w:r>
    </w:p>
    <w:p>
      <w:pPr>
        <w:tabs>
          <w:tab w:val="clear" w:pos="567"/>
          <w:tab w:val="left" w:pos="720"/>
        </w:tabs>
        <w:spacing w:line="240" w:lineRule="auto"/>
        <w:ind w:right="-2"/>
        <w:rPr>
          <w:b/>
          <w:szCs w:val="22"/>
          <w:lang w:val="lt-LT"/>
        </w:rPr>
      </w:pPr>
    </w:p>
    <w:p>
      <w:pPr>
        <w:tabs>
          <w:tab w:val="clear" w:pos="567"/>
          <w:tab w:val="left" w:pos="720"/>
        </w:tabs>
        <w:spacing w:line="240" w:lineRule="auto"/>
        <w:ind w:right="-2"/>
        <w:rPr>
          <w:b/>
          <w:szCs w:val="22"/>
          <w:lang w:val="lt-LT"/>
        </w:rPr>
      </w:pPr>
      <w:r>
        <w:rPr>
          <w:b/>
          <w:bCs/>
          <w:szCs w:val="22"/>
          <w:lang w:val="lt-LT"/>
        </w:rPr>
        <w:t>3 lentelė. Kaip apskaičiuoti dozę vyresniems nei 2 metų pacientams, sveriantiems 16 kg ar mažiau</w:t>
      </w:r>
      <w:r>
        <w:rPr>
          <w:b/>
          <w:szCs w:val="22"/>
          <w:lang w:val="lt-LT"/>
        </w:rPr>
        <w:fldChar w:fldCharType="begin"/>
      </w:r>
      <w:r>
        <w:rPr>
          <w:b/>
          <w:szCs w:val="22"/>
          <w:lang w:val="lt-LT"/>
        </w:rPr>
        <w:instrText xml:space="preserve"> DOCVARIABLE vault_nd_eec94163-930e-46e9-861b-e153073ca413 </w:instrText>
      </w:r>
      <w:r>
        <w:rPr>
          <w:b/>
          <w:szCs w:val="22"/>
          <w:lang w:val="lt-LT"/>
        </w:rPr>
        <w:fldChar w:fldCharType="separate"/>
      </w:r>
      <w:r>
        <w:rPr>
          <w:b/>
          <w:szCs w:val="22"/>
          <w:lang w:val="lt-LT"/>
        </w:rPr>
        <w:t xml:space="preserve"> </w:t>
      </w:r>
      <w:r>
        <w:rPr>
          <w:b/>
          <w:szCs w:val="22"/>
          <w:lang w:val="lt-LT"/>
        </w:rPr>
        <w:fldChar w:fldCharType="end"/>
      </w:r>
    </w:p>
    <w:tbl>
      <w:tblPr>
        <w:tblStyle w:val="TableGrid"/>
        <w:tblW w:w="9061" w:type="dxa"/>
        <w:tblLayout w:type="fixed"/>
        <w:tblLook w:val="04A0" w:firstRow="1" w:lastRow="0" w:firstColumn="1" w:lastColumn="0" w:noHBand="0" w:noVBand="1"/>
      </w:tblPr>
      <w:tblGrid>
        <w:gridCol w:w="1675"/>
        <w:gridCol w:w="3282"/>
        <w:gridCol w:w="4104"/>
      </w:tblGrid>
      <w:tr>
        <w:tc>
          <w:tcPr>
            <w:tcW w:w="1675" w:type="dxa"/>
            <w:vMerge w:val="restart"/>
            <w:vAlign w:val="center"/>
          </w:tcPr>
          <w:p>
            <w:pPr>
              <w:spacing w:line="240" w:lineRule="auto"/>
              <w:ind w:right="-2"/>
              <w:rPr>
                <w:b/>
                <w:szCs w:val="22"/>
                <w:lang w:val="lt-LT"/>
              </w:rPr>
            </w:pPr>
            <w:r>
              <w:rPr>
                <w:b/>
                <w:bCs/>
                <w:szCs w:val="22"/>
                <w:lang w:val="lt-LT"/>
              </w:rPr>
              <w:t>Svoris (kg)</w:t>
            </w:r>
          </w:p>
        </w:tc>
        <w:tc>
          <w:tcPr>
            <w:tcW w:w="7386" w:type="dxa"/>
            <w:gridSpan w:val="2"/>
          </w:tcPr>
          <w:p>
            <w:pPr>
              <w:tabs>
                <w:tab w:val="clear" w:pos="567"/>
                <w:tab w:val="left" w:pos="720"/>
              </w:tabs>
              <w:spacing w:line="240" w:lineRule="auto"/>
              <w:ind w:right="-2"/>
              <w:jc w:val="center"/>
              <w:rPr>
                <w:b/>
                <w:szCs w:val="22"/>
                <w:lang w:val="lt-LT"/>
              </w:rPr>
            </w:pPr>
            <w:r>
              <w:rPr>
                <w:b/>
                <w:bCs/>
                <w:szCs w:val="22"/>
                <w:lang w:val="lt-LT"/>
              </w:rPr>
              <w:t>Dozė: 60 mg/kg per parą</w:t>
            </w:r>
          </w:p>
        </w:tc>
      </w:tr>
      <w:tr>
        <w:tc>
          <w:tcPr>
            <w:tcW w:w="1675" w:type="dxa"/>
            <w:vMerge/>
            <w:vAlign w:val="center"/>
          </w:tcPr>
          <w:p>
            <w:pPr>
              <w:tabs>
                <w:tab w:val="clear" w:pos="567"/>
              </w:tabs>
              <w:spacing w:line="240" w:lineRule="auto"/>
              <w:rPr>
                <w:b/>
                <w:szCs w:val="22"/>
                <w:lang w:val="lt-LT"/>
              </w:rPr>
            </w:pPr>
          </w:p>
        </w:tc>
        <w:tc>
          <w:tcPr>
            <w:tcW w:w="7386" w:type="dxa"/>
            <w:gridSpan w:val="2"/>
          </w:tcPr>
          <w:p>
            <w:pPr>
              <w:tabs>
                <w:tab w:val="clear" w:pos="567"/>
                <w:tab w:val="left" w:pos="720"/>
              </w:tabs>
              <w:spacing w:line="240" w:lineRule="auto"/>
              <w:ind w:right="-2"/>
              <w:jc w:val="center"/>
              <w:rPr>
                <w:b/>
                <w:szCs w:val="22"/>
                <w:lang w:val="lt-LT"/>
              </w:rPr>
            </w:pPr>
            <w:r>
              <w:rPr>
                <w:b/>
                <w:bCs/>
                <w:color w:val="000000"/>
                <w:szCs w:val="22"/>
                <w:lang w:val="lt-LT" w:eastAsia="en-GB"/>
              </w:rPr>
              <w:t>Amžius: 2 metai ir vyresni</w:t>
            </w:r>
          </w:p>
        </w:tc>
      </w:tr>
      <w:tr>
        <w:tc>
          <w:tcPr>
            <w:tcW w:w="1675" w:type="dxa"/>
            <w:vMerge/>
            <w:vAlign w:val="center"/>
          </w:tcPr>
          <w:p>
            <w:pPr>
              <w:tabs>
                <w:tab w:val="clear" w:pos="567"/>
              </w:tabs>
              <w:spacing w:line="240" w:lineRule="auto"/>
              <w:rPr>
                <w:b/>
                <w:szCs w:val="22"/>
                <w:lang w:val="lt-LT"/>
              </w:rPr>
            </w:pPr>
          </w:p>
        </w:tc>
        <w:tc>
          <w:tcPr>
            <w:tcW w:w="3282" w:type="dxa"/>
          </w:tcPr>
          <w:p>
            <w:pPr>
              <w:tabs>
                <w:tab w:val="clear" w:pos="567"/>
                <w:tab w:val="left" w:pos="720"/>
              </w:tabs>
              <w:spacing w:line="240" w:lineRule="auto"/>
              <w:ind w:right="-2"/>
              <w:jc w:val="center"/>
              <w:rPr>
                <w:b/>
                <w:szCs w:val="22"/>
                <w:lang w:val="lt-LT"/>
              </w:rPr>
            </w:pPr>
            <w:r>
              <w:rPr>
                <w:b/>
                <w:bCs/>
                <w:szCs w:val="22"/>
                <w:lang w:val="lt-LT"/>
              </w:rPr>
              <w:t>250 mg paketėlių skaičius</w:t>
            </w:r>
          </w:p>
        </w:tc>
        <w:tc>
          <w:tcPr>
            <w:tcW w:w="4104" w:type="dxa"/>
          </w:tcPr>
          <w:p>
            <w:pPr>
              <w:tabs>
                <w:tab w:val="clear" w:pos="567"/>
                <w:tab w:val="left" w:pos="720"/>
              </w:tabs>
              <w:spacing w:line="240" w:lineRule="auto"/>
              <w:ind w:right="-2"/>
              <w:jc w:val="center"/>
              <w:rPr>
                <w:b/>
                <w:szCs w:val="22"/>
                <w:lang w:val="lt-LT"/>
              </w:rPr>
            </w:pPr>
            <w:r>
              <w:rPr>
                <w:b/>
                <w:bCs/>
                <w:szCs w:val="22"/>
                <w:lang w:val="lt-LT"/>
              </w:rPr>
              <w:t>Vartojamas tūris (ml)</w:t>
            </w:r>
          </w:p>
        </w:tc>
      </w:tr>
      <w:tr>
        <w:tc>
          <w:tcPr>
            <w:tcW w:w="1675" w:type="dxa"/>
          </w:tcPr>
          <w:p>
            <w:pPr>
              <w:tabs>
                <w:tab w:val="clear" w:pos="567"/>
                <w:tab w:val="left" w:pos="720"/>
              </w:tabs>
              <w:spacing w:line="240" w:lineRule="auto"/>
              <w:ind w:right="-2"/>
              <w:jc w:val="center"/>
              <w:rPr>
                <w:bCs/>
                <w:szCs w:val="22"/>
                <w:lang w:val="lt-LT"/>
              </w:rPr>
            </w:pPr>
            <w:r>
              <w:rPr>
                <w:bCs/>
                <w:szCs w:val="22"/>
                <w:lang w:val="lt-LT"/>
              </w:rPr>
              <w:t>5</w:t>
            </w:r>
          </w:p>
        </w:tc>
        <w:tc>
          <w:tcPr>
            <w:tcW w:w="3282" w:type="dxa"/>
            <w:vAlign w:val="center"/>
          </w:tcPr>
          <w:p>
            <w:pPr>
              <w:tabs>
                <w:tab w:val="clear" w:pos="567"/>
                <w:tab w:val="left" w:pos="720"/>
              </w:tabs>
              <w:spacing w:line="240" w:lineRule="auto"/>
              <w:ind w:right="-2"/>
              <w:jc w:val="center"/>
              <w:rPr>
                <w:bCs/>
                <w:szCs w:val="22"/>
                <w:lang w:val="lt-LT"/>
              </w:rPr>
            </w:pPr>
            <w:r>
              <w:rPr>
                <w:color w:val="000000"/>
                <w:szCs w:val="22"/>
                <w:lang w:val="lt-LT"/>
              </w:rPr>
              <w:t>2</w:t>
            </w:r>
          </w:p>
        </w:tc>
        <w:tc>
          <w:tcPr>
            <w:tcW w:w="4104" w:type="dxa"/>
            <w:vAlign w:val="center"/>
          </w:tcPr>
          <w:p>
            <w:pPr>
              <w:tabs>
                <w:tab w:val="clear" w:pos="567"/>
                <w:tab w:val="left" w:pos="720"/>
              </w:tabs>
              <w:spacing w:line="240" w:lineRule="auto"/>
              <w:ind w:right="-2"/>
              <w:jc w:val="center"/>
              <w:rPr>
                <w:bCs/>
                <w:szCs w:val="22"/>
                <w:lang w:val="lt-LT"/>
              </w:rPr>
            </w:pPr>
            <w:r>
              <w:rPr>
                <w:color w:val="000000"/>
                <w:szCs w:val="22"/>
                <w:lang w:val="lt-LT"/>
              </w:rPr>
              <w:t>12</w:t>
            </w:r>
          </w:p>
        </w:tc>
      </w:tr>
      <w:tr>
        <w:tc>
          <w:tcPr>
            <w:tcW w:w="1675" w:type="dxa"/>
          </w:tcPr>
          <w:p>
            <w:pPr>
              <w:tabs>
                <w:tab w:val="clear" w:pos="567"/>
                <w:tab w:val="left" w:pos="720"/>
              </w:tabs>
              <w:spacing w:line="240" w:lineRule="auto"/>
              <w:ind w:right="-2"/>
              <w:jc w:val="center"/>
              <w:rPr>
                <w:bCs/>
                <w:szCs w:val="22"/>
                <w:lang w:val="lt-LT"/>
              </w:rPr>
            </w:pPr>
            <w:r>
              <w:rPr>
                <w:bCs/>
                <w:szCs w:val="22"/>
                <w:lang w:val="lt-LT"/>
              </w:rPr>
              <w:t>6</w:t>
            </w:r>
          </w:p>
        </w:tc>
        <w:tc>
          <w:tcPr>
            <w:tcW w:w="3282" w:type="dxa"/>
            <w:vAlign w:val="center"/>
          </w:tcPr>
          <w:p>
            <w:pPr>
              <w:tabs>
                <w:tab w:val="clear" w:pos="567"/>
                <w:tab w:val="left" w:pos="720"/>
              </w:tabs>
              <w:spacing w:line="240" w:lineRule="auto"/>
              <w:ind w:right="-2"/>
              <w:jc w:val="center"/>
              <w:rPr>
                <w:bCs/>
                <w:szCs w:val="22"/>
                <w:lang w:val="lt-LT"/>
              </w:rPr>
            </w:pPr>
            <w:r>
              <w:rPr>
                <w:color w:val="000000"/>
                <w:szCs w:val="22"/>
                <w:lang w:val="lt-LT"/>
              </w:rPr>
              <w:t>2</w:t>
            </w:r>
          </w:p>
        </w:tc>
        <w:tc>
          <w:tcPr>
            <w:tcW w:w="4104" w:type="dxa"/>
            <w:vAlign w:val="center"/>
          </w:tcPr>
          <w:p>
            <w:pPr>
              <w:tabs>
                <w:tab w:val="clear" w:pos="567"/>
                <w:tab w:val="left" w:pos="720"/>
              </w:tabs>
              <w:spacing w:line="240" w:lineRule="auto"/>
              <w:ind w:right="-2"/>
              <w:jc w:val="center"/>
              <w:rPr>
                <w:bCs/>
                <w:szCs w:val="22"/>
                <w:lang w:val="lt-LT"/>
              </w:rPr>
            </w:pPr>
            <w:r>
              <w:rPr>
                <w:color w:val="000000"/>
                <w:szCs w:val="22"/>
                <w:lang w:val="lt-LT"/>
              </w:rPr>
              <w:t>14,4</w:t>
            </w:r>
          </w:p>
        </w:tc>
      </w:tr>
      <w:tr>
        <w:tc>
          <w:tcPr>
            <w:tcW w:w="1675" w:type="dxa"/>
          </w:tcPr>
          <w:p>
            <w:pPr>
              <w:tabs>
                <w:tab w:val="clear" w:pos="567"/>
                <w:tab w:val="left" w:pos="720"/>
              </w:tabs>
              <w:spacing w:line="240" w:lineRule="auto"/>
              <w:ind w:right="-2"/>
              <w:jc w:val="center"/>
              <w:rPr>
                <w:bCs/>
                <w:szCs w:val="22"/>
                <w:lang w:val="lt-LT"/>
              </w:rPr>
            </w:pPr>
            <w:r>
              <w:rPr>
                <w:bCs/>
                <w:szCs w:val="22"/>
                <w:lang w:val="lt-LT"/>
              </w:rPr>
              <w:t>7</w:t>
            </w:r>
          </w:p>
        </w:tc>
        <w:tc>
          <w:tcPr>
            <w:tcW w:w="3282" w:type="dxa"/>
            <w:vAlign w:val="center"/>
          </w:tcPr>
          <w:p>
            <w:pPr>
              <w:tabs>
                <w:tab w:val="clear" w:pos="567"/>
                <w:tab w:val="left" w:pos="720"/>
              </w:tabs>
              <w:spacing w:line="240" w:lineRule="auto"/>
              <w:ind w:right="-2"/>
              <w:jc w:val="center"/>
              <w:rPr>
                <w:bCs/>
                <w:szCs w:val="22"/>
                <w:lang w:val="lt-LT"/>
              </w:rPr>
            </w:pPr>
            <w:r>
              <w:rPr>
                <w:color w:val="000000"/>
                <w:szCs w:val="22"/>
                <w:lang w:val="lt-LT"/>
              </w:rPr>
              <w:t>2</w:t>
            </w:r>
          </w:p>
        </w:tc>
        <w:tc>
          <w:tcPr>
            <w:tcW w:w="4104" w:type="dxa"/>
            <w:vAlign w:val="center"/>
          </w:tcPr>
          <w:p>
            <w:pPr>
              <w:tabs>
                <w:tab w:val="clear" w:pos="567"/>
                <w:tab w:val="left" w:pos="720"/>
              </w:tabs>
              <w:spacing w:line="240" w:lineRule="auto"/>
              <w:ind w:right="-2"/>
              <w:jc w:val="center"/>
              <w:rPr>
                <w:bCs/>
                <w:szCs w:val="22"/>
                <w:lang w:val="lt-LT"/>
              </w:rPr>
            </w:pPr>
            <w:r>
              <w:rPr>
                <w:color w:val="000000"/>
                <w:szCs w:val="22"/>
                <w:lang w:val="lt-LT"/>
              </w:rPr>
              <w:t>16,8</w:t>
            </w:r>
          </w:p>
        </w:tc>
      </w:tr>
      <w:tr>
        <w:tc>
          <w:tcPr>
            <w:tcW w:w="1675" w:type="dxa"/>
          </w:tcPr>
          <w:p>
            <w:pPr>
              <w:tabs>
                <w:tab w:val="clear" w:pos="567"/>
                <w:tab w:val="left" w:pos="720"/>
              </w:tabs>
              <w:spacing w:line="240" w:lineRule="auto"/>
              <w:ind w:right="-2"/>
              <w:jc w:val="center"/>
              <w:rPr>
                <w:bCs/>
                <w:szCs w:val="22"/>
                <w:lang w:val="lt-LT"/>
              </w:rPr>
            </w:pPr>
            <w:r>
              <w:rPr>
                <w:bCs/>
                <w:szCs w:val="22"/>
                <w:lang w:val="lt-LT"/>
              </w:rPr>
              <w:t>8</w:t>
            </w:r>
          </w:p>
        </w:tc>
        <w:tc>
          <w:tcPr>
            <w:tcW w:w="3282" w:type="dxa"/>
            <w:vAlign w:val="center"/>
          </w:tcPr>
          <w:p>
            <w:pPr>
              <w:tabs>
                <w:tab w:val="clear" w:pos="567"/>
                <w:tab w:val="left" w:pos="720"/>
              </w:tabs>
              <w:spacing w:line="240" w:lineRule="auto"/>
              <w:ind w:right="-2"/>
              <w:jc w:val="center"/>
              <w:rPr>
                <w:bCs/>
                <w:szCs w:val="22"/>
                <w:lang w:val="lt-LT"/>
              </w:rPr>
            </w:pPr>
            <w:r>
              <w:rPr>
                <w:color w:val="000000"/>
                <w:szCs w:val="22"/>
                <w:lang w:val="lt-LT"/>
              </w:rPr>
              <w:t>2</w:t>
            </w:r>
          </w:p>
        </w:tc>
        <w:tc>
          <w:tcPr>
            <w:tcW w:w="4104" w:type="dxa"/>
            <w:vAlign w:val="center"/>
          </w:tcPr>
          <w:p>
            <w:pPr>
              <w:tabs>
                <w:tab w:val="clear" w:pos="567"/>
                <w:tab w:val="left" w:pos="720"/>
              </w:tabs>
              <w:spacing w:line="240" w:lineRule="auto"/>
              <w:ind w:right="-2"/>
              <w:jc w:val="center"/>
              <w:rPr>
                <w:bCs/>
                <w:szCs w:val="22"/>
                <w:lang w:val="lt-LT"/>
              </w:rPr>
            </w:pPr>
            <w:r>
              <w:rPr>
                <w:color w:val="000000"/>
                <w:szCs w:val="22"/>
                <w:lang w:val="lt-LT"/>
              </w:rPr>
              <w:t>19,2</w:t>
            </w:r>
          </w:p>
        </w:tc>
      </w:tr>
      <w:tr>
        <w:tc>
          <w:tcPr>
            <w:tcW w:w="1675" w:type="dxa"/>
          </w:tcPr>
          <w:p>
            <w:pPr>
              <w:tabs>
                <w:tab w:val="clear" w:pos="567"/>
                <w:tab w:val="left" w:pos="720"/>
              </w:tabs>
              <w:spacing w:line="240" w:lineRule="auto"/>
              <w:ind w:right="-2"/>
              <w:jc w:val="center"/>
              <w:rPr>
                <w:bCs/>
                <w:szCs w:val="22"/>
                <w:lang w:val="lt-LT"/>
              </w:rPr>
            </w:pPr>
            <w:r>
              <w:rPr>
                <w:bCs/>
                <w:szCs w:val="22"/>
                <w:lang w:val="lt-LT"/>
              </w:rPr>
              <w:t>9</w:t>
            </w:r>
          </w:p>
        </w:tc>
        <w:tc>
          <w:tcPr>
            <w:tcW w:w="3282" w:type="dxa"/>
            <w:vAlign w:val="center"/>
          </w:tcPr>
          <w:p>
            <w:pPr>
              <w:tabs>
                <w:tab w:val="clear" w:pos="567"/>
                <w:tab w:val="left" w:pos="720"/>
              </w:tabs>
              <w:spacing w:line="240" w:lineRule="auto"/>
              <w:ind w:right="-2"/>
              <w:jc w:val="center"/>
              <w:rPr>
                <w:bCs/>
                <w:szCs w:val="22"/>
                <w:lang w:val="lt-LT"/>
              </w:rPr>
            </w:pPr>
            <w:r>
              <w:rPr>
                <w:bCs/>
                <w:szCs w:val="22"/>
                <w:lang w:val="lt-LT"/>
              </w:rPr>
              <w:t>3</w:t>
            </w:r>
          </w:p>
        </w:tc>
        <w:tc>
          <w:tcPr>
            <w:tcW w:w="4104" w:type="dxa"/>
            <w:vAlign w:val="center"/>
          </w:tcPr>
          <w:p>
            <w:pPr>
              <w:tabs>
                <w:tab w:val="clear" w:pos="567"/>
                <w:tab w:val="left" w:pos="720"/>
              </w:tabs>
              <w:spacing w:line="240" w:lineRule="auto"/>
              <w:ind w:right="-2"/>
              <w:jc w:val="center"/>
              <w:rPr>
                <w:bCs/>
                <w:szCs w:val="22"/>
                <w:lang w:val="lt-LT"/>
              </w:rPr>
            </w:pPr>
            <w:r>
              <w:rPr>
                <w:color w:val="000000"/>
                <w:szCs w:val="22"/>
                <w:lang w:val="lt-LT"/>
              </w:rPr>
              <w:t>21,6</w:t>
            </w:r>
          </w:p>
        </w:tc>
      </w:tr>
      <w:tr>
        <w:tc>
          <w:tcPr>
            <w:tcW w:w="1675" w:type="dxa"/>
          </w:tcPr>
          <w:p>
            <w:pPr>
              <w:tabs>
                <w:tab w:val="clear" w:pos="567"/>
                <w:tab w:val="left" w:pos="720"/>
              </w:tabs>
              <w:spacing w:line="240" w:lineRule="auto"/>
              <w:ind w:right="-2"/>
              <w:jc w:val="center"/>
              <w:rPr>
                <w:bCs/>
                <w:szCs w:val="22"/>
                <w:lang w:val="lt-LT"/>
              </w:rPr>
            </w:pPr>
            <w:r>
              <w:rPr>
                <w:bCs/>
                <w:szCs w:val="22"/>
                <w:lang w:val="lt-LT"/>
              </w:rPr>
              <w:t>10</w:t>
            </w:r>
          </w:p>
        </w:tc>
        <w:tc>
          <w:tcPr>
            <w:tcW w:w="3282" w:type="dxa"/>
            <w:vAlign w:val="center"/>
          </w:tcPr>
          <w:p>
            <w:pPr>
              <w:tabs>
                <w:tab w:val="clear" w:pos="567"/>
                <w:tab w:val="left" w:pos="720"/>
              </w:tabs>
              <w:spacing w:line="240" w:lineRule="auto"/>
              <w:ind w:right="-2"/>
              <w:jc w:val="center"/>
              <w:rPr>
                <w:bCs/>
                <w:szCs w:val="22"/>
                <w:lang w:val="lt-LT"/>
              </w:rPr>
            </w:pPr>
            <w:r>
              <w:rPr>
                <w:bCs/>
                <w:szCs w:val="22"/>
                <w:lang w:val="lt-LT"/>
              </w:rPr>
              <w:t>3</w:t>
            </w:r>
          </w:p>
        </w:tc>
        <w:tc>
          <w:tcPr>
            <w:tcW w:w="4104" w:type="dxa"/>
            <w:vAlign w:val="center"/>
          </w:tcPr>
          <w:p>
            <w:pPr>
              <w:tabs>
                <w:tab w:val="clear" w:pos="567"/>
                <w:tab w:val="left" w:pos="720"/>
              </w:tabs>
              <w:spacing w:line="240" w:lineRule="auto"/>
              <w:ind w:right="-2"/>
              <w:jc w:val="center"/>
              <w:rPr>
                <w:bCs/>
                <w:szCs w:val="22"/>
                <w:lang w:val="lt-LT"/>
              </w:rPr>
            </w:pPr>
            <w:r>
              <w:rPr>
                <w:color w:val="000000"/>
                <w:szCs w:val="22"/>
                <w:lang w:val="lt-LT"/>
              </w:rPr>
              <w:t>24</w:t>
            </w:r>
          </w:p>
        </w:tc>
      </w:tr>
      <w:tr>
        <w:tc>
          <w:tcPr>
            <w:tcW w:w="1675" w:type="dxa"/>
          </w:tcPr>
          <w:p>
            <w:pPr>
              <w:tabs>
                <w:tab w:val="clear" w:pos="567"/>
                <w:tab w:val="left" w:pos="720"/>
              </w:tabs>
              <w:spacing w:line="240" w:lineRule="auto"/>
              <w:ind w:right="-2"/>
              <w:jc w:val="center"/>
              <w:rPr>
                <w:bCs/>
                <w:szCs w:val="22"/>
                <w:lang w:val="lt-LT"/>
              </w:rPr>
            </w:pPr>
            <w:r>
              <w:rPr>
                <w:bCs/>
                <w:szCs w:val="22"/>
                <w:lang w:val="lt-LT"/>
              </w:rPr>
              <w:t>11</w:t>
            </w:r>
          </w:p>
        </w:tc>
        <w:tc>
          <w:tcPr>
            <w:tcW w:w="3282" w:type="dxa"/>
            <w:vAlign w:val="center"/>
          </w:tcPr>
          <w:p>
            <w:pPr>
              <w:tabs>
                <w:tab w:val="clear" w:pos="567"/>
                <w:tab w:val="left" w:pos="720"/>
              </w:tabs>
              <w:spacing w:line="240" w:lineRule="auto"/>
              <w:ind w:right="-2"/>
              <w:jc w:val="center"/>
              <w:rPr>
                <w:bCs/>
                <w:szCs w:val="22"/>
                <w:lang w:val="lt-LT"/>
              </w:rPr>
            </w:pPr>
            <w:r>
              <w:rPr>
                <w:bCs/>
                <w:szCs w:val="22"/>
                <w:lang w:val="lt-LT"/>
              </w:rPr>
              <w:t>3</w:t>
            </w:r>
          </w:p>
        </w:tc>
        <w:tc>
          <w:tcPr>
            <w:tcW w:w="4104" w:type="dxa"/>
            <w:vAlign w:val="center"/>
          </w:tcPr>
          <w:p>
            <w:pPr>
              <w:tabs>
                <w:tab w:val="clear" w:pos="567"/>
                <w:tab w:val="left" w:pos="720"/>
              </w:tabs>
              <w:spacing w:line="240" w:lineRule="auto"/>
              <w:ind w:right="-2"/>
              <w:jc w:val="center"/>
              <w:rPr>
                <w:bCs/>
                <w:szCs w:val="22"/>
                <w:lang w:val="lt-LT"/>
              </w:rPr>
            </w:pPr>
            <w:r>
              <w:rPr>
                <w:bCs/>
                <w:szCs w:val="22"/>
                <w:lang w:val="lt-LT"/>
              </w:rPr>
              <w:t>26,4</w:t>
            </w:r>
          </w:p>
        </w:tc>
      </w:tr>
      <w:tr>
        <w:tc>
          <w:tcPr>
            <w:tcW w:w="1675" w:type="dxa"/>
          </w:tcPr>
          <w:p>
            <w:pPr>
              <w:tabs>
                <w:tab w:val="clear" w:pos="567"/>
                <w:tab w:val="left" w:pos="720"/>
              </w:tabs>
              <w:spacing w:line="240" w:lineRule="auto"/>
              <w:ind w:right="-2"/>
              <w:jc w:val="center"/>
              <w:rPr>
                <w:bCs/>
                <w:szCs w:val="22"/>
                <w:lang w:val="lt-LT"/>
              </w:rPr>
            </w:pPr>
            <w:r>
              <w:rPr>
                <w:bCs/>
                <w:szCs w:val="22"/>
                <w:lang w:val="lt-LT"/>
              </w:rPr>
              <w:t>12</w:t>
            </w:r>
          </w:p>
        </w:tc>
        <w:tc>
          <w:tcPr>
            <w:tcW w:w="3282" w:type="dxa"/>
            <w:vAlign w:val="center"/>
          </w:tcPr>
          <w:p>
            <w:pPr>
              <w:tabs>
                <w:tab w:val="clear" w:pos="567"/>
                <w:tab w:val="left" w:pos="720"/>
              </w:tabs>
              <w:spacing w:line="240" w:lineRule="auto"/>
              <w:ind w:right="-2"/>
              <w:jc w:val="center"/>
              <w:rPr>
                <w:bCs/>
                <w:szCs w:val="22"/>
                <w:lang w:val="lt-LT"/>
              </w:rPr>
            </w:pPr>
            <w:r>
              <w:rPr>
                <w:bCs/>
                <w:szCs w:val="22"/>
                <w:lang w:val="lt-LT"/>
              </w:rPr>
              <w:t>3</w:t>
            </w:r>
          </w:p>
        </w:tc>
        <w:tc>
          <w:tcPr>
            <w:tcW w:w="4104" w:type="dxa"/>
            <w:vAlign w:val="center"/>
          </w:tcPr>
          <w:p>
            <w:pPr>
              <w:tabs>
                <w:tab w:val="clear" w:pos="567"/>
                <w:tab w:val="left" w:pos="720"/>
              </w:tabs>
              <w:spacing w:line="240" w:lineRule="auto"/>
              <w:ind w:right="-2"/>
              <w:jc w:val="center"/>
              <w:rPr>
                <w:bCs/>
                <w:szCs w:val="22"/>
                <w:lang w:val="lt-LT"/>
              </w:rPr>
            </w:pPr>
            <w:r>
              <w:rPr>
                <w:bCs/>
                <w:szCs w:val="22"/>
                <w:lang w:val="lt-LT"/>
              </w:rPr>
              <w:t>28,8</w:t>
            </w:r>
          </w:p>
        </w:tc>
      </w:tr>
      <w:tr>
        <w:tc>
          <w:tcPr>
            <w:tcW w:w="1675" w:type="dxa"/>
          </w:tcPr>
          <w:p>
            <w:pPr>
              <w:tabs>
                <w:tab w:val="clear" w:pos="567"/>
                <w:tab w:val="left" w:pos="720"/>
              </w:tabs>
              <w:spacing w:line="240" w:lineRule="auto"/>
              <w:ind w:right="-2"/>
              <w:jc w:val="center"/>
              <w:rPr>
                <w:bCs/>
                <w:szCs w:val="22"/>
                <w:lang w:val="lt-LT"/>
              </w:rPr>
            </w:pPr>
            <w:r>
              <w:rPr>
                <w:bCs/>
                <w:szCs w:val="22"/>
                <w:lang w:val="lt-LT"/>
              </w:rPr>
              <w:t>13</w:t>
            </w:r>
          </w:p>
        </w:tc>
        <w:tc>
          <w:tcPr>
            <w:tcW w:w="3282" w:type="dxa"/>
            <w:vAlign w:val="center"/>
          </w:tcPr>
          <w:p>
            <w:pPr>
              <w:tabs>
                <w:tab w:val="clear" w:pos="567"/>
                <w:tab w:val="left" w:pos="720"/>
              </w:tabs>
              <w:spacing w:line="240" w:lineRule="auto"/>
              <w:ind w:right="-2"/>
              <w:jc w:val="center"/>
              <w:rPr>
                <w:bCs/>
                <w:szCs w:val="22"/>
                <w:lang w:val="lt-LT"/>
              </w:rPr>
            </w:pPr>
            <w:r>
              <w:rPr>
                <w:bCs/>
                <w:szCs w:val="22"/>
                <w:lang w:val="lt-LT"/>
              </w:rPr>
              <w:t>4*</w:t>
            </w:r>
          </w:p>
        </w:tc>
        <w:tc>
          <w:tcPr>
            <w:tcW w:w="4104" w:type="dxa"/>
            <w:vAlign w:val="center"/>
          </w:tcPr>
          <w:p>
            <w:pPr>
              <w:tabs>
                <w:tab w:val="clear" w:pos="567"/>
                <w:tab w:val="left" w:pos="720"/>
              </w:tabs>
              <w:spacing w:line="240" w:lineRule="auto"/>
              <w:ind w:right="-2"/>
              <w:jc w:val="center"/>
              <w:rPr>
                <w:bCs/>
                <w:szCs w:val="22"/>
                <w:lang w:val="lt-LT"/>
              </w:rPr>
            </w:pPr>
            <w:r>
              <w:rPr>
                <w:bCs/>
                <w:szCs w:val="22"/>
                <w:lang w:val="lt-LT"/>
              </w:rPr>
              <w:t>31,2</w:t>
            </w:r>
          </w:p>
        </w:tc>
      </w:tr>
      <w:tr>
        <w:tc>
          <w:tcPr>
            <w:tcW w:w="1675" w:type="dxa"/>
          </w:tcPr>
          <w:p>
            <w:pPr>
              <w:tabs>
                <w:tab w:val="clear" w:pos="567"/>
                <w:tab w:val="left" w:pos="720"/>
              </w:tabs>
              <w:spacing w:line="240" w:lineRule="auto"/>
              <w:ind w:right="-2"/>
              <w:jc w:val="center"/>
              <w:rPr>
                <w:bCs/>
                <w:szCs w:val="22"/>
                <w:lang w:val="lt-LT"/>
              </w:rPr>
            </w:pPr>
            <w:r>
              <w:rPr>
                <w:bCs/>
                <w:szCs w:val="22"/>
                <w:lang w:val="lt-LT"/>
              </w:rPr>
              <w:t>14</w:t>
            </w:r>
          </w:p>
        </w:tc>
        <w:tc>
          <w:tcPr>
            <w:tcW w:w="3282" w:type="dxa"/>
            <w:vAlign w:val="center"/>
          </w:tcPr>
          <w:p>
            <w:pPr>
              <w:tabs>
                <w:tab w:val="clear" w:pos="567"/>
                <w:tab w:val="left" w:pos="720"/>
              </w:tabs>
              <w:spacing w:line="240" w:lineRule="auto"/>
              <w:ind w:right="-2"/>
              <w:jc w:val="center"/>
              <w:rPr>
                <w:bCs/>
                <w:szCs w:val="22"/>
                <w:lang w:val="lt-LT"/>
              </w:rPr>
            </w:pPr>
            <w:r>
              <w:rPr>
                <w:bCs/>
                <w:szCs w:val="22"/>
                <w:lang w:val="lt-LT"/>
              </w:rPr>
              <w:t>4*</w:t>
            </w:r>
          </w:p>
        </w:tc>
        <w:tc>
          <w:tcPr>
            <w:tcW w:w="4104" w:type="dxa"/>
            <w:vAlign w:val="center"/>
          </w:tcPr>
          <w:p>
            <w:pPr>
              <w:tabs>
                <w:tab w:val="clear" w:pos="567"/>
                <w:tab w:val="left" w:pos="720"/>
              </w:tabs>
              <w:spacing w:line="240" w:lineRule="auto"/>
              <w:ind w:right="-2"/>
              <w:jc w:val="center"/>
              <w:rPr>
                <w:bCs/>
                <w:szCs w:val="22"/>
                <w:lang w:val="lt-LT"/>
              </w:rPr>
            </w:pPr>
            <w:r>
              <w:rPr>
                <w:bCs/>
                <w:szCs w:val="22"/>
                <w:lang w:val="lt-LT"/>
              </w:rPr>
              <w:t>33,6</w:t>
            </w:r>
          </w:p>
        </w:tc>
      </w:tr>
      <w:tr>
        <w:tc>
          <w:tcPr>
            <w:tcW w:w="1675" w:type="dxa"/>
          </w:tcPr>
          <w:p>
            <w:pPr>
              <w:tabs>
                <w:tab w:val="clear" w:pos="567"/>
                <w:tab w:val="left" w:pos="720"/>
              </w:tabs>
              <w:spacing w:line="240" w:lineRule="auto"/>
              <w:ind w:right="-2"/>
              <w:jc w:val="center"/>
              <w:rPr>
                <w:bCs/>
                <w:szCs w:val="22"/>
                <w:lang w:val="lt-LT"/>
              </w:rPr>
            </w:pPr>
            <w:r>
              <w:rPr>
                <w:bCs/>
                <w:szCs w:val="22"/>
                <w:lang w:val="lt-LT"/>
              </w:rPr>
              <w:t>15</w:t>
            </w:r>
          </w:p>
        </w:tc>
        <w:tc>
          <w:tcPr>
            <w:tcW w:w="3282" w:type="dxa"/>
            <w:vAlign w:val="center"/>
          </w:tcPr>
          <w:p>
            <w:pPr>
              <w:tabs>
                <w:tab w:val="clear" w:pos="567"/>
                <w:tab w:val="left" w:pos="720"/>
              </w:tabs>
              <w:spacing w:line="240" w:lineRule="auto"/>
              <w:ind w:right="-2"/>
              <w:jc w:val="center"/>
              <w:rPr>
                <w:bCs/>
                <w:szCs w:val="22"/>
                <w:lang w:val="lt-LT"/>
              </w:rPr>
            </w:pPr>
            <w:r>
              <w:rPr>
                <w:bCs/>
                <w:szCs w:val="22"/>
                <w:lang w:val="lt-LT"/>
              </w:rPr>
              <w:t>4*</w:t>
            </w:r>
          </w:p>
        </w:tc>
        <w:tc>
          <w:tcPr>
            <w:tcW w:w="4104" w:type="dxa"/>
            <w:vAlign w:val="center"/>
          </w:tcPr>
          <w:p>
            <w:pPr>
              <w:tabs>
                <w:tab w:val="clear" w:pos="567"/>
                <w:tab w:val="left" w:pos="720"/>
              </w:tabs>
              <w:spacing w:line="240" w:lineRule="auto"/>
              <w:ind w:right="-2"/>
              <w:jc w:val="center"/>
              <w:rPr>
                <w:bCs/>
                <w:szCs w:val="22"/>
                <w:lang w:val="lt-LT"/>
              </w:rPr>
            </w:pPr>
            <w:r>
              <w:rPr>
                <w:bCs/>
                <w:szCs w:val="22"/>
                <w:lang w:val="lt-LT"/>
              </w:rPr>
              <w:t>36</w:t>
            </w:r>
          </w:p>
        </w:tc>
      </w:tr>
      <w:tr>
        <w:tc>
          <w:tcPr>
            <w:tcW w:w="1675" w:type="dxa"/>
          </w:tcPr>
          <w:p>
            <w:pPr>
              <w:tabs>
                <w:tab w:val="clear" w:pos="567"/>
                <w:tab w:val="left" w:pos="720"/>
              </w:tabs>
              <w:spacing w:line="240" w:lineRule="auto"/>
              <w:ind w:right="-2"/>
              <w:jc w:val="center"/>
              <w:rPr>
                <w:bCs/>
                <w:szCs w:val="22"/>
                <w:lang w:val="lt-LT"/>
              </w:rPr>
            </w:pPr>
            <w:r>
              <w:rPr>
                <w:bCs/>
                <w:szCs w:val="22"/>
                <w:lang w:val="lt-LT"/>
              </w:rPr>
              <w:t>16</w:t>
            </w:r>
          </w:p>
        </w:tc>
        <w:tc>
          <w:tcPr>
            <w:tcW w:w="3282" w:type="dxa"/>
            <w:vAlign w:val="center"/>
          </w:tcPr>
          <w:p>
            <w:pPr>
              <w:tabs>
                <w:tab w:val="clear" w:pos="567"/>
                <w:tab w:val="left" w:pos="720"/>
              </w:tabs>
              <w:spacing w:line="240" w:lineRule="auto"/>
              <w:ind w:right="-2"/>
              <w:jc w:val="center"/>
              <w:rPr>
                <w:bCs/>
                <w:szCs w:val="22"/>
                <w:lang w:val="lt-LT"/>
              </w:rPr>
            </w:pPr>
            <w:r>
              <w:rPr>
                <w:bCs/>
                <w:szCs w:val="22"/>
                <w:lang w:val="lt-LT"/>
              </w:rPr>
              <w:t>4*</w:t>
            </w:r>
          </w:p>
        </w:tc>
        <w:tc>
          <w:tcPr>
            <w:tcW w:w="4104" w:type="dxa"/>
            <w:vAlign w:val="center"/>
          </w:tcPr>
          <w:p>
            <w:pPr>
              <w:tabs>
                <w:tab w:val="clear" w:pos="567"/>
                <w:tab w:val="left" w:pos="720"/>
              </w:tabs>
              <w:spacing w:line="240" w:lineRule="auto"/>
              <w:ind w:right="-2"/>
              <w:jc w:val="center"/>
              <w:rPr>
                <w:bCs/>
                <w:szCs w:val="22"/>
                <w:lang w:val="lt-LT"/>
              </w:rPr>
            </w:pPr>
            <w:r>
              <w:rPr>
                <w:bCs/>
                <w:szCs w:val="22"/>
                <w:lang w:val="lt-LT"/>
              </w:rPr>
              <w:t>38,4</w:t>
            </w:r>
          </w:p>
        </w:tc>
      </w:tr>
    </w:tbl>
    <w:p>
      <w:pPr>
        <w:ind w:right="-2"/>
        <w:rPr>
          <w:color w:val="000000"/>
          <w:lang w:val="lt-LT"/>
        </w:rPr>
      </w:pPr>
      <w:r>
        <w:rPr>
          <w:color w:val="000000"/>
          <w:lang w:val="lt-LT"/>
        </w:rPr>
        <w:t>* Vietoj keturių 250 mg paketėlių reikėtų 1 pilną 1 000 mg paketėlį sumaišyti su 36 ml vandens arba obuolių sulčių. Šis mišinys turėtų būti suvartotas su švirkštu, remiantis 3 lentelėje nurodytu dozės kiekiu.</w:t>
      </w:r>
    </w:p>
    <w:p>
      <w:pPr>
        <w:spacing w:line="240" w:lineRule="auto"/>
        <w:ind w:right="-2"/>
        <w:rPr>
          <w:b/>
          <w:bCs/>
          <w:szCs w:val="22"/>
          <w:lang w:val="lt-LT"/>
        </w:rPr>
      </w:pPr>
    </w:p>
    <w:p>
      <w:pPr>
        <w:spacing w:line="240" w:lineRule="auto"/>
        <w:ind w:right="-2"/>
        <w:rPr>
          <w:b/>
          <w:szCs w:val="22"/>
          <w:lang w:val="lt-LT"/>
        </w:rPr>
      </w:pPr>
      <w:r>
        <w:rPr>
          <w:b/>
          <w:bCs/>
          <w:szCs w:val="22"/>
          <w:lang w:val="lt-LT"/>
        </w:rPr>
        <w:t>4.</w:t>
      </w:r>
      <w:r>
        <w:rPr>
          <w:b/>
          <w:bCs/>
          <w:szCs w:val="22"/>
          <w:lang w:val="lt-LT"/>
        </w:rPr>
        <w:tab/>
        <w:t>2 metų arba vyresniems pacientams, sveriantiems daugiau kaip 16 kg (žr. 4 lentelę)</w:t>
      </w:r>
      <w:r>
        <w:rPr>
          <w:b/>
          <w:szCs w:val="22"/>
          <w:lang w:val="lt-LT"/>
        </w:rPr>
        <w:fldChar w:fldCharType="begin"/>
      </w:r>
      <w:r>
        <w:rPr>
          <w:b/>
          <w:szCs w:val="22"/>
          <w:lang w:val="lt-LT"/>
        </w:rPr>
        <w:instrText xml:space="preserve"> DOCVARIABLE vault_nd_bbf83c7f-6f3c-4d7c-ad28-7bbcdcd76448 </w:instrText>
      </w:r>
      <w:r>
        <w:rPr>
          <w:b/>
          <w:szCs w:val="22"/>
          <w:lang w:val="lt-LT"/>
        </w:rPr>
        <w:fldChar w:fldCharType="separate"/>
      </w:r>
      <w:r>
        <w:rPr>
          <w:b/>
          <w:szCs w:val="22"/>
          <w:lang w:val="lt-LT"/>
        </w:rPr>
        <w:t xml:space="preserve"> </w:t>
      </w:r>
      <w:r>
        <w:rPr>
          <w:b/>
          <w:szCs w:val="22"/>
          <w:lang w:val="lt-LT"/>
        </w:rPr>
        <w:fldChar w:fldCharType="end"/>
      </w:r>
    </w:p>
    <w:p>
      <w:pPr>
        <w:pStyle w:val="ListParagraph"/>
        <w:numPr>
          <w:ilvl w:val="0"/>
          <w:numId w:val="6"/>
        </w:numPr>
        <w:tabs>
          <w:tab w:val="clear" w:pos="567"/>
        </w:tabs>
        <w:spacing w:line="240" w:lineRule="auto"/>
        <w:ind w:left="567" w:hanging="567"/>
        <w:rPr>
          <w:bCs/>
          <w:szCs w:val="22"/>
          <w:lang w:val="lt-LT"/>
        </w:rPr>
      </w:pPr>
      <w:bookmarkStart w:id="15" w:name="_Hlk194077447"/>
      <w:r>
        <w:rPr>
          <w:bCs/>
          <w:szCs w:val="22"/>
          <w:lang w:val="lt-LT"/>
        </w:rPr>
        <w:t>Šį vaistą vartokite tiksliai kaip nurodė gydytojas, laikydamiesi Jums paskirtos dozės.</w:t>
      </w:r>
      <w:r>
        <w:rPr>
          <w:bCs/>
          <w:szCs w:val="22"/>
          <w:lang w:val="lt-LT"/>
        </w:rPr>
        <w:fldChar w:fldCharType="begin"/>
      </w:r>
      <w:r>
        <w:rPr>
          <w:bCs/>
          <w:szCs w:val="22"/>
          <w:lang w:val="lt-LT"/>
        </w:rPr>
        <w:instrText xml:space="preserve"> DOCVARIABLE vault_nd_14bd125b-5f80-4f76-a19a-8752f77fc494 </w:instrText>
      </w:r>
      <w:r>
        <w:rPr>
          <w:bCs/>
          <w:szCs w:val="22"/>
          <w:lang w:val="lt-LT"/>
        </w:rPr>
        <w:fldChar w:fldCharType="separate"/>
      </w:r>
      <w:r>
        <w:rPr>
          <w:bCs/>
          <w:szCs w:val="22"/>
          <w:lang w:val="lt-LT"/>
        </w:rPr>
        <w:t xml:space="preserve"> </w:t>
      </w:r>
      <w:r>
        <w:rPr>
          <w:bCs/>
          <w:szCs w:val="22"/>
          <w:lang w:val="lt-LT"/>
        </w:rPr>
        <w:fldChar w:fldCharType="end"/>
      </w:r>
      <w:bookmarkEnd w:id="15"/>
    </w:p>
    <w:p>
      <w:pPr>
        <w:pStyle w:val="ListParagraph"/>
        <w:numPr>
          <w:ilvl w:val="0"/>
          <w:numId w:val="6"/>
        </w:numPr>
        <w:tabs>
          <w:tab w:val="clear" w:pos="567"/>
        </w:tabs>
        <w:spacing w:line="240" w:lineRule="auto"/>
        <w:ind w:left="567" w:hanging="567"/>
        <w:rPr>
          <w:bCs/>
          <w:szCs w:val="22"/>
          <w:lang w:val="lt-LT"/>
        </w:rPr>
      </w:pPr>
      <w:r>
        <w:rPr>
          <w:bCs/>
          <w:szCs w:val="22"/>
          <w:lang w:val="lt-LT"/>
        </w:rPr>
        <w:t>Prieš atidarydami Sephience geriamųjų miltelių paketėlį (-ius), papurtykite arba pastuksenkite jį (juos) ant kieto paviršiaus, kad įsitikintumėte, jog milteliai yra apačioje.</w:t>
      </w:r>
      <w:r>
        <w:rPr>
          <w:bCs/>
          <w:szCs w:val="22"/>
          <w:lang w:val="lt-LT"/>
        </w:rPr>
        <w:fldChar w:fldCharType="begin"/>
      </w:r>
      <w:r>
        <w:rPr>
          <w:bCs/>
          <w:szCs w:val="22"/>
          <w:lang w:val="lt-LT"/>
        </w:rPr>
        <w:instrText xml:space="preserve"> DOCVARIABLE vault_nd_6d89d7cf-169b-491d-9213-bb9b287a6227 </w:instrText>
      </w:r>
      <w:r>
        <w:rPr>
          <w:bCs/>
          <w:szCs w:val="22"/>
          <w:lang w:val="lt-LT"/>
        </w:rPr>
        <w:fldChar w:fldCharType="separate"/>
      </w:r>
      <w:r>
        <w:rPr>
          <w:bCs/>
          <w:szCs w:val="22"/>
          <w:lang w:val="lt-LT"/>
        </w:rPr>
        <w:t xml:space="preserve"> </w:t>
      </w:r>
      <w:r>
        <w:rPr>
          <w:bCs/>
          <w:szCs w:val="22"/>
          <w:lang w:val="lt-LT"/>
        </w:rPr>
        <w:fldChar w:fldCharType="end"/>
      </w:r>
    </w:p>
    <w:p>
      <w:pPr>
        <w:pStyle w:val="ListParagraph"/>
        <w:numPr>
          <w:ilvl w:val="0"/>
          <w:numId w:val="6"/>
        </w:numPr>
        <w:tabs>
          <w:tab w:val="clear" w:pos="567"/>
        </w:tabs>
        <w:spacing w:line="240" w:lineRule="auto"/>
        <w:ind w:left="567" w:hanging="567"/>
        <w:rPr>
          <w:bCs/>
          <w:szCs w:val="22"/>
          <w:lang w:val="lt-LT"/>
        </w:rPr>
      </w:pPr>
      <w:r>
        <w:rPr>
          <w:bCs/>
          <w:szCs w:val="22"/>
          <w:lang w:val="lt-LT"/>
        </w:rPr>
        <w:t>Atidarykite Sephience geriamųjų miltelių paketėlį (-ius), atsargiai nuplėšdami arba nukirpdami paketėlio viršų.</w:t>
      </w:r>
      <w:r>
        <w:rPr>
          <w:bCs/>
          <w:szCs w:val="22"/>
          <w:lang w:val="lt-LT"/>
        </w:rPr>
        <w:fldChar w:fldCharType="begin"/>
      </w:r>
      <w:r>
        <w:rPr>
          <w:bCs/>
          <w:szCs w:val="22"/>
          <w:lang w:val="lt-LT"/>
        </w:rPr>
        <w:instrText xml:space="preserve"> DOCVARIABLE vault_nd_54bf9d43-4a06-49e4-8ccf-029fe12c45bc </w:instrText>
      </w:r>
      <w:r>
        <w:rPr>
          <w:bCs/>
          <w:szCs w:val="22"/>
          <w:lang w:val="lt-LT"/>
        </w:rPr>
        <w:fldChar w:fldCharType="separate"/>
      </w:r>
      <w:r>
        <w:rPr>
          <w:bCs/>
          <w:szCs w:val="22"/>
          <w:lang w:val="lt-LT"/>
        </w:rPr>
        <w:t xml:space="preserve"> </w:t>
      </w:r>
      <w:r>
        <w:rPr>
          <w:bCs/>
          <w:szCs w:val="22"/>
          <w:lang w:val="lt-LT"/>
        </w:rPr>
        <w:fldChar w:fldCharType="end"/>
      </w:r>
    </w:p>
    <w:p>
      <w:pPr>
        <w:pStyle w:val="ListParagraph"/>
        <w:numPr>
          <w:ilvl w:val="0"/>
          <w:numId w:val="6"/>
        </w:numPr>
        <w:tabs>
          <w:tab w:val="clear" w:pos="567"/>
        </w:tabs>
        <w:spacing w:line="240" w:lineRule="auto"/>
        <w:ind w:left="567" w:hanging="567"/>
        <w:rPr>
          <w:bCs/>
          <w:szCs w:val="22"/>
          <w:lang w:val="lt-LT"/>
        </w:rPr>
      </w:pPr>
      <w:r>
        <w:rPr>
          <w:bCs/>
          <w:szCs w:val="22"/>
          <w:lang w:val="lt-LT"/>
        </w:rPr>
        <w:t>Sumaišykite kiekvieną</w:t>
      </w:r>
      <w:r>
        <w:rPr>
          <w:b/>
          <w:bCs/>
          <w:szCs w:val="22"/>
          <w:lang w:val="lt-LT"/>
        </w:rPr>
        <w:t xml:space="preserve"> </w:t>
      </w:r>
      <w:r>
        <w:rPr>
          <w:szCs w:val="22"/>
          <w:lang w:val="lt-LT"/>
        </w:rPr>
        <w:t>paketėlį (žr. 4 lentelę) su vandeniu arba obuolių sultimis (9 ml kiekvienam 250 mg paketėliui; 20 ml kiekvienam 1 000 mg paketėliui) arba 2 valgomaisiais šaukštais obuolių tyrelės arba uogienės.</w:t>
      </w:r>
      <w:r>
        <w:rPr>
          <w:bCs/>
          <w:szCs w:val="22"/>
          <w:lang w:val="lt-LT"/>
        </w:rPr>
        <w:fldChar w:fldCharType="begin"/>
      </w:r>
      <w:r>
        <w:rPr>
          <w:bCs/>
          <w:szCs w:val="22"/>
          <w:lang w:val="lt-LT"/>
        </w:rPr>
        <w:instrText xml:space="preserve"> DOCVARIABLE vault_nd_c83f4f26-e888-49a9-bf44-3f1e4e14ea82 </w:instrText>
      </w:r>
      <w:r>
        <w:rPr>
          <w:bCs/>
          <w:szCs w:val="22"/>
          <w:lang w:val="lt-LT"/>
        </w:rPr>
        <w:fldChar w:fldCharType="separate"/>
      </w:r>
      <w:r>
        <w:rPr>
          <w:bCs/>
          <w:szCs w:val="22"/>
          <w:lang w:val="lt-LT"/>
        </w:rPr>
        <w:t xml:space="preserve"> </w:t>
      </w:r>
      <w:r>
        <w:rPr>
          <w:bCs/>
          <w:szCs w:val="22"/>
          <w:lang w:val="lt-LT"/>
        </w:rPr>
        <w:fldChar w:fldCharType="end"/>
      </w:r>
      <w:bookmarkStart w:id="16" w:name="_Hlk194077289"/>
      <w:r>
        <w:rPr>
          <w:bCs/>
          <w:szCs w:val="22"/>
          <w:lang w:val="lt-LT"/>
        </w:rPr>
        <w:t>Kai rekomenduojama vartoti daugiau kaip vieną paketėlį, jų turinys gali būti sumaišytas su atitinkamu vandens arba obuolių sulčių kiekiu (pvz., vienas 250 mg paketėlis sumaišomas su 9 ml vandens arba obuolių sulčių, o vienas 1 000 mg paketėlis – su 20 ml vandens arba obuolių sulčių).</w:t>
      </w:r>
      <w:bookmarkEnd w:id="16"/>
    </w:p>
    <w:p>
      <w:pPr>
        <w:pStyle w:val="ListParagraph"/>
        <w:numPr>
          <w:ilvl w:val="0"/>
          <w:numId w:val="6"/>
        </w:numPr>
        <w:tabs>
          <w:tab w:val="clear" w:pos="567"/>
        </w:tabs>
        <w:spacing w:line="240" w:lineRule="auto"/>
        <w:ind w:left="567" w:hanging="567"/>
        <w:rPr>
          <w:bCs/>
          <w:szCs w:val="22"/>
          <w:lang w:val="lt-LT"/>
        </w:rPr>
      </w:pPr>
      <w:r>
        <w:rPr>
          <w:bCs/>
          <w:szCs w:val="22"/>
          <w:lang w:val="lt-LT"/>
        </w:rPr>
        <w:t>Jei naudojate vandenį ar obuolių sultis, gerai maišykite bent 30 sekundžių ar ilgiau, kol mišinyje nebebus gumulėlių.</w:t>
      </w:r>
      <w:r>
        <w:rPr>
          <w:bCs/>
          <w:szCs w:val="22"/>
          <w:lang w:val="lt-LT"/>
        </w:rPr>
        <w:fldChar w:fldCharType="begin"/>
      </w:r>
      <w:r>
        <w:rPr>
          <w:bCs/>
          <w:szCs w:val="22"/>
          <w:lang w:val="lt-LT"/>
        </w:rPr>
        <w:instrText xml:space="preserve"> DOCVARIABLE vault_nd_193e1ff5-8bd5-47b3-90b3-f894e053de27 </w:instrText>
      </w:r>
      <w:r>
        <w:rPr>
          <w:bCs/>
          <w:szCs w:val="22"/>
          <w:lang w:val="lt-LT"/>
        </w:rPr>
        <w:fldChar w:fldCharType="separate"/>
      </w:r>
      <w:r>
        <w:rPr>
          <w:bCs/>
          <w:szCs w:val="22"/>
          <w:lang w:val="lt-LT"/>
        </w:rPr>
        <w:t xml:space="preserve"> </w:t>
      </w:r>
      <w:r>
        <w:rPr>
          <w:bCs/>
          <w:szCs w:val="22"/>
          <w:lang w:val="lt-LT"/>
        </w:rPr>
        <w:fldChar w:fldCharType="end"/>
      </w:r>
    </w:p>
    <w:p>
      <w:pPr>
        <w:pStyle w:val="ListParagraph"/>
        <w:numPr>
          <w:ilvl w:val="0"/>
          <w:numId w:val="6"/>
        </w:numPr>
        <w:tabs>
          <w:tab w:val="clear" w:pos="567"/>
        </w:tabs>
        <w:spacing w:line="240" w:lineRule="auto"/>
        <w:ind w:left="567" w:hanging="567"/>
        <w:rPr>
          <w:bCs/>
          <w:szCs w:val="22"/>
          <w:lang w:val="lt-LT"/>
        </w:rPr>
      </w:pPr>
      <w:r>
        <w:rPr>
          <w:bCs/>
          <w:szCs w:val="22"/>
          <w:lang w:val="lt-LT"/>
        </w:rPr>
        <w:t>Jei naudojate obuolių tyrelę arba uogienę, gerai maišykite bent 60 sekundžių ar ilgiau, kol mišinyje nebebus gumulėlių.</w:t>
      </w:r>
      <w:r>
        <w:rPr>
          <w:bCs/>
          <w:szCs w:val="22"/>
          <w:lang w:val="lt-LT"/>
        </w:rPr>
        <w:fldChar w:fldCharType="begin"/>
      </w:r>
      <w:r>
        <w:rPr>
          <w:bCs/>
          <w:szCs w:val="22"/>
          <w:lang w:val="lt-LT"/>
        </w:rPr>
        <w:instrText xml:space="preserve"> DOCVARIABLE vault_nd_1dd21267-62ab-4bd8-bb30-7230e9a31074 </w:instrText>
      </w:r>
      <w:r>
        <w:rPr>
          <w:bCs/>
          <w:szCs w:val="22"/>
          <w:lang w:val="lt-LT"/>
        </w:rPr>
        <w:fldChar w:fldCharType="separate"/>
      </w:r>
      <w:r>
        <w:rPr>
          <w:bCs/>
          <w:szCs w:val="22"/>
          <w:lang w:val="lt-LT"/>
        </w:rPr>
        <w:t xml:space="preserve"> </w:t>
      </w:r>
      <w:r>
        <w:rPr>
          <w:bCs/>
          <w:szCs w:val="22"/>
          <w:lang w:val="lt-LT"/>
        </w:rPr>
        <w:fldChar w:fldCharType="end"/>
      </w:r>
    </w:p>
    <w:p>
      <w:pPr>
        <w:pStyle w:val="ListParagraph"/>
        <w:numPr>
          <w:ilvl w:val="0"/>
          <w:numId w:val="6"/>
        </w:numPr>
        <w:tabs>
          <w:tab w:val="clear" w:pos="567"/>
        </w:tabs>
        <w:spacing w:line="240" w:lineRule="auto"/>
        <w:ind w:left="567" w:hanging="567"/>
        <w:rPr>
          <w:bCs/>
          <w:szCs w:val="22"/>
          <w:lang w:val="lt-LT"/>
        </w:rPr>
      </w:pPr>
      <w:r>
        <w:rPr>
          <w:bCs/>
          <w:szCs w:val="22"/>
          <w:lang w:val="lt-LT"/>
        </w:rPr>
        <w:t>Sumaišius, dozę reikia suvartoti nedelsiant; jei ne, mišinį galima laikyti iki 24 valandų šaldytuve (nuo 2 °C iki 8 °C) arba 6 valandas laikant žemesnėje kaip 25 °C temperatūroje.</w:t>
      </w:r>
      <w:r>
        <w:rPr>
          <w:bCs/>
          <w:szCs w:val="22"/>
          <w:lang w:val="lt-LT"/>
        </w:rPr>
        <w:fldChar w:fldCharType="begin"/>
      </w:r>
      <w:r>
        <w:rPr>
          <w:bCs/>
          <w:szCs w:val="22"/>
          <w:lang w:val="lt-LT"/>
        </w:rPr>
        <w:instrText xml:space="preserve"> DOCVARIABLE vault_nd_28288a06-90d0-4274-85b8-cf51510013da </w:instrText>
      </w:r>
      <w:r>
        <w:rPr>
          <w:bCs/>
          <w:szCs w:val="22"/>
          <w:lang w:val="lt-LT"/>
        </w:rPr>
        <w:fldChar w:fldCharType="separate"/>
      </w:r>
      <w:r>
        <w:rPr>
          <w:bCs/>
          <w:szCs w:val="22"/>
          <w:lang w:val="lt-LT"/>
        </w:rPr>
        <w:t xml:space="preserve"> </w:t>
      </w:r>
      <w:r>
        <w:rPr>
          <w:bCs/>
          <w:szCs w:val="22"/>
          <w:lang w:val="lt-LT"/>
        </w:rPr>
        <w:fldChar w:fldCharType="end"/>
      </w:r>
    </w:p>
    <w:p>
      <w:pPr>
        <w:pStyle w:val="ListParagraph"/>
        <w:numPr>
          <w:ilvl w:val="0"/>
          <w:numId w:val="6"/>
        </w:numPr>
        <w:tabs>
          <w:tab w:val="clear" w:pos="567"/>
        </w:tabs>
        <w:spacing w:line="240" w:lineRule="auto"/>
        <w:ind w:left="567" w:hanging="567"/>
        <w:rPr>
          <w:bCs/>
          <w:szCs w:val="22"/>
          <w:lang w:val="lt-LT"/>
        </w:rPr>
      </w:pPr>
      <w:r>
        <w:rPr>
          <w:bCs/>
          <w:szCs w:val="22"/>
          <w:lang w:val="lt-LT"/>
        </w:rPr>
        <w:t>Jei ne iš karto suvartojama, mišinį prieš pat vartojimą reikia vėl maišyti mažiausiai 30 sekundžių arba 60 sekundžių, kaip nurodyta pirmiau.</w:t>
      </w:r>
      <w:r>
        <w:rPr>
          <w:bCs/>
          <w:szCs w:val="22"/>
          <w:lang w:val="lt-LT"/>
        </w:rPr>
        <w:fldChar w:fldCharType="begin"/>
      </w:r>
      <w:r>
        <w:rPr>
          <w:bCs/>
          <w:szCs w:val="22"/>
          <w:lang w:val="lt-LT"/>
        </w:rPr>
        <w:instrText xml:space="preserve"> DOCVARIABLE vault_nd_bccd0fd3-c84e-48fc-822f-131a5fa7eb7f </w:instrText>
      </w:r>
      <w:r>
        <w:rPr>
          <w:bCs/>
          <w:szCs w:val="22"/>
          <w:lang w:val="lt-LT"/>
        </w:rPr>
        <w:fldChar w:fldCharType="separate"/>
      </w:r>
      <w:r>
        <w:rPr>
          <w:bCs/>
          <w:szCs w:val="22"/>
          <w:lang w:val="lt-LT"/>
        </w:rPr>
        <w:t xml:space="preserve"> </w:t>
      </w:r>
      <w:r>
        <w:rPr>
          <w:bCs/>
          <w:szCs w:val="22"/>
          <w:lang w:val="lt-LT"/>
        </w:rPr>
        <w:fldChar w:fldCharType="end"/>
      </w:r>
    </w:p>
    <w:p>
      <w:pPr>
        <w:pStyle w:val="ListParagraph"/>
        <w:numPr>
          <w:ilvl w:val="0"/>
          <w:numId w:val="6"/>
        </w:numPr>
        <w:tabs>
          <w:tab w:val="clear" w:pos="567"/>
        </w:tabs>
        <w:spacing w:line="240" w:lineRule="auto"/>
        <w:ind w:left="567" w:hanging="567"/>
        <w:rPr>
          <w:b/>
          <w:szCs w:val="22"/>
          <w:lang w:val="lt-LT"/>
        </w:rPr>
      </w:pPr>
      <w:r>
        <w:rPr>
          <w:bCs/>
          <w:szCs w:val="22"/>
          <w:lang w:val="lt-LT"/>
        </w:rPr>
        <w:t>Išgerkite arba duokite reikiamą dozę (žr. 4 lentelę) per burną iš stiklinio arba plastikinio puodelio arba suleiskite reikiamą dozę per enterinio maitinimo vamzdelį.</w:t>
      </w:r>
      <w:r>
        <w:rPr>
          <w:szCs w:val="22"/>
          <w:lang w:val="lt-LT"/>
        </w:rPr>
        <w:fldChar w:fldCharType="begin"/>
      </w:r>
      <w:r>
        <w:rPr>
          <w:szCs w:val="22"/>
          <w:lang w:val="lt-LT"/>
        </w:rPr>
        <w:instrText xml:space="preserve"> DOCVARIABLE vault_nd_bfb53d19-ff08-4a17-862a-09989f6d2f74 </w:instrText>
      </w:r>
      <w:r>
        <w:rPr>
          <w:szCs w:val="22"/>
          <w:lang w:val="lt-LT"/>
        </w:rPr>
        <w:fldChar w:fldCharType="separate"/>
      </w:r>
      <w:r>
        <w:rPr>
          <w:szCs w:val="22"/>
          <w:lang w:val="lt-LT"/>
        </w:rPr>
        <w:t xml:space="preserve"> </w:t>
      </w:r>
      <w:r>
        <w:rPr>
          <w:szCs w:val="22"/>
          <w:lang w:val="lt-LT"/>
        </w:rPr>
        <w:fldChar w:fldCharType="end"/>
      </w:r>
    </w:p>
    <w:p>
      <w:pPr>
        <w:pStyle w:val="ListParagraph"/>
        <w:numPr>
          <w:ilvl w:val="0"/>
          <w:numId w:val="6"/>
        </w:numPr>
        <w:tabs>
          <w:tab w:val="clear" w:pos="567"/>
        </w:tabs>
        <w:spacing w:line="240" w:lineRule="auto"/>
        <w:ind w:left="567" w:hanging="567"/>
        <w:rPr>
          <w:b/>
          <w:szCs w:val="22"/>
          <w:lang w:val="lt-LT"/>
        </w:rPr>
      </w:pPr>
      <w:r>
        <w:rPr>
          <w:bCs/>
          <w:szCs w:val="22"/>
          <w:lang w:val="lt-LT"/>
        </w:rPr>
        <w:t>Išskalaukite talpyklę papildomu vandens arba obuolių sulčių kiekiu (mažiausiai 15 ml) ir nurykite, kad įsitikintumėte, jog suvartota visa dozė.</w:t>
      </w:r>
      <w:r>
        <w:rPr>
          <w:bCs/>
          <w:szCs w:val="22"/>
          <w:lang w:val="lt-LT"/>
        </w:rPr>
        <w:fldChar w:fldCharType="begin"/>
      </w:r>
      <w:r>
        <w:rPr>
          <w:bCs/>
          <w:szCs w:val="22"/>
          <w:lang w:val="lt-LT"/>
        </w:rPr>
        <w:instrText xml:space="preserve"> DOCVARIABLE vault_nd_a4933a96-a950-4748-8920-285fa793f3cf </w:instrText>
      </w:r>
      <w:r>
        <w:rPr>
          <w:bCs/>
          <w:szCs w:val="22"/>
          <w:lang w:val="lt-LT"/>
        </w:rPr>
        <w:fldChar w:fldCharType="separate"/>
      </w:r>
      <w:r>
        <w:rPr>
          <w:bCs/>
          <w:szCs w:val="22"/>
          <w:lang w:val="lt-LT"/>
        </w:rPr>
        <w:t xml:space="preserve"> </w:t>
      </w:r>
      <w:r>
        <w:rPr>
          <w:bCs/>
          <w:szCs w:val="22"/>
          <w:lang w:val="lt-LT"/>
        </w:rPr>
        <w:fldChar w:fldCharType="end"/>
      </w:r>
    </w:p>
    <w:p>
      <w:pPr>
        <w:tabs>
          <w:tab w:val="clear" w:pos="567"/>
          <w:tab w:val="left" w:pos="720"/>
        </w:tabs>
        <w:spacing w:line="240" w:lineRule="auto"/>
        <w:ind w:left="360" w:right="-2"/>
        <w:rPr>
          <w:b/>
          <w:szCs w:val="22"/>
          <w:lang w:val="lt-LT"/>
        </w:rPr>
      </w:pPr>
    </w:p>
    <w:p>
      <w:pPr>
        <w:tabs>
          <w:tab w:val="clear" w:pos="567"/>
          <w:tab w:val="left" w:pos="720"/>
        </w:tabs>
        <w:spacing w:line="240" w:lineRule="auto"/>
        <w:ind w:right="-2"/>
        <w:rPr>
          <w:b/>
          <w:szCs w:val="22"/>
          <w:lang w:val="lt-LT"/>
        </w:rPr>
      </w:pPr>
      <w:r>
        <w:rPr>
          <w:b/>
          <w:bCs/>
          <w:szCs w:val="22"/>
          <w:lang w:val="lt-LT"/>
        </w:rPr>
        <w:t>4 lentelė. Kaip apskaičiuoti reikiamą dozės tūrį 2 metų ir vyresniems pacientams, sveriantiems daugiau kaip 16 kg</w:t>
      </w:r>
    </w:p>
    <w:tbl>
      <w:tblPr>
        <w:tblW w:w="8537" w:type="dxa"/>
        <w:tblInd w:w="8" w:type="dxa"/>
        <w:tblLayout w:type="fixed"/>
        <w:tblCellMar>
          <w:left w:w="5" w:type="dxa"/>
          <w:right w:w="5" w:type="dxa"/>
        </w:tblCellMar>
        <w:tblLook w:val="04A0" w:firstRow="1" w:lastRow="0" w:firstColumn="1" w:lastColumn="0" w:noHBand="0" w:noVBand="1"/>
      </w:tblPr>
      <w:tblGrid>
        <w:gridCol w:w="1966"/>
        <w:gridCol w:w="2431"/>
        <w:gridCol w:w="4140"/>
      </w:tblGrid>
      <w:tr>
        <w:trPr>
          <w:trHeight w:val="60"/>
          <w:tblHeader/>
        </w:trPr>
        <w:tc>
          <w:tcPr>
            <w:tcW w:w="1966" w:type="dxa"/>
            <w:tcBorders>
              <w:top w:val="single" w:sz="4" w:space="0" w:color="000000"/>
              <w:left w:val="single" w:sz="4" w:space="0" w:color="000000"/>
              <w:bottom w:val="single" w:sz="4" w:space="0" w:color="000000"/>
              <w:right w:val="single" w:sz="4" w:space="0" w:color="000000"/>
            </w:tcBorders>
          </w:tcPr>
          <w:p>
            <w:pPr>
              <w:tabs>
                <w:tab w:val="clear" w:pos="567"/>
                <w:tab w:val="left" w:pos="720"/>
              </w:tabs>
              <w:spacing w:line="240" w:lineRule="auto"/>
              <w:jc w:val="center"/>
              <w:textAlignment w:val="baseline"/>
              <w:rPr>
                <w:b/>
                <w:bCs/>
                <w:color w:val="000000"/>
                <w:szCs w:val="22"/>
                <w:lang w:val="lt-LT" w:eastAsia="en-GB"/>
              </w:rPr>
            </w:pPr>
            <w:r>
              <w:rPr>
                <w:b/>
                <w:bCs/>
                <w:color w:val="000000"/>
                <w:szCs w:val="22"/>
                <w:lang w:val="lt-LT" w:eastAsia="en-GB"/>
              </w:rPr>
              <w:t>250 mg paketėlių skaičius</w:t>
            </w:r>
          </w:p>
          <w:p>
            <w:pPr>
              <w:tabs>
                <w:tab w:val="clear" w:pos="567"/>
                <w:tab w:val="left" w:pos="720"/>
              </w:tabs>
              <w:spacing w:line="240" w:lineRule="auto"/>
              <w:jc w:val="center"/>
              <w:textAlignment w:val="baseline"/>
              <w:rPr>
                <w:szCs w:val="22"/>
                <w:lang w:val="lt-LT" w:eastAsia="en-GB"/>
              </w:rPr>
            </w:pPr>
          </w:p>
        </w:tc>
        <w:tc>
          <w:tcPr>
            <w:tcW w:w="2431" w:type="dxa"/>
            <w:tcBorders>
              <w:top w:val="single" w:sz="4" w:space="0" w:color="000000"/>
              <w:left w:val="single" w:sz="4" w:space="0" w:color="000000"/>
              <w:bottom w:val="single" w:sz="4" w:space="0" w:color="000000"/>
              <w:right w:val="single" w:sz="4" w:space="0" w:color="000000"/>
            </w:tcBorders>
          </w:tcPr>
          <w:p>
            <w:pPr>
              <w:tabs>
                <w:tab w:val="clear" w:pos="567"/>
                <w:tab w:val="left" w:pos="720"/>
              </w:tabs>
              <w:spacing w:line="240" w:lineRule="auto"/>
              <w:jc w:val="center"/>
              <w:textAlignment w:val="baseline"/>
              <w:rPr>
                <w:szCs w:val="22"/>
                <w:lang w:val="lt-LT" w:eastAsia="en-GB"/>
              </w:rPr>
            </w:pPr>
            <w:r>
              <w:rPr>
                <w:b/>
                <w:bCs/>
                <w:color w:val="000000"/>
                <w:szCs w:val="22"/>
                <w:lang w:val="lt-LT" w:eastAsia="en-GB"/>
              </w:rPr>
              <w:t>1 000 mg paketėlių skaičius</w:t>
            </w:r>
          </w:p>
        </w:tc>
        <w:tc>
          <w:tcPr>
            <w:tcW w:w="4140" w:type="dxa"/>
            <w:tcBorders>
              <w:top w:val="single" w:sz="4" w:space="0" w:color="000000"/>
              <w:left w:val="single" w:sz="4" w:space="0" w:color="000000"/>
              <w:bottom w:val="single" w:sz="4" w:space="0" w:color="000000"/>
              <w:right w:val="single" w:sz="4" w:space="0" w:color="000000"/>
            </w:tcBorders>
          </w:tcPr>
          <w:p>
            <w:pPr>
              <w:tabs>
                <w:tab w:val="clear" w:pos="567"/>
                <w:tab w:val="left" w:pos="720"/>
              </w:tabs>
              <w:spacing w:line="240" w:lineRule="auto"/>
              <w:jc w:val="center"/>
              <w:textAlignment w:val="baseline"/>
              <w:rPr>
                <w:b/>
                <w:bCs/>
                <w:szCs w:val="22"/>
                <w:lang w:val="lt-LT" w:eastAsia="en-GB"/>
              </w:rPr>
            </w:pPr>
            <w:r>
              <w:rPr>
                <w:b/>
                <w:bCs/>
                <w:color w:val="000000"/>
                <w:szCs w:val="22"/>
                <w:lang w:val="lt-LT" w:eastAsia="en-GB"/>
              </w:rPr>
              <w:t>Vandens arba obuolių sulčių tūris (ml)</w:t>
            </w:r>
          </w:p>
        </w:tc>
      </w:tr>
      <w:tr>
        <w:trPr>
          <w:trHeight w:val="255"/>
        </w:trPr>
        <w:tc>
          <w:tcPr>
            <w:tcW w:w="1966" w:type="dxa"/>
            <w:tcBorders>
              <w:top w:val="single" w:sz="4" w:space="0" w:color="000000"/>
              <w:left w:val="single" w:sz="4" w:space="0" w:color="000000"/>
              <w:bottom w:val="single" w:sz="4" w:space="0" w:color="000000"/>
              <w:right w:val="single" w:sz="4" w:space="0" w:color="000000"/>
            </w:tcBorders>
          </w:tcPr>
          <w:p>
            <w:pPr>
              <w:tabs>
                <w:tab w:val="clear" w:pos="567"/>
                <w:tab w:val="left" w:pos="720"/>
              </w:tabs>
              <w:spacing w:line="240" w:lineRule="auto"/>
              <w:jc w:val="center"/>
              <w:textAlignment w:val="baseline"/>
              <w:rPr>
                <w:szCs w:val="22"/>
                <w:lang w:val="lt-LT" w:eastAsia="en-GB"/>
              </w:rPr>
            </w:pPr>
            <w:r>
              <w:rPr>
                <w:color w:val="000000"/>
                <w:szCs w:val="22"/>
                <w:lang w:val="lt-LT" w:eastAsia="en-GB"/>
              </w:rPr>
              <w:t>0</w:t>
            </w:r>
          </w:p>
        </w:tc>
        <w:tc>
          <w:tcPr>
            <w:tcW w:w="2431" w:type="dxa"/>
            <w:tcBorders>
              <w:top w:val="single" w:sz="4" w:space="0" w:color="000000"/>
              <w:left w:val="single" w:sz="4" w:space="0" w:color="000000"/>
              <w:bottom w:val="single" w:sz="4" w:space="0" w:color="000000"/>
              <w:right w:val="single" w:sz="4" w:space="0" w:color="000000"/>
            </w:tcBorders>
            <w:vAlign w:val="center"/>
          </w:tcPr>
          <w:p>
            <w:pPr>
              <w:tabs>
                <w:tab w:val="clear" w:pos="567"/>
                <w:tab w:val="left" w:pos="720"/>
              </w:tabs>
              <w:spacing w:line="240" w:lineRule="auto"/>
              <w:jc w:val="center"/>
              <w:textAlignment w:val="baseline"/>
              <w:rPr>
                <w:szCs w:val="22"/>
                <w:lang w:val="lt-LT" w:eastAsia="en-GB"/>
              </w:rPr>
            </w:pPr>
            <w:r>
              <w:rPr>
                <w:color w:val="000000"/>
                <w:szCs w:val="22"/>
                <w:lang w:val="lt-LT" w:eastAsia="en-GB"/>
              </w:rPr>
              <w:t>1</w:t>
            </w:r>
          </w:p>
        </w:tc>
        <w:tc>
          <w:tcPr>
            <w:tcW w:w="4140" w:type="dxa"/>
            <w:tcBorders>
              <w:top w:val="single" w:sz="4" w:space="0" w:color="000000"/>
              <w:left w:val="single" w:sz="4" w:space="0" w:color="000000"/>
              <w:bottom w:val="single" w:sz="4" w:space="0" w:color="000000"/>
              <w:right w:val="single" w:sz="4" w:space="0" w:color="000000"/>
            </w:tcBorders>
            <w:vAlign w:val="center"/>
          </w:tcPr>
          <w:p>
            <w:pPr>
              <w:tabs>
                <w:tab w:val="clear" w:pos="567"/>
                <w:tab w:val="left" w:pos="720"/>
              </w:tabs>
              <w:spacing w:line="240" w:lineRule="auto"/>
              <w:jc w:val="center"/>
              <w:textAlignment w:val="baseline"/>
              <w:rPr>
                <w:szCs w:val="22"/>
                <w:lang w:val="lt-LT" w:eastAsia="en-GB"/>
              </w:rPr>
            </w:pPr>
            <w:r>
              <w:rPr>
                <w:color w:val="000000"/>
                <w:szCs w:val="22"/>
                <w:lang w:val="lt-LT" w:eastAsia="en-GB"/>
              </w:rPr>
              <w:t>20</w:t>
            </w:r>
          </w:p>
        </w:tc>
      </w:tr>
      <w:tr>
        <w:trPr>
          <w:trHeight w:val="255"/>
        </w:trPr>
        <w:tc>
          <w:tcPr>
            <w:tcW w:w="1966" w:type="dxa"/>
            <w:tcBorders>
              <w:top w:val="single" w:sz="4" w:space="0" w:color="000000"/>
              <w:left w:val="single" w:sz="4" w:space="0" w:color="000000"/>
              <w:bottom w:val="single" w:sz="4" w:space="0" w:color="000000"/>
              <w:right w:val="single" w:sz="4" w:space="0" w:color="000000"/>
            </w:tcBorders>
            <w:vAlign w:val="center"/>
          </w:tcPr>
          <w:p>
            <w:pPr>
              <w:tabs>
                <w:tab w:val="clear" w:pos="567"/>
                <w:tab w:val="left" w:pos="720"/>
              </w:tabs>
              <w:spacing w:line="240" w:lineRule="auto"/>
              <w:jc w:val="center"/>
              <w:textAlignment w:val="baseline"/>
              <w:rPr>
                <w:szCs w:val="22"/>
                <w:lang w:val="lt-LT" w:eastAsia="en-GB"/>
              </w:rPr>
            </w:pPr>
            <w:r>
              <w:rPr>
                <w:color w:val="000000"/>
                <w:szCs w:val="22"/>
                <w:lang w:val="lt-LT" w:eastAsia="en-GB"/>
              </w:rPr>
              <w:t>1</w:t>
            </w:r>
          </w:p>
        </w:tc>
        <w:tc>
          <w:tcPr>
            <w:tcW w:w="2431" w:type="dxa"/>
            <w:tcBorders>
              <w:top w:val="single" w:sz="4" w:space="0" w:color="000000"/>
              <w:left w:val="single" w:sz="4" w:space="0" w:color="000000"/>
              <w:bottom w:val="single" w:sz="4" w:space="0" w:color="000000"/>
              <w:right w:val="single" w:sz="4" w:space="0" w:color="000000"/>
            </w:tcBorders>
            <w:vAlign w:val="center"/>
          </w:tcPr>
          <w:p>
            <w:pPr>
              <w:tabs>
                <w:tab w:val="clear" w:pos="567"/>
                <w:tab w:val="left" w:pos="720"/>
              </w:tabs>
              <w:spacing w:line="240" w:lineRule="auto"/>
              <w:jc w:val="center"/>
              <w:textAlignment w:val="baseline"/>
              <w:rPr>
                <w:szCs w:val="22"/>
                <w:lang w:val="lt-LT" w:eastAsia="en-GB"/>
              </w:rPr>
            </w:pPr>
            <w:r>
              <w:rPr>
                <w:color w:val="000000"/>
                <w:szCs w:val="22"/>
                <w:lang w:val="lt-LT" w:eastAsia="en-GB"/>
              </w:rPr>
              <w:t>1</w:t>
            </w:r>
          </w:p>
        </w:tc>
        <w:tc>
          <w:tcPr>
            <w:tcW w:w="4140" w:type="dxa"/>
            <w:tcBorders>
              <w:top w:val="single" w:sz="4" w:space="0" w:color="000000"/>
              <w:left w:val="single" w:sz="4" w:space="0" w:color="000000"/>
              <w:bottom w:val="single" w:sz="4" w:space="0" w:color="000000"/>
              <w:right w:val="single" w:sz="4" w:space="0" w:color="000000"/>
            </w:tcBorders>
            <w:vAlign w:val="center"/>
          </w:tcPr>
          <w:p>
            <w:pPr>
              <w:tabs>
                <w:tab w:val="clear" w:pos="567"/>
                <w:tab w:val="left" w:pos="720"/>
              </w:tabs>
              <w:spacing w:line="240" w:lineRule="auto"/>
              <w:jc w:val="center"/>
              <w:textAlignment w:val="baseline"/>
              <w:rPr>
                <w:szCs w:val="22"/>
                <w:lang w:val="lt-LT" w:eastAsia="en-GB"/>
              </w:rPr>
            </w:pPr>
            <w:r>
              <w:rPr>
                <w:color w:val="000000"/>
                <w:szCs w:val="22"/>
                <w:lang w:val="lt-LT" w:eastAsia="en-GB"/>
              </w:rPr>
              <w:t>29</w:t>
            </w:r>
          </w:p>
        </w:tc>
      </w:tr>
      <w:tr>
        <w:trPr>
          <w:trHeight w:val="255"/>
        </w:trPr>
        <w:tc>
          <w:tcPr>
            <w:tcW w:w="1966" w:type="dxa"/>
            <w:tcBorders>
              <w:top w:val="single" w:sz="4" w:space="0" w:color="000000"/>
              <w:left w:val="single" w:sz="4" w:space="0" w:color="000000"/>
              <w:bottom w:val="single" w:sz="4" w:space="0" w:color="000000"/>
              <w:right w:val="single" w:sz="4" w:space="0" w:color="000000"/>
            </w:tcBorders>
            <w:vAlign w:val="center"/>
          </w:tcPr>
          <w:p>
            <w:pPr>
              <w:tabs>
                <w:tab w:val="clear" w:pos="567"/>
                <w:tab w:val="left" w:pos="720"/>
              </w:tabs>
              <w:spacing w:line="240" w:lineRule="auto"/>
              <w:jc w:val="center"/>
              <w:textAlignment w:val="baseline"/>
              <w:rPr>
                <w:szCs w:val="22"/>
                <w:lang w:val="lt-LT" w:eastAsia="en-GB"/>
              </w:rPr>
            </w:pPr>
            <w:r>
              <w:rPr>
                <w:color w:val="000000"/>
                <w:szCs w:val="22"/>
                <w:lang w:val="lt-LT" w:eastAsia="en-GB"/>
              </w:rPr>
              <w:t>2</w:t>
            </w:r>
          </w:p>
        </w:tc>
        <w:tc>
          <w:tcPr>
            <w:tcW w:w="2431" w:type="dxa"/>
            <w:tcBorders>
              <w:top w:val="single" w:sz="4" w:space="0" w:color="000000"/>
              <w:left w:val="single" w:sz="4" w:space="0" w:color="000000"/>
              <w:bottom w:val="single" w:sz="4" w:space="0" w:color="000000"/>
              <w:right w:val="single" w:sz="4" w:space="0" w:color="000000"/>
            </w:tcBorders>
            <w:vAlign w:val="center"/>
          </w:tcPr>
          <w:p>
            <w:pPr>
              <w:tabs>
                <w:tab w:val="clear" w:pos="567"/>
                <w:tab w:val="left" w:pos="720"/>
              </w:tabs>
              <w:spacing w:line="240" w:lineRule="auto"/>
              <w:jc w:val="center"/>
              <w:textAlignment w:val="baseline"/>
              <w:rPr>
                <w:szCs w:val="22"/>
                <w:lang w:val="lt-LT" w:eastAsia="en-GB"/>
              </w:rPr>
            </w:pPr>
            <w:r>
              <w:rPr>
                <w:color w:val="000000"/>
                <w:szCs w:val="22"/>
                <w:lang w:val="lt-LT" w:eastAsia="en-GB"/>
              </w:rPr>
              <w:t>1</w:t>
            </w:r>
          </w:p>
        </w:tc>
        <w:tc>
          <w:tcPr>
            <w:tcW w:w="4140" w:type="dxa"/>
            <w:tcBorders>
              <w:top w:val="single" w:sz="4" w:space="0" w:color="000000"/>
              <w:left w:val="single" w:sz="4" w:space="0" w:color="000000"/>
              <w:bottom w:val="single" w:sz="4" w:space="0" w:color="000000"/>
              <w:right w:val="single" w:sz="4" w:space="0" w:color="000000"/>
            </w:tcBorders>
            <w:vAlign w:val="center"/>
          </w:tcPr>
          <w:p>
            <w:pPr>
              <w:tabs>
                <w:tab w:val="clear" w:pos="567"/>
                <w:tab w:val="left" w:pos="720"/>
              </w:tabs>
              <w:spacing w:line="240" w:lineRule="auto"/>
              <w:jc w:val="center"/>
              <w:textAlignment w:val="baseline"/>
              <w:rPr>
                <w:szCs w:val="22"/>
                <w:lang w:val="lt-LT" w:eastAsia="en-GB"/>
              </w:rPr>
            </w:pPr>
            <w:r>
              <w:rPr>
                <w:color w:val="000000"/>
                <w:szCs w:val="22"/>
                <w:lang w:val="lt-LT" w:eastAsia="en-GB"/>
              </w:rPr>
              <w:t>38</w:t>
            </w:r>
          </w:p>
        </w:tc>
      </w:tr>
      <w:tr>
        <w:trPr>
          <w:trHeight w:val="255"/>
        </w:trPr>
        <w:tc>
          <w:tcPr>
            <w:tcW w:w="1966" w:type="dxa"/>
            <w:tcBorders>
              <w:top w:val="single" w:sz="4" w:space="0" w:color="000000"/>
              <w:left w:val="single" w:sz="4" w:space="0" w:color="000000"/>
              <w:bottom w:val="single" w:sz="4" w:space="0" w:color="000000"/>
              <w:right w:val="single" w:sz="4" w:space="0" w:color="000000"/>
            </w:tcBorders>
            <w:vAlign w:val="center"/>
          </w:tcPr>
          <w:p>
            <w:pPr>
              <w:tabs>
                <w:tab w:val="clear" w:pos="567"/>
                <w:tab w:val="left" w:pos="720"/>
              </w:tabs>
              <w:spacing w:line="240" w:lineRule="auto"/>
              <w:jc w:val="center"/>
              <w:textAlignment w:val="baseline"/>
              <w:rPr>
                <w:szCs w:val="22"/>
                <w:lang w:val="lt-LT" w:eastAsia="en-GB"/>
              </w:rPr>
            </w:pPr>
            <w:r>
              <w:rPr>
                <w:color w:val="000000"/>
                <w:szCs w:val="22"/>
                <w:lang w:val="lt-LT" w:eastAsia="en-GB"/>
              </w:rPr>
              <w:t>3</w:t>
            </w:r>
          </w:p>
        </w:tc>
        <w:tc>
          <w:tcPr>
            <w:tcW w:w="2431" w:type="dxa"/>
            <w:tcBorders>
              <w:top w:val="single" w:sz="4" w:space="0" w:color="000000"/>
              <w:left w:val="single" w:sz="4" w:space="0" w:color="000000"/>
              <w:bottom w:val="single" w:sz="4" w:space="0" w:color="000000"/>
              <w:right w:val="single" w:sz="4" w:space="0" w:color="000000"/>
            </w:tcBorders>
            <w:vAlign w:val="center"/>
          </w:tcPr>
          <w:p>
            <w:pPr>
              <w:tabs>
                <w:tab w:val="clear" w:pos="567"/>
                <w:tab w:val="left" w:pos="720"/>
              </w:tabs>
              <w:spacing w:line="240" w:lineRule="auto"/>
              <w:jc w:val="center"/>
              <w:textAlignment w:val="baseline"/>
              <w:rPr>
                <w:szCs w:val="22"/>
                <w:lang w:val="lt-LT" w:eastAsia="en-GB"/>
              </w:rPr>
            </w:pPr>
            <w:r>
              <w:rPr>
                <w:color w:val="000000"/>
                <w:szCs w:val="22"/>
                <w:lang w:val="lt-LT" w:eastAsia="en-GB"/>
              </w:rPr>
              <w:t>1</w:t>
            </w:r>
          </w:p>
        </w:tc>
        <w:tc>
          <w:tcPr>
            <w:tcW w:w="4140" w:type="dxa"/>
            <w:tcBorders>
              <w:top w:val="single" w:sz="4" w:space="0" w:color="000000"/>
              <w:left w:val="single" w:sz="4" w:space="0" w:color="000000"/>
              <w:bottom w:val="single" w:sz="4" w:space="0" w:color="000000"/>
              <w:right w:val="single" w:sz="4" w:space="0" w:color="000000"/>
            </w:tcBorders>
            <w:vAlign w:val="center"/>
          </w:tcPr>
          <w:p>
            <w:pPr>
              <w:tabs>
                <w:tab w:val="clear" w:pos="567"/>
                <w:tab w:val="left" w:pos="720"/>
              </w:tabs>
              <w:spacing w:line="240" w:lineRule="auto"/>
              <w:jc w:val="center"/>
              <w:textAlignment w:val="baseline"/>
              <w:rPr>
                <w:szCs w:val="22"/>
                <w:lang w:val="lt-LT" w:eastAsia="en-GB"/>
              </w:rPr>
            </w:pPr>
            <w:r>
              <w:rPr>
                <w:color w:val="000000"/>
                <w:szCs w:val="22"/>
                <w:lang w:val="lt-LT" w:eastAsia="en-GB"/>
              </w:rPr>
              <w:t>47</w:t>
            </w:r>
          </w:p>
        </w:tc>
      </w:tr>
      <w:tr>
        <w:trPr>
          <w:trHeight w:val="255"/>
        </w:trPr>
        <w:tc>
          <w:tcPr>
            <w:tcW w:w="1966" w:type="dxa"/>
            <w:tcBorders>
              <w:top w:val="single" w:sz="4" w:space="0" w:color="000000"/>
              <w:left w:val="single" w:sz="4" w:space="0" w:color="000000"/>
              <w:bottom w:val="single" w:sz="4" w:space="0" w:color="000000"/>
              <w:right w:val="single" w:sz="4" w:space="0" w:color="000000"/>
            </w:tcBorders>
            <w:vAlign w:val="center"/>
          </w:tcPr>
          <w:p>
            <w:pPr>
              <w:tabs>
                <w:tab w:val="clear" w:pos="567"/>
                <w:tab w:val="left" w:pos="720"/>
              </w:tabs>
              <w:spacing w:line="240" w:lineRule="auto"/>
              <w:jc w:val="center"/>
              <w:textAlignment w:val="baseline"/>
              <w:rPr>
                <w:szCs w:val="22"/>
                <w:lang w:val="lt-LT" w:eastAsia="en-GB"/>
              </w:rPr>
            </w:pPr>
            <w:r>
              <w:rPr>
                <w:color w:val="000000"/>
                <w:szCs w:val="22"/>
                <w:lang w:val="lt-LT" w:eastAsia="en-GB"/>
              </w:rPr>
              <w:t>0</w:t>
            </w:r>
          </w:p>
        </w:tc>
        <w:tc>
          <w:tcPr>
            <w:tcW w:w="2431" w:type="dxa"/>
            <w:tcBorders>
              <w:top w:val="single" w:sz="4" w:space="0" w:color="000000"/>
              <w:left w:val="single" w:sz="4" w:space="0" w:color="000000"/>
              <w:bottom w:val="single" w:sz="4" w:space="0" w:color="000000"/>
              <w:right w:val="single" w:sz="4" w:space="0" w:color="000000"/>
            </w:tcBorders>
            <w:vAlign w:val="center"/>
          </w:tcPr>
          <w:p>
            <w:pPr>
              <w:tabs>
                <w:tab w:val="clear" w:pos="567"/>
                <w:tab w:val="left" w:pos="720"/>
              </w:tabs>
              <w:spacing w:line="240" w:lineRule="auto"/>
              <w:jc w:val="center"/>
              <w:textAlignment w:val="baseline"/>
              <w:rPr>
                <w:szCs w:val="22"/>
                <w:lang w:val="lt-LT" w:eastAsia="en-GB"/>
              </w:rPr>
            </w:pPr>
            <w:r>
              <w:rPr>
                <w:color w:val="000000"/>
                <w:szCs w:val="22"/>
                <w:lang w:val="lt-LT" w:eastAsia="en-GB"/>
              </w:rPr>
              <w:t>2</w:t>
            </w:r>
          </w:p>
        </w:tc>
        <w:tc>
          <w:tcPr>
            <w:tcW w:w="4140" w:type="dxa"/>
            <w:tcBorders>
              <w:top w:val="single" w:sz="4" w:space="0" w:color="000000"/>
              <w:left w:val="single" w:sz="4" w:space="0" w:color="000000"/>
              <w:bottom w:val="single" w:sz="4" w:space="0" w:color="000000"/>
              <w:right w:val="single" w:sz="4" w:space="0" w:color="000000"/>
            </w:tcBorders>
            <w:vAlign w:val="center"/>
          </w:tcPr>
          <w:p>
            <w:pPr>
              <w:tabs>
                <w:tab w:val="clear" w:pos="567"/>
                <w:tab w:val="left" w:pos="720"/>
              </w:tabs>
              <w:spacing w:line="240" w:lineRule="auto"/>
              <w:jc w:val="center"/>
              <w:textAlignment w:val="baseline"/>
              <w:rPr>
                <w:szCs w:val="22"/>
                <w:lang w:val="lt-LT" w:eastAsia="en-GB"/>
              </w:rPr>
            </w:pPr>
            <w:r>
              <w:rPr>
                <w:color w:val="000000"/>
                <w:szCs w:val="22"/>
                <w:lang w:val="lt-LT" w:eastAsia="en-GB"/>
              </w:rPr>
              <w:t>40</w:t>
            </w:r>
          </w:p>
        </w:tc>
      </w:tr>
      <w:tr>
        <w:trPr>
          <w:trHeight w:val="255"/>
        </w:trPr>
        <w:tc>
          <w:tcPr>
            <w:tcW w:w="1966" w:type="dxa"/>
            <w:tcBorders>
              <w:top w:val="single" w:sz="4" w:space="0" w:color="000000"/>
              <w:left w:val="single" w:sz="4" w:space="0" w:color="000000"/>
              <w:bottom w:val="single" w:sz="4" w:space="0" w:color="000000"/>
              <w:right w:val="single" w:sz="4" w:space="0" w:color="000000"/>
            </w:tcBorders>
            <w:vAlign w:val="center"/>
          </w:tcPr>
          <w:p>
            <w:pPr>
              <w:tabs>
                <w:tab w:val="clear" w:pos="567"/>
                <w:tab w:val="left" w:pos="720"/>
              </w:tabs>
              <w:spacing w:line="240" w:lineRule="auto"/>
              <w:jc w:val="center"/>
              <w:textAlignment w:val="baseline"/>
              <w:rPr>
                <w:szCs w:val="22"/>
                <w:lang w:val="lt-LT" w:eastAsia="en-GB"/>
              </w:rPr>
            </w:pPr>
            <w:r>
              <w:rPr>
                <w:color w:val="000000"/>
                <w:szCs w:val="22"/>
                <w:lang w:val="lt-LT" w:eastAsia="en-GB"/>
              </w:rPr>
              <w:t>1</w:t>
            </w:r>
          </w:p>
        </w:tc>
        <w:tc>
          <w:tcPr>
            <w:tcW w:w="2431" w:type="dxa"/>
            <w:tcBorders>
              <w:top w:val="single" w:sz="4" w:space="0" w:color="000000"/>
              <w:left w:val="single" w:sz="4" w:space="0" w:color="000000"/>
              <w:bottom w:val="single" w:sz="4" w:space="0" w:color="000000"/>
              <w:right w:val="single" w:sz="4" w:space="0" w:color="000000"/>
            </w:tcBorders>
            <w:vAlign w:val="center"/>
          </w:tcPr>
          <w:p>
            <w:pPr>
              <w:tabs>
                <w:tab w:val="clear" w:pos="567"/>
                <w:tab w:val="left" w:pos="720"/>
              </w:tabs>
              <w:spacing w:line="240" w:lineRule="auto"/>
              <w:jc w:val="center"/>
              <w:textAlignment w:val="baseline"/>
              <w:rPr>
                <w:szCs w:val="22"/>
                <w:lang w:val="lt-LT" w:eastAsia="en-GB"/>
              </w:rPr>
            </w:pPr>
            <w:r>
              <w:rPr>
                <w:color w:val="000000"/>
                <w:szCs w:val="22"/>
                <w:lang w:val="lt-LT" w:eastAsia="en-GB"/>
              </w:rPr>
              <w:t>2</w:t>
            </w:r>
          </w:p>
        </w:tc>
        <w:tc>
          <w:tcPr>
            <w:tcW w:w="4140" w:type="dxa"/>
            <w:tcBorders>
              <w:top w:val="single" w:sz="4" w:space="0" w:color="000000"/>
              <w:left w:val="single" w:sz="4" w:space="0" w:color="000000"/>
              <w:bottom w:val="single" w:sz="4" w:space="0" w:color="000000"/>
              <w:right w:val="single" w:sz="4" w:space="0" w:color="000000"/>
            </w:tcBorders>
            <w:vAlign w:val="center"/>
          </w:tcPr>
          <w:p>
            <w:pPr>
              <w:tabs>
                <w:tab w:val="clear" w:pos="567"/>
                <w:tab w:val="left" w:pos="720"/>
              </w:tabs>
              <w:spacing w:line="240" w:lineRule="auto"/>
              <w:jc w:val="center"/>
              <w:textAlignment w:val="baseline"/>
              <w:rPr>
                <w:szCs w:val="22"/>
                <w:lang w:val="lt-LT" w:eastAsia="en-GB"/>
              </w:rPr>
            </w:pPr>
            <w:r>
              <w:rPr>
                <w:color w:val="000000"/>
                <w:szCs w:val="22"/>
                <w:lang w:val="lt-LT" w:eastAsia="en-GB"/>
              </w:rPr>
              <w:t>49</w:t>
            </w:r>
          </w:p>
        </w:tc>
      </w:tr>
      <w:tr>
        <w:trPr>
          <w:trHeight w:val="255"/>
        </w:trPr>
        <w:tc>
          <w:tcPr>
            <w:tcW w:w="1966" w:type="dxa"/>
            <w:tcBorders>
              <w:top w:val="single" w:sz="4" w:space="0" w:color="000000"/>
              <w:left w:val="single" w:sz="4" w:space="0" w:color="000000"/>
              <w:bottom w:val="single" w:sz="4" w:space="0" w:color="000000"/>
              <w:right w:val="single" w:sz="4" w:space="0" w:color="000000"/>
            </w:tcBorders>
            <w:vAlign w:val="center"/>
          </w:tcPr>
          <w:p>
            <w:pPr>
              <w:tabs>
                <w:tab w:val="clear" w:pos="567"/>
                <w:tab w:val="left" w:pos="720"/>
              </w:tabs>
              <w:spacing w:line="240" w:lineRule="auto"/>
              <w:jc w:val="center"/>
              <w:textAlignment w:val="baseline"/>
              <w:rPr>
                <w:szCs w:val="22"/>
                <w:lang w:val="lt-LT" w:eastAsia="en-GB"/>
              </w:rPr>
            </w:pPr>
            <w:r>
              <w:rPr>
                <w:color w:val="000000"/>
                <w:szCs w:val="22"/>
                <w:lang w:val="lt-LT" w:eastAsia="en-GB"/>
              </w:rPr>
              <w:t>2</w:t>
            </w:r>
          </w:p>
        </w:tc>
        <w:tc>
          <w:tcPr>
            <w:tcW w:w="2431" w:type="dxa"/>
            <w:tcBorders>
              <w:top w:val="single" w:sz="4" w:space="0" w:color="000000"/>
              <w:left w:val="single" w:sz="4" w:space="0" w:color="000000"/>
              <w:bottom w:val="single" w:sz="4" w:space="0" w:color="000000"/>
              <w:right w:val="single" w:sz="4" w:space="0" w:color="000000"/>
            </w:tcBorders>
            <w:vAlign w:val="center"/>
          </w:tcPr>
          <w:p>
            <w:pPr>
              <w:tabs>
                <w:tab w:val="clear" w:pos="567"/>
                <w:tab w:val="left" w:pos="720"/>
              </w:tabs>
              <w:spacing w:line="240" w:lineRule="auto"/>
              <w:jc w:val="center"/>
              <w:textAlignment w:val="baseline"/>
              <w:rPr>
                <w:szCs w:val="22"/>
                <w:lang w:val="lt-LT" w:eastAsia="en-GB"/>
              </w:rPr>
            </w:pPr>
            <w:r>
              <w:rPr>
                <w:color w:val="000000"/>
                <w:szCs w:val="22"/>
                <w:lang w:val="lt-LT" w:eastAsia="en-GB"/>
              </w:rPr>
              <w:t>2</w:t>
            </w:r>
          </w:p>
        </w:tc>
        <w:tc>
          <w:tcPr>
            <w:tcW w:w="4140" w:type="dxa"/>
            <w:tcBorders>
              <w:top w:val="single" w:sz="4" w:space="0" w:color="000000"/>
              <w:left w:val="single" w:sz="4" w:space="0" w:color="000000"/>
              <w:bottom w:val="single" w:sz="4" w:space="0" w:color="000000"/>
              <w:right w:val="single" w:sz="4" w:space="0" w:color="000000"/>
            </w:tcBorders>
            <w:vAlign w:val="center"/>
          </w:tcPr>
          <w:p>
            <w:pPr>
              <w:tabs>
                <w:tab w:val="clear" w:pos="567"/>
                <w:tab w:val="left" w:pos="720"/>
              </w:tabs>
              <w:spacing w:line="240" w:lineRule="auto"/>
              <w:jc w:val="center"/>
              <w:textAlignment w:val="baseline"/>
              <w:rPr>
                <w:szCs w:val="22"/>
                <w:lang w:val="lt-LT" w:eastAsia="en-GB"/>
              </w:rPr>
            </w:pPr>
            <w:r>
              <w:rPr>
                <w:color w:val="000000"/>
                <w:szCs w:val="22"/>
                <w:lang w:val="lt-LT" w:eastAsia="en-GB"/>
              </w:rPr>
              <w:t>58</w:t>
            </w:r>
          </w:p>
        </w:tc>
      </w:tr>
      <w:tr>
        <w:trPr>
          <w:trHeight w:val="255"/>
        </w:trPr>
        <w:tc>
          <w:tcPr>
            <w:tcW w:w="1966" w:type="dxa"/>
            <w:tcBorders>
              <w:top w:val="single" w:sz="4" w:space="0" w:color="000000"/>
              <w:left w:val="single" w:sz="4" w:space="0" w:color="000000"/>
              <w:bottom w:val="single" w:sz="4" w:space="0" w:color="000000"/>
              <w:right w:val="single" w:sz="4" w:space="0" w:color="000000"/>
            </w:tcBorders>
            <w:vAlign w:val="center"/>
          </w:tcPr>
          <w:p>
            <w:pPr>
              <w:tabs>
                <w:tab w:val="clear" w:pos="567"/>
                <w:tab w:val="left" w:pos="720"/>
              </w:tabs>
              <w:spacing w:line="240" w:lineRule="auto"/>
              <w:jc w:val="center"/>
              <w:textAlignment w:val="baseline"/>
              <w:rPr>
                <w:szCs w:val="22"/>
                <w:lang w:val="lt-LT" w:eastAsia="en-GB"/>
              </w:rPr>
            </w:pPr>
            <w:r>
              <w:rPr>
                <w:color w:val="000000"/>
                <w:szCs w:val="22"/>
                <w:lang w:val="lt-LT" w:eastAsia="en-GB"/>
              </w:rPr>
              <w:t>3</w:t>
            </w:r>
          </w:p>
        </w:tc>
        <w:tc>
          <w:tcPr>
            <w:tcW w:w="2431" w:type="dxa"/>
            <w:tcBorders>
              <w:top w:val="single" w:sz="4" w:space="0" w:color="000000"/>
              <w:left w:val="single" w:sz="4" w:space="0" w:color="000000"/>
              <w:bottom w:val="single" w:sz="4" w:space="0" w:color="000000"/>
              <w:right w:val="single" w:sz="4" w:space="0" w:color="000000"/>
            </w:tcBorders>
            <w:vAlign w:val="center"/>
          </w:tcPr>
          <w:p>
            <w:pPr>
              <w:tabs>
                <w:tab w:val="clear" w:pos="567"/>
                <w:tab w:val="left" w:pos="720"/>
              </w:tabs>
              <w:spacing w:line="240" w:lineRule="auto"/>
              <w:jc w:val="center"/>
              <w:textAlignment w:val="baseline"/>
              <w:rPr>
                <w:szCs w:val="22"/>
                <w:lang w:val="lt-LT" w:eastAsia="en-GB"/>
              </w:rPr>
            </w:pPr>
            <w:r>
              <w:rPr>
                <w:color w:val="000000"/>
                <w:szCs w:val="22"/>
                <w:lang w:val="lt-LT" w:eastAsia="en-GB"/>
              </w:rPr>
              <w:t>2</w:t>
            </w:r>
          </w:p>
        </w:tc>
        <w:tc>
          <w:tcPr>
            <w:tcW w:w="4140" w:type="dxa"/>
            <w:tcBorders>
              <w:top w:val="single" w:sz="4" w:space="0" w:color="000000"/>
              <w:left w:val="single" w:sz="4" w:space="0" w:color="000000"/>
              <w:bottom w:val="single" w:sz="4" w:space="0" w:color="000000"/>
              <w:right w:val="single" w:sz="4" w:space="0" w:color="000000"/>
            </w:tcBorders>
            <w:vAlign w:val="center"/>
          </w:tcPr>
          <w:p>
            <w:pPr>
              <w:tabs>
                <w:tab w:val="clear" w:pos="567"/>
                <w:tab w:val="left" w:pos="720"/>
              </w:tabs>
              <w:spacing w:line="240" w:lineRule="auto"/>
              <w:jc w:val="center"/>
              <w:textAlignment w:val="baseline"/>
              <w:rPr>
                <w:szCs w:val="22"/>
                <w:lang w:val="lt-LT" w:eastAsia="en-GB"/>
              </w:rPr>
            </w:pPr>
            <w:r>
              <w:rPr>
                <w:color w:val="000000"/>
                <w:szCs w:val="22"/>
                <w:lang w:val="lt-LT" w:eastAsia="en-GB"/>
              </w:rPr>
              <w:t>67</w:t>
            </w:r>
          </w:p>
        </w:tc>
      </w:tr>
      <w:tr>
        <w:trPr>
          <w:trHeight w:val="255"/>
        </w:trPr>
        <w:tc>
          <w:tcPr>
            <w:tcW w:w="1966" w:type="dxa"/>
            <w:tcBorders>
              <w:top w:val="single" w:sz="4" w:space="0" w:color="000000"/>
              <w:left w:val="single" w:sz="4" w:space="0" w:color="000000"/>
              <w:bottom w:val="single" w:sz="4" w:space="0" w:color="000000"/>
              <w:right w:val="single" w:sz="4" w:space="0" w:color="000000"/>
            </w:tcBorders>
            <w:vAlign w:val="center"/>
          </w:tcPr>
          <w:p>
            <w:pPr>
              <w:tabs>
                <w:tab w:val="clear" w:pos="567"/>
                <w:tab w:val="left" w:pos="720"/>
              </w:tabs>
              <w:spacing w:line="240" w:lineRule="auto"/>
              <w:jc w:val="center"/>
              <w:textAlignment w:val="baseline"/>
              <w:rPr>
                <w:szCs w:val="22"/>
                <w:lang w:val="lt-LT" w:eastAsia="en-GB"/>
              </w:rPr>
            </w:pPr>
            <w:r>
              <w:rPr>
                <w:color w:val="000000"/>
                <w:szCs w:val="22"/>
                <w:lang w:val="lt-LT" w:eastAsia="en-GB"/>
              </w:rPr>
              <w:t>0</w:t>
            </w:r>
          </w:p>
        </w:tc>
        <w:tc>
          <w:tcPr>
            <w:tcW w:w="2431" w:type="dxa"/>
            <w:tcBorders>
              <w:top w:val="single" w:sz="4" w:space="0" w:color="000000"/>
              <w:left w:val="single" w:sz="4" w:space="0" w:color="000000"/>
              <w:bottom w:val="single" w:sz="4" w:space="0" w:color="000000"/>
              <w:right w:val="single" w:sz="4" w:space="0" w:color="000000"/>
            </w:tcBorders>
            <w:vAlign w:val="center"/>
          </w:tcPr>
          <w:p>
            <w:pPr>
              <w:tabs>
                <w:tab w:val="clear" w:pos="567"/>
                <w:tab w:val="left" w:pos="720"/>
              </w:tabs>
              <w:spacing w:line="240" w:lineRule="auto"/>
              <w:jc w:val="center"/>
              <w:textAlignment w:val="baseline"/>
              <w:rPr>
                <w:szCs w:val="22"/>
                <w:lang w:val="lt-LT" w:eastAsia="en-GB"/>
              </w:rPr>
            </w:pPr>
            <w:r>
              <w:rPr>
                <w:color w:val="000000"/>
                <w:szCs w:val="22"/>
                <w:lang w:val="lt-LT" w:eastAsia="en-GB"/>
              </w:rPr>
              <w:t>3</w:t>
            </w:r>
          </w:p>
        </w:tc>
        <w:tc>
          <w:tcPr>
            <w:tcW w:w="4140" w:type="dxa"/>
            <w:tcBorders>
              <w:top w:val="single" w:sz="4" w:space="0" w:color="000000"/>
              <w:left w:val="single" w:sz="4" w:space="0" w:color="000000"/>
              <w:bottom w:val="single" w:sz="4" w:space="0" w:color="000000"/>
              <w:right w:val="single" w:sz="4" w:space="0" w:color="000000"/>
            </w:tcBorders>
            <w:vAlign w:val="center"/>
          </w:tcPr>
          <w:p>
            <w:pPr>
              <w:tabs>
                <w:tab w:val="clear" w:pos="567"/>
                <w:tab w:val="left" w:pos="720"/>
              </w:tabs>
              <w:spacing w:line="240" w:lineRule="auto"/>
              <w:jc w:val="center"/>
              <w:textAlignment w:val="baseline"/>
              <w:rPr>
                <w:szCs w:val="22"/>
                <w:lang w:val="lt-LT" w:eastAsia="en-GB"/>
              </w:rPr>
            </w:pPr>
            <w:r>
              <w:rPr>
                <w:color w:val="000000"/>
                <w:szCs w:val="22"/>
                <w:lang w:val="lt-LT" w:eastAsia="en-GB"/>
              </w:rPr>
              <w:t>60</w:t>
            </w:r>
          </w:p>
        </w:tc>
      </w:tr>
      <w:tr>
        <w:trPr>
          <w:trHeight w:val="255"/>
        </w:trPr>
        <w:tc>
          <w:tcPr>
            <w:tcW w:w="1966" w:type="dxa"/>
            <w:tcBorders>
              <w:top w:val="single" w:sz="4" w:space="0" w:color="000000"/>
              <w:left w:val="single" w:sz="4" w:space="0" w:color="000000"/>
              <w:bottom w:val="single" w:sz="4" w:space="0" w:color="000000"/>
              <w:right w:val="single" w:sz="4" w:space="0" w:color="000000"/>
            </w:tcBorders>
            <w:vAlign w:val="center"/>
          </w:tcPr>
          <w:p>
            <w:pPr>
              <w:tabs>
                <w:tab w:val="clear" w:pos="567"/>
                <w:tab w:val="left" w:pos="720"/>
              </w:tabs>
              <w:spacing w:line="240" w:lineRule="auto"/>
              <w:jc w:val="center"/>
              <w:textAlignment w:val="baseline"/>
              <w:rPr>
                <w:szCs w:val="22"/>
                <w:lang w:val="lt-LT" w:eastAsia="en-GB"/>
              </w:rPr>
            </w:pPr>
            <w:r>
              <w:rPr>
                <w:color w:val="000000"/>
                <w:szCs w:val="22"/>
                <w:lang w:val="lt-LT" w:eastAsia="en-GB"/>
              </w:rPr>
              <w:t>1</w:t>
            </w:r>
          </w:p>
        </w:tc>
        <w:tc>
          <w:tcPr>
            <w:tcW w:w="2431" w:type="dxa"/>
            <w:tcBorders>
              <w:top w:val="single" w:sz="4" w:space="0" w:color="000000"/>
              <w:left w:val="single" w:sz="4" w:space="0" w:color="000000"/>
              <w:bottom w:val="single" w:sz="4" w:space="0" w:color="000000"/>
              <w:right w:val="single" w:sz="4" w:space="0" w:color="000000"/>
            </w:tcBorders>
            <w:vAlign w:val="center"/>
          </w:tcPr>
          <w:p>
            <w:pPr>
              <w:tabs>
                <w:tab w:val="clear" w:pos="567"/>
                <w:tab w:val="left" w:pos="720"/>
              </w:tabs>
              <w:spacing w:line="240" w:lineRule="auto"/>
              <w:jc w:val="center"/>
              <w:textAlignment w:val="baseline"/>
              <w:rPr>
                <w:szCs w:val="22"/>
                <w:lang w:val="lt-LT" w:eastAsia="en-GB"/>
              </w:rPr>
            </w:pPr>
            <w:r>
              <w:rPr>
                <w:color w:val="000000"/>
                <w:szCs w:val="22"/>
                <w:lang w:val="lt-LT" w:eastAsia="en-GB"/>
              </w:rPr>
              <w:t>3</w:t>
            </w:r>
          </w:p>
        </w:tc>
        <w:tc>
          <w:tcPr>
            <w:tcW w:w="4140" w:type="dxa"/>
            <w:tcBorders>
              <w:top w:val="single" w:sz="4" w:space="0" w:color="000000"/>
              <w:left w:val="single" w:sz="4" w:space="0" w:color="000000"/>
              <w:bottom w:val="single" w:sz="4" w:space="0" w:color="000000"/>
              <w:right w:val="single" w:sz="4" w:space="0" w:color="000000"/>
            </w:tcBorders>
            <w:vAlign w:val="center"/>
          </w:tcPr>
          <w:p>
            <w:pPr>
              <w:tabs>
                <w:tab w:val="clear" w:pos="567"/>
                <w:tab w:val="left" w:pos="720"/>
              </w:tabs>
              <w:spacing w:line="240" w:lineRule="auto"/>
              <w:jc w:val="center"/>
              <w:textAlignment w:val="baseline"/>
              <w:rPr>
                <w:szCs w:val="22"/>
                <w:lang w:val="lt-LT" w:eastAsia="en-GB"/>
              </w:rPr>
            </w:pPr>
            <w:r>
              <w:rPr>
                <w:color w:val="000000"/>
                <w:szCs w:val="22"/>
                <w:lang w:val="lt-LT" w:eastAsia="en-GB"/>
              </w:rPr>
              <w:t>69</w:t>
            </w:r>
          </w:p>
        </w:tc>
      </w:tr>
      <w:tr>
        <w:trPr>
          <w:trHeight w:val="255"/>
        </w:trPr>
        <w:tc>
          <w:tcPr>
            <w:tcW w:w="1966" w:type="dxa"/>
            <w:tcBorders>
              <w:top w:val="single" w:sz="4" w:space="0" w:color="000000"/>
              <w:left w:val="single" w:sz="4" w:space="0" w:color="000000"/>
              <w:bottom w:val="single" w:sz="4" w:space="0" w:color="000000"/>
              <w:right w:val="single" w:sz="4" w:space="0" w:color="000000"/>
            </w:tcBorders>
            <w:vAlign w:val="center"/>
          </w:tcPr>
          <w:p>
            <w:pPr>
              <w:tabs>
                <w:tab w:val="clear" w:pos="567"/>
                <w:tab w:val="left" w:pos="720"/>
              </w:tabs>
              <w:spacing w:line="240" w:lineRule="auto"/>
              <w:jc w:val="center"/>
              <w:textAlignment w:val="baseline"/>
              <w:rPr>
                <w:szCs w:val="22"/>
                <w:lang w:val="lt-LT" w:eastAsia="en-GB"/>
              </w:rPr>
            </w:pPr>
            <w:r>
              <w:rPr>
                <w:color w:val="000000"/>
                <w:szCs w:val="22"/>
                <w:lang w:val="lt-LT" w:eastAsia="en-GB"/>
              </w:rPr>
              <w:t>2</w:t>
            </w:r>
          </w:p>
        </w:tc>
        <w:tc>
          <w:tcPr>
            <w:tcW w:w="2431" w:type="dxa"/>
            <w:tcBorders>
              <w:top w:val="single" w:sz="4" w:space="0" w:color="000000"/>
              <w:left w:val="single" w:sz="4" w:space="0" w:color="000000"/>
              <w:bottom w:val="single" w:sz="4" w:space="0" w:color="000000"/>
              <w:right w:val="single" w:sz="4" w:space="0" w:color="000000"/>
            </w:tcBorders>
            <w:vAlign w:val="center"/>
          </w:tcPr>
          <w:p>
            <w:pPr>
              <w:tabs>
                <w:tab w:val="clear" w:pos="567"/>
                <w:tab w:val="left" w:pos="720"/>
              </w:tabs>
              <w:spacing w:line="240" w:lineRule="auto"/>
              <w:jc w:val="center"/>
              <w:textAlignment w:val="baseline"/>
              <w:rPr>
                <w:szCs w:val="22"/>
                <w:lang w:val="lt-LT" w:eastAsia="en-GB"/>
              </w:rPr>
            </w:pPr>
            <w:r>
              <w:rPr>
                <w:color w:val="000000"/>
                <w:szCs w:val="22"/>
                <w:lang w:val="lt-LT" w:eastAsia="en-GB"/>
              </w:rPr>
              <w:t>3</w:t>
            </w:r>
          </w:p>
        </w:tc>
        <w:tc>
          <w:tcPr>
            <w:tcW w:w="4140" w:type="dxa"/>
            <w:tcBorders>
              <w:top w:val="single" w:sz="4" w:space="0" w:color="000000"/>
              <w:left w:val="single" w:sz="4" w:space="0" w:color="000000"/>
              <w:bottom w:val="single" w:sz="4" w:space="0" w:color="000000"/>
              <w:right w:val="single" w:sz="4" w:space="0" w:color="000000"/>
            </w:tcBorders>
            <w:vAlign w:val="center"/>
          </w:tcPr>
          <w:p>
            <w:pPr>
              <w:tabs>
                <w:tab w:val="clear" w:pos="567"/>
                <w:tab w:val="left" w:pos="720"/>
              </w:tabs>
              <w:spacing w:line="240" w:lineRule="auto"/>
              <w:jc w:val="center"/>
              <w:textAlignment w:val="baseline"/>
              <w:rPr>
                <w:szCs w:val="22"/>
                <w:lang w:val="lt-LT" w:eastAsia="en-GB"/>
              </w:rPr>
            </w:pPr>
            <w:r>
              <w:rPr>
                <w:color w:val="000000"/>
                <w:szCs w:val="22"/>
                <w:lang w:val="lt-LT" w:eastAsia="en-GB"/>
              </w:rPr>
              <w:t>78</w:t>
            </w:r>
          </w:p>
        </w:tc>
      </w:tr>
      <w:tr>
        <w:trPr>
          <w:trHeight w:val="255"/>
        </w:trPr>
        <w:tc>
          <w:tcPr>
            <w:tcW w:w="1966" w:type="dxa"/>
            <w:tcBorders>
              <w:top w:val="single" w:sz="4" w:space="0" w:color="000000"/>
              <w:left w:val="single" w:sz="4" w:space="0" w:color="000000"/>
              <w:bottom w:val="single" w:sz="4" w:space="0" w:color="000000"/>
              <w:right w:val="single" w:sz="4" w:space="0" w:color="000000"/>
            </w:tcBorders>
            <w:vAlign w:val="center"/>
          </w:tcPr>
          <w:p>
            <w:pPr>
              <w:tabs>
                <w:tab w:val="clear" w:pos="567"/>
                <w:tab w:val="left" w:pos="720"/>
              </w:tabs>
              <w:spacing w:line="240" w:lineRule="auto"/>
              <w:jc w:val="center"/>
              <w:textAlignment w:val="baseline"/>
              <w:rPr>
                <w:szCs w:val="22"/>
                <w:lang w:val="lt-LT" w:eastAsia="en-GB"/>
              </w:rPr>
            </w:pPr>
            <w:r>
              <w:rPr>
                <w:color w:val="000000"/>
                <w:szCs w:val="22"/>
                <w:lang w:val="lt-LT" w:eastAsia="en-GB"/>
              </w:rPr>
              <w:t>3</w:t>
            </w:r>
          </w:p>
        </w:tc>
        <w:tc>
          <w:tcPr>
            <w:tcW w:w="2431" w:type="dxa"/>
            <w:tcBorders>
              <w:top w:val="single" w:sz="4" w:space="0" w:color="000000"/>
              <w:left w:val="single" w:sz="4" w:space="0" w:color="000000"/>
              <w:bottom w:val="single" w:sz="4" w:space="0" w:color="000000"/>
              <w:right w:val="single" w:sz="4" w:space="0" w:color="000000"/>
            </w:tcBorders>
            <w:vAlign w:val="center"/>
          </w:tcPr>
          <w:p>
            <w:pPr>
              <w:tabs>
                <w:tab w:val="clear" w:pos="567"/>
                <w:tab w:val="left" w:pos="720"/>
              </w:tabs>
              <w:spacing w:line="240" w:lineRule="auto"/>
              <w:jc w:val="center"/>
              <w:textAlignment w:val="baseline"/>
              <w:rPr>
                <w:szCs w:val="22"/>
                <w:lang w:val="lt-LT" w:eastAsia="en-GB"/>
              </w:rPr>
            </w:pPr>
            <w:r>
              <w:rPr>
                <w:color w:val="000000"/>
                <w:szCs w:val="22"/>
                <w:lang w:val="lt-LT" w:eastAsia="en-GB"/>
              </w:rPr>
              <w:t>3</w:t>
            </w:r>
          </w:p>
        </w:tc>
        <w:tc>
          <w:tcPr>
            <w:tcW w:w="4140" w:type="dxa"/>
            <w:tcBorders>
              <w:top w:val="single" w:sz="4" w:space="0" w:color="000000"/>
              <w:left w:val="single" w:sz="4" w:space="0" w:color="000000"/>
              <w:bottom w:val="single" w:sz="4" w:space="0" w:color="000000"/>
              <w:right w:val="single" w:sz="4" w:space="0" w:color="000000"/>
            </w:tcBorders>
            <w:vAlign w:val="center"/>
          </w:tcPr>
          <w:p>
            <w:pPr>
              <w:tabs>
                <w:tab w:val="clear" w:pos="567"/>
                <w:tab w:val="left" w:pos="720"/>
              </w:tabs>
              <w:spacing w:line="240" w:lineRule="auto"/>
              <w:jc w:val="center"/>
              <w:textAlignment w:val="baseline"/>
              <w:rPr>
                <w:szCs w:val="22"/>
                <w:lang w:val="lt-LT" w:eastAsia="en-GB"/>
              </w:rPr>
            </w:pPr>
            <w:r>
              <w:rPr>
                <w:color w:val="000000"/>
                <w:szCs w:val="22"/>
                <w:lang w:val="lt-LT" w:eastAsia="en-GB"/>
              </w:rPr>
              <w:t>87</w:t>
            </w:r>
          </w:p>
        </w:tc>
      </w:tr>
      <w:tr>
        <w:trPr>
          <w:trHeight w:val="255"/>
        </w:trPr>
        <w:tc>
          <w:tcPr>
            <w:tcW w:w="1966" w:type="dxa"/>
            <w:tcBorders>
              <w:top w:val="single" w:sz="4" w:space="0" w:color="000000"/>
              <w:left w:val="single" w:sz="4" w:space="0" w:color="000000"/>
              <w:bottom w:val="single" w:sz="4" w:space="0" w:color="000000"/>
              <w:right w:val="single" w:sz="4" w:space="0" w:color="000000"/>
            </w:tcBorders>
            <w:vAlign w:val="center"/>
          </w:tcPr>
          <w:p>
            <w:pPr>
              <w:tabs>
                <w:tab w:val="clear" w:pos="567"/>
                <w:tab w:val="left" w:pos="720"/>
              </w:tabs>
              <w:spacing w:line="240" w:lineRule="auto"/>
              <w:jc w:val="center"/>
              <w:textAlignment w:val="baseline"/>
              <w:rPr>
                <w:color w:val="000000"/>
                <w:szCs w:val="22"/>
                <w:lang w:val="lt-LT" w:eastAsia="en-GB"/>
              </w:rPr>
            </w:pPr>
            <w:r>
              <w:rPr>
                <w:color w:val="000000"/>
                <w:szCs w:val="22"/>
                <w:lang w:val="lt-LT" w:eastAsia="en-GB"/>
              </w:rPr>
              <w:t>0</w:t>
            </w:r>
          </w:p>
        </w:tc>
        <w:tc>
          <w:tcPr>
            <w:tcW w:w="2431" w:type="dxa"/>
            <w:tcBorders>
              <w:top w:val="single" w:sz="4" w:space="0" w:color="000000"/>
              <w:left w:val="single" w:sz="4" w:space="0" w:color="000000"/>
              <w:bottom w:val="single" w:sz="4" w:space="0" w:color="000000"/>
              <w:right w:val="single" w:sz="4" w:space="0" w:color="000000"/>
            </w:tcBorders>
            <w:vAlign w:val="center"/>
          </w:tcPr>
          <w:p>
            <w:pPr>
              <w:tabs>
                <w:tab w:val="clear" w:pos="567"/>
                <w:tab w:val="left" w:pos="720"/>
              </w:tabs>
              <w:spacing w:line="240" w:lineRule="auto"/>
              <w:jc w:val="center"/>
              <w:textAlignment w:val="baseline"/>
              <w:rPr>
                <w:color w:val="000000"/>
                <w:szCs w:val="22"/>
                <w:lang w:val="lt-LT" w:eastAsia="en-GB"/>
              </w:rPr>
            </w:pPr>
            <w:r>
              <w:rPr>
                <w:color w:val="000000"/>
                <w:szCs w:val="22"/>
                <w:lang w:val="lt-LT" w:eastAsia="en-GB"/>
              </w:rPr>
              <w:t>4</w:t>
            </w:r>
          </w:p>
        </w:tc>
        <w:tc>
          <w:tcPr>
            <w:tcW w:w="4140" w:type="dxa"/>
            <w:tcBorders>
              <w:top w:val="single" w:sz="4" w:space="0" w:color="000000"/>
              <w:left w:val="single" w:sz="4" w:space="0" w:color="000000"/>
              <w:bottom w:val="single" w:sz="4" w:space="0" w:color="000000"/>
              <w:right w:val="single" w:sz="4" w:space="0" w:color="000000"/>
            </w:tcBorders>
            <w:vAlign w:val="center"/>
          </w:tcPr>
          <w:p>
            <w:pPr>
              <w:tabs>
                <w:tab w:val="clear" w:pos="567"/>
                <w:tab w:val="left" w:pos="720"/>
              </w:tabs>
              <w:spacing w:line="240" w:lineRule="auto"/>
              <w:jc w:val="center"/>
              <w:textAlignment w:val="baseline"/>
              <w:rPr>
                <w:color w:val="000000"/>
                <w:szCs w:val="22"/>
                <w:lang w:val="lt-LT" w:eastAsia="en-GB"/>
              </w:rPr>
            </w:pPr>
            <w:r>
              <w:rPr>
                <w:color w:val="000000"/>
                <w:szCs w:val="22"/>
                <w:lang w:val="lt-LT" w:eastAsia="en-GB"/>
              </w:rPr>
              <w:t>80</w:t>
            </w:r>
          </w:p>
        </w:tc>
      </w:tr>
      <w:tr>
        <w:trPr>
          <w:trHeight w:val="255"/>
        </w:trPr>
        <w:tc>
          <w:tcPr>
            <w:tcW w:w="1966" w:type="dxa"/>
            <w:tcBorders>
              <w:top w:val="single" w:sz="4" w:space="0" w:color="000000"/>
              <w:left w:val="single" w:sz="4" w:space="0" w:color="000000"/>
              <w:bottom w:val="single" w:sz="4" w:space="0" w:color="000000"/>
              <w:right w:val="single" w:sz="4" w:space="0" w:color="000000"/>
            </w:tcBorders>
            <w:vAlign w:val="center"/>
          </w:tcPr>
          <w:p>
            <w:pPr>
              <w:tabs>
                <w:tab w:val="clear" w:pos="567"/>
                <w:tab w:val="left" w:pos="720"/>
              </w:tabs>
              <w:spacing w:line="240" w:lineRule="auto"/>
              <w:jc w:val="center"/>
              <w:textAlignment w:val="baseline"/>
              <w:rPr>
                <w:szCs w:val="22"/>
                <w:lang w:val="lt-LT" w:eastAsia="en-GB"/>
              </w:rPr>
            </w:pPr>
            <w:r>
              <w:rPr>
                <w:color w:val="000000"/>
                <w:szCs w:val="22"/>
                <w:lang w:val="lt-LT" w:eastAsia="en-GB"/>
              </w:rPr>
              <w:t>1</w:t>
            </w:r>
          </w:p>
        </w:tc>
        <w:tc>
          <w:tcPr>
            <w:tcW w:w="2431" w:type="dxa"/>
            <w:tcBorders>
              <w:top w:val="single" w:sz="4" w:space="0" w:color="000000"/>
              <w:left w:val="single" w:sz="4" w:space="0" w:color="000000"/>
              <w:bottom w:val="single" w:sz="4" w:space="0" w:color="000000"/>
              <w:right w:val="single" w:sz="4" w:space="0" w:color="000000"/>
            </w:tcBorders>
            <w:vAlign w:val="center"/>
          </w:tcPr>
          <w:p>
            <w:pPr>
              <w:tabs>
                <w:tab w:val="clear" w:pos="567"/>
                <w:tab w:val="left" w:pos="720"/>
              </w:tabs>
              <w:spacing w:line="240" w:lineRule="auto"/>
              <w:jc w:val="center"/>
              <w:textAlignment w:val="baseline"/>
              <w:rPr>
                <w:szCs w:val="22"/>
                <w:lang w:val="lt-LT" w:eastAsia="en-GB"/>
              </w:rPr>
            </w:pPr>
            <w:r>
              <w:rPr>
                <w:color w:val="000000"/>
                <w:szCs w:val="22"/>
                <w:lang w:val="lt-LT" w:eastAsia="en-GB"/>
              </w:rPr>
              <w:t>4</w:t>
            </w:r>
          </w:p>
        </w:tc>
        <w:tc>
          <w:tcPr>
            <w:tcW w:w="4140" w:type="dxa"/>
            <w:tcBorders>
              <w:top w:val="single" w:sz="4" w:space="0" w:color="000000"/>
              <w:left w:val="single" w:sz="4" w:space="0" w:color="000000"/>
              <w:bottom w:val="single" w:sz="4" w:space="0" w:color="000000"/>
              <w:right w:val="single" w:sz="4" w:space="0" w:color="000000"/>
            </w:tcBorders>
            <w:vAlign w:val="center"/>
          </w:tcPr>
          <w:p>
            <w:pPr>
              <w:tabs>
                <w:tab w:val="clear" w:pos="567"/>
                <w:tab w:val="left" w:pos="720"/>
              </w:tabs>
              <w:spacing w:line="240" w:lineRule="auto"/>
              <w:jc w:val="center"/>
              <w:textAlignment w:val="baseline"/>
              <w:rPr>
                <w:szCs w:val="22"/>
                <w:lang w:val="lt-LT" w:eastAsia="en-GB"/>
              </w:rPr>
            </w:pPr>
            <w:r>
              <w:rPr>
                <w:color w:val="000000"/>
                <w:szCs w:val="22"/>
                <w:lang w:val="lt-LT" w:eastAsia="en-GB"/>
              </w:rPr>
              <w:t>89</w:t>
            </w:r>
          </w:p>
        </w:tc>
      </w:tr>
      <w:tr>
        <w:trPr>
          <w:trHeight w:val="255"/>
        </w:trPr>
        <w:tc>
          <w:tcPr>
            <w:tcW w:w="1966" w:type="dxa"/>
            <w:tcBorders>
              <w:top w:val="single" w:sz="4" w:space="0" w:color="000000"/>
              <w:left w:val="single" w:sz="4" w:space="0" w:color="000000"/>
              <w:bottom w:val="single" w:sz="4" w:space="0" w:color="000000"/>
              <w:right w:val="single" w:sz="4" w:space="0" w:color="000000"/>
            </w:tcBorders>
            <w:vAlign w:val="center"/>
          </w:tcPr>
          <w:p>
            <w:pPr>
              <w:tabs>
                <w:tab w:val="clear" w:pos="567"/>
                <w:tab w:val="left" w:pos="720"/>
              </w:tabs>
              <w:spacing w:line="240" w:lineRule="auto"/>
              <w:jc w:val="center"/>
              <w:textAlignment w:val="baseline"/>
              <w:rPr>
                <w:szCs w:val="22"/>
                <w:lang w:val="lt-LT" w:eastAsia="en-GB"/>
              </w:rPr>
            </w:pPr>
            <w:r>
              <w:rPr>
                <w:color w:val="000000"/>
                <w:szCs w:val="22"/>
                <w:lang w:val="lt-LT" w:eastAsia="en-GB"/>
              </w:rPr>
              <w:t>2</w:t>
            </w:r>
          </w:p>
        </w:tc>
        <w:tc>
          <w:tcPr>
            <w:tcW w:w="2431" w:type="dxa"/>
            <w:tcBorders>
              <w:top w:val="single" w:sz="4" w:space="0" w:color="000000"/>
              <w:left w:val="single" w:sz="4" w:space="0" w:color="000000"/>
              <w:bottom w:val="single" w:sz="4" w:space="0" w:color="000000"/>
              <w:right w:val="single" w:sz="4" w:space="0" w:color="000000"/>
            </w:tcBorders>
            <w:vAlign w:val="center"/>
          </w:tcPr>
          <w:p>
            <w:pPr>
              <w:tabs>
                <w:tab w:val="clear" w:pos="567"/>
                <w:tab w:val="left" w:pos="720"/>
              </w:tabs>
              <w:spacing w:line="240" w:lineRule="auto"/>
              <w:jc w:val="center"/>
              <w:textAlignment w:val="baseline"/>
              <w:rPr>
                <w:szCs w:val="22"/>
                <w:lang w:val="lt-LT" w:eastAsia="en-GB"/>
              </w:rPr>
            </w:pPr>
            <w:r>
              <w:rPr>
                <w:color w:val="000000"/>
                <w:szCs w:val="22"/>
                <w:lang w:val="lt-LT" w:eastAsia="en-GB"/>
              </w:rPr>
              <w:t>4</w:t>
            </w:r>
          </w:p>
        </w:tc>
        <w:tc>
          <w:tcPr>
            <w:tcW w:w="4140" w:type="dxa"/>
            <w:tcBorders>
              <w:top w:val="single" w:sz="4" w:space="0" w:color="000000"/>
              <w:left w:val="single" w:sz="4" w:space="0" w:color="000000"/>
              <w:bottom w:val="single" w:sz="4" w:space="0" w:color="000000"/>
              <w:right w:val="single" w:sz="4" w:space="0" w:color="000000"/>
            </w:tcBorders>
            <w:vAlign w:val="center"/>
          </w:tcPr>
          <w:p>
            <w:pPr>
              <w:tabs>
                <w:tab w:val="clear" w:pos="567"/>
                <w:tab w:val="left" w:pos="720"/>
              </w:tabs>
              <w:spacing w:line="240" w:lineRule="auto"/>
              <w:jc w:val="center"/>
              <w:textAlignment w:val="baseline"/>
              <w:rPr>
                <w:szCs w:val="22"/>
                <w:lang w:val="lt-LT" w:eastAsia="en-GB"/>
              </w:rPr>
            </w:pPr>
            <w:r>
              <w:rPr>
                <w:color w:val="000000"/>
                <w:szCs w:val="22"/>
                <w:lang w:val="lt-LT" w:eastAsia="en-GB"/>
              </w:rPr>
              <w:t>98</w:t>
            </w:r>
          </w:p>
        </w:tc>
      </w:tr>
      <w:tr>
        <w:trPr>
          <w:trHeight w:val="255"/>
        </w:trPr>
        <w:tc>
          <w:tcPr>
            <w:tcW w:w="1966" w:type="dxa"/>
            <w:tcBorders>
              <w:top w:val="single" w:sz="4" w:space="0" w:color="000000"/>
              <w:left w:val="single" w:sz="4" w:space="0" w:color="000000"/>
              <w:bottom w:val="single" w:sz="4" w:space="0" w:color="000000"/>
              <w:right w:val="single" w:sz="4" w:space="0" w:color="000000"/>
            </w:tcBorders>
            <w:vAlign w:val="center"/>
          </w:tcPr>
          <w:p>
            <w:pPr>
              <w:tabs>
                <w:tab w:val="clear" w:pos="567"/>
                <w:tab w:val="left" w:pos="720"/>
              </w:tabs>
              <w:spacing w:line="240" w:lineRule="auto"/>
              <w:jc w:val="center"/>
              <w:textAlignment w:val="baseline"/>
              <w:rPr>
                <w:szCs w:val="22"/>
                <w:lang w:val="lt-LT" w:eastAsia="en-GB"/>
              </w:rPr>
            </w:pPr>
            <w:r>
              <w:rPr>
                <w:color w:val="000000"/>
                <w:szCs w:val="22"/>
                <w:lang w:val="lt-LT" w:eastAsia="en-GB"/>
              </w:rPr>
              <w:t>3</w:t>
            </w:r>
          </w:p>
        </w:tc>
        <w:tc>
          <w:tcPr>
            <w:tcW w:w="2431" w:type="dxa"/>
            <w:tcBorders>
              <w:top w:val="single" w:sz="4" w:space="0" w:color="000000"/>
              <w:left w:val="single" w:sz="4" w:space="0" w:color="000000"/>
              <w:bottom w:val="single" w:sz="4" w:space="0" w:color="000000"/>
              <w:right w:val="single" w:sz="4" w:space="0" w:color="000000"/>
            </w:tcBorders>
            <w:vAlign w:val="center"/>
          </w:tcPr>
          <w:p>
            <w:pPr>
              <w:tabs>
                <w:tab w:val="clear" w:pos="567"/>
                <w:tab w:val="left" w:pos="720"/>
              </w:tabs>
              <w:spacing w:line="240" w:lineRule="auto"/>
              <w:jc w:val="center"/>
              <w:textAlignment w:val="baseline"/>
              <w:rPr>
                <w:szCs w:val="22"/>
                <w:lang w:val="lt-LT" w:eastAsia="en-GB"/>
              </w:rPr>
            </w:pPr>
            <w:r>
              <w:rPr>
                <w:color w:val="000000"/>
                <w:szCs w:val="22"/>
                <w:lang w:val="lt-LT" w:eastAsia="en-GB"/>
              </w:rPr>
              <w:t>4</w:t>
            </w:r>
          </w:p>
        </w:tc>
        <w:tc>
          <w:tcPr>
            <w:tcW w:w="4140" w:type="dxa"/>
            <w:tcBorders>
              <w:top w:val="single" w:sz="4" w:space="0" w:color="000000"/>
              <w:left w:val="single" w:sz="4" w:space="0" w:color="000000"/>
              <w:bottom w:val="single" w:sz="4" w:space="0" w:color="000000"/>
              <w:right w:val="single" w:sz="4" w:space="0" w:color="000000"/>
            </w:tcBorders>
            <w:vAlign w:val="center"/>
          </w:tcPr>
          <w:p>
            <w:pPr>
              <w:tabs>
                <w:tab w:val="clear" w:pos="567"/>
                <w:tab w:val="left" w:pos="720"/>
              </w:tabs>
              <w:spacing w:line="240" w:lineRule="auto"/>
              <w:jc w:val="center"/>
              <w:textAlignment w:val="baseline"/>
              <w:rPr>
                <w:szCs w:val="22"/>
                <w:lang w:val="lt-LT" w:eastAsia="en-GB"/>
              </w:rPr>
            </w:pPr>
            <w:r>
              <w:rPr>
                <w:color w:val="000000"/>
                <w:szCs w:val="22"/>
                <w:lang w:val="lt-LT" w:eastAsia="en-GB"/>
              </w:rPr>
              <w:t>107</w:t>
            </w:r>
          </w:p>
        </w:tc>
      </w:tr>
      <w:tr>
        <w:trPr>
          <w:trHeight w:val="255"/>
        </w:trPr>
        <w:tc>
          <w:tcPr>
            <w:tcW w:w="1966" w:type="dxa"/>
            <w:tcBorders>
              <w:top w:val="single" w:sz="4" w:space="0" w:color="000000"/>
              <w:left w:val="single" w:sz="4" w:space="0" w:color="000000"/>
              <w:bottom w:val="single" w:sz="4" w:space="0" w:color="000000"/>
              <w:right w:val="single" w:sz="4" w:space="0" w:color="000000"/>
            </w:tcBorders>
            <w:vAlign w:val="center"/>
          </w:tcPr>
          <w:p>
            <w:pPr>
              <w:tabs>
                <w:tab w:val="clear" w:pos="567"/>
                <w:tab w:val="left" w:pos="720"/>
              </w:tabs>
              <w:spacing w:line="240" w:lineRule="auto"/>
              <w:jc w:val="center"/>
              <w:textAlignment w:val="baseline"/>
              <w:rPr>
                <w:szCs w:val="22"/>
                <w:lang w:val="lt-LT" w:eastAsia="en-GB"/>
              </w:rPr>
            </w:pPr>
            <w:r>
              <w:rPr>
                <w:color w:val="000000"/>
                <w:szCs w:val="22"/>
                <w:lang w:val="lt-LT" w:eastAsia="en-GB"/>
              </w:rPr>
              <w:t>0</w:t>
            </w:r>
          </w:p>
        </w:tc>
        <w:tc>
          <w:tcPr>
            <w:tcW w:w="2431" w:type="dxa"/>
            <w:tcBorders>
              <w:top w:val="single" w:sz="4" w:space="0" w:color="000000"/>
              <w:left w:val="single" w:sz="4" w:space="0" w:color="000000"/>
              <w:bottom w:val="single" w:sz="4" w:space="0" w:color="000000"/>
              <w:right w:val="single" w:sz="4" w:space="0" w:color="000000"/>
            </w:tcBorders>
            <w:vAlign w:val="center"/>
          </w:tcPr>
          <w:p>
            <w:pPr>
              <w:tabs>
                <w:tab w:val="clear" w:pos="567"/>
                <w:tab w:val="left" w:pos="720"/>
              </w:tabs>
              <w:spacing w:line="240" w:lineRule="auto"/>
              <w:jc w:val="center"/>
              <w:textAlignment w:val="baseline"/>
              <w:rPr>
                <w:szCs w:val="22"/>
                <w:lang w:val="lt-LT" w:eastAsia="en-GB"/>
              </w:rPr>
            </w:pPr>
            <w:r>
              <w:rPr>
                <w:color w:val="000000"/>
                <w:szCs w:val="22"/>
                <w:lang w:val="lt-LT" w:eastAsia="en-GB"/>
              </w:rPr>
              <w:t>5</w:t>
            </w:r>
          </w:p>
        </w:tc>
        <w:tc>
          <w:tcPr>
            <w:tcW w:w="4140" w:type="dxa"/>
            <w:tcBorders>
              <w:top w:val="single" w:sz="4" w:space="0" w:color="000000"/>
              <w:left w:val="single" w:sz="4" w:space="0" w:color="000000"/>
              <w:bottom w:val="single" w:sz="4" w:space="0" w:color="000000"/>
              <w:right w:val="single" w:sz="4" w:space="0" w:color="000000"/>
            </w:tcBorders>
            <w:vAlign w:val="center"/>
          </w:tcPr>
          <w:p>
            <w:pPr>
              <w:tabs>
                <w:tab w:val="clear" w:pos="567"/>
                <w:tab w:val="left" w:pos="720"/>
              </w:tabs>
              <w:spacing w:line="240" w:lineRule="auto"/>
              <w:jc w:val="center"/>
              <w:textAlignment w:val="baseline"/>
              <w:rPr>
                <w:szCs w:val="22"/>
                <w:lang w:val="lt-LT" w:eastAsia="en-GB"/>
              </w:rPr>
            </w:pPr>
            <w:r>
              <w:rPr>
                <w:color w:val="000000"/>
                <w:szCs w:val="22"/>
                <w:lang w:val="lt-LT" w:eastAsia="en-GB"/>
              </w:rPr>
              <w:t>100</w:t>
            </w:r>
          </w:p>
        </w:tc>
      </w:tr>
      <w:tr>
        <w:trPr>
          <w:trHeight w:val="255"/>
        </w:trPr>
        <w:tc>
          <w:tcPr>
            <w:tcW w:w="1966" w:type="dxa"/>
            <w:tcBorders>
              <w:top w:val="single" w:sz="4" w:space="0" w:color="000000"/>
              <w:left w:val="single" w:sz="4" w:space="0" w:color="000000"/>
              <w:bottom w:val="single" w:sz="4" w:space="0" w:color="000000"/>
              <w:right w:val="single" w:sz="4" w:space="0" w:color="000000"/>
            </w:tcBorders>
            <w:vAlign w:val="center"/>
          </w:tcPr>
          <w:p>
            <w:pPr>
              <w:tabs>
                <w:tab w:val="clear" w:pos="567"/>
                <w:tab w:val="left" w:pos="720"/>
              </w:tabs>
              <w:spacing w:line="240" w:lineRule="auto"/>
              <w:jc w:val="center"/>
              <w:textAlignment w:val="baseline"/>
              <w:rPr>
                <w:szCs w:val="22"/>
                <w:lang w:val="lt-LT" w:eastAsia="en-GB"/>
              </w:rPr>
            </w:pPr>
            <w:r>
              <w:rPr>
                <w:color w:val="000000"/>
                <w:szCs w:val="22"/>
                <w:lang w:val="lt-LT" w:eastAsia="en-GB"/>
              </w:rPr>
              <w:t>1</w:t>
            </w:r>
          </w:p>
        </w:tc>
        <w:tc>
          <w:tcPr>
            <w:tcW w:w="2431" w:type="dxa"/>
            <w:tcBorders>
              <w:top w:val="single" w:sz="4" w:space="0" w:color="000000"/>
              <w:left w:val="single" w:sz="4" w:space="0" w:color="000000"/>
              <w:bottom w:val="single" w:sz="4" w:space="0" w:color="000000"/>
              <w:right w:val="single" w:sz="4" w:space="0" w:color="000000"/>
            </w:tcBorders>
            <w:vAlign w:val="center"/>
          </w:tcPr>
          <w:p>
            <w:pPr>
              <w:tabs>
                <w:tab w:val="clear" w:pos="567"/>
                <w:tab w:val="left" w:pos="720"/>
              </w:tabs>
              <w:spacing w:line="240" w:lineRule="auto"/>
              <w:jc w:val="center"/>
              <w:textAlignment w:val="baseline"/>
              <w:rPr>
                <w:szCs w:val="22"/>
                <w:lang w:val="lt-LT" w:eastAsia="en-GB"/>
              </w:rPr>
            </w:pPr>
            <w:r>
              <w:rPr>
                <w:color w:val="000000"/>
                <w:szCs w:val="22"/>
                <w:lang w:val="lt-LT" w:eastAsia="en-GB"/>
              </w:rPr>
              <w:t>5</w:t>
            </w:r>
          </w:p>
        </w:tc>
        <w:tc>
          <w:tcPr>
            <w:tcW w:w="4140" w:type="dxa"/>
            <w:tcBorders>
              <w:top w:val="single" w:sz="4" w:space="0" w:color="000000"/>
              <w:left w:val="single" w:sz="4" w:space="0" w:color="000000"/>
              <w:bottom w:val="single" w:sz="4" w:space="0" w:color="000000"/>
              <w:right w:val="single" w:sz="4" w:space="0" w:color="000000"/>
            </w:tcBorders>
            <w:vAlign w:val="center"/>
          </w:tcPr>
          <w:p>
            <w:pPr>
              <w:tabs>
                <w:tab w:val="clear" w:pos="567"/>
                <w:tab w:val="left" w:pos="720"/>
              </w:tabs>
              <w:spacing w:line="240" w:lineRule="auto"/>
              <w:jc w:val="center"/>
              <w:textAlignment w:val="baseline"/>
              <w:rPr>
                <w:szCs w:val="22"/>
                <w:lang w:val="lt-LT" w:eastAsia="en-GB"/>
              </w:rPr>
            </w:pPr>
            <w:r>
              <w:rPr>
                <w:color w:val="000000"/>
                <w:szCs w:val="22"/>
                <w:lang w:val="lt-LT" w:eastAsia="en-GB"/>
              </w:rPr>
              <w:t>109</w:t>
            </w:r>
          </w:p>
        </w:tc>
      </w:tr>
      <w:tr>
        <w:trPr>
          <w:trHeight w:val="255"/>
        </w:trPr>
        <w:tc>
          <w:tcPr>
            <w:tcW w:w="1966" w:type="dxa"/>
            <w:tcBorders>
              <w:top w:val="single" w:sz="4" w:space="0" w:color="000000"/>
              <w:left w:val="single" w:sz="4" w:space="0" w:color="000000"/>
              <w:bottom w:val="single" w:sz="4" w:space="0" w:color="000000"/>
              <w:right w:val="single" w:sz="4" w:space="0" w:color="000000"/>
            </w:tcBorders>
            <w:vAlign w:val="center"/>
          </w:tcPr>
          <w:p>
            <w:pPr>
              <w:tabs>
                <w:tab w:val="clear" w:pos="567"/>
                <w:tab w:val="left" w:pos="720"/>
              </w:tabs>
              <w:spacing w:line="240" w:lineRule="auto"/>
              <w:jc w:val="center"/>
              <w:textAlignment w:val="baseline"/>
              <w:rPr>
                <w:szCs w:val="22"/>
                <w:lang w:val="lt-LT" w:eastAsia="en-GB"/>
              </w:rPr>
            </w:pPr>
            <w:r>
              <w:rPr>
                <w:color w:val="000000"/>
                <w:szCs w:val="22"/>
                <w:lang w:val="lt-LT" w:eastAsia="en-GB"/>
              </w:rPr>
              <w:t>2</w:t>
            </w:r>
          </w:p>
        </w:tc>
        <w:tc>
          <w:tcPr>
            <w:tcW w:w="2431" w:type="dxa"/>
            <w:tcBorders>
              <w:top w:val="single" w:sz="4" w:space="0" w:color="000000"/>
              <w:left w:val="single" w:sz="4" w:space="0" w:color="000000"/>
              <w:bottom w:val="single" w:sz="4" w:space="0" w:color="000000"/>
              <w:right w:val="single" w:sz="4" w:space="0" w:color="000000"/>
            </w:tcBorders>
            <w:vAlign w:val="center"/>
          </w:tcPr>
          <w:p>
            <w:pPr>
              <w:tabs>
                <w:tab w:val="clear" w:pos="567"/>
                <w:tab w:val="left" w:pos="720"/>
              </w:tabs>
              <w:spacing w:line="240" w:lineRule="auto"/>
              <w:jc w:val="center"/>
              <w:textAlignment w:val="baseline"/>
              <w:rPr>
                <w:szCs w:val="22"/>
                <w:lang w:val="lt-LT" w:eastAsia="en-GB"/>
              </w:rPr>
            </w:pPr>
            <w:r>
              <w:rPr>
                <w:color w:val="000000"/>
                <w:szCs w:val="22"/>
                <w:lang w:val="lt-LT" w:eastAsia="en-GB"/>
              </w:rPr>
              <w:t>5</w:t>
            </w:r>
          </w:p>
        </w:tc>
        <w:tc>
          <w:tcPr>
            <w:tcW w:w="4140" w:type="dxa"/>
            <w:tcBorders>
              <w:top w:val="single" w:sz="4" w:space="0" w:color="000000"/>
              <w:left w:val="single" w:sz="4" w:space="0" w:color="000000"/>
              <w:bottom w:val="single" w:sz="4" w:space="0" w:color="000000"/>
              <w:right w:val="single" w:sz="4" w:space="0" w:color="000000"/>
            </w:tcBorders>
            <w:vAlign w:val="center"/>
          </w:tcPr>
          <w:p>
            <w:pPr>
              <w:tabs>
                <w:tab w:val="clear" w:pos="567"/>
                <w:tab w:val="left" w:pos="720"/>
              </w:tabs>
              <w:spacing w:line="240" w:lineRule="auto"/>
              <w:jc w:val="center"/>
              <w:textAlignment w:val="baseline"/>
              <w:rPr>
                <w:szCs w:val="22"/>
                <w:lang w:val="lt-LT" w:eastAsia="en-GB"/>
              </w:rPr>
            </w:pPr>
            <w:r>
              <w:rPr>
                <w:color w:val="000000"/>
                <w:szCs w:val="22"/>
                <w:lang w:val="lt-LT" w:eastAsia="en-GB"/>
              </w:rPr>
              <w:t>118</w:t>
            </w:r>
          </w:p>
        </w:tc>
      </w:tr>
      <w:tr>
        <w:trPr>
          <w:trHeight w:val="255"/>
        </w:trPr>
        <w:tc>
          <w:tcPr>
            <w:tcW w:w="1966" w:type="dxa"/>
            <w:tcBorders>
              <w:top w:val="single" w:sz="4" w:space="0" w:color="000000"/>
              <w:left w:val="single" w:sz="4" w:space="0" w:color="000000"/>
              <w:bottom w:val="single" w:sz="4" w:space="0" w:color="000000"/>
              <w:right w:val="single" w:sz="4" w:space="0" w:color="000000"/>
            </w:tcBorders>
            <w:vAlign w:val="center"/>
          </w:tcPr>
          <w:p>
            <w:pPr>
              <w:tabs>
                <w:tab w:val="clear" w:pos="567"/>
                <w:tab w:val="left" w:pos="720"/>
              </w:tabs>
              <w:spacing w:line="240" w:lineRule="auto"/>
              <w:jc w:val="center"/>
              <w:textAlignment w:val="baseline"/>
              <w:rPr>
                <w:szCs w:val="22"/>
                <w:lang w:val="lt-LT" w:eastAsia="en-GB"/>
              </w:rPr>
            </w:pPr>
            <w:r>
              <w:rPr>
                <w:color w:val="000000"/>
                <w:szCs w:val="22"/>
                <w:lang w:val="lt-LT" w:eastAsia="en-GB"/>
              </w:rPr>
              <w:t>3</w:t>
            </w:r>
          </w:p>
        </w:tc>
        <w:tc>
          <w:tcPr>
            <w:tcW w:w="2431" w:type="dxa"/>
            <w:tcBorders>
              <w:top w:val="single" w:sz="4" w:space="0" w:color="000000"/>
              <w:left w:val="single" w:sz="4" w:space="0" w:color="000000"/>
              <w:bottom w:val="single" w:sz="4" w:space="0" w:color="000000"/>
              <w:right w:val="single" w:sz="4" w:space="0" w:color="000000"/>
            </w:tcBorders>
            <w:vAlign w:val="center"/>
          </w:tcPr>
          <w:p>
            <w:pPr>
              <w:tabs>
                <w:tab w:val="clear" w:pos="567"/>
                <w:tab w:val="left" w:pos="720"/>
              </w:tabs>
              <w:spacing w:line="240" w:lineRule="auto"/>
              <w:jc w:val="center"/>
              <w:textAlignment w:val="baseline"/>
              <w:rPr>
                <w:szCs w:val="22"/>
                <w:lang w:val="lt-LT" w:eastAsia="en-GB"/>
              </w:rPr>
            </w:pPr>
            <w:r>
              <w:rPr>
                <w:color w:val="000000"/>
                <w:szCs w:val="22"/>
                <w:lang w:val="lt-LT" w:eastAsia="en-GB"/>
              </w:rPr>
              <w:t>5</w:t>
            </w:r>
          </w:p>
        </w:tc>
        <w:tc>
          <w:tcPr>
            <w:tcW w:w="4140" w:type="dxa"/>
            <w:tcBorders>
              <w:top w:val="single" w:sz="4" w:space="0" w:color="000000"/>
              <w:left w:val="single" w:sz="4" w:space="0" w:color="000000"/>
              <w:bottom w:val="single" w:sz="4" w:space="0" w:color="000000"/>
              <w:right w:val="single" w:sz="4" w:space="0" w:color="000000"/>
            </w:tcBorders>
            <w:vAlign w:val="center"/>
          </w:tcPr>
          <w:p>
            <w:pPr>
              <w:tabs>
                <w:tab w:val="clear" w:pos="567"/>
                <w:tab w:val="left" w:pos="720"/>
              </w:tabs>
              <w:spacing w:line="240" w:lineRule="auto"/>
              <w:jc w:val="center"/>
              <w:textAlignment w:val="baseline"/>
              <w:rPr>
                <w:szCs w:val="22"/>
                <w:lang w:val="lt-LT" w:eastAsia="en-GB"/>
              </w:rPr>
            </w:pPr>
            <w:r>
              <w:rPr>
                <w:color w:val="000000"/>
                <w:szCs w:val="22"/>
                <w:lang w:val="lt-LT" w:eastAsia="en-GB"/>
              </w:rPr>
              <w:t>127</w:t>
            </w:r>
          </w:p>
        </w:tc>
      </w:tr>
      <w:tr>
        <w:trPr>
          <w:trHeight w:val="60"/>
        </w:trPr>
        <w:tc>
          <w:tcPr>
            <w:tcW w:w="1966" w:type="dxa"/>
            <w:tcBorders>
              <w:top w:val="single" w:sz="4" w:space="0" w:color="000000"/>
              <w:left w:val="single" w:sz="4" w:space="0" w:color="000000"/>
              <w:bottom w:val="single" w:sz="4" w:space="0" w:color="000000"/>
              <w:right w:val="single" w:sz="4" w:space="0" w:color="000000"/>
            </w:tcBorders>
            <w:vAlign w:val="center"/>
          </w:tcPr>
          <w:p>
            <w:pPr>
              <w:tabs>
                <w:tab w:val="clear" w:pos="567"/>
                <w:tab w:val="left" w:pos="720"/>
              </w:tabs>
              <w:spacing w:line="240" w:lineRule="auto"/>
              <w:jc w:val="center"/>
              <w:textAlignment w:val="baseline"/>
              <w:rPr>
                <w:szCs w:val="22"/>
                <w:lang w:val="lt-LT" w:eastAsia="en-GB"/>
              </w:rPr>
            </w:pPr>
            <w:r>
              <w:rPr>
                <w:color w:val="000000"/>
                <w:szCs w:val="22"/>
                <w:lang w:val="lt-LT" w:eastAsia="en-GB"/>
              </w:rPr>
              <w:t>0</w:t>
            </w:r>
          </w:p>
        </w:tc>
        <w:tc>
          <w:tcPr>
            <w:tcW w:w="2431" w:type="dxa"/>
            <w:tcBorders>
              <w:top w:val="single" w:sz="4" w:space="0" w:color="000000"/>
              <w:left w:val="single" w:sz="4" w:space="0" w:color="000000"/>
              <w:bottom w:val="single" w:sz="4" w:space="0" w:color="000000"/>
              <w:right w:val="single" w:sz="4" w:space="0" w:color="000000"/>
            </w:tcBorders>
            <w:vAlign w:val="center"/>
          </w:tcPr>
          <w:p>
            <w:pPr>
              <w:tabs>
                <w:tab w:val="clear" w:pos="567"/>
                <w:tab w:val="left" w:pos="720"/>
              </w:tabs>
              <w:spacing w:line="240" w:lineRule="auto"/>
              <w:jc w:val="center"/>
              <w:textAlignment w:val="baseline"/>
              <w:rPr>
                <w:szCs w:val="22"/>
                <w:lang w:val="lt-LT" w:eastAsia="en-GB"/>
              </w:rPr>
            </w:pPr>
            <w:r>
              <w:rPr>
                <w:color w:val="000000"/>
                <w:szCs w:val="22"/>
                <w:lang w:val="lt-LT" w:eastAsia="en-GB"/>
              </w:rPr>
              <w:t>6</w:t>
            </w:r>
          </w:p>
        </w:tc>
        <w:tc>
          <w:tcPr>
            <w:tcW w:w="4140" w:type="dxa"/>
            <w:tcBorders>
              <w:top w:val="single" w:sz="4" w:space="0" w:color="000000"/>
              <w:left w:val="single" w:sz="4" w:space="0" w:color="000000"/>
              <w:bottom w:val="single" w:sz="4" w:space="0" w:color="000000"/>
              <w:right w:val="single" w:sz="4" w:space="0" w:color="000000"/>
            </w:tcBorders>
            <w:vAlign w:val="center"/>
          </w:tcPr>
          <w:p>
            <w:pPr>
              <w:tabs>
                <w:tab w:val="clear" w:pos="567"/>
                <w:tab w:val="left" w:pos="720"/>
              </w:tabs>
              <w:spacing w:line="240" w:lineRule="auto"/>
              <w:jc w:val="center"/>
              <w:textAlignment w:val="baseline"/>
              <w:rPr>
                <w:szCs w:val="22"/>
                <w:lang w:val="lt-LT" w:eastAsia="en-GB"/>
              </w:rPr>
            </w:pPr>
            <w:r>
              <w:rPr>
                <w:color w:val="000000"/>
                <w:szCs w:val="22"/>
                <w:lang w:val="lt-LT" w:eastAsia="en-GB"/>
              </w:rPr>
              <w:t>120</w:t>
            </w:r>
          </w:p>
        </w:tc>
      </w:tr>
    </w:tbl>
    <w:p>
      <w:pPr>
        <w:tabs>
          <w:tab w:val="clear" w:pos="567"/>
          <w:tab w:val="left" w:pos="720"/>
        </w:tabs>
        <w:spacing w:line="240" w:lineRule="auto"/>
        <w:ind w:right="-29"/>
        <w:rPr>
          <w:szCs w:val="22"/>
          <w:lang w:val="lt-LT"/>
        </w:rPr>
      </w:pPr>
    </w:p>
    <w:p>
      <w:pPr>
        <w:tabs>
          <w:tab w:val="clear" w:pos="567"/>
        </w:tabs>
        <w:spacing w:line="240" w:lineRule="auto"/>
        <w:ind w:right="-2"/>
        <w:rPr>
          <w:szCs w:val="22"/>
          <w:lang w:val="lt-LT"/>
        </w:rPr>
      </w:pPr>
      <w:r>
        <w:rPr>
          <w:b/>
          <w:bCs/>
          <w:szCs w:val="22"/>
          <w:lang w:val="lt-LT"/>
        </w:rPr>
        <w:t>Pamiršus pavartoti Sephience</w:t>
      </w:r>
      <w:r>
        <w:rPr>
          <w:b/>
          <w:lang w:val="lt-LT"/>
        </w:rPr>
        <w:fldChar w:fldCharType="begin"/>
      </w:r>
      <w:r>
        <w:rPr>
          <w:b/>
          <w:lang w:val="lt-LT"/>
        </w:rPr>
        <w:instrText xml:space="preserve"> DOCVARIABLE vault_nd_8c5e17de-4860-4e93-80ca-631c3028fd42 </w:instrText>
      </w:r>
      <w:r>
        <w:rPr>
          <w:b/>
          <w:lang w:val="lt-LT"/>
        </w:rPr>
        <w:fldChar w:fldCharType="separate"/>
      </w:r>
      <w:r>
        <w:rPr>
          <w:b/>
          <w:lang w:val="lt-LT"/>
        </w:rPr>
        <w:t xml:space="preserve"> </w:t>
      </w:r>
      <w:r>
        <w:rPr>
          <w:b/>
          <w:lang w:val="lt-LT"/>
        </w:rPr>
        <w:fldChar w:fldCharType="end"/>
      </w:r>
    </w:p>
    <w:p>
      <w:pPr>
        <w:tabs>
          <w:tab w:val="clear" w:pos="567"/>
        </w:tabs>
        <w:spacing w:line="240" w:lineRule="auto"/>
        <w:ind w:right="-2"/>
        <w:rPr>
          <w:szCs w:val="22"/>
          <w:lang w:val="lt-LT"/>
        </w:rPr>
      </w:pPr>
      <w:r>
        <w:rPr>
          <w:szCs w:val="22"/>
          <w:lang w:val="lt-LT"/>
        </w:rPr>
        <w:t>Jei pamiršote išgerti dozę reikiamu laiku, išgerkite ją, kai tik prisiminsite tą pačią dieną arba kitą dieną, kaip įprastai.</w:t>
      </w:r>
    </w:p>
    <w:p>
      <w:pPr>
        <w:tabs>
          <w:tab w:val="clear" w:pos="567"/>
        </w:tabs>
        <w:spacing w:line="240" w:lineRule="auto"/>
        <w:ind w:right="-2"/>
        <w:rPr>
          <w:b/>
          <w:bCs/>
          <w:szCs w:val="22"/>
          <w:lang w:val="lt-LT"/>
        </w:rPr>
      </w:pPr>
    </w:p>
    <w:p>
      <w:pPr>
        <w:tabs>
          <w:tab w:val="clear" w:pos="567"/>
        </w:tabs>
        <w:spacing w:line="240" w:lineRule="auto"/>
        <w:ind w:right="-2"/>
        <w:rPr>
          <w:szCs w:val="22"/>
          <w:lang w:val="lt-LT"/>
        </w:rPr>
      </w:pPr>
      <w:r>
        <w:rPr>
          <w:b/>
          <w:bCs/>
          <w:szCs w:val="22"/>
          <w:lang w:val="lt-LT"/>
        </w:rPr>
        <w:t>Negalima</w:t>
      </w:r>
      <w:r>
        <w:rPr>
          <w:szCs w:val="22"/>
          <w:lang w:val="lt-LT"/>
        </w:rPr>
        <w:t xml:space="preserve"> vartoti dvigubos dozės norint kompensuoti praleistą dozę.</w:t>
      </w:r>
    </w:p>
    <w:p>
      <w:pPr>
        <w:tabs>
          <w:tab w:val="clear" w:pos="567"/>
        </w:tabs>
        <w:spacing w:line="240" w:lineRule="auto"/>
        <w:ind w:right="-2"/>
        <w:rPr>
          <w:szCs w:val="22"/>
          <w:lang w:val="lt-LT"/>
        </w:rPr>
      </w:pPr>
    </w:p>
    <w:p>
      <w:pPr>
        <w:tabs>
          <w:tab w:val="clear" w:pos="567"/>
        </w:tabs>
        <w:spacing w:line="240" w:lineRule="auto"/>
        <w:ind w:right="-2"/>
        <w:rPr>
          <w:b/>
          <w:szCs w:val="22"/>
          <w:lang w:val="lt-LT"/>
        </w:rPr>
      </w:pPr>
      <w:r>
        <w:rPr>
          <w:b/>
          <w:bCs/>
          <w:szCs w:val="22"/>
          <w:lang w:val="lt-LT"/>
        </w:rPr>
        <w:t>Nustojus vartoti Sephience</w:t>
      </w:r>
      <w:r>
        <w:rPr>
          <w:b/>
          <w:lang w:val="lt-LT"/>
        </w:rPr>
        <w:fldChar w:fldCharType="begin"/>
      </w:r>
      <w:r>
        <w:rPr>
          <w:b/>
          <w:lang w:val="lt-LT"/>
        </w:rPr>
        <w:instrText xml:space="preserve"> DOCVARIABLE vault_nd_8faf90b5-7f6e-4aba-b9c9-31fe9f5dda69 </w:instrText>
      </w:r>
      <w:r>
        <w:rPr>
          <w:b/>
          <w:lang w:val="lt-LT"/>
        </w:rPr>
        <w:fldChar w:fldCharType="separate"/>
      </w:r>
      <w:r>
        <w:rPr>
          <w:b/>
          <w:lang w:val="lt-LT"/>
        </w:rPr>
        <w:t xml:space="preserve"> </w:t>
      </w:r>
      <w:r>
        <w:rPr>
          <w:b/>
          <w:lang w:val="lt-LT"/>
        </w:rPr>
        <w:fldChar w:fldCharType="end"/>
      </w:r>
    </w:p>
    <w:p>
      <w:pPr>
        <w:tabs>
          <w:tab w:val="clear" w:pos="567"/>
        </w:tabs>
        <w:spacing w:line="240" w:lineRule="auto"/>
        <w:ind w:right="-29"/>
        <w:rPr>
          <w:szCs w:val="22"/>
          <w:lang w:val="lt-LT"/>
        </w:rPr>
      </w:pPr>
      <w:r>
        <w:rPr>
          <w:b/>
          <w:bCs/>
          <w:szCs w:val="22"/>
          <w:lang w:val="lt-LT"/>
        </w:rPr>
        <w:t>Nenustokite</w:t>
      </w:r>
      <w:r>
        <w:rPr>
          <w:szCs w:val="22"/>
          <w:lang w:val="lt-LT"/>
        </w:rPr>
        <w:t xml:space="preserve"> vartoti Sephience prieš tai nepasitarę su gydytoju, nes gali padidėti fenilalanino kiekis kraujyje.</w:t>
      </w:r>
    </w:p>
    <w:p>
      <w:pPr>
        <w:tabs>
          <w:tab w:val="clear" w:pos="567"/>
          <w:tab w:val="left" w:pos="720"/>
        </w:tabs>
        <w:spacing w:line="240" w:lineRule="auto"/>
        <w:ind w:right="-29"/>
        <w:rPr>
          <w:szCs w:val="22"/>
          <w:lang w:val="lt-LT"/>
        </w:rPr>
      </w:pPr>
    </w:p>
    <w:p>
      <w:pPr>
        <w:tabs>
          <w:tab w:val="clear" w:pos="567"/>
          <w:tab w:val="left" w:pos="720"/>
        </w:tabs>
        <w:spacing w:line="240" w:lineRule="auto"/>
        <w:ind w:right="-29"/>
        <w:rPr>
          <w:lang w:val="lt-LT"/>
        </w:rPr>
      </w:pPr>
      <w:r>
        <w:rPr>
          <w:szCs w:val="22"/>
          <w:lang w:val="lt-LT"/>
        </w:rPr>
        <w:t>Jeigu kiltų daugiau klausimų dėl šio vaisto vartojimo, kreipkitės į gydytoją arba vaistininką.</w:t>
      </w:r>
    </w:p>
    <w:p>
      <w:pPr>
        <w:tabs>
          <w:tab w:val="clear" w:pos="567"/>
        </w:tabs>
        <w:spacing w:line="240" w:lineRule="auto"/>
        <w:rPr>
          <w:lang w:val="lt-LT"/>
        </w:rPr>
      </w:pPr>
    </w:p>
    <w:p>
      <w:pPr>
        <w:tabs>
          <w:tab w:val="clear" w:pos="567"/>
        </w:tabs>
        <w:spacing w:line="240" w:lineRule="auto"/>
        <w:rPr>
          <w:lang w:val="lt-LT"/>
        </w:rPr>
      </w:pPr>
    </w:p>
    <w:p>
      <w:pPr>
        <w:tabs>
          <w:tab w:val="clear" w:pos="567"/>
        </w:tabs>
        <w:spacing w:line="240" w:lineRule="auto"/>
        <w:ind w:left="567" w:right="-2" w:hanging="567"/>
        <w:rPr>
          <w:lang w:val="lt-LT"/>
        </w:rPr>
      </w:pPr>
      <w:r>
        <w:rPr>
          <w:b/>
          <w:bCs/>
          <w:szCs w:val="22"/>
          <w:lang w:val="lt-LT"/>
        </w:rPr>
        <w:t>4.</w:t>
      </w:r>
      <w:r>
        <w:rPr>
          <w:b/>
          <w:bCs/>
          <w:szCs w:val="22"/>
          <w:lang w:val="lt-LT"/>
        </w:rPr>
        <w:tab/>
        <w:t>Galimas šalutinis poveikis</w:t>
      </w:r>
    </w:p>
    <w:p>
      <w:pPr>
        <w:tabs>
          <w:tab w:val="clear" w:pos="567"/>
        </w:tabs>
        <w:spacing w:line="240" w:lineRule="auto"/>
        <w:rPr>
          <w:lang w:val="lt-LT"/>
        </w:rPr>
      </w:pPr>
    </w:p>
    <w:p>
      <w:pPr>
        <w:tabs>
          <w:tab w:val="clear" w:pos="567"/>
          <w:tab w:val="left" w:pos="720"/>
        </w:tabs>
        <w:spacing w:line="240" w:lineRule="auto"/>
        <w:ind w:right="-29"/>
        <w:rPr>
          <w:szCs w:val="22"/>
          <w:lang w:val="lt-LT"/>
        </w:rPr>
      </w:pPr>
      <w:r>
        <w:rPr>
          <w:szCs w:val="22"/>
          <w:lang w:val="lt-LT"/>
        </w:rPr>
        <w:t>Šis vaistas, kaip ir visi kiti, gali sukelti šalutinį poveikį, nors jis pasireiškia ne visiems žmonėms.</w:t>
      </w:r>
    </w:p>
    <w:p>
      <w:pPr>
        <w:tabs>
          <w:tab w:val="clear" w:pos="567"/>
          <w:tab w:val="left" w:pos="720"/>
        </w:tabs>
        <w:spacing w:line="240" w:lineRule="auto"/>
        <w:ind w:right="-29"/>
        <w:rPr>
          <w:szCs w:val="22"/>
          <w:lang w:val="lt-LT"/>
        </w:rPr>
      </w:pPr>
    </w:p>
    <w:p>
      <w:pPr>
        <w:tabs>
          <w:tab w:val="clear" w:pos="567"/>
          <w:tab w:val="left" w:pos="720"/>
        </w:tabs>
        <w:spacing w:line="240" w:lineRule="auto"/>
        <w:ind w:right="-29"/>
        <w:rPr>
          <w:b/>
          <w:bCs/>
          <w:szCs w:val="22"/>
          <w:lang w:val="lt-LT"/>
        </w:rPr>
      </w:pPr>
      <w:r>
        <w:rPr>
          <w:b/>
          <w:bCs/>
          <w:szCs w:val="22"/>
          <w:lang w:val="lt-LT"/>
        </w:rPr>
        <w:t xml:space="preserve">Labai dažni šalutinio poveikio reiškiniai </w:t>
      </w:r>
      <w:r>
        <w:rPr>
          <w:szCs w:val="22"/>
          <w:lang w:val="lt-LT"/>
        </w:rPr>
        <w:t>(gali pasireikšti ne rečiau kaip 1 iš 10 asmenų)</w:t>
      </w:r>
    </w:p>
    <w:p>
      <w:pPr>
        <w:pStyle w:val="ListParagraph"/>
        <w:numPr>
          <w:ilvl w:val="0"/>
          <w:numId w:val="7"/>
        </w:numPr>
        <w:tabs>
          <w:tab w:val="clear" w:pos="567"/>
        </w:tabs>
        <w:spacing w:line="240" w:lineRule="auto"/>
        <w:ind w:left="567" w:hanging="567"/>
        <w:rPr>
          <w:szCs w:val="22"/>
          <w:lang w:val="lt-LT"/>
        </w:rPr>
      </w:pPr>
      <w:r>
        <w:rPr>
          <w:szCs w:val="22"/>
          <w:lang w:val="lt-LT"/>
        </w:rPr>
        <w:t>Viršutinių kvėpavimo takų (nosies ir gerklės) infekcija</w:t>
      </w:r>
    </w:p>
    <w:p>
      <w:pPr>
        <w:pStyle w:val="ListParagraph"/>
        <w:numPr>
          <w:ilvl w:val="0"/>
          <w:numId w:val="7"/>
        </w:numPr>
        <w:tabs>
          <w:tab w:val="clear" w:pos="567"/>
        </w:tabs>
        <w:spacing w:line="240" w:lineRule="auto"/>
        <w:ind w:left="567" w:hanging="567"/>
        <w:rPr>
          <w:szCs w:val="22"/>
          <w:lang w:val="lt-LT"/>
        </w:rPr>
      </w:pPr>
      <w:r>
        <w:rPr>
          <w:szCs w:val="22"/>
          <w:lang w:val="lt-LT"/>
        </w:rPr>
        <w:t>Galvos skausmas</w:t>
      </w:r>
    </w:p>
    <w:p>
      <w:pPr>
        <w:pStyle w:val="ListParagraph"/>
        <w:numPr>
          <w:ilvl w:val="0"/>
          <w:numId w:val="7"/>
        </w:numPr>
        <w:tabs>
          <w:tab w:val="clear" w:pos="567"/>
        </w:tabs>
        <w:spacing w:line="240" w:lineRule="auto"/>
        <w:ind w:left="567" w:hanging="567"/>
        <w:rPr>
          <w:szCs w:val="22"/>
          <w:lang w:val="lt-LT"/>
        </w:rPr>
      </w:pPr>
      <w:r>
        <w:rPr>
          <w:szCs w:val="22"/>
          <w:lang w:val="lt-LT"/>
        </w:rPr>
        <w:t>Viduriavimas</w:t>
      </w:r>
    </w:p>
    <w:p>
      <w:pPr>
        <w:pStyle w:val="ListParagraph"/>
        <w:numPr>
          <w:ilvl w:val="0"/>
          <w:numId w:val="7"/>
        </w:numPr>
        <w:tabs>
          <w:tab w:val="clear" w:pos="567"/>
        </w:tabs>
        <w:spacing w:line="240" w:lineRule="auto"/>
        <w:ind w:left="567" w:hanging="567"/>
        <w:rPr>
          <w:szCs w:val="22"/>
          <w:lang w:val="lt-LT"/>
        </w:rPr>
      </w:pPr>
      <w:r>
        <w:rPr>
          <w:szCs w:val="22"/>
          <w:lang w:val="lt-LT"/>
        </w:rPr>
        <w:t>Pilvo skausmas</w:t>
      </w:r>
    </w:p>
    <w:p>
      <w:pPr>
        <w:tabs>
          <w:tab w:val="clear" w:pos="567"/>
          <w:tab w:val="left" w:pos="720"/>
        </w:tabs>
        <w:spacing w:line="240" w:lineRule="auto"/>
        <w:ind w:right="-29"/>
        <w:rPr>
          <w:szCs w:val="22"/>
          <w:lang w:val="lt-LT"/>
        </w:rPr>
      </w:pPr>
    </w:p>
    <w:p>
      <w:pPr>
        <w:tabs>
          <w:tab w:val="clear" w:pos="567"/>
          <w:tab w:val="left" w:pos="720"/>
        </w:tabs>
        <w:spacing w:line="240" w:lineRule="auto"/>
        <w:ind w:right="-29"/>
        <w:rPr>
          <w:b/>
          <w:bCs/>
          <w:szCs w:val="22"/>
          <w:lang w:val="lt-LT"/>
        </w:rPr>
      </w:pPr>
      <w:r>
        <w:rPr>
          <w:b/>
          <w:bCs/>
          <w:szCs w:val="22"/>
          <w:lang w:val="lt-LT"/>
        </w:rPr>
        <w:t xml:space="preserve">Dažni šalutinio poveikio reiškiniai </w:t>
      </w:r>
      <w:r>
        <w:rPr>
          <w:szCs w:val="22"/>
          <w:lang w:val="lt-LT"/>
        </w:rPr>
        <w:t>(gali pasireikšti rečiau kaip 1 iš 10 asmenų)</w:t>
      </w:r>
    </w:p>
    <w:p>
      <w:pPr>
        <w:pStyle w:val="ListParagraph"/>
        <w:numPr>
          <w:ilvl w:val="0"/>
          <w:numId w:val="8"/>
        </w:numPr>
        <w:tabs>
          <w:tab w:val="clear" w:pos="567"/>
        </w:tabs>
        <w:spacing w:line="240" w:lineRule="auto"/>
        <w:ind w:left="567" w:hanging="567"/>
        <w:rPr>
          <w:szCs w:val="22"/>
          <w:lang w:val="lt-LT"/>
        </w:rPr>
      </w:pPr>
      <w:r>
        <w:rPr>
          <w:szCs w:val="22"/>
          <w:lang w:val="lt-LT"/>
        </w:rPr>
        <w:t>Neįprastos spalvos išmatos</w:t>
      </w:r>
    </w:p>
    <w:p>
      <w:pPr>
        <w:pStyle w:val="ListParagraph"/>
        <w:numPr>
          <w:ilvl w:val="0"/>
          <w:numId w:val="8"/>
        </w:numPr>
        <w:tabs>
          <w:tab w:val="clear" w:pos="567"/>
        </w:tabs>
        <w:spacing w:line="240" w:lineRule="auto"/>
        <w:ind w:left="567" w:hanging="567"/>
        <w:rPr>
          <w:szCs w:val="22"/>
          <w:lang w:val="lt-LT"/>
        </w:rPr>
      </w:pPr>
      <w:r>
        <w:rPr>
          <w:szCs w:val="22"/>
          <w:lang w:val="lt-LT"/>
        </w:rPr>
        <w:t xml:space="preserve">Žema fenilalanino koncentracija (svarbios amino rūgšties) kraujyje </w:t>
      </w:r>
    </w:p>
    <w:p>
      <w:pPr>
        <w:tabs>
          <w:tab w:val="clear" w:pos="567"/>
          <w:tab w:val="left" w:pos="720"/>
        </w:tabs>
        <w:spacing w:line="240" w:lineRule="auto"/>
        <w:ind w:right="-2"/>
        <w:rPr>
          <w:lang w:val="lt-LT"/>
        </w:rPr>
      </w:pPr>
    </w:p>
    <w:p>
      <w:pPr>
        <w:keepNext/>
        <w:spacing w:line="240" w:lineRule="auto"/>
        <w:rPr>
          <w:b/>
          <w:szCs w:val="22"/>
          <w:highlight w:val="yellow"/>
          <w:lang w:val="lt-LT"/>
        </w:rPr>
      </w:pPr>
      <w:r>
        <w:rPr>
          <w:b/>
          <w:bCs/>
          <w:szCs w:val="22"/>
          <w:lang w:val="lt-LT"/>
        </w:rPr>
        <w:t>Pranešimas apie šalutinį poveikį</w:t>
      </w:r>
      <w:r>
        <w:rPr>
          <w:b/>
          <w:szCs w:val="22"/>
          <w:highlight w:val="yellow"/>
          <w:lang w:val="lt-LT"/>
        </w:rPr>
        <w:fldChar w:fldCharType="begin"/>
      </w:r>
      <w:r>
        <w:rPr>
          <w:b/>
          <w:szCs w:val="22"/>
          <w:highlight w:val="yellow"/>
          <w:lang w:val="lt-LT"/>
        </w:rPr>
        <w:instrText xml:space="preserve"> DOCVARIABLE vault_nd_07007872-92e8-4fac-a151-e94d5f5b213d </w:instrText>
      </w:r>
      <w:r>
        <w:rPr>
          <w:b/>
          <w:szCs w:val="22"/>
          <w:highlight w:val="yellow"/>
          <w:lang w:val="lt-LT"/>
        </w:rPr>
        <w:fldChar w:fldCharType="separate"/>
      </w:r>
      <w:r>
        <w:rPr>
          <w:b/>
          <w:szCs w:val="22"/>
          <w:highlight w:val="yellow"/>
          <w:lang w:val="lt-LT"/>
        </w:rPr>
        <w:t xml:space="preserve"> </w:t>
      </w:r>
      <w:r>
        <w:rPr>
          <w:b/>
          <w:szCs w:val="22"/>
          <w:highlight w:val="yellow"/>
          <w:lang w:val="lt-LT"/>
        </w:rPr>
        <w:fldChar w:fldCharType="end"/>
      </w:r>
    </w:p>
    <w:p>
      <w:pPr>
        <w:pStyle w:val="BodytextAgency"/>
        <w:keepNext/>
        <w:spacing w:after="0" w:line="240" w:lineRule="auto"/>
        <w:rPr>
          <w:rFonts w:ascii="Times New Roman" w:hAnsi="Times New Roman"/>
          <w:sz w:val="22"/>
          <w:lang w:val="lt-LT"/>
        </w:rPr>
      </w:pPr>
      <w:r>
        <w:rPr>
          <w:rFonts w:ascii="Times New Roman" w:hAnsi="Times New Roman"/>
          <w:sz w:val="22"/>
          <w:lang w:val="lt-LT"/>
        </w:rPr>
        <w:t>Jeigu pasireiškė šalutinis poveikis, įskaitant šiame lapelyje nenurodytą, pasakykite gydytojui arba vaistininkui</w:t>
      </w:r>
      <w:r>
        <w:rPr>
          <w:rFonts w:ascii="Times New Roman" w:eastAsia="Times New Roman" w:hAnsi="Times New Roman" w:cs="Times New Roman"/>
          <w:sz w:val="22"/>
          <w:szCs w:val="22"/>
          <w:lang w:val="lt-LT"/>
        </w:rPr>
        <w:t>.</w:t>
      </w:r>
      <w:r>
        <w:rPr>
          <w:lang w:val="lt-LT"/>
        </w:rPr>
        <w:t xml:space="preserve"> </w:t>
      </w:r>
      <w:r>
        <w:rPr>
          <w:rFonts w:ascii="Times New Roman" w:eastAsia="Times New Roman" w:hAnsi="Times New Roman" w:cs="Times New Roman"/>
          <w:sz w:val="22"/>
          <w:szCs w:val="22"/>
          <w:lang w:val="lt-LT"/>
        </w:rPr>
        <w:t xml:space="preserve">Apie šalutinį poveikį taip pat galite pranešti tiesiogiai naudodamiesi </w:t>
      </w:r>
      <w:hyperlink r:id="rId14">
        <w:r>
          <w:rPr>
            <w:rStyle w:val="Hyperlink"/>
            <w:rFonts w:ascii="Times New Roman" w:eastAsia="Times New Roman" w:hAnsi="Times New Roman" w:cs="Times New Roman"/>
            <w:sz w:val="22"/>
            <w:szCs w:val="22"/>
            <w:shd w:val="pct15" w:color="auto" w:fill="FFFFFF"/>
            <w:lang w:val="lt-LT"/>
          </w:rPr>
          <w:t>V priede</w:t>
        </w:r>
      </w:hyperlink>
      <w:r>
        <w:rPr>
          <w:rFonts w:ascii="Times New Roman" w:eastAsia="Times New Roman" w:hAnsi="Times New Roman" w:cs="Times New Roman"/>
          <w:sz w:val="22"/>
          <w:szCs w:val="22"/>
          <w:shd w:val="pct15" w:color="auto" w:fill="FFFFFF"/>
          <w:lang w:val="lt-LT"/>
        </w:rPr>
        <w:t xml:space="preserve"> nurodyta nacionaline pranešimo sistema</w:t>
      </w:r>
      <w:r>
        <w:rPr>
          <w:rFonts w:ascii="Times New Roman" w:eastAsia="Times New Roman" w:hAnsi="Times New Roman" w:cs="Times New Roman"/>
          <w:sz w:val="22"/>
          <w:szCs w:val="22"/>
          <w:lang w:val="lt-LT"/>
        </w:rPr>
        <w:t>.</w:t>
      </w:r>
      <w:r>
        <w:rPr>
          <w:rFonts w:ascii="Times New Roman" w:eastAsia="Times New Roman" w:hAnsi="Times New Roman"/>
          <w:sz w:val="22"/>
          <w:szCs w:val="22"/>
          <w:lang w:val="lt-LT"/>
        </w:rPr>
        <w:t xml:space="preserve"> Pranešdami apie šalutinį poveikį galite mums padėti gauti daugiau informacijos apie šio vaisto saugumą.</w:t>
      </w:r>
    </w:p>
    <w:p>
      <w:pPr>
        <w:spacing w:line="240" w:lineRule="auto"/>
        <w:rPr>
          <w:szCs w:val="22"/>
          <w:lang w:val="lt-LT"/>
        </w:rPr>
      </w:pPr>
    </w:p>
    <w:p>
      <w:pPr>
        <w:spacing w:line="240" w:lineRule="auto"/>
        <w:rPr>
          <w:szCs w:val="22"/>
          <w:lang w:val="lt-LT"/>
        </w:rPr>
      </w:pPr>
    </w:p>
    <w:p>
      <w:pPr>
        <w:keepNext/>
        <w:spacing w:line="240" w:lineRule="auto"/>
        <w:ind w:left="567" w:hanging="567"/>
        <w:rPr>
          <w:b/>
          <w:szCs w:val="22"/>
          <w:lang w:val="lt-LT"/>
        </w:rPr>
      </w:pPr>
      <w:r>
        <w:rPr>
          <w:b/>
          <w:bCs/>
          <w:szCs w:val="22"/>
          <w:lang w:val="lt-LT"/>
        </w:rPr>
        <w:t>5.</w:t>
      </w:r>
      <w:r>
        <w:rPr>
          <w:b/>
          <w:bCs/>
          <w:szCs w:val="22"/>
          <w:lang w:val="lt-LT"/>
        </w:rPr>
        <w:tab/>
        <w:t>Kaip laikyti Sephience</w:t>
      </w:r>
    </w:p>
    <w:p>
      <w:pPr>
        <w:keepNext/>
        <w:tabs>
          <w:tab w:val="clear" w:pos="567"/>
          <w:tab w:val="left" w:pos="720"/>
        </w:tabs>
        <w:spacing w:line="240" w:lineRule="auto"/>
        <w:rPr>
          <w:szCs w:val="22"/>
          <w:lang w:val="lt-LT"/>
        </w:rPr>
      </w:pPr>
    </w:p>
    <w:p>
      <w:pPr>
        <w:tabs>
          <w:tab w:val="clear" w:pos="567"/>
          <w:tab w:val="left" w:pos="720"/>
        </w:tabs>
        <w:spacing w:line="240" w:lineRule="auto"/>
        <w:ind w:right="-2"/>
        <w:rPr>
          <w:szCs w:val="22"/>
          <w:lang w:val="lt-LT"/>
        </w:rPr>
      </w:pPr>
      <w:r>
        <w:rPr>
          <w:szCs w:val="22"/>
          <w:lang w:val="lt-LT"/>
        </w:rPr>
        <w:t>Šį vaistą laikykite vaikams nepastebimoje ir nepasiekiamoje vietoje.</w:t>
      </w:r>
    </w:p>
    <w:p>
      <w:pPr>
        <w:tabs>
          <w:tab w:val="clear" w:pos="567"/>
          <w:tab w:val="left" w:pos="720"/>
        </w:tabs>
        <w:spacing w:line="240" w:lineRule="auto"/>
        <w:ind w:right="-2"/>
        <w:rPr>
          <w:szCs w:val="22"/>
          <w:lang w:val="lt-LT"/>
        </w:rPr>
      </w:pPr>
    </w:p>
    <w:p>
      <w:pPr>
        <w:tabs>
          <w:tab w:val="clear" w:pos="567"/>
          <w:tab w:val="left" w:pos="720"/>
        </w:tabs>
        <w:spacing w:line="240" w:lineRule="auto"/>
        <w:ind w:right="-2"/>
        <w:rPr>
          <w:lang w:val="lt-LT"/>
        </w:rPr>
      </w:pPr>
      <w:r>
        <w:rPr>
          <w:szCs w:val="22"/>
          <w:lang w:val="lt-LT"/>
        </w:rPr>
        <w:t>Ant paketėlio ir dėžutės nurodytam tinkamumo laikui pasibaigus, šio vaisto vartoti negalima. Vaistas tinkamas vartoti iki paskutinės nurodyto mėnesio dienos.</w:t>
      </w:r>
    </w:p>
    <w:p>
      <w:pPr>
        <w:tabs>
          <w:tab w:val="clear" w:pos="567"/>
          <w:tab w:val="left" w:pos="720"/>
        </w:tabs>
        <w:spacing w:line="240" w:lineRule="auto"/>
        <w:ind w:right="-2"/>
        <w:rPr>
          <w:lang w:val="lt-LT"/>
        </w:rPr>
      </w:pPr>
    </w:p>
    <w:p>
      <w:pPr>
        <w:tabs>
          <w:tab w:val="clear" w:pos="567"/>
          <w:tab w:val="left" w:pos="720"/>
        </w:tabs>
        <w:spacing w:line="240" w:lineRule="auto"/>
        <w:ind w:right="-2"/>
        <w:rPr>
          <w:szCs w:val="22"/>
          <w:lang w:val="lt-LT"/>
        </w:rPr>
      </w:pPr>
      <w:r>
        <w:rPr>
          <w:lang w:val="lt-LT"/>
        </w:rPr>
        <w:t>Šio vaisto laikymui specialių temperatūros sąlygų nereikalaujama</w:t>
      </w:r>
      <w:r>
        <w:rPr>
          <w:szCs w:val="22"/>
          <w:lang w:val="lt-LT"/>
        </w:rPr>
        <w:t xml:space="preserve">. </w:t>
      </w:r>
    </w:p>
    <w:p>
      <w:pPr>
        <w:tabs>
          <w:tab w:val="clear" w:pos="567"/>
          <w:tab w:val="left" w:pos="720"/>
        </w:tabs>
        <w:spacing w:line="240" w:lineRule="auto"/>
        <w:ind w:right="-2"/>
        <w:rPr>
          <w:szCs w:val="22"/>
          <w:lang w:val="lt-LT"/>
        </w:rPr>
      </w:pPr>
    </w:p>
    <w:p>
      <w:pPr>
        <w:tabs>
          <w:tab w:val="clear" w:pos="567"/>
          <w:tab w:val="left" w:pos="720"/>
        </w:tabs>
        <w:spacing w:line="240" w:lineRule="auto"/>
        <w:ind w:right="-2"/>
        <w:rPr>
          <w:szCs w:val="22"/>
          <w:lang w:val="lt-LT"/>
        </w:rPr>
      </w:pPr>
      <w:r>
        <w:rPr>
          <w:szCs w:val="22"/>
          <w:lang w:val="lt-LT"/>
        </w:rPr>
        <w:t>Laikyti gamintojo pakuotėje, kad vaistas būtų apsaugotas nuo šviesos.</w:t>
      </w:r>
    </w:p>
    <w:p>
      <w:pPr>
        <w:tabs>
          <w:tab w:val="clear" w:pos="567"/>
          <w:tab w:val="left" w:pos="720"/>
        </w:tabs>
        <w:spacing w:line="240" w:lineRule="auto"/>
        <w:ind w:right="-2"/>
        <w:rPr>
          <w:szCs w:val="22"/>
          <w:lang w:val="lt-LT"/>
        </w:rPr>
      </w:pPr>
    </w:p>
    <w:p>
      <w:pPr>
        <w:tabs>
          <w:tab w:val="clear" w:pos="567"/>
          <w:tab w:val="left" w:pos="720"/>
        </w:tabs>
        <w:spacing w:line="240" w:lineRule="auto"/>
        <w:ind w:right="-2"/>
        <w:rPr>
          <w:szCs w:val="22"/>
          <w:lang w:val="lt-LT"/>
        </w:rPr>
      </w:pPr>
      <w:r>
        <w:rPr>
          <w:szCs w:val="22"/>
          <w:lang w:val="lt-LT"/>
        </w:rPr>
        <w:t xml:space="preserve">Sumaišę vaistą, nedelsdami jį suvartokite. </w:t>
      </w:r>
      <w:bookmarkStart w:id="17" w:name="_Hlk158714384"/>
      <w:r>
        <w:rPr>
          <w:szCs w:val="22"/>
          <w:lang w:val="lt-LT"/>
        </w:rPr>
        <w:t>Jei ne, mišinį galima laikyti iki 24 valandų šaldytuve (nuo 2 °C iki 8 °C) arba 6 valandas žemesnėje kaip 25 °C temperatūroje.</w:t>
      </w:r>
      <w:bookmarkEnd w:id="17"/>
    </w:p>
    <w:p>
      <w:pPr>
        <w:tabs>
          <w:tab w:val="clear" w:pos="567"/>
          <w:tab w:val="left" w:pos="720"/>
        </w:tabs>
        <w:spacing w:line="240" w:lineRule="auto"/>
        <w:ind w:right="-2"/>
        <w:rPr>
          <w:szCs w:val="22"/>
          <w:lang w:val="lt-LT"/>
        </w:rPr>
      </w:pPr>
    </w:p>
    <w:p>
      <w:pPr>
        <w:tabs>
          <w:tab w:val="clear" w:pos="567"/>
          <w:tab w:val="left" w:pos="720"/>
        </w:tabs>
        <w:spacing w:line="240" w:lineRule="auto"/>
        <w:ind w:right="-2"/>
        <w:rPr>
          <w:i/>
          <w:szCs w:val="22"/>
          <w:lang w:val="lt-LT"/>
        </w:rPr>
      </w:pPr>
      <w:r>
        <w:rPr>
          <w:szCs w:val="22"/>
          <w:lang w:val="lt-LT"/>
        </w:rPr>
        <w:t>Vaistų negalima išmesti į kanalizaciją arba su buitinėmis atliekomis. Kaip išmesti nereikalingus vaistus, klauskite vaistininko. Šios priemonės padės apsaugoti aplinką.</w:t>
      </w:r>
    </w:p>
    <w:p>
      <w:pPr>
        <w:tabs>
          <w:tab w:val="clear" w:pos="567"/>
        </w:tabs>
        <w:spacing w:line="240" w:lineRule="auto"/>
        <w:ind w:right="-2"/>
        <w:rPr>
          <w:szCs w:val="22"/>
          <w:lang w:val="lt-LT"/>
        </w:rPr>
      </w:pPr>
    </w:p>
    <w:p>
      <w:pPr>
        <w:tabs>
          <w:tab w:val="clear" w:pos="567"/>
        </w:tabs>
        <w:spacing w:line="240" w:lineRule="auto"/>
        <w:ind w:right="-2"/>
        <w:rPr>
          <w:szCs w:val="22"/>
          <w:lang w:val="lt-LT"/>
        </w:rPr>
      </w:pPr>
    </w:p>
    <w:p>
      <w:pPr>
        <w:keepNext/>
        <w:spacing w:line="240" w:lineRule="auto"/>
        <w:ind w:left="567" w:right="-2" w:hanging="567"/>
        <w:rPr>
          <w:b/>
          <w:lang w:val="lt-LT"/>
        </w:rPr>
      </w:pPr>
      <w:r>
        <w:rPr>
          <w:b/>
          <w:bCs/>
          <w:szCs w:val="22"/>
          <w:lang w:val="lt-LT"/>
        </w:rPr>
        <w:t>6.</w:t>
      </w:r>
      <w:r>
        <w:rPr>
          <w:b/>
          <w:bCs/>
          <w:szCs w:val="22"/>
          <w:lang w:val="lt-LT"/>
        </w:rPr>
        <w:tab/>
        <w:t>Pakuotės turinys ir kita informacija</w:t>
      </w:r>
    </w:p>
    <w:p>
      <w:pPr>
        <w:keepNext/>
        <w:tabs>
          <w:tab w:val="clear" w:pos="567"/>
          <w:tab w:val="left" w:pos="720"/>
        </w:tabs>
        <w:spacing w:line="240" w:lineRule="auto"/>
        <w:rPr>
          <w:lang w:val="lt-LT"/>
        </w:rPr>
      </w:pPr>
    </w:p>
    <w:p>
      <w:pPr>
        <w:keepNext/>
        <w:tabs>
          <w:tab w:val="clear" w:pos="567"/>
          <w:tab w:val="left" w:pos="720"/>
        </w:tabs>
        <w:spacing w:line="240" w:lineRule="auto"/>
        <w:ind w:right="-2"/>
        <w:rPr>
          <w:b/>
          <w:lang w:val="lt-LT"/>
        </w:rPr>
      </w:pPr>
      <w:r>
        <w:rPr>
          <w:b/>
          <w:bCs/>
          <w:szCs w:val="22"/>
          <w:lang w:val="lt-LT"/>
        </w:rPr>
        <w:t>Sephience sudėtis</w:t>
      </w:r>
    </w:p>
    <w:p>
      <w:pPr>
        <w:keepNext/>
        <w:numPr>
          <w:ilvl w:val="0"/>
          <w:numId w:val="4"/>
        </w:numPr>
        <w:tabs>
          <w:tab w:val="clear" w:pos="567"/>
          <w:tab w:val="left" w:pos="720"/>
        </w:tabs>
        <w:spacing w:line="240" w:lineRule="auto"/>
        <w:ind w:left="567" w:right="-2" w:hanging="567"/>
        <w:rPr>
          <w:i/>
          <w:szCs w:val="22"/>
          <w:lang w:val="lt-LT"/>
        </w:rPr>
      </w:pPr>
      <w:r>
        <w:rPr>
          <w:szCs w:val="22"/>
          <w:lang w:val="lt-LT"/>
        </w:rPr>
        <w:t xml:space="preserve">Veiklioji medžiaga yra sepiapterinas. Kiekviename paketėlyje yra 250 mg arba 1 000 mg sepiapterino. </w:t>
      </w:r>
    </w:p>
    <w:p>
      <w:pPr>
        <w:keepNext/>
        <w:numPr>
          <w:ilvl w:val="0"/>
          <w:numId w:val="4"/>
        </w:numPr>
        <w:tabs>
          <w:tab w:val="clear" w:pos="567"/>
          <w:tab w:val="left" w:pos="720"/>
        </w:tabs>
        <w:spacing w:line="240" w:lineRule="auto"/>
        <w:ind w:left="567" w:right="-2" w:hanging="567"/>
        <w:rPr>
          <w:szCs w:val="22"/>
          <w:lang w:val="lt-LT"/>
        </w:rPr>
      </w:pPr>
      <w:r>
        <w:rPr>
          <w:szCs w:val="22"/>
          <w:lang w:val="lt-LT"/>
        </w:rPr>
        <w:t>Pagalbinės medžiagos yra mikrokristalinė celiuliozė (E460), izomaltas (E953), manitolis (E421), kroskarmeliozės natrio druska (E468), ksantano lipai (E415), koloidinis bevandenis silicio dioksidas arba koloidinis silicio dioksidas (E551), sukralozė (E955) ir magnio stearatas (E470). Daugiau informacijos apie izomaltą (E953) ir natrį žr. 2 skyriuje.</w:t>
      </w:r>
    </w:p>
    <w:p>
      <w:pPr>
        <w:tabs>
          <w:tab w:val="clear" w:pos="567"/>
          <w:tab w:val="left" w:pos="720"/>
        </w:tabs>
        <w:spacing w:line="240" w:lineRule="auto"/>
        <w:ind w:right="-2"/>
        <w:rPr>
          <w:szCs w:val="22"/>
          <w:lang w:val="lt-LT"/>
        </w:rPr>
      </w:pPr>
    </w:p>
    <w:p>
      <w:pPr>
        <w:keepNext/>
        <w:tabs>
          <w:tab w:val="clear" w:pos="567"/>
          <w:tab w:val="left" w:pos="720"/>
        </w:tabs>
        <w:spacing w:line="240" w:lineRule="auto"/>
        <w:rPr>
          <w:b/>
          <w:lang w:val="lt-LT"/>
        </w:rPr>
      </w:pPr>
      <w:r>
        <w:rPr>
          <w:b/>
          <w:bCs/>
          <w:szCs w:val="22"/>
          <w:lang w:val="lt-LT"/>
        </w:rPr>
        <w:t>Sephience išvaizda ir kiekis pakuotėje</w:t>
      </w:r>
    </w:p>
    <w:p>
      <w:pPr>
        <w:spacing w:line="240" w:lineRule="auto"/>
        <w:rPr>
          <w:lang w:val="lt-LT"/>
        </w:rPr>
      </w:pPr>
      <w:r>
        <w:rPr>
          <w:bCs/>
          <w:szCs w:val="22"/>
          <w:lang w:val="lt-LT"/>
        </w:rPr>
        <w:t>Geriamieji milteliai yra geltonos arba oranžinės spalvos. Milteliai supilstyti į vienkartinius paketėlius, kuriuose yra 250 mg arba 1 000 mg sepiapterino.</w:t>
      </w:r>
      <w:r>
        <w:rPr>
          <w:lang w:val="lt-LT"/>
        </w:rPr>
        <w:fldChar w:fldCharType="begin"/>
      </w:r>
      <w:r>
        <w:rPr>
          <w:lang w:val="lt-LT"/>
        </w:rPr>
        <w:instrText xml:space="preserve"> DOCVARIABLE vault_nd_078bbb48-d3b1-4042-84d9-553b27238a46 </w:instrText>
      </w:r>
      <w:r>
        <w:rPr>
          <w:lang w:val="lt-LT"/>
        </w:rPr>
        <w:fldChar w:fldCharType="separate"/>
      </w:r>
      <w:r>
        <w:rPr>
          <w:lang w:val="lt-LT"/>
        </w:rPr>
        <w:t xml:space="preserve"> </w:t>
      </w:r>
      <w:r>
        <w:rPr>
          <w:lang w:val="lt-LT"/>
        </w:rPr>
        <w:fldChar w:fldCharType="end"/>
      </w:r>
    </w:p>
    <w:p>
      <w:pPr>
        <w:spacing w:line="240" w:lineRule="auto"/>
        <w:rPr>
          <w:lang w:val="lt-LT"/>
        </w:rPr>
      </w:pPr>
    </w:p>
    <w:p>
      <w:pPr>
        <w:spacing w:line="240" w:lineRule="auto"/>
        <w:rPr>
          <w:bCs/>
          <w:szCs w:val="22"/>
          <w:lang w:val="lt-LT"/>
        </w:rPr>
      </w:pPr>
      <w:r>
        <w:rPr>
          <w:szCs w:val="22"/>
          <w:lang w:val="lt-LT"/>
        </w:rPr>
        <w:t>Sephience tiekiamas kartoninėse dėžutėse, kuriose yra 30 paketėlių su 250 mg arba 1 000 mg.</w:t>
      </w:r>
      <w:r>
        <w:rPr>
          <w:bCs/>
          <w:szCs w:val="22"/>
          <w:lang w:val="lt-LT"/>
        </w:rPr>
        <w:fldChar w:fldCharType="begin"/>
      </w:r>
      <w:r>
        <w:rPr>
          <w:bCs/>
          <w:szCs w:val="22"/>
          <w:lang w:val="lt-LT"/>
        </w:rPr>
        <w:instrText xml:space="preserve"> DOCVARIABLE vault_nd_4c265125-cb58-418b-a331-13a37b36e03b </w:instrText>
      </w:r>
      <w:r>
        <w:rPr>
          <w:bCs/>
          <w:szCs w:val="22"/>
          <w:lang w:val="lt-LT"/>
        </w:rPr>
        <w:fldChar w:fldCharType="separate"/>
      </w:r>
      <w:r>
        <w:rPr>
          <w:bCs/>
          <w:szCs w:val="22"/>
          <w:lang w:val="lt-LT"/>
        </w:rPr>
        <w:t xml:space="preserve"> </w:t>
      </w:r>
      <w:r>
        <w:rPr>
          <w:bCs/>
          <w:szCs w:val="22"/>
          <w:lang w:val="lt-LT"/>
        </w:rPr>
        <w:fldChar w:fldCharType="end"/>
      </w:r>
    </w:p>
    <w:p>
      <w:pPr>
        <w:spacing w:line="240" w:lineRule="auto"/>
        <w:rPr>
          <w:bCs/>
          <w:szCs w:val="22"/>
          <w:lang w:val="lt-LT"/>
        </w:rPr>
      </w:pPr>
    </w:p>
    <w:p>
      <w:pPr>
        <w:tabs>
          <w:tab w:val="clear" w:pos="567"/>
          <w:tab w:val="left" w:pos="720"/>
        </w:tabs>
        <w:spacing w:line="240" w:lineRule="auto"/>
        <w:ind w:right="-2"/>
        <w:rPr>
          <w:b/>
          <w:lang w:val="lt-LT"/>
        </w:rPr>
      </w:pPr>
      <w:r>
        <w:rPr>
          <w:b/>
          <w:bCs/>
          <w:szCs w:val="22"/>
          <w:lang w:val="lt-LT"/>
        </w:rPr>
        <w:t>Registruotojas ir gamintojas</w:t>
      </w:r>
    </w:p>
    <w:p>
      <w:pPr>
        <w:spacing w:line="240" w:lineRule="auto"/>
        <w:rPr>
          <w:szCs w:val="22"/>
          <w:lang w:val="lt-LT"/>
        </w:rPr>
      </w:pPr>
      <w:r>
        <w:rPr>
          <w:szCs w:val="22"/>
          <w:lang w:val="lt-LT"/>
        </w:rPr>
        <w:t>PTC Therapeutics International Limited</w:t>
      </w:r>
    </w:p>
    <w:p>
      <w:pPr>
        <w:spacing w:line="240" w:lineRule="auto"/>
        <w:rPr>
          <w:szCs w:val="22"/>
          <w:lang w:val="lt-LT"/>
        </w:rPr>
      </w:pPr>
      <w:bookmarkStart w:id="18" w:name="_Hlk178839270"/>
      <w:r>
        <w:rPr>
          <w:szCs w:val="22"/>
          <w:lang w:val="lt-LT"/>
        </w:rPr>
        <w:t>Unit 1, 52-55 Sir John Rogerson’s Quay</w:t>
      </w:r>
    </w:p>
    <w:p>
      <w:pPr>
        <w:spacing w:line="240" w:lineRule="auto"/>
        <w:rPr>
          <w:szCs w:val="22"/>
          <w:lang w:val="lt-LT"/>
        </w:rPr>
      </w:pPr>
      <w:r>
        <w:rPr>
          <w:szCs w:val="22"/>
          <w:lang w:val="lt-LT"/>
        </w:rPr>
        <w:t>Dublin 2, D02 NA07</w:t>
      </w:r>
      <w:bookmarkEnd w:id="18"/>
    </w:p>
    <w:p>
      <w:pPr>
        <w:spacing w:line="240" w:lineRule="auto"/>
        <w:rPr>
          <w:szCs w:val="22"/>
          <w:lang w:val="lt-LT"/>
        </w:rPr>
      </w:pPr>
      <w:r>
        <w:rPr>
          <w:szCs w:val="22"/>
          <w:lang w:val="lt-LT"/>
        </w:rPr>
        <w:t>Airija</w:t>
      </w:r>
    </w:p>
    <w:p>
      <w:pPr>
        <w:tabs>
          <w:tab w:val="clear" w:pos="567"/>
          <w:tab w:val="left" w:pos="720"/>
        </w:tabs>
        <w:spacing w:line="240" w:lineRule="auto"/>
        <w:ind w:right="-2"/>
        <w:rPr>
          <w:szCs w:val="22"/>
          <w:lang w:val="lt-LT"/>
        </w:rPr>
      </w:pPr>
    </w:p>
    <w:p>
      <w:pPr>
        <w:tabs>
          <w:tab w:val="clear" w:pos="567"/>
          <w:tab w:val="left" w:pos="720"/>
        </w:tabs>
        <w:spacing w:line="240" w:lineRule="auto"/>
        <w:ind w:right="-2"/>
        <w:rPr>
          <w:szCs w:val="22"/>
          <w:lang w:val="lt-LT"/>
        </w:rPr>
      </w:pPr>
      <w:r>
        <w:rPr>
          <w:szCs w:val="22"/>
          <w:lang w:val="lt-LT"/>
        </w:rPr>
        <w:t>Jeigu apie šį vaistą norite sužinoti daugiau, kreipkitės į vietinį registruotojo atstovą:</w:t>
      </w:r>
    </w:p>
    <w:p>
      <w:pPr>
        <w:spacing w:line="240" w:lineRule="auto"/>
        <w:rPr>
          <w:szCs w:val="22"/>
          <w:lang w:val="lt-LT"/>
        </w:rPr>
      </w:pPr>
    </w:p>
    <w:tbl>
      <w:tblPr>
        <w:tblW w:w="9360" w:type="dxa"/>
        <w:tblInd w:w="-34" w:type="dxa"/>
        <w:tblLayout w:type="fixed"/>
        <w:tblLook w:val="04A0" w:firstRow="1" w:lastRow="0" w:firstColumn="1" w:lastColumn="0" w:noHBand="0" w:noVBand="1"/>
      </w:tblPr>
      <w:tblGrid>
        <w:gridCol w:w="4680"/>
        <w:gridCol w:w="4680"/>
      </w:tblGrid>
      <w:tr>
        <w:tc>
          <w:tcPr>
            <w:tcW w:w="4680" w:type="dxa"/>
          </w:tcPr>
          <w:p>
            <w:pPr>
              <w:spacing w:line="240" w:lineRule="auto"/>
              <w:ind w:right="34"/>
              <w:rPr>
                <w:szCs w:val="22"/>
                <w:lang w:val="lt-LT" w:eastAsia="en-GB"/>
              </w:rPr>
            </w:pPr>
            <w:r>
              <w:rPr>
                <w:b/>
                <w:bCs/>
                <w:szCs w:val="22"/>
                <w:lang w:val="lt-LT" w:eastAsia="en-GB"/>
              </w:rPr>
              <w:t>AT, BE, BG, CY, CZ, DK, DE, EE, EL, ES, HR, HU, IE, IS, IT, LT, LU, LV, MT, NL, NO, PL, PT, RO, SI, SK, FI, SE</w:t>
            </w:r>
          </w:p>
          <w:p>
            <w:pPr>
              <w:spacing w:line="240" w:lineRule="auto"/>
              <w:ind w:right="34"/>
              <w:rPr>
                <w:szCs w:val="22"/>
                <w:lang w:val="lt-LT" w:eastAsia="en-GB"/>
              </w:rPr>
            </w:pPr>
            <w:r>
              <w:rPr>
                <w:szCs w:val="22"/>
                <w:lang w:val="lt-LT" w:eastAsia="en-GB"/>
              </w:rPr>
              <w:t>PTC Therapeutics International Ltd. (Ireland)</w:t>
            </w:r>
          </w:p>
          <w:p>
            <w:pPr>
              <w:spacing w:line="240" w:lineRule="auto"/>
              <w:ind w:right="34"/>
              <w:rPr>
                <w:szCs w:val="22"/>
                <w:lang w:val="lt-LT" w:eastAsia="en-GB"/>
              </w:rPr>
            </w:pPr>
            <w:r>
              <w:rPr>
                <w:szCs w:val="22"/>
                <w:lang w:val="lt-LT" w:eastAsia="en-GB"/>
              </w:rPr>
              <w:t>Tel.: +353 (0)1 447 5165</w:t>
            </w:r>
          </w:p>
          <w:p>
            <w:pPr>
              <w:spacing w:line="240" w:lineRule="auto"/>
              <w:ind w:right="34"/>
              <w:rPr>
                <w:color w:val="0000FF"/>
                <w:szCs w:val="22"/>
                <w:lang w:val="lt-LT" w:eastAsia="en-GB"/>
              </w:rPr>
            </w:pPr>
            <w:r>
              <w:rPr>
                <w:color w:val="0000FF"/>
                <w:szCs w:val="22"/>
                <w:lang w:val="lt-LT" w:eastAsia="en-GB"/>
              </w:rPr>
              <w:t>medinfo@ptcbio.com</w:t>
            </w:r>
          </w:p>
        </w:tc>
        <w:tc>
          <w:tcPr>
            <w:tcW w:w="4680" w:type="dxa"/>
          </w:tcPr>
          <w:p>
            <w:pPr>
              <w:spacing w:line="240" w:lineRule="auto"/>
              <w:rPr>
                <w:b/>
                <w:szCs w:val="22"/>
                <w:lang w:val="lt-LT" w:eastAsia="en-GB"/>
              </w:rPr>
            </w:pPr>
            <w:r>
              <w:rPr>
                <w:b/>
                <w:bCs/>
                <w:szCs w:val="22"/>
                <w:lang w:val="lt-LT" w:eastAsia="en-GB"/>
              </w:rPr>
              <w:t>FR</w:t>
            </w:r>
          </w:p>
          <w:p>
            <w:pPr>
              <w:spacing w:line="240" w:lineRule="auto"/>
              <w:rPr>
                <w:szCs w:val="22"/>
                <w:lang w:val="lt-LT" w:eastAsia="en-GB"/>
              </w:rPr>
            </w:pPr>
            <w:r>
              <w:rPr>
                <w:szCs w:val="22"/>
                <w:lang w:val="lt-LT" w:eastAsia="en-GB"/>
              </w:rPr>
              <w:t>PTC Therapeutics France</w:t>
            </w:r>
          </w:p>
          <w:p>
            <w:pPr>
              <w:spacing w:line="240" w:lineRule="auto"/>
              <w:rPr>
                <w:szCs w:val="22"/>
                <w:lang w:val="lt-LT" w:eastAsia="en-GB"/>
              </w:rPr>
            </w:pPr>
            <w:r>
              <w:rPr>
                <w:szCs w:val="22"/>
                <w:lang w:val="lt-LT"/>
              </w:rPr>
              <w:t>Tél:</w:t>
            </w:r>
            <w:r>
              <w:rPr>
                <w:szCs w:val="22"/>
                <w:lang w:val="lt-LT" w:eastAsia="en-GB"/>
              </w:rPr>
              <w:t xml:space="preserve"> +33(0)1 76 70 10 01</w:t>
            </w:r>
          </w:p>
          <w:p>
            <w:pPr>
              <w:spacing w:line="240" w:lineRule="auto"/>
              <w:rPr>
                <w:color w:val="0000FF"/>
                <w:szCs w:val="22"/>
                <w:lang w:val="lt-LT" w:eastAsia="en-GB"/>
              </w:rPr>
            </w:pPr>
            <w:r>
              <w:rPr>
                <w:color w:val="0000FF"/>
                <w:szCs w:val="22"/>
                <w:lang w:val="lt-LT" w:eastAsia="en-GB"/>
              </w:rPr>
              <w:t>medinfo@ptcbio.com</w:t>
            </w:r>
          </w:p>
          <w:p>
            <w:pPr>
              <w:spacing w:line="240" w:lineRule="auto"/>
              <w:rPr>
                <w:szCs w:val="22"/>
                <w:lang w:val="lt-LT" w:eastAsia="en-GB"/>
              </w:rPr>
            </w:pPr>
          </w:p>
        </w:tc>
      </w:tr>
    </w:tbl>
    <w:p>
      <w:pPr>
        <w:tabs>
          <w:tab w:val="clear" w:pos="567"/>
          <w:tab w:val="left" w:pos="720"/>
        </w:tabs>
        <w:spacing w:line="240" w:lineRule="auto"/>
        <w:ind w:right="-2"/>
        <w:rPr>
          <w:b/>
          <w:szCs w:val="22"/>
          <w:lang w:val="lt-LT"/>
        </w:rPr>
      </w:pPr>
    </w:p>
    <w:p>
      <w:pPr>
        <w:tabs>
          <w:tab w:val="clear" w:pos="567"/>
          <w:tab w:val="left" w:pos="720"/>
        </w:tabs>
        <w:spacing w:line="240" w:lineRule="auto"/>
        <w:ind w:right="-2"/>
        <w:rPr>
          <w:szCs w:val="22"/>
          <w:lang w:val="lt-LT"/>
        </w:rPr>
      </w:pPr>
      <w:r>
        <w:rPr>
          <w:b/>
          <w:bCs/>
          <w:szCs w:val="22"/>
          <w:lang w:val="lt-LT"/>
        </w:rPr>
        <w:t>Šis pakuotės lapelis paskutinį kartą peržiūrėtas</w:t>
      </w:r>
      <w:r>
        <w:rPr>
          <w:rFonts w:eastAsia="MS Mincho"/>
          <w:szCs w:val="22"/>
          <w:lang w:val="lt-LT" w:eastAsia="ja-JP"/>
        </w:rPr>
        <w:fldChar w:fldCharType="begin"/>
      </w:r>
      <w:r>
        <w:rPr>
          <w:rFonts w:eastAsia="MS Mincho"/>
          <w:szCs w:val="22"/>
          <w:lang w:val="lt-LT" w:eastAsia="ja-JP"/>
        </w:rPr>
        <w:instrText xml:space="preserve"> DOCVARIABLE vault_nd_085e82be-890e-4ea8-a0b3-4d8eb0841c70 </w:instrText>
      </w:r>
      <w:r>
        <w:rPr>
          <w:rFonts w:eastAsia="MS Mincho"/>
          <w:szCs w:val="22"/>
          <w:lang w:val="lt-LT" w:eastAsia="ja-JP"/>
        </w:rPr>
        <w:fldChar w:fldCharType="separate"/>
      </w:r>
      <w:r>
        <w:rPr>
          <w:rFonts w:eastAsia="MS Mincho"/>
          <w:szCs w:val="22"/>
          <w:lang w:val="lt-LT" w:eastAsia="ja-JP"/>
        </w:rPr>
        <w:t xml:space="preserve"> </w:t>
      </w:r>
      <w:r>
        <w:rPr>
          <w:rFonts w:eastAsia="MS Mincho"/>
          <w:szCs w:val="22"/>
          <w:lang w:val="lt-LT" w:eastAsia="ja-JP"/>
        </w:rPr>
        <w:fldChar w:fldCharType="end"/>
      </w:r>
    </w:p>
    <w:p>
      <w:pPr>
        <w:spacing w:line="240" w:lineRule="auto"/>
        <w:ind w:right="-2"/>
        <w:rPr>
          <w:szCs w:val="22"/>
          <w:lang w:val="lt-LT"/>
        </w:rPr>
      </w:pPr>
    </w:p>
    <w:p>
      <w:pPr>
        <w:keepNext/>
        <w:tabs>
          <w:tab w:val="clear" w:pos="567"/>
          <w:tab w:val="left" w:pos="720"/>
        </w:tabs>
        <w:spacing w:line="240" w:lineRule="auto"/>
        <w:rPr>
          <w:b/>
          <w:lang w:val="lt-LT"/>
        </w:rPr>
      </w:pPr>
      <w:r>
        <w:rPr>
          <w:b/>
          <w:bCs/>
          <w:szCs w:val="22"/>
          <w:lang w:val="lt-LT"/>
        </w:rPr>
        <w:t>Kiti informacijos šaltiniai</w:t>
      </w:r>
    </w:p>
    <w:p>
      <w:pPr>
        <w:keepNext/>
        <w:spacing w:line="240" w:lineRule="auto"/>
        <w:rPr>
          <w:lang w:val="lt-LT"/>
        </w:rPr>
      </w:pPr>
    </w:p>
    <w:p>
      <w:pPr>
        <w:keepNext/>
        <w:spacing w:line="240" w:lineRule="auto"/>
        <w:rPr>
          <w:szCs w:val="22"/>
          <w:lang w:val="lt-LT"/>
        </w:rPr>
      </w:pPr>
      <w:r>
        <w:rPr>
          <w:szCs w:val="22"/>
          <w:lang w:val="lt-LT"/>
        </w:rPr>
        <w:t xml:space="preserve">Išsami informacija apie šį vaistą pateikiama Europos vaistų agentūros tinklalapyje </w:t>
      </w:r>
      <w:hyperlink r:id="rId15">
        <w:r>
          <w:rPr>
            <w:color w:val="0000FF"/>
            <w:szCs w:val="22"/>
            <w:u w:val="single"/>
            <w:lang w:val="lt-LT"/>
          </w:rPr>
          <w:t>https://www.ema.europa.eu/</w:t>
        </w:r>
      </w:hyperlink>
      <w:r>
        <w:rPr>
          <w:szCs w:val="22"/>
          <w:lang w:val="lt-LT"/>
        </w:rPr>
        <w:t xml:space="preserve">. Joje taip pat rasite nuorodas į kitus tinklalapius apie retas ligas ir jų gydymą. </w:t>
      </w:r>
    </w:p>
    <w:p>
      <w:pPr>
        <w:spacing w:line="240" w:lineRule="auto"/>
        <w:ind w:right="-2"/>
        <w:rPr>
          <w:szCs w:val="22"/>
          <w:lang w:val="lt-LT"/>
        </w:rPr>
      </w:pPr>
    </w:p>
    <w:p>
      <w:pPr>
        <w:tabs>
          <w:tab w:val="clear" w:pos="567"/>
        </w:tabs>
        <w:spacing w:line="240" w:lineRule="auto"/>
        <w:rPr>
          <w:lang w:val="lt-LT"/>
        </w:rPr>
      </w:pPr>
    </w:p>
    <w:sectPr>
      <w:footerReference w:type="even" r:id="rId16"/>
      <w:footerReference w:type="default" r:id="rId17"/>
      <w:footerReference w:type="first" r:id="rId18"/>
      <w:pgSz w:w="11906" w:h="16838"/>
      <w:pgMar w:top="1134" w:right="1418" w:bottom="1134" w:left="1418" w:header="0" w:footer="737" w:gutter="0"/>
      <w:cols w:space="720"/>
      <w:formProt w:val="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line="240" w:lineRule="auto"/>
      </w:pPr>
      <w:r>
        <w:separator/>
      </w:r>
    </w:p>
  </w:endnote>
  <w:endnote w:type="continuationSeparator" w:id="0">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Arial Unicode MS"/>
    <w:charset w:val="01"/>
    <w:family w:val="auto"/>
    <w:pitch w:val="default"/>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Liberation Sans">
    <w:altName w:val="Arial"/>
    <w:charset w:val="BA"/>
    <w:family w:val="swiss"/>
    <w:pitch w:val="variable"/>
  </w:font>
  <w:font w:name="Microsoft YaHei">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TimesNewRoman,Bold">
    <w:altName w:val="Yu Gothic"/>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right" w:pos="8931"/>
      </w:tabs>
      <w:ind w:right="96"/>
      <w:jc w:val="center"/>
    </w:pPr>
    <w:r>
      <w:rPr>
        <w:rStyle w:val="PageNumber"/>
        <w:rFonts w:cs="Arial"/>
      </w:rPr>
      <w:fldChar w:fldCharType="begin"/>
    </w:r>
    <w:r>
      <w:rPr>
        <w:rStyle w:val="PageNumber"/>
        <w:rFonts w:cs="Arial"/>
      </w:rPr>
      <w:instrText xml:space="preserve"> PAGE </w:instrText>
    </w:r>
    <w:r>
      <w:rPr>
        <w:rStyle w:val="PageNumber"/>
        <w:rFonts w:cs="Arial"/>
      </w:rPr>
      <w:fldChar w:fldCharType="separate"/>
    </w:r>
    <w:r>
      <w:rPr>
        <w:rStyle w:val="PageNumber"/>
        <w:rFonts w:cs="Arial"/>
      </w:rPr>
      <w:t>34</w:t>
    </w:r>
    <w:r>
      <w:rPr>
        <w:rStyle w:val="PageNumber"/>
        <w:rFonts w:cs="Arial"/>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right" w:pos="8931"/>
      </w:tabs>
      <w:ind w:right="96"/>
      <w:jc w:val="center"/>
    </w:pPr>
    <w:r>
      <w:rPr>
        <w:rStyle w:val="PageNumber"/>
        <w:rFonts w:cs="Arial"/>
      </w:rPr>
      <w:fldChar w:fldCharType="begin"/>
    </w:r>
    <w:r>
      <w:rPr>
        <w:rStyle w:val="PageNumber"/>
        <w:rFonts w:cs="Arial"/>
      </w:rPr>
      <w:instrText xml:space="preserve"> PAGE </w:instrText>
    </w:r>
    <w:r>
      <w:rPr>
        <w:rStyle w:val="PageNumber"/>
        <w:rFonts w:cs="Arial"/>
      </w:rPr>
      <w:fldChar w:fldCharType="separate"/>
    </w:r>
    <w:r>
      <w:rPr>
        <w:rStyle w:val="PageNumber"/>
        <w:rFonts w:cs="Arial"/>
      </w:rPr>
      <w:t>1</w:t>
    </w:r>
    <w:r>
      <w:rPr>
        <w:rStyle w:val="PageNumber"/>
        <w:rFonts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line="240" w:lineRule="auto"/>
      </w:pPr>
      <w:r>
        <w:separator/>
      </w:r>
    </w:p>
  </w:footnote>
  <w:footnote w:type="continuationSeparator" w:id="0">
    <w:p>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FE33E7"/>
    <w:multiLevelType w:val="multilevel"/>
    <w:tmpl w:val="B9EE6C6C"/>
    <w:lvl w:ilvl="0">
      <w:start w:val="1"/>
      <w:numFmt w:val="decimal"/>
      <w:pStyle w:val="ListNumber5"/>
      <w:lvlText w:val="%1."/>
      <w:lvlJc w:val="left"/>
      <w:pPr>
        <w:tabs>
          <w:tab w:val="num" w:pos="1800"/>
        </w:tabs>
        <w:ind w:left="180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E655B8B"/>
    <w:multiLevelType w:val="multilevel"/>
    <w:tmpl w:val="53EC0566"/>
    <w:lvl w:ilvl="0">
      <w:start w:val="1"/>
      <w:numFmt w:val="bullet"/>
      <w:pStyle w:val="ListBullet5"/>
      <w:lvlText w:val=""/>
      <w:lvlJc w:val="left"/>
      <w:pPr>
        <w:tabs>
          <w:tab w:val="num" w:pos="1800"/>
        </w:tabs>
        <w:ind w:left="180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1836060C"/>
    <w:multiLevelType w:val="multilevel"/>
    <w:tmpl w:val="770CA89E"/>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15:restartNumberingAfterBreak="0">
    <w:nsid w:val="18440FF6"/>
    <w:multiLevelType w:val="multilevel"/>
    <w:tmpl w:val="E50EDAE8"/>
    <w:lvl w:ilvl="0">
      <w:start w:val="1"/>
      <w:numFmt w:val="bullet"/>
      <w:pStyle w:val="ListBullet2"/>
      <w:lvlText w:val=""/>
      <w:lvlJc w:val="left"/>
      <w:pPr>
        <w:tabs>
          <w:tab w:val="num" w:pos="720"/>
        </w:tabs>
        <w:ind w:left="72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1FC32DD7"/>
    <w:multiLevelType w:val="multilevel"/>
    <w:tmpl w:val="BBB6CD5C"/>
    <w:lvl w:ilvl="0">
      <w:start w:val="1"/>
      <w:numFmt w:val="decimal"/>
      <w:lvlText w:val="%1"/>
      <w:lvlJc w:val="left"/>
      <w:pPr>
        <w:tabs>
          <w:tab w:val="num" w:pos="0"/>
        </w:tabs>
        <w:ind w:left="432" w:hanging="432"/>
      </w:pPr>
    </w:lvl>
    <w:lvl w:ilvl="1">
      <w:start w:val="1"/>
      <w:numFmt w:val="decimal"/>
      <w:lvlText w:val="%1.%2"/>
      <w:lvlJc w:val="left"/>
      <w:pPr>
        <w:tabs>
          <w:tab w:val="num" w:pos="0"/>
        </w:tabs>
        <w:ind w:left="576" w:hanging="576"/>
      </w:pPr>
    </w:lvl>
    <w:lvl w:ilvl="2">
      <w:start w:val="1"/>
      <w:numFmt w:val="decimal"/>
      <w:pStyle w:val="Heading3"/>
      <w:lvlText w:val="%1.%2.%3"/>
      <w:lvlJc w:val="left"/>
      <w:pPr>
        <w:tabs>
          <w:tab w:val="num" w:pos="0"/>
        </w:tabs>
        <w:ind w:left="720" w:hanging="720"/>
      </w:pPr>
    </w:lvl>
    <w:lvl w:ilvl="3">
      <w:start w:val="1"/>
      <w:numFmt w:val="decimal"/>
      <w:pStyle w:val="Heading4"/>
      <w:lvlText w:val="%1.%2.%3.%4"/>
      <w:lvlJc w:val="left"/>
      <w:pPr>
        <w:tabs>
          <w:tab w:val="num" w:pos="0"/>
        </w:tabs>
        <w:ind w:left="864" w:hanging="864"/>
      </w:pPr>
    </w:lvl>
    <w:lvl w:ilvl="4">
      <w:start w:val="1"/>
      <w:numFmt w:val="decimal"/>
      <w:pStyle w:val="Heading5"/>
      <w:lvlText w:val="%1.%2.%3.%4.%5"/>
      <w:lvlJc w:val="left"/>
      <w:pPr>
        <w:tabs>
          <w:tab w:val="num" w:pos="0"/>
        </w:tabs>
        <w:ind w:left="1008" w:hanging="1008"/>
      </w:pPr>
    </w:lvl>
    <w:lvl w:ilvl="5">
      <w:start w:val="1"/>
      <w:numFmt w:val="decimal"/>
      <w:pStyle w:val="Heading6"/>
      <w:lvlText w:val="%1.%2.%3.%4.%5.%6"/>
      <w:lvlJc w:val="left"/>
      <w:pPr>
        <w:tabs>
          <w:tab w:val="num" w:pos="0"/>
        </w:tabs>
        <w:ind w:left="1152" w:hanging="1152"/>
      </w:pPr>
    </w:lvl>
    <w:lvl w:ilvl="6">
      <w:start w:val="1"/>
      <w:numFmt w:val="decimal"/>
      <w:pStyle w:val="Heading7"/>
      <w:lvlText w:val="%1.%2.%3.%4.%5.%6.%7"/>
      <w:lvlJc w:val="left"/>
      <w:pPr>
        <w:tabs>
          <w:tab w:val="num" w:pos="0"/>
        </w:tabs>
        <w:ind w:left="1296" w:hanging="1296"/>
      </w:pPr>
    </w:lvl>
    <w:lvl w:ilvl="7">
      <w:start w:val="1"/>
      <w:numFmt w:val="decimal"/>
      <w:pStyle w:val="Heading8"/>
      <w:lvlText w:val="%1.%2.%3.%4.%5.%6.%7.%8"/>
      <w:lvlJc w:val="left"/>
      <w:pPr>
        <w:tabs>
          <w:tab w:val="num" w:pos="0"/>
        </w:tabs>
        <w:ind w:left="1440" w:hanging="1440"/>
      </w:pPr>
    </w:lvl>
    <w:lvl w:ilvl="8">
      <w:start w:val="1"/>
      <w:numFmt w:val="decimal"/>
      <w:pStyle w:val="Heading9"/>
      <w:lvlText w:val="%1.%2.%3.%4.%5.%6.%7.%8.%9"/>
      <w:lvlJc w:val="left"/>
      <w:pPr>
        <w:tabs>
          <w:tab w:val="num" w:pos="0"/>
        </w:tabs>
        <w:ind w:left="1584" w:hanging="1584"/>
      </w:pPr>
    </w:lvl>
  </w:abstractNum>
  <w:abstractNum w:abstractNumId="5" w15:restartNumberingAfterBreak="0">
    <w:nsid w:val="22392D8E"/>
    <w:multiLevelType w:val="multilevel"/>
    <w:tmpl w:val="C7361EA0"/>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6" w15:restartNumberingAfterBreak="0">
    <w:nsid w:val="27452BD0"/>
    <w:multiLevelType w:val="multilevel"/>
    <w:tmpl w:val="0F0C939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7" w15:restartNumberingAfterBreak="0">
    <w:nsid w:val="346F3F3E"/>
    <w:multiLevelType w:val="multilevel"/>
    <w:tmpl w:val="02967BEA"/>
    <w:lvl w:ilvl="0">
      <w:numFmt w:val="bullet"/>
      <w:lvlText w:val="-"/>
      <w:lvlJc w:val="left"/>
      <w:pPr>
        <w:tabs>
          <w:tab w:val="num" w:pos="0"/>
        </w:tabs>
        <w:ind w:left="360" w:hanging="360"/>
      </w:pPr>
      <w:rPr>
        <w:rFonts w:ascii="OpenSymbol" w:hAnsi="OpenSymbol" w:cs="Open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15:restartNumberingAfterBreak="0">
    <w:nsid w:val="3A3E1529"/>
    <w:multiLevelType w:val="multilevel"/>
    <w:tmpl w:val="E0D83CE6"/>
    <w:lvl w:ilvl="0">
      <w:start w:val="1"/>
      <w:numFmt w:val="decimal"/>
      <w:pStyle w:val="ListNumber"/>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15:restartNumberingAfterBreak="0">
    <w:nsid w:val="3CF41D86"/>
    <w:multiLevelType w:val="multilevel"/>
    <w:tmpl w:val="8D0A2692"/>
    <w:lvl w:ilvl="0">
      <w:start w:val="1"/>
      <w:numFmt w:val="bullet"/>
      <w:pStyle w:val="ListBullet3"/>
      <w:lvlText w:val=""/>
      <w:lvlJc w:val="left"/>
      <w:pPr>
        <w:tabs>
          <w:tab w:val="num" w:pos="1080"/>
        </w:tabs>
        <w:ind w:left="108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 w15:restartNumberingAfterBreak="0">
    <w:nsid w:val="44EC6128"/>
    <w:multiLevelType w:val="multilevel"/>
    <w:tmpl w:val="FD962A28"/>
    <w:lvl w:ilvl="0">
      <w:start w:val="1"/>
      <w:numFmt w:val="upp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1" w15:restartNumberingAfterBreak="0">
    <w:nsid w:val="497317B4"/>
    <w:multiLevelType w:val="multilevel"/>
    <w:tmpl w:val="F31E6D42"/>
    <w:lvl w:ilvl="0">
      <w:start w:val="1"/>
      <w:numFmt w:val="decimal"/>
      <w:pStyle w:val="ListNumber4"/>
      <w:lvlText w:val="%1."/>
      <w:lvlJc w:val="left"/>
      <w:pPr>
        <w:tabs>
          <w:tab w:val="num" w:pos="1440"/>
        </w:tabs>
        <w:ind w:left="144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15:restartNumberingAfterBreak="0">
    <w:nsid w:val="4CCD2912"/>
    <w:multiLevelType w:val="multilevel"/>
    <w:tmpl w:val="94063C0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3" w15:restartNumberingAfterBreak="0">
    <w:nsid w:val="5B964FB5"/>
    <w:multiLevelType w:val="multilevel"/>
    <w:tmpl w:val="21C26526"/>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4" w15:restartNumberingAfterBreak="0">
    <w:nsid w:val="61EE2FBE"/>
    <w:multiLevelType w:val="multilevel"/>
    <w:tmpl w:val="A0903D94"/>
    <w:lvl w:ilvl="0">
      <w:start w:val="1"/>
      <w:numFmt w:val="decimal"/>
      <w:pStyle w:val="ListNumber2"/>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 w15:restartNumberingAfterBreak="0">
    <w:nsid w:val="6520445A"/>
    <w:multiLevelType w:val="multilevel"/>
    <w:tmpl w:val="E61E9088"/>
    <w:lvl w:ilvl="0">
      <w:start w:val="1"/>
      <w:numFmt w:val="bullet"/>
      <w:pStyle w:val="ListBullet"/>
      <w:lvlText w:val=""/>
      <w:lvlJc w:val="left"/>
      <w:pPr>
        <w:tabs>
          <w:tab w:val="num" w:pos="360"/>
        </w:tabs>
        <w:ind w:left="36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6" w15:restartNumberingAfterBreak="0">
    <w:nsid w:val="6B8A524F"/>
    <w:multiLevelType w:val="multilevel"/>
    <w:tmpl w:val="C34CB5BC"/>
    <w:lvl w:ilvl="0">
      <w:start w:val="1"/>
      <w:numFmt w:val="decimal"/>
      <w:pStyle w:val="ListNumber3"/>
      <w:lvlText w:val="%1."/>
      <w:lvlJc w:val="left"/>
      <w:pPr>
        <w:tabs>
          <w:tab w:val="num" w:pos="1080"/>
        </w:tabs>
        <w:ind w:left="108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7" w15:restartNumberingAfterBreak="0">
    <w:nsid w:val="70886A80"/>
    <w:multiLevelType w:val="multilevel"/>
    <w:tmpl w:val="E604A8B2"/>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8" w15:restartNumberingAfterBreak="0">
    <w:nsid w:val="7AF13C60"/>
    <w:multiLevelType w:val="multilevel"/>
    <w:tmpl w:val="DBFE63E8"/>
    <w:lvl w:ilvl="0">
      <w:start w:val="1"/>
      <w:numFmt w:val="bullet"/>
      <w:pStyle w:val="ListBullet4"/>
      <w:lvlText w:val=""/>
      <w:lvlJc w:val="left"/>
      <w:pPr>
        <w:tabs>
          <w:tab w:val="num" w:pos="1440"/>
        </w:tabs>
        <w:ind w:left="144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4"/>
  </w:num>
  <w:num w:numId="2">
    <w:abstractNumId w:val="13"/>
  </w:num>
  <w:num w:numId="3">
    <w:abstractNumId w:val="17"/>
  </w:num>
  <w:num w:numId="4">
    <w:abstractNumId w:val="7"/>
  </w:num>
  <w:num w:numId="5">
    <w:abstractNumId w:val="5"/>
  </w:num>
  <w:num w:numId="6">
    <w:abstractNumId w:val="2"/>
  </w:num>
  <w:num w:numId="7">
    <w:abstractNumId w:val="6"/>
  </w:num>
  <w:num w:numId="8">
    <w:abstractNumId w:val="12"/>
  </w:num>
  <w:num w:numId="9">
    <w:abstractNumId w:val="10"/>
  </w:num>
  <w:num w:numId="10">
    <w:abstractNumId w:val="15"/>
  </w:num>
  <w:num w:numId="11">
    <w:abstractNumId w:val="3"/>
  </w:num>
  <w:num w:numId="12">
    <w:abstractNumId w:val="9"/>
  </w:num>
  <w:num w:numId="13">
    <w:abstractNumId w:val="18"/>
  </w:num>
  <w:num w:numId="14">
    <w:abstractNumId w:val="1"/>
  </w:num>
  <w:num w:numId="15">
    <w:abstractNumId w:val="8"/>
  </w:num>
  <w:num w:numId="16">
    <w:abstractNumId w:val="14"/>
  </w:num>
  <w:num w:numId="17">
    <w:abstractNumId w:val="16"/>
  </w:num>
  <w:num w:numId="18">
    <w:abstractNumId w:val="11"/>
  </w:num>
  <w:num w:numId="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7"/>
  <w:defaultTabStop w:val="720"/>
  <w:autoHyphenation/>
  <w:hyphenationZone w:val="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Registered" w:val="-1"/>
    <w:docVar w:name="vault_nd_00ad94a8-75c6-4e2b-8a8d-27032cad7946" w:val=" "/>
    <w:docVar w:name="VAULT_ND_028af84d-a5aa-45bb-81a1-a079bd30f9ea" w:val=" "/>
    <w:docVar w:name="vault_nd_02b3bb82-a951-4ca6-8866-54233ef00cb2" w:val=" "/>
    <w:docVar w:name="VAULT_ND_04178dc3-434e-43d7-a5fc-0b7287e1f038" w:val=" "/>
    <w:docVar w:name="vault_nd_045adabd-9985-46a0-a441-17689a98e693" w:val=" "/>
    <w:docVar w:name="VAULT_ND_05fbda56-40ca-46bd-8d7d-21410fa85c33" w:val=" "/>
    <w:docVar w:name="vault_nd_07007872-92e8-4fac-a151-e94d5f5b213d" w:val=" "/>
    <w:docVar w:name="vault_nd_078bbb48-d3b1-4042-84d9-553b27238a46" w:val=" "/>
    <w:docVar w:name="vault_nd_085e82be-890e-4ea8-a0b3-4d8eb0841c70" w:val=" "/>
    <w:docVar w:name="VAULT_ND_08693f37-ede3-42fd-ae81-585e5a59e7a7" w:val=" "/>
    <w:docVar w:name="VAULT_ND_0893534f-f662-489c-aa07-d8e55ccf6f80" w:val=" "/>
    <w:docVar w:name="VAULT_ND_09fb7827-7543-4d86-abdc-8c3e34529f02" w:val=" "/>
    <w:docVar w:name="VAULT_ND_0a275d95-cb25-40f3-b0c0-bd6d560e8b04" w:val=" "/>
    <w:docVar w:name="VAULT_ND_0ae3f97a-59ac-499d-8321-98790b9058dc" w:val=" "/>
    <w:docVar w:name="vault_nd_0bedb060-8d06-4eb1-a306-1c002d7844a3" w:val=" "/>
    <w:docVar w:name="vault_nd_0c67c22a-ffbb-49d2-a2e0-54f74855b37e" w:val=" "/>
    <w:docVar w:name="VAULT_ND_0c8fec7f-9c4b-47a4-9f16-b4ec611b6031" w:val=" "/>
    <w:docVar w:name="VAULT_ND_0cca403c-7af3-4701-8684-d62ae5b42bee" w:val=" "/>
    <w:docVar w:name="vault_nd_0cef9695-7fcb-4dd1-8ef1-2c09e07e9be2" w:val=" "/>
    <w:docVar w:name="VAULT_ND_0d3a2c7a-876c-4e0e-8795-2fc464918ce9" w:val=" "/>
    <w:docVar w:name="vault_nd_0e225abd-eb88-41ec-babb-8627d47153ce" w:val=" "/>
    <w:docVar w:name="VAULT_ND_0e39a4c5-2171-4150-b5e6-5f293f5bfcc2" w:val=" "/>
    <w:docVar w:name="VAULT_ND_0e8e43ac-0df9-43ac-8f69-d6e1e8fc5e3b" w:val=" "/>
    <w:docVar w:name="VAULT_ND_0ee2cd03-253d-433a-a408-d855b7f961ad" w:val=" "/>
    <w:docVar w:name="vault_nd_0ffaf3f3-5804-4067-8fb9-d6ea1c5e8033" w:val=" "/>
    <w:docVar w:name="vault_nd_10c35ca3-0f18-4b6a-88f6-7dcc0cce44cf" w:val=" "/>
    <w:docVar w:name="vault_nd_11534c28-0193-446e-bff2-d5450ebb9f8a" w:val=" "/>
    <w:docVar w:name="VAULT_ND_11af53db-be1d-4661-b372-d73a92303497" w:val=" "/>
    <w:docVar w:name="VAULT_ND_1232d150-5be4-414f-89e1-6012da1c2d2e" w:val=" "/>
    <w:docVar w:name="vault_nd_12cdce12-e340-4089-bd3a-8f3f495faf6f" w:val=" "/>
    <w:docVar w:name="VAULT_ND_1370db3a-74d7-4d97-b987-98735a1629eb" w:val=" "/>
    <w:docVar w:name="VAULT_ND_13ad8580-0396-4df7-a7b0-63abf64f6907" w:val=" "/>
    <w:docVar w:name="VAULT_ND_146c7b96-f906-495a-8cbb-e1c8c9a1cc93" w:val=" "/>
    <w:docVar w:name="vault_nd_14bd125b-5f80-4f76-a19a-8752f77fc494" w:val=" "/>
    <w:docVar w:name="VAULT_ND_15ad9f7c-6820-4060-a282-7a899836a2d2" w:val=" "/>
    <w:docVar w:name="VAULT_ND_162fb6c0-15d9-4825-96c7-efde453202d2" w:val=" "/>
    <w:docVar w:name="VAULT_ND_16640e0a-c86b-4d90-84b8-2a55e337f510" w:val=" "/>
    <w:docVar w:name="VAULT_ND_183df169-d782-46bb-8f83-1f57f2f7999a" w:val=" "/>
    <w:docVar w:name="vault_nd_18fc5cdf-1142-4eed-b885-9e47bf639b2c" w:val=" "/>
    <w:docVar w:name="vault_nd_193e1ff5-8bd5-47b3-90b3-f894e053de27" w:val=" "/>
    <w:docVar w:name="VAULT_ND_19b1142e-eefd-4fd7-b85a-e0058386aa2a" w:val=" "/>
    <w:docVar w:name="VAULT_ND_1b4ab81b-380f-480b-ad67-50fdb4cfc03c" w:val=" "/>
    <w:docVar w:name="VAULT_ND_1d61d1d2-96f6-4203-ada4-f2009a1458fc" w:val=" "/>
    <w:docVar w:name="VAULT_ND_1dc7af02-c68c-4cb9-af67-455c6e2a83ac" w:val=" "/>
    <w:docVar w:name="vault_nd_1dd21267-62ab-4bd8-bb30-7230e9a31074" w:val=" "/>
    <w:docVar w:name="VAULT_ND_1ef94f94-b055-4e30-97f0-bc5defdb165e" w:val=" "/>
    <w:docVar w:name="VAULT_ND_1f3b2838-f02f-4a56-8273-1d273aa7a65e" w:val=" "/>
    <w:docVar w:name="VAULT_ND_2164b791-72ad-4fdc-a80c-cbdcb79be501" w:val=" "/>
    <w:docVar w:name="VAULT_ND_225b410c-b317-4441-b0a9-9e05d599a2b2" w:val=" "/>
    <w:docVar w:name="VAULT_ND_226bf39f-09ce-4bb0-993f-89bf86352a5a" w:val=" "/>
    <w:docVar w:name="vault_nd_22dca65a-1c53-4b0a-a2fb-a0bb7fead49a" w:val=" "/>
    <w:docVar w:name="VAULT_ND_2397d27a-a8e3-4bec-8ecb-e2f491cfe113" w:val=" "/>
    <w:docVar w:name="VAULT_ND_24f6d1ca-5890-4d04-b001-b325d20ba2ac" w:val=" "/>
    <w:docVar w:name="VAULT_ND_253c6693-ab08-4269-bc40-84ea89c8d285" w:val=" "/>
    <w:docVar w:name="VAULT_ND_2550492e-08ab-4128-b99e-0f1a5586024e" w:val=" "/>
    <w:docVar w:name="VAULT_ND_2745a441-23aa-4676-880d-7371f0373a39" w:val=" "/>
    <w:docVar w:name="vault_nd_28288a06-90d0-4274-85b8-cf51510013da" w:val=" "/>
    <w:docVar w:name="VAULT_ND_28b7caca-7bb6-4b6f-a4d4-6f74ea4fce11" w:val=" "/>
    <w:docVar w:name="VAULT_ND_2913a570-fa5b-431a-9ebb-440e97b214f1" w:val=" "/>
    <w:docVar w:name="vault_nd_29226362-5a75-46d6-94a1-b6ab608a5704" w:val=" "/>
    <w:docVar w:name="VAULT_ND_293f6f27-ec72-4164-8f21-d65d04dc2400" w:val=" "/>
    <w:docVar w:name="vault_nd_299d02ca-5d7f-4a9f-af42-4812aa893dce" w:val=" "/>
    <w:docVar w:name="VAULT_ND_29f61aa1-14a5-4a80-99aa-1db4819ec3a9" w:val=" "/>
    <w:docVar w:name="VAULT_ND_2a2347dc-0d05-4cf8-a629-df2b1d9024f7" w:val=" "/>
    <w:docVar w:name="vault_nd_2a5b3c14-2ecb-4a68-8958-e61fd30071de" w:val=" "/>
    <w:docVar w:name="vault_nd_2a9c933f-5230-471e-bbbb-e15f8e2049b0" w:val=" "/>
    <w:docVar w:name="vault_nd_2af66b3e-8b05-4d77-abc9-e2a2b09252b1" w:val=" "/>
    <w:docVar w:name="VAULT_ND_2d22025a-4b51-4d32-ad04-9d5fbac72b74" w:val=" "/>
    <w:docVar w:name="VAULT_ND_2d737197-4d57-43b1-b6bf-29ef6b366e52" w:val=" "/>
    <w:docVar w:name="VAULT_ND_2e7a0cb5-83a4-4b48-9668-ba0047e0ba77" w:val=" "/>
    <w:docVar w:name="VAULT_ND_2ea438bf-abd3-4af5-aa4b-438da42e444e" w:val=" "/>
    <w:docVar w:name="vault_nd_2eac8338-8f7f-4ae5-beb8-f9c0279d1c85" w:val=" "/>
    <w:docVar w:name="VAULT_ND_2f8babaa-6071-4808-a61c-ebf4620cdb70" w:val=" "/>
    <w:docVar w:name="VAULT_ND_304963d8-39a7-49c4-a49a-25039db32569" w:val=" "/>
    <w:docVar w:name="VAULT_ND_3056bcb2-f56b-4257-8ea5-a2e622dc122f" w:val=" "/>
    <w:docVar w:name="VAULT_ND_31457c50-c374-4921-ae8c-a39302e1eaf2" w:val=" "/>
    <w:docVar w:name="VAULT_ND_31a4f38f-a24b-4987-b944-7690033d2455" w:val=" "/>
    <w:docVar w:name="VAULT_ND_325b114a-7b11-496e-bcd2-7acec0ca21cc" w:val=" "/>
    <w:docVar w:name="VAULT_ND_32983366-56b4-4088-abad-ec5bf1e6e47d" w:val=" "/>
    <w:docVar w:name="VAULT_ND_3349449e-a407-4fe8-9971-1f734db94ebf" w:val=" "/>
    <w:docVar w:name="vault_nd_33970f40-4d10-4e78-9043-ef415487a022" w:val=" "/>
    <w:docVar w:name="VAULT_ND_339b4997-e223-4b64-98e4-de3f46edeed3" w:val=" "/>
    <w:docVar w:name="vault_nd_33a7cc01-2895-4430-8238-6e63672b4bc3" w:val=" "/>
    <w:docVar w:name="VAULT_ND_34455699-27d3-4854-b514-2883df6e1b8b" w:val=" "/>
    <w:docVar w:name="VAULT_ND_3601a9c7-ee2b-4e78-8c7f-c077cd68a5e7" w:val=" "/>
    <w:docVar w:name="vault_nd_363d876a-4758-4b18-994c-0f252517de4c" w:val=" "/>
    <w:docVar w:name="vault_nd_37305214-e9f1-4ab1-8ceb-d0c6482494f2" w:val=" "/>
    <w:docVar w:name="VAULT_ND_3862d594-6ecd-41ae-9f4a-8a738955ba02" w:val=" "/>
    <w:docVar w:name="VAULT_ND_390f478a-0661-4762-b38b-9b6da95170ac" w:val=" "/>
    <w:docVar w:name="vault_nd_39c66fb2-1d49-49da-88bb-e522a3223e9d" w:val=" "/>
    <w:docVar w:name="VAULT_ND_3afcaa43-bd06-4ce0-a62b-ce39c68de6cb" w:val=" "/>
    <w:docVar w:name="VAULT_ND_3b08f063-8721-46c6-93f3-c667b86d46e1" w:val=" "/>
    <w:docVar w:name="VAULT_ND_3b2853c3-91e8-4d8e-89e1-53b3c6775897" w:val=" "/>
    <w:docVar w:name="vault_nd_3bfec7f3-6082-4924-a965-c418fe76f9dd" w:val=" "/>
    <w:docVar w:name="VAULT_ND_3c340f15-0ade-431a-9d0b-1c55d2c5f56e" w:val=" "/>
    <w:docVar w:name="VAULT_ND_3c63f3a6-edf2-4272-9b73-0400e9d5cf46" w:val=" "/>
    <w:docVar w:name="VAULT_ND_3ca63c0b-a057-4058-baa0-70d7032e9b45" w:val=" "/>
    <w:docVar w:name="VAULT_ND_3cbb7163-6365-421c-8669-a413c08e57b1" w:val=" "/>
    <w:docVar w:name="vault_nd_3d0e93fd-744c-41ae-8ddd-622f2cbc3a6c" w:val=" "/>
    <w:docVar w:name="VAULT_ND_3d1e9f7c-7dc1-46b6-a23c-9120b450abbe" w:val=" "/>
    <w:docVar w:name="vault_nd_3d2777e2-c948-4999-8240-54be23fc906f" w:val=" "/>
    <w:docVar w:name="VAULT_ND_3dc2d76c-f943-4967-9129-d98a52021fb1" w:val=" "/>
    <w:docVar w:name="vault_nd_3de272d4-46a8-4c0a-9ca3-987b0032bcd1" w:val=" "/>
    <w:docVar w:name="VAULT_ND_3eb6138e-0f92-4b97-ba93-ab10bfc3938d" w:val=" "/>
    <w:docVar w:name="vault_nd_41631c0d-c757-4661-a763-f21acb5620da" w:val=" "/>
    <w:docVar w:name="VAULT_ND_4180920b-ea28-4eb0-b208-4e747eb28be5" w:val=" "/>
    <w:docVar w:name="VAULT_ND_4232a497-33fa-4b93-bc0f-e8d6de3e2600" w:val=" "/>
    <w:docVar w:name="vault_nd_423349d8-8ffb-463d-9261-2795a503b3ec" w:val=" "/>
    <w:docVar w:name="vault_nd_428c432f-8721-4300-a58d-e84d48b7394f" w:val=" "/>
    <w:docVar w:name="VAULT_ND_440345ba-1e5c-4e7c-b477-795815b11ab6" w:val=" "/>
    <w:docVar w:name="vault_nd_44b004c9-f2ef-4978-a180-5aee3c9cda50" w:val=" "/>
    <w:docVar w:name="VAULT_ND_456c5bed-4dda-49fe-82a7-7d12523c2379" w:val=" "/>
    <w:docVar w:name="VAULT_ND_45a35422-195b-41a9-abcc-849fc2e66216" w:val=" "/>
    <w:docVar w:name="VAULT_ND_45d895d3-81af-4aeb-8594-c954d2d054a2" w:val=" "/>
    <w:docVar w:name="VAULT_ND_4649852c-0ef4-4f22-8725-dadd450924f0" w:val=" "/>
    <w:docVar w:name="VAULT_ND_4837704e-1949-440d-9a8b-0372fb0b070e" w:val=" "/>
    <w:docVar w:name="vault_nd_4a3785ce-b988-4655-aa05-03fcaba99807" w:val=" "/>
    <w:docVar w:name="VAULT_ND_4a5c3b14-1ab7-4aad-be13-79c6707f1b28" w:val=" "/>
    <w:docVar w:name="VAULT_ND_4affc747-7850-4fc1-addf-78d95e4ec75f" w:val=" "/>
    <w:docVar w:name="vault_nd_4bf48155-b9ba-4150-8c22-34916628c068" w:val=" "/>
    <w:docVar w:name="VAULT_ND_4bf68838-c2a2-4f3a-a881-11e0f485a01b" w:val=" "/>
    <w:docVar w:name="vault_nd_4c265125-cb58-418b-a331-13a37b36e03b" w:val=" "/>
    <w:docVar w:name="VAULT_ND_4dc2dfb9-88c0-4f66-bd42-24d6a6242578" w:val=" "/>
    <w:docVar w:name="vault_nd_4e01ca2d-341f-43f3-b801-8d330b7462a9" w:val=" "/>
    <w:docVar w:name="VAULT_ND_4e49f109-5944-416c-a312-f6811de9c136" w:val=" "/>
    <w:docVar w:name="VAULT_ND_4e9cdd53-3166-4ef8-ab4d-6a8e77cb4b35" w:val=" "/>
    <w:docVar w:name="VAULT_ND_4e9f6cd9-785f-498b-a892-3c503454ecf7" w:val=" "/>
    <w:docVar w:name="VAULT_ND_4f04c04b-e5eb-4307-9959-b8e585041258" w:val=" "/>
    <w:docVar w:name="VAULT_ND_4f116e62-ded5-4227-a512-e86245659ead" w:val=" "/>
    <w:docVar w:name="VAULT_ND_5091a5ee-4863-499d-9b39-516e73836962" w:val=" "/>
    <w:docVar w:name="vault_nd_5094f12d-0b8f-4fa8-a6af-3720880da6aa" w:val=" "/>
    <w:docVar w:name="VAULT_ND_50b4ba98-0a72-479e-8fb9-9688268cdf52" w:val=" "/>
    <w:docVar w:name="vault_nd_50b669a7-6366-457b-a34e-d3345e6a0a39" w:val=" "/>
    <w:docVar w:name="vault_nd_517db5aa-6b26-43a8-82d6-3d93f43f2074" w:val=" "/>
    <w:docVar w:name="VAULT_ND_51a6b017-d75e-4b82-a299-dcd393d6ef8c" w:val=" "/>
    <w:docVar w:name="VAULT_ND_51e584ec-c355-4df0-a05e-027fcd933369" w:val=" "/>
    <w:docVar w:name="VAULT_ND_539adfe9-2f97-4533-809e-a25d8f26f021" w:val=" "/>
    <w:docVar w:name="VAULT_ND_54b4afb1-5752-47aa-9c6e-8d13fd1e7500" w:val=" "/>
    <w:docVar w:name="vault_nd_54bf9d43-4a06-49e4-8ccf-029fe12c45bc" w:val=" "/>
    <w:docVar w:name="VAULT_ND_54d060dc-838f-4a37-8b24-756f980d6961" w:val=" "/>
    <w:docVar w:name="VAULT_ND_557999a0-6352-409e-9f0b-b764cd6da692" w:val=" "/>
    <w:docVar w:name="VAULT_ND_55da64a0-0098-497c-ae08-2f170b3b609f" w:val=" "/>
    <w:docVar w:name="VAULT_ND_55eccff9-1859-4c3d-8689-fc4a2733bc85" w:val=" "/>
    <w:docVar w:name="VAULT_ND_566a6880-e8ac-409c-8699-44462865b963" w:val=" "/>
    <w:docVar w:name="vault_nd_56705291-397d-4e9b-9121-7bcfd9de1d45" w:val=" "/>
    <w:docVar w:name="VAULT_ND_56dfb874-4382-476e-924f-e05f6efe70bc" w:val=" "/>
    <w:docVar w:name="VAULT_ND_5767d96d-224f-4d56-9832-a6be44c2b6df" w:val=" "/>
    <w:docVar w:name="VAULT_ND_5866f8e7-d460-473c-bfe4-1a3e37a32e29" w:val=" "/>
    <w:docVar w:name="VAULT_ND_58d03c74-3bbd-49c7-9587-a2dae2a615de" w:val=" "/>
    <w:docVar w:name="vault_nd_59079abf-17a9-437a-a356-cdd603f14865" w:val=" "/>
    <w:docVar w:name="vault_nd_5b4a7426-9785-4359-9b16-8e1a4254e9f0" w:val=" "/>
    <w:docVar w:name="VAULT_ND_5d6dfb37-867b-4599-aab7-2b52cf1833dc" w:val=" "/>
    <w:docVar w:name="VAULT_ND_5ef7da4f-87e1-4b56-8824-7c6ea053b510" w:val=" "/>
    <w:docVar w:name="VAULT_ND_5f415a51-e686-4bbf-beaf-63d7a67b7671" w:val=" "/>
    <w:docVar w:name="VAULT_ND_5f5494e8-0387-4525-b747-f5882f8e67d0" w:val=" "/>
    <w:docVar w:name="VAULT_ND_6015a991-fdc8-40a3-bda7-b6d7178bcca1" w:val=" "/>
    <w:docVar w:name="VAULT_ND_604073b9-ec64-439d-96ed-c73aed98274c" w:val=" "/>
    <w:docVar w:name="VAULT_ND_60dc7dc8-e070-4ee6-b5c6-f437a73c1f3d" w:val=" "/>
    <w:docVar w:name="VAULT_ND_62701bd9-c8b9-4b35-a71e-074393a25618" w:val=" "/>
    <w:docVar w:name="vault_nd_64683673-2605-4c6b-bccf-b218dabb2b14" w:val=" "/>
    <w:docVar w:name="VAULT_ND_6624c09f-51e1-4601-84d1-dcd19bdfb3aa" w:val=" "/>
    <w:docVar w:name="VAULT_ND_6674c304-9de1-464e-a2b0-a57cc48e68a8" w:val=" "/>
    <w:docVar w:name="VAULT_ND_669bdddf-d7fa-44fa-b307-2c45206b6322" w:val=" "/>
    <w:docVar w:name="vault_nd_66f41f99-f82e-4a44-8c72-955ff7f9caf8" w:val=" "/>
    <w:docVar w:name="VAULT_ND_690a4e28-f34c-4259-b6ef-3d3a4f0e5ca2" w:val=" "/>
    <w:docVar w:name="vault_nd_69de1e87-a37c-489b-bfc0-6f66f5ec2b97" w:val=" "/>
    <w:docVar w:name="VAULT_ND_6b4a62b8-8903-484d-a2a1-17b7684c58f2" w:val=" "/>
    <w:docVar w:name="VAULT_ND_6d471458-10a6-4824-85a3-70263060296f" w:val=" "/>
    <w:docVar w:name="vault_nd_6d89d7cf-169b-491d-9213-bb9b287a6227" w:val=" "/>
    <w:docVar w:name="VAULT_ND_6ea353ec-fc5d-4f28-af33-f567a49a84d4" w:val=" "/>
    <w:docVar w:name="vault_nd_6fa85a7a-1bbc-4503-b1f7-77846920be23" w:val=" "/>
    <w:docVar w:name="VAULT_ND_7019f4fe-e95c-4324-8dd3-44498554c426" w:val=" "/>
    <w:docVar w:name="VAULT_ND_709c914b-510b-45c7-86cf-3c708479204a" w:val=" "/>
    <w:docVar w:name="VAULT_ND_70ac3165-d34c-4e80-b90d-81254a1580cb" w:val=" "/>
    <w:docVar w:name="VAULT_ND_70aec233-d784-4986-a19f-e112a048881e" w:val=" "/>
    <w:docVar w:name="VAULT_ND_71285582-d209-431d-9a2b-7bd2f0c961de" w:val=" "/>
    <w:docVar w:name="VAULT_ND_7193e66f-f03d-4415-b758-ca8c1d78d906" w:val=" "/>
    <w:docVar w:name="VAULT_ND_71b4bf86-4f9a-4be8-9e0b-28daaab4982f" w:val=" "/>
    <w:docVar w:name="VAULT_ND_72f48106-275c-401f-8f9b-7f411e1df3f5" w:val=" "/>
    <w:docVar w:name="VAULT_ND_74018404-81ed-4130-b33b-729df2c10d9a" w:val=" "/>
    <w:docVar w:name="VAULT_ND_7477865b-d86b-4381-b0ab-a0c215e38f78" w:val=" "/>
    <w:docVar w:name="VAULT_ND_7496db29-2140-44dc-baba-c856e171a64a" w:val=" "/>
    <w:docVar w:name="VAULT_ND_75a2d4b3-f4ac-4def-ac19-b9e35c23d255" w:val=" "/>
    <w:docVar w:name="VAULT_ND_77f11190-4d86-41ba-b24a-3a3045b871c0" w:val=" "/>
    <w:docVar w:name="VAULT_ND_783a3545-895c-4f2e-bda7-75c77144a8a2" w:val=" "/>
    <w:docVar w:name="vault_nd_791e8034-9e1a-4505-a840-7fefa8631993" w:val=" "/>
    <w:docVar w:name="vault_nd_794ebd6c-1e2f-4ef9-a9d4-45f0ddc130b5" w:val=" "/>
    <w:docVar w:name="vault_nd_79d8a3fc-714e-44ec-acac-64568405e108" w:val=" "/>
    <w:docVar w:name="VAULT_ND_7b63f38f-ecb5-4dcc-b1b8-5938e1109939" w:val=" "/>
    <w:docVar w:name="VAULT_ND_7b8ac063-8558-4b53-a0ee-1e66b9501a9a" w:val=" "/>
    <w:docVar w:name="VAULT_ND_7bdcf5b0-3206-4e13-9587-3ea71df1a55c" w:val=" "/>
    <w:docVar w:name="VAULT_ND_7c9028f1-25c5-4b46-a632-2d2c77249e25" w:val=" "/>
    <w:docVar w:name="vault_nd_7d25a52f-e8c8-492e-b721-86c25301deff" w:val=" "/>
    <w:docVar w:name="VAULT_ND_7d2fe377-1428-4cf3-8c1c-cfcf69f353a2" w:val=" "/>
    <w:docVar w:name="VAULT_ND_805c2419-265f-4f33-86f0-865110843662" w:val=" "/>
    <w:docVar w:name="vault_nd_80b71cef-58db-48ee-b8c5-2a81d1e3d79b" w:val=" "/>
    <w:docVar w:name="VAULT_ND_80b8e0cb-9c0f-44c5-a78c-03f96120e135" w:val=" "/>
    <w:docVar w:name="VAULT_ND_81d2cfd0-d081-4f03-b90b-b9824c61c220" w:val=" "/>
    <w:docVar w:name="VAULT_ND_829004da-ab61-443e-89c3-bf32368b955b" w:val=" "/>
    <w:docVar w:name="vault_nd_82b74444-6e27-4ccd-9dca-b3fa53a8f75b" w:val=" "/>
    <w:docVar w:name="VAULT_ND_82fb07bb-b3c1-45a2-8231-dca1ca263a3a" w:val=" "/>
    <w:docVar w:name="vault_nd_83278876-2c14-4e27-8fb7-53d61298eb75" w:val=" "/>
    <w:docVar w:name="VAULT_ND_83a6cb66-4349-49bb-8537-757a3171f568" w:val=" "/>
    <w:docVar w:name="vault_nd_84346f5d-e4a6-4829-8497-797e2fb9c725" w:val=" "/>
    <w:docVar w:name="VAULT_ND_8459eaa6-1aa8-440c-9293-bbb91e92354c" w:val=" "/>
    <w:docVar w:name="VAULT_ND_8698708a-95a1-4728-93d4-b03857bd3b92" w:val=" "/>
    <w:docVar w:name="vault_nd_86ea4abf-c1e1-4c1c-b078-7a35514115c1" w:val=" "/>
    <w:docVar w:name="VAULT_ND_87b00bc9-280b-4a35-8519-2407663e3329" w:val=" "/>
    <w:docVar w:name="VAULT_ND_8853fe92-f0dc-4daf-bd77-8490d78373c8" w:val=" "/>
    <w:docVar w:name="VAULT_ND_893c6aff-1720-4eb7-ab0c-c174cb901bf2" w:val=" "/>
    <w:docVar w:name="vault_nd_8ae7d81b-5069-42a5-9d53-daf0b9a35204" w:val=" "/>
    <w:docVar w:name="VAULT_ND_8bed019b-99c4-4a65-abda-0ad8f923b967" w:val=" "/>
    <w:docVar w:name="vault_nd_8c5e17de-4860-4e93-80ca-631c3028fd42" w:val=" "/>
    <w:docVar w:name="VAULT_ND_8cd3abf1-2550-454b-8fad-8d38fa214bb0" w:val=" "/>
    <w:docVar w:name="VAULT_ND_8d2c4bf3-48f0-4bd0-98b0-8520180ece03" w:val=" "/>
    <w:docVar w:name="VAULT_ND_8debd4f2-5d3e-4e1c-bf18-2abd2a4db715" w:val=" "/>
    <w:docVar w:name="VAULT_ND_8e8abb6c-b635-45cb-a4f5-8cc4053eb6a5" w:val=" "/>
    <w:docVar w:name="vault_nd_8f623a90-6884-4606-86c5-63beed09a71b" w:val=" "/>
    <w:docVar w:name="vault_nd_8faf90b5-7f6e-4aba-b9c9-31fe9f5dda69" w:val=" "/>
    <w:docVar w:name="vault_nd_9265a39b-219f-4f01-8ebf-9b0a86d2625c" w:val=" "/>
    <w:docVar w:name="VAULT_ND_926877e5-7076-41b2-9804-e8793ae98875" w:val=" "/>
    <w:docVar w:name="vault_nd_9350b82e-89f1-46ee-90c2-7b781ef10da1" w:val=" "/>
    <w:docVar w:name="VAULT_ND_936f4a4f-3de1-43f0-8733-5d1630574b14" w:val=" "/>
    <w:docVar w:name="VAULT_ND_93f8114b-f46a-4512-8c79-5c04e5d5854b" w:val=" "/>
    <w:docVar w:name="VAULT_ND_96ae5d1d-2a49-408b-b267-0dfeaa719e8f" w:val=" "/>
    <w:docVar w:name="VAULT_ND_981f0308-3f59-43aa-9686-a4b4cac2aebf" w:val=" "/>
    <w:docVar w:name="vault_nd_98afb4ae-5e0c-4d55-9007-18ab7b20d41d" w:val=" "/>
    <w:docVar w:name="VAULT_ND_997ef220-0101-4f11-8c93-748f94501254" w:val=" "/>
    <w:docVar w:name="VAULT_ND_998f4a78-f39e-4065-bcbb-698ebdadb48a" w:val=" "/>
    <w:docVar w:name="vault_nd_9b8de20a-3872-4166-ac84-b2d8c40a917d" w:val=" "/>
    <w:docVar w:name="VAULT_ND_9baa91f5-afdc-4d5f-800d-af25cb9ab880" w:val=" "/>
    <w:docVar w:name="VAULT_ND_9c3a30f5-4f1b-4d6d-858b-f4779c951379" w:val=" "/>
    <w:docVar w:name="VAULT_ND_9c7fb44c-4dbe-4564-9ed5-4fcb1238438c" w:val=" "/>
    <w:docVar w:name="VAULT_ND_9cc2735a-cab8-41c8-b51c-5c9bbd9da0a8" w:val=" "/>
    <w:docVar w:name="VAULT_ND_9d1a0bda-b660-4bc1-8bad-720ac75645f5" w:val=" "/>
    <w:docVar w:name="VAULT_ND_9d3408e8-3203-410f-b3e7-b16b0913807d" w:val=" "/>
    <w:docVar w:name="VAULT_ND_9d5dab5b-49e7-4572-ad53-dfb39bdcdde1" w:val=" "/>
    <w:docVar w:name="VAULT_ND_a2d3f9e4-73ec-458b-9b40-655a62a67313" w:val=" "/>
    <w:docVar w:name="VAULT_ND_a43ca03f-8c3d-4901-9fb2-37bbdfaa5fbe" w:val=" "/>
    <w:docVar w:name="VAULT_ND_a4769ba8-1dd9-473d-9e61-7fd890f117b3" w:val=" "/>
    <w:docVar w:name="VAULT_ND_a48e9de3-7e3c-45bd-a00a-c66179329552" w:val=" "/>
    <w:docVar w:name="vault_nd_a4933a96-a950-4748-8920-285fa793f3cf" w:val=" "/>
    <w:docVar w:name="VAULT_ND_a6285d79-e60b-4eaf-9644-ada4c83795c8" w:val=" "/>
    <w:docVar w:name="VAULT_ND_a87f080e-73ad-42ec-ad8b-0eca0a519b36" w:val=" "/>
    <w:docVar w:name="vault_nd_aa92af91-cbc2-4b5e-9a39-838346d4d116" w:val=" "/>
    <w:docVar w:name="VAULT_ND_ab495301-1086-4bb3-8b5a-aa6063a81a95" w:val=" "/>
    <w:docVar w:name="VAULT_ND_ac8e9381-01c0-4d93-83ce-4eaebad63aa8" w:val=" "/>
    <w:docVar w:name="VAULT_ND_acd527b5-ed27-4356-b695-1583edef3de9" w:val=" "/>
    <w:docVar w:name="VAULT_ND_acdf766e-556d-4a82-ac15-d24c3f05cdd1" w:val=" "/>
    <w:docVar w:name="VAULT_ND_ace87660-15a7-4a68-85eb-fb31bd950f44" w:val=" "/>
    <w:docVar w:name="VAULT_ND_ad3a5cc7-19e9-47d2-8b20-1b6491cb6136" w:val=" "/>
    <w:docVar w:name="VAULT_ND_ad9cb4de-44d7-4ede-8838-29d338d38599" w:val=" "/>
    <w:docVar w:name="VAULT_ND_adf80a8c-e625-4ff7-8832-74802fae52a0" w:val=" "/>
    <w:docVar w:name="VAULT_ND_af42af09-23d3-4705-9806-c764c42f6548" w:val=" "/>
    <w:docVar w:name="VAULT_ND_b1c2d68f-cfb2-4be2-b3f0-a76b5057a975" w:val=" "/>
    <w:docVar w:name="vault_nd_b27496c1-98a4-48c7-bb77-70895b16f909" w:val=" "/>
    <w:docVar w:name="VAULT_ND_b421690e-49c9-4a20-b049-b439d62b6fb4" w:val=" "/>
    <w:docVar w:name="VAULT_ND_b5814c76-a95c-4ff1-81e6-d18bfda60709" w:val=" "/>
    <w:docVar w:name="vault_nd_b764d2b7-cb97-4ad5-ac3b-041325fcad0f" w:val=" "/>
    <w:docVar w:name="VAULT_ND_b777b7a3-413b-4767-926e-912adde2292a" w:val=" "/>
    <w:docVar w:name="VAULT_ND_b9c8ef75-61a1-4e60-a68a-33de65b8381d" w:val=" "/>
    <w:docVar w:name="VAULT_ND_ba60792c-d514-4f8a-a700-72e6aa2376c8" w:val=" "/>
    <w:docVar w:name="VAULT_ND_bae5ec7a-d09a-4733-87ce-6c72790ac5f8" w:val=" "/>
    <w:docVar w:name="VAULT_ND_bb7361bd-f72c-4151-b63b-94390cc0b71a" w:val=" "/>
    <w:docVar w:name="vault_nd_bbf83c7f-6f3c-4d7c-ad28-7bbcdcd76448" w:val=" "/>
    <w:docVar w:name="vault_nd_bcac7e73-8787-486f-b45b-6216b7c70683" w:val=" "/>
    <w:docVar w:name="vault_nd_bccd0fd3-c84e-48fc-822f-131a5fa7eb7f" w:val=" "/>
    <w:docVar w:name="vault_nd_bcdfb54a-e9d7-484b-ba2d-5c27e0894972" w:val=" "/>
    <w:docVar w:name="VAULT_ND_bce2c82c-a061-43dc-b171-a014502c5e49" w:val=" "/>
    <w:docVar w:name="VAULT_ND_be280e82-145e-47de-b9a6-ce85a5317d09" w:val=" "/>
    <w:docVar w:name="VAULT_ND_be3f3552-0b53-4366-b243-71330e7052cc" w:val=" "/>
    <w:docVar w:name="vault_nd_be4a7d3c-27f5-4248-b9db-4528f6d6abf7" w:val=" "/>
    <w:docVar w:name="vault_nd_bfb53d19-ff08-4a17-862a-09989f6d2f74" w:val=" "/>
    <w:docVar w:name="VAULT_ND_bfd64447-6a6d-4db7-8908-bc1c6be29c2b" w:val=" "/>
    <w:docVar w:name="VAULT_ND_c074ff35-4558-4b7e-852c-9260f52c5e60" w:val=" "/>
    <w:docVar w:name="VAULT_ND_c0ed4e6e-2bc9-4225-b65c-3f4d8befa4e2" w:val=" "/>
    <w:docVar w:name="VAULT_ND_c379efc6-1458-497c-b4a1-41df9ca7d0a9" w:val=" "/>
    <w:docVar w:name="VAULT_ND_c37fbea4-da97-4cba-b1f1-87f68607a967" w:val=" "/>
    <w:docVar w:name="vault_nd_c5a04c7f-7255-4fdc-a1aa-895ec744c5b3" w:val=" "/>
    <w:docVar w:name="VAULT_ND_c5a69894-3235-434c-b948-f804d6a8c0e0" w:val=" "/>
    <w:docVar w:name="VAULT_ND_c6e4db47-3fe0-46cc-a945-7e6b504c930d" w:val=" "/>
    <w:docVar w:name="VAULT_ND_c73eff4b-3ba1-4601-bb68-f1af6a61432d" w:val=" "/>
    <w:docVar w:name="vault_nd_c83f4f26-e888-49a9-bf44-3f1e4e14ea82" w:val=" "/>
    <w:docVar w:name="VAULT_ND_c996a2ea-1cf3-446d-8be0-49448e581a68" w:val=" "/>
    <w:docVar w:name="VAULT_ND_c9bed406-52c6-4475-b309-a84d71225e28" w:val=" "/>
    <w:docVar w:name="VAULT_ND_c9e3ef4a-f550-40da-8710-f56bbc4cef10" w:val=" "/>
    <w:docVar w:name="VAULT_ND_c9fc1e53-8f6c-4a08-8cfd-2e1f573fc908" w:val=" "/>
    <w:docVar w:name="VAULT_ND_c9fd684a-d876-4c4b-bbac-41d8a8b0811c" w:val=" "/>
    <w:docVar w:name="VAULT_ND_cabaf732-a143-48d5-8726-440f1263a46e" w:val=" "/>
    <w:docVar w:name="vault_nd_cac1b844-3c9b-4905-9bd9-b6f930faf242" w:val=" "/>
    <w:docVar w:name="vault_nd_cbfff047-290d-42b3-ad6b-d3bf7d2de6d9" w:val=" "/>
    <w:docVar w:name="vault_nd_cc9e8405-22b0-45c2-97a4-d6e7c09bb6c3" w:val=" "/>
    <w:docVar w:name="VAULT_ND_ccfe428d-5fa6-451b-a07a-03400d7a44bc" w:val=" "/>
    <w:docVar w:name="vault_nd_ce687b3b-003c-44b6-8bf4-bf49ce71c655" w:val=" "/>
    <w:docVar w:name="vault_nd_ce842838-74d2-4d7d-bcc6-c4ccb61f40a0" w:val=" "/>
    <w:docVar w:name="VAULT_ND_d0c735c2-7f38-4d68-a009-47093e3c7bd4" w:val=" "/>
    <w:docVar w:name="vault_nd_d210b476-2868-44d3-b69e-1bc83f610cfb" w:val=" "/>
    <w:docVar w:name="VAULT_ND_d2582041-c057-4605-b1c4-3ffc41f00ae1" w:val=" "/>
    <w:docVar w:name="vault_nd_d2b5bee7-a0f6-40d5-847c-d5cb2ae858e6" w:val=" "/>
    <w:docVar w:name="vault_nd_d3adaac4-7429-49cf-b142-bdd2896fa027" w:val=" "/>
    <w:docVar w:name="VAULT_ND_d40b7b1d-7e0e-441d-b1a0-fe37f27a7558" w:val=" "/>
    <w:docVar w:name="VAULT_ND_d43785c0-a75f-4570-9f1d-27ecba57cff7" w:val=" "/>
    <w:docVar w:name="VAULT_ND_d5bec161-19d5-4066-ae82-bce8102d66ee" w:val=" "/>
    <w:docVar w:name="VAULT_ND_d5eb7185-a28d-486e-b980-0ef5c562b1fe" w:val=" "/>
    <w:docVar w:name="VAULT_ND_d5ff7a55-81b7-4fd8-a077-15717bb6ff9b" w:val=" "/>
    <w:docVar w:name="VAULT_ND_d609c5ad-c8f2-4a6e-b35b-25e4ba583201" w:val=" "/>
    <w:docVar w:name="VAULT_ND_d62b442e-24bf-433c-8047-9dd9fa522be2" w:val=" "/>
    <w:docVar w:name="vault_nd_d7196488-53d6-4ae9-862c-532d7315a40b" w:val=" "/>
    <w:docVar w:name="vault_nd_d79088eb-1475-4ac5-8f45-49bd9de9649b" w:val=" "/>
    <w:docVar w:name="VAULT_ND_d8390300-9d81-4d6d-9a7a-ef3103941cdd" w:val=" "/>
    <w:docVar w:name="vault_nd_d8b01cfb-cc5c-4ca2-ab1d-76ecf4778598" w:val=" "/>
    <w:docVar w:name="VAULT_ND_d91e7efa-f704-437e-9b38-846afd40a96f" w:val=" "/>
    <w:docVar w:name="vault_nd_dc56a137-0fed-42ab-89f8-9170fb4563df" w:val=" "/>
    <w:docVar w:name="VAULT_ND_dd05c27d-4afd-4e75-a3e4-abcf53d003c6" w:val=" "/>
    <w:docVar w:name="VAULT_ND_dd60d6a9-0f05-4e76-83a3-c1d7a437ab66" w:val=" "/>
    <w:docVar w:name="VAULT_ND_ddcdc4cc-461d-46cf-904b-7d399a8ef442" w:val=" "/>
    <w:docVar w:name="VAULT_ND_df112f16-1621-4739-8b76-a5f2d56e3a87" w:val=" "/>
    <w:docVar w:name="VAULT_ND_dfdfb262-eeed-400a-9174-18bac1359e00" w:val=" "/>
    <w:docVar w:name="VAULT_ND_dffcf502-a091-44dc-a2c2-31b339db862c" w:val=" "/>
    <w:docVar w:name="vault_nd_e008be64-f392-4d14-9cd8-09e87c4f9424" w:val=" "/>
    <w:docVar w:name="VAULT_ND_e05bf3cd-3038-4efb-9a67-8a3a68f37e37" w:val=" "/>
    <w:docVar w:name="VAULT_ND_e158264f-63a8-4983-b61e-4658cf5576cc" w:val=" "/>
    <w:docVar w:name="VAULT_ND_e22f525e-d4c9-457b-a37f-57ef2edeb9fe" w:val=" "/>
    <w:docVar w:name="VAULT_ND_e2367456-a76d-425c-b0f4-f3ed65e51041" w:val=" "/>
    <w:docVar w:name="VAULT_ND_e3c36f8a-0711-4a7e-b4be-4abd35e0d1ba" w:val=" "/>
    <w:docVar w:name="VAULT_ND_e3f90365-5fa1-4d7c-afcc-6f57569b6fa5" w:val=" "/>
    <w:docVar w:name="VAULT_ND_e42de3f7-7a89-4456-a138-cccb888d8259" w:val=" "/>
    <w:docVar w:name="vault_nd_e576cd7f-49cc-4ea3-801c-cd57a82ae218" w:val=" "/>
    <w:docVar w:name="VAULT_ND_e77121e3-3325-4dc8-bf33-ec70df0a368a" w:val=" "/>
    <w:docVar w:name="VAULT_ND_e963fa1c-90b7-40aa-b22a-a7222d1b8359" w:val=" "/>
    <w:docVar w:name="vault_nd_e9a8b698-bf64-4ee0-8af5-130ea1f86e1a" w:val=" "/>
    <w:docVar w:name="vault_nd_e9e6dc18-f43b-4587-94fc-107002051f5c" w:val=" "/>
    <w:docVar w:name="vault_nd_ea355d7f-895a-44be-9aa8-f894754af1c5" w:val=" "/>
    <w:docVar w:name="vault_nd_ea37e89f-f3c2-4d2e-85d0-f8e68c36abc4" w:val=" "/>
    <w:docVar w:name="VAULT_ND_ed5293a1-3be8-4bfd-860f-78118d75dfc1" w:val=" "/>
    <w:docVar w:name="vault_nd_edee54ce-4cb8-427a-ae96-e047486cf424" w:val=" "/>
    <w:docVar w:name="VAULT_ND_ee3202c9-3477-44e0-88ed-fada321e2855" w:val=" "/>
    <w:docVar w:name="VAULT_ND_ee5a9565-ae35-456c-bc92-3e5aae77f85b" w:val=" "/>
    <w:docVar w:name="vault_nd_eec94163-930e-46e9-861b-e153073ca413" w:val=" "/>
    <w:docVar w:name="VAULT_ND_ef81854b-eac7-407f-8226-4330a184c6ce" w:val=" "/>
    <w:docVar w:name="VAULT_ND_f173d885-4656-4bd5-b05f-cb99cbcd3477" w:val=" "/>
    <w:docVar w:name="VAULT_ND_f19cb88b-d732-4f5f-b42b-7350b99b868c" w:val=" "/>
    <w:docVar w:name="VAULT_ND_f1c22bbf-67fb-4565-a752-a12a017b4fb5" w:val=" "/>
    <w:docVar w:name="VAULT_ND_f2b9c496-8033-49d3-a8cb-6beec686580f" w:val=" "/>
    <w:docVar w:name="VAULT_ND_f41e43e0-0d23-49f6-af03-eab24285577d" w:val=" "/>
    <w:docVar w:name="VAULT_ND_f42534ae-8ec4-4d1f-9c40-2405893ff0a1" w:val=" "/>
    <w:docVar w:name="VAULT_ND_f5100c08-e2dd-4f7e-a390-4d3331996698" w:val=" "/>
    <w:docVar w:name="VAULT_ND_f5243eb1-61b8-49a1-bebc-6085983af275" w:val=" "/>
    <w:docVar w:name="VAULT_ND_f5898fa1-8500-40cd-8f67-53a42ae3fe0b" w:val=" "/>
    <w:docVar w:name="VAULT_ND_f6328213-bd93-4152-bf42-9699d06167b7" w:val=" "/>
    <w:docVar w:name="VAULT_ND_f65e3c2f-6f8c-48a4-be3a-7e6ab2128d04" w:val=" "/>
    <w:docVar w:name="VAULT_ND_f6db21ca-c433-4454-807c-ffee8a46ab96" w:val=" "/>
    <w:docVar w:name="vault_nd_f72081b0-2f8b-4f7c-b7a5-c73f65f050bd" w:val=" "/>
    <w:docVar w:name="VAULT_ND_f7efa78c-8619-45ab-ae5b-c16ff635c042" w:val=" "/>
    <w:docVar w:name="VAULT_ND_f8a056fa-53aa-492d-8080-8424d868d37e" w:val=" "/>
    <w:docVar w:name="VAULT_ND_fa08ae75-ad9a-4fe8-b6e9-e0261919fdf9" w:val=" "/>
    <w:docVar w:name="vault_nd_faf92d7f-6b3c-4efb-8d85-3ec87c580de5" w:val=" "/>
    <w:docVar w:name="vault_nd_fc56ec8b-79e1-4a83-81a7-968ce8a837b3" w:val=" "/>
    <w:docVar w:name="vault_nd_fc80c336-ac49-4c42-954a-ef8c9750c266" w:val=" "/>
    <w:docVar w:name="VAULT_ND_fcd30a6f-2f47-4a45-a1a2-e89f5f4fe27d" w:val=" "/>
    <w:docVar w:name="vault_nd_feed98ae-9eb3-4cac-bd12-1b5a0607151d" w:val=" "/>
    <w:docVar w:name="Version" w:val="0"/>
  </w:docVar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12FE2C5-EC70-4388-839E-63A9339240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Times New Roman"/>
        <w:lang w:val="en-GB" w:eastAsia="en-GB" w:bidi="ar-SA"/>
      </w:rPr>
    </w:rPrDefault>
    <w:pPrDefault>
      <w:pPr>
        <w:suppressAutoHyphens/>
      </w:pPr>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tabs>
        <w:tab w:val="left" w:pos="567"/>
      </w:tabs>
      <w:spacing w:line="260" w:lineRule="exact"/>
    </w:pPr>
    <w:rPr>
      <w:rFonts w:eastAsia="Times New Roman"/>
      <w:sz w:val="22"/>
      <w:lang w:eastAsia="en-US"/>
    </w:rPr>
  </w:style>
  <w:style w:type="paragraph" w:styleId="Heading1">
    <w:name w:val="heading 1"/>
    <w:basedOn w:val="Normal"/>
    <w:next w:val="Normal"/>
    <w:link w:val="Heading1Char"/>
    <w:qFormat/>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semiHidden/>
    <w:unhideWhenUsed/>
    <w:qFormat/>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qFormat/>
    <w:pPr>
      <w:keepNext/>
      <w:keepLines/>
      <w:numPr>
        <w:ilvl w:val="2"/>
        <w:numId w:val="1"/>
      </w:numPr>
      <w:tabs>
        <w:tab w:val="clear" w:pos="567"/>
      </w:tabs>
      <w:spacing w:before="120" w:after="120" w:line="360" w:lineRule="auto"/>
      <w:ind w:left="1021" w:hanging="1021"/>
      <w:outlineLvl w:val="2"/>
    </w:pPr>
    <w:rPr>
      <w:rFonts w:ascii="Arial" w:eastAsiaTheme="majorEastAsia" w:hAnsi="Arial" w:cs="Arial"/>
      <w:b/>
      <w:szCs w:val="22"/>
      <w:lang w:val="de-CH"/>
    </w:rPr>
  </w:style>
  <w:style w:type="paragraph" w:styleId="Heading4">
    <w:name w:val="heading 4"/>
    <w:basedOn w:val="Normal"/>
    <w:next w:val="Normal"/>
    <w:link w:val="Heading4Char"/>
    <w:uiPriority w:val="9"/>
    <w:semiHidden/>
    <w:qFormat/>
    <w:pPr>
      <w:keepNext/>
      <w:keepLines/>
      <w:numPr>
        <w:ilvl w:val="3"/>
        <w:numId w:val="1"/>
      </w:numPr>
      <w:tabs>
        <w:tab w:val="clear" w:pos="567"/>
      </w:tabs>
      <w:spacing w:before="120" w:after="120" w:line="360" w:lineRule="auto"/>
      <w:ind w:left="1021" w:hanging="1021"/>
      <w:outlineLvl w:val="3"/>
    </w:pPr>
    <w:rPr>
      <w:rFonts w:ascii="Arial" w:eastAsiaTheme="majorEastAsia" w:hAnsi="Arial" w:cs="Arial"/>
      <w:b/>
      <w:iCs/>
      <w:szCs w:val="22"/>
      <w:lang w:val="de-CH"/>
    </w:rPr>
  </w:style>
  <w:style w:type="paragraph" w:styleId="Heading5">
    <w:name w:val="heading 5"/>
    <w:basedOn w:val="Normal"/>
    <w:next w:val="Normal"/>
    <w:link w:val="Heading5Char"/>
    <w:uiPriority w:val="9"/>
    <w:semiHidden/>
    <w:qFormat/>
    <w:pPr>
      <w:keepNext/>
      <w:keepLines/>
      <w:numPr>
        <w:ilvl w:val="4"/>
        <w:numId w:val="1"/>
      </w:numPr>
      <w:tabs>
        <w:tab w:val="clear" w:pos="567"/>
      </w:tabs>
      <w:spacing w:before="120" w:after="120" w:line="360" w:lineRule="auto"/>
      <w:ind w:left="1021" w:hanging="1021"/>
      <w:outlineLvl w:val="4"/>
    </w:pPr>
    <w:rPr>
      <w:rFonts w:ascii="Arial" w:eastAsiaTheme="majorEastAsia" w:hAnsi="Arial" w:cs="Arial"/>
      <w:b/>
      <w:szCs w:val="22"/>
      <w:lang w:val="de-CH"/>
    </w:rPr>
  </w:style>
  <w:style w:type="paragraph" w:styleId="Heading6">
    <w:name w:val="heading 6"/>
    <w:basedOn w:val="Normal"/>
    <w:next w:val="Normal"/>
    <w:link w:val="Heading6Char"/>
    <w:uiPriority w:val="9"/>
    <w:semiHidden/>
    <w:qFormat/>
    <w:pPr>
      <w:keepNext/>
      <w:keepLines/>
      <w:numPr>
        <w:ilvl w:val="5"/>
        <w:numId w:val="1"/>
      </w:numPr>
      <w:tabs>
        <w:tab w:val="clear" w:pos="567"/>
      </w:tabs>
      <w:spacing w:before="40" w:line="360" w:lineRule="auto"/>
      <w:outlineLvl w:val="5"/>
    </w:pPr>
    <w:rPr>
      <w:rFonts w:asciiTheme="majorHAnsi" w:eastAsiaTheme="majorEastAsia" w:hAnsiTheme="majorHAnsi" w:cstheme="majorBidi"/>
      <w:color w:val="1F3763" w:themeColor="accent1" w:themeShade="7F"/>
      <w:szCs w:val="22"/>
      <w:lang w:val="de-CH"/>
    </w:rPr>
  </w:style>
  <w:style w:type="paragraph" w:styleId="Heading7">
    <w:name w:val="heading 7"/>
    <w:basedOn w:val="Normal"/>
    <w:next w:val="Normal"/>
    <w:link w:val="Heading7Char"/>
    <w:uiPriority w:val="9"/>
    <w:semiHidden/>
    <w:qFormat/>
    <w:pPr>
      <w:keepNext/>
      <w:keepLines/>
      <w:numPr>
        <w:ilvl w:val="6"/>
        <w:numId w:val="1"/>
      </w:numPr>
      <w:tabs>
        <w:tab w:val="clear" w:pos="567"/>
      </w:tabs>
      <w:spacing w:before="40" w:line="360" w:lineRule="auto"/>
      <w:outlineLvl w:val="6"/>
    </w:pPr>
    <w:rPr>
      <w:rFonts w:asciiTheme="majorHAnsi" w:eastAsiaTheme="majorEastAsia" w:hAnsiTheme="majorHAnsi" w:cstheme="majorBidi"/>
      <w:i/>
      <w:iCs/>
      <w:color w:val="1F3763" w:themeColor="accent1" w:themeShade="7F"/>
      <w:szCs w:val="22"/>
      <w:lang w:val="de-CH"/>
    </w:rPr>
  </w:style>
  <w:style w:type="paragraph" w:styleId="Heading8">
    <w:name w:val="heading 8"/>
    <w:basedOn w:val="Normal"/>
    <w:next w:val="Normal"/>
    <w:link w:val="Heading8Char"/>
    <w:uiPriority w:val="9"/>
    <w:semiHidden/>
    <w:qFormat/>
    <w:pPr>
      <w:keepNext/>
      <w:keepLines/>
      <w:numPr>
        <w:ilvl w:val="7"/>
        <w:numId w:val="1"/>
      </w:numPr>
      <w:tabs>
        <w:tab w:val="clear" w:pos="567"/>
      </w:tabs>
      <w:spacing w:before="40" w:line="360" w:lineRule="auto"/>
      <w:outlineLvl w:val="7"/>
    </w:pPr>
    <w:rPr>
      <w:rFonts w:asciiTheme="majorHAnsi" w:eastAsiaTheme="majorEastAsia" w:hAnsiTheme="majorHAnsi" w:cstheme="majorBidi"/>
      <w:color w:val="272727" w:themeColor="text1" w:themeTint="D8"/>
      <w:sz w:val="21"/>
      <w:szCs w:val="21"/>
      <w:lang w:val="de-CH"/>
    </w:rPr>
  </w:style>
  <w:style w:type="paragraph" w:styleId="Heading9">
    <w:name w:val="heading 9"/>
    <w:basedOn w:val="Normal"/>
    <w:next w:val="Normal"/>
    <w:link w:val="Heading9Char"/>
    <w:uiPriority w:val="9"/>
    <w:semiHidden/>
    <w:qFormat/>
    <w:pPr>
      <w:keepNext/>
      <w:keepLines/>
      <w:numPr>
        <w:ilvl w:val="8"/>
        <w:numId w:val="1"/>
      </w:numPr>
      <w:tabs>
        <w:tab w:val="clear" w:pos="567"/>
      </w:tabs>
      <w:spacing w:before="40" w:line="360" w:lineRule="auto"/>
      <w:outlineLvl w:val="8"/>
    </w:pPr>
    <w:rPr>
      <w:rFonts w:asciiTheme="majorHAnsi" w:eastAsiaTheme="majorEastAsia" w:hAnsiTheme="majorHAnsi" w:cstheme="majorBidi"/>
      <w:i/>
      <w:iCs/>
      <w:color w:val="272727" w:themeColor="text1" w:themeTint="D8"/>
      <w:sz w:val="21"/>
      <w:szCs w:val="21"/>
      <w:lang w:val="de-CH"/>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style>
  <w:style w:type="character" w:styleId="Hyperlink">
    <w:name w:val="Hyperlink"/>
    <w:rPr>
      <w:color w:val="0000FF"/>
      <w:u w:val="single"/>
    </w:rPr>
  </w:style>
  <w:style w:type="character" w:customStyle="1" w:styleId="BodytextAgencyChar">
    <w:name w:val="Body text (Agency) Char"/>
    <w:link w:val="BodytextAgency"/>
    <w:qFormat/>
    <w:rPr>
      <w:rFonts w:ascii="Verdana" w:eastAsia="Verdana" w:hAnsi="Verdana" w:cs="Verdana"/>
      <w:sz w:val="18"/>
      <w:szCs w:val="18"/>
      <w:lang w:val="en-GB" w:eastAsia="en-GB" w:bidi="ar-SA"/>
    </w:rPr>
  </w:style>
  <w:style w:type="character" w:customStyle="1" w:styleId="DraftingNotesAgencyChar">
    <w:name w:val="Drafting Notes (Agency) Char"/>
    <w:link w:val="DraftingNotesAgency"/>
    <w:qFormat/>
    <w:rPr>
      <w:rFonts w:ascii="Courier New" w:eastAsia="Verdana" w:hAnsi="Courier New"/>
      <w:i/>
      <w:color w:val="339966"/>
      <w:sz w:val="22"/>
      <w:szCs w:val="18"/>
      <w:lang w:val="en-GB" w:eastAsia="en-GB" w:bidi="ar-SA"/>
    </w:rPr>
  </w:style>
  <w:style w:type="character" w:customStyle="1" w:styleId="NormalAgencyChar">
    <w:name w:val="Normal (Agency) Char"/>
    <w:link w:val="NormalAgency"/>
    <w:qFormat/>
    <w:rPr>
      <w:rFonts w:ascii="Verdana" w:eastAsia="Verdana" w:hAnsi="Verdana" w:cs="Verdana"/>
      <w:sz w:val="18"/>
      <w:szCs w:val="18"/>
      <w:lang w:val="en-GB" w:eastAsia="en-GB" w:bidi="ar-SA"/>
    </w:rPr>
  </w:style>
  <w:style w:type="character" w:styleId="CommentReference">
    <w:name w:val="annotation reference"/>
    <w:qFormat/>
    <w:rPr>
      <w:sz w:val="16"/>
      <w:szCs w:val="16"/>
    </w:rPr>
  </w:style>
  <w:style w:type="character" w:customStyle="1" w:styleId="CommentTextChar">
    <w:name w:val="Comment Text Char"/>
    <w:link w:val="CommentText"/>
    <w:qFormat/>
    <w:rPr>
      <w:rFonts w:eastAsia="Times New Roman"/>
      <w:lang w:eastAsia="en-US"/>
    </w:rPr>
  </w:style>
  <w:style w:type="character" w:customStyle="1" w:styleId="CommentSubjectChar">
    <w:name w:val="Comment Subject Char"/>
    <w:link w:val="CommentSubject"/>
    <w:qFormat/>
    <w:rPr>
      <w:rFonts w:eastAsia="Times New Roman"/>
      <w:b/>
      <w:bCs/>
      <w:lang w:eastAsia="en-US"/>
    </w:rPr>
  </w:style>
  <w:style w:type="character" w:customStyle="1" w:styleId="UnresolvedMention1">
    <w:name w:val="Unresolved Mention1"/>
    <w:basedOn w:val="DefaultParagraphFont"/>
    <w:qFormat/>
    <w:rPr>
      <w:color w:val="605E5C"/>
      <w:shd w:val="clear" w:color="auto" w:fill="E1DFDD"/>
    </w:rPr>
  </w:style>
  <w:style w:type="character" w:styleId="FollowedHyperlink">
    <w:name w:val="FollowedHyperlink"/>
    <w:basedOn w:val="DefaultParagraphFont"/>
    <w:rPr>
      <w:color w:val="954F72" w:themeColor="followedHyperlink"/>
      <w:u w:val="single"/>
    </w:rPr>
  </w:style>
  <w:style w:type="character" w:customStyle="1" w:styleId="C-TableTextChar">
    <w:name w:val="C-Table Text Char"/>
    <w:link w:val="C-TableText"/>
    <w:qFormat/>
    <w:rPr>
      <w:rFonts w:ascii="Arial" w:eastAsia="Times New Roman" w:hAnsi="Arial"/>
      <w:lang w:val="en-US" w:eastAsia="en-US"/>
    </w:rPr>
  </w:style>
  <w:style w:type="character" w:customStyle="1" w:styleId="C-InstructionTextChar">
    <w:name w:val="C-Instruction Text Char"/>
    <w:link w:val="C-InstructionText"/>
    <w:qFormat/>
    <w:locked/>
    <w:rPr>
      <w:rFonts w:eastAsia="Times New Roman"/>
      <w:vanish/>
      <w:color w:val="FF0000"/>
      <w:sz w:val="24"/>
      <w:szCs w:val="24"/>
      <w:lang w:val="en-US" w:eastAsia="en-US"/>
    </w:rPr>
  </w:style>
  <w:style w:type="character" w:customStyle="1" w:styleId="cf01">
    <w:name w:val="cf01"/>
    <w:basedOn w:val="DefaultParagraphFont"/>
    <w:qFormat/>
    <w:rPr>
      <w:rFonts w:ascii="Segoe UI" w:hAnsi="Segoe UI" w:cs="Segoe UI"/>
      <w:sz w:val="18"/>
      <w:szCs w:val="18"/>
    </w:rPr>
  </w:style>
  <w:style w:type="character" w:customStyle="1" w:styleId="Mention1">
    <w:name w:val="Mention1"/>
    <w:basedOn w:val="DefaultParagraphFont"/>
    <w:qFormat/>
    <w:rPr>
      <w:color w:val="2B579A"/>
      <w:shd w:val="clear" w:color="auto" w:fill="E1DFDD"/>
    </w:rPr>
  </w:style>
  <w:style w:type="character" w:customStyle="1" w:styleId="cf11">
    <w:name w:val="cf11"/>
    <w:basedOn w:val="DefaultParagraphFont"/>
    <w:qFormat/>
    <w:rPr>
      <w:rFonts w:ascii="Segoe UI" w:hAnsi="Segoe UI" w:cs="Segoe UI"/>
      <w:sz w:val="18"/>
      <w:szCs w:val="18"/>
    </w:rPr>
  </w:style>
  <w:style w:type="character" w:customStyle="1" w:styleId="normaltextrun">
    <w:name w:val="normaltextrun"/>
    <w:basedOn w:val="DefaultParagraphFont"/>
    <w:qFormat/>
  </w:style>
  <w:style w:type="character" w:customStyle="1" w:styleId="UnresolvedMention2">
    <w:name w:val="Unresolved Mention2"/>
    <w:basedOn w:val="DefaultParagraphFont"/>
    <w:qFormat/>
    <w:rPr>
      <w:color w:val="605E5C"/>
      <w:shd w:val="clear" w:color="auto" w:fill="E1DFDD"/>
    </w:rPr>
  </w:style>
  <w:style w:type="character" w:customStyle="1" w:styleId="UnresolvedMention3">
    <w:name w:val="Unresolved Mention3"/>
    <w:basedOn w:val="DefaultParagraphFont"/>
    <w:qFormat/>
    <w:rPr>
      <w:color w:val="605E5C"/>
      <w:shd w:val="clear" w:color="auto" w:fill="E1DFDD"/>
    </w:rPr>
  </w:style>
  <w:style w:type="character" w:customStyle="1" w:styleId="UnresolvedMention4">
    <w:name w:val="Unresolved Mention4"/>
    <w:basedOn w:val="DefaultParagraphFont"/>
    <w:qFormat/>
    <w:rPr>
      <w:color w:val="605E5C"/>
      <w:shd w:val="clear" w:color="auto" w:fill="E1DFDD"/>
    </w:rPr>
  </w:style>
  <w:style w:type="character" w:customStyle="1" w:styleId="UnresolvedMention5">
    <w:name w:val="Unresolved Mention5"/>
    <w:basedOn w:val="DefaultParagraphFont"/>
    <w:qFormat/>
    <w:rPr>
      <w:color w:val="605E5C"/>
      <w:shd w:val="clear" w:color="auto" w:fill="E1DFDD"/>
    </w:rPr>
  </w:style>
  <w:style w:type="character" w:customStyle="1" w:styleId="TitleChar">
    <w:name w:val="Title Char"/>
    <w:basedOn w:val="DefaultParagraphFont"/>
    <w:link w:val="Title"/>
    <w:qFormat/>
    <w:rPr>
      <w:rFonts w:asciiTheme="majorHAnsi" w:eastAsiaTheme="majorEastAsia" w:hAnsiTheme="majorHAnsi" w:cstheme="majorBidi"/>
      <w:spacing w:val="-10"/>
      <w:kern w:val="2"/>
      <w:sz w:val="56"/>
      <w:szCs w:val="56"/>
      <w:lang w:eastAsia="en-US"/>
    </w:rPr>
  </w:style>
  <w:style w:type="character" w:customStyle="1" w:styleId="Mention2">
    <w:name w:val="Mention2"/>
    <w:basedOn w:val="DefaultParagraphFont"/>
    <w:qFormat/>
    <w:rPr>
      <w:color w:val="2B579A"/>
      <w:shd w:val="clear" w:color="auto" w:fill="E1DFDD"/>
    </w:rPr>
  </w:style>
  <w:style w:type="character" w:customStyle="1" w:styleId="C-BodyTextChar">
    <w:name w:val="C-Body Text Char"/>
    <w:basedOn w:val="DefaultParagraphFont"/>
    <w:link w:val="C-BodyText"/>
    <w:qFormat/>
    <w:rPr>
      <w:rFonts w:eastAsia="Times New Roman"/>
      <w:sz w:val="24"/>
      <w:lang w:val="en-US" w:eastAsia="en-US"/>
    </w:rPr>
  </w:style>
  <w:style w:type="character" w:customStyle="1" w:styleId="UnresolvedMention6">
    <w:name w:val="Unresolved Mention6"/>
    <w:basedOn w:val="DefaultParagraphFont"/>
    <w:qFormat/>
    <w:rPr>
      <w:color w:val="605E5C"/>
      <w:shd w:val="clear" w:color="auto" w:fill="E1DFDD"/>
    </w:rPr>
  </w:style>
  <w:style w:type="character" w:customStyle="1" w:styleId="Heading3Char">
    <w:name w:val="Heading 3 Char"/>
    <w:basedOn w:val="DefaultParagraphFont"/>
    <w:link w:val="Heading3"/>
    <w:uiPriority w:val="9"/>
    <w:semiHidden/>
    <w:qFormat/>
    <w:rPr>
      <w:rFonts w:ascii="Arial" w:eastAsiaTheme="majorEastAsia" w:hAnsi="Arial" w:cs="Arial"/>
      <w:b/>
      <w:sz w:val="22"/>
      <w:szCs w:val="22"/>
      <w:lang w:val="de-CH" w:eastAsia="en-US"/>
    </w:rPr>
  </w:style>
  <w:style w:type="character" w:customStyle="1" w:styleId="Heading4Char">
    <w:name w:val="Heading 4 Char"/>
    <w:basedOn w:val="DefaultParagraphFont"/>
    <w:link w:val="Heading4"/>
    <w:uiPriority w:val="9"/>
    <w:semiHidden/>
    <w:qFormat/>
    <w:rPr>
      <w:rFonts w:ascii="Arial" w:eastAsiaTheme="majorEastAsia" w:hAnsi="Arial" w:cs="Arial"/>
      <w:b/>
      <w:iCs/>
      <w:sz w:val="22"/>
      <w:szCs w:val="22"/>
      <w:lang w:val="de-CH" w:eastAsia="en-US"/>
    </w:rPr>
  </w:style>
  <w:style w:type="character" w:customStyle="1" w:styleId="Heading5Char">
    <w:name w:val="Heading 5 Char"/>
    <w:basedOn w:val="DefaultParagraphFont"/>
    <w:link w:val="Heading5"/>
    <w:uiPriority w:val="9"/>
    <w:semiHidden/>
    <w:qFormat/>
    <w:rPr>
      <w:rFonts w:ascii="Arial" w:eastAsiaTheme="majorEastAsia" w:hAnsi="Arial" w:cs="Arial"/>
      <w:b/>
      <w:sz w:val="22"/>
      <w:szCs w:val="22"/>
      <w:lang w:val="de-CH" w:eastAsia="en-US"/>
    </w:rPr>
  </w:style>
  <w:style w:type="character" w:customStyle="1" w:styleId="Heading6Char">
    <w:name w:val="Heading 6 Char"/>
    <w:basedOn w:val="DefaultParagraphFont"/>
    <w:link w:val="Heading6"/>
    <w:uiPriority w:val="9"/>
    <w:semiHidden/>
    <w:qFormat/>
    <w:rPr>
      <w:rFonts w:asciiTheme="majorHAnsi" w:eastAsiaTheme="majorEastAsia" w:hAnsiTheme="majorHAnsi" w:cstheme="majorBidi"/>
      <w:color w:val="1F3763" w:themeColor="accent1" w:themeShade="7F"/>
      <w:sz w:val="22"/>
      <w:szCs w:val="22"/>
      <w:lang w:val="de-CH" w:eastAsia="en-US"/>
    </w:rPr>
  </w:style>
  <w:style w:type="character" w:customStyle="1" w:styleId="Heading7Char">
    <w:name w:val="Heading 7 Char"/>
    <w:basedOn w:val="DefaultParagraphFont"/>
    <w:link w:val="Heading7"/>
    <w:uiPriority w:val="9"/>
    <w:semiHidden/>
    <w:qFormat/>
    <w:rPr>
      <w:rFonts w:asciiTheme="majorHAnsi" w:eastAsiaTheme="majorEastAsia" w:hAnsiTheme="majorHAnsi" w:cstheme="majorBidi"/>
      <w:i/>
      <w:iCs/>
      <w:color w:val="1F3763" w:themeColor="accent1" w:themeShade="7F"/>
      <w:sz w:val="22"/>
      <w:szCs w:val="22"/>
      <w:lang w:val="de-CH" w:eastAsia="en-US"/>
    </w:rPr>
  </w:style>
  <w:style w:type="character" w:customStyle="1" w:styleId="Heading8Char">
    <w:name w:val="Heading 8 Char"/>
    <w:basedOn w:val="DefaultParagraphFont"/>
    <w:link w:val="Heading8"/>
    <w:uiPriority w:val="9"/>
    <w:semiHidden/>
    <w:qFormat/>
    <w:rPr>
      <w:rFonts w:asciiTheme="majorHAnsi" w:eastAsiaTheme="majorEastAsia" w:hAnsiTheme="majorHAnsi" w:cstheme="majorBidi"/>
      <w:color w:val="272727" w:themeColor="text1" w:themeTint="D8"/>
      <w:sz w:val="21"/>
      <w:szCs w:val="21"/>
      <w:lang w:val="de-CH" w:eastAsia="en-US"/>
    </w:rPr>
  </w:style>
  <w:style w:type="character" w:customStyle="1" w:styleId="Heading9Char">
    <w:name w:val="Heading 9 Char"/>
    <w:basedOn w:val="DefaultParagraphFont"/>
    <w:link w:val="Heading9"/>
    <w:uiPriority w:val="9"/>
    <w:semiHidden/>
    <w:qFormat/>
    <w:rPr>
      <w:rFonts w:asciiTheme="majorHAnsi" w:eastAsiaTheme="majorEastAsia" w:hAnsiTheme="majorHAnsi" w:cstheme="majorBidi"/>
      <w:i/>
      <w:iCs/>
      <w:color w:val="272727" w:themeColor="text1" w:themeTint="D8"/>
      <w:sz w:val="21"/>
      <w:szCs w:val="21"/>
      <w:lang w:val="de-CH" w:eastAsia="en-US"/>
    </w:rPr>
  </w:style>
  <w:style w:type="character" w:styleId="LineNumber">
    <w:name w:val="line number"/>
    <w:basedOn w:val="DefaultParagraphFont"/>
  </w:style>
  <w:style w:type="character" w:customStyle="1" w:styleId="Neapdorotaspaminjimas1">
    <w:name w:val="Neapdorotas paminėjimas1"/>
    <w:basedOn w:val="DefaultParagraphFont"/>
    <w:uiPriority w:val="99"/>
    <w:semiHidden/>
    <w:unhideWhenUsed/>
    <w:qFormat/>
    <w:rPr>
      <w:color w:val="605E5C"/>
      <w:shd w:val="clear" w:color="auto" w:fill="E1DFDD"/>
    </w:rPr>
  </w:style>
  <w:style w:type="character" w:customStyle="1" w:styleId="BodyText2Char">
    <w:name w:val="Body Text 2 Char"/>
    <w:basedOn w:val="DefaultParagraphFont"/>
    <w:link w:val="BodyText2"/>
    <w:semiHidden/>
    <w:qFormat/>
    <w:rPr>
      <w:rFonts w:eastAsia="Times New Roman"/>
      <w:sz w:val="22"/>
      <w:lang w:eastAsia="en-US"/>
    </w:rPr>
  </w:style>
  <w:style w:type="character" w:customStyle="1" w:styleId="BodyText3Char">
    <w:name w:val="Body Text 3 Char"/>
    <w:basedOn w:val="DefaultParagraphFont"/>
    <w:link w:val="BodyText3"/>
    <w:semiHidden/>
    <w:qFormat/>
    <w:rPr>
      <w:rFonts w:eastAsia="Times New Roman"/>
      <w:sz w:val="16"/>
      <w:szCs w:val="16"/>
      <w:lang w:eastAsia="en-US"/>
    </w:rPr>
  </w:style>
  <w:style w:type="character" w:customStyle="1" w:styleId="BodyTextChar">
    <w:name w:val="Body Text Char"/>
    <w:basedOn w:val="DefaultParagraphFont"/>
    <w:link w:val="BodyText"/>
    <w:qFormat/>
    <w:rPr>
      <w:rFonts w:eastAsia="Times New Roman"/>
      <w:i/>
      <w:color w:val="008000"/>
      <w:sz w:val="22"/>
      <w:lang w:eastAsia="en-US"/>
    </w:rPr>
  </w:style>
  <w:style w:type="character" w:customStyle="1" w:styleId="BodyTextFirstIndentChar">
    <w:name w:val="Body Text First Indent Char"/>
    <w:basedOn w:val="BodyTextChar"/>
    <w:link w:val="BodyTextFirstIndent"/>
    <w:semiHidden/>
    <w:qFormat/>
    <w:rPr>
      <w:rFonts w:eastAsia="Times New Roman"/>
      <w:i w:val="0"/>
      <w:color w:val="008000"/>
      <w:sz w:val="22"/>
      <w:lang w:eastAsia="en-US"/>
    </w:rPr>
  </w:style>
  <w:style w:type="character" w:customStyle="1" w:styleId="BodyTextIndentChar">
    <w:name w:val="Body Text Indent Char"/>
    <w:basedOn w:val="DefaultParagraphFont"/>
    <w:link w:val="BodyTextIndent"/>
    <w:semiHidden/>
    <w:qFormat/>
    <w:rPr>
      <w:rFonts w:eastAsia="Times New Roman"/>
      <w:sz w:val="22"/>
      <w:lang w:eastAsia="en-US"/>
    </w:rPr>
  </w:style>
  <w:style w:type="character" w:customStyle="1" w:styleId="BodyTextFirstIndent2Char">
    <w:name w:val="Body Text First Indent 2 Char"/>
    <w:basedOn w:val="BodyTextIndentChar"/>
    <w:link w:val="BodyTextFirstIndent2"/>
    <w:semiHidden/>
    <w:qFormat/>
    <w:rPr>
      <w:rFonts w:eastAsia="Times New Roman"/>
      <w:sz w:val="22"/>
      <w:lang w:eastAsia="en-US"/>
    </w:rPr>
  </w:style>
  <w:style w:type="character" w:customStyle="1" w:styleId="BodyTextIndent2Char">
    <w:name w:val="Body Text Indent 2 Char"/>
    <w:basedOn w:val="DefaultParagraphFont"/>
    <w:link w:val="BodyTextIndent2"/>
    <w:semiHidden/>
    <w:qFormat/>
    <w:rPr>
      <w:rFonts w:eastAsia="Times New Roman"/>
      <w:sz w:val="22"/>
      <w:lang w:eastAsia="en-US"/>
    </w:rPr>
  </w:style>
  <w:style w:type="character" w:customStyle="1" w:styleId="BodyTextIndent3Char">
    <w:name w:val="Body Text Indent 3 Char"/>
    <w:basedOn w:val="DefaultParagraphFont"/>
    <w:link w:val="BodyTextIndent3"/>
    <w:semiHidden/>
    <w:qFormat/>
    <w:rPr>
      <w:rFonts w:eastAsia="Times New Roman"/>
      <w:sz w:val="16"/>
      <w:szCs w:val="16"/>
      <w:lang w:eastAsia="en-US"/>
    </w:rPr>
  </w:style>
  <w:style w:type="character" w:customStyle="1" w:styleId="ClosingChar">
    <w:name w:val="Closing Char"/>
    <w:basedOn w:val="DefaultParagraphFont"/>
    <w:link w:val="Closing"/>
    <w:semiHidden/>
    <w:qFormat/>
    <w:rPr>
      <w:rFonts w:eastAsia="Times New Roman"/>
      <w:sz w:val="22"/>
      <w:lang w:eastAsia="en-US"/>
    </w:rPr>
  </w:style>
  <w:style w:type="character" w:customStyle="1" w:styleId="DateChar">
    <w:name w:val="Date Char"/>
    <w:basedOn w:val="DefaultParagraphFont"/>
    <w:link w:val="Date"/>
    <w:semiHidden/>
    <w:qFormat/>
    <w:rPr>
      <w:rFonts w:eastAsia="Times New Roman"/>
      <w:sz w:val="22"/>
      <w:lang w:eastAsia="en-US"/>
    </w:rPr>
  </w:style>
  <w:style w:type="character" w:customStyle="1" w:styleId="DocumentMapChar">
    <w:name w:val="Document Map Char"/>
    <w:basedOn w:val="DefaultParagraphFont"/>
    <w:link w:val="DocumentMap"/>
    <w:semiHidden/>
    <w:qFormat/>
    <w:rPr>
      <w:rFonts w:ascii="Segoe UI" w:eastAsia="Times New Roman" w:hAnsi="Segoe UI" w:cs="Segoe UI"/>
      <w:sz w:val="16"/>
      <w:szCs w:val="16"/>
      <w:lang w:eastAsia="en-US"/>
    </w:rPr>
  </w:style>
  <w:style w:type="character" w:customStyle="1" w:styleId="E-mailSignatureChar">
    <w:name w:val="E-mail Signature Char"/>
    <w:basedOn w:val="DefaultParagraphFont"/>
    <w:link w:val="E-mailSignature"/>
    <w:semiHidden/>
    <w:qFormat/>
    <w:rPr>
      <w:rFonts w:eastAsia="Times New Roman"/>
      <w:sz w:val="22"/>
      <w:lang w:eastAsia="en-US"/>
    </w:rPr>
  </w:style>
  <w:style w:type="character" w:customStyle="1" w:styleId="EndnoteTextChar">
    <w:name w:val="Endnote Text Char"/>
    <w:basedOn w:val="DefaultParagraphFont"/>
    <w:link w:val="EndnoteText"/>
    <w:semiHidden/>
    <w:qFormat/>
    <w:rPr>
      <w:rFonts w:eastAsia="Times New Roman"/>
      <w:lang w:eastAsia="en-US"/>
    </w:rPr>
  </w:style>
  <w:style w:type="character" w:customStyle="1" w:styleId="FootnoteTextChar">
    <w:name w:val="Footnote Text Char"/>
    <w:basedOn w:val="DefaultParagraphFont"/>
    <w:link w:val="FootnoteText"/>
    <w:semiHidden/>
    <w:qFormat/>
    <w:rPr>
      <w:rFonts w:eastAsia="Times New Roman"/>
      <w:lang w:eastAsia="en-US"/>
    </w:rPr>
  </w:style>
  <w:style w:type="character" w:customStyle="1" w:styleId="Heading1Char">
    <w:name w:val="Heading 1 Char"/>
    <w:basedOn w:val="DefaultParagraphFont"/>
    <w:link w:val="Heading1"/>
    <w:qFormat/>
    <w:rPr>
      <w:rFonts w:asciiTheme="majorHAnsi" w:eastAsiaTheme="majorEastAsia" w:hAnsiTheme="majorHAnsi" w:cstheme="majorBidi"/>
      <w:color w:val="2F5496" w:themeColor="accent1" w:themeShade="BF"/>
      <w:sz w:val="32"/>
      <w:szCs w:val="32"/>
      <w:lang w:eastAsia="en-US"/>
    </w:rPr>
  </w:style>
  <w:style w:type="character" w:customStyle="1" w:styleId="Heading2Char">
    <w:name w:val="Heading 2 Char"/>
    <w:basedOn w:val="DefaultParagraphFont"/>
    <w:link w:val="Heading2"/>
    <w:semiHidden/>
    <w:qFormat/>
    <w:rPr>
      <w:rFonts w:asciiTheme="majorHAnsi" w:eastAsiaTheme="majorEastAsia" w:hAnsiTheme="majorHAnsi" w:cstheme="majorBidi"/>
      <w:color w:val="2F5496" w:themeColor="accent1" w:themeShade="BF"/>
      <w:sz w:val="26"/>
      <w:szCs w:val="26"/>
      <w:lang w:eastAsia="en-US"/>
    </w:rPr>
  </w:style>
  <w:style w:type="character" w:customStyle="1" w:styleId="HTMLAddressChar">
    <w:name w:val="HTML Address Char"/>
    <w:basedOn w:val="DefaultParagraphFont"/>
    <w:link w:val="HTMLAddress"/>
    <w:semiHidden/>
    <w:qFormat/>
    <w:rPr>
      <w:rFonts w:eastAsia="Times New Roman"/>
      <w:i/>
      <w:iCs/>
      <w:sz w:val="22"/>
      <w:lang w:eastAsia="en-US"/>
    </w:rPr>
  </w:style>
  <w:style w:type="character" w:customStyle="1" w:styleId="HTMLPreformattedChar">
    <w:name w:val="HTML Preformatted Char"/>
    <w:basedOn w:val="DefaultParagraphFont"/>
    <w:link w:val="HTMLPreformatted"/>
    <w:semiHidden/>
    <w:qFormat/>
    <w:rPr>
      <w:rFonts w:ascii="Consolas" w:eastAsia="Times New Roman" w:hAnsi="Consolas"/>
      <w:lang w:eastAsia="en-US"/>
    </w:rPr>
  </w:style>
  <w:style w:type="character" w:customStyle="1" w:styleId="IntenseQuoteChar">
    <w:name w:val="Intense Quote Char"/>
    <w:basedOn w:val="DefaultParagraphFont"/>
    <w:link w:val="IntenseQuote"/>
    <w:uiPriority w:val="30"/>
    <w:qFormat/>
    <w:rPr>
      <w:rFonts w:eastAsia="Times New Roman"/>
      <w:i/>
      <w:iCs/>
      <w:color w:val="4472C4" w:themeColor="accent1"/>
      <w:sz w:val="22"/>
      <w:lang w:eastAsia="en-US"/>
    </w:rPr>
  </w:style>
  <w:style w:type="character" w:customStyle="1" w:styleId="MacroTextChar">
    <w:name w:val="Macro Text Char"/>
    <w:basedOn w:val="DefaultParagraphFont"/>
    <w:link w:val="MacroText"/>
    <w:qFormat/>
    <w:rPr>
      <w:rFonts w:ascii="Consolas" w:eastAsia="Times New Roman" w:hAnsi="Consolas"/>
      <w:lang w:eastAsia="en-US"/>
    </w:rPr>
  </w:style>
  <w:style w:type="character" w:customStyle="1" w:styleId="MessageHeaderChar">
    <w:name w:val="Message Header Char"/>
    <w:basedOn w:val="DefaultParagraphFont"/>
    <w:link w:val="MessageHeader"/>
    <w:qFormat/>
    <w:rPr>
      <w:rFonts w:asciiTheme="majorHAnsi" w:eastAsiaTheme="majorEastAsia" w:hAnsiTheme="majorHAnsi" w:cstheme="majorBidi"/>
      <w:sz w:val="24"/>
      <w:szCs w:val="24"/>
      <w:shd w:val="clear" w:color="auto" w:fill="CCCCCC"/>
      <w:lang w:eastAsia="en-US"/>
    </w:rPr>
  </w:style>
  <w:style w:type="character" w:customStyle="1" w:styleId="NoteHeadingChar">
    <w:name w:val="Note Heading Char"/>
    <w:basedOn w:val="DefaultParagraphFont"/>
    <w:link w:val="NoteHeading"/>
    <w:semiHidden/>
    <w:qFormat/>
    <w:rPr>
      <w:rFonts w:eastAsia="Times New Roman"/>
      <w:sz w:val="22"/>
      <w:lang w:eastAsia="en-US"/>
    </w:rPr>
  </w:style>
  <w:style w:type="character" w:customStyle="1" w:styleId="PlainTextChar">
    <w:name w:val="Plain Text Char"/>
    <w:basedOn w:val="DefaultParagraphFont"/>
    <w:link w:val="PlainText"/>
    <w:semiHidden/>
    <w:qFormat/>
    <w:rPr>
      <w:rFonts w:ascii="Consolas" w:eastAsia="Times New Roman" w:hAnsi="Consolas"/>
      <w:sz w:val="21"/>
      <w:szCs w:val="21"/>
      <w:lang w:eastAsia="en-US"/>
    </w:rPr>
  </w:style>
  <w:style w:type="character" w:customStyle="1" w:styleId="QuoteChar">
    <w:name w:val="Quote Char"/>
    <w:basedOn w:val="DefaultParagraphFont"/>
    <w:link w:val="Quote"/>
    <w:uiPriority w:val="29"/>
    <w:qFormat/>
    <w:rPr>
      <w:rFonts w:eastAsia="Times New Roman"/>
      <w:i/>
      <w:iCs/>
      <w:color w:val="404040" w:themeColor="text1" w:themeTint="BF"/>
      <w:sz w:val="22"/>
      <w:lang w:eastAsia="en-US"/>
    </w:rPr>
  </w:style>
  <w:style w:type="character" w:customStyle="1" w:styleId="SalutationChar">
    <w:name w:val="Salutation Char"/>
    <w:basedOn w:val="DefaultParagraphFont"/>
    <w:link w:val="Salutation"/>
    <w:semiHidden/>
    <w:qFormat/>
    <w:rPr>
      <w:rFonts w:eastAsia="Times New Roman"/>
      <w:sz w:val="22"/>
      <w:lang w:eastAsia="en-US"/>
    </w:rPr>
  </w:style>
  <w:style w:type="character" w:customStyle="1" w:styleId="SignatureChar">
    <w:name w:val="Signature Char"/>
    <w:basedOn w:val="DefaultParagraphFont"/>
    <w:link w:val="Signature"/>
    <w:semiHidden/>
    <w:qFormat/>
    <w:rPr>
      <w:rFonts w:eastAsia="Times New Roman"/>
      <w:sz w:val="22"/>
      <w:lang w:eastAsia="en-US"/>
    </w:rPr>
  </w:style>
  <w:style w:type="character" w:customStyle="1" w:styleId="SubtitleChar">
    <w:name w:val="Subtitle Char"/>
    <w:basedOn w:val="DefaultParagraphFont"/>
    <w:link w:val="Subtitle"/>
    <w:qFormat/>
    <w:rPr>
      <w:rFonts w:asciiTheme="minorHAnsi" w:eastAsiaTheme="minorEastAsia" w:hAnsiTheme="minorHAnsi" w:cstheme="minorBidi"/>
      <w:color w:val="5A5A5A" w:themeColor="text1" w:themeTint="A5"/>
      <w:spacing w:val="15"/>
      <w:sz w:val="22"/>
      <w:szCs w:val="22"/>
      <w:lang w:eastAsia="en-US"/>
    </w:rPr>
  </w:style>
  <w:style w:type="character" w:customStyle="1" w:styleId="TitleAChar">
    <w:name w:val="Title A Char"/>
    <w:basedOn w:val="DefaultParagraphFont"/>
    <w:link w:val="TitleA"/>
    <w:qFormat/>
    <w:rPr>
      <w:rFonts w:eastAsia="Times New Roman"/>
      <w:b/>
      <w:bCs/>
      <w:sz w:val="22"/>
      <w:szCs w:val="22"/>
      <w:lang w:val="lt-LT" w:eastAsia="en-US"/>
    </w:rPr>
  </w:style>
  <w:style w:type="character" w:customStyle="1" w:styleId="TitleBChar">
    <w:name w:val="Title B Char"/>
    <w:basedOn w:val="DefaultParagraphFont"/>
    <w:link w:val="TitleB"/>
    <w:qFormat/>
    <w:rPr>
      <w:rFonts w:eastAsia="Times New Roman"/>
      <w:b/>
      <w:bCs/>
      <w:sz w:val="22"/>
      <w:szCs w:val="22"/>
      <w:lang w:val="lt-LT" w:eastAsia="en-US"/>
    </w:rPr>
  </w:style>
  <w:style w:type="character" w:customStyle="1" w:styleId="Galinsinaosramenys">
    <w:name w:val="Galinės išnašos rašmenys"/>
    <w:qFormat/>
  </w:style>
  <w:style w:type="paragraph" w:customStyle="1" w:styleId="Antrat">
    <w:name w:val="Antraštė"/>
    <w:basedOn w:val="Normal"/>
    <w:next w:val="BodyText"/>
    <w:qFormat/>
    <w:pPr>
      <w:keepNext/>
      <w:spacing w:before="240" w:after="120"/>
    </w:pPr>
    <w:rPr>
      <w:rFonts w:ascii="Liberation Sans" w:eastAsia="Microsoft YaHei" w:hAnsi="Liberation Sans" w:cs="Arial"/>
      <w:sz w:val="28"/>
      <w:szCs w:val="28"/>
    </w:rPr>
  </w:style>
  <w:style w:type="paragraph" w:styleId="BodyText">
    <w:name w:val="Body Text"/>
    <w:basedOn w:val="Normal"/>
    <w:link w:val="BodyTextChar"/>
    <w:pPr>
      <w:tabs>
        <w:tab w:val="clear" w:pos="567"/>
      </w:tabs>
      <w:spacing w:line="240" w:lineRule="auto"/>
    </w:pPr>
    <w:rPr>
      <w:i/>
      <w:color w:val="008000"/>
    </w:rPr>
  </w:style>
  <w:style w:type="paragraph" w:styleId="List">
    <w:name w:val="List"/>
    <w:basedOn w:val="Normal"/>
    <w:semiHidden/>
    <w:unhideWhenUsed/>
    <w:pPr>
      <w:ind w:left="360" w:hanging="360"/>
      <w:contextualSpacing/>
    </w:pPr>
  </w:style>
  <w:style w:type="paragraph" w:styleId="Caption">
    <w:name w:val="caption"/>
    <w:basedOn w:val="Normal"/>
    <w:next w:val="Normal"/>
    <w:unhideWhenUsed/>
    <w:qFormat/>
    <w:pPr>
      <w:spacing w:after="200" w:line="240" w:lineRule="auto"/>
    </w:pPr>
    <w:rPr>
      <w:i/>
      <w:iCs/>
      <w:color w:val="44546A" w:themeColor="text2"/>
      <w:sz w:val="18"/>
      <w:szCs w:val="18"/>
    </w:rPr>
  </w:style>
  <w:style w:type="paragraph" w:customStyle="1" w:styleId="Rodykl">
    <w:name w:val="Rodyklė"/>
    <w:basedOn w:val="Normal"/>
    <w:qFormat/>
    <w:pPr>
      <w:suppressLineNumbers/>
    </w:pPr>
    <w:rPr>
      <w:rFonts w:cs="Arial"/>
    </w:rPr>
  </w:style>
  <w:style w:type="paragraph" w:customStyle="1" w:styleId="HeaderandFooter">
    <w:name w:val="Header and Footer"/>
    <w:basedOn w:val="Normal"/>
    <w:qFormat/>
  </w:style>
  <w:style w:type="paragraph" w:styleId="Footer">
    <w:name w:val="footer"/>
    <w:basedOn w:val="Normal"/>
    <w:pPr>
      <w:tabs>
        <w:tab w:val="center" w:pos="4536"/>
        <w:tab w:val="right" w:pos="8306"/>
      </w:tabs>
    </w:pPr>
    <w:rPr>
      <w:rFonts w:ascii="Arial" w:hAnsi="Arial"/>
      <w:sz w:val="16"/>
    </w:rPr>
  </w:style>
  <w:style w:type="paragraph" w:styleId="Header">
    <w:name w:val="header"/>
    <w:basedOn w:val="Normal"/>
    <w:pPr>
      <w:tabs>
        <w:tab w:val="center" w:pos="4153"/>
        <w:tab w:val="right" w:pos="8306"/>
      </w:tabs>
    </w:pPr>
    <w:rPr>
      <w:rFonts w:ascii="Arial" w:hAnsi="Arial"/>
      <w:sz w:val="20"/>
    </w:rPr>
  </w:style>
  <w:style w:type="paragraph" w:customStyle="1" w:styleId="MemoHeaderStyle">
    <w:name w:val="MemoHeaderStyle"/>
    <w:basedOn w:val="Normal"/>
    <w:next w:val="Normal"/>
    <w:qFormat/>
    <w:pPr>
      <w:spacing w:line="120" w:lineRule="atLeast"/>
      <w:ind w:left="1418"/>
      <w:jc w:val="both"/>
    </w:pPr>
    <w:rPr>
      <w:rFonts w:ascii="Arial" w:hAnsi="Arial"/>
      <w:b/>
      <w:smallCaps/>
    </w:rPr>
  </w:style>
  <w:style w:type="paragraph" w:styleId="CommentText">
    <w:name w:val="annotation text"/>
    <w:basedOn w:val="Normal"/>
    <w:link w:val="CommentTextChar"/>
    <w:rPr>
      <w:sz w:val="20"/>
    </w:rPr>
  </w:style>
  <w:style w:type="paragraph" w:customStyle="1" w:styleId="EMEAEnBodyText">
    <w:name w:val="EMEA En Body Text"/>
    <w:basedOn w:val="Normal"/>
    <w:qFormat/>
    <w:pPr>
      <w:tabs>
        <w:tab w:val="clear" w:pos="567"/>
      </w:tabs>
      <w:spacing w:before="120" w:after="120" w:line="240" w:lineRule="auto"/>
      <w:jc w:val="both"/>
    </w:pPr>
    <w:rPr>
      <w:lang w:val="en-US"/>
    </w:rPr>
  </w:style>
  <w:style w:type="paragraph" w:styleId="BalloonText">
    <w:name w:val="Balloon Text"/>
    <w:basedOn w:val="Normal"/>
    <w:semiHidden/>
    <w:qFormat/>
    <w:rPr>
      <w:rFonts w:ascii="Tahoma" w:hAnsi="Tahoma" w:cs="Tahoma"/>
      <w:sz w:val="16"/>
      <w:szCs w:val="16"/>
    </w:rPr>
  </w:style>
  <w:style w:type="paragraph" w:customStyle="1" w:styleId="BodytextAgency">
    <w:name w:val="Body text (Agency)"/>
    <w:basedOn w:val="Normal"/>
    <w:link w:val="BodytextAgencyChar"/>
    <w:qFormat/>
    <w:pPr>
      <w:tabs>
        <w:tab w:val="clear" w:pos="567"/>
      </w:tabs>
      <w:spacing w:after="140" w:line="280" w:lineRule="atLeast"/>
    </w:pPr>
    <w:rPr>
      <w:rFonts w:ascii="Verdana" w:eastAsia="Verdana" w:hAnsi="Verdana" w:cs="Verdana"/>
      <w:sz w:val="18"/>
      <w:szCs w:val="18"/>
      <w:lang w:eastAsia="en-GB"/>
    </w:rPr>
  </w:style>
  <w:style w:type="paragraph" w:customStyle="1" w:styleId="DraftingNotesAgency">
    <w:name w:val="Drafting Notes (Agency)"/>
    <w:basedOn w:val="Normal"/>
    <w:next w:val="BodytextAgency"/>
    <w:link w:val="DraftingNotesAgencyChar"/>
    <w:qFormat/>
    <w:pPr>
      <w:tabs>
        <w:tab w:val="clear" w:pos="567"/>
      </w:tabs>
      <w:spacing w:after="140" w:line="280" w:lineRule="atLeast"/>
    </w:pPr>
    <w:rPr>
      <w:rFonts w:ascii="Courier New" w:eastAsia="Verdana" w:hAnsi="Courier New"/>
      <w:i/>
      <w:color w:val="339966"/>
      <w:szCs w:val="18"/>
      <w:lang w:eastAsia="en-GB"/>
    </w:rPr>
  </w:style>
  <w:style w:type="paragraph" w:customStyle="1" w:styleId="NormalAgency">
    <w:name w:val="Normal (Agency)"/>
    <w:link w:val="NormalAgencyChar"/>
    <w:qFormat/>
    <w:rPr>
      <w:rFonts w:ascii="Verdana" w:eastAsia="Verdana" w:hAnsi="Verdana" w:cs="Verdana"/>
      <w:sz w:val="18"/>
      <w:szCs w:val="18"/>
    </w:rPr>
  </w:style>
  <w:style w:type="paragraph" w:customStyle="1" w:styleId="TableheadingrowsAgency">
    <w:name w:val="Table heading rows (Agency)"/>
    <w:basedOn w:val="BodytextAgency"/>
    <w:qFormat/>
    <w:pPr>
      <w:keepNext/>
    </w:pPr>
    <w:rPr>
      <w:rFonts w:eastAsia="Times New Roman"/>
      <w:b/>
    </w:rPr>
  </w:style>
  <w:style w:type="paragraph" w:customStyle="1" w:styleId="TabletextrowsAgency">
    <w:name w:val="Table text rows (Agency)"/>
    <w:basedOn w:val="Normal"/>
    <w:qFormat/>
    <w:pPr>
      <w:tabs>
        <w:tab w:val="clear" w:pos="567"/>
      </w:tabs>
      <w:spacing w:line="280" w:lineRule="exact"/>
    </w:pPr>
    <w:rPr>
      <w:rFonts w:ascii="Verdana" w:hAnsi="Verdana" w:cs="Verdana"/>
      <w:sz w:val="18"/>
      <w:szCs w:val="18"/>
      <w:lang w:eastAsia="zh-CN"/>
    </w:rPr>
  </w:style>
  <w:style w:type="paragraph" w:styleId="CommentSubject">
    <w:name w:val="annotation subject"/>
    <w:basedOn w:val="CommentText"/>
    <w:next w:val="CommentText"/>
    <w:link w:val="CommentSubjectChar"/>
    <w:qFormat/>
    <w:rPr>
      <w:b/>
      <w:bCs/>
    </w:rPr>
  </w:style>
  <w:style w:type="paragraph" w:styleId="Revision">
    <w:name w:val="Revision"/>
    <w:uiPriority w:val="99"/>
    <w:semiHidden/>
    <w:qFormat/>
    <w:rPr>
      <w:rFonts w:eastAsia="Times New Roman"/>
      <w:sz w:val="22"/>
      <w:lang w:eastAsia="en-US"/>
    </w:rPr>
  </w:style>
  <w:style w:type="paragraph" w:customStyle="1" w:styleId="C-TableText">
    <w:name w:val="C-Table Text"/>
    <w:link w:val="C-TableTextChar"/>
    <w:qFormat/>
    <w:rPr>
      <w:rFonts w:ascii="Arial" w:eastAsia="Times New Roman" w:hAnsi="Arial"/>
      <w:lang w:val="en-US" w:eastAsia="en-US"/>
    </w:rPr>
  </w:style>
  <w:style w:type="paragraph" w:customStyle="1" w:styleId="C-PLR-TableHeader">
    <w:name w:val="C-PLR-Table Header"/>
    <w:next w:val="Normal"/>
    <w:qFormat/>
    <w:pPr>
      <w:keepNext/>
    </w:pPr>
    <w:rPr>
      <w:rFonts w:eastAsia="Times New Roman"/>
      <w:b/>
      <w:sz w:val="16"/>
      <w:lang w:val="en-US" w:eastAsia="en-US"/>
    </w:rPr>
  </w:style>
  <w:style w:type="paragraph" w:customStyle="1" w:styleId="C-InstructionText">
    <w:name w:val="C-Instruction Text"/>
    <w:link w:val="C-InstructionTextChar"/>
    <w:qFormat/>
    <w:pPr>
      <w:spacing w:before="120" w:after="120"/>
    </w:pPr>
    <w:rPr>
      <w:rFonts w:eastAsia="Times New Roman"/>
      <w:vanish/>
      <w:color w:val="FF0000"/>
      <w:sz w:val="24"/>
      <w:szCs w:val="24"/>
      <w:lang w:val="en-US" w:eastAsia="en-US"/>
    </w:rPr>
  </w:style>
  <w:style w:type="paragraph" w:customStyle="1" w:styleId="Default">
    <w:name w:val="Default"/>
    <w:qFormat/>
    <w:rPr>
      <w:rFonts w:ascii="TimesNewRoman,Bold" w:eastAsia="Times New Roman" w:hAnsi="TimesNewRoman,Bold"/>
      <w:lang w:val="en-US" w:eastAsia="en-US"/>
    </w:rPr>
  </w:style>
  <w:style w:type="paragraph" w:customStyle="1" w:styleId="pf0">
    <w:name w:val="pf0"/>
    <w:basedOn w:val="Normal"/>
    <w:qFormat/>
    <w:pPr>
      <w:tabs>
        <w:tab w:val="clear" w:pos="567"/>
      </w:tabs>
      <w:spacing w:beforeAutospacing="1" w:afterAutospacing="1" w:line="240" w:lineRule="auto"/>
    </w:pPr>
    <w:rPr>
      <w:sz w:val="24"/>
      <w:szCs w:val="24"/>
      <w:lang w:val="en-US"/>
    </w:rPr>
  </w:style>
  <w:style w:type="paragraph" w:styleId="NormalWeb">
    <w:name w:val="Normal (Web)"/>
    <w:basedOn w:val="Normal"/>
    <w:uiPriority w:val="99"/>
    <w:unhideWhenUsed/>
    <w:qFormat/>
    <w:pPr>
      <w:tabs>
        <w:tab w:val="clear" w:pos="567"/>
      </w:tabs>
      <w:spacing w:beforeAutospacing="1" w:afterAutospacing="1" w:line="240" w:lineRule="auto"/>
    </w:pPr>
    <w:rPr>
      <w:sz w:val="24"/>
      <w:szCs w:val="24"/>
      <w:lang w:val="en-US"/>
    </w:rPr>
  </w:style>
  <w:style w:type="paragraph" w:styleId="ListParagraph">
    <w:name w:val="List Paragraph"/>
    <w:basedOn w:val="Normal"/>
    <w:uiPriority w:val="34"/>
    <w:qFormat/>
    <w:pPr>
      <w:ind w:left="720"/>
      <w:contextualSpacing/>
    </w:pPr>
  </w:style>
  <w:style w:type="paragraph" w:customStyle="1" w:styleId="C-Footnote">
    <w:name w:val="C-Footnote"/>
    <w:basedOn w:val="Normal"/>
    <w:qFormat/>
    <w:pPr>
      <w:tabs>
        <w:tab w:val="clear" w:pos="567"/>
        <w:tab w:val="left" w:pos="144"/>
      </w:tabs>
      <w:spacing w:line="240" w:lineRule="auto"/>
    </w:pPr>
    <w:rPr>
      <w:rFonts w:ascii="Arial" w:hAnsi="Arial" w:cs="Arial"/>
      <w:sz w:val="18"/>
      <w:lang w:val="en-US"/>
    </w:rPr>
  </w:style>
  <w:style w:type="paragraph" w:customStyle="1" w:styleId="StyleBoldBefore12ptAfter6ptLinespacingsingle">
    <w:name w:val="Style Bold Before:  12 pt After:  6 pt Line spacing:  single"/>
    <w:qFormat/>
    <w:pPr>
      <w:spacing w:before="240" w:after="120"/>
    </w:pPr>
    <w:rPr>
      <w:rFonts w:eastAsia="Times New Roman"/>
      <w:b/>
      <w:bCs/>
      <w:sz w:val="22"/>
      <w:lang w:eastAsia="en-US"/>
    </w:rPr>
  </w:style>
  <w:style w:type="paragraph" w:styleId="Title">
    <w:name w:val="Title"/>
    <w:basedOn w:val="Normal"/>
    <w:next w:val="Normal"/>
    <w:link w:val="TitleChar"/>
    <w:qFormat/>
    <w:pPr>
      <w:spacing w:line="240" w:lineRule="auto"/>
      <w:contextualSpacing/>
    </w:pPr>
    <w:rPr>
      <w:rFonts w:asciiTheme="majorHAnsi" w:eastAsiaTheme="majorEastAsia" w:hAnsiTheme="majorHAnsi" w:cstheme="majorBidi"/>
      <w:spacing w:val="-10"/>
      <w:kern w:val="2"/>
      <w:sz w:val="56"/>
      <w:szCs w:val="56"/>
    </w:rPr>
  </w:style>
  <w:style w:type="paragraph" w:customStyle="1" w:styleId="C-BodyText">
    <w:name w:val="C-Body Text"/>
    <w:link w:val="C-BodyTextChar"/>
    <w:qFormat/>
    <w:pPr>
      <w:spacing w:before="120" w:after="120"/>
    </w:pPr>
    <w:rPr>
      <w:rFonts w:eastAsia="Times New Roman"/>
      <w:sz w:val="24"/>
      <w:lang w:val="en-US" w:eastAsia="en-US"/>
    </w:rPr>
  </w:style>
  <w:style w:type="paragraph" w:styleId="Bibliography">
    <w:name w:val="Bibliography"/>
    <w:basedOn w:val="Normal"/>
    <w:next w:val="Normal"/>
    <w:uiPriority w:val="37"/>
    <w:semiHidden/>
    <w:unhideWhenUsed/>
    <w:qFormat/>
  </w:style>
  <w:style w:type="paragraph" w:styleId="BlockText">
    <w:name w:val="Block Text"/>
    <w:basedOn w:val="Normal"/>
    <w:semiHidden/>
    <w:unhideWhenUsed/>
    <w:qFormat/>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2">
    <w:name w:val="Body Text 2"/>
    <w:basedOn w:val="Normal"/>
    <w:link w:val="BodyText2Char"/>
    <w:semiHidden/>
    <w:unhideWhenUsed/>
    <w:qFormat/>
    <w:pPr>
      <w:spacing w:after="120" w:line="480" w:lineRule="auto"/>
    </w:pPr>
  </w:style>
  <w:style w:type="paragraph" w:styleId="BodyText3">
    <w:name w:val="Body Text 3"/>
    <w:basedOn w:val="Normal"/>
    <w:link w:val="BodyText3Char"/>
    <w:semiHidden/>
    <w:unhideWhenUsed/>
    <w:qFormat/>
    <w:pPr>
      <w:spacing w:after="120"/>
    </w:pPr>
    <w:rPr>
      <w:sz w:val="16"/>
      <w:szCs w:val="16"/>
    </w:rPr>
  </w:style>
  <w:style w:type="paragraph" w:styleId="BodyTextFirstIndent">
    <w:name w:val="Body Text First Indent"/>
    <w:basedOn w:val="BodyText"/>
    <w:link w:val="BodyTextFirstIndentChar"/>
    <w:semiHidden/>
    <w:unhideWhenUsed/>
    <w:pPr>
      <w:tabs>
        <w:tab w:val="left" w:pos="567"/>
      </w:tabs>
      <w:spacing w:line="260" w:lineRule="exact"/>
      <w:ind w:firstLine="360"/>
    </w:pPr>
    <w:rPr>
      <w:i w:val="0"/>
      <w:color w:val="auto"/>
    </w:rPr>
  </w:style>
  <w:style w:type="paragraph" w:styleId="BodyTextIndent">
    <w:name w:val="Body Text Indent"/>
    <w:basedOn w:val="Normal"/>
    <w:link w:val="BodyTextIndentChar"/>
    <w:semiHidden/>
    <w:unhideWhenUsed/>
    <w:pPr>
      <w:spacing w:after="120"/>
      <w:ind w:left="360"/>
    </w:pPr>
  </w:style>
  <w:style w:type="paragraph" w:styleId="BodyTextFirstIndent2">
    <w:name w:val="Body Text First Indent 2"/>
    <w:basedOn w:val="BodyTextIndent"/>
    <w:link w:val="BodyTextFirstIndent2Char"/>
    <w:semiHidden/>
    <w:unhideWhenUsed/>
    <w:qFormat/>
    <w:pPr>
      <w:spacing w:after="0"/>
      <w:ind w:firstLine="360"/>
    </w:pPr>
  </w:style>
  <w:style w:type="paragraph" w:styleId="BodyTextIndent2">
    <w:name w:val="Body Text Indent 2"/>
    <w:basedOn w:val="Normal"/>
    <w:link w:val="BodyTextIndent2Char"/>
    <w:semiHidden/>
    <w:unhideWhenUsed/>
    <w:qFormat/>
    <w:pPr>
      <w:spacing w:after="120" w:line="480" w:lineRule="auto"/>
      <w:ind w:left="360"/>
    </w:pPr>
  </w:style>
  <w:style w:type="paragraph" w:styleId="BodyTextIndent3">
    <w:name w:val="Body Text Indent 3"/>
    <w:basedOn w:val="Normal"/>
    <w:link w:val="BodyTextIndent3Char"/>
    <w:semiHidden/>
    <w:unhideWhenUsed/>
    <w:qFormat/>
    <w:pPr>
      <w:spacing w:after="120"/>
      <w:ind w:left="360"/>
    </w:pPr>
    <w:rPr>
      <w:sz w:val="16"/>
      <w:szCs w:val="16"/>
    </w:rPr>
  </w:style>
  <w:style w:type="paragraph" w:styleId="Closing">
    <w:name w:val="Closing"/>
    <w:basedOn w:val="Normal"/>
    <w:link w:val="ClosingChar"/>
    <w:semiHidden/>
    <w:unhideWhenUsed/>
    <w:pPr>
      <w:spacing w:line="240" w:lineRule="auto"/>
      <w:ind w:left="4320"/>
    </w:pPr>
  </w:style>
  <w:style w:type="paragraph" w:styleId="Date">
    <w:name w:val="Date"/>
    <w:basedOn w:val="Normal"/>
    <w:next w:val="Normal"/>
    <w:link w:val="DateChar"/>
    <w:semiHidden/>
    <w:unhideWhenUsed/>
    <w:qFormat/>
  </w:style>
  <w:style w:type="paragraph" w:styleId="DocumentMap">
    <w:name w:val="Document Map"/>
    <w:basedOn w:val="Normal"/>
    <w:link w:val="DocumentMapChar"/>
    <w:semiHidden/>
    <w:unhideWhenUsed/>
    <w:qFormat/>
    <w:pPr>
      <w:spacing w:line="240" w:lineRule="auto"/>
    </w:pPr>
    <w:rPr>
      <w:rFonts w:ascii="Segoe UI" w:hAnsi="Segoe UI" w:cs="Segoe UI"/>
      <w:sz w:val="16"/>
      <w:szCs w:val="16"/>
    </w:rPr>
  </w:style>
  <w:style w:type="paragraph" w:styleId="E-mailSignature">
    <w:name w:val="E-mail Signature"/>
    <w:basedOn w:val="Normal"/>
    <w:link w:val="E-mailSignatureChar"/>
    <w:semiHidden/>
    <w:unhideWhenUsed/>
    <w:qFormat/>
    <w:pPr>
      <w:spacing w:line="240" w:lineRule="auto"/>
    </w:pPr>
  </w:style>
  <w:style w:type="paragraph" w:styleId="EndnoteText">
    <w:name w:val="endnote text"/>
    <w:basedOn w:val="Normal"/>
    <w:link w:val="EndnoteTextChar"/>
    <w:semiHidden/>
    <w:unhideWhenUsed/>
    <w:pPr>
      <w:spacing w:line="240" w:lineRule="auto"/>
    </w:pPr>
    <w:rPr>
      <w:sz w:val="20"/>
    </w:rPr>
  </w:style>
  <w:style w:type="paragraph" w:styleId="EnvelopeAddress">
    <w:name w:val="envelope address"/>
    <w:basedOn w:val="Normal"/>
    <w:semiHidden/>
    <w:unhideWhenUsed/>
    <w:pPr>
      <w:spacing w:line="240" w:lineRule="auto"/>
      <w:ind w:left="2880"/>
    </w:pPr>
    <w:rPr>
      <w:rFonts w:asciiTheme="majorHAnsi" w:eastAsiaTheme="majorEastAsia" w:hAnsiTheme="majorHAnsi" w:cstheme="majorBidi"/>
      <w:sz w:val="24"/>
      <w:szCs w:val="24"/>
    </w:rPr>
  </w:style>
  <w:style w:type="paragraph" w:styleId="EnvelopeReturn">
    <w:name w:val="envelope return"/>
    <w:basedOn w:val="Normal"/>
    <w:semiHidden/>
    <w:unhideWhenUsed/>
    <w:pPr>
      <w:spacing w:line="240" w:lineRule="auto"/>
    </w:pPr>
    <w:rPr>
      <w:rFonts w:asciiTheme="majorHAnsi" w:eastAsiaTheme="majorEastAsia" w:hAnsiTheme="majorHAnsi" w:cstheme="majorBidi"/>
      <w:sz w:val="20"/>
    </w:rPr>
  </w:style>
  <w:style w:type="paragraph" w:styleId="FootnoteText">
    <w:name w:val="footnote text"/>
    <w:basedOn w:val="Normal"/>
    <w:link w:val="FootnoteTextChar"/>
    <w:semiHidden/>
    <w:unhideWhenUsed/>
    <w:pPr>
      <w:spacing w:line="240" w:lineRule="auto"/>
    </w:pPr>
    <w:rPr>
      <w:sz w:val="20"/>
    </w:rPr>
  </w:style>
  <w:style w:type="paragraph" w:styleId="HTMLAddress">
    <w:name w:val="HTML Address"/>
    <w:basedOn w:val="Normal"/>
    <w:link w:val="HTMLAddressChar"/>
    <w:semiHidden/>
    <w:unhideWhenUsed/>
    <w:qFormat/>
    <w:pPr>
      <w:spacing w:line="240" w:lineRule="auto"/>
    </w:pPr>
    <w:rPr>
      <w:i/>
      <w:iCs/>
    </w:rPr>
  </w:style>
  <w:style w:type="paragraph" w:styleId="HTMLPreformatted">
    <w:name w:val="HTML Preformatted"/>
    <w:basedOn w:val="Normal"/>
    <w:link w:val="HTMLPreformattedChar"/>
    <w:semiHidden/>
    <w:unhideWhenUsed/>
    <w:qFormat/>
    <w:pPr>
      <w:spacing w:line="240" w:lineRule="auto"/>
    </w:pPr>
    <w:rPr>
      <w:rFonts w:ascii="Consolas" w:hAnsi="Consolas"/>
      <w:sz w:val="20"/>
    </w:rPr>
  </w:style>
  <w:style w:type="paragraph" w:styleId="Index1">
    <w:name w:val="index 1"/>
    <w:basedOn w:val="Normal"/>
    <w:next w:val="Normal"/>
    <w:autoRedefine/>
    <w:semiHidden/>
    <w:unhideWhenUsed/>
    <w:pPr>
      <w:tabs>
        <w:tab w:val="clear" w:pos="567"/>
      </w:tabs>
      <w:spacing w:line="240" w:lineRule="auto"/>
      <w:ind w:left="220" w:hanging="220"/>
    </w:pPr>
  </w:style>
  <w:style w:type="paragraph" w:styleId="Index2">
    <w:name w:val="index 2"/>
    <w:basedOn w:val="Normal"/>
    <w:next w:val="Normal"/>
    <w:autoRedefine/>
    <w:semiHidden/>
    <w:unhideWhenUsed/>
    <w:pPr>
      <w:tabs>
        <w:tab w:val="clear" w:pos="567"/>
      </w:tabs>
      <w:spacing w:line="240" w:lineRule="auto"/>
      <w:ind w:left="440" w:hanging="220"/>
    </w:pPr>
  </w:style>
  <w:style w:type="paragraph" w:styleId="Index3">
    <w:name w:val="index 3"/>
    <w:basedOn w:val="Normal"/>
    <w:next w:val="Normal"/>
    <w:autoRedefine/>
    <w:semiHidden/>
    <w:unhideWhenUsed/>
    <w:pPr>
      <w:tabs>
        <w:tab w:val="clear" w:pos="567"/>
      </w:tabs>
      <w:spacing w:line="240" w:lineRule="auto"/>
      <w:ind w:left="660" w:hanging="220"/>
    </w:pPr>
  </w:style>
  <w:style w:type="paragraph" w:styleId="Index4">
    <w:name w:val="index 4"/>
    <w:basedOn w:val="Normal"/>
    <w:next w:val="Normal"/>
    <w:autoRedefine/>
    <w:semiHidden/>
    <w:unhideWhenUsed/>
    <w:qFormat/>
    <w:pPr>
      <w:tabs>
        <w:tab w:val="clear" w:pos="567"/>
      </w:tabs>
      <w:spacing w:line="240" w:lineRule="auto"/>
      <w:ind w:left="880" w:hanging="220"/>
    </w:pPr>
  </w:style>
  <w:style w:type="paragraph" w:styleId="Index5">
    <w:name w:val="index 5"/>
    <w:basedOn w:val="Normal"/>
    <w:next w:val="Normal"/>
    <w:autoRedefine/>
    <w:semiHidden/>
    <w:unhideWhenUsed/>
    <w:qFormat/>
    <w:pPr>
      <w:tabs>
        <w:tab w:val="clear" w:pos="567"/>
      </w:tabs>
      <w:spacing w:line="240" w:lineRule="auto"/>
      <w:ind w:left="1100" w:hanging="220"/>
    </w:pPr>
  </w:style>
  <w:style w:type="paragraph" w:styleId="Index6">
    <w:name w:val="index 6"/>
    <w:basedOn w:val="Normal"/>
    <w:next w:val="Normal"/>
    <w:autoRedefine/>
    <w:semiHidden/>
    <w:unhideWhenUsed/>
    <w:qFormat/>
    <w:pPr>
      <w:tabs>
        <w:tab w:val="clear" w:pos="567"/>
      </w:tabs>
      <w:spacing w:line="240" w:lineRule="auto"/>
      <w:ind w:left="1320" w:hanging="220"/>
    </w:pPr>
  </w:style>
  <w:style w:type="paragraph" w:styleId="Index7">
    <w:name w:val="index 7"/>
    <w:basedOn w:val="Normal"/>
    <w:next w:val="Normal"/>
    <w:autoRedefine/>
    <w:semiHidden/>
    <w:unhideWhenUsed/>
    <w:qFormat/>
    <w:pPr>
      <w:tabs>
        <w:tab w:val="clear" w:pos="567"/>
      </w:tabs>
      <w:spacing w:line="240" w:lineRule="auto"/>
      <w:ind w:left="1540" w:hanging="220"/>
    </w:pPr>
  </w:style>
  <w:style w:type="paragraph" w:styleId="Index8">
    <w:name w:val="index 8"/>
    <w:basedOn w:val="Normal"/>
    <w:next w:val="Normal"/>
    <w:autoRedefine/>
    <w:semiHidden/>
    <w:unhideWhenUsed/>
    <w:qFormat/>
    <w:pPr>
      <w:tabs>
        <w:tab w:val="clear" w:pos="567"/>
      </w:tabs>
      <w:spacing w:line="240" w:lineRule="auto"/>
      <w:ind w:left="1760" w:hanging="220"/>
    </w:pPr>
  </w:style>
  <w:style w:type="paragraph" w:styleId="Index9">
    <w:name w:val="index 9"/>
    <w:basedOn w:val="Normal"/>
    <w:next w:val="Normal"/>
    <w:autoRedefine/>
    <w:semiHidden/>
    <w:unhideWhenUsed/>
    <w:qFormat/>
    <w:pPr>
      <w:tabs>
        <w:tab w:val="clear" w:pos="567"/>
      </w:tabs>
      <w:spacing w:line="240" w:lineRule="auto"/>
      <w:ind w:left="1980" w:hanging="220"/>
    </w:pPr>
  </w:style>
  <w:style w:type="paragraph" w:styleId="IndexHeading">
    <w:name w:val="index heading"/>
    <w:basedOn w:val="Normal"/>
    <w:next w:val="Index1"/>
    <w:semiHidden/>
    <w:unhideWhenUsed/>
    <w:rPr>
      <w:rFonts w:asciiTheme="majorHAnsi" w:eastAsiaTheme="majorEastAsia" w:hAnsiTheme="majorHAnsi" w:cstheme="majorBidi"/>
      <w:b/>
      <w:bCs/>
    </w:rPr>
  </w:style>
  <w:style w:type="paragraph" w:styleId="IntenseQuote">
    <w:name w:val="Intense Quote"/>
    <w:basedOn w:val="Normal"/>
    <w:next w:val="Normal"/>
    <w:link w:val="IntenseQuoteChar"/>
    <w:uiPriority w:val="30"/>
    <w:qFormat/>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paragraph" w:styleId="List2">
    <w:name w:val="List 2"/>
    <w:basedOn w:val="Normal"/>
    <w:semiHidden/>
    <w:unhideWhenUsed/>
    <w:qFormat/>
    <w:pPr>
      <w:ind w:left="720" w:hanging="360"/>
      <w:contextualSpacing/>
    </w:pPr>
  </w:style>
  <w:style w:type="paragraph" w:styleId="List3">
    <w:name w:val="List 3"/>
    <w:basedOn w:val="Normal"/>
    <w:semiHidden/>
    <w:unhideWhenUsed/>
    <w:qFormat/>
    <w:pPr>
      <w:ind w:left="1080" w:hanging="360"/>
      <w:contextualSpacing/>
    </w:pPr>
  </w:style>
  <w:style w:type="paragraph" w:styleId="List4">
    <w:name w:val="List 4"/>
    <w:basedOn w:val="Normal"/>
    <w:semiHidden/>
    <w:unhideWhenUsed/>
    <w:qFormat/>
    <w:pPr>
      <w:ind w:left="1440" w:hanging="360"/>
      <w:contextualSpacing/>
    </w:pPr>
  </w:style>
  <w:style w:type="paragraph" w:styleId="List5">
    <w:name w:val="List 5"/>
    <w:basedOn w:val="Normal"/>
    <w:semiHidden/>
    <w:unhideWhenUsed/>
    <w:qFormat/>
    <w:pPr>
      <w:ind w:left="1800" w:hanging="360"/>
      <w:contextualSpacing/>
    </w:pPr>
  </w:style>
  <w:style w:type="paragraph" w:styleId="ListBullet">
    <w:name w:val="List Bullet"/>
    <w:basedOn w:val="Normal"/>
    <w:pPr>
      <w:numPr>
        <w:numId w:val="10"/>
      </w:numPr>
      <w:contextualSpacing/>
    </w:pPr>
  </w:style>
  <w:style w:type="paragraph" w:styleId="ListBullet2">
    <w:name w:val="List Bullet 2"/>
    <w:basedOn w:val="Normal"/>
    <w:semiHidden/>
    <w:unhideWhenUsed/>
    <w:pPr>
      <w:numPr>
        <w:numId w:val="11"/>
      </w:numPr>
      <w:contextualSpacing/>
    </w:pPr>
  </w:style>
  <w:style w:type="paragraph" w:styleId="ListBullet3">
    <w:name w:val="List Bullet 3"/>
    <w:basedOn w:val="Normal"/>
    <w:semiHidden/>
    <w:unhideWhenUsed/>
    <w:pPr>
      <w:numPr>
        <w:numId w:val="12"/>
      </w:numPr>
      <w:contextualSpacing/>
    </w:pPr>
  </w:style>
  <w:style w:type="paragraph" w:styleId="ListBullet4">
    <w:name w:val="List Bullet 4"/>
    <w:basedOn w:val="Normal"/>
    <w:semiHidden/>
    <w:unhideWhenUsed/>
    <w:pPr>
      <w:numPr>
        <w:numId w:val="13"/>
      </w:numPr>
      <w:contextualSpacing/>
    </w:pPr>
  </w:style>
  <w:style w:type="paragraph" w:styleId="ListBullet5">
    <w:name w:val="List Bullet 5"/>
    <w:basedOn w:val="Normal"/>
    <w:semiHidden/>
    <w:unhideWhenUsed/>
    <w:pPr>
      <w:numPr>
        <w:numId w:val="14"/>
      </w:numPr>
      <w:contextualSpacing/>
    </w:pPr>
  </w:style>
  <w:style w:type="paragraph" w:styleId="ListContinue">
    <w:name w:val="List Continue"/>
    <w:basedOn w:val="Normal"/>
    <w:semiHidden/>
    <w:unhideWhenUsed/>
    <w:pPr>
      <w:spacing w:after="120"/>
      <w:ind w:left="360"/>
      <w:contextualSpacing/>
    </w:pPr>
  </w:style>
  <w:style w:type="paragraph" w:styleId="ListContinue2">
    <w:name w:val="List Continue 2"/>
    <w:basedOn w:val="Normal"/>
    <w:semiHidden/>
    <w:unhideWhenUsed/>
    <w:pPr>
      <w:spacing w:after="120"/>
      <w:ind w:left="720"/>
      <w:contextualSpacing/>
    </w:pPr>
  </w:style>
  <w:style w:type="paragraph" w:styleId="ListContinue3">
    <w:name w:val="List Continue 3"/>
    <w:basedOn w:val="Normal"/>
    <w:pPr>
      <w:spacing w:after="120"/>
      <w:ind w:left="1080"/>
      <w:contextualSpacing/>
    </w:pPr>
  </w:style>
  <w:style w:type="paragraph" w:styleId="ListContinue4">
    <w:name w:val="List Continue 4"/>
    <w:basedOn w:val="Normal"/>
    <w:pPr>
      <w:spacing w:after="120"/>
      <w:ind w:left="1440"/>
      <w:contextualSpacing/>
    </w:pPr>
  </w:style>
  <w:style w:type="paragraph" w:styleId="ListContinue5">
    <w:name w:val="List Continue 5"/>
    <w:basedOn w:val="Normal"/>
    <w:pPr>
      <w:spacing w:after="120"/>
      <w:ind w:left="1800"/>
      <w:contextualSpacing/>
    </w:pPr>
  </w:style>
  <w:style w:type="paragraph" w:styleId="ListNumber">
    <w:name w:val="List Number"/>
    <w:basedOn w:val="Normal"/>
    <w:pPr>
      <w:numPr>
        <w:numId w:val="15"/>
      </w:numPr>
      <w:contextualSpacing/>
    </w:pPr>
  </w:style>
  <w:style w:type="paragraph" w:styleId="ListNumber2">
    <w:name w:val="List Number 2"/>
    <w:basedOn w:val="Normal"/>
    <w:semiHidden/>
    <w:unhideWhenUsed/>
    <w:pPr>
      <w:numPr>
        <w:numId w:val="16"/>
      </w:numPr>
      <w:contextualSpacing/>
    </w:pPr>
  </w:style>
  <w:style w:type="paragraph" w:styleId="ListNumber3">
    <w:name w:val="List Number 3"/>
    <w:basedOn w:val="Normal"/>
    <w:semiHidden/>
    <w:unhideWhenUsed/>
    <w:pPr>
      <w:numPr>
        <w:numId w:val="17"/>
      </w:numPr>
      <w:contextualSpacing/>
    </w:pPr>
  </w:style>
  <w:style w:type="paragraph" w:styleId="ListNumber4">
    <w:name w:val="List Number 4"/>
    <w:basedOn w:val="Normal"/>
    <w:semiHidden/>
    <w:unhideWhenUsed/>
    <w:pPr>
      <w:numPr>
        <w:numId w:val="18"/>
      </w:numPr>
      <w:contextualSpacing/>
    </w:pPr>
  </w:style>
  <w:style w:type="paragraph" w:styleId="ListNumber5">
    <w:name w:val="List Number 5"/>
    <w:basedOn w:val="Normal"/>
    <w:semiHidden/>
    <w:unhideWhenUsed/>
    <w:pPr>
      <w:numPr>
        <w:numId w:val="19"/>
      </w:numPr>
      <w:contextualSpacing/>
    </w:pPr>
  </w:style>
  <w:style w:type="paragraph" w:styleId="MacroText">
    <w:name w:val="macro"/>
    <w:link w:val="MacroTextChar"/>
    <w:qFormat/>
    <w:pPr>
      <w:tabs>
        <w:tab w:val="left" w:pos="480"/>
        <w:tab w:val="left" w:pos="960"/>
        <w:tab w:val="left" w:pos="1440"/>
        <w:tab w:val="left" w:pos="1920"/>
        <w:tab w:val="left" w:pos="2400"/>
        <w:tab w:val="left" w:pos="2880"/>
        <w:tab w:val="left" w:pos="3360"/>
        <w:tab w:val="left" w:pos="3840"/>
        <w:tab w:val="left" w:pos="4320"/>
      </w:tabs>
      <w:spacing w:line="260" w:lineRule="exact"/>
    </w:pPr>
    <w:rPr>
      <w:rFonts w:ascii="Consolas" w:eastAsia="Times New Roman" w:hAnsi="Consolas"/>
      <w:lang w:eastAsia="en-US"/>
    </w:rPr>
  </w:style>
  <w:style w:type="paragraph" w:styleId="MessageHeader">
    <w:name w:val="Message Header"/>
    <w:basedOn w:val="Normal"/>
    <w:link w:val="MessageHeaderChar"/>
    <w:qFormat/>
    <w:pPr>
      <w:pBdr>
        <w:top w:val="single" w:sz="6" w:space="1" w:color="000000"/>
        <w:left w:val="single" w:sz="6" w:space="1" w:color="000000"/>
        <w:bottom w:val="single" w:sz="6" w:space="1" w:color="000000"/>
        <w:right w:val="single" w:sz="6" w:space="1" w:color="000000"/>
      </w:pBdr>
      <w:shd w:val="pct20" w:color="auto" w:fill="auto"/>
      <w:spacing w:line="240" w:lineRule="auto"/>
      <w:ind w:left="1080" w:hanging="1080"/>
    </w:pPr>
    <w:rPr>
      <w:rFonts w:asciiTheme="majorHAnsi" w:eastAsiaTheme="majorEastAsia" w:hAnsiTheme="majorHAnsi" w:cstheme="majorBidi"/>
      <w:sz w:val="24"/>
      <w:szCs w:val="24"/>
    </w:rPr>
  </w:style>
  <w:style w:type="paragraph" w:styleId="NoSpacing">
    <w:name w:val="No Spacing"/>
    <w:uiPriority w:val="1"/>
    <w:qFormat/>
    <w:pPr>
      <w:tabs>
        <w:tab w:val="left" w:pos="567"/>
      </w:tabs>
    </w:pPr>
    <w:rPr>
      <w:rFonts w:eastAsia="Times New Roman"/>
      <w:sz w:val="22"/>
      <w:lang w:eastAsia="en-US"/>
    </w:rPr>
  </w:style>
  <w:style w:type="paragraph" w:styleId="NormalIndent">
    <w:name w:val="Normal Indent"/>
    <w:basedOn w:val="Normal"/>
    <w:semiHidden/>
    <w:unhideWhenUsed/>
    <w:qFormat/>
    <w:pPr>
      <w:ind w:left="720"/>
    </w:pPr>
  </w:style>
  <w:style w:type="paragraph" w:styleId="NoteHeading">
    <w:name w:val="Note Heading"/>
    <w:basedOn w:val="Normal"/>
    <w:next w:val="Normal"/>
    <w:link w:val="NoteHeadingChar"/>
    <w:semiHidden/>
    <w:unhideWhenUsed/>
    <w:qFormat/>
    <w:pPr>
      <w:spacing w:line="240" w:lineRule="auto"/>
    </w:pPr>
  </w:style>
  <w:style w:type="paragraph" w:styleId="PlainText">
    <w:name w:val="Plain Text"/>
    <w:basedOn w:val="Normal"/>
    <w:link w:val="PlainTextChar"/>
    <w:semiHidden/>
    <w:unhideWhenUsed/>
    <w:qFormat/>
    <w:pPr>
      <w:spacing w:line="240" w:lineRule="auto"/>
    </w:pPr>
    <w:rPr>
      <w:rFonts w:ascii="Consolas" w:hAnsi="Consolas"/>
      <w:sz w:val="21"/>
      <w:szCs w:val="21"/>
    </w:rPr>
  </w:style>
  <w:style w:type="paragraph" w:styleId="Quote">
    <w:name w:val="Quote"/>
    <w:basedOn w:val="Normal"/>
    <w:next w:val="Normal"/>
    <w:link w:val="QuoteChar"/>
    <w:uiPriority w:val="29"/>
    <w:qFormat/>
    <w:pPr>
      <w:spacing w:before="200" w:after="160"/>
      <w:ind w:left="864" w:right="864"/>
      <w:jc w:val="center"/>
    </w:pPr>
    <w:rPr>
      <w:i/>
      <w:iCs/>
      <w:color w:val="404040" w:themeColor="text1" w:themeTint="BF"/>
    </w:rPr>
  </w:style>
  <w:style w:type="paragraph" w:styleId="Salutation">
    <w:name w:val="Salutation"/>
    <w:basedOn w:val="Normal"/>
    <w:next w:val="Normal"/>
    <w:link w:val="SalutationChar"/>
    <w:semiHidden/>
    <w:unhideWhenUsed/>
  </w:style>
  <w:style w:type="paragraph" w:styleId="Signature">
    <w:name w:val="Signature"/>
    <w:basedOn w:val="Normal"/>
    <w:link w:val="SignatureChar"/>
    <w:semiHidden/>
    <w:unhideWhenUsed/>
    <w:pPr>
      <w:spacing w:line="240" w:lineRule="auto"/>
      <w:ind w:left="4320"/>
    </w:pPr>
  </w:style>
  <w:style w:type="paragraph" w:styleId="Subtitle">
    <w:name w:val="Subtitle"/>
    <w:basedOn w:val="Normal"/>
    <w:next w:val="Normal"/>
    <w:link w:val="SubtitleChar"/>
    <w:qFormat/>
    <w:pPr>
      <w:spacing w:after="160"/>
    </w:pPr>
    <w:rPr>
      <w:rFonts w:asciiTheme="minorHAnsi" w:eastAsiaTheme="minorEastAsia" w:hAnsiTheme="minorHAnsi" w:cstheme="minorBidi"/>
      <w:color w:val="5A5A5A" w:themeColor="text1" w:themeTint="A5"/>
      <w:spacing w:val="15"/>
      <w:szCs w:val="22"/>
    </w:rPr>
  </w:style>
  <w:style w:type="paragraph" w:styleId="TableofAuthorities">
    <w:name w:val="table of authorities"/>
    <w:basedOn w:val="Normal"/>
    <w:next w:val="Normal"/>
    <w:semiHidden/>
    <w:unhideWhenUsed/>
    <w:pPr>
      <w:tabs>
        <w:tab w:val="clear" w:pos="567"/>
      </w:tabs>
      <w:ind w:left="220" w:hanging="220"/>
    </w:pPr>
  </w:style>
  <w:style w:type="paragraph" w:styleId="TableofFigures">
    <w:name w:val="table of figures"/>
    <w:basedOn w:val="Normal"/>
    <w:next w:val="Normal"/>
    <w:semiHidden/>
    <w:unhideWhenUsed/>
    <w:pPr>
      <w:tabs>
        <w:tab w:val="clear" w:pos="567"/>
      </w:tabs>
    </w:pPr>
  </w:style>
  <w:style w:type="paragraph" w:styleId="TOAHeading">
    <w:name w:val="toa heading"/>
    <w:basedOn w:val="Normal"/>
    <w:next w:val="Normal"/>
    <w:semiHidden/>
    <w:unhideWhenUsed/>
    <w:qFormat/>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semiHidden/>
    <w:unhideWhenUsed/>
    <w:pPr>
      <w:tabs>
        <w:tab w:val="clear" w:pos="567"/>
      </w:tabs>
      <w:spacing w:after="100"/>
    </w:pPr>
  </w:style>
  <w:style w:type="paragraph" w:styleId="TOC2">
    <w:name w:val="toc 2"/>
    <w:basedOn w:val="Normal"/>
    <w:next w:val="Normal"/>
    <w:autoRedefine/>
    <w:semiHidden/>
    <w:unhideWhenUsed/>
    <w:pPr>
      <w:tabs>
        <w:tab w:val="clear" w:pos="567"/>
      </w:tabs>
      <w:spacing w:after="100"/>
      <w:ind w:left="220"/>
    </w:pPr>
  </w:style>
  <w:style w:type="paragraph" w:styleId="TOC3">
    <w:name w:val="toc 3"/>
    <w:basedOn w:val="Normal"/>
    <w:next w:val="Normal"/>
    <w:autoRedefine/>
    <w:semiHidden/>
    <w:unhideWhenUsed/>
    <w:pPr>
      <w:tabs>
        <w:tab w:val="clear" w:pos="567"/>
      </w:tabs>
      <w:spacing w:after="100"/>
      <w:ind w:left="440"/>
    </w:pPr>
  </w:style>
  <w:style w:type="paragraph" w:styleId="TOC4">
    <w:name w:val="toc 4"/>
    <w:basedOn w:val="Normal"/>
    <w:next w:val="Normal"/>
    <w:autoRedefine/>
    <w:semiHidden/>
    <w:unhideWhenUsed/>
    <w:pPr>
      <w:tabs>
        <w:tab w:val="clear" w:pos="567"/>
      </w:tabs>
      <w:spacing w:after="100"/>
      <w:ind w:left="660"/>
    </w:pPr>
  </w:style>
  <w:style w:type="paragraph" w:styleId="TOC5">
    <w:name w:val="toc 5"/>
    <w:basedOn w:val="Normal"/>
    <w:next w:val="Normal"/>
    <w:autoRedefine/>
    <w:semiHidden/>
    <w:unhideWhenUsed/>
    <w:pPr>
      <w:tabs>
        <w:tab w:val="clear" w:pos="567"/>
      </w:tabs>
      <w:spacing w:after="100"/>
      <w:ind w:left="880"/>
    </w:pPr>
  </w:style>
  <w:style w:type="paragraph" w:styleId="TOC6">
    <w:name w:val="toc 6"/>
    <w:basedOn w:val="Normal"/>
    <w:next w:val="Normal"/>
    <w:autoRedefine/>
    <w:semiHidden/>
    <w:unhideWhenUsed/>
    <w:pPr>
      <w:tabs>
        <w:tab w:val="clear" w:pos="567"/>
      </w:tabs>
      <w:spacing w:after="100"/>
      <w:ind w:left="1100"/>
    </w:pPr>
  </w:style>
  <w:style w:type="paragraph" w:styleId="TOC7">
    <w:name w:val="toc 7"/>
    <w:basedOn w:val="Normal"/>
    <w:next w:val="Normal"/>
    <w:autoRedefine/>
    <w:semiHidden/>
    <w:unhideWhenUsed/>
    <w:pPr>
      <w:tabs>
        <w:tab w:val="clear" w:pos="567"/>
      </w:tabs>
      <w:spacing w:after="100"/>
      <w:ind w:left="1320"/>
    </w:pPr>
  </w:style>
  <w:style w:type="paragraph" w:styleId="TOC8">
    <w:name w:val="toc 8"/>
    <w:basedOn w:val="Normal"/>
    <w:next w:val="Normal"/>
    <w:autoRedefine/>
    <w:semiHidden/>
    <w:unhideWhenUsed/>
    <w:pPr>
      <w:tabs>
        <w:tab w:val="clear" w:pos="567"/>
      </w:tabs>
      <w:spacing w:after="100"/>
      <w:ind w:left="1540"/>
    </w:pPr>
  </w:style>
  <w:style w:type="paragraph" w:styleId="TOC9">
    <w:name w:val="toc 9"/>
    <w:basedOn w:val="Normal"/>
    <w:next w:val="Normal"/>
    <w:autoRedefine/>
    <w:semiHidden/>
    <w:unhideWhenUsed/>
    <w:pPr>
      <w:tabs>
        <w:tab w:val="clear" w:pos="567"/>
      </w:tabs>
      <w:spacing w:after="100"/>
      <w:ind w:left="1760"/>
    </w:pPr>
  </w:style>
  <w:style w:type="paragraph" w:styleId="TOCHeading">
    <w:name w:val="TOC Heading"/>
    <w:basedOn w:val="Heading1"/>
    <w:next w:val="Normal"/>
    <w:uiPriority w:val="39"/>
    <w:semiHidden/>
    <w:unhideWhenUsed/>
    <w:qFormat/>
    <w:pPr>
      <w:outlineLvl w:val="9"/>
    </w:pPr>
  </w:style>
  <w:style w:type="paragraph" w:customStyle="1" w:styleId="TitleA">
    <w:name w:val="Title A"/>
    <w:basedOn w:val="Normal"/>
    <w:link w:val="TitleAChar"/>
    <w:qFormat/>
    <w:pPr>
      <w:spacing w:line="240" w:lineRule="auto"/>
      <w:jc w:val="center"/>
      <w:outlineLvl w:val="0"/>
    </w:pPr>
    <w:rPr>
      <w:b/>
      <w:bCs/>
      <w:szCs w:val="22"/>
      <w:lang w:val="lt-LT"/>
    </w:rPr>
  </w:style>
  <w:style w:type="paragraph" w:customStyle="1" w:styleId="TitleB">
    <w:name w:val="Title B"/>
    <w:basedOn w:val="Normal"/>
    <w:link w:val="TitleBChar"/>
    <w:qFormat/>
    <w:pPr>
      <w:tabs>
        <w:tab w:val="clear" w:pos="567"/>
      </w:tabs>
      <w:spacing w:line="240" w:lineRule="auto"/>
      <w:ind w:left="567" w:hanging="567"/>
      <w:outlineLvl w:val="0"/>
    </w:pPr>
    <w:rPr>
      <w:b/>
      <w:bCs/>
      <w:szCs w:val="22"/>
      <w:lang w:val="lt-LT"/>
    </w:rPr>
  </w:style>
  <w:style w:type="paragraph" w:customStyle="1" w:styleId="paragraph">
    <w:name w:val="paragraph"/>
    <w:basedOn w:val="Normal"/>
    <w:qFormat/>
    <w:pPr>
      <w:tabs>
        <w:tab w:val="clear" w:pos="567"/>
      </w:tabs>
      <w:spacing w:beforeAutospacing="1" w:afterAutospacing="1" w:line="240" w:lineRule="auto"/>
    </w:pPr>
    <w:rPr>
      <w:sz w:val="24"/>
      <w:szCs w:val="24"/>
      <w:lang w:eastAsia="en-GB"/>
    </w:rPr>
  </w:style>
  <w:style w:type="paragraph" w:customStyle="1" w:styleId="Kadroturinys">
    <w:name w:val="Kadro turinys"/>
    <w:basedOn w:val="Normal"/>
    <w:qFormat/>
  </w:style>
  <w:style w:type="table" w:customStyle="1" w:styleId="TablegridAgencyblack">
    <w:name w:val="Table grid (Agency) black"/>
    <w:basedOn w:val="TableNormal"/>
    <w:semiHidden/>
    <w:rPr>
      <w:sz w:val="18"/>
    </w:rPr>
    <w:tblP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
    <w:tcPr>
      <w:shd w:val="clear" w:color="auto" w:fill="auto"/>
    </w:tcPr>
    <w:tblStylePr w:type="firstRow">
      <w:rPr>
        <w:b/>
        <w:i w:val="0"/>
        <w:sz w:val="18"/>
        <w:szCs w:val="18"/>
      </w:rPr>
      <w:tblPr/>
      <w:trPr>
        <w:tblHeader/>
      </w:trPr>
      <w:tcPr>
        <w:tcBorders>
          <w:top w:val="single" w:sz="4" w:space="0" w:color="auto"/>
          <w:left w:val="single" w:sz="4" w:space="0" w:color="auto"/>
          <w:bottom w:val="single" w:sz="4" w:space="0" w:color="auto"/>
          <w:right w:val="single" w:sz="4" w:space="0" w:color="auto"/>
          <w:insideH w:val="single" w:sz="6" w:space="0" w:color="auto"/>
          <w:insideV w:val="single" w:sz="6" w:space="0" w:color="auto"/>
          <w:tl2br w:val="nil"/>
          <w:tr2bl w:val="nil"/>
        </w:tcBorders>
        <w:shd w:val="clear" w:color="auto" w:fill="auto"/>
      </w:tcPr>
    </w:tblStylePr>
  </w:style>
  <w:style w:type="table" w:customStyle="1" w:styleId="C-Table">
    <w:name w:val="C-Table"/>
    <w:basedOn w:val="TableNormal"/>
    <w:rPr>
      <w:lang w:val="en-US" w:eastAsia="en-US"/>
    </w:rPr>
    <w:tblP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style>
  <w:style w:type="table" w:styleId="TableGrid">
    <w:name w:val="Table Grid"/>
    <w:basedOn w:val="TableNormal"/>
    <w:rPr>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Pr>
      <w:rFonts w:asciiTheme="minorHAnsi" w:eastAsiaTheme="minorEastAsia" w:hAnsiTheme="minorHAnsi" w:cstheme="minorBidi"/>
      <w:sz w:val="22"/>
      <w:szCs w:val="22"/>
      <w:lang w:val="en-US" w:eastAsia="en-US"/>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ma.europa.eu/" TargetMode="Externa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ema.europa.eu/documents/template-form/qrd-appendix-v-adverse-drug-reaction-reporting-details_en.docx"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www.ema.europa.eu/"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ema.europa.eu/en/documents/template-form/qrd-appendix-v-adverse-drug-reaction-reporting-details_en.docx" TargetMode="External"/></Relationships>
</file>

<file path=word/theme/theme1.xml><?xml version="1.0" encoding="utf-8"?>
<a:theme xmlns:a="http://schemas.openxmlformats.org/drawingml/2006/main"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76DBF8B6BD34946A629049B0FD0699F" ma:contentTypeVersion="24" ma:contentTypeDescription="Create a new document." ma:contentTypeScope="" ma:versionID="49f578eaf73c33fc5465cb951c868e57">
  <xsd:schema xmlns:xsd="http://www.w3.org/2001/XMLSchema" xmlns:xs="http://www.w3.org/2001/XMLSchema" xmlns:p="http://schemas.microsoft.com/office/2006/metadata/properties" xmlns:ns2="b8434024-78ab-4947-83aa-193cce1ac3f7" xmlns:ns3="c6d6b400-72ba-4a57-b688-d5c47e9fe2ab" targetNamespace="http://schemas.microsoft.com/office/2006/metadata/properties" ma:root="true" ma:fieldsID="8d0d922f269a1775c984bc99c070abe9" ns2:_="" ns3:_="">
    <xsd:import namespace="b8434024-78ab-4947-83aa-193cce1ac3f7"/>
    <xsd:import namespace="c6d6b400-72ba-4a57-b688-d5c47e9fe2a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LengthInSecond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element ref="ns2:_ApprovalAssignedTo" minOccurs="0"/>
                <xsd:element ref="ns2:_ApprovalRespondedBy" minOccurs="0"/>
                <xsd:element ref="ns2:_ApprovalSentBy" minOccurs="0"/>
                <xsd:element ref="ns2:_ApprovalStatus"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8434024-78ab-4947-83aa-193cce1ac3f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4b64ba3a-d38b-4412-a744-64514f4d468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_ApprovalAssignedTo" ma:index="27" nillable="true" ma:displayName="Approvers" ma:list="UserInfo" ma:internalName="_ApprovalAssignedTo"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RespondedBy" ma:index="28" nillable="true" ma:displayName="Responses" ma:list="UserInfo" ma:internalName="_ApprovalRespondedBy"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entBy" ma:index="29" nillable="true" ma:displayName="Approval Creator" ma:list="UserInfo" ma:internalName="_ApprovalSent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tatus" ma:index="30" nillable="true" ma:displayName="Approval status" ma:internalName="_ApprovalStatus" ma:readOnly="true">
      <xsd:simpleType>
        <xsd:restriction base="dms:Unknown"/>
      </xsd:simpleType>
    </xsd:element>
    <xsd:element name="_Flow_SignoffStatus" ma:index="31" nillable="true" ma:displayName="Sign-off status" ma:internalName="_x0024_Resources_x003a_core_x002c_Signoff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6d6b400-72ba-4a57-b688-d5c47e9fe2ab"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824140e-6c32-423b-ae1e-8169cc8aae6d}" ma:internalName="TaxCatchAll" ma:showField="CatchAllData" ma:web="c6d6b400-72ba-4a57-b688-d5c47e9fe2a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c6d6b400-72ba-4a57-b688-d5c47e9fe2ab" xsi:nil="true"/>
    <lcf76f155ced4ddcb4097134ff3c332f xmlns="b8434024-78ab-4947-83aa-193cce1ac3f7">
      <Terms xmlns="http://schemas.microsoft.com/office/infopath/2007/PartnerControls"/>
    </lcf76f155ced4ddcb4097134ff3c332f>
    <_Flow_SignoffStatus xmlns="b8434024-78ab-4947-83aa-193cce1ac3f7" xsi:nil="true"/>
    <_ApprovalAssignedTo xmlns="b8434024-78ab-4947-83aa-193cce1ac3f7">
      <UserInfo>
        <DisplayName/>
        <AccountId xsi:nil="true"/>
        <AccountType/>
      </UserInfo>
    </_ApprovalAssignedTo>
    <_ApprovalRespondedBy xmlns="b8434024-78ab-4947-83aa-193cce1ac3f7">
      <UserInfo>
        <DisplayName/>
        <AccountId xsi:nil="true"/>
        <AccountType/>
      </UserInfo>
    </_ApprovalRespondedBy>
    <_ApprovalStatus xmlns="b8434024-78ab-4947-83aa-193cce1ac3f7">0</_ApprovalStatu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C9E503-5505-4716-8ABB-EDB038E4B4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8434024-78ab-4947-83aa-193cce1ac3f7"/>
    <ds:schemaRef ds:uri="c6d6b400-72ba-4a57-b688-d5c47e9fe2a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7ACAD62-FAAE-490F-AF69-BC0F121AC3BB}">
  <ds:schemaRefs>
    <ds:schemaRef ds:uri="http://schemas.microsoft.com/sharepoint/v3/contenttype/forms"/>
  </ds:schemaRefs>
</ds:datastoreItem>
</file>

<file path=customXml/itemProps3.xml><?xml version="1.0" encoding="utf-8"?>
<ds:datastoreItem xmlns:ds="http://schemas.openxmlformats.org/officeDocument/2006/customXml" ds:itemID="{407011E3-7BDA-41CF-A81B-5FFE520B2C68}">
  <ds:schemaRefs>
    <ds:schemaRef ds:uri="http://purl.org/dc/elements/1.1/"/>
    <ds:schemaRef ds:uri="http://www.w3.org/XML/1998/namespace"/>
    <ds:schemaRef ds:uri="b8434024-78ab-4947-83aa-193cce1ac3f7"/>
    <ds:schemaRef ds:uri="http://purl.org/dc/terms/"/>
    <ds:schemaRef ds:uri="http://schemas.microsoft.com/office/2006/metadata/properties"/>
    <ds:schemaRef ds:uri="http://schemas.microsoft.com/office/2006/documentManagement/types"/>
    <ds:schemaRef ds:uri="http://schemas.microsoft.com/office/infopath/2007/PartnerControls"/>
    <ds:schemaRef ds:uri="http://schemas.openxmlformats.org/package/2006/metadata/core-properties"/>
    <ds:schemaRef ds:uri="c6d6b400-72ba-4a57-b688-d5c47e9fe2ab"/>
    <ds:schemaRef ds:uri="http://purl.org/dc/dcmitype/"/>
  </ds:schemaRefs>
</ds:datastoreItem>
</file>

<file path=customXml/itemProps4.xml><?xml version="1.0" encoding="utf-8"?>
<ds:datastoreItem xmlns:ds="http://schemas.openxmlformats.org/officeDocument/2006/customXml" ds:itemID="{0CFB0EAF-B45D-41C6-9364-1B56638FF7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221</TotalTime>
  <Pages>6</Pages>
  <Words>10364</Words>
  <Characters>57008</Characters>
  <Application>Microsoft Office Word</Application>
  <DocSecurity>0</DocSecurity>
  <Lines>475</Lines>
  <Paragraphs>134</Paragraphs>
  <ScaleCrop>false</ScaleCrop>
  <HeadingPairs>
    <vt:vector size="2" baseType="variant">
      <vt:variant>
        <vt:lpstr>Title</vt:lpstr>
      </vt:variant>
      <vt:variant>
        <vt:i4>1</vt:i4>
      </vt:variant>
    </vt:vector>
  </HeadingPairs>
  <TitlesOfParts>
    <vt:vector size="1" baseType="lpstr">
      <vt:lpstr>Sephience: EPAR – Product information - tracked changes</vt:lpstr>
    </vt:vector>
  </TitlesOfParts>
  <Company/>
  <LinksUpToDate>false</LinksUpToDate>
  <CharactersWithSpaces>67238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Sephience, INN-sepiapterin</dc:title>
  <dc:subject>EPAR</dc:subject>
  <dc:creator>CHMP</dc:creator>
  <cp:keywords>Sephience, INN-sepiapterin</cp:keywords>
  <dc:description/>
  <cp:revision>45</cp:revision>
  <cp:lastPrinted>2025-07-25T05:33:00Z</cp:lastPrinted>
  <dcterms:created xsi:type="dcterms:W3CDTF">2025-05-07T15:16:00Z</dcterms:created>
  <dcterms:modified xsi:type="dcterms:W3CDTF">2026-05-13T14:06:00Z</dcterms:modified>
  <dc:language>lt-LT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0x010100D76DBF8B6BD34946A629049B0FD0699F</vt:lpwstr>
  </property>
</Properties>
</file>