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Šis dokuments ir apstiprināta Aripiprazole Sandoz zāļu informācija, kurā ir izceltas izmaiņas kopš iepriekšējās procedūras, kas ietekmē zāļu informāciju (EMEA_H_C_004008_N-EMA_N_0000279570).</w:t>
      </w: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Plašāku informāciju skatīt Eiropas Zāļu aģentūras tīmekļa vietnē: </w:t>
      </w:r>
      <w:hyperlink r:id="rId8" w:history="1">
        <w:r>
          <w:rPr>
            <w:rStyle w:val="Hyperlink"/>
            <w:rFonts w:ascii="Times New Roman" w:eastAsia="Times New Roman" w:hAnsi="Times New Roman"/>
            <w:u w:val="none"/>
            <w:lang w:eastAsia="de-DE"/>
          </w:rPr>
          <w:t>https://www.ema.europa.eu/en/medicines/human/EPAR/aripiprazole-sandoz</w:t>
        </w:r>
      </w:hyperlink>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eastAsia="de-DE"/>
        </w:rPr>
      </w:pPr>
      <w:bookmarkStart w:id="0" w:name="ZĀĻU_APRAKSTS"/>
      <w:bookmarkEnd w:id="0"/>
      <w:r>
        <w:rPr>
          <w:rFonts w:ascii="Times New Roman" w:eastAsia="Times New Roman" w:hAnsi="Times New Roman"/>
          <w:b/>
          <w:bCs/>
          <w:lang w:eastAsia="de-DE"/>
        </w:rPr>
        <w:t>I PIELIKUMS</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eastAsia="de-DE"/>
        </w:rPr>
      </w:pPr>
    </w:p>
    <w:p>
      <w:pPr>
        <w:pStyle w:val="TitleA"/>
        <w:outlineLvl w:val="0"/>
      </w:pPr>
      <w:r>
        <w:t>ZĀĻU APRAKSTS</w:t>
      </w:r>
    </w:p>
    <w:p>
      <w:pPr>
        <w:widowControl w:val="0"/>
        <w:kinsoku w:val="0"/>
        <w:overflowPunct w:val="0"/>
        <w:autoSpaceDE w:val="0"/>
        <w:autoSpaceDN w:val="0"/>
        <w:adjustRightInd w:val="0"/>
        <w:spacing w:after="0" w:line="240" w:lineRule="auto"/>
        <w:jc w:val="center"/>
        <w:rPr>
          <w:rFonts w:ascii="Times New Roman" w:hAnsi="Times New Roman"/>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hAnsi="Times New Roman"/>
        </w:rPr>
        <w:br w:type="page"/>
      </w:r>
      <w:r>
        <w:rPr>
          <w:rFonts w:ascii="Times New Roman" w:eastAsia="Times New Roman" w:hAnsi="Times New Roman"/>
          <w:b/>
          <w:bCs/>
          <w:lang w:eastAsia="de-DE"/>
        </w:rPr>
        <w:lastRenderedPageBreak/>
        <w:t>1.</w:t>
      </w:r>
      <w:r>
        <w:rPr>
          <w:rFonts w:ascii="Times New Roman" w:eastAsia="Times New Roman" w:hAnsi="Times New Roman"/>
          <w:b/>
          <w:bCs/>
          <w:lang w:eastAsia="de-DE"/>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b/>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20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2.</w:t>
      </w:r>
      <w:r>
        <w:rPr>
          <w:rFonts w:ascii="Times New Roman" w:eastAsia="Times New Roman" w:hAnsi="Times New Roman"/>
          <w:b/>
          <w:bCs/>
          <w:lang w:eastAsia="de-DE"/>
        </w:rPr>
        <w:tab/>
        <w:t>KVALITATĪVAIS UN KVANTITATĪVAIS SASTĀVS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5 mg aripiprazola (Aripiprazole).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Palīgviela ar zināmu iedarbību</w:t>
      </w:r>
      <w:r>
        <w:rPr>
          <w:rFonts w:ascii="Times New Roman" w:eastAsia="Times New Roman" w:hAnsi="Times New Roman"/>
          <w:lang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67,47 mg laktozes (monohidrāta veidā) katrā tabletē.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10 mg aripiprazola (Aripiprazole).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Palīgviela ar zināmu iedarbību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62,67 mg laktozes (monohidrāta veidā) katrā tabletē.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15 mg aripiprazola (Aripiprazole).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Palīgviela ar zināmu iedarbību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92,86 mg laktozes (monohidrāta veidā) katrā tabletē.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20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20 mg aripiprazola (Aripiprazole).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 xml:space="preserve">Palīgviela ar zināmu iedarbību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125,72 mg laktozes (monohidrāta veidā) katrā tabletē.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30 mg aripiprazola (Aripiprazole).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 xml:space="preserve">Palīgviela ar zināmu iedarbību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186,68 mg laktozes (monohidrāta veidā) katrā tabletē.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Pilnu palīgvielu sarakstu skatīt 6.1. apakšpunktā.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3.</w:t>
      </w:r>
      <w:r>
        <w:rPr>
          <w:rFonts w:ascii="Times New Roman" w:eastAsia="Times New Roman" w:hAnsi="Times New Roman"/>
          <w:b/>
          <w:bCs/>
          <w:lang w:eastAsia="de-DE"/>
        </w:rPr>
        <w:tab/>
        <w:t>ZĀĻU FORMA</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Tablete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5 mg tabletes</w:t>
      </w: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Zilas krāsas, raiba, apaļas formas tablete, aptuveni 6,0 mm diametrā, ar iespiestu “SZ” vienā pusē un “444” otrā pusē.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Sārtas krāsas, raiba, apaļas formas tablete, aptuveni 6,0 mm diametrā, ar iespiestu “SZ” vienā pusē un “446” otrā pusē.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Dzeltenas krāsas, raiba, apaļas formas tablete, aptuveni 7,0 mm diametrā, ar iespiestu “SZ” vienā pusē un “447” otrā pusē.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20 mg tabletes</w:t>
      </w: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Baltas krāsas, apaļas formas tablete, aptuveni 7,8 mm diametrā, ar iespiestu “SZ” vienā pusē un “448” otrā pusē.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Sārtas krāsas, raiba, apaļas formas tablete, aptuveni 9,0 mm diametrā, ar iespiestu “SZ” vienā pusē un “449” otrā pusē.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w:t>
      </w:r>
      <w:r>
        <w:rPr>
          <w:rFonts w:ascii="Times New Roman" w:eastAsia="Times New Roman" w:hAnsi="Times New Roman"/>
          <w:b/>
          <w:bCs/>
          <w:lang w:eastAsia="de-DE"/>
        </w:rPr>
        <w:tab/>
        <w:t>KLĪNISKĀ INFORMĀCIJA</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4.1.</w:t>
      </w:r>
      <w:r>
        <w:rPr>
          <w:rFonts w:ascii="Times New Roman" w:eastAsia="Times New Roman" w:hAnsi="Times New Roman"/>
          <w:b/>
          <w:bCs/>
          <w:lang w:eastAsia="de-DE"/>
        </w:rPr>
        <w:tab/>
        <w:t>Terapeitiskās indikācijas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ir paredzēts šizofrēnijas ārstēšanai pieaugušajiem un pusaudžiem vecumā no 15 gadiem.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ir paredzēts vidēji smagu vai smagu mānijas epizožu ārstēšanai I tipa bipolāri afektīvu traucējumu gadījumos un atkārtotu mānijas epizožu profilaksei pieaugušajiem, kuriem pārsvarā bija mānijas epizodes un kuru mānijas epizodes izdevies mazināt ar aripiprazolu (skatīt 5.1.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ir paredzēts vidēji smagu vai smagu mānijas epizožu ārstēšanai līdz 12 nedēļām I tipa bipolāri afektīvu traucējumu gadījumos 13 gadus veciem un vecākiem pusaudžiem (skatīt 5.1.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4.2.</w:t>
      </w:r>
      <w:r>
        <w:rPr>
          <w:rFonts w:ascii="Times New Roman" w:eastAsia="Times New Roman" w:hAnsi="Times New Roman"/>
          <w:b/>
          <w:bCs/>
          <w:lang w:eastAsia="de-DE"/>
        </w:rPr>
        <w:tab/>
        <w:t>Devas un lietošanas veids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Devas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Pieaugušie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Šizofrēnija</w:t>
      </w:r>
      <w:r>
        <w:rPr>
          <w:rFonts w:ascii="Times New Roman" w:eastAsia="Times New Roman" w:hAnsi="Times New Roman"/>
          <w:lang w:eastAsia="de-DE"/>
        </w:rPr>
        <w:t>: Aripiprazole Sandoz rekomendētā sākotnējā deva ir 10 vai 15 mg dienā ar balstdevu 15 mg vienu reizi dienā, ko lieto neatkarīgi no ēdienreizēm.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ir efektīvs devās no 10 līdz 30 mg dienā. Lai arī dažiem pacientiem ir iespējama uzlabošanās, lietojot lielāku devu, efektivitātes palielināšanās, lietojot devas, kuras pārsniedz diennakts devu 15 mg, nav pierādīta. Maksimālā dienas deva nedrīkst pārsniegt 30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Mānijas epizodes I tipa bipolāro traucējumu gadījumos: </w:t>
      </w:r>
      <w:r>
        <w:rPr>
          <w:rFonts w:ascii="Times New Roman" w:eastAsia="Times New Roman" w:hAnsi="Times New Roman"/>
          <w:lang w:eastAsia="de-DE"/>
        </w:rPr>
        <w:t>Aripiprazole Sandoz rekomendētā sākotnējā deva ir 15 mg vienu reizi dienā, ko lieto neatkarīgi no ēdienreizēm kā monoterapiju vai kombinēto terapiju (skatīt 5.1. apakšpunktu). Dažiem pacientiem ir iespējama uzlabošanās, lietojot lielāku devu. Maksimālā dienas deva nedrīkst pārsniegt 30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I tipa bipolāri afektīvu traucējumu mānijas epizožu recidīvu profilakse: </w:t>
      </w:r>
      <w:r>
        <w:rPr>
          <w:rFonts w:ascii="Times New Roman" w:eastAsia="Times New Roman" w:hAnsi="Times New Roman"/>
          <w:lang w:eastAsia="de-DE"/>
        </w:rPr>
        <w:t xml:space="preserve">mānijas epizožu recidīvu </w:t>
      </w:r>
      <w:r>
        <w:rPr>
          <w:rFonts w:ascii="Times New Roman" w:eastAsia="Times New Roman" w:hAnsi="Times New Roman"/>
          <w:lang w:eastAsia="de-DE"/>
        </w:rPr>
        <w:lastRenderedPageBreak/>
        <w:t>profilaksei pacientiem, kas iepriekš saņēmuši un joprojām saņem aripiprazolu monoterapijas vai kombinētās terapijas veidā, turpina terapiju ar to pašu devu. Dienas devas piemērošana, ieskaitot devas samazināšanu, jāveic pamatojoties uz klīnisko stāvokli.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eastAsia="de-DE"/>
        </w:rPr>
      </w:pPr>
      <w:r>
        <w:rPr>
          <w:rFonts w:ascii="Times New Roman" w:eastAsia="Times New Roman" w:hAnsi="Times New Roman"/>
          <w:i/>
          <w:u w:val="single"/>
          <w:lang w:eastAsia="de-DE"/>
        </w:rPr>
        <w:t>Pediatriskā populācija</w:t>
      </w: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Šizofrēnija pusaudžiem, vecākiem par 15 gadiem: </w:t>
      </w:r>
      <w:r>
        <w:rPr>
          <w:rFonts w:ascii="Times New Roman" w:eastAsia="Times New Roman" w:hAnsi="Times New Roman"/>
          <w:lang w:eastAsia="de-DE"/>
        </w:rPr>
        <w:t>ieteicamā deva ir Aripiprazole Sandoz 10 mg/dienā. To lieto vienu reizi dienā, neatkarīgi no ēdienreizēm. Terapija jāuzsāk ar 2 mg lielu devu (izmantojot atbilstošas aripiprazolu saturošas zāles), ko lieto 2 dienas. Nākošās 2 dienas titrē devu līdz 5 mg , līdz sasniegta ieteicamā dienas deva – 10 mg. Ja nepieciešams, tālāka devas palielināšana jāveic ik pa 5 mg, nepārsniedzot dienas devu 30 mg (skatīt 5.1.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ir efektīvs devās no 10 līdz 30 mg dienā. Nav pierādīts, ka, lietojot lielākas dienas devas par 10 mg, būtu augstāka efektivitāte, tomēr atsevišķiem pacientiem var būt uzlabošanās pēc lielāku devu lietošanas.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nav ieteicams lietot pacientiem ar šizofrēniju, kuri ir jaunāki par 15 gadiem, jo nav pietiekošu datu par zāļu drošumu un efektivitāti (skatīt 4.8. un 5.1.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Mānijas epizodes 13 gadus veciem un vecākiem pusaudžiem, kam ir I tipa bipolārie traucējumi: </w:t>
      </w:r>
      <w:r>
        <w:rPr>
          <w:rFonts w:ascii="Times New Roman" w:eastAsia="Times New Roman" w:hAnsi="Times New Roman"/>
          <w:lang w:eastAsia="de-DE"/>
        </w:rPr>
        <w:t>ieteicamā Aripiprazole Sandoz deva ir 10 mg vienu reizi dienā neatkarīgi no ēdienreizēm. Ārstēšana jāsāk, divas dienas lietojot 2 mg lielu devu (izmantojot atbilstošas aripiprazolu saturošas zāles), nākamajās divās dienās titrējot līdz 5 mg, lai sasniegtu ieteicamo dienas devu 10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Ārstēšanai jābūt tikai tik ilgai, lai nodrošinātu simptomu kontroli, un tā nedrīkst būt ilgāka par 12 nedēļām. Lielāka efektivitāte, lietojot dienas devas, kas lielākas par 10 mg, nav novērota, un 30 mg lielu dienas devu lietošana ir saistīta ar ievērojami biežākām nozīmīgām blakusparādībām, tostarp ar EPS izraisītiem traucējumiem, miegainību, nespēku un ķermeņa masas palielināšanos (skatīt 4.8. apakšpunktu). Tādēļ dienas devas, kas lielākas par 10 mg, drīkst lietot tikai izņēmuma gadījumos un stingras klīniskas kontroles apstākļos (skatīt 4.4., 4.8. un 5.1.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Jaunākiem pacientiem ir lielāks aripiprazola izraisītu blakusparādību risks. Tādēļ pacientiem līdz 13 gadu vecumam Aripiprazole Sandoz lietošana nav ieteicama (skatīt 4.8. un 5.1.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Uzbudināmība saistībā ar autisma traucējumiem: </w:t>
      </w:r>
      <w:r>
        <w:rPr>
          <w:rFonts w:ascii="Times New Roman" w:eastAsia="Times New Roman" w:hAnsi="Times New Roman"/>
          <w:iCs/>
          <w:lang w:eastAsia="de-DE"/>
        </w:rPr>
        <w:t xml:space="preserve">Aripiprazole Sandoz </w:t>
      </w:r>
      <w:r>
        <w:rPr>
          <w:rFonts w:ascii="Times New Roman" w:eastAsia="Times New Roman" w:hAnsi="Times New Roman"/>
          <w:lang w:eastAsia="de-DE"/>
        </w:rPr>
        <w:t>drošums un efektivitāte, lietojot bērniem un pusaudžiem vecumā līdz 18 gadiem, līdz šim nav pierādīta. Pašlaik pieejamie dati aprakstīti 5.1. apakšpunktā, taču ieteikumus par devām nevar sniegt.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Ar Tureta sindromu saistīti tiki: </w:t>
      </w:r>
      <w:r>
        <w:rPr>
          <w:rFonts w:ascii="Times New Roman" w:eastAsia="Times New Roman" w:hAnsi="Times New Roman"/>
          <w:lang w:eastAsia="de-DE"/>
        </w:rPr>
        <w:t>Aripiprazole Sandoz drošums un efektivitāte, lietojot bērniem un pusaudžiem vecumā no 6 līdz 18 gadiem, līdz šim nav pierādīta. Pašlaik pieejamie dati aprakstīti 5.1. apakšpunktā, taču ieteikumus par devām nevar sniegt.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Īpašas pacientu grupas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Aknu funkcijas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Nav nepieciešama devas pielāgošana pacientiem ar viegliem vai mēreniem aknu funkcijas traucējumiem. Nav pietiekošu datu, lai sniegtu rekomendācijas par devām slimniekiem ar smagiem aknu funkcijas traucējumiem. Viņiem devas jānosaka īpaši piesardzīgi. Slimniekiem ar smagiem aknu funkcijas traucējumiem maksimālā dienas deva 30 mg jālieto piesardzīgi (skatīt 5.2.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Nieru funkcijas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Nav nepieciešama devas pielāgošana pacientiem ar nieru funkcijas traucējumiem.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Gados vecāki cilvēki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Aripiprazole Sandoz drošums un efektivitāte šizofrēnijas vai mānijas epizožu ārstēšanā 65 gadus veciem un vecākiem pacientiem ar I tipa bipolāri afektīviem traucējumiem nav noteikta. Ņemot vērā </w:t>
      </w:r>
      <w:r>
        <w:rPr>
          <w:rFonts w:ascii="Times New Roman" w:eastAsia="Times New Roman" w:hAnsi="Times New Roman"/>
          <w:lang w:eastAsia="de-DE"/>
        </w:rPr>
        <w:lastRenderedPageBreak/>
        <w:t>šīs populācijas augstāku jutību, ja klīniskie faktori to attaisno, jādomā par mazāku sākotnējo devu (skatīt 4.4.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Dzimums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Nav nepieciešama devas pielāgošana sievietēm, salīdzinot ar devu vīriešiem (skatīt 5.2.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Smēķētājiem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Ņemot vērā aripiprazola metabolismu, nav nepieciešama devas pielāgošana smēķētājiem (skatīt 4.5.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Devas pielāgošana mijiedarbības dēļ</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līdz ar aripiprazolu lieto spēcīgus CYP3A4 vai CYP2D6 inhibitorus, aripiprazola deva jāsamazina. Ja CYP3A4 vai CYP2D6 inhibitora lietošanu kombinētā terapijā pārtrauc, aripiprazola deva jāpaaugstina (skatīt 4.5.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līdz ar aripiprazolu lieto spēcīgus CYP3A4 induktorus, aripiprazola deva jāpaaugstina. Ja CYP3A4 induktora lietošanu kombinētā terapijā pārtrauc, aripiprazola deva jāsamazina līdz rekomendētajai devai (skatīt 4.5.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Lietošanas veids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paredzētas 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Mutē disperģējamās tabletes vai šķīdumu iekšķīgai lietošanai var lietot kā alternatīvu pacientiem, kuriem ir grūti norīt Aripiprazole Sandoz tabletes (skatīt 5.2.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4.3.</w:t>
      </w:r>
      <w:r>
        <w:rPr>
          <w:rFonts w:ascii="Times New Roman" w:eastAsia="Times New Roman" w:hAnsi="Times New Roman"/>
          <w:b/>
          <w:bCs/>
          <w:lang w:eastAsia="de-DE"/>
        </w:rPr>
        <w:tab/>
        <w:t>Kontrindikācijas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Paaugstināta jutība pret aktīvo vielu vai jebkuru no 6.1. apakšpunktā uzskaitītajām palīgvielām.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4.4.</w:t>
      </w:r>
      <w:r>
        <w:rPr>
          <w:rFonts w:ascii="Times New Roman" w:eastAsia="Times New Roman" w:hAnsi="Times New Roman"/>
          <w:b/>
          <w:bCs/>
          <w:lang w:eastAsia="de-DE"/>
        </w:rPr>
        <w:tab/>
        <w:t>Īpaši brīdinājumi un piesardzība lietošanā</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Antipsihotiskā terapijā slimnieka stāvokļa uzlabošanās var iestāties tikai pēc vairākām dienām vai nedēļām. Šajā laikā slimnieki rūpīgi jānovēro.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Suicidalitāte</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Garīgām saslimšanām un garastāvokļa traucējumu gadījumos ir raksturīga suicidāla rīcība. Dažos gadījumos par to ir ziņots agrīni pēc ārstēšanas ar antipsihotiskajiem līdzekļiem uzsākšanas vai nomaiņas, ieskaitot ārstēšanu ar aripiprazolu (skatīt 4.8. apakšpunktu). Ārstējot ar antipsihotiskiem līdzekļiem augsta riska pacientus, tie rūpīgi jāuzrauga.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Sirds un asinsvadu darbības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Aripiprazolu nepieciešams lietot uzmanīgi pacientiem ar jau zināmām sirds un asinsvadu slimībām (miokarda infarkts anamnēzē, sirds išēmiskā slimība, sirds mazspēja vai vadīšanas traucējumi) cerebrovaskulārām slimībām, kuras varētu izraisīt pacientiem hipotensiju (dehidratācija, hipovolēmija un ārstēšana ar antihipertensīviem līdzekļiem) vai hipertensiju, ieskaitot pieaugošu vai ļaundabīgu.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Ir ziņots par vēnu tromboembolijas (VTE) gadījumiem saistībā ar antipsihotisko līdzekļu lietošanu. Tā kā ar antipsihotiskiem līdzekļiem ārstētiem pacientiem bieži ir iegūti VTE riska faktori, pirms ārstēšanas uzsākšanas ar aripiprazolu un tās laikā jānosaka visi iespējamie VTE riska faktori un jāveic profilakses pasākumi.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QT intervāla pagarināšanās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Klīniskos pētījumos ar aripiprazolu pagarināta QT intervāla biežums ir salīdzināms ar placebo. Aripiprazols jālieto piesardzīgi pacientiem ar pagarinātu QT intervālu ģimenes anamnēzē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Tardīvā diskinēzija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Gadu ilgos vai īsākos klīniskajos pētījumos ārstēšanas ar aripiprazolu laikā ir bijuši reti ziņojumi par terapijas izraisītu diskinēziju. Ja aripiprazola lietošanas laikā parādās tardīvās diskinēzijas pazīmes un simptomi, jāapsver nepieciešamība samazināt aripiprazola devu vai jādomā par preparāta atcelšanu (skatīt 4.8. apakšpunktu). Šie simptomi uz laiku var pasliktināties vai pat var rasties pēc terapijas pārtraukšanas.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Citi ekstrapiramidālie simptomi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Pediatriskajos klīniskajos pētījumos ar aripiprazolu ir novērota akatīzija un parkinsonisms. Ja pacientam aripiprazola lietošanas laikā ir citu EPS pazīmes un simptomi, jāapsver nepieciešamība samazināt devu un rūpīgi kontrolēt klīniskos simptomus.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Ļaundabīgais neiroleptiskais sindroms (ĻNS)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ĻNS ir potenciāli fatāls simptomu komplekss, kas saistīts ar antipsihotisku līdzekļu lietošanu. Klīniskajos pētījumos tika ziņots par retiem ĻNS gadījumiem ārstēšanas laikā ar aripiprazolu. ĻNS klīniski izpaužas ar hiperpireksiju, muskuļu rigiditāti, psihiskā stāvokļa pārmaiņām un autonomu nestabilitāti (neregulārs pulss vai asinsspiediens, tahikardija, svīšana, sirds aritmija). Bez tam var būt kreatīna fosfokināzes paaugstināšanās, mioglobīnūrija (rabdomiolīze) un akūta nieru mazspēja. Tomēr ir ziņots par kreatinīna fosfokināzes paaugstināšanos un rabdomiolīzi, kas nav noteikti saistīta ar ĻNS. Ja pacientam attīstās simptomi un pazīmes, kas norāda uz ĻNS, vai ir stāvoklis ar neizskaidrojamu augstu drudzi bez papildus ĻNS klīniskām izpausmēm, jāpārtrauc visu antipsihotisko līdzekļu, arī aripiprazola, lietošana.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Krampji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Klīniskajos pētījumos retos gadījumos tika ziņots par krampjiem ārstēšanas ar aripiprazolu laikā. Tādēļ pacientiem, kuriem anamnēzē ir bijušas slimības ar krampjiem un kuriem ir stāvokļi, ko pavada krampji, aripiprazols jālieto piesardzīgi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Vecāka gadagājuma pacientiem ar psihozi, kas saistīta ar demenci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Mirstības palielināšanās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Trīs placebo kontrolētos aripiprazola pētījumos (n = 938; vidējais vecums 82,4 gadi, amplitūda: 56</w:t>
      </w:r>
      <w:r>
        <w:rPr>
          <w:rFonts w:ascii="Times New Roman" w:eastAsia="Times New Roman" w:hAnsi="Times New Roman"/>
          <w:lang w:eastAsia="de-DE"/>
        </w:rPr>
        <w:noBreakHyphen/>
        <w:t>99 gadi) vecāka gadagājuma pacientiem ar psihozi, kas saistīta ar Alcheimera slimību, novēroja, ka tiem pacientiem, kuri tika ārstēti ar aripiprazolu, palielinājās mirstības risks, salīdzinot ar placebo grupu. Mirstība ar aripiprazolu ārstētiem pacientiem bija 3,5 %, salīdzinot ar 1,7 % placebo grupā. Kaut arī nāves iemesli bija dažādi, vairumā gadījumu tie bija kardiovaskulāri (piemēram, miokarda infarkts, pēkšņa nāve), vai infekcijas (piemēram, pneimonija)</w:t>
      </w:r>
      <w:r>
        <w:t xml:space="preserve"> </w:t>
      </w:r>
      <w:r>
        <w:rPr>
          <w:rFonts w:ascii="Times New Roman" w:eastAsia="Times New Roman" w:hAnsi="Times New Roman"/>
          <w:lang w:eastAsia="de-DE"/>
        </w:rPr>
        <w:t>(skatīt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Cerebrovaskulāras nevēlamas blakusparādības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Tajos pašos pētījumos ziņots par cerebrovaskulārām nevēlamām blakusparādībām (piemēram, trieka, pārejošas išēmijas lēkmes), tostarp bija arī fatālas (pacientu vidējais vecums: 84 gadi; intervāls: no 78 līdz 88 g.). Kopumā šajos pētījumos 1,3 % ar aripiprazolu ārstētiem pacientiem bija cerebrovaskulāras nevēlamas blakusparādības, salīdzinot ar 0,6 % ar placebo ārstētiem pacientiem. Šī starpība nebija statistiski nozīmīga.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Tomēr vienā no pētījumiem, kas bija fiksētu devu pētījums, cerebrovaskulārām nevēlamām blakusparādībām bija ticama sakarība ar saņemto aripiprazola devu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 nav indicēts pacientu ar psihozi, kas saistīta ar demenci, ārstēšanai.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lastRenderedPageBreak/>
        <w:t>Hiperglikēmija un cukura diabēts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Hiperglikēmija, dažos gadījumos ārkārtēja, ar ketoacidozi, hiperosmolāru komu vai nāvi, novērota pacientiem, kas tiek ārstēti ar atipiskiem antipsihotiskiem līdzekļiem, ieskaitot aripiprazolu. Riska faktori, kuri varētu izsaukt smagas komplikācijas, ir aptaukošanās un cukura diabēts ģimenes anamnēzē. Aripiprazola klīniskajos pētījumos nenovēroja nozīmīgu atšķirību ar hiperglikēmiju saistītu nevēlamo blakusparādību (tostarp diabēts) vai patoloģisku glikēmijas laboratorisko rādītāju biežumā, salīdzinot ar placebo. Pacientiem, kas ārstēti ar aripiprazolu un citiem atipiskiem antipsihotiskiem līdzekļiem, ar hiperglikēmiju saistīto nevēlamo blakusparādību riska precīzs vērtējums nav pieejams, lai varētu veikt tiešu salīdzināšanu. Pacienti, kas tiek ārstēti ar jebkādu antipsihotisku līdzekli, ieskaitot aripiprazolu, jānovēro, vai nav hiperglikēmijas simptomi (piemēram, polidipsija, poliūrija, polifāgija un nespēks), un pacientiem ar cukura diabētu vai ar tā riska faktoriem regulāri jākontrolē glikozes līmenis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Hipersensitivitāte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Lietojot aripiprazolu, var parādīties hipersensitivitātes reakcijas, kas izpaužas kā alerģiski simptomi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Ķermeņa masas pieaugums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Ķermeņa masas pieaugums ir bieži novērojams šizofrēnijas un bipolārās mānijas pacientiem sakarā ar blakus slimībām, antipsihotisko līdzekļu, kas izraisa ķermeņa masas pieaugumu, lietošanu, nepareizu dzīvesveidu, un tas var radīt smagas komplikācijas. Pēcreģistrācijas periodā ziņots par ķermeņa masas pieaugumu pacientiem, kuriem nozīmēts Aripiprazole Sandoz. Ķermeņa masas pieaugums parasti novērots pacientiem ar tādiem nozīmīgiem riska faktoriem kā cukura diabēts anamnēzē, vairogdziedzera darbības traucējumiem vai vairogdziedzera adenomu. Klīniskos pētījumos ar aripiprazolu nav novērots klīniski nozīmīgs ķermeņa masas pieaugums pieaugušajiem (skatīt 5.1. apakšpunktu). Klīniskajos pētījumos ar pusaudžu vecuma pacientiem, kam ir bipolāra mānija, ir novērots, ka četras nedēļas ilga aripiprazola lietošana ir saistīta ar ķermeņa masas palielināšanos. Pusaudžu vecuma pacientiem, kam ir bipolāra mānija, jākontrolē ķermeņa masa. Ja klīniski nozīmīgi palielinās ķermeņa masa, jāapsver nepieciešamība samazināt devu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Disfāgija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 antipsihotisko līdzekļu, tostarp aripiprazola, lietošanu tiek saistīti barības vada motorikas traucējumi un aspirācija. Aripiprazols būtu jālieto uzmanīgi pacientiem ar aspirācijas pneimonijas risku.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Patoloģiska tieksme uz azartspēlēm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Pacientiem aripiprazola lietošanas laikā ir iespējamas pastiprinātas tieksmes, it īpaši uz azartspēlēm, un nespēja kontrolēt šīs tieksmes. Citas ziņotās tieksmes ir, piemēram, pastiprināta dzimumtieksme, kompulsīva iepirkšanās, pārēšanās vai kompulsīva ēšana un cita impulsīva un kompulsīva uzvedība. Zāļu parakstītājiem ir īpaši svarīgi iztaujāt pacientus vai viņu aprūpētājus par jaunas vai pastiprinātas tieksmes uz azartspēlēm, dzimumtieksmes, kompulsīvas iepirkšanās, pārēšanās vai kompulsīvas ēšanas vai citu tieksmju rašanos ārstēšanas ar aripiprazolu laikā. Jāpiebilst, ka impulsu kontroles traucējumu simptomi var būt saistīti ar pamata saslimšanu, taču dažos gadījumos ir ziņots par tieksmju izzušanu pēc zāļu devas samazināšanas vai to lietošanas pārtraukšanas. Ja impulsu kontroles traucējumi netiek savlaicīgi konstatēti, tie var kaitēt pacientam un citiem cilvēkiem. Ja pacientam aripiprazola lietošanas laikā rodas šādas tieksmes, ir jāapsver iespēja samazināt zāļu devu vai pārtraukt to lietošanu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Pacienti, kam vienlaikus ir uzmanības deficīta un hiperaktivitātes sindroms (UDHS)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Lai gan I tipa bipolāro traucējumu gadījumos pacientiem bieži ir vienlaicīgs UDHS, drošuma dati par aripiprazola Sandoz un stimulējošo līdzekļu vienlaicīgu lietošanu ir ļoti ierobežoti, tādēļ šo zāļu </w:t>
      </w:r>
      <w:r>
        <w:rPr>
          <w:rFonts w:ascii="Times New Roman" w:eastAsia="Times New Roman" w:hAnsi="Times New Roman"/>
          <w:lang w:eastAsia="de-DE"/>
        </w:rPr>
        <w:lastRenderedPageBreak/>
        <w:t>vienlaicīgas lietošanas laikā jāievēro ārkārtīga piesardzība.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Krišana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 var izraisīt miegainību, posturālu hipotensiju, motoru un sensoru nestabilitāti, kā rezultātā ir iespējama krišana. Jāievēro piesardzība, ārstējot pacientus, kam ir palielināts risks, un jāapsver mazākas sākotnējās devas lietošana (piem., gados vecākiem cilvēkiem vai novājinātiem pacientiem (skatīt 4.2.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Laktoze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tabletes satur laktozi. Šīs zāles nevajadzētu lietot pacientiem ar retu iedzimtu galaktozes nepanesību, ar pilnīgu laktāzes deficītu vai glikozes-galaktozes malabsorbciju.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4.5.</w:t>
      </w:r>
      <w:r>
        <w:rPr>
          <w:rFonts w:ascii="Times New Roman" w:eastAsia="Times New Roman" w:hAnsi="Times New Roman"/>
          <w:b/>
          <w:bCs/>
          <w:lang w:eastAsia="de-DE"/>
        </w:rPr>
        <w:tab/>
        <w:t>Mijiedarbība ar citām zālēm un citi mijiedarbības veidi</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Sakarā ar antagonismu pret α</w:t>
      </w:r>
      <w:r>
        <w:rPr>
          <w:rFonts w:ascii="Times New Roman" w:eastAsia="Times New Roman" w:hAnsi="Times New Roman"/>
          <w:vertAlign w:val="subscript"/>
          <w:lang w:eastAsia="de-DE"/>
        </w:rPr>
        <w:t>1</w:t>
      </w:r>
      <w:r>
        <w:rPr>
          <w:rFonts w:ascii="Times New Roman" w:eastAsia="Times New Roman" w:hAnsi="Times New Roman"/>
          <w:lang w:eastAsia="de-DE"/>
        </w:rPr>
        <w:t>-adrenerģiskajiem receptoriem, aripiprazolam piemīt spēja pastiprināt noteiktu antihipertensīvo zaļu iedarbību.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Ņemot vērā aripiprazola primāro ietekmi uz CNS, jāievēro piesardzība, ja to lieto kombinācijā ar alkoholu vai citām CNS ietekmējošām zālēm, kuru nevēlamās blakusparādības, piemēram, sedācija, sakrīt ar aripiprazola blakusparādībām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aripiprazols ir nozīmēts kopā ar zālēm, kas izsauc QT intervāla pagarināšanos vai elektrolītu līdzsvara traucējumus, tas jālieto piesardzīgi.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Citu zāļu spēja ietekmēt aripiprazolu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Kuņģa skābes sekrēcijas inhibitors H</w:t>
      </w:r>
      <w:r>
        <w:rPr>
          <w:rFonts w:ascii="Times New Roman" w:eastAsia="Times New Roman" w:hAnsi="Times New Roman"/>
          <w:vertAlign w:val="subscript"/>
          <w:lang w:eastAsia="de-DE"/>
        </w:rPr>
        <w:t>2</w:t>
      </w:r>
      <w:r>
        <w:rPr>
          <w:rFonts w:ascii="Times New Roman" w:eastAsia="Times New Roman" w:hAnsi="Times New Roman"/>
          <w:lang w:eastAsia="de-DE"/>
        </w:rPr>
        <w:t xml:space="preserve"> antagonists famotidīns samazina aripiprazola absorbciju, bet šis efekts netiek uzskatīts par klīniski nozīmīgu.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metabolisms noris vairākos ceļos, ieskaitot ar CYP2D6 un CYP3A4 enzīmu starpniecību, bet ne ar CYP1A enzīmiem. Tātad nav nepieciešama devas piemērošana smēķētājiem.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Hinidīns un citi CYP2D6 inhibitori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Klīniskajā pētījumā ar veseliem indivīdiem spēcīgs CYP2D6 inhibitors (hinidīns) paaugstināja aripiprazola AUC par 107 %, bet C</w:t>
      </w:r>
      <w:r>
        <w:rPr>
          <w:rFonts w:ascii="Times New Roman" w:eastAsia="Times New Roman" w:hAnsi="Times New Roman"/>
          <w:vertAlign w:val="subscript"/>
          <w:lang w:eastAsia="de-DE"/>
        </w:rPr>
        <w:t>max</w:t>
      </w:r>
      <w:r>
        <w:rPr>
          <w:rFonts w:ascii="Times New Roman" w:eastAsia="Times New Roman" w:hAnsi="Times New Roman"/>
          <w:lang w:eastAsia="de-DE"/>
        </w:rPr>
        <w:t xml:space="preserve"> nemainījās. Aktīvā metabolīta dehidro-aripiprazola AUC un C</w:t>
      </w:r>
      <w:r>
        <w:rPr>
          <w:rFonts w:ascii="Times New Roman" w:eastAsia="Times New Roman" w:hAnsi="Times New Roman"/>
          <w:vertAlign w:val="subscript"/>
          <w:lang w:eastAsia="de-DE"/>
        </w:rPr>
        <w:t>max</w:t>
      </w:r>
      <w:r>
        <w:rPr>
          <w:rFonts w:ascii="Times New Roman" w:eastAsia="Times New Roman" w:hAnsi="Times New Roman"/>
          <w:lang w:eastAsia="de-DE"/>
        </w:rPr>
        <w:t xml:space="preserve"> atbilstoši samazinājās par 32 % un 47 %. Aripiprazola deva jāsamazina apmēram uz pusi, ja hinidīnu ordinē vienlaikus ar aripiprazolu. Sagaidāms, ka citiem spēcīgiem CYP2D6 inhibitoriem, piemēram, fluoksetīnam un paroksetīnam, ir līdzīga ietekme, tāpēc jāpiemēro līdzīga devas samazināšana.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Ketokonazols un citi CYP3A4 inhibitori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Klīniskajā pētījumā ar veseliem indivīdiem spēcīgs CYP3A4 inhibitors (ketokonazols) paaugstināja aripiprazola AUC par 63 %, bet C</w:t>
      </w:r>
      <w:r>
        <w:rPr>
          <w:rFonts w:ascii="Times New Roman" w:eastAsia="Times New Roman" w:hAnsi="Times New Roman"/>
          <w:vertAlign w:val="subscript"/>
          <w:lang w:eastAsia="de-DE"/>
        </w:rPr>
        <w:t>max</w:t>
      </w:r>
      <w:r>
        <w:rPr>
          <w:rFonts w:ascii="Times New Roman" w:eastAsia="Times New Roman" w:hAnsi="Times New Roman"/>
          <w:lang w:eastAsia="de-DE"/>
        </w:rPr>
        <w:t xml:space="preserve"> par 37 %. Aktīvā metabolīta dehidro-aripiprazola AUC un C</w:t>
      </w:r>
      <w:r>
        <w:rPr>
          <w:rFonts w:ascii="Times New Roman" w:eastAsia="Times New Roman" w:hAnsi="Times New Roman"/>
          <w:vertAlign w:val="subscript"/>
          <w:lang w:eastAsia="de-DE"/>
        </w:rPr>
        <w:t>max</w:t>
      </w:r>
      <w:r>
        <w:rPr>
          <w:rFonts w:ascii="Times New Roman" w:eastAsia="Times New Roman" w:hAnsi="Times New Roman"/>
          <w:w w:val="99"/>
          <w:lang w:eastAsia="de-DE"/>
        </w:rPr>
        <w:t xml:space="preserve"> </w:t>
      </w:r>
      <w:r>
        <w:rPr>
          <w:rFonts w:ascii="Times New Roman" w:eastAsia="Times New Roman" w:hAnsi="Times New Roman"/>
          <w:lang w:eastAsia="de-DE"/>
        </w:rPr>
        <w:t xml:space="preserve">atbilstoši paaugstinājās par 77 % un 43 %. CYP2D6 vājiem metabolizētājiem, lietojot vienlaikus spēcīgus CYP3A4 inhibitorus, aripiprazola līmenis plazmā var būt augstāks salīdzinājumā ar CYP2D6 stipriem metabolizētājiem.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domā par ketokonazola vai citu spēcīgu CYP3A4 inhibitoru lietošanu ar aripiprazolu, potenciālajam ieguvumam jābūt lielākam par iespējamo risku pacientam. Ja aripiprazolu lieto vienlaikus ar ketokonazolu, aripiprazola deva jāmazina apmēram uz pusi no ordinētās. Sagaidāms, ka citiem spēcīgiem CYP3A4 inhibitoriem, piemēram, itrakonazolam un HIV proteāzes inhibitoriem, ir līdzīga ietekme, tāpēc tāpat nepieciešams samazināt devu (skatīt 4.2.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Pēc CYP2D6 vai CYP3A4 inhibitoru pārtraukšanas, aripiprazola deva jāpaaugstina līdz tam līmenim, kāds bija pirms kombinētas terapijas uzsākšanas.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Kad vāji CYP3A4 inhibitori (piem., diltiazems) vai vāji CYP2D6 inhibitori (piem. escitaloprams) tiek lietoti vienlaikus ar aripiprazolu, ir iespējama neliela aripiprazola koncentrācijas plazmā paaugstināšanās.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Karbamazepīns un citi CYP3A4 induktori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Pēc karbamazepīna, kas ir spēcīgs CYP3A4 induktors, un aripiprazola iekšķīgi lietojamās formas vienlaicīgas lietošanas pacientiem ar šizofrēniju vai šizoafektīviem traucējumiem aripiprazola C</w:t>
      </w:r>
      <w:r>
        <w:rPr>
          <w:rFonts w:ascii="Times New Roman" w:eastAsia="Times New Roman" w:hAnsi="Times New Roman"/>
          <w:vertAlign w:val="subscript"/>
          <w:lang w:eastAsia="de-DE"/>
        </w:rPr>
        <w:t>max</w:t>
      </w:r>
      <w:r>
        <w:rPr>
          <w:rFonts w:ascii="Times New Roman" w:eastAsia="Times New Roman" w:hAnsi="Times New Roman"/>
          <w:lang w:eastAsia="de-DE"/>
        </w:rPr>
        <w:t xml:space="preserve"> un AUC ģeometriskie lielumi bija atbilstoši par 68 % un 73 % zemāki, salīdzinot ar aripiprazolu (30 mg) vienu pašu. Līdzīgi, dehidro-aripiprazola C</w:t>
      </w:r>
      <w:r>
        <w:rPr>
          <w:rFonts w:ascii="Times New Roman" w:eastAsia="Times New Roman" w:hAnsi="Times New Roman"/>
          <w:vertAlign w:val="subscript"/>
          <w:lang w:eastAsia="de-DE"/>
        </w:rPr>
        <w:t>max</w:t>
      </w:r>
      <w:r>
        <w:rPr>
          <w:rFonts w:ascii="Times New Roman" w:eastAsia="Times New Roman" w:hAnsi="Times New Roman"/>
          <w:lang w:eastAsia="de-DE"/>
        </w:rPr>
        <w:t xml:space="preserve"> un AUC ģeometriskie lielumi pēc vienlaikus terapijas ar karbamazepīnu bija atbilstoši par 69 % un 71 % zemāki, salīdzinot ar šiem lielumiem, ja terapija bija ar aripiprazolu vienu pašu.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deva jāpaaugstina divas reizes, ja aripiprazolu lieto vienlaikus ar karbamazepīnu. Aripiprazola un citu CYP3A4 induktoru (piemēram, rifampicīna, rifabutīna, fenitoīna, fenobarbitāla, primidona, efavirenzaa, nevirapīna un asinszāles preparātu) vienlaicīga lietošana, jādomā, izraisa līdzīgu ietekmi, tāpēc tāpat nepieciešams paaugstināt devu. Pēc CYP3A4 spēcīgu induktoru lietošanas pārtraukšanas, aripiprazola deva jāmazina līdz rekomendētajai devai.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Valproāts un litijs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valproāts vai litijs tika lietots vienlaikus ar aripiprazolu, klīniski nozīmīgu aripiprazola koncentrācijas pārmaiņu nenovēroja, un tādēļ, vienlaicīgi ar aripiprazolu lietojot valproātu vai litiju, devas korekcija nav nepieciešama.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Aripiprazola spēja ietekmēt citas zāles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Klīniskajos pētījumos aripiprazola deva 10</w:t>
      </w:r>
      <w:r>
        <w:rPr>
          <w:rFonts w:ascii="Times New Roman" w:eastAsia="Times New Roman" w:hAnsi="Times New Roman"/>
          <w:lang w:eastAsia="de-DE"/>
        </w:rPr>
        <w:noBreakHyphen/>
        <w:t xml:space="preserve">30 mg dienā būtiski neietekmēja CYP2D6 (attiecība dekstrometorfāns/3-metoksimorfināns), CYP2C9 (varfarīns), CYP2C19 (omeprazols) un CYP3A4 (dekstrometorfāns) substrātu metabolismu. Bez tam, aripiprazolam un dehidro-aripiprazolam nebija spēja mainīt CYP1A2-mediēto metabolismu </w:t>
      </w:r>
      <w:r>
        <w:rPr>
          <w:rFonts w:ascii="Times New Roman" w:eastAsia="Times New Roman" w:hAnsi="Times New Roman"/>
          <w:i/>
          <w:iCs/>
          <w:lang w:eastAsia="de-DE"/>
        </w:rPr>
        <w:t>in vitro</w:t>
      </w:r>
      <w:r>
        <w:rPr>
          <w:rFonts w:ascii="Times New Roman" w:eastAsia="Times New Roman" w:hAnsi="Times New Roman"/>
          <w:lang w:eastAsia="de-DE"/>
        </w:rPr>
        <w:t>. Tātad, maz ticams, ka aripiprazols varētu izraisīt šo enzīmu mediētas klīniski nozīmīgas zāļu mijiedarbības.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aripiprazols tika lietots vienlaikus ar valproātu, litiju vai lamotrigīnu, klīniski nozīmīgas valproāta, litija vai lamotrigīna koncentrācijas pārmaiņas nenovēroja.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tabs>
          <w:tab w:val="left" w:pos="2460"/>
        </w:tabs>
        <w:kinsoku w:val="0"/>
        <w:overflowPunct w:val="0"/>
        <w:autoSpaceDE w:val="0"/>
        <w:autoSpaceDN w:val="0"/>
        <w:adjustRightInd w:val="0"/>
        <w:spacing w:after="0" w:line="240" w:lineRule="auto"/>
        <w:rPr>
          <w:rFonts w:ascii="Times New Roman" w:eastAsia="Times New Roman" w:hAnsi="Times New Roman"/>
          <w:i/>
          <w:u w:val="single"/>
          <w:lang w:eastAsia="de-DE"/>
        </w:rPr>
      </w:pPr>
      <w:r>
        <w:rPr>
          <w:rFonts w:ascii="Times New Roman" w:eastAsia="Times New Roman" w:hAnsi="Times New Roman"/>
          <w:i/>
          <w:u w:val="single"/>
          <w:lang w:eastAsia="de-DE"/>
        </w:rPr>
        <w:t>Serotonīna sindroms</w:t>
      </w:r>
    </w:p>
    <w:p>
      <w:pPr>
        <w:widowControl w:val="0"/>
        <w:tabs>
          <w:tab w:val="left" w:pos="2460"/>
        </w:tabs>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Pacientiem, kas lieto aripiprazolu, ir novērots serotonīna sindroms, un šī stāvokļa iespējamās pazīmes un simptomi jo īpaši var rasties, vienlaikus lietojot citas serotonīnenerģiskās zāles, piem., selektīvos serotonīna atpakaļsaistīšanās inhibitorus / selektīvos serotonīna un noradrenalīna atpakaļsaistes inhibitorus (</w:t>
      </w:r>
      <w:r>
        <w:rPr>
          <w:rFonts w:ascii="Times New Roman" w:eastAsia="Times New Roman" w:hAnsi="Times New Roman"/>
          <w:i/>
          <w:lang w:eastAsia="de-DE"/>
        </w:rPr>
        <w:t>selective serotonin reuptake inhibitor/selective serotonin noradrenalin reuptake-inhibitor</w:t>
      </w:r>
      <w:r>
        <w:rPr>
          <w:rFonts w:ascii="Times New Roman" w:eastAsia="Times New Roman" w:hAnsi="Times New Roman"/>
          <w:lang w:eastAsia="de-DE"/>
        </w:rPr>
        <w:t xml:space="preserve"> –SSAI/SNAI), vai zāles, kuras palielina aripiprazola koncentrāciju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4.6.</w:t>
      </w:r>
      <w:r>
        <w:rPr>
          <w:rFonts w:ascii="Times New Roman" w:eastAsia="Times New Roman" w:hAnsi="Times New Roman"/>
          <w:b/>
          <w:bCs/>
          <w:lang w:eastAsia="de-DE"/>
        </w:rPr>
        <w:tab/>
        <w:t>Fertilitāte, grūtniecība un barošana ar krūti</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Grūtniecība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Nav adekvātu un labi kontrolētu aripiprazola pētījumu ar grūtniecēm. Ir ziņots par iedzimtām anomālijām, taču cēlonisku saistību ar aripiprazolu konstatēt nevar. Pētījumi ar dzīvniekiem nevar izslēgt varbūtēju toksisku ietekmi uz attīstību (skatīt 5.3. apakšpunktu). Jāinstruē pacientes, ka nepieciešams informēt ārstu par iestājušos grūtniecību vai ka tiek plānota grūtniecība aripiprazola terapijas laikā. Sakarā ar nepietiekošu informāciju par lietošanas drošumu cilvēkiem un šaubām, kas radās reprodukcijas pētījumos ar dzīvniekiem, šīs zāles nedrīkst lietot grūtniecības laikā, izņemot gadījumus, ja gaidāmais ieguvums skaidri atsver varbūtējo risku auglim.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Jaundzimušajiem, kuri tikuši pakļauti antipsihotisko līdzekļu (tajā skaitā aripiprazola) iedarbībai trešā grūtniecības trimestra laikā, ir tādu blakusparādību risks kā ekstrapiramidālie un/vai abstinences </w:t>
      </w:r>
      <w:r>
        <w:rPr>
          <w:rFonts w:ascii="Times New Roman" w:eastAsia="Times New Roman" w:hAnsi="Times New Roman"/>
          <w:lang w:eastAsia="de-DE"/>
        </w:rPr>
        <w:lastRenderedPageBreak/>
        <w:t>simptomi, kas var atšķirties pēc izpausmes ilguma un smaguma pakāpes pēcdzemdību periodā. Ziņots par uzbudinājumu, hipertoniju, hipotoniju, tremoru, miegainību, respiratorajiem traucējumiem un barošanās traucējumiem. Tādēļ jaundzimušie ir rūpīgi jānovēro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Barošana ar krūti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Aripiprazols/metabolīti izdalās cilvēka pienā. Lēmums pārtraukt zīdīšanu vai pārtraukt/atturēties no terapijas ar aripiprazolu jāpieņem, izvērtējot krūts barošanas ieguvumu bērnam un ieguvumu no terapijas sievietei.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Fertilitāte</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Pētījumos par toksisko ietekmi uz reproduktīvo sistēmu aripiprazolam nebija negatīvas ietekmes uz fertilitāti.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4.7.</w:t>
      </w:r>
      <w:r>
        <w:rPr>
          <w:rFonts w:ascii="Times New Roman" w:eastAsia="Times New Roman" w:hAnsi="Times New Roman"/>
          <w:b/>
          <w:bCs/>
          <w:lang w:eastAsia="de-DE"/>
        </w:rPr>
        <w:tab/>
        <w:t>Ietekme uz spēju vadīt transportlīdzekļus un apkalpot mehānismus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Iespējamās ietekmes uz nervu sistēmu un redzi (piem., sedācijas, miegainības, sinkopes, redzes miglošanās, diplopijas) dēļ aripiprazols maz vai mēreni ietekmē spēju vadīt transportlīdzekļus un apkalpot mehānismus (skatīt 4.8.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4.8.</w:t>
      </w:r>
      <w:r>
        <w:rPr>
          <w:rFonts w:ascii="Times New Roman" w:eastAsia="Times New Roman" w:hAnsi="Times New Roman"/>
          <w:b/>
          <w:bCs/>
          <w:lang w:eastAsia="de-DE"/>
        </w:rPr>
        <w:tab/>
        <w:t>Nevēlamās blakusparādības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Drošuma profila kopsavilkums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Klīniskajos pētījumos visbiežāk ziņots par šādām blakusparādībām: akatīzija un slikta dūša. Katra šī blakusparādība ir sastopama vairāk nekā 3 % pacientu, ārstētiem ar iekšķīgi lietojamu aripiprazolu.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Blakusparādību uzskaitījums tabulas veidā</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 aripiprazola lietošanu saistīto nevēlamo blakusparādību biežums ir parādīts zemāk esošajā tabulā. Tabula ir izveidota, ņemot vērā nevēlamās blakusparādības, par kurām ir ziņots klīniskajos pētījumos un/vai pēcreģistrācijas uzraudzības periodā.</w:t>
      </w:r>
    </w:p>
    <w:p>
      <w:pPr>
        <w:widowControl w:val="0"/>
        <w:spacing w:after="0" w:line="240" w:lineRule="auto"/>
        <w:rPr>
          <w:rFonts w:ascii="Times New Roman" w:eastAsia="Times New Roman" w:hAnsi="Times New Roman"/>
          <w:bCs/>
          <w:iCs/>
          <w:color w:val="000000"/>
        </w:rPr>
      </w:pP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Visas nevēlamās blakusparādības ir uzskaitītas pēc orgānu sistēmu klases  un  biežuma: ļoti bieži (≥ 1/10), bieži (≥ 1/100 līdz &lt; 1/10), retāk (≥ 1/1000 līdz &lt; 1/100), reti (≥ 1/10 000 līdz &lt; 1/1000), ļoti reti (&lt; 1/10 000) un nav zināmi (nevar noteikt pēc pieejamiem datiem). Katrā biežuma grupā nevēlamās blakusparādības ir uzskaitītas to nopietnības samazināšanās secībā.</w:t>
      </w:r>
    </w:p>
    <w:p>
      <w:pPr>
        <w:widowControl w:val="0"/>
        <w:autoSpaceDE w:val="0"/>
        <w:autoSpaceDN w:val="0"/>
        <w:adjustRightInd w:val="0"/>
        <w:spacing w:after="0" w:line="240" w:lineRule="auto"/>
        <w:rPr>
          <w:rFonts w:ascii="Times New Roman" w:eastAsia="Times New Roman" w:hAnsi="Times New Roman"/>
          <w:color w:val="000000"/>
          <w:lang w:eastAsia="en-GB"/>
        </w:rPr>
      </w:pPr>
    </w:p>
    <w:p>
      <w:pPr>
        <w:widowControl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Pēcreģistrācijas uzraudzības periodā ziņoto nevēlamo blakusparādību biežumu nav iespējams noteikt, jo informācija par tām ir iegūta no spontāniem ziņojumiem. Tāpēc šo nevēlamo blakusparādību biežums ir norādīts kā “nav zināms”.</w:t>
      </w:r>
    </w:p>
    <w:p>
      <w:pPr>
        <w:widowControl w:val="0"/>
        <w:spacing w:after="0" w:line="240" w:lineRule="auto"/>
        <w:rPr>
          <w:rFonts w:ascii="Times New Roman" w:eastAsia="Times New Roman" w:hAnsi="Times New Roman"/>
          <w:color w:val="000000"/>
          <w:lang w:eastAsia="en-G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trPr>
          <w:tblHeader/>
        </w:trPr>
        <w:tc>
          <w:tcPr>
            <w:tcW w:w="2127" w:type="dxa"/>
          </w:tcPr>
          <w:p>
            <w:pPr>
              <w:widowControl w:val="0"/>
              <w:autoSpaceDE w:val="0"/>
              <w:autoSpaceDN w:val="0"/>
              <w:adjustRightInd w:val="0"/>
              <w:spacing w:after="0" w:line="240" w:lineRule="auto"/>
              <w:rPr>
                <w:rFonts w:ascii="Times New Roman" w:eastAsia="Times New Roman" w:hAnsi="Times New Roman"/>
                <w:color w:val="000000"/>
              </w:rPr>
            </w:pP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b/>
                <w:color w:val="000000"/>
              </w:rPr>
              <w:t>Bieži</w:t>
            </w: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b/>
                <w:color w:val="000000"/>
              </w:rPr>
              <w:t>Retāk</w:t>
            </w:r>
          </w:p>
        </w:tc>
        <w:tc>
          <w:tcPr>
            <w:tcW w:w="3402"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b/>
                <w:color w:val="000000"/>
              </w:rPr>
              <w:t>Nav zināms</w:t>
            </w:r>
          </w:p>
          <w:p>
            <w:pPr>
              <w:widowControl w:val="0"/>
              <w:autoSpaceDE w:val="0"/>
              <w:autoSpaceDN w:val="0"/>
              <w:adjustRightInd w:val="0"/>
              <w:spacing w:after="0" w:line="240" w:lineRule="auto"/>
              <w:rPr>
                <w:rFonts w:ascii="Times New Roman" w:eastAsia="Times New Roman" w:hAnsi="Times New Roman"/>
                <w:color w:val="000000"/>
              </w:rPr>
            </w:pP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Asins un limfātiskās sistēmas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Leikopēnija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Neitropēnija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Trombocitopēnija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Imūnās sistēmas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p>
        </w:tc>
        <w:tc>
          <w:tcPr>
            <w:tcW w:w="3402" w:type="dxa"/>
          </w:tcPr>
          <w:p>
            <w:pPr>
              <w:widowControl w:val="0"/>
              <w:autoSpaceDE w:val="0"/>
              <w:autoSpaceDN w:val="0"/>
              <w:adjustRightInd w:val="0"/>
              <w:spacing w:after="0" w:line="240" w:lineRule="auto"/>
              <w:rPr>
                <w:rFonts w:ascii="Times New Roman" w:eastAsia="Times New Roman" w:hAnsi="Times New Roman"/>
                <w:iCs/>
                <w:color w:val="000000"/>
              </w:rPr>
            </w:pPr>
            <w:r>
              <w:rPr>
                <w:rFonts w:ascii="Times New Roman" w:eastAsia="Times New Roman" w:hAnsi="Times New Roman"/>
                <w:iCs/>
                <w:color w:val="000000"/>
              </w:rPr>
              <w:t>Alerģiska reakcija (piem., anafilaktiska reakcija, angioedēma, tostarp mēles pietūkums, mēles tūska, sejas tūska,alerģiska nieze vai nātrene)</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Endokrīnās sistēmas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Hiperprolaktinēmija</w:t>
            </w:r>
            <w:r>
              <w:rPr>
                <w:rFonts w:ascii="Times New Roman" w:eastAsia="Times New Roman" w:hAnsi="Times New Roman"/>
                <w:color w:val="000000"/>
              </w:rPr>
              <w:br/>
              <w:t>Pazemināts prolaktīna līmenis asinīs</w:t>
            </w:r>
          </w:p>
        </w:tc>
        <w:tc>
          <w:tcPr>
            <w:tcW w:w="3402" w:type="dxa"/>
          </w:tcPr>
          <w:p>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rPr>
              <w:t>Diabētiskā hiperosmolārā koma</w:t>
            </w:r>
          </w:p>
          <w:p>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rPr>
              <w:t>Diabētiskā ketoacidoze</w:t>
            </w:r>
          </w:p>
          <w:p>
            <w:pPr>
              <w:widowControl w:val="0"/>
              <w:spacing w:after="0" w:line="240" w:lineRule="auto"/>
              <w:rPr>
                <w:rFonts w:ascii="Times New Roman" w:eastAsia="Times New Roman" w:hAnsi="Times New Roman"/>
                <w:color w:val="000000"/>
              </w:rPr>
            </w:pP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lastRenderedPageBreak/>
              <w:t>Vielmaiņas un uztures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Cukura diabēts</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de-DE"/>
              </w:rPr>
            </w:pPr>
            <w:r>
              <w:rPr>
                <w:rFonts w:ascii="Times New Roman" w:eastAsia="Times New Roman" w:hAnsi="Times New Roman"/>
                <w:color w:val="000000"/>
                <w:lang w:eastAsia="de-DE"/>
              </w:rPr>
              <w:t>Hiperglikēmija</w:t>
            </w:r>
          </w:p>
        </w:tc>
        <w:tc>
          <w:tcPr>
            <w:tcW w:w="3402" w:type="dxa"/>
          </w:tcPr>
          <w:p>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rPr>
              <w:t>Hiponatriēmija</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Anoreksija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Psihiskie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Bezmiegs</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Trauksme</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lang w:eastAsia="en-GB"/>
              </w:rPr>
              <w:t>Nemiers</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Depresija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Hiperseksualitāte</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Pašnāvības mēģinājums, domas par pašnāvību un pašnāvība (skatīt 4.4. apakšpunktu)</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Patoloģiska tieksme uz azartspēlēm</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Impulsu kontroles traucējumi</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Pārēšanās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Kompulsīva iepirkšanās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Poriomānija</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Agresija</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Uzbudinājums</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lang w:bidi="he-IL"/>
              </w:rPr>
              <w:t xml:space="preserve">Nervozitāte </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Nervu sistēmas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Akatīzija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Ekstrapiramidāli traucējumi</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Tremors</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lang w:eastAsia="en-GB"/>
              </w:rPr>
              <w:t>Galvassāpes</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Sedācija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Miegainība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Reibonis</w:t>
            </w: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Tardīvā diskinēzija</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Distonija</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Nemierīgo kāju sindroms</w:t>
            </w:r>
          </w:p>
        </w:tc>
        <w:tc>
          <w:tcPr>
            <w:tcW w:w="3402"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Ļaundabīgais neiroleptiskais sindroms (ĻNS)</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EpilepsijasLielās lēkmes (grand mal)</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Serotonīna sindroms</w:t>
            </w:r>
          </w:p>
          <w:p>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rPr>
              <w:t>Runas traucējumi</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Acu bojājumi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Redzes miglošanās</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Diplopija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Fotofobija</w:t>
            </w:r>
          </w:p>
        </w:tc>
        <w:tc>
          <w:tcPr>
            <w:tcW w:w="3402"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Okulogiriska krīze</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Sirds funkcijas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Tahikardija</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Pēkšņa, neizskaidrojama nāve</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i/>
                <w:color w:val="000000"/>
                <w:lang w:bidi="he-IL"/>
              </w:rPr>
              <w:t>Torsades de pointes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Ventrikulāra aritmija</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Sirds apstāšanās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Bradikardija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Asinsvadu sistēmas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lang w:eastAsia="en-GB"/>
              </w:rPr>
              <w:t>Ortostatiska hipotensija</w:t>
            </w:r>
          </w:p>
          <w:p>
            <w:pPr>
              <w:widowControl w:val="0"/>
              <w:autoSpaceDE w:val="0"/>
              <w:autoSpaceDN w:val="0"/>
              <w:adjustRightInd w:val="0"/>
              <w:spacing w:after="0" w:line="240" w:lineRule="auto"/>
              <w:rPr>
                <w:rFonts w:ascii="Times New Roman" w:eastAsia="Times New Roman" w:hAnsi="Times New Roman"/>
                <w:color w:val="000000"/>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Vēnu trombembolija (tostarp pulmonāra embolija un dziļo vēnu tromboze)</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Hipertensija</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Sinkope</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Elpošanas sistēmas traucējumi, krūšu kurvja un videnes slimības</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Žagas</w:t>
            </w:r>
          </w:p>
        </w:tc>
        <w:tc>
          <w:tcPr>
            <w:tcW w:w="3402" w:type="dxa"/>
          </w:tcPr>
          <w:p>
            <w:pPr>
              <w:widowControl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Aspirācijas pneimonija</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Laringospazmas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Orofaringeālas spazmas</w:t>
            </w:r>
          </w:p>
          <w:p>
            <w:pPr>
              <w:widowControl w:val="0"/>
              <w:autoSpaceDE w:val="0"/>
              <w:autoSpaceDN w:val="0"/>
              <w:adjustRightInd w:val="0"/>
              <w:spacing w:after="0" w:line="240" w:lineRule="auto"/>
              <w:rPr>
                <w:rFonts w:ascii="Times New Roman" w:eastAsia="Times New Roman" w:hAnsi="Times New Roman"/>
                <w:color w:val="000000"/>
              </w:rPr>
            </w:pP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Kuņģa-zarnu trakta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Aizcietējums</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Dispepsija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Slikta dūša</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Pastiprināta siekalu izdalīšanās</w:t>
            </w:r>
          </w:p>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Vemšana</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Pankreatīts</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Disfāgija</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bCs/>
                <w:color w:val="000000"/>
              </w:rPr>
              <w:t>Caureja</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Diskomforta sajūta vēdera rajonā</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Diskomforta sajūta kuņģī</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Aknu un/vai žults izvades sistēmas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Aknu mazspēja</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Hepatīts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rPr>
              <w:t>Dzelte</w:t>
            </w:r>
          </w:p>
        </w:tc>
      </w:tr>
      <w:tr>
        <w:tc>
          <w:tcPr>
            <w:tcW w:w="2127"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b/>
                <w:color w:val="000000"/>
              </w:rPr>
              <w:t>Ādas un zemādas audu bojājumi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Izsitumi</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Fotosensitivitātes reakcijas</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Alopēcija</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Hiperhidroze</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Zāļu izraisīta reakcija ar eozinofīliju un sistēmiskiem simptomiem</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lastRenderedPageBreak/>
              <w:t>Skeleta-muskuļu un saistaudu sistēmas bojājumi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Rabdomiolīze</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Mialģija</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lang w:bidi="he-IL"/>
              </w:rPr>
              <w:t>Stīvums</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Nieru un urīnizvades sistēmas traucējumi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Urīna nesaturēšana</w:t>
            </w:r>
          </w:p>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lang w:bidi="he-IL"/>
              </w:rPr>
              <w:t>Urīna aizture</w:t>
            </w:r>
          </w:p>
        </w:tc>
      </w:tr>
      <w:tr>
        <w:tc>
          <w:tcPr>
            <w:tcW w:w="2127" w:type="dxa"/>
          </w:tcPr>
          <w:p>
            <w:pPr>
              <w:widowControl w:val="0"/>
              <w:tabs>
                <w:tab w:val="left" w:pos="1276"/>
              </w:tabs>
              <w:spacing w:after="0" w:line="240" w:lineRule="auto"/>
              <w:rPr>
                <w:rFonts w:ascii="Times New Roman" w:eastAsia="Times New Roman" w:hAnsi="Times New Roman"/>
                <w:iCs/>
                <w:color w:val="000000"/>
              </w:rPr>
            </w:pPr>
            <w:r>
              <w:rPr>
                <w:rFonts w:ascii="Times New Roman" w:eastAsia="Times New Roman" w:hAnsi="Times New Roman"/>
                <w:b/>
                <w:iCs/>
                <w:color w:val="000000"/>
              </w:rPr>
              <w:t>Traucējumi grūtniecības, pēcdzemdību un perinatālajā periodā</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eastAsia="en-GB"/>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iCs/>
                <w:color w:val="000000"/>
              </w:rPr>
            </w:pPr>
            <w:r>
              <w:rPr>
                <w:rFonts w:ascii="Times New Roman" w:eastAsia="Times New Roman" w:hAnsi="Times New Roman"/>
                <w:color w:val="000000"/>
                <w:lang w:bidi="he-IL"/>
              </w:rPr>
              <w:t>Zāļu lietošanas pārtraukšanas sindroms jaundzimušajiem (skatīt 4.6. apakšpunktu)</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Reproduktīvās sistēmas traucējumi un krūts slimības</w:t>
            </w:r>
          </w:p>
        </w:tc>
        <w:tc>
          <w:tcPr>
            <w:tcW w:w="1843" w:type="dxa"/>
          </w:tcPr>
          <w:p>
            <w:pPr>
              <w:widowControl w:val="0"/>
              <w:autoSpaceDE w:val="0"/>
              <w:autoSpaceDN w:val="0"/>
              <w:adjustRightInd w:val="0"/>
              <w:spacing w:after="0" w:line="240" w:lineRule="auto"/>
              <w:rPr>
                <w:rFonts w:ascii="Times New Roman" w:eastAsia="Times New Roman" w:hAnsi="Times New Roman"/>
                <w:color w:val="000000"/>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lang w:bidi="he-IL"/>
              </w:rPr>
              <w:t>Priapisms</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Vispārēji traucējumi un reakcijas ievadīšanas vietā</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Nogurums</w:t>
            </w:r>
          </w:p>
          <w:p>
            <w:pPr>
              <w:widowControl w:val="0"/>
              <w:autoSpaceDE w:val="0"/>
              <w:autoSpaceDN w:val="0"/>
              <w:adjustRightInd w:val="0"/>
              <w:spacing w:after="0" w:line="240" w:lineRule="auto"/>
              <w:rPr>
                <w:rFonts w:ascii="Times New Roman" w:eastAsia="Times New Roman" w:hAnsi="Times New Roman"/>
                <w:color w:val="000000"/>
                <w:lang w:eastAsia="en-GB"/>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bidi="he-IL"/>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Traucēta temperatūras regulācija (piem., hipotermija, pireksija)</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Sāpes krūškurvī</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Perifēra tūska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Izmeklējumi</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eastAsia="en-GB"/>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bidi="he-IL"/>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Ķermeņa masas samazināšanās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Ķermeņa masas palielināšanās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Alanīnaminotransferāzeslīmeņa paaugstināšanās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Aspartātaminotransferāzes līmeņa paaugstināšanās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Gamma glutamiltransferāzes līmeņa paaugstināšanās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Sārmainās fosfatāzes līmeņa paaugstināšanās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QT intervāla pagarināšanās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Paaugstināts glikozes līmenis asinīs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Glikozilētā hemoglobīna līmeņa paaugstināšanās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Glikozes līmeņa svārstības asinīs</w:t>
            </w:r>
          </w:p>
          <w:p>
            <w:pPr>
              <w:widowControl w:val="0"/>
              <w:autoSpaceDE w:val="0"/>
              <w:autoSpaceDN w:val="0"/>
              <w:adjustRightInd w:val="0"/>
              <w:spacing w:after="0" w:line="240" w:lineRule="auto"/>
              <w:rPr>
                <w:rFonts w:ascii="Times New Roman" w:eastAsia="Times New Roman" w:hAnsi="Times New Roman"/>
                <w:color w:val="000000"/>
                <w:lang w:bidi="he-IL"/>
              </w:rPr>
            </w:pPr>
            <w:r>
              <w:rPr>
                <w:rFonts w:ascii="Times New Roman" w:eastAsia="Times New Roman" w:hAnsi="Times New Roman"/>
                <w:color w:val="000000"/>
                <w:lang w:bidi="he-IL"/>
              </w:rPr>
              <w:t>Kreatinīnfosfokināzes līmeņa paaugstināšanās</w:t>
            </w:r>
          </w:p>
        </w:tc>
      </w:tr>
    </w:tbl>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tabs>
          <w:tab w:val="left" w:pos="3465"/>
        </w:tabs>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Atsevišķu blakusparādību apraksts</w:t>
      </w:r>
    </w:p>
    <w:p>
      <w:pPr>
        <w:widowControl w:val="0"/>
        <w:tabs>
          <w:tab w:val="left" w:pos="3465"/>
        </w:tabs>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tabs>
          <w:tab w:val="left" w:pos="3465"/>
        </w:tabs>
        <w:kinsoku w:val="0"/>
        <w:overflowPunct w:val="0"/>
        <w:autoSpaceDE w:val="0"/>
        <w:autoSpaceDN w:val="0"/>
        <w:adjustRightInd w:val="0"/>
        <w:spacing w:after="0" w:line="240" w:lineRule="auto"/>
        <w:rPr>
          <w:rFonts w:ascii="Times New Roman" w:eastAsia="Times New Roman" w:hAnsi="Times New Roman"/>
          <w:i/>
          <w:u w:val="single"/>
          <w:lang w:eastAsia="de-DE"/>
        </w:rPr>
      </w:pPr>
      <w:r>
        <w:rPr>
          <w:rFonts w:ascii="Times New Roman" w:eastAsia="Times New Roman" w:hAnsi="Times New Roman"/>
          <w:i/>
          <w:u w:val="single"/>
          <w:lang w:eastAsia="de-DE"/>
        </w:rPr>
        <w:t>Pieaugušie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Ekstrapiramidāli simptomi (EPS)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Šizofrēnija:</w:t>
      </w:r>
      <w:r>
        <w:rPr>
          <w:rFonts w:ascii="Times New Roman" w:eastAsia="Times New Roman" w:hAnsi="Times New Roman"/>
          <w:lang w:eastAsia="de-DE"/>
        </w:rPr>
        <w:t xml:space="preserve"> 52 nedēļu ilgstošā kontrolētā pētījumā pacientiem, kas tika ārstēti ar aripiprazolu, kopumā retāk bija EPS simptomi (25,8 %), ieskaitot parkinsonismu, akatīziju, distonijas un diskinēzijas, salīdzinot ar tiem, kas ārstēti ar haloperidolu (57,3 %). 26 nedēļu ilgā placebo kontrolētā pētījumā EPS ar aripiprazolu ārstētiem pacientiem sastapa 19 % un placebo saņēmušiem pacientiem tie bija 13,1 %. Citā 26 nedēļu ilgā kontrolētā pētījumā EPS ar aripiprazolu ārstētiem sastapa 14,8 % gadījumu un olanzapīnu saņēmušiem tie bija 15,1 % pacientu.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lang w:eastAsia="de-DE"/>
        </w:rPr>
        <w:t>Bipolāri afektīvu traucējumu mānijas epizodes</w:t>
      </w:r>
      <w:r>
        <w:rPr>
          <w:rFonts w:ascii="Times New Roman" w:eastAsia="Times New Roman" w:hAnsi="Times New Roman"/>
          <w:lang w:eastAsia="de-DE"/>
        </w:rPr>
        <w:t>: 12 nedēļu ilgā kontrolētā pētījumā EPS ar aripiprazolu ārstētiem pacientiem sastapa 23,5 % gadījumu un haloperidolu saņēmušiem tie bija 53,3 % pacientu. Citā 12 nedēļu ilgā pētījumā EPS ar aripiprazolu ārstētiem pacientiem sastapa 26,6 % gadījumu un ar litiju ārstētiem pacientiem 17,6 % gadījumu. Uzturošajā fāzē 26 nedēļu ilgā placebo kontrolētā pētījumā EPS ar aripiprazolu ārstētiem pacientiem sastapa 18,2 % un placebo saņēmušiem pacientiem 15,7 % gadījumu.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lastRenderedPageBreak/>
        <w:t>Akatīzija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Placebo kontrolētos pētījumos pacientiem ar bipolāriem traucējumiem akatīziju sastapa 12,1 % pacientu, kuri saņēma aripiprazolu, un 3,2 % pacientu, kuri saņēma placebo. Šizofrēnijas pacientiem akatīzija bija sastopama 6,2 % ar aripiprazolu ārstētiem pacientiem un 3,0 % placebo saņēmušiem pacientiem.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Distonija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Cs/>
          <w:lang w:eastAsia="de-DE"/>
        </w:rPr>
        <w:t>Zāļu klases efektus</w:t>
      </w:r>
      <w:r>
        <w:rPr>
          <w:rFonts w:ascii="Times New Roman" w:eastAsia="Times New Roman" w:hAnsi="Times New Roman"/>
          <w:lang w:eastAsia="de-DE"/>
        </w:rPr>
        <w:t xml:space="preserve"> - distonijas simptomus, ilgstošas muskuļu grupas saraušanās traucējumus, var novērot pret slimību uzņēmīgiem indivīdiem pirmajās ārstēšanas dienās. Distonijas simptomi ietver sevī: kakla muskuļu spazmas, kas dažreiz progresē kā sasprindzinājums rīklē, rīšanas grūtības, elpošanas grūtības un/vai mēles izvirzījums. Šie simptomi var rasties, lietojot mazas devas, bet biežāk un smagākā formā tos novēro, lietojot pirmās paaudzes antipsihotiskās zāles lielās devās. Paaugstināts akūtas distonijas risks ir novērots vīriešiem un gados jaunākiem cilvēkiem.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Prolaktīns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Klīniskajos pētījumos, kuros zāles tika lietotas apstiprinātajām indikācijām, kā arī pēc zāļu reģistrācijas aripiprazola lietotājiem salīdzinājumā ar sākotnējiem rādītājiem tika konstatēta gan prolaktīna koncentrācijas serumā palielināšanās, gan samazināšanās (5.1. apakšpunkts).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Laboratorisko analīžu rādītāji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Aripiprazolu un placebo saņēmušo pacientu, kam bija potenciāli klīniski nozīmīgas parasto laboratorisko analīžu un lipīdu rādītāju izmaiņas (skatīt 5.1. apakšpunktu), proporcijas salīdzinājums neatklāja medicīniski nozīmīgas atšķirības. Kreatinīnfosfokināzes paaugstināšanās, kas parasti bija pārejoša un asimptomātiska, tika novērota 3,5 % ar aripiprazolu ārstēto pacientu, salīdzinot ar 2,0 % placebo saņēmušiem.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u w:val="single"/>
          <w:lang w:eastAsia="de-DE"/>
        </w:rPr>
        <w:t>Pediatriskā populācija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Šizofrēnija 15 gadus veciem un vecākiem pusaudžiem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Īslaicīgā placebo kontrolētā klīniskajā pētījumā, kurā tika iesaistīti 302 pusaudži (13–17 gadus veci) ar šizofrēniju, konstatēja, ka nevēlamo blakusparādību biežums un tips bija līdzīgs kā pieaugušajiem, izņemot sekojošas nevēlamās reakcijas, par kurām bija biežāki ziņojumi par pusaudžiem, kuri saņem aripiprazolu, nekā par pieaugušajiem, kuri saņem aripiprazolu (un daudz biežāki nekā placebo grupā):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ļoti bieži (≥ 1/10) tika ziņots par miegainību/sedāciju un ekstrapiramidāliem traucējumiem. Bieži (≥ 1/100, &lt; 1/10) tika ziņots par sausumu mutē, palielinātu apetīti un ortostatisko hipotensiju. Pagarināta placebo nekontrolēta pētījuma 26.nedēļā drošuma profils bija līdzīgs tam, ko novēroja īslaicīgā, placebo kontrolētā pētījumā.</w:t>
      </w:r>
    </w:p>
    <w:p>
      <w:pPr>
        <w:pStyle w:val="EMEABodyText"/>
        <w:widowControl w:val="0"/>
        <w:rPr>
          <w:lang w:val="lv-LV"/>
        </w:rPr>
      </w:pPr>
      <w:r>
        <w:rPr>
          <w:lang w:val="lv-LV"/>
        </w:rPr>
        <w:t>Drošuma profils ilgtermiņa, dubultmaskētā, ar placebo kontrolētā pētījumā arī bija līdzīgs, izņemot šādas reakcijas, par kurām tika ziņots biežāk nekā saistībā ar pediatriskiem pacientiem, kuri lietoja placebo: bieži (≥ 1/100, &lt; 1/10) tika ziņots par svara samazināšanos, paaugstinātu insulīna koncentrāciju asinīs, aritmiju un leikopēniju.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Apvienotā pusaudžu šizofrēnijas pacientu populācijā (13</w:t>
      </w:r>
      <w:r>
        <w:rPr>
          <w:rFonts w:ascii="Times New Roman" w:eastAsia="Times New Roman" w:hAnsi="Times New Roman"/>
          <w:lang w:eastAsia="de-DE"/>
        </w:rPr>
        <w:noBreakHyphen/>
        <w:t>17 gadi), kas zāles saņēma līdz 2 gadiem, zema prolaktīna līmeņa serumā biežums sievietēm (&lt; 3 ng/ml) un vīriešiem (&lt; 2 ng/ml) bija attiecīgi 29,5 % un 48,3 %. Ar šizofrēniju slimojošu pusaudžu (13</w:t>
      </w:r>
      <w:r>
        <w:rPr>
          <w:rFonts w:ascii="Times New Roman" w:eastAsia="Times New Roman" w:hAnsi="Times New Roman"/>
          <w:lang w:eastAsia="de-DE"/>
        </w:rPr>
        <w:noBreakHyphen/>
        <w:t>17 gadi) populācijā, lietojot 5 mg līdz 30 mg aripiprazola līdz 72 mēnešiem ilgi, zems prolaktīna līmenis serumā bija 25,6 % sieviešu (&lt; 3 ng/ml) un 45,0 % vīriešu (&lt; 2 ng/ml).</w:t>
      </w:r>
    </w:p>
    <w:p>
      <w:pPr>
        <w:pStyle w:val="EMEABodyText"/>
        <w:widowControl w:val="0"/>
        <w:rPr>
          <w:szCs w:val="22"/>
          <w:lang w:val="lv-LV"/>
        </w:rPr>
      </w:pPr>
      <w:r>
        <w:rPr>
          <w:lang w:val="lv-LV"/>
        </w:rPr>
        <w:t>Divos ilgtermiņa pētījumos, kuros piedalījās ar aripiprazolu ārstēti pusaudži (13 - 17 gadi), kuriem ir šizofrēnija un bipolāri traucējumi, zema prolaktīna līmeņa serumā sastopamība bija 37,0 % sievietēm (&lt; 3 ng/ml) un 59,4 % vīriešiem (&lt; 2 ng/ml).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Mānijas epizodes 13 gadus veciem un vecākiem pusaudžiem, kam ir I tipa bipolārie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pusaudžiem, kam ir I tipa bipolārie traucējumi, nevēlamo blakusparādību sastopamība un veidi bija līdzīgi tiem, kas novēroti pieaugušajiem. Izņēmums ir tādas ļoti bieži (≥ 1/10) novērotas blakusparādības kā miegainība (23,0 %), ekstrapiramidāli traucējumi (18,4 %), akatīzija (16,0 %) un nespēks (11,8 %), kā arī tādas bieži (≥ 1/100 līdz &lt; 1/10) novērotas blakusparādības kā sāpes vēdera augšdaļā, paātrināta sirdsdarbība, ķermeņa masas palielināšanās, ēstgribas pastiprināšanās, muskuļu </w:t>
      </w:r>
      <w:r>
        <w:rPr>
          <w:rFonts w:ascii="Times New Roman" w:eastAsia="Times New Roman" w:hAnsi="Times New Roman"/>
          <w:lang w:eastAsia="de-DE"/>
        </w:rPr>
        <w:lastRenderedPageBreak/>
        <w:t>raustīšanās un diskinēzija.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Turpmāk minētās nevēlamās blakusparādības, iespējams, bija atkarīgas no zāļu devas. Šādas reakcijas bija ekstrapiramidālie traucējumi (lietojot pa 10 mg, 30 mg vai placebo, sastopamība bija attiecīgi 9,1 %, 28,8 % un 1,7 %) un akatīzija (lietojot pa 10 mg, 30 mg vai placebo, sastopamība bija attiecīgi 12,1 %, 20,3 % un 1,7 %).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Pusaudžiem, kam bija I tipa bipolārie traucējumi, ķermeņa masas vidējās pārmaiņas pēc 12 un 30 nedēļas ilgas ārstēšanas ar aripiprazolu bija attiecīgi 2,4 un 5,8 kg, bet placebo grupā tās bija attiecīgi 0,2 un 2,3 kg.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Pediatriskajā populācijā miegainība un nespēks pacientiem ar bipolāriem traucējumiem tika novērots biežāk nekā pacientiem ar šizofrēniju.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10–17 gadus veciem bērniem ar bipolāriem traucējumiem pēc 30 nedēļu ilgas ārstēšanas zema prolaktīna koncentrācija serumā (meitenēm un zēniem attiecīgi &lt; 3 ng/ml un &lt; 2 ng/ml) tika novērota attiecīgi 28,0 % un 53,3 % gadījumu.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eastAsia="de-DE"/>
        </w:rPr>
      </w:pPr>
      <w:r>
        <w:rPr>
          <w:rFonts w:ascii="Times New Roman" w:eastAsia="Times New Roman" w:hAnsi="Times New Roman"/>
          <w:i/>
          <w:u w:val="single"/>
          <w:lang w:eastAsia="de-DE"/>
        </w:rPr>
        <w:t>Patoloģiska tieksme uz azartspēlēm un citi impulsu kontroles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 aripiprazolu ārstētiem pacientiem ir iespējama patoloģiska tieksme uz azartspēlēm, hiperseksualitāte, kompulsīva iepirkšanās un pārēšanās vai kompulsīva ēšana (skatīt 4.4.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Ziņošana par iespējamām nevēlamām blakusparādībām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9" w:history="1">
        <w:r>
          <w:rPr>
            <w:rFonts w:ascii="Times New Roman" w:eastAsia="Times New Roman" w:hAnsi="Times New Roman"/>
            <w:snapToGrid w:val="0"/>
            <w:color w:val="0000FF"/>
            <w:u w:val="single"/>
            <w:lang w:eastAsia="zh-CN"/>
          </w:rPr>
          <w:t>V pielikumā</w:t>
        </w:r>
      </w:hyperlink>
      <w:r>
        <w:rPr>
          <w:rFonts w:ascii="Times New Roman" w:eastAsia="Times New Roman" w:hAnsi="Times New Roman"/>
          <w:snapToGrid w:val="0"/>
          <w:lang w:eastAsia="zh-CN"/>
        </w:rPr>
        <w:t xml:space="preserve"> minēto nacionālās ziņošanas sistēmas kontaktinformāciju</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4.9.</w:t>
      </w:r>
      <w:r>
        <w:rPr>
          <w:rFonts w:ascii="Times New Roman" w:eastAsia="Times New Roman" w:hAnsi="Times New Roman"/>
          <w:b/>
          <w:bCs/>
          <w:lang w:eastAsia="de-DE"/>
        </w:rPr>
        <w:tab/>
        <w:t>Pārdozēšana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Pazīmes un simptomi</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Klīniskajos pētījumos un pēcreģistrācijas novērojumos atklāta nejauša vai tīša tikai aripiprazola pārdozēšana pieaugušajiem devā līdz 1260 mg bez letāliem gadījumiem. Novērotās iespējami klīniski nozīmīgās pazīmes un simptomi iekļāva letarģiju, paaugstinātu asinsspiedienu, miegainību, tahikardiju, sliktu dūšu, vemšanu un caureju. Bez tam ziņots par netīšu tikai aripiprazola pārdozēšanu (līdz 195 mg) bērniem bez letāliem gadījumiem. Potenciāli nopietni medicīniski simptomi bija miegainība, pārejošs samaņas zudums un ekstrapiramidālie simptomi.</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Rīcība pārdozēšanas gadījumā</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Pārdozēšanas ārstēšanā uzmanība jāvelta atbalstošai terapijai, nodrošinot elpceļu caurlaidību, oksigenāciju un ventilāciju, kā arī veicot simptomātiskus pasākumus. Jāpatur prātā, ka, iespējams, ir lietotas daudzas zāles. Tādēļ nekavējoties jāuzsāk kardiovaskulārā monitorēšana, tostarp nepārtraukta elektrokardiogrāfiskā monitorēšana, lai konstatētu iespējamu aritmiju. Ja ir aizdomas par aripiprazola pārdozēšanu vai arī ja tā ir apstiprinājusies, jānodrošina stingra medicīniska novērošana un ārstēšana, līdz tiek panākta uzlabošanās.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Aktivētā ogle (50 g), ko ordinēja vienu stundu pēc aripiprazola, samazināja aripiprazola C</w:t>
      </w:r>
      <w:r>
        <w:rPr>
          <w:rFonts w:ascii="Times New Roman" w:eastAsia="Times New Roman" w:hAnsi="Times New Roman"/>
          <w:vertAlign w:val="subscript"/>
          <w:lang w:eastAsia="de-DE"/>
        </w:rPr>
        <w:t>max</w:t>
      </w:r>
      <w:r>
        <w:rPr>
          <w:rFonts w:ascii="Times New Roman" w:eastAsia="Times New Roman" w:hAnsi="Times New Roman"/>
          <w:lang w:eastAsia="de-DE"/>
        </w:rPr>
        <w:t xml:space="preserve"> apmēram par 41 % un AUC apmēram par 51 %; tas nozīmē, ka aktivētā ogle varētu būt efektīva pārdozēšanas ārstēšanai.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Hemodialīze</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Lai gan nav informācijas par hemodialīzes efektivitāti aripiprazola pārdozēšanas ārstēšanā, ņemot </w:t>
      </w:r>
      <w:r>
        <w:rPr>
          <w:rFonts w:ascii="Times New Roman" w:eastAsia="Times New Roman" w:hAnsi="Times New Roman"/>
          <w:lang w:eastAsia="de-DE"/>
        </w:rPr>
        <w:lastRenderedPageBreak/>
        <w:t>vērā, ka aripiprazols lielā mērā saistās ar plazmas proteīniem, maz ticams, ka hemodialīze varētu būt noderīga.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w:t>
      </w:r>
      <w:r>
        <w:rPr>
          <w:rFonts w:ascii="Times New Roman" w:eastAsia="Times New Roman" w:hAnsi="Times New Roman"/>
          <w:b/>
          <w:bCs/>
          <w:lang w:eastAsia="de-DE"/>
        </w:rPr>
        <w:tab/>
        <w:t>FARMAKOLOĢISKĀS ĪPAŠĪBAS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5.1.</w:t>
      </w:r>
      <w:r>
        <w:rPr>
          <w:rFonts w:ascii="Times New Roman" w:eastAsia="Times New Roman" w:hAnsi="Times New Roman"/>
          <w:b/>
          <w:bCs/>
          <w:lang w:eastAsia="de-DE"/>
        </w:rPr>
        <w:tab/>
        <w:t>Farmakodinamiskās īpašības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Farmakoterapeitiskā grupa: psiholeptiskie līdzekļi, citi antipsihotiskie līdzekļi, ATĶ kods: N05AX12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Darbības mehānisms</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Uzskata, ka aripiprazola efektivitāte šizofrēnijas un bipolāri afektīvu traucējumu ārstēšanā saistīta ar tā parciālu agonistisku iedarbi uz dopamīna D</w:t>
      </w:r>
      <w:r>
        <w:rPr>
          <w:rFonts w:ascii="Times New Roman" w:eastAsia="Times New Roman" w:hAnsi="Times New Roman"/>
          <w:vertAlign w:val="subscript"/>
          <w:lang w:eastAsia="de-DE"/>
        </w:rPr>
        <w:t>2</w:t>
      </w:r>
      <w:r>
        <w:rPr>
          <w:rFonts w:ascii="Times New Roman" w:eastAsia="Times New Roman" w:hAnsi="Times New Roman"/>
          <w:lang w:eastAsia="de-DE"/>
        </w:rPr>
        <w:t xml:space="preserve"> un serotonīna 5HT</w:t>
      </w:r>
      <w:r>
        <w:rPr>
          <w:rFonts w:ascii="Times New Roman" w:eastAsia="Times New Roman" w:hAnsi="Times New Roman"/>
          <w:vertAlign w:val="subscript"/>
          <w:lang w:eastAsia="de-DE"/>
        </w:rPr>
        <w:t>1a</w:t>
      </w:r>
      <w:r>
        <w:rPr>
          <w:rFonts w:ascii="Times New Roman" w:eastAsia="Times New Roman" w:hAnsi="Times New Roman"/>
          <w:lang w:eastAsia="de-DE"/>
        </w:rPr>
        <w:t xml:space="preserve"> receptoriem kombinēti ar antagonismu pret serotonīna 5HT</w:t>
      </w:r>
      <w:r>
        <w:rPr>
          <w:rFonts w:ascii="Times New Roman" w:eastAsia="Times New Roman" w:hAnsi="Times New Roman"/>
          <w:vertAlign w:val="subscript"/>
          <w:lang w:eastAsia="de-DE"/>
        </w:rPr>
        <w:t>2a</w:t>
      </w:r>
      <w:r>
        <w:rPr>
          <w:rFonts w:ascii="Times New Roman" w:eastAsia="Times New Roman" w:hAnsi="Times New Roman"/>
          <w:lang w:eastAsia="de-DE"/>
        </w:rPr>
        <w:t xml:space="preserve"> receptoriem. Aripiprazolam ir antagonista īpašības dopamīnerģiskas hiperaktivitātes dzīvnieku modeļos un agonista īpašības dopamīnerģiskas hipoaktivitātes dzīvnieku modeļos. Aripiprazolam ir augsta saistīšanās afinitāte </w:t>
      </w:r>
      <w:r>
        <w:rPr>
          <w:rFonts w:ascii="Times New Roman" w:eastAsia="Times New Roman" w:hAnsi="Times New Roman"/>
          <w:i/>
          <w:iCs/>
          <w:lang w:eastAsia="de-DE"/>
        </w:rPr>
        <w:t xml:space="preserve">in vitro </w:t>
      </w:r>
      <w:r>
        <w:rPr>
          <w:rFonts w:ascii="Times New Roman" w:eastAsia="Times New Roman" w:hAnsi="Times New Roman"/>
          <w:lang w:eastAsia="de-DE"/>
        </w:rPr>
        <w:t>ar dopamīna D</w:t>
      </w:r>
      <w:r>
        <w:rPr>
          <w:rFonts w:ascii="Times New Roman" w:eastAsia="Times New Roman" w:hAnsi="Times New Roman"/>
          <w:vertAlign w:val="subscript"/>
          <w:lang w:eastAsia="de-DE"/>
        </w:rPr>
        <w:t>2</w:t>
      </w:r>
      <w:r>
        <w:rPr>
          <w:rFonts w:ascii="Times New Roman" w:eastAsia="Times New Roman" w:hAnsi="Times New Roman"/>
          <w:lang w:eastAsia="de-DE"/>
        </w:rPr>
        <w:t xml:space="preserve"> un D</w:t>
      </w:r>
      <w:r>
        <w:rPr>
          <w:rFonts w:ascii="Times New Roman" w:eastAsia="Times New Roman" w:hAnsi="Times New Roman"/>
          <w:vertAlign w:val="subscript"/>
          <w:lang w:eastAsia="de-DE"/>
        </w:rPr>
        <w:t>3</w:t>
      </w:r>
      <w:r>
        <w:rPr>
          <w:rFonts w:ascii="Times New Roman" w:eastAsia="Times New Roman" w:hAnsi="Times New Roman"/>
          <w:lang w:eastAsia="de-DE"/>
        </w:rPr>
        <w:t>, serotonīna 5HT</w:t>
      </w:r>
      <w:r>
        <w:rPr>
          <w:rFonts w:ascii="Times New Roman" w:eastAsia="Times New Roman" w:hAnsi="Times New Roman"/>
          <w:vertAlign w:val="subscript"/>
          <w:lang w:eastAsia="de-DE"/>
        </w:rPr>
        <w:t>1a</w:t>
      </w:r>
      <w:r>
        <w:rPr>
          <w:rFonts w:ascii="Times New Roman" w:eastAsia="Times New Roman" w:hAnsi="Times New Roman"/>
          <w:lang w:eastAsia="de-DE"/>
        </w:rPr>
        <w:t xml:space="preserve"> un 5HT</w:t>
      </w:r>
      <w:r>
        <w:rPr>
          <w:rFonts w:ascii="Times New Roman" w:eastAsia="Times New Roman" w:hAnsi="Times New Roman"/>
          <w:vertAlign w:val="subscript"/>
          <w:lang w:eastAsia="de-DE"/>
        </w:rPr>
        <w:t>2a</w:t>
      </w:r>
      <w:r>
        <w:rPr>
          <w:rFonts w:ascii="Times New Roman" w:eastAsia="Times New Roman" w:hAnsi="Times New Roman"/>
          <w:lang w:eastAsia="de-DE"/>
        </w:rPr>
        <w:t xml:space="preserve"> receptoriem un mērena afinitāte pret dopamīna D</w:t>
      </w:r>
      <w:r>
        <w:rPr>
          <w:rFonts w:ascii="Times New Roman" w:eastAsia="Times New Roman" w:hAnsi="Times New Roman"/>
          <w:vertAlign w:val="subscript"/>
          <w:lang w:eastAsia="de-DE"/>
        </w:rPr>
        <w:t>4</w:t>
      </w:r>
      <w:r>
        <w:rPr>
          <w:rFonts w:ascii="Times New Roman" w:eastAsia="Times New Roman" w:hAnsi="Times New Roman"/>
          <w:lang w:eastAsia="de-DE"/>
        </w:rPr>
        <w:t>, serotonīna 5HT</w:t>
      </w:r>
      <w:r>
        <w:rPr>
          <w:rFonts w:ascii="Times New Roman" w:eastAsia="Times New Roman" w:hAnsi="Times New Roman"/>
          <w:vertAlign w:val="subscript"/>
          <w:lang w:eastAsia="de-DE"/>
        </w:rPr>
        <w:t>2c</w:t>
      </w:r>
      <w:r>
        <w:rPr>
          <w:rFonts w:ascii="Times New Roman" w:eastAsia="Times New Roman" w:hAnsi="Times New Roman"/>
          <w:lang w:eastAsia="de-DE"/>
        </w:rPr>
        <w:t xml:space="preserve"> un 5HT</w:t>
      </w:r>
      <w:r>
        <w:rPr>
          <w:rFonts w:ascii="Times New Roman" w:eastAsia="Times New Roman" w:hAnsi="Times New Roman"/>
          <w:vertAlign w:val="subscript"/>
          <w:lang w:eastAsia="de-DE"/>
        </w:rPr>
        <w:t>7</w:t>
      </w:r>
      <w:r>
        <w:rPr>
          <w:rFonts w:ascii="Times New Roman" w:eastAsia="Times New Roman" w:hAnsi="Times New Roman"/>
          <w:lang w:eastAsia="de-DE"/>
        </w:rPr>
        <w:t>, alfa 1 adrenerģiskiem un histamīna H</w:t>
      </w:r>
      <w:r>
        <w:rPr>
          <w:rFonts w:ascii="Times New Roman" w:eastAsia="Times New Roman" w:hAnsi="Times New Roman"/>
          <w:vertAlign w:val="subscript"/>
          <w:lang w:eastAsia="de-DE"/>
        </w:rPr>
        <w:t>1</w:t>
      </w:r>
      <w:r>
        <w:rPr>
          <w:rFonts w:ascii="Times New Roman" w:eastAsia="Times New Roman" w:hAnsi="Times New Roman"/>
          <w:lang w:eastAsia="de-DE"/>
        </w:rPr>
        <w:t xml:space="preserve"> receptoriem. Aripiprazolam piemīt arī mērena saistīšanās afinitāte pret serotonīna atpakaļsaistīšanas vietu un nav manāmas afinitātes pret muskarīna receptoriem. Mijiedarbība ar citiem receptoriem, ne tikai ar dopamīna un serotonīna receptoru apakštipiem, var izskaidrot dažus citus aripiprazola klīniskos efektus.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devas 0,5</w:t>
      </w:r>
      <w:r>
        <w:rPr>
          <w:rFonts w:ascii="Times New Roman" w:eastAsia="Times New Roman" w:hAnsi="Times New Roman"/>
          <w:lang w:eastAsia="de-DE"/>
        </w:rPr>
        <w:noBreakHyphen/>
        <w:t xml:space="preserve">30 mg diapazonā, ko ordinēja vienu reizi dienā uz 2 nedēļām veseliem brīvprātīgiem, devas atkarīgi mazināja </w:t>
      </w:r>
      <w:r>
        <w:rPr>
          <w:rFonts w:ascii="Times New Roman" w:eastAsia="Times New Roman" w:hAnsi="Times New Roman"/>
          <w:vertAlign w:val="superscript"/>
          <w:lang w:eastAsia="de-DE"/>
        </w:rPr>
        <w:t>11</w:t>
      </w:r>
      <w:r>
        <w:rPr>
          <w:rFonts w:ascii="Times New Roman" w:eastAsia="Times New Roman" w:hAnsi="Times New Roman"/>
          <w:lang w:eastAsia="de-DE"/>
        </w:rPr>
        <w:t>C-rakloprīda, kas ir D</w:t>
      </w:r>
      <w:r>
        <w:rPr>
          <w:rFonts w:ascii="Times New Roman" w:eastAsia="Times New Roman" w:hAnsi="Times New Roman"/>
          <w:vertAlign w:val="subscript"/>
          <w:lang w:eastAsia="de-DE"/>
        </w:rPr>
        <w:t>2</w:t>
      </w:r>
      <w:r>
        <w:rPr>
          <w:rFonts w:ascii="Times New Roman" w:eastAsia="Times New Roman" w:hAnsi="Times New Roman"/>
          <w:lang w:eastAsia="de-DE"/>
        </w:rPr>
        <w:t>/D</w:t>
      </w:r>
      <w:r>
        <w:rPr>
          <w:rFonts w:ascii="Times New Roman" w:eastAsia="Times New Roman" w:hAnsi="Times New Roman"/>
          <w:vertAlign w:val="subscript"/>
          <w:lang w:eastAsia="de-DE"/>
        </w:rPr>
        <w:t>3</w:t>
      </w:r>
      <w:r>
        <w:rPr>
          <w:rFonts w:ascii="Times New Roman" w:eastAsia="Times New Roman" w:hAnsi="Times New Roman"/>
          <w:lang w:eastAsia="de-DE"/>
        </w:rPr>
        <w:t xml:space="preserve"> receptoru ligands, saistīšanos </w:t>
      </w:r>
      <w:r>
        <w:rPr>
          <w:rFonts w:ascii="Times New Roman" w:eastAsia="Times New Roman" w:hAnsi="Times New Roman"/>
          <w:i/>
          <w:iCs/>
          <w:lang w:eastAsia="de-DE"/>
        </w:rPr>
        <w:t xml:space="preserve">caudatum </w:t>
      </w:r>
      <w:r>
        <w:rPr>
          <w:rFonts w:ascii="Times New Roman" w:eastAsia="Times New Roman" w:hAnsi="Times New Roman"/>
          <w:lang w:eastAsia="de-DE"/>
        </w:rPr>
        <w:t xml:space="preserve">un </w:t>
      </w:r>
      <w:r>
        <w:rPr>
          <w:rFonts w:ascii="Times New Roman" w:eastAsia="Times New Roman" w:hAnsi="Times New Roman"/>
          <w:i/>
          <w:iCs/>
          <w:lang w:eastAsia="de-DE"/>
        </w:rPr>
        <w:t xml:space="preserve">putamen </w:t>
      </w:r>
      <w:r>
        <w:rPr>
          <w:rFonts w:ascii="Times New Roman" w:eastAsia="Times New Roman" w:hAnsi="Times New Roman"/>
          <w:lang w:eastAsia="de-DE"/>
        </w:rPr>
        <w:t>apvidū; to atklāja pozitronu emisijas tomogrāfijā.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Klīniskā efektivitāte un drošums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eastAsia="de-DE"/>
        </w:rPr>
      </w:pPr>
      <w:r>
        <w:rPr>
          <w:rFonts w:ascii="Times New Roman" w:eastAsia="Times New Roman" w:hAnsi="Times New Roman"/>
          <w:i/>
          <w:u w:val="single"/>
          <w:lang w:eastAsia="de-DE"/>
        </w:rPr>
        <w:t>Pieaugušie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Šizofrēnija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Trīs īslaicīgos (4</w:t>
      </w:r>
      <w:r>
        <w:rPr>
          <w:rFonts w:ascii="Times New Roman" w:eastAsia="Times New Roman" w:hAnsi="Times New Roman"/>
          <w:lang w:eastAsia="de-DE"/>
        </w:rPr>
        <w:noBreakHyphen/>
        <w:t>6 nedēļas) placebo kontrolētos pētījumos, kur bija iekļauti 1228 pieauguši šizofrēnijas slimnieki ar pozitīviem vai negatīviem simptomiem, aripiprazola terapija uzrādīja statistiski nozīmīgi lielāku psihozes simptomu uzlabošanos nekā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 ir efektīvs klīniskās uzlabošanās uzturēšanai ilgstošā terapijā pieaugušiem slimniekiem, kam bija sākotnēja uzlabošanās. Ar haloperidolu kontrolētā pētījumā slimnieku proporcija ar reakciju uz zālēm, kam tā saglabājās līdz 52. terapijas nedēļai, bija līdzīga abās grupās (aripiprazolam 77 % un haloperidolam 73 %). Kopējais pētījuma pabeigšanas procents slimniekiem, kas saņēma aripiprazolu, bija ievērojami lielāks (43 %) nekā tiem, kas saņēma haloperidolu (30 %). Faktiskais punktu skaits pēc vērtējumu skalām, ko lietoja kā sekundārus kritērijus, tostarp PANSS un Montgomerija Asberga Depresijas vērtēšanas skala, parādīja ievērojami lielāku uzlabošanos, salīdzinot ar haloperidolu.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26 nedēļas ilgā ar placebo kontrolētā pētījumā ar pieaugušiem stabilizētiem hroniskas šizofrēnijas slimniekiem aripiprazols uzrādīja nozīmīgāku recidīvu mazināšanos, 34 % aripiprazola grupā un 57 % placebo grupā.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Ķermeņa masas pieaugums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Klīniskos pētījumos aripiprazols neizraisīja klīniski nozīmīgu ķermeņa masas pieaugumu. 26 nedēļas ilgā ar olanzapīnu kontrolētā dubultaklās metodes starptautiskā šizofrēnijas pētījumā, kur bija iekļauti 314 pieauguši pacienti un kur primārais vērtēšanas kritērijs bija ķermeņa masas pieaugums, ievērojami mazākam pacientu skaitam bija vismaz 7 % ķermeņa masas pieaugums, attiecinot uz sākumstāvokli (proti, vismaz 5,6 kg, ja sākumstāvokļa svars ir ~ 80,5 kg) aripiprazola grupā (n = 18, vai 13 % no vērtētiem pacientiem), salīdzinot ar olanzapīnu (n = 45, vai 33 % no vērtētiem pacientiem).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Lipīdu parametri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Apvienotā lipīdu parametru analīzē placebo kontrolētos klīniskajos pētījumos pieaugušajiem aripiprazols neuzrādīja klīniski nozīmīgas kopējā holesterīna līmeņa, triglicerīdu, ABL un ZBL izmaiņas.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eastAsia="de-DE"/>
        </w:rPr>
      </w:pPr>
      <w:r>
        <w:rPr>
          <w:rFonts w:ascii="Times New Roman" w:eastAsia="Times New Roman" w:hAnsi="Times New Roman"/>
          <w:i/>
          <w:iCs/>
          <w:u w:val="single"/>
          <w:lang w:eastAsia="de-DE"/>
        </w:rPr>
        <w:t>Prolaktīns</w:t>
      </w:r>
    </w:p>
    <w:p>
      <w:pPr>
        <w:widowControl w:val="0"/>
        <w:kinsoku w:val="0"/>
        <w:overflowPunct w:val="0"/>
        <w:autoSpaceDE w:val="0"/>
        <w:autoSpaceDN w:val="0"/>
        <w:adjustRightInd w:val="0"/>
        <w:spacing w:after="0" w:line="240" w:lineRule="auto"/>
        <w:rPr>
          <w:rFonts w:ascii="Times New Roman" w:eastAsia="Times New Roman" w:hAnsi="Times New Roman"/>
          <w:iCs/>
          <w:lang w:eastAsia="de-DE"/>
        </w:rPr>
      </w:pPr>
      <w:r>
        <w:rPr>
          <w:rFonts w:ascii="Times New Roman" w:eastAsia="Times New Roman" w:hAnsi="Times New Roman"/>
          <w:iCs/>
          <w:lang w:eastAsia="de-DE"/>
        </w:rPr>
        <w:t>Prolaktīna koncentrācija tika vērtēta visos pētījumos, kuros tika pētītas visas aripiprazola devas (n=28 242). Hiperprolaktinēmijas vai paaugstinātas prolaktīna koncentrācijas serumā sastopamība ar aripiprazolu ārstētiem pacientiem (0,3 %) un placebo lietotājiem (0,2 %) bija līdzīga. Pacientiem, kuri saņēma aripiprazolu, vidējais iestāšanās laiks bija 42 dienas, un mediānais ilgums bija 34 dienas.</w:t>
      </w:r>
    </w:p>
    <w:p>
      <w:pPr>
        <w:widowControl w:val="0"/>
        <w:kinsoku w:val="0"/>
        <w:overflowPunct w:val="0"/>
        <w:autoSpaceDE w:val="0"/>
        <w:autoSpaceDN w:val="0"/>
        <w:adjustRightInd w:val="0"/>
        <w:spacing w:after="0" w:line="240" w:lineRule="auto"/>
        <w:rPr>
          <w:rFonts w:ascii="Times New Roman" w:eastAsia="Times New Roman" w:hAnsi="Times New Roman"/>
          <w:iCs/>
          <w:lang w:eastAsia="de-DE"/>
        </w:rPr>
      </w:pPr>
      <w:r>
        <w:rPr>
          <w:rFonts w:ascii="Times New Roman" w:eastAsia="Times New Roman" w:hAnsi="Times New Roman"/>
          <w:iCs/>
          <w:lang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iCs/>
          <w:lang w:eastAsia="de-DE"/>
        </w:rPr>
      </w:pPr>
      <w:r>
        <w:rPr>
          <w:rFonts w:ascii="Times New Roman" w:eastAsia="Times New Roman" w:hAnsi="Times New Roman"/>
          <w:iCs/>
          <w:lang w:eastAsia="de-DE"/>
        </w:rPr>
        <w:t>Hipoprolaktinēmijas vai pazeminātas prolaktīna koncentrācijas serumā sastopamība ar aripiprazolu ārstētiem pacientiem bija 0,4 % (salīdzinājumā ar 0,02 % pacientiem, kuri tika ārstēti ar placebo). Pacientiem, kuri saņēma aripiprazolu, mediānais iestāšanās laiks bija 30 dienas, un mediānais ilgums bija 194 dienas.</w:t>
      </w: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I tipa bipolāri afektīvu traucējumu mānijas epizodes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Divos 3 nedēļas ilgos, pielāgojamas devas, placebo kontrolētos monoterapijas pētījumos, kuros bija iesaistīti pacienti ar mānijas vai jauktu epizodi bipolāri afektīvu traucējumu gadījumos, aripiprazols uzrādīja labāku efektivitāti par placebo mānijas simptomu samazināšanā 3 nedēļu periodā. Pētījumos iekļautie pacienti bija ar un bez psihotiskām iezīmēm un ar un bez ātras atkārtošanās.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Vienā 3 nedēļas ilgā, noteiktas devas, placebo kontrolētā monoterapijas pētījumā, kurā bija iesaistīti pacienti ar mānijas vai jauktu epizodi bipolāri afektīvu traucējumu gadījumos, aripiprazolam neizdevās uzrādīt labāku efektivitāti par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Divos 12 nedēļas ilgos, placebo un aktīvās vielas kontrolētos monoterapijas pētījumos, kuros bija iesaistīti pacienti ar mānijas vai jauktu epizodi bipolāri afektīvu traucējumu gadījumos, ar vai bez psihotiskām iezīmēm, aripiprazols uzrādīja labāku efektivitāti par placebo 3. nedēļā un efekta noturību 12. nedēļā, salīdzinot ar litiju un haloperidolu. 12. nedēļā aripiprazols uzrādīja arī lielāku skaitu pacientu skaitu ar simptomātisku mānijas remisiju nekā litijs un haloperidols.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 nedēļas ilgā, placebo kontrolētā pētījumā, kurā bija iesaistīti pacienti ar mānijas vai jauktu epizodi bipolāri afektīvu traucējumu gadījumos, ar vai bez psihotiskām iezīmēm, kuriem 2 nedēļu ilga litija vai valproāta monoterapija pie terapeitiskās zāļu koncentrācijas plazmā bija daļēji neveiksmīga, aripiprazola papildterapijas pievienošana uzrādīja lielāku efektivitāti mānijas simptomu samazināšanā nekā litija vai valproāta monoterapija.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26 nedēļas ilgā, placebo kontrolētā pētījumā, kuram sekoja 74 nedēļas ilgs pētījuma pagarinājums mānijas pacientiem, kas pirms randomizācijas sasniedza remisiju ar aripiprazolu stabilizācijas fāzē, aripiprazols demonstrēja pārākumu par placebo bipolāro traucējumu recidīvu profilaksē, galvenokārt, mānijas recidīvu profilaksē, bet tam neizdevās uzrādīt labāku efektivitāti par placebo depresijas recidīvu profilaksē.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52 nedēļas ilgā, placebo kontrolētā pētījumā pacientiem ar bipolāri afektīviem traucējumiem un akūtu mānijas vai jauktu epizodi, kuriem tika sasniegta ilgstoša remisija (Y-MRS un MADRS kopējais punktu skaits ≤ 12), 12 nedēļas pēc kārtas lietojot litija vai valproāta terapiju, kam pievienots aripiprazols (10 mg/dienā līdz 30 mg/dienā), aripiprazola papildterapija demonstrēja pārākumu salīdzinājumā ar placebo papildterapiju, par 46 % samazinot bipolāru traucējumu recidīva risku (riska attiecība 0,54) un par 65 % samazinot recidīva risku mānijas epizodē (riska attiecība 0,35), taču netika pierādīts pārākums salīdzinājumā ar placebo papildterapiju recidīva novēršanai depresijas epizodē. Aripiprazola papildterapija demonstrēja pārākumu salīdzinājumā ar placebo, izvērtējot sekundāro mērķa kritēriju – CGI-BP Slimības smaguma punktu skaitu (mānija). Šajā pētījumā pētnieks pacientus iedalīja vai nu atklātā litija monoterapijas grupā, vai arī atklātā valproāta monoterapijas grupā, lai noteiktu daļēju atbildes reakcijas trūkumu. Stāvokļa stabilizācijai pacienti vismaz 12 nedēļas pēc kārtas lietoja aripiprazola un tā paša garastāvokļa stabilizatora kombināciju. Pēc stabilizācijas perioda pacienti tika randomizēti un turpināja lietot to pašu garastāvokļa stabilizatoru un dubultmaskētu aripiprazolu vai placebo. Randomizācijas fāzē tika izvērtētas četras garastāvokļa stabilizatoru </w:t>
      </w:r>
      <w:r>
        <w:rPr>
          <w:rFonts w:ascii="Times New Roman" w:eastAsia="Times New Roman" w:hAnsi="Times New Roman"/>
          <w:lang w:eastAsia="de-DE"/>
        </w:rPr>
        <w:lastRenderedPageBreak/>
        <w:t>apakšgrupas: aripiprazols + litijs; aripiprazols + valproāts; placebo + litijs; placebo + valproāts.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Kaplāna-Meiera (</w:t>
      </w:r>
      <w:r>
        <w:rPr>
          <w:rFonts w:ascii="Times New Roman" w:eastAsia="Times New Roman" w:hAnsi="Times New Roman"/>
          <w:i/>
          <w:iCs/>
          <w:lang w:eastAsia="de-DE"/>
        </w:rPr>
        <w:t>Kaplan-Meier</w:t>
      </w:r>
      <w:r>
        <w:rPr>
          <w:rFonts w:ascii="Times New Roman" w:eastAsia="Times New Roman" w:hAnsi="Times New Roman"/>
          <w:lang w:eastAsia="de-DE"/>
        </w:rPr>
        <w:t>) rādītāji jebkādam garastāvokļa svārstību epizodes recidīvam papildterapiju grupās bija šādi: 16 % aripiprazola + litija grupā un 18 % aripiprazola + valproāta grupā salīdzinājumā ar 45 % placebo + litija grupā un 19 % placebo + valproāta grupā.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u w:val="single"/>
          <w:lang w:eastAsia="de-DE"/>
        </w:rPr>
        <w:t>Pediatriskā populācija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Šizofrēnija pusaudžiem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 nedēļas ilgā placebo kontrolētā pētījumā, kur bija iekļauti 302 pusaudžu vecuma (13</w:t>
      </w:r>
      <w:r>
        <w:rPr>
          <w:rFonts w:ascii="Times New Roman" w:eastAsia="Times New Roman" w:hAnsi="Times New Roman"/>
          <w:lang w:eastAsia="de-DE"/>
        </w:rPr>
        <w:noBreakHyphen/>
        <w:t>17 gadus veci) šizofrēnijas slimnieki ar pozitīviem vai negatīviem simptomiem, aripiprazola terapija uzrādīja statistiski nozīmīgi lielāku psihozes simptomu uzlabošanos nekā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Veicot papildus analīzes 15 līdz 17 gadus veciem pusaudžiem (74 % no visiem pētījumā iesaistītajiem pusaudžiem), tika konstatēts, ka efekts saglabājas vēl pēc pagarināta placebo nekontrolēta pētījuma 26. nedēļas.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EMEABodyText"/>
        <w:widowControl w:val="0"/>
        <w:rPr>
          <w:lang w:val="lv-LV"/>
        </w:rPr>
      </w:pPr>
      <w:r>
        <w:rPr>
          <w:lang w:val="lv-LV"/>
        </w:rPr>
        <w:t>No 60 līdz 89 nedēļām ilgā, randomizētā, dubultmaskētā, ar placebo kontrolētā pētījumā, kurā piedalījās ar šizofrēniju slimojoši pusaudži (n = 146; vecums 13 – 17 gadi), starp aripiprazola (19,39 %) un placebo (37,50 %) grupām bija statistiski nozīmīga atšķirība psihozes simptomu recidīva biežumā. Riska attiecības (</w:t>
      </w:r>
      <w:r>
        <w:rPr>
          <w:i/>
          <w:lang w:val="lv-LV"/>
        </w:rPr>
        <w:t>hazard ratio</w:t>
      </w:r>
      <w:r>
        <w:rPr>
          <w:lang w:val="lv-LV"/>
        </w:rPr>
        <w:t> – HR) punkta aprēķins visā populācijā bija 0,461 (95 % ticamības intervāls, 0,242 - 0,879). Veicot apakšgrupu analīzi, HR punkta aprēķins bija 0,495 pacientiem vecumā no 13 līdz 14 gadiem, salīdzinot ar 0,454 pacientiem vecumā no 15 līdz 17 gadiem. Tomēr jaunākajā (13 - 14 gadi) grupā HR aprēķins nebija precīzs, atspoguļojot mazāko pacientu skaitu grupā (aripiprazols n = 29; placebo n = 12), un šī aprēķina ticamības intervāls (diapazonā no 0,151 līdz 1,628) neļauj izdarīt secinājums par ārstēšanas ietekmi. Turpretī HR 95 % ticamības intervāls vecākajā apakšgrupā (aripiprazols n = 69; placebo n = 36) bija no 0,242 līdz 0,879, tādējādi vecākajiem pacientiem var spriest par ārstēšanas efektu.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Mānijas epizodes bērniem un pusaudžiem, kam ir I tipa bipolārie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 tika vērtēts 30 nedēļu ilgā ar placebo kontrolētā pētījumā, kurā tika iesaistīti 296 bērni un pusaudži vecumā no 10 līdz 17 gadiem, kas atbilda I tipa bipolāro traucējumu kritērijiem saskaņā ar DSM-IV un kam bija mānijas vai jaukta tipa epizodes kopā ar psihožu gadījumiem vai bez tiem un kam pētījuma sākumā pēc Y-MRS skalas iegūto vērtējumpunktu skaits bija ≥ 20. No pacientiem, kuru dati tika pakļauti primārajai efektivitātes analīzei, 139 pacientiem vienlaikus bija noteikta UDHS diagnoze.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Vērtējot pēc kopējā rezultāta, kas salīdzinājumā ar sākumstāvokli iegūts 4. un 12. nedēļā pēc Y- MRS skalas, aripiprazols bija iedarbīgāks par placebo. </w:t>
      </w:r>
      <w:r>
        <w:rPr>
          <w:rFonts w:ascii="Times New Roman" w:eastAsia="Times New Roman" w:hAnsi="Times New Roman"/>
          <w:i/>
          <w:iCs/>
          <w:lang w:eastAsia="de-DE"/>
        </w:rPr>
        <w:t xml:space="preserve">Post hoc </w:t>
      </w:r>
      <w:r>
        <w:rPr>
          <w:rFonts w:ascii="Times New Roman" w:eastAsia="Times New Roman" w:hAnsi="Times New Roman"/>
          <w:lang w:eastAsia="de-DE"/>
        </w:rPr>
        <w:t>analīzes laikā tika konstatēts, ka salīdzinājumā ar pacientu grupu, kam nebija UDHS, novērotā stāvokļa uzlabošanās pacientiem, kam vienlaikus bija UDHS, pēc aripiprazola lietošanas bija izteiktāka nekā pēc placebo lietošanas; atšķirības, salīdzinot ar placebo, nenovēroja. Recidīvu profilakses efektivitāte netika noteikta.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Pacientiem, kuri saņēma 30 mg lielas devas, visbiežākās zāļu izraisītās blakusparādības bija ekstrapiramidālie traucējumi (28,3 %), miegainība (27,3 %), galvassāpes (23,2 %) un slikta dūša (14,1 %). Pēc 30 nedēļas ilgas ārstēšanas ķermeņa masa palielinājās par vidēji 2,9 kg salīdzinājumā ar 0,98 kg pacientiem, kuri saņēma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Uzbudināmība saistībā ar autisma traucējumiem bērniem (skatīt 4.2.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 tika pētīts pacientiem vecumā no 6 līdz 17 gadiem divos 8 nedēļu ilgos, placebo kontrolētos pētījumos [viens mainīgas devas (2</w:t>
      </w:r>
      <w:r>
        <w:rPr>
          <w:rFonts w:ascii="Times New Roman" w:eastAsia="Times New Roman" w:hAnsi="Times New Roman"/>
          <w:lang w:eastAsia="de-DE"/>
        </w:rPr>
        <w:noBreakHyphen/>
        <w:t>15 mg dienā) un viens fiksētas devas (5,10 vai 15 mg dienā)] un vienā 52 nedēļu ilgā atklātajā pētījumā. Šajos pētījumos sākotnējā deva bija 2 mg dienā, pēc nedēļas devu palielinot līdz 5 mg dienā, pēc tam devu palielinot par 5 mg dienā katru nedēļu, sasniedzot mērķa devu. Vairāk kā 75 % pacientu bija vecumā līdz 13 gadiem. Aripiprazols uzrādīja statistiski ticamu efektivitāti pēc Aberanta vērtēšanas skalas (</w:t>
      </w:r>
      <w:r>
        <w:rPr>
          <w:rFonts w:ascii="Times New Roman" w:eastAsia="Times New Roman" w:hAnsi="Times New Roman"/>
          <w:i/>
          <w:iCs/>
          <w:lang w:eastAsia="de-DE"/>
        </w:rPr>
        <w:t>Aberrant Behaviour Checklist Irritability subscale</w:t>
      </w:r>
      <w:r>
        <w:rPr>
          <w:rFonts w:ascii="Times New Roman" w:eastAsia="Times New Roman" w:hAnsi="Times New Roman"/>
          <w:lang w:eastAsia="de-DE"/>
        </w:rPr>
        <w:t xml:space="preserve">). Tomēr šīs atrades klīniskā nozīmība nav pierādīta. Drošuma profils ietver ķermeņa masas pieaugumu un prolaktīna līmeņa izmaiņas. Ilgtermiņa drošuma pētījuma ilgums tika noteikts līdz 52 nedēļām. Apkopotajos pētījumu datos, zema seruma prolaktīna līmeņa biežums sievietēm </w:t>
      </w:r>
      <w:r>
        <w:rPr>
          <w:rFonts w:ascii="Times New Roman" w:eastAsia="Times New Roman" w:hAnsi="Times New Roman"/>
          <w:lang w:eastAsia="de-DE"/>
        </w:rPr>
        <w:lastRenderedPageBreak/>
        <w:t>(&lt; 3 ng/ml) un vīriešiem (&lt; 2 ng/ml), kuri tika ārstēti ar aripiprazolu, attiecīgi bija 27/46 (58,7 %) un 258/298 (86,6 %). Placebo kontrolētajos pētījumos vidējais ķermeņa masas pieaugums bija 0,4 kg placebo grupā un 1,6 kg ar aripiprazolu ārstētiem pacientiem.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Aripiprazolu pētīja arī placebo kontrolētā ilgtermiņa balstterapijas pētījumā. Pēc 13</w:t>
      </w:r>
      <w:r>
        <w:rPr>
          <w:rFonts w:ascii="Times New Roman" w:eastAsia="Times New Roman" w:hAnsi="Times New Roman"/>
          <w:lang w:eastAsia="de-DE"/>
        </w:rPr>
        <w:noBreakHyphen/>
        <w:t>26 nedēļas ilgas stāvokļa stabilizēšanas, lietojot aripiprazolu (2</w:t>
      </w:r>
      <w:r>
        <w:rPr>
          <w:rFonts w:ascii="Times New Roman" w:eastAsia="Times New Roman" w:hAnsi="Times New Roman"/>
          <w:lang w:eastAsia="de-DE"/>
        </w:rPr>
        <w:noBreakHyphen/>
        <w:t>15 mg dienā), pacientiem ar stabilu atbildes reakciju nākamās 16 nedēļas vai nu turpināja lietot aripiprazolu, vai aizstāja to ar placebo. Kaplāna-Meijera recidīvu rādītājs 16. nedēļā bija 35 % aripiprazola grupā un 52 % placebo grupā; recidīvu riska attiecība 16 nedēļu laikā (aripiprazols/placebo) bija 0,57 (atšķirība bez statistiskas ticamības). Vidējais ķermeņa masas pieaugums stabilizācijas fāzē (līdz 26 nedēļām ilgi), lietojot aripiprazolu, bija 3,2 kg, un pētījuma otrajā fāzē (16 nedēļas) novēroja papildu pieaugumu vidēji par 2,2 kg, lietojot aripiprazolu, salīdzinājumā ar 0,6 kg, lietojot placebo. Par ekstrapiramidāliem simptomiem ziņots galvenokārt stabilizācijas fāzes laikā 17 % pacientu, bet trīce bija 6,5 % pacientu.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Ar Tureta sindromu saistīti tiki pediatriskajā populācijā (skatīt 4.2.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efektivitāte pediatriskiem pacientiem ar Tureta sindromu (aripiprazols: n = 99, placebo: n= 44) tika pētīta nejaušinātā, dubultaklā, placebo kontrolētā, 8 nedēļas ilgā pētījumā, lietojot fiksētas devas, no ķermeņa masas atkarīgas terapijas grupas plānojumu ar devu diapazonu no 5 mg diennaktī līdz 20 mg diennaktī un sākuma devu 2 mg. Pacientu vecums bija 7 </w:t>
      </w:r>
      <w:r>
        <w:rPr>
          <w:rFonts w:ascii="Times New Roman" w:eastAsia="Times New Roman" w:hAnsi="Times New Roman"/>
          <w:lang w:eastAsia="de-DE"/>
        </w:rPr>
        <w:noBreakHyphen/>
        <w:t> 17 gadi, un kopējais vidējais tiku punktu skaits (</w:t>
      </w:r>
      <w:r>
        <w:rPr>
          <w:rFonts w:ascii="Times New Roman" w:eastAsia="Times New Roman" w:hAnsi="Times New Roman"/>
          <w:i/>
          <w:iCs/>
          <w:lang w:eastAsia="de-DE"/>
        </w:rPr>
        <w:t xml:space="preserve">total tic score </w:t>
      </w:r>
      <w:r>
        <w:rPr>
          <w:rFonts w:ascii="Times New Roman" w:eastAsia="Times New Roman" w:hAnsi="Times New Roman"/>
          <w:lang w:eastAsia="de-DE"/>
        </w:rPr>
        <w:t>– TTS) pēc Jēlas Vispārējās tiku smaguma pakāpes skalas (</w:t>
      </w:r>
      <w:r>
        <w:rPr>
          <w:rFonts w:ascii="Times New Roman" w:eastAsia="Times New Roman" w:hAnsi="Times New Roman"/>
          <w:i/>
          <w:iCs/>
          <w:lang w:eastAsia="de-DE"/>
        </w:rPr>
        <w:t xml:space="preserve">Yale Global Tic Severity Scale </w:t>
      </w:r>
      <w:r>
        <w:rPr>
          <w:rFonts w:ascii="Times New Roman" w:eastAsia="Times New Roman" w:hAnsi="Times New Roman"/>
          <w:lang w:eastAsia="de-DE"/>
        </w:rPr>
        <w:t>– YGTSS) pētījuma sākumā bija 30. Aripiprazola lietotāju grupā konstatētais TTS</w:t>
      </w:r>
      <w:r>
        <w:rPr>
          <w:rFonts w:ascii="Times New Roman" w:eastAsia="Times New Roman" w:hAnsi="Times New Roman"/>
          <w:lang w:eastAsia="de-DE"/>
        </w:rPr>
        <w:noBreakHyphen/>
        <w:t>YGTSS uzlabojums no pētījuma sākuma līdz 8. nedēļai bija 13,35 mazās devas (5 mg vai 10 mg) lietotāju grupā un 16,94 lielās devas (10 mg vai 20 mg) lietotāju grupā (salīdzinājumā ar uzlabojumu 7,09 placebo lietotāju grupā).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efektivitāte pediatriskiem pacientiem ar Tureta sindromu (aripiprazols: n = 32, placebo: n = 29) tika vērtēta arī 10 nedēļas ilgā, nejaušinātā, dubultaklā, placebo kontrolētā, Dienvidkorejā veiktā pētījumā, lietojot mainīgas devas diapazonā no 2 mg diennaktī līdz 20 mg diennaktī un sākuma devu 2 mg. Pacientu vecums bija 6 </w:t>
      </w:r>
      <w:r>
        <w:rPr>
          <w:rFonts w:ascii="Times New Roman" w:eastAsia="Times New Roman" w:hAnsi="Times New Roman"/>
          <w:lang w:eastAsia="de-DE"/>
        </w:rPr>
        <w:noBreakHyphen/>
        <w:t> 18 gadi, un vidējais rādītājs pēc TTS</w:t>
      </w:r>
      <w:r>
        <w:rPr>
          <w:rFonts w:ascii="Times New Roman" w:eastAsia="Times New Roman" w:hAnsi="Times New Roman"/>
          <w:lang w:eastAsia="de-DE"/>
        </w:rPr>
        <w:noBreakHyphen/>
        <w:t>YGTSS skalas pētījuma sākumā bija 29. Aripiprazola lietotāju grupā konstatētais TTS</w:t>
      </w:r>
      <w:r>
        <w:rPr>
          <w:rFonts w:ascii="Times New Roman" w:eastAsia="Times New Roman" w:hAnsi="Times New Roman"/>
          <w:lang w:eastAsia="de-DE"/>
        </w:rPr>
        <w:noBreakHyphen/>
        <w:t>YGTSS uzlabojums laikā no pētījuma sākuma līdz 10. nedēļai bija 14,97 (salīdzinājumā ar uzlabojumu 9,62 placebo lietotāju grupā).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Abos šajos īstermiņa pētījumos efektivitātes rādītāju klīniskais nozīmīgums nav pierādīts, ņemot vērā terapijas efektu salīdzinājumā ar lielo placebo efektu, kā arī neskaidro ietekmi uz psihosociālo funkciju. Nav pieejami ilgtermiņa dati par aripiprazola lietošanas efektivitāti un drošumu šī nepastāvīgā traucējuma ārstēšanā.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spacing w:after="0" w:line="240" w:lineRule="auto"/>
        <w:rPr>
          <w:rFonts w:ascii="Times New Roman" w:hAnsi="Times New Roman"/>
        </w:rPr>
      </w:pPr>
      <w:r>
        <w:rPr>
          <w:rFonts w:ascii="Times New Roman" w:eastAsia="Times New Roman" w:hAnsi="Times New Roman"/>
          <w:lang w:eastAsia="de-DE"/>
        </w:rPr>
        <w:t xml:space="preserve">Eiropas Zāļu aģentūra atliek pienākumu iesniegt pētījumu rezultātus </w:t>
      </w:r>
      <w:r>
        <w:rPr>
          <w:rFonts w:ascii="Times New Roman" w:hAnsi="Times New Roman"/>
        </w:rPr>
        <w:t xml:space="preserve">atsauces zālēm, kas satur aripiprazolu </w:t>
      </w:r>
      <w:r>
        <w:rPr>
          <w:rFonts w:ascii="Times New Roman" w:eastAsia="Times New Roman" w:hAnsi="Times New Roman"/>
          <w:lang w:eastAsia="de-DE"/>
        </w:rPr>
        <w:t>vienā vai vairākās pediatriskās populācijas apakšgrupās, ārstējot šizofrēniju un bipolāri afektīvus traucējumus (informāciju par lietošanu bērniem skatīt 4.2. apakšpunktu).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5.2.</w:t>
      </w:r>
      <w:r>
        <w:rPr>
          <w:rFonts w:ascii="Times New Roman" w:eastAsia="Times New Roman" w:hAnsi="Times New Roman"/>
          <w:b/>
          <w:bCs/>
          <w:lang w:eastAsia="de-DE"/>
        </w:rPr>
        <w:tab/>
        <w:t>Farmakokinētiskās īpašības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Uzsūkšanās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 tiek labi absorbēts, maksimālo koncentrāciju plazmā novēro 3</w:t>
      </w:r>
      <w:r>
        <w:rPr>
          <w:rFonts w:ascii="Times New Roman" w:eastAsia="Times New Roman" w:hAnsi="Times New Roman"/>
          <w:lang w:eastAsia="de-DE"/>
        </w:rPr>
        <w:noBreakHyphen/>
        <w:t>5 stundās pēc lietošanas. Aripiprazols ir minimāli pakļauts presistēmiskam metabolismam. Absolūtā perorālā biopieejamība tablešu zāļu formai ir 87 %. Aripiprazola farmakokinētiku neietekmē lielu tauku daudzumu saturošs ēdiens.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Izkliede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 plaši izplatās organismā, teorētiskais izplatīšanās tilpums ir 4,9 l/kg, kas norāda uz ekstravaskulāru izplatīšanos. Terapeitiskās koncentrācijās aripiprazols un dehidro-aripiprazols vairāk nekā 99 % apmērā ir saistīts ar seruma proteīniem, galvenokārt ar albumīnu.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Biotransformācija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Aripiprazols lielā mērā tiek metabolizēts, galvenokārt aknās trīs biotransformācijas ceļos: dehidrogenācija, hidroksilācija un N-dealkilēšana. Pamatojoties uz pētījumiem </w:t>
      </w:r>
      <w:r>
        <w:rPr>
          <w:rFonts w:ascii="Times New Roman" w:eastAsia="Times New Roman" w:hAnsi="Times New Roman"/>
          <w:i/>
          <w:iCs/>
          <w:lang w:eastAsia="de-DE"/>
        </w:rPr>
        <w:t>in vitro</w:t>
      </w:r>
      <w:r>
        <w:rPr>
          <w:rFonts w:ascii="Times New Roman" w:eastAsia="Times New Roman" w:hAnsi="Times New Roman"/>
          <w:lang w:eastAsia="de-DE"/>
        </w:rPr>
        <w:t>, CYP3A4 un CYP2D6 enzīmi nodrošina aripiprazola dehidrogenāciju un hidroksilācija, bet N-dealkilēšanu katalizē CYP3A4. Sistēmiskā cirkulācijā galvenokārt ir aripiprazols, bet dehidro-aripiprazols līdzsvara koncentrācijas stāvoklī sastāda 40 % no aripiprazola AUC plazmā.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Eliminācija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vidējais eliminācijas pusperiods ir apmēram 75 stundas CYP2D6 stipriem metabolizētājiem un 146 stundas CYP2D6 vājiem metabolizētājiem.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kopējais klīrenss ir 0,7 ml/min/kg, galvenokārt hepātiskais.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Pēc atsevišķas [</w:t>
      </w:r>
      <w:r>
        <w:rPr>
          <w:rFonts w:ascii="Times New Roman" w:eastAsia="Times New Roman" w:hAnsi="Times New Roman"/>
          <w:vertAlign w:val="superscript"/>
          <w:lang w:eastAsia="de-DE"/>
        </w:rPr>
        <w:t>14</w:t>
      </w:r>
      <w:r>
        <w:rPr>
          <w:rFonts w:ascii="Times New Roman" w:eastAsia="Times New Roman" w:hAnsi="Times New Roman"/>
          <w:lang w:eastAsia="de-DE"/>
        </w:rPr>
        <w:t>C]-iezīmēta aripiprazola devas aptuveni 27 % radioaktivitātes tika atgūti urīnā un 60 % izkārnījumos. Mazāk par 1 % nepārmainīta aripiprazola tika ekskretēts urīnā, un aptuveni 18 % tika atgūti nepārmainīti kā aripiprazols izkārnījumos.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Pediatriskā populācija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un dehidro-aripiprazola farmakokinētika 10 līdz 17 gadus veciem pediatriskiem pacientiem pēc ķermeņa masas atšķirību korekcijas bija līdzīga pieagušajiem.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Farmakokinētika īpašām pacientu grupām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Gados vecāki cilvēki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Aripiprazola farmakokinētikā nav atšķirības starp veseliem gados vecākiem cilvēkiem un jauniem pieaugušajiem, nav atklāta vecuma ietekme arī populācijas farmakokinētikas analīzē šizofrēnijas slimniekiem.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Dzimums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Nav aripiprazola farmakokinētikā atšķirības starp veseliem vīriešu un sieviešu kārtas indivīdiem, nav atklāta dzimuma ietekme arī populācijas farmakokinētikas analīzē šizofrēnijas slimniekiem.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Smēķēšana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Farmakokinētikas izvērtēšana populācijā neatklāja ar rasi saistītas klīniski nozīmīgas atšķirības vai smēķēšanas ietekmi uz aripiprazola farmakokinētiku.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Rase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Populācijas farmakokinētiskajā novērtējumā netika konstatētas no rases atkarīgas atšķirības aripiprazola farmakokinētikā.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Nieru darbības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Konstatēts, ka aripiprazola un dehidro-aripiprazola farmakokinētika slimniekiem ar smagu nieru slimību un veseliem jauniem cilvēkiem ir līdzīga.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Aknu darbības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Vienas devas pētījums cilvēkiem ar dažādas pakāpes aknu cirozi (Child-Pugh klase A, B un C) neatklāja aknu funkcijas traucējumu nozīmīgu ietekmi uz aripiprazola un dehidro-aripiprazola farmakokinētiku, bet pētījumā bija tikai 3 slimnieki ar C klases aknu cirozi, kas nav pietiekoši, lai izdarītu secinājumus par metabolizēšanas spēju.</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5.3.</w:t>
      </w:r>
      <w:r>
        <w:rPr>
          <w:rFonts w:ascii="Times New Roman" w:eastAsia="Times New Roman" w:hAnsi="Times New Roman"/>
          <w:b/>
          <w:bCs/>
          <w:lang w:eastAsia="de-DE"/>
        </w:rPr>
        <w:tab/>
        <w:t>Preklīniskie dati par drošumu</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Neklīniskajos standartpētījumos iegūtie dati par farmakoloģisko drošumu, atkārtotu devu toksicitāti, genotoksicitāti, iespējamu kancerogenitāti un toksisku ietekmi uz reproduktivitāti un attīstību neliecina </w:t>
      </w:r>
      <w:r>
        <w:rPr>
          <w:rFonts w:ascii="Times New Roman" w:eastAsia="Times New Roman" w:hAnsi="Times New Roman"/>
          <w:lang w:eastAsia="de-DE"/>
        </w:rPr>
        <w:lastRenderedPageBreak/>
        <w:t>par īpašu risku cilvēkam.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Toksikoloģiski nozīmīgus efektus novēroja vienīgi tad, ja izmantotās devas un iedarbības ilgums ievērojami pārsniedza cilvēkam maksimāli pieļaujamos. Tas liecina, ka klīnikā šiem efektiem ir ierobežota nozīme vai arī tie nav būtiski. Tie bija: devas atkarīgs adrenokortikāls toksiskums žurkām (lipofuscīna pigmenta uzkrāšanās un/vai parenhimatozo šūnu zudums) pēc 104 nedēļām ar 20 līdz 60 mg/kg/dienā (vidējais AUC līdzsvara koncentrācijas stāvoklī 3 līdz 10 reizes lielāks nekā pēc maksimālās cilvēkam rekomendētās devas) un adrenokortikālu karcinomu un kombinētu adrenokortikālu adenomu/karcinomu pieaugums žurku mātītēm ar 60 mg/kg/dienā (vidējais AUC līdzsvara koncentrācijas stāvoklī 10 reizes lielāks nekā pēc maksimālās cilvēkam rekomendētās devas). Augstākā kancerogenitāti neizraisoša iedarbība žurku mātītēm bija 7 reizes lielāka par rekomendēto devu cilvēkiem.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Papildus atrade pētījumā ar pērtiķiem bija žultsakmeņi kā sekas aripiprazola hidroksimetabolīta sulfāta konjugāta precipitācijai žultī pēc 25 līdz 125 mg/kg/dienā atkārtotām devām iekšķīgi (vidējais AUC līdzsvara koncentrācijas stāvoklī vienāds vai līdz 3 reizes lielāks nekā pēc maksimālās klīnikā rekomendētās devas, vai tāda deva, kas 16 līdz 81 reizes lielāka par cilvēkam rekomendēto devu, rēķinot mg/m</w:t>
      </w:r>
      <w:r>
        <w:rPr>
          <w:rFonts w:ascii="Times New Roman" w:eastAsia="Times New Roman" w:hAnsi="Times New Roman"/>
          <w:vertAlign w:val="superscript"/>
          <w:lang w:eastAsia="de-DE"/>
        </w:rPr>
        <w:t>2</w:t>
      </w:r>
      <w:r>
        <w:rPr>
          <w:rFonts w:ascii="Times New Roman" w:eastAsia="Times New Roman" w:hAnsi="Times New Roman"/>
          <w:lang w:eastAsia="de-DE"/>
        </w:rPr>
        <w:t xml:space="preserve">). Tomēr aripiprazola hidroksimetabolīta sulfāta konjugāta koncentrācija cilvēka žultī pēc augstākās ieteiktās devas 30 mg dienā nebija lielāka par 6 % no koncentrācijas žultī pērtiķiem 39 nedēļu pētījumā, un tā bija stipri zemāka par </w:t>
      </w:r>
      <w:r>
        <w:rPr>
          <w:rFonts w:ascii="Times New Roman" w:eastAsia="Times New Roman" w:hAnsi="Times New Roman"/>
          <w:i/>
          <w:iCs/>
          <w:lang w:eastAsia="de-DE"/>
        </w:rPr>
        <w:t xml:space="preserve">in vitro </w:t>
      </w:r>
      <w:r>
        <w:rPr>
          <w:rFonts w:ascii="Times New Roman" w:eastAsia="Times New Roman" w:hAnsi="Times New Roman"/>
          <w:lang w:eastAsia="de-DE"/>
        </w:rPr>
        <w:t>šķīdības robežu.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Atkārtotas devas pētījumos ar nepieaugušām žurkām un suņiem aripiprazola toksicitātes profils bija salīdzināms ar pieaugušiem dzīvniekiem. Nav pierādījumu par neirotoksicitāti vai nevēlamu ietekmi uz attīstību.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Pamatojoties uz pilna apjoma genotoksicitātes izpētes testu rezultātiem uzskata, ka aripiprazols nav genotoksisks. Aripiprazols nepasliktināja fertilitāti reprodukcijas toksiskuma pētījumos. Toksiska ietekme uz attīstību, tostarp no devas atkarīga augļa osifikācijas atpalikšana un varbūtēji teratogēni efekti, tika novēroti žurkām devās, kas radīja subterapeitisku iedarbību (vērtējot pēc AUC) un trušiem ar devām, kas līdzsvara koncentrācijas stāvoklī radīja 3 un 11 reizes lielāku vidējo iedarbību (AUC) nekā pēc maksimālās klīnikā rekomendētās devas. Toksiskums mātītei tika konstatēts devās, kas līdzīgas tām, kas izraisa toksisku ietekmi uz attīstību.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w:t>
      </w:r>
      <w:r>
        <w:rPr>
          <w:rFonts w:ascii="Times New Roman" w:eastAsia="Times New Roman" w:hAnsi="Times New Roman"/>
          <w:b/>
          <w:bCs/>
          <w:lang w:eastAsia="de-DE"/>
        </w:rPr>
        <w:tab/>
        <w:t>FARMACEITISKĀ INFORMĀCIJA</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6.1.</w:t>
      </w:r>
      <w:r>
        <w:rPr>
          <w:rFonts w:ascii="Times New Roman" w:eastAsia="Times New Roman" w:hAnsi="Times New Roman"/>
          <w:b/>
          <w:bCs/>
          <w:lang w:eastAsia="de-DE"/>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spacing w:after="0" w:line="240" w:lineRule="auto"/>
        <w:rPr>
          <w:rFonts w:ascii="Times New Roman" w:hAnsi="Times New Roman"/>
          <w:u w:val="single"/>
        </w:rPr>
      </w:pPr>
      <w:r>
        <w:rPr>
          <w:rFonts w:ascii="Times New Roman" w:hAnsi="Times New Roman"/>
          <w:u w:val="single"/>
        </w:rPr>
        <w:t>Aripiprazole Sandoz 5 mg tabletes</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Laktozes monohidrāts</w:t>
      </w:r>
    </w:p>
    <w:p>
      <w:pPr>
        <w:spacing w:after="0" w:line="240" w:lineRule="auto"/>
        <w:rPr>
          <w:rFonts w:ascii="Times New Roman" w:hAnsi="Times New Roman"/>
        </w:rPr>
      </w:pPr>
      <w:r>
        <w:rPr>
          <w:rFonts w:ascii="Times New Roman" w:hAnsi="Times New Roman"/>
        </w:rPr>
        <w:t>Kukurūzas ciete</w:t>
      </w:r>
    </w:p>
    <w:p>
      <w:pPr>
        <w:spacing w:after="0" w:line="240" w:lineRule="auto"/>
        <w:rPr>
          <w:rFonts w:ascii="Times New Roman" w:hAnsi="Times New Roman"/>
        </w:rPr>
      </w:pPr>
      <w:r>
        <w:rPr>
          <w:rFonts w:ascii="Times New Roman" w:hAnsi="Times New Roman"/>
        </w:rPr>
        <w:t>Mikrokristāliskā celuloze</w:t>
      </w:r>
    </w:p>
    <w:p>
      <w:pPr>
        <w:spacing w:after="0" w:line="240" w:lineRule="auto"/>
        <w:rPr>
          <w:rFonts w:ascii="Times New Roman" w:hAnsi="Times New Roman"/>
        </w:rPr>
      </w:pPr>
      <w:r>
        <w:rPr>
          <w:rFonts w:ascii="Times New Roman" w:hAnsi="Times New Roman"/>
        </w:rPr>
        <w:t>Hidroksipropilceluloze</w:t>
      </w:r>
    </w:p>
    <w:p>
      <w:pPr>
        <w:spacing w:after="0" w:line="240" w:lineRule="auto"/>
        <w:rPr>
          <w:rFonts w:ascii="Times New Roman" w:hAnsi="Times New Roman"/>
        </w:rPr>
      </w:pPr>
      <w:r>
        <w:rPr>
          <w:rFonts w:ascii="Times New Roman" w:hAnsi="Times New Roman"/>
        </w:rPr>
        <w:t>Magnija stearāts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Indigo karmīna (E 132) alumīnija krāsviela</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Laktozes monohidrāts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Kukurūzas ciete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Mikrokristāliskā celuloze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Hidroksipropilceluloze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Magnija stearāts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Sarkanais dzelzs oksīds (E 172)</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Laktozes monohidrāts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Kukurūzas ciete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Mikrokristāliskā celuloze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Hidroksipropilceluloze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Magnija stearāts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Dzeltenais dzelzs oksīds (E 172)</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20 mg tabletes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Laktozes monohidrāts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Kukurūzas ciete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Mikrokristāliskā celuloze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Hidroksipropilceluloze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Magnija stearāts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Laktozes monohidrāts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Kukurūzas ciete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Mikrokristāliskā celuloze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Hidroksipropilceluloze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Magnija stearāts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Cs/>
          <w:lang w:eastAsia="de-DE"/>
        </w:rPr>
        <w:t>Sarkanais dzelzs oksīds (E 172)</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6.2.</w:t>
      </w:r>
      <w:r>
        <w:rPr>
          <w:rFonts w:ascii="Times New Roman" w:eastAsia="Times New Roman" w:hAnsi="Times New Roman"/>
          <w:b/>
          <w:bCs/>
          <w:lang w:eastAsia="de-DE"/>
        </w:rPr>
        <w:tab/>
        <w:t>Nesaderība</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Nav piemērojama.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6.3.</w:t>
      </w:r>
      <w:r>
        <w:rPr>
          <w:rFonts w:ascii="Times New Roman" w:eastAsia="Times New Roman" w:hAnsi="Times New Roman"/>
          <w:b/>
          <w:bCs/>
          <w:lang w:eastAsia="de-DE"/>
        </w:rPr>
        <w:tab/>
        <w:t>Uzglabāšanas laiks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spacing w:after="0" w:line="240" w:lineRule="auto"/>
        <w:rPr>
          <w:rFonts w:ascii="Times New Roman" w:hAnsi="Times New Roman"/>
        </w:rPr>
      </w:pPr>
      <w:r>
        <w:rPr>
          <w:rFonts w:ascii="Times New Roman" w:hAnsi="Times New Roman"/>
        </w:rPr>
        <w:t>2 </w:t>
      </w:r>
      <w:r>
        <w:rPr>
          <w:rFonts w:ascii="Times New Roman" w:eastAsia="Times New Roman" w:hAnsi="Times New Roman"/>
          <w:lang w:eastAsia="de-DE"/>
        </w:rPr>
        <w:t>gadi</w:t>
      </w:r>
    </w:p>
    <w:p>
      <w:pPr>
        <w:spacing w:after="0" w:line="240" w:lineRule="auto"/>
        <w:rPr>
          <w:rFonts w:ascii="Times New Roman" w:hAnsi="Times New Roman"/>
          <w:i/>
        </w:rPr>
      </w:pPr>
    </w:p>
    <w:p>
      <w:pPr>
        <w:spacing w:after="0" w:line="240" w:lineRule="auto"/>
        <w:rPr>
          <w:rFonts w:ascii="Times New Roman" w:hAnsi="Times New Roman"/>
          <w:u w:val="single"/>
        </w:rPr>
      </w:pPr>
      <w:r>
        <w:rPr>
          <w:rFonts w:ascii="Times New Roman" w:hAnsi="Times New Roman"/>
          <w:u w:val="single"/>
        </w:rPr>
        <w:t>Aripiprazole Sandoz 5 mg, 10 mg, 15 mg, 30 mg tabletes</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Pēc pudeles pirmās atvēršanas: 3 mēneši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6.4.</w:t>
      </w:r>
      <w:r>
        <w:rPr>
          <w:rFonts w:ascii="Times New Roman" w:eastAsia="Times New Roman" w:hAnsi="Times New Roman"/>
          <w:b/>
          <w:bCs/>
          <w:lang w:eastAsia="de-DE"/>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eastAsia="Times New Roman" w:hAnsi="Times New Roman"/>
        </w:rPr>
        <w:t>Zālēm nav nepieciešami īpaši uzglabāšanas apstākļi</w:t>
      </w:r>
      <w:r>
        <w:rPr>
          <w:rFonts w:ascii="Times New Roman" w:hAnsi="Times New Roman"/>
        </w:rPr>
        <w:t>.</w:t>
      </w:r>
    </w:p>
    <w:p>
      <w:pPr>
        <w:spacing w:after="0" w:line="240" w:lineRule="auto"/>
        <w:rPr>
          <w:rFonts w:ascii="Times New Roman" w:hAnsi="Times New Roman"/>
        </w:rPr>
      </w:pPr>
    </w:p>
    <w:p>
      <w:pPr>
        <w:spacing w:after="0" w:line="240" w:lineRule="auto"/>
        <w:rPr>
          <w:rFonts w:ascii="Times New Roman" w:hAnsi="Times New Roman"/>
          <w:u w:val="single"/>
        </w:rPr>
      </w:pPr>
      <w:r>
        <w:rPr>
          <w:rFonts w:ascii="Times New Roman" w:hAnsi="Times New Roman"/>
          <w:u w:val="single"/>
        </w:rPr>
        <w:t>Aripiprazole Sandoz 5 mg, 10 mg, 15 mg, 30 mg tabletes</w:t>
      </w:r>
    </w:p>
    <w:p>
      <w:pPr>
        <w:spacing w:after="0" w:line="240" w:lineRule="auto"/>
        <w:rPr>
          <w:rFonts w:ascii="Times New Roman" w:hAnsi="Times New Roman"/>
          <w:i/>
        </w:rPr>
      </w:pPr>
    </w:p>
    <w:p>
      <w:pPr>
        <w:spacing w:after="0" w:line="240" w:lineRule="auto"/>
        <w:rPr>
          <w:rFonts w:ascii="Times New Roman" w:hAnsi="Times New Roman"/>
        </w:rPr>
      </w:pPr>
      <w:r>
        <w:rPr>
          <w:rFonts w:ascii="Times New Roman" w:hAnsi="Times New Roman"/>
        </w:rPr>
        <w:t>Uzglabāšanas nosacījumus pēc pudeles pirmās atvēršanas skatīt 6.3. apakšpunktā.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6.5.</w:t>
      </w:r>
      <w:r>
        <w:rPr>
          <w:rFonts w:ascii="Times New Roman" w:eastAsia="Times New Roman" w:hAnsi="Times New Roman"/>
          <w:b/>
          <w:bCs/>
          <w:lang w:eastAsia="de-DE"/>
        </w:rPr>
        <w:tab/>
        <w:t>Iepakojuma veids un saturs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spacing w:after="0" w:line="240" w:lineRule="auto"/>
        <w:rPr>
          <w:rFonts w:ascii="Times New Roman" w:hAnsi="Times New Roman"/>
        </w:rPr>
      </w:pPr>
      <w:r>
        <w:rPr>
          <w:rFonts w:ascii="Times New Roman" w:hAnsi="Times New Roman"/>
        </w:rPr>
        <w:t>Alumīnija//Alumīnija blisteris.</w:t>
      </w:r>
    </w:p>
    <w:p>
      <w:pPr>
        <w:spacing w:after="0" w:line="240" w:lineRule="auto"/>
        <w:rPr>
          <w:rFonts w:ascii="Times New Roman" w:hAnsi="Times New Roman"/>
        </w:rPr>
      </w:pPr>
    </w:p>
    <w:p>
      <w:pPr>
        <w:spacing w:after="0" w:line="240" w:lineRule="auto"/>
        <w:rPr>
          <w:rFonts w:ascii="Times New Roman" w:hAnsi="Times New Roman"/>
          <w:u w:val="single"/>
        </w:rPr>
      </w:pPr>
      <w:r>
        <w:rPr>
          <w:rFonts w:ascii="Times New Roman" w:hAnsi="Times New Roman"/>
          <w:u w:val="single"/>
        </w:rPr>
        <w:t>Aripiprazole Sandoz 5 mg, 10 mg, 15 mg, 30 mg tabletes</w:t>
      </w:r>
    </w:p>
    <w:p>
      <w:pPr>
        <w:spacing w:after="0" w:line="240" w:lineRule="auto"/>
        <w:rPr>
          <w:rFonts w:ascii="Times New Roman" w:hAnsi="Times New Roman"/>
          <w:i/>
        </w:rPr>
      </w:pPr>
    </w:p>
    <w:p>
      <w:pPr>
        <w:spacing w:after="0" w:line="240" w:lineRule="auto"/>
        <w:rPr>
          <w:rFonts w:ascii="Times New Roman" w:hAnsi="Times New Roman"/>
        </w:rPr>
      </w:pPr>
      <w:r>
        <w:rPr>
          <w:rFonts w:ascii="Times New Roman" w:hAnsi="Times New Roman"/>
        </w:rPr>
        <w:t>Augsta blīvuma polietilēna (ABPE) tablešu iepakojums (pudele) satur silkagēla desikantu un poliestera tinumu.</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Iepakojuma lielumi:</w:t>
      </w:r>
    </w:p>
    <w:p>
      <w:pPr>
        <w:spacing w:after="0" w:line="240" w:lineRule="auto"/>
        <w:rPr>
          <w:rFonts w:ascii="Times New Roman" w:hAnsi="Times New Roman"/>
          <w:u w:val="single"/>
        </w:rPr>
      </w:pPr>
    </w:p>
    <w:p>
      <w:pPr>
        <w:spacing w:after="0" w:line="240" w:lineRule="auto"/>
        <w:rPr>
          <w:rFonts w:ascii="Times New Roman" w:hAnsi="Times New Roman"/>
          <w:u w:val="single"/>
        </w:rPr>
      </w:pPr>
      <w:r>
        <w:rPr>
          <w:rFonts w:ascii="Times New Roman" w:hAnsi="Times New Roman"/>
          <w:u w:val="single"/>
        </w:rPr>
        <w:t>Aripiprazole Sandoz 5 mg, 10 mg, 15 mg, 30 mg tabletes</w:t>
      </w:r>
    </w:p>
    <w:p>
      <w:pPr>
        <w:spacing w:after="0" w:line="240" w:lineRule="auto"/>
        <w:rPr>
          <w:rFonts w:ascii="Times New Roman" w:hAnsi="Times New Roman"/>
        </w:rPr>
      </w:pPr>
      <w:r>
        <w:rPr>
          <w:rFonts w:ascii="Times New Roman" w:hAnsi="Times New Roman"/>
        </w:rPr>
        <w:lastRenderedPageBreak/>
        <w:t>Blistera iepakojumi kartona kastītēs: 10, 14, 16, 28, 30, 35, 56, 70 tabletes</w:t>
      </w:r>
    </w:p>
    <w:p>
      <w:pPr>
        <w:spacing w:after="0" w:line="240" w:lineRule="auto"/>
        <w:rPr>
          <w:rFonts w:ascii="Times New Roman" w:hAnsi="Times New Roman"/>
        </w:rPr>
      </w:pPr>
      <w:r>
        <w:rPr>
          <w:rFonts w:ascii="Times New Roman" w:hAnsi="Times New Roman"/>
        </w:rPr>
        <w:t>Blistera iepakojumi (vienas devas kontūrligzdas) kartona kastītēs: 14 x 1, 28 x 1, 49 x 1, 56 x 1, 98 x 1 tabletes</w:t>
      </w:r>
    </w:p>
    <w:p>
      <w:pPr>
        <w:spacing w:after="0" w:line="240" w:lineRule="auto"/>
        <w:rPr>
          <w:rFonts w:ascii="Times New Roman" w:hAnsi="Times New Roman"/>
        </w:rPr>
      </w:pPr>
      <w:r>
        <w:rPr>
          <w:rFonts w:ascii="Times New Roman" w:hAnsi="Times New Roman"/>
        </w:rPr>
        <w:t>Pudeļu iepakojumi kartona kastītēs: 100 tabletes</w:t>
      </w:r>
    </w:p>
    <w:p>
      <w:pPr>
        <w:spacing w:after="0" w:line="240" w:lineRule="auto"/>
        <w:rPr>
          <w:rFonts w:ascii="Times New Roman" w:hAnsi="Times New Roman"/>
        </w:rPr>
      </w:pPr>
    </w:p>
    <w:p>
      <w:pPr>
        <w:spacing w:after="0" w:line="240" w:lineRule="auto"/>
        <w:rPr>
          <w:rFonts w:ascii="Times New Roman" w:hAnsi="Times New Roman"/>
          <w:u w:val="single"/>
        </w:rPr>
      </w:pPr>
      <w:r>
        <w:rPr>
          <w:rFonts w:ascii="Times New Roman" w:hAnsi="Times New Roman"/>
          <w:u w:val="single"/>
        </w:rPr>
        <w:t>Aripiprazole Sandoz 20 mg tabletes</w:t>
      </w:r>
    </w:p>
    <w:p>
      <w:pPr>
        <w:spacing w:after="0" w:line="240" w:lineRule="auto"/>
        <w:rPr>
          <w:rFonts w:ascii="Times New Roman" w:hAnsi="Times New Roman"/>
        </w:rPr>
      </w:pPr>
      <w:r>
        <w:rPr>
          <w:rFonts w:ascii="Times New Roman" w:hAnsi="Times New Roman"/>
        </w:rPr>
        <w:t>Blistera iepakojumi kartona kastītēs: 14, 28, 49, 56, 98 tabletes</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Visi iepakojuma lielumi tirgū var nebūt pieejami.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6.6.</w:t>
      </w:r>
      <w:r>
        <w:rPr>
          <w:rFonts w:ascii="Times New Roman" w:eastAsia="Times New Roman" w:hAnsi="Times New Roman"/>
          <w:b/>
          <w:bCs/>
          <w:lang w:eastAsia="de-DE"/>
        </w:rPr>
        <w:tab/>
        <w:t>Īpaši norādījumi atkritumu likvidēšanai</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Neizlietotās zāles vai izlietotie materiāli jāiznīcina atbilstoši vietējām prasībām.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7.</w:t>
      </w:r>
      <w:r>
        <w:rPr>
          <w:rFonts w:ascii="Times New Roman" w:eastAsia="Times New Roman" w:hAnsi="Times New Roman"/>
          <w:b/>
          <w:bCs/>
          <w:lang w:eastAsia="de-DE"/>
        </w:rPr>
        <w:tab/>
        <w:t>REĢISTRĀCIJAS APLIECĪBAS ĪPAŠNIEKS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Sandoz GmbH</w:t>
      </w:r>
    </w:p>
    <w:p>
      <w:pPr>
        <w:tabs>
          <w:tab w:val="left" w:pos="567"/>
        </w:tabs>
        <w:spacing w:after="0" w:line="240" w:lineRule="auto"/>
        <w:rPr>
          <w:rFonts w:ascii="Times New Roman" w:eastAsia="Times New Roman" w:hAnsi="Times New Roman"/>
        </w:rPr>
      </w:pPr>
      <w:r>
        <w:rPr>
          <w:rFonts w:ascii="Times New Roman" w:eastAsia="Times New Roman" w:hAnsi="Times New Roman"/>
        </w:rPr>
        <w:t>Biochemiestrasse 10</w:t>
      </w:r>
    </w:p>
    <w:p>
      <w:pPr>
        <w:tabs>
          <w:tab w:val="left" w:pos="567"/>
        </w:tabs>
        <w:spacing w:after="0" w:line="240" w:lineRule="auto"/>
        <w:rPr>
          <w:rFonts w:ascii="Times New Roman" w:eastAsia="Times New Roman" w:hAnsi="Times New Roman"/>
        </w:rPr>
      </w:pPr>
      <w:r>
        <w:rPr>
          <w:rFonts w:ascii="Times New Roman" w:eastAsia="Times New Roman" w:hAnsi="Times New Roman"/>
        </w:rPr>
        <w:t>6250 Kundl</w:t>
      </w:r>
    </w:p>
    <w:p>
      <w:pPr>
        <w:tabs>
          <w:tab w:val="left" w:pos="567"/>
        </w:tabs>
        <w:spacing w:after="0" w:line="240" w:lineRule="auto"/>
        <w:rPr>
          <w:rFonts w:ascii="Times New Roman" w:eastAsia="Times New Roman" w:hAnsi="Times New Roman"/>
        </w:rPr>
      </w:pPr>
      <w:r>
        <w:rPr>
          <w:rFonts w:ascii="Times New Roman" w:eastAsia="Times New Roman" w:hAnsi="Times New Roman"/>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8.</w:t>
      </w:r>
      <w:r>
        <w:rPr>
          <w:rFonts w:ascii="Times New Roman" w:eastAsia="Times New Roman" w:hAnsi="Times New Roman"/>
          <w:b/>
          <w:bCs/>
          <w:lang w:eastAsia="de-DE"/>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Aripiprazole Sandoz 5 mg tabletes</w:t>
      </w:r>
    </w:p>
    <w:p>
      <w:pPr>
        <w:tabs>
          <w:tab w:val="left" w:pos="567"/>
        </w:tabs>
        <w:spacing w:after="0" w:line="260" w:lineRule="exact"/>
        <w:rPr>
          <w:rFonts w:ascii="Times New Roman" w:eastAsia="Times New Roman" w:hAnsi="Times New Roman"/>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rPr>
        <w:t xml:space="preserve">EU/1/15/1029/001 </w:t>
      </w:r>
      <w:r>
        <w:rPr>
          <w:rFonts w:ascii="Times New Roman" w:eastAsia="Times New Roman" w:hAnsi="Times New Roman"/>
          <w:highlight w:val="lightGray"/>
        </w:rPr>
        <w:t>(10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EU/1/15/1029/002 (14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EU/1/15/1029/003 (16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EU/1/15/1029/004 (28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EU/1/15/1029/005 (30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EU/1/15/1029/006 (35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EU/1/15/1029/007 (56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EU/1/15/1029/008 (70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EU/1/15/1029/009 (14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EU/1/15/1029/010 (28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EU/1/15/1029/011 (49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EU/1/15/1029/012 (56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EU/1/15/1029/013 (98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EU/1/15/1029/014 (100 tabletes)</w:t>
      </w:r>
    </w:p>
    <w:p>
      <w:pPr>
        <w:tabs>
          <w:tab w:val="left" w:pos="567"/>
        </w:tabs>
        <w:spacing w:after="0" w:line="260" w:lineRule="exact"/>
        <w:rPr>
          <w:rFonts w:ascii="Times New Roman" w:eastAsia="Times New Roman" w:hAnsi="Times New Roman"/>
        </w:rPr>
      </w:pPr>
    </w:p>
    <w:p>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Aripiprazole Sandoz 10 mg tabletes</w:t>
      </w:r>
    </w:p>
    <w:p>
      <w:pPr>
        <w:tabs>
          <w:tab w:val="left" w:pos="567"/>
        </w:tabs>
        <w:spacing w:after="0" w:line="260" w:lineRule="exact"/>
        <w:rPr>
          <w:rFonts w:ascii="Times New Roman" w:eastAsia="Times New Roman" w:hAnsi="Times New Roman"/>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rPr>
        <w:t xml:space="preserve">EU/1/15/1029/015 </w:t>
      </w:r>
      <w:r>
        <w:rPr>
          <w:rFonts w:ascii="Times New Roman" w:eastAsia="Times New Roman" w:hAnsi="Times New Roman"/>
          <w:highlight w:val="lightGray"/>
        </w:rPr>
        <w:t>(10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EU/1/15/1029/016 (14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EU/1/15/1029/017 (16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EU/1/15/1029/018 (28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EU/1/15/1029/019 (30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EU/1/15/1029/020 (35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EU/1/15/1029/021 (56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EU/1/15/1029/022 (70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EU/1/15/1029/023 (14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EU/1/15/1029/024 (28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EU/1/15/1029/025 (49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EU/1/15/1029/026 (56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lastRenderedPageBreak/>
        <w:t>EU/1/15/1029/027 (98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EU/1/15/1029/028 (100 tabletes)</w:t>
      </w:r>
    </w:p>
    <w:p>
      <w:pPr>
        <w:tabs>
          <w:tab w:val="left" w:pos="567"/>
        </w:tabs>
        <w:spacing w:after="0" w:line="260" w:lineRule="exact"/>
        <w:rPr>
          <w:rFonts w:ascii="Times New Roman" w:eastAsia="Times New Roman" w:hAnsi="Times New Roman"/>
        </w:rPr>
      </w:pPr>
    </w:p>
    <w:p>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Aripiprazole Sandoz 15 mg tabletes</w:t>
      </w:r>
    </w:p>
    <w:p>
      <w:pPr>
        <w:tabs>
          <w:tab w:val="left" w:pos="567"/>
        </w:tabs>
        <w:spacing w:after="0" w:line="260" w:lineRule="exact"/>
        <w:rPr>
          <w:rFonts w:ascii="Times New Roman" w:eastAsia="Times New Roman" w:hAnsi="Times New Roman"/>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rPr>
        <w:t xml:space="preserve">EU/1/15/1029/029 </w:t>
      </w:r>
      <w:r>
        <w:rPr>
          <w:rFonts w:ascii="Times New Roman" w:eastAsia="Times New Roman" w:hAnsi="Times New Roman"/>
          <w:highlight w:val="lightGray"/>
        </w:rPr>
        <w:t>(10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EU/1/15/1029/030 (14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EU/1/15/1029/031 (16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EU/1/15/1029/032 (28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EU/1/15/1029/033 (30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EU/1/15/1029/034 (35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EU/1/15/1029/035 (56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EU/1/15/1029/036 (70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EU/1/15/1029/037 (14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EU/1/15/1029/038 (28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EU/1/15/1029/039 (49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EU/1/15/1029/040 (56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EU/1/15/1029/041 (98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EU/1/15/1029/042 (100 tabletes)</w:t>
      </w:r>
    </w:p>
    <w:p>
      <w:pPr>
        <w:tabs>
          <w:tab w:val="left" w:pos="567"/>
        </w:tabs>
        <w:spacing w:after="0" w:line="260" w:lineRule="exact"/>
        <w:rPr>
          <w:rFonts w:ascii="Times New Roman" w:eastAsia="Times New Roman" w:hAnsi="Times New Roman"/>
          <w:i/>
        </w:rPr>
      </w:pPr>
    </w:p>
    <w:p>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Aripiprazole Sandoz 20 mg tabletes</w:t>
      </w:r>
    </w:p>
    <w:p>
      <w:pPr>
        <w:tabs>
          <w:tab w:val="left" w:pos="567"/>
        </w:tabs>
        <w:spacing w:after="0" w:line="260" w:lineRule="exact"/>
        <w:rPr>
          <w:rFonts w:ascii="Times New Roman" w:eastAsia="Times New Roman" w:hAnsi="Times New Roman"/>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rPr>
        <w:t xml:space="preserve">EU/1/15/1029/043 </w:t>
      </w:r>
      <w:r>
        <w:rPr>
          <w:rFonts w:ascii="Times New Roman" w:eastAsia="Times New Roman" w:hAnsi="Times New Roman"/>
          <w:highlight w:val="lightGray"/>
        </w:rPr>
        <w:t>(14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EU/1/15/1029/043 (28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EU/1/15/1029/043 (49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EU/1/15/1029/043 (56 tabletes)</w:t>
      </w:r>
    </w:p>
    <w:p>
      <w:pPr>
        <w:tabs>
          <w:tab w:val="left" w:pos="567"/>
        </w:tabs>
        <w:spacing w:after="0" w:line="260" w:lineRule="exact"/>
        <w:rPr>
          <w:rFonts w:ascii="Times New Roman" w:eastAsia="Times New Roman" w:hAnsi="Times New Roman"/>
          <w:i/>
        </w:rPr>
      </w:pPr>
      <w:r>
        <w:rPr>
          <w:rFonts w:ascii="Times New Roman" w:eastAsia="Times New Roman" w:hAnsi="Times New Roman"/>
          <w:highlight w:val="lightGray"/>
        </w:rPr>
        <w:t>EU/1/15/1029/043 (98 tabletes)</w:t>
      </w:r>
    </w:p>
    <w:p>
      <w:pPr>
        <w:tabs>
          <w:tab w:val="left" w:pos="567"/>
        </w:tabs>
        <w:spacing w:after="0" w:line="260" w:lineRule="exact"/>
        <w:rPr>
          <w:rFonts w:ascii="Times New Roman" w:eastAsia="Times New Roman" w:hAnsi="Times New Roman"/>
          <w:i/>
        </w:rPr>
      </w:pPr>
    </w:p>
    <w:p>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Aripiprazole Sandoz 30 mg tabletes</w:t>
      </w:r>
    </w:p>
    <w:p>
      <w:pPr>
        <w:tabs>
          <w:tab w:val="left" w:pos="567"/>
        </w:tabs>
        <w:spacing w:after="0" w:line="260" w:lineRule="exact"/>
        <w:rPr>
          <w:rFonts w:ascii="Times New Roman" w:eastAsia="Times New Roman" w:hAnsi="Times New Roman"/>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rPr>
        <w:t xml:space="preserve">EU/1/15/1029/048 </w:t>
      </w:r>
      <w:r>
        <w:rPr>
          <w:rFonts w:ascii="Times New Roman" w:eastAsia="Times New Roman" w:hAnsi="Times New Roman"/>
          <w:highlight w:val="lightGray"/>
        </w:rPr>
        <w:t>(10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EU/1/15/1029/049 (14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EU/1/15/1029/050 (16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EU/1/15/1029/051 (28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EU/1/15/1029/052 (30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EU/1/15/1029/053 (35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EU/1/15/1029/054 (56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EU/1/15/1029/055 (70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EU/1/15/1029/056 (14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EU/1/15/1029/057 (28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EU/1/15/1029/058 (49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EU/1/15/1029/059 (56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EU/1/15/1029/060 (98 x 1 tabletes)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EU/1/15/1029/061 (100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9.</w:t>
      </w:r>
      <w:r>
        <w:rPr>
          <w:rFonts w:ascii="Times New Roman" w:eastAsia="Times New Roman" w:hAnsi="Times New Roman"/>
          <w:b/>
          <w:bCs/>
          <w:lang w:eastAsia="de-DE"/>
        </w:rPr>
        <w:tab/>
        <w:t>PIRMĀS REĢISTRĀCIJAS /PĀRREĢISTRĀCIJAS DATUMS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Reģistrācijas datums: 2015. gada 20. augusts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10.</w:t>
      </w:r>
      <w:r>
        <w:rPr>
          <w:rFonts w:ascii="Times New Roman" w:eastAsia="Times New Roman" w:hAnsi="Times New Roman"/>
          <w:b/>
          <w:bCs/>
          <w:lang w:eastAsia="de-DE"/>
        </w:rPr>
        <w:tab/>
        <w:t>TEKSTA PĀRSKATĪŠANAS DATUMS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keepNext/>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 xml:space="preserve">Sīkāka informācija par šīm zālēm ir pieejama Eiropas Zāļu aģentūras tīmekļa vietnē </w:t>
      </w:r>
      <w:hyperlink r:id="rId10" w:history="1">
        <w:r>
          <w:rPr>
            <w:rStyle w:val="Hyperlink"/>
            <w:rFonts w:ascii="Times New Roman" w:eastAsia="Times New Roman" w:hAnsi="Times New Roman"/>
          </w:rPr>
          <w:t>https://www.ema.europa.eu</w:t>
        </w:r>
      </w:hyperlink>
      <w:r>
        <w:rPr>
          <w:rFonts w:ascii="Times New Roman" w:eastAsia="Times New Roman" w:hAnsi="Times New Roman"/>
          <w:color w:val="0000FF"/>
        </w:rPr>
        <w:t>.</w:t>
      </w:r>
    </w:p>
    <w:p>
      <w:pPr>
        <w:widowControl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jc w:val="center"/>
      </w:pPr>
      <w:r>
        <w:rPr>
          <w:rFonts w:ascii="Times New Roman" w:hAnsi="Times New Roman"/>
        </w:rPr>
        <w:br w:type="page"/>
      </w: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r>
        <w:rPr>
          <w:rFonts w:ascii="Times New Roman" w:eastAsia="Times New Roman" w:hAnsi="Times New Roman"/>
          <w:b/>
          <w:bCs/>
          <w:lang w:eastAsia="de-DE"/>
        </w:rPr>
        <w:t>II</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PIELIKUMS</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eastAsia="de-DE"/>
        </w:rPr>
      </w:pPr>
      <w:r>
        <w:rPr>
          <w:rFonts w:ascii="Times New Roman" w:eastAsia="Times New Roman" w:hAnsi="Times New Roman"/>
          <w:b/>
          <w:bCs/>
          <w:lang w:eastAsia="de-DE"/>
        </w:rPr>
        <w:t>A.</w:t>
      </w:r>
      <w:r>
        <w:rPr>
          <w:rFonts w:ascii="Times New Roman" w:eastAsia="Times New Roman" w:hAnsi="Times New Roman"/>
          <w:b/>
          <w:bCs/>
          <w:lang w:eastAsia="de-DE"/>
        </w:rPr>
        <w:tab/>
      </w:r>
      <w:r>
        <w:rPr>
          <w:rFonts w:ascii="Times New Roman" w:eastAsia="Times New Roman" w:hAnsi="Times New Roman"/>
          <w:b/>
        </w:rPr>
        <w:t>RAŽOTĀJI</w:t>
      </w:r>
      <w:r>
        <w:rPr>
          <w:rFonts w:ascii="Times New Roman" w:eastAsia="Times New Roman" w:hAnsi="Times New Roman"/>
          <w:b/>
          <w:bCs/>
          <w:lang w:eastAsia="de-DE"/>
        </w:rPr>
        <w:t>, KAS ATBILD PAR SĒRIJAS IZLAIDI</w:t>
      </w: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eastAsia="de-DE"/>
        </w:rPr>
      </w:pPr>
      <w:r>
        <w:rPr>
          <w:rFonts w:ascii="Times New Roman" w:eastAsia="Times New Roman" w:hAnsi="Times New Roman"/>
          <w:b/>
          <w:bCs/>
          <w:lang w:eastAsia="de-DE"/>
        </w:rPr>
        <w:t>B.</w:t>
      </w:r>
      <w:r>
        <w:rPr>
          <w:rFonts w:ascii="Times New Roman" w:eastAsia="Times New Roman" w:hAnsi="Times New Roman"/>
          <w:b/>
          <w:bCs/>
          <w:lang w:eastAsia="de-DE"/>
        </w:rPr>
        <w:tab/>
        <w:t>IZSNIEGŠANAS KĀRTĪBAS UN LIETOŠANAS NOSACĪJUMI VAI IEROBEŽOJUMI</w:t>
      </w: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eastAsia="de-DE"/>
        </w:rPr>
      </w:pPr>
      <w:r>
        <w:rPr>
          <w:rFonts w:ascii="Times New Roman" w:eastAsia="Times New Roman" w:hAnsi="Times New Roman"/>
          <w:b/>
          <w:bCs/>
          <w:lang w:eastAsia="de-DE"/>
        </w:rPr>
        <w:t>C.</w:t>
      </w:r>
      <w:r>
        <w:rPr>
          <w:rFonts w:ascii="Times New Roman" w:eastAsia="Times New Roman" w:hAnsi="Times New Roman"/>
          <w:b/>
          <w:bCs/>
          <w:lang w:eastAsia="de-DE"/>
        </w:rPr>
        <w:tab/>
        <w:t>CITI REĢISTRĀCIJAS NOSACĪJUMI UN PRASĪBAS</w:t>
      </w: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
          <w:bCs/>
          <w:lang w:eastAsia="de-DE"/>
        </w:rPr>
      </w:pPr>
      <w:r>
        <w:rPr>
          <w:rFonts w:ascii="Times New Roman" w:eastAsia="Times New Roman" w:hAnsi="Times New Roman"/>
          <w:b/>
          <w:bCs/>
          <w:lang w:eastAsia="de-DE"/>
        </w:rPr>
        <w:t>D.</w:t>
      </w:r>
      <w:r>
        <w:rPr>
          <w:rFonts w:ascii="Times New Roman" w:eastAsia="Times New Roman" w:hAnsi="Times New Roman"/>
          <w:b/>
          <w:bCs/>
          <w:lang w:eastAsia="de-DE"/>
        </w:rPr>
        <w:tab/>
        <w:t>NOSACĪJUMI VAI IEROBEŽOJUMI ATTIECĪBĀ UZ DROŠU UN EFEKTĪVU ZĀĻU LIETOŠANU</w:t>
      </w:r>
    </w:p>
    <w:p>
      <w:pPr>
        <w:pStyle w:val="TitleB"/>
        <w:outlineLvl w:val="0"/>
      </w:pPr>
      <w:r>
        <w:br w:type="page"/>
      </w:r>
      <w:r>
        <w:lastRenderedPageBreak/>
        <w:t>A.</w:t>
      </w:r>
      <w:r>
        <w:tab/>
        <w:t>RAŽOTĀJI, KAS ATBILD PAR SĒRIJAS IZLAIDI</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Ražotāju, kas atbild par sērijas izlaidi,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ind w:right="6531"/>
        <w:rPr>
          <w:rFonts w:ascii="Times New Roman" w:eastAsia="Times New Roman" w:hAnsi="Times New Roman"/>
          <w:spacing w:val="-1"/>
        </w:rPr>
      </w:pPr>
      <w:r>
        <w:rPr>
          <w:rFonts w:ascii="Times New Roman" w:eastAsia="Times New Roman" w:hAnsi="Times New Roman"/>
          <w:spacing w:val="-1"/>
        </w:rPr>
        <w:t>Lek Pharmaceuticals d.d.</w:t>
      </w:r>
    </w:p>
    <w:p>
      <w:pPr>
        <w:tabs>
          <w:tab w:val="left" w:pos="567"/>
        </w:tabs>
        <w:spacing w:after="0" w:line="240" w:lineRule="auto"/>
        <w:ind w:right="6531"/>
        <w:rPr>
          <w:rFonts w:ascii="Times New Roman" w:eastAsia="Times New Roman" w:hAnsi="Times New Roman"/>
          <w:spacing w:val="-1"/>
        </w:rPr>
      </w:pPr>
      <w:r>
        <w:rPr>
          <w:rFonts w:ascii="Times New Roman" w:eastAsia="Times New Roman" w:hAnsi="Times New Roman"/>
          <w:spacing w:val="-1"/>
        </w:rPr>
        <w:t>Verovškova 57</w:t>
      </w:r>
    </w:p>
    <w:p>
      <w:pPr>
        <w:tabs>
          <w:tab w:val="left" w:pos="567"/>
        </w:tabs>
        <w:spacing w:after="0" w:line="240" w:lineRule="auto"/>
        <w:ind w:right="6531"/>
        <w:rPr>
          <w:rFonts w:ascii="Times New Roman" w:eastAsia="Times New Roman" w:hAnsi="Times New Roman"/>
          <w:spacing w:val="-1"/>
        </w:rPr>
      </w:pPr>
      <w:r>
        <w:rPr>
          <w:rFonts w:ascii="Times New Roman" w:eastAsia="Times New Roman" w:hAnsi="Times New Roman"/>
          <w:spacing w:val="-1"/>
        </w:rPr>
        <w:t>1526 Ljubljana</w:t>
      </w:r>
    </w:p>
    <w:p>
      <w:pPr>
        <w:tabs>
          <w:tab w:val="left" w:pos="567"/>
        </w:tabs>
        <w:spacing w:after="0" w:line="240" w:lineRule="auto"/>
        <w:ind w:right="6531"/>
        <w:rPr>
          <w:rFonts w:ascii="Times New Roman" w:eastAsia="Times New Roman" w:hAnsi="Times New Roman"/>
          <w:spacing w:val="-1"/>
          <w:highlight w:val="yellow"/>
        </w:rPr>
      </w:pPr>
      <w:r>
        <w:rPr>
          <w:rFonts w:ascii="Times New Roman" w:eastAsia="Times New Roman" w:hAnsi="Times New Roman"/>
          <w:spacing w:val="-1"/>
        </w:rPr>
        <w:t>Slovēnija</w:t>
      </w:r>
    </w:p>
    <w:p>
      <w:pPr>
        <w:numPr>
          <w:ilvl w:val="12"/>
          <w:numId w:val="0"/>
        </w:numPr>
        <w:tabs>
          <w:tab w:val="left" w:pos="567"/>
        </w:tabs>
        <w:spacing w:after="0" w:line="240" w:lineRule="auto"/>
        <w:ind w:right="-2"/>
        <w:rPr>
          <w:rFonts w:ascii="Times New Roman" w:eastAsia="Times New Roman" w:hAnsi="Times New Roman"/>
          <w:highlight w:val="lightGray"/>
        </w:rPr>
      </w:pP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Lek S.A.</w:t>
      </w: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ul. Domaniewska 50 C</w:t>
      </w: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02-672 Warszawa</w:t>
      </w:r>
    </w:p>
    <w:p>
      <w:pPr>
        <w:tabs>
          <w:tab w:val="left" w:pos="567"/>
        </w:tabs>
        <w:spacing w:after="0" w:line="240" w:lineRule="auto"/>
        <w:ind w:right="6531"/>
        <w:rPr>
          <w:rFonts w:ascii="Times New Roman" w:eastAsia="Times New Roman" w:hAnsi="Times New Roman"/>
          <w:spacing w:val="-1"/>
          <w:highlight w:val="lightGray"/>
        </w:rPr>
      </w:pPr>
      <w:r>
        <w:rPr>
          <w:rFonts w:ascii="Times New Roman" w:eastAsia="Times New Roman" w:hAnsi="Times New Roman"/>
          <w:highlight w:val="lightGray"/>
        </w:rPr>
        <w:t>Polija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eastAsia="de-DE"/>
        </w:rPr>
      </w:pPr>
      <w:r>
        <w:rPr>
          <w:rFonts w:ascii="Times New Roman" w:eastAsia="Times New Roman" w:hAnsi="Times New Roman"/>
          <w:highlight w:val="lightGray"/>
          <w:lang w:eastAsia="de-DE"/>
        </w:rPr>
        <w:t>S.C. Sandoz, S.R.L.</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eastAsia="de-DE"/>
        </w:rPr>
      </w:pPr>
      <w:r>
        <w:rPr>
          <w:rFonts w:ascii="Times New Roman" w:eastAsia="Times New Roman" w:hAnsi="Times New Roman"/>
          <w:highlight w:val="lightGray"/>
          <w:lang w:eastAsia="de-DE"/>
        </w:rPr>
        <w:t>Str. Livezeni nr. 7A</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eastAsia="de-DE"/>
        </w:rPr>
      </w:pPr>
      <w:r>
        <w:rPr>
          <w:rFonts w:ascii="Times New Roman" w:eastAsia="Times New Roman" w:hAnsi="Times New Roman"/>
          <w:highlight w:val="lightGray"/>
          <w:lang w:eastAsia="de-DE"/>
        </w:rPr>
        <w:t>Târgu Mureş 540472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highlight w:val="lightGray"/>
          <w:lang w:eastAsia="de-DE"/>
        </w:rPr>
        <w:t>Rumānija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Drukātajā lietošanas instrukcijā jānorāda ražotāja, kas atbild par attiecīgās sērijas izlaidi,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TitleB"/>
        <w:outlineLvl w:val="0"/>
      </w:pPr>
      <w:r>
        <w:t>B.</w:t>
      </w:r>
      <w:r>
        <w:tab/>
        <w:t>IZSNIEGŠANAS KĀRTĪBAS UN LIETOŠANAS NOSACĪJUMI VAI IEROBEŽOJUMI</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Recepšu zāles.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TitleB"/>
        <w:outlineLvl w:val="0"/>
      </w:pPr>
      <w:r>
        <w:t>C.</w:t>
      </w:r>
      <w:r>
        <w:tab/>
        <w:t>CITI REĢISTRĀCIJAS NOSACĪJUMI UN PRASĪBAS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w:t>
      </w:r>
      <w:r>
        <w:rPr>
          <w:rFonts w:ascii="Times New Roman" w:eastAsia="Times New Roman" w:hAnsi="Times New Roman"/>
          <w:b/>
          <w:bCs/>
          <w:lang w:eastAsia="de-DE"/>
        </w:rPr>
        <w:tab/>
        <w:t>Periodiski atjaunojamais drošuma ziņojums (PSUR)</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Šo zāļu periodiski atjaunojamo drošuma ziņojumu iesniegšanas prasības ir norādītas Eiropas Savienības atsauces datumu un periodisko ziņojumu iesniegšanas biežuma sarakstā (</w:t>
      </w:r>
      <w:r>
        <w:rPr>
          <w:rFonts w:ascii="Times New Roman" w:eastAsia="Times New Roman" w:hAnsi="Times New Roman"/>
          <w:i/>
          <w:iCs/>
          <w:lang w:eastAsia="de-DE"/>
        </w:rPr>
        <w:t xml:space="preserve">EURD </w:t>
      </w:r>
      <w:r>
        <w:rPr>
          <w:rFonts w:ascii="Times New Roman" w:eastAsia="Times New Roman" w:hAnsi="Times New Roman"/>
          <w:lang w:eastAsia="de-DE"/>
        </w:rPr>
        <w:t>sarakstā), kas sagatavots saskaņā ar Direktīvas 2001/83/EK 107.c panta 7. punktu, un visos turpmākajos saraksta atjauninājumos, kas publicēti Eiropas Zāļu aģentūras tīmekļa vietnē.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TitleB"/>
        <w:outlineLvl w:val="0"/>
      </w:pPr>
      <w:r>
        <w:t>D.</w:t>
      </w:r>
      <w:r>
        <w:tab/>
        <w:t>NOSACĪJUMI VAI IEROBEŽOJUMI ATTIECĪBĀ UZ DROŠU UN EFEKTĪVU ZĀĻU LIETOŠANU</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w:t>
      </w:r>
      <w:r>
        <w:rPr>
          <w:rFonts w:ascii="Times New Roman" w:eastAsia="Times New Roman" w:hAnsi="Times New Roman"/>
          <w:b/>
          <w:bCs/>
          <w:lang w:eastAsia="de-DE"/>
        </w:rPr>
        <w:tab/>
        <w:t>Riska pārvaldības plāns (RPP)</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Reģistrācijas apliecības īpašniekam jāveic nepieciešamās farmakovigilances darbības un pasākumi, kas sīkāk aprakstīti reģistrācijas pieteikuma 1.8.2. modulī iekļautajā apstiprinātajā RPP un visos turpmākajos apstiprinātajos RPP.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snapToGrid w:val="0"/>
          <w:szCs w:val="20"/>
          <w:lang w:eastAsia="zh-CN"/>
        </w:rPr>
        <w:t xml:space="preserve">Atjaunināts </w:t>
      </w:r>
      <w:r>
        <w:rPr>
          <w:rFonts w:ascii="Times New Roman" w:eastAsia="Times New Roman" w:hAnsi="Times New Roman"/>
          <w:lang w:eastAsia="de-DE"/>
        </w:rPr>
        <w:t>RPP jāiesniedz: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pēc Eiropas Zāļu aģentūras pieprasījuma;</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ja ieviesti grozījumi riska pārvaldības sistēmā, jo īpaši gadījumos, kad saņemta jauna informācija, kas var būtiski ietekmēt ieguvumu/riska profilu, vai nozīmīgu (farmakovigilances vai riska mazināšanas) rezultātu sasniegšanas gadījumā.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tabs>
          <w:tab w:val="left" w:pos="630"/>
        </w:tabs>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tabs>
          <w:tab w:val="left" w:pos="630"/>
        </w:tabs>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 </w:t>
      </w:r>
      <w:r>
        <w:rPr>
          <w:rFonts w:ascii="Times New Roman" w:eastAsia="Times New Roman" w:hAnsi="Times New Roman"/>
          <w:lang w:eastAsia="de-DE"/>
        </w:rPr>
        <w:br w:type="page"/>
      </w:r>
    </w:p>
    <w:p>
      <w:pPr>
        <w:widowControl w:val="0"/>
        <w:tabs>
          <w:tab w:val="left" w:pos="685"/>
        </w:tabs>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eastAsia="Times New Roman" w:hAnsi="Times New Roman"/>
          <w:b/>
          <w:snapToGrid w:val="0"/>
          <w:szCs w:val="20"/>
          <w:lang w:eastAsia="zh-CN"/>
        </w:rPr>
      </w:pPr>
    </w:p>
    <w:p>
      <w:pPr>
        <w:spacing w:after="0" w:line="240" w:lineRule="auto"/>
        <w:rPr>
          <w:rFonts w:ascii="Times New Roman" w:eastAsia="Times New Roman" w:hAnsi="Times New Roman"/>
          <w:b/>
          <w:snapToGrid w:val="0"/>
          <w:szCs w:val="20"/>
          <w:lang w:eastAsia="zh-CN"/>
        </w:rPr>
      </w:pPr>
    </w:p>
    <w:p>
      <w:pPr>
        <w:spacing w:after="0" w:line="240" w:lineRule="auto"/>
        <w:rPr>
          <w:rFonts w:ascii="Times New Roman" w:eastAsia="Times New Roman" w:hAnsi="Times New Roman"/>
          <w:b/>
          <w:snapToGrid w:val="0"/>
          <w:szCs w:val="20"/>
          <w:lang w:eastAsia="zh-CN"/>
        </w:rPr>
      </w:pPr>
    </w:p>
    <w:p>
      <w:pPr>
        <w:spacing w:after="0" w:line="240" w:lineRule="auto"/>
        <w:rPr>
          <w:rFonts w:ascii="Times New Roman" w:eastAsia="Times New Roman" w:hAnsi="Times New Roman"/>
          <w:b/>
          <w:snapToGrid w:val="0"/>
          <w:szCs w:val="20"/>
          <w:lang w:eastAsia="zh-CN"/>
        </w:rPr>
      </w:pPr>
    </w:p>
    <w:p>
      <w:pPr>
        <w:spacing w:after="0" w:line="240" w:lineRule="auto"/>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jc w:val="center"/>
        <w:rPr>
          <w:rFonts w:ascii="Times New Roman" w:eastAsia="Times New Roman" w:hAnsi="Times New Roman"/>
          <w:b/>
          <w:snapToGrid w:val="0"/>
          <w:szCs w:val="20"/>
          <w:lang w:eastAsia="zh-CN"/>
        </w:rPr>
      </w:pPr>
      <w:r>
        <w:rPr>
          <w:rFonts w:ascii="Times New Roman" w:eastAsia="Times New Roman" w:hAnsi="Times New Roman"/>
          <w:b/>
          <w:snapToGrid w:val="0"/>
          <w:szCs w:val="20"/>
          <w:lang w:eastAsia="zh-CN"/>
        </w:rPr>
        <w:t>III PIELIKUMS</w:t>
      </w:r>
    </w:p>
    <w:p>
      <w:pPr>
        <w:spacing w:after="0" w:line="240" w:lineRule="auto"/>
        <w:ind w:left="567" w:hanging="567"/>
        <w:jc w:val="center"/>
        <w:rPr>
          <w:rFonts w:ascii="Times New Roman" w:eastAsia="Times New Roman" w:hAnsi="Times New Roman"/>
          <w:b/>
          <w:snapToGrid w:val="0"/>
          <w:szCs w:val="20"/>
          <w:lang w:eastAsia="zh-CN"/>
        </w:rPr>
      </w:pPr>
    </w:p>
    <w:p>
      <w:pPr>
        <w:spacing w:after="0" w:line="240" w:lineRule="auto"/>
        <w:ind w:left="567" w:hanging="567"/>
        <w:jc w:val="center"/>
        <w:rPr>
          <w:rFonts w:ascii="Times New Roman" w:eastAsia="Times New Roman" w:hAnsi="Times New Roman"/>
          <w:b/>
          <w:snapToGrid w:val="0"/>
          <w:szCs w:val="20"/>
          <w:lang w:eastAsia="zh-CN"/>
        </w:rPr>
      </w:pPr>
      <w:r>
        <w:rPr>
          <w:rFonts w:ascii="Times New Roman" w:eastAsia="Times New Roman" w:hAnsi="Times New Roman"/>
          <w:b/>
          <w:snapToGrid w:val="0"/>
          <w:szCs w:val="20"/>
          <w:lang w:eastAsia="zh-CN"/>
        </w:rPr>
        <w:t>MARĶĒJUMA TEKSTS UN LIETOŠANAS INSTRUKCIJA</w:t>
      </w:r>
    </w:p>
    <w:p>
      <w:pPr>
        <w:spacing w:after="0" w:line="240" w:lineRule="auto"/>
        <w:ind w:left="567" w:hanging="567"/>
        <w:rPr>
          <w:rFonts w:ascii="Times New Roman" w:eastAsia="Times New Roman" w:hAnsi="Times New Roman"/>
          <w:snapToGrid w:val="0"/>
          <w:szCs w:val="20"/>
          <w:lang w:eastAsia="zh-CN"/>
        </w:rPr>
      </w:pPr>
      <w:r>
        <w:rPr>
          <w:rFonts w:ascii="Times New Roman" w:eastAsia="Times New Roman" w:hAnsi="Times New Roman"/>
          <w:snapToGrid w:val="0"/>
          <w:szCs w:val="20"/>
          <w:lang w:eastAsia="zh-CN"/>
        </w:rPr>
        <w:br w:type="page"/>
      </w: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spacing w:after="0" w:line="240" w:lineRule="auto"/>
        <w:ind w:left="567" w:hanging="567"/>
        <w:rPr>
          <w:rFonts w:ascii="Times New Roman" w:eastAsia="Times New Roman" w:hAnsi="Times New Roman"/>
          <w:snapToGrid w:val="0"/>
          <w:szCs w:val="20"/>
          <w:lang w:eastAsia="zh-CN"/>
        </w:rPr>
      </w:pPr>
    </w:p>
    <w:p>
      <w:pPr>
        <w:pStyle w:val="TitleA"/>
        <w:outlineLvl w:val="0"/>
        <w:rPr>
          <w:snapToGrid w:val="0"/>
        </w:rPr>
      </w:pPr>
      <w:r>
        <w:rPr>
          <w:snapToGrid w:val="0"/>
        </w:rPr>
        <w:t>A. MARĶĒJUMA TEKSTS</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eastAsia="Times New Roman" w:hAnsi="Times New Roman"/>
          <w:snapToGrid w:val="0"/>
          <w:szCs w:val="20"/>
          <w:lang w:eastAsia="zh-CN"/>
        </w:rPr>
        <w:br w:type="page"/>
      </w:r>
      <w:r>
        <w:rPr>
          <w:rFonts w:ascii="Times New Roman" w:hAnsi="Times New Roman"/>
          <w:b/>
        </w:rPr>
        <w:lastRenderedPageBreak/>
        <w:t>INFORMĀCIJA, KAS JĀNORĀDA UZ ĀRĒJĀ IEPAKOJUMA UN UZ TIEŠĀ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KĀRBIŅA PUDELEI UN MARĶĒJUMS PUDELEI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5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Tablete</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100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Izlietot 3 mēnešu laikā pēc pirmās atvēršanas.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lastRenderedPageBreak/>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EU/1/15/1029/014</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highlight w:val="lightGray"/>
          <w:lang w:eastAsia="de-DE"/>
        </w:rPr>
        <w:t>Kārbiņa:</w:t>
      </w:r>
      <w:r>
        <w:rPr>
          <w:rFonts w:ascii="Times New Roman" w:eastAsia="Times New Roman" w:hAnsi="Times New Roman"/>
          <w:lang w:eastAsia="de-DE"/>
        </w:rPr>
        <w:t xml:space="preserve"> Aripiprazole Sandoz 5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1"/>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zCs w:val="20"/>
          <w:highlight w:val="lightGray"/>
          <w:lang w:eastAsia="lv-LV" w:bidi="lv-LV"/>
        </w:rPr>
      </w:pPr>
      <w:r>
        <w:rPr>
          <w:rFonts w:ascii="Times New Roman" w:eastAsia="Times New Roman" w:hAnsi="Times New Roman"/>
          <w:noProof/>
          <w:szCs w:val="20"/>
          <w:highlight w:val="lightGray"/>
          <w:lang w:eastAsia="lv-LV" w:bidi="lv-LV"/>
        </w:rPr>
        <w:t>[Tikai pudeles kārbiņai:]</w:t>
      </w: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1"/>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szCs w:val="20"/>
          <w:lang w:eastAsia="lv-LV" w:bidi="lv-LV"/>
        </w:rPr>
      </w:pPr>
      <w:r>
        <w:rPr>
          <w:rFonts w:ascii="Times New Roman" w:eastAsia="Times New Roman" w:hAnsi="Times New Roman"/>
          <w:noProof/>
          <w:szCs w:val="20"/>
          <w:highlight w:val="lightGray"/>
          <w:lang w:eastAsia="lv-LV" w:bidi="lv-LV"/>
        </w:rPr>
        <w:t>[Tikai pudeles kārbiņai:]</w:t>
      </w: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rPr>
      </w:pPr>
      <w:r>
        <w:rPr>
          <w:rFonts w:ascii="Times New Roman" w:eastAsia="Times New Roman" w:hAnsi="Times New Roman"/>
          <w:lang w:eastAsia="de-DE"/>
        </w:rPr>
        <w:br w:type="page"/>
      </w:r>
      <w:r>
        <w:rPr>
          <w:rFonts w:ascii="Times New Roman" w:eastAsia="Times New Roman" w:hAnsi="Times New Roman"/>
          <w:b/>
          <w:bCs/>
        </w:rPr>
        <w:lastRenderedPageBreak/>
        <w:t>INFORMĀCIJA, KAS JĀNORĀDA UZ ĀRĒJĀ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rPr>
      </w:pPr>
      <w:r>
        <w:rPr>
          <w:rFonts w:ascii="Times New Roman" w:eastAsia="Times New Roman" w:hAnsi="Times New Roman"/>
          <w:b/>
          <w:bCs/>
        </w:rPr>
        <w:t>KĀRBIŅA BLISTERIEM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Aripiprazole Sandoz 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Katra tablete satur 5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10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14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16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30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35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70 tabletes</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14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49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98 x 1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rPr>
        <w:t xml:space="preserve">EU/1/15/1029/001 </w:t>
      </w:r>
      <w:r>
        <w:rPr>
          <w:rFonts w:ascii="Times New Roman" w:eastAsia="Times New Roman" w:hAnsi="Times New Roman"/>
          <w:highlight w:val="lightGray"/>
        </w:rPr>
        <w:t>10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EU/1/15/1029/002 14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EU/1/15/1029/003 16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EU/1/15/1029/004 28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EU/1/15/1029/005 30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EU/1/15/1029/006 35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EU/1/15/1029/007 56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EU/1/15/1029/008 70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EU/1/15/1029/009 14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EU/1/15/1029/010 28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EU/1/15/1029/011 49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EU/1/15/1029/012 56 x 1 tabletes</w:t>
      </w:r>
    </w:p>
    <w:p>
      <w:pPr>
        <w:widowControl w:val="0"/>
        <w:kinsoku w:val="0"/>
        <w:overflowPunct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highlight w:val="lightGray"/>
        </w:rPr>
        <w:t>EU/1/15/1029/013 98 x 1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5 mg</w:t>
      </w:r>
    </w:p>
    <w:p>
      <w:pPr>
        <w:tabs>
          <w:tab w:val="left" w:pos="567"/>
        </w:tabs>
        <w:spacing w:after="0" w:line="240" w:lineRule="auto"/>
        <w:rPr>
          <w:rFonts w:ascii="Times New Roman" w:eastAsia="Times New Roman" w:hAnsi="Times New Roman"/>
          <w:noProof/>
          <w:shd w:val="clear" w:color="auto" w:fill="CCCCCC"/>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0"/>
          <w:numId w:val="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0"/>
          <w:numId w:val="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MINIMĀLĀ INFORMĀCIJA, KAS JĀNORĀDA UZ BLISTERA VAI PLĀKSNĪTES</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BLISTERIS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REĢISTRĀCIJAS APLIECĪBAS ĪPAŠNIEKA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CITA</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INFORMĀCIJA, KAS JĀNORĀDA UZ ĀRĒJĀ IEPAKOJUMA UN UZ TIEŠĀ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KĀRBIŅA PUDELEI UN MARĶĒJUMS PUDELEI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10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100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Izlietot 3 mēnešu laikā pēc pirmās atvēršanas.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lastRenderedPageBreak/>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EU/1/15/1029/028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highlight w:val="lightGray"/>
          <w:lang w:eastAsia="de-DE"/>
        </w:rPr>
        <w:t>Kārbiņa:</w:t>
      </w:r>
      <w:r>
        <w:rPr>
          <w:rFonts w:ascii="Times New Roman" w:eastAsia="Times New Roman" w:hAnsi="Times New Roman"/>
          <w:lang w:eastAsia="de-DE"/>
        </w:rPr>
        <w:t xml:space="preserve"> Aripiprazole Sandoz 10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0"/>
          <w:numId w:val="3"/>
        </w:numPr>
        <w:pBdr>
          <w:top w:val="single" w:sz="4" w:space="1" w:color="auto"/>
          <w:left w:val="single" w:sz="4" w:space="4" w:color="auto"/>
          <w:bottom w:val="single" w:sz="4" w:space="1" w:color="auto"/>
          <w:right w:val="single" w:sz="4" w:space="4" w:color="auto"/>
        </w:pBdr>
        <w:tabs>
          <w:tab w:val="left" w:pos="567"/>
        </w:tabs>
        <w:spacing w:after="0" w:line="240" w:lineRule="auto"/>
        <w:ind w:hanging="1650"/>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zCs w:val="20"/>
          <w:highlight w:val="lightGray"/>
          <w:lang w:eastAsia="lv-LV" w:bidi="lv-LV"/>
        </w:rPr>
      </w:pPr>
      <w:r>
        <w:rPr>
          <w:rFonts w:ascii="Times New Roman" w:eastAsia="Times New Roman" w:hAnsi="Times New Roman"/>
          <w:noProof/>
          <w:szCs w:val="20"/>
          <w:highlight w:val="lightGray"/>
          <w:lang w:eastAsia="lv-LV" w:bidi="lv-LV"/>
        </w:rPr>
        <w:t>[Tikai pudeles kārbiņai:]</w:t>
      </w: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0"/>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szCs w:val="20"/>
          <w:lang w:eastAsia="lv-LV" w:bidi="lv-LV"/>
        </w:rPr>
      </w:pPr>
      <w:r>
        <w:rPr>
          <w:rFonts w:ascii="Times New Roman" w:eastAsia="Times New Roman" w:hAnsi="Times New Roman"/>
          <w:noProof/>
          <w:szCs w:val="20"/>
          <w:highlight w:val="lightGray"/>
          <w:lang w:eastAsia="lv-LV" w:bidi="lv-LV"/>
        </w:rPr>
        <w:t>[Tikai pudeles kārbiņai:]</w:t>
      </w: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eastAsia="Times New Roman" w:hAnsi="Times New Roman"/>
          <w:lang w:eastAsia="de-DE"/>
        </w:rPr>
        <w:br w:type="page"/>
      </w:r>
      <w:r>
        <w:rPr>
          <w:rFonts w:ascii="Times New Roman" w:hAnsi="Times New Roman"/>
          <w:b/>
        </w:rPr>
        <w:lastRenderedPageBreak/>
        <w:t>INFORMĀCIJA, KAS JĀNORĀDA UZ ĀRĒJĀ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KĀRBIŅA BLISTERIM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Katra tablete satur 10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10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14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16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30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35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70 tabletes</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14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49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98 x 1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rPr>
        <w:t xml:space="preserve">EU/1/15/1029/015 </w:t>
      </w:r>
      <w:r>
        <w:rPr>
          <w:rFonts w:ascii="Times New Roman" w:eastAsia="Times New Roman" w:hAnsi="Times New Roman"/>
          <w:highlight w:val="lightGray"/>
        </w:rPr>
        <w:t>10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EU/1/15/1029/016 14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EU/1/15/1029/017 16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EU/1/15/1029/018 28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EU/1/15/1029/019 30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EU/1/15/1029/020 35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EU/1/15/1029/021 56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EU/1/15/1029/022 70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EU/1/15/1029/023 14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EU/1/15/1029/024 28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EU/1/15/1029/025 49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EU/1/15/1029/026 56 x 1 tabletes</w:t>
      </w:r>
    </w:p>
    <w:p>
      <w:pPr>
        <w:widowControl w:val="0"/>
        <w:kinsoku w:val="0"/>
        <w:overflowPunct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highlight w:val="lightGray"/>
        </w:rPr>
        <w:t>EU/1/15/1029/027 98 x 1 tabletes</w:t>
      </w:r>
      <w:r>
        <w:rPr>
          <w:rFonts w:ascii="Times New Roman" w:eastAsia="Times New Roman" w:hAnsi="Times New Roman"/>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10 mg</w:t>
      </w: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0"/>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0"/>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MINIMĀLĀ INFORMĀCIJA, KAS JĀNORĀDA UZ BLISTERA VAI PLĀKSNĪTES</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BLISTERIS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REĢISTRĀCIJAS APLIECĪBAS ĪPAŠNIEKA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CITA</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INFORMĀCIJA, KAS JĀNORĀDA UZ ĀRĒJĀ IEPAKOJUMA UN UZ TIEŠĀ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KĀRBIŅA PUDELEI UN MARĶĒJUMS PUDELEI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15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100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Izlietot 3 mēnešu laikā pēc pirmās atvēršanas.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lastRenderedPageBreak/>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EU/1/15/1029/042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highlight w:val="lightGray"/>
          <w:lang w:eastAsia="de-DE"/>
        </w:rPr>
        <w:t>Kārbiņa:</w:t>
      </w:r>
      <w:r>
        <w:rPr>
          <w:rFonts w:ascii="Times New Roman" w:eastAsia="Times New Roman" w:hAnsi="Times New Roman"/>
          <w:lang w:eastAsia="de-DE"/>
        </w:rPr>
        <w:t xml:space="preserve"> Aripiprazole Sandoz 15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zCs w:val="20"/>
          <w:highlight w:val="lightGray"/>
          <w:lang w:eastAsia="lv-LV" w:bidi="lv-LV"/>
        </w:rPr>
      </w:pPr>
      <w:r>
        <w:rPr>
          <w:rFonts w:ascii="Times New Roman" w:eastAsia="Times New Roman" w:hAnsi="Times New Roman"/>
          <w:noProof/>
          <w:szCs w:val="20"/>
          <w:highlight w:val="lightGray"/>
          <w:lang w:eastAsia="lv-LV" w:bidi="lv-LV"/>
        </w:rPr>
        <w:t>[Tikai pudeles kārbiņai:]</w:t>
      </w: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szCs w:val="20"/>
          <w:lang w:eastAsia="lv-LV" w:bidi="lv-LV"/>
        </w:rPr>
      </w:pPr>
      <w:r>
        <w:rPr>
          <w:rFonts w:ascii="Times New Roman" w:eastAsia="Times New Roman" w:hAnsi="Times New Roman"/>
          <w:noProof/>
          <w:szCs w:val="20"/>
          <w:highlight w:val="lightGray"/>
          <w:lang w:eastAsia="lv-LV" w:bidi="lv-LV"/>
        </w:rPr>
        <w:t>[Tikai pudeles kārbiņai:]</w:t>
      </w: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eastAsia="Times New Roman" w:hAnsi="Times New Roman"/>
          <w:lang w:eastAsia="de-DE"/>
        </w:rPr>
        <w:br w:type="page"/>
      </w:r>
      <w:r>
        <w:rPr>
          <w:rFonts w:ascii="Times New Roman" w:hAnsi="Times New Roman"/>
          <w:b/>
        </w:rPr>
        <w:lastRenderedPageBreak/>
        <w:t>INFORMĀCIJA, KAS JĀNORĀDA UZ ĀRĒJĀ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KĀRBIŅA BLISTERIM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Katra tablete satur 15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10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14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16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30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35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70 tabletes</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14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49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98 x 1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JNEPIEEJAMĀ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rPr>
        <w:t xml:space="preserve">EU/1/15/1029/029 </w:t>
      </w:r>
      <w:r>
        <w:rPr>
          <w:rFonts w:ascii="Times New Roman" w:eastAsia="Times New Roman" w:hAnsi="Times New Roman"/>
          <w:highlight w:val="lightGray"/>
        </w:rPr>
        <w:t>10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EU/1/15/1029/030 14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EU/1/15/1029/031 16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EU/1/15/1029/032 28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EU/1/15/1029/033 30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EU/1/15/1029/034 35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EU/1/15/1029/035 56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EU/1/15/1029/036 70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EU/1/15/1029/037 14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EU/1/15/1029/038 28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EU/1/15/1029/039 49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EU/1/15/1029/040 56 x 1 tabletes</w:t>
      </w:r>
    </w:p>
    <w:p>
      <w:pPr>
        <w:widowControl w:val="0"/>
        <w:kinsoku w:val="0"/>
        <w:overflowPunct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highlight w:val="lightGray"/>
        </w:rPr>
        <w:t>EU/1/15/1029/041 98 x 1 tabletes</w:t>
      </w:r>
    </w:p>
    <w:p>
      <w:pPr>
        <w:widowControl w:val="0"/>
        <w:kinsoku w:val="0"/>
        <w:overflowPunct w:val="0"/>
        <w:autoSpaceDE w:val="0"/>
        <w:autoSpaceDN w:val="0"/>
        <w:adjustRightInd w:val="0"/>
        <w:spacing w:after="0" w:line="240" w:lineRule="auto"/>
        <w:rPr>
          <w:rFonts w:ascii="Times New Roman" w:eastAsia="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15 mg</w:t>
      </w:r>
    </w:p>
    <w:p>
      <w:pPr>
        <w:tabs>
          <w:tab w:val="left" w:pos="567"/>
        </w:tabs>
        <w:spacing w:after="0" w:line="240" w:lineRule="auto"/>
        <w:rPr>
          <w:rFonts w:ascii="Times New Roman" w:eastAsia="Times New Roman" w:hAnsi="Times New Roman"/>
          <w:noProof/>
          <w:shd w:val="clear" w:color="auto" w:fill="CCCCCC"/>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MINIMĀLĀ INFORMĀCIJA, KAS JĀNORĀDA UZ BLISTERA VAI PLĀKSNĪTES</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BLISTERIS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REĢISTRĀCIJAS APLIECĪBAS ĪPAŠNIEKA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CITA</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INFORMĀCIJA, KAS JĀNORĀDA UZ ĀRĒJĀ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KĀRBIŅA BLISTERIEM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20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20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14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49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tabletes</w:t>
      </w:r>
    </w:p>
    <w:p>
      <w:pPr>
        <w:tabs>
          <w:tab w:val="left" w:pos="567"/>
        </w:tabs>
        <w:spacing w:after="0" w:line="240" w:lineRule="auto"/>
        <w:rPr>
          <w:rFonts w:ascii="Times New Roman" w:eastAsia="Times New Roman" w:hAnsi="Times New Roman"/>
        </w:rPr>
      </w:pPr>
      <w:r>
        <w:rPr>
          <w:rFonts w:ascii="Times New Roman" w:eastAsia="Times New Roman" w:hAnsi="Times New Roman"/>
          <w:highlight w:val="lightGray"/>
        </w:rPr>
        <w:t>98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rPr>
        <w:t xml:space="preserve">EU/1/15/1029/043 </w:t>
      </w:r>
      <w:r>
        <w:rPr>
          <w:rFonts w:ascii="Times New Roman" w:eastAsia="Times New Roman" w:hAnsi="Times New Roman"/>
          <w:highlight w:val="lightGray"/>
        </w:rPr>
        <w:t>14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EU/1/15/1029/043 28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EU/1/15/1029/043 49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EU/1/15/1029/043 56 tabletes</w:t>
      </w:r>
    </w:p>
    <w:p>
      <w:pPr>
        <w:widowControl w:val="0"/>
        <w:kinsoku w:val="0"/>
        <w:overflowPunct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highlight w:val="lightGray"/>
        </w:rPr>
        <w:t>EU/1/15/1029/043 98 tabletes</w:t>
      </w:r>
      <w:r>
        <w:rPr>
          <w:rFonts w:ascii="Times New Roman" w:eastAsia="Times New Roman" w:hAnsi="Times New Roman"/>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20 mg</w:t>
      </w:r>
    </w:p>
    <w:p>
      <w:pPr>
        <w:tabs>
          <w:tab w:val="left" w:pos="567"/>
        </w:tabs>
        <w:spacing w:after="0" w:line="240" w:lineRule="auto"/>
        <w:rPr>
          <w:rFonts w:ascii="Times New Roman" w:eastAsia="Times New Roman" w:hAnsi="Times New Roman"/>
          <w:noProof/>
          <w:shd w:val="clear" w:color="auto" w:fill="CCCCCC"/>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eastAsia="Times New Roman" w:hAnsi="Times New Roman"/>
          <w:lang w:eastAsia="de-DE"/>
        </w:rPr>
        <w:br w:type="page"/>
      </w:r>
      <w:r>
        <w:rPr>
          <w:rFonts w:ascii="Times New Roman" w:hAnsi="Times New Roman"/>
          <w:b/>
        </w:rPr>
        <w:lastRenderedPageBreak/>
        <w:t>MINIMĀLĀ INFORMĀCIJA, KAS JĀNORĀDA UZ BLISTERA VAI PLĀKSNĪTES</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BLISTERIS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20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REĢISTRĀCIJAS APLIECĪBAS ĪPAŠNIEKA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CITA</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INFORMĀCIJA, KAS JĀNORĀDA UZ ĀRĒJĀ IEPAKOJUMA UN UZ TIEŠĀ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KĀRBIŅA PUDELEI UN MARĶĒJUMS PUDELEI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Katra tablete satur 30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100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Izlietot 3 mēnešu laikā pēc pirmās atvēršanas.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lastRenderedPageBreak/>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EU/1/15/1029/061</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highlight w:val="lightGray"/>
          <w:lang w:eastAsia="de-DE"/>
        </w:rPr>
        <w:t>Kārbiņa:</w:t>
      </w:r>
      <w:r>
        <w:rPr>
          <w:rFonts w:ascii="Times New Roman" w:eastAsia="Times New Roman" w:hAnsi="Times New Roman"/>
          <w:lang w:eastAsia="de-DE"/>
        </w:rPr>
        <w:t xml:space="preserve"> Aripiprazole Sandoz 30 mg</w:t>
      </w:r>
    </w:p>
    <w:p>
      <w:pPr>
        <w:tabs>
          <w:tab w:val="left" w:pos="567"/>
        </w:tabs>
        <w:spacing w:after="0" w:line="240" w:lineRule="auto"/>
        <w:rPr>
          <w:rFonts w:ascii="Times New Roman" w:eastAsia="Times New Roman" w:hAnsi="Times New Roman"/>
          <w:noProof/>
          <w:shd w:val="clear" w:color="auto" w:fill="CCCCCC"/>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0"/>
          <w:numId w:val="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zCs w:val="20"/>
          <w:highlight w:val="lightGray"/>
          <w:lang w:eastAsia="lv-LV" w:bidi="lv-LV"/>
        </w:rPr>
      </w:pPr>
      <w:r>
        <w:rPr>
          <w:rFonts w:ascii="Times New Roman" w:eastAsia="Times New Roman" w:hAnsi="Times New Roman"/>
          <w:noProof/>
          <w:szCs w:val="20"/>
          <w:highlight w:val="lightGray"/>
          <w:lang w:eastAsia="lv-LV" w:bidi="lv-LV"/>
        </w:rPr>
        <w:t>[Tikai pudeles kārbiņai:]</w:t>
      </w: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0"/>
          <w:numId w:val="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szCs w:val="20"/>
          <w:lang w:eastAsia="lv-LV" w:bidi="lv-LV"/>
        </w:rPr>
      </w:pPr>
      <w:r>
        <w:rPr>
          <w:rFonts w:ascii="Times New Roman" w:eastAsia="Times New Roman" w:hAnsi="Times New Roman"/>
          <w:noProof/>
          <w:szCs w:val="20"/>
          <w:highlight w:val="lightGray"/>
          <w:lang w:eastAsia="lv-LV" w:bidi="lv-LV"/>
        </w:rPr>
        <w:t>[Tikai pudeles kārbiņai:]</w:t>
      </w: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eastAsia="Times New Roman" w:hAnsi="Times New Roman"/>
          <w:lang w:eastAsia="de-DE"/>
        </w:rPr>
        <w:br w:type="page"/>
      </w:r>
      <w:r>
        <w:rPr>
          <w:rFonts w:ascii="Times New Roman" w:hAnsi="Times New Roman"/>
          <w:b/>
        </w:rPr>
        <w:lastRenderedPageBreak/>
        <w:t>INFORMĀCIJA, KAS JĀNORĀDA UZ ĀRĒJĀ IEPAKOJUMA</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KĀRBIŅA BLISTERIM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AKTĪVĀS(-O) VIELAS(-U) NOSAUKUMS (-I) UN DAUDZUMS(-I)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Katra tablete satur 30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PALĪGVIELU SARAKSTS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Sastāvā arī: laktozes monohidrāts.</w:t>
      </w: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Sīkāku informāciju skatīt lietošanas instrukcijā.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ZĀĻU FORMA UN SATURS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Tablet</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10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14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16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30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35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70 tabletes</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14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28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49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56 x 1 tabletes</w:t>
      </w:r>
    </w:p>
    <w:p>
      <w:pPr>
        <w:tabs>
          <w:tab w:val="left" w:pos="567"/>
        </w:tabs>
        <w:spacing w:after="0" w:line="240" w:lineRule="auto"/>
        <w:rPr>
          <w:rFonts w:ascii="Times New Roman" w:eastAsia="Times New Roman" w:hAnsi="Times New Roman"/>
          <w:highlight w:val="lightGray"/>
        </w:rPr>
      </w:pPr>
      <w:r>
        <w:rPr>
          <w:rFonts w:ascii="Times New Roman" w:eastAsia="Times New Roman" w:hAnsi="Times New Roman"/>
          <w:highlight w:val="lightGray"/>
        </w:rPr>
        <w:t>98 x 1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LIETOŠANAS UN IEVADĪŠANAS VEIDS(-I)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lietošanas izlasiet lietošanas instrukciju.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Iekšķīgai lietošanai.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6.</w:t>
      </w:r>
      <w:r>
        <w:rPr>
          <w:rFonts w:ascii="Times New Roman" w:hAnsi="Times New Roman"/>
          <w:b/>
        </w:rPr>
        <w:tab/>
        <w:t>ĪPAŠI BRĪDINĀJUMI PAR ZĀĻU UZGLABĀŠANU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CITI ĪPAŠI BRĪDINĀJUMI, JA NEPIECIEŠAMS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Derīgs līdz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ĪPAŠI UZGLABĀŠANAS NOSACĪJUMI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10.</w:t>
      </w:r>
      <w:r>
        <w:rPr>
          <w:rFonts w:ascii="Times New Roman" w:hAnsi="Times New Roman"/>
          <w:b/>
        </w:rPr>
        <w:tab/>
        <w:t>ĪPAŠI PIESARDZĪBAS PASĀKUMI, IZNĪCINOT NEIZLIETOTĀS ZĀLES VAI IZMANTOTOS MATERIĀLUS, KAS BIJUŠI SASKARĒ AR ŠĪM ZĀLĒM, JA PIEMĒROJAMS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REĢISTRĀCIJAS APLIECĪBAS ĪPAŠNIEKA NOSAUKUMS UN ADRESE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REĢISTRĀCIJAS APLIECĪBAS NUMURS(-I)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rPr>
        <w:t xml:space="preserve">EU/1/15/1029/048 </w:t>
      </w:r>
      <w:r>
        <w:rPr>
          <w:rFonts w:ascii="Times New Roman" w:eastAsia="Times New Roman" w:hAnsi="Times New Roman"/>
          <w:highlight w:val="lightGray"/>
        </w:rPr>
        <w:t>10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EU/1/15/1029/049 14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EU/1/15/1029/050 16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EU/1/15/1029/051 28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EU/1/15/1029/052 30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EU/1/15/1029/053 35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EU/1/15/1029/054 56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EU/1/15/1029/055 70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EU/1/15/1029/056 14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EU/1/15/1029/057 28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EU/1/15/1029/058 49 x 1 tabletes</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EU/1/15/1029/059 56 x 1 tabletes</w:t>
      </w:r>
    </w:p>
    <w:p>
      <w:pPr>
        <w:widowControl w:val="0"/>
        <w:kinsoku w:val="0"/>
        <w:overflowPunct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highlight w:val="lightGray"/>
        </w:rPr>
        <w:t>EU/1/15/1029/060 98 x 1 tabletes</w:t>
      </w:r>
      <w:r>
        <w:rPr>
          <w:rFonts w:ascii="Times New Roman" w:eastAsia="Times New Roman" w:hAnsi="Times New Roman"/>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13.</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Sērija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IZSNIEGŠANAS KĀRTĪBA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NORĀDĪJUMI PAR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INFORMĀCIJA BRAILA RAKSTĀ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30 mg</w:t>
      </w:r>
    </w:p>
    <w:p>
      <w:pPr>
        <w:tabs>
          <w:tab w:val="left" w:pos="567"/>
        </w:tabs>
        <w:spacing w:after="0" w:line="240" w:lineRule="auto"/>
        <w:rPr>
          <w:rFonts w:ascii="Times New Roman" w:eastAsia="Times New Roman" w:hAnsi="Times New Roman"/>
          <w:noProof/>
          <w:shd w:val="clear" w:color="auto" w:fill="CCCCCC"/>
          <w:lang w:eastAsia="lv-LV" w:bidi="lv-LV"/>
        </w:rPr>
      </w:pPr>
    </w:p>
    <w:p>
      <w:pPr>
        <w:keepNext/>
        <w:numPr>
          <w:ilvl w:val="0"/>
          <w:numId w:val="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2D SVĪTRKODS</w:t>
      </w:r>
    </w:p>
    <w:p>
      <w:pPr>
        <w:spacing w:after="0" w:line="240" w:lineRule="auto"/>
        <w:rPr>
          <w:rFonts w:ascii="Times New Roman" w:eastAsia="Times New Roman" w:hAnsi="Times New Roman"/>
          <w:noProof/>
          <w:szCs w:val="20"/>
          <w:lang w:eastAsia="lv-LV" w:bidi="lv-LV"/>
        </w:rPr>
      </w:pPr>
    </w:p>
    <w:p>
      <w:pPr>
        <w:tabs>
          <w:tab w:val="left" w:pos="567"/>
        </w:tabs>
        <w:spacing w:after="0" w:line="240" w:lineRule="auto"/>
        <w:rPr>
          <w:rFonts w:ascii="Times New Roman" w:eastAsia="Times New Roman" w:hAnsi="Times New Roman"/>
          <w:noProof/>
          <w:shd w:val="clear" w:color="auto" w:fill="CCCCCC"/>
          <w:lang w:eastAsia="lv-LV" w:bidi="lv-LV"/>
        </w:rPr>
      </w:pPr>
      <w:r>
        <w:rPr>
          <w:rFonts w:ascii="Times New Roman" w:eastAsia="Times New Roman" w:hAnsi="Times New Roman"/>
          <w:noProof/>
          <w:szCs w:val="20"/>
          <w:highlight w:val="lightGray"/>
          <w:lang w:eastAsia="lv-LV" w:bidi="lv-LV"/>
        </w:rPr>
        <w:t>2D svītrkods, kurā iekļauts unikāls identifikators.</w:t>
      </w:r>
    </w:p>
    <w:p>
      <w:pPr>
        <w:spacing w:after="0" w:line="240" w:lineRule="auto"/>
        <w:rPr>
          <w:rFonts w:ascii="Times New Roman" w:eastAsia="Times New Roman" w:hAnsi="Times New Roman"/>
          <w:noProof/>
          <w:szCs w:val="20"/>
          <w:lang w:eastAsia="lv-LV" w:bidi="lv-LV"/>
        </w:rPr>
      </w:pPr>
    </w:p>
    <w:p>
      <w:pPr>
        <w:spacing w:after="0" w:line="240" w:lineRule="auto"/>
        <w:rPr>
          <w:rFonts w:ascii="Times New Roman" w:eastAsia="Times New Roman" w:hAnsi="Times New Roman"/>
          <w:noProof/>
          <w:szCs w:val="20"/>
          <w:lang w:eastAsia="lv-LV" w:bidi="lv-LV"/>
        </w:rPr>
      </w:pPr>
    </w:p>
    <w:p>
      <w:pPr>
        <w:keepNext/>
        <w:numPr>
          <w:ilvl w:val="0"/>
          <w:numId w:val="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i/>
          <w:noProof/>
          <w:szCs w:val="20"/>
          <w:lang w:eastAsia="lv-LV" w:bidi="lv-LV"/>
        </w:rPr>
      </w:pPr>
      <w:r>
        <w:rPr>
          <w:rFonts w:ascii="Times New Roman" w:eastAsia="Times New Roman" w:hAnsi="Times New Roman"/>
          <w:b/>
          <w:noProof/>
          <w:szCs w:val="20"/>
          <w:lang w:eastAsia="lv-LV" w:bidi="lv-LV"/>
        </w:rPr>
        <w:t>UNIKĀLS IDENTIFIKATORS – DATI, KURUS VAR NOLASĪT PERSONA</w:t>
      </w:r>
    </w:p>
    <w:p>
      <w:pPr>
        <w:spacing w:after="0" w:line="240" w:lineRule="auto"/>
        <w:rPr>
          <w:rFonts w:ascii="Times New Roman" w:eastAsia="Times New Roman" w:hAnsi="Times New Roman"/>
          <w:noProof/>
          <w:szCs w:val="20"/>
          <w:lang w:eastAsia="lv-LV" w:bidi="lv-LV"/>
        </w:rPr>
      </w:pPr>
    </w:p>
    <w:p>
      <w:pPr>
        <w:tabs>
          <w:tab w:val="left" w:pos="567"/>
        </w:tabs>
        <w:spacing w:after="0" w:line="260" w:lineRule="exact"/>
        <w:rPr>
          <w:rFonts w:ascii="Times New Roman" w:eastAsia="Times New Roman" w:hAnsi="Times New Roman"/>
          <w:color w:val="000000"/>
          <w:lang w:eastAsia="lv-LV" w:bidi="lv-LV"/>
        </w:rPr>
      </w:pPr>
      <w:r>
        <w:rPr>
          <w:rFonts w:ascii="Times New Roman" w:eastAsia="Times New Roman" w:hAnsi="Times New Roman"/>
          <w:szCs w:val="20"/>
          <w:lang w:eastAsia="lv-LV" w:bidi="lv-LV"/>
        </w:rPr>
        <w:t>PC</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SN</w:t>
      </w:r>
    </w:p>
    <w:p>
      <w:pPr>
        <w:tabs>
          <w:tab w:val="left" w:pos="567"/>
        </w:tabs>
        <w:spacing w:after="0" w:line="260" w:lineRule="exact"/>
        <w:rPr>
          <w:rFonts w:ascii="Times New Roman" w:eastAsia="Times New Roman" w:hAnsi="Times New Roman"/>
          <w:lang w:eastAsia="lv-LV" w:bidi="lv-LV"/>
        </w:rPr>
      </w:pPr>
      <w:r>
        <w:rPr>
          <w:rFonts w:ascii="Times New Roman" w:eastAsia="Times New Roman" w:hAnsi="Times New Roman"/>
          <w:szCs w:val="20"/>
          <w:lang w:eastAsia="lv-LV" w:bidi="lv-LV"/>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MINIMĀLĀ INFORMĀCIJA, KAS JĀNORĀDA UZ BLISTERA VAI PLĀKSNĪTES</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BLISTERIS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ZĀĻU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REĢISTRĀCIJAS APLIECĪBAS ĪPAŠNIEKA NOSAUKUMS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DERĪGUMA TERMIŅŠ</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SĒRIJAS NUMURS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CITA</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r>
        <w:rPr>
          <w:rFonts w:ascii="Times New Roman" w:hAnsi="Times New Roman"/>
        </w:rPr>
        <w:br w:type="page"/>
      </w: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p>
    <w:p>
      <w:pPr>
        <w:pStyle w:val="TitleA"/>
        <w:outlineLvl w:val="0"/>
      </w:pPr>
      <w:bookmarkStart w:id="1" w:name="B._LIETOŠANAS_INSTRUKCIJA"/>
      <w:bookmarkEnd w:id="1"/>
      <w:r>
        <w:t>B. LIETOŠANAS</w:t>
      </w:r>
      <w:r>
        <w:rPr>
          <w:spacing w:val="-1"/>
        </w:rPr>
        <w:t xml:space="preserve"> INSTRUKCIJA</w:t>
      </w:r>
    </w:p>
    <w:p>
      <w:pPr>
        <w:widowControl w:val="0"/>
        <w:spacing w:after="0" w:line="240" w:lineRule="auto"/>
        <w:jc w:val="center"/>
        <w:rPr>
          <w:rFonts w:ascii="Times New Roman" w:hAnsi="Times New Roman"/>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r>
        <w:rPr>
          <w:rFonts w:ascii="Times New Roman" w:hAnsi="Times New Roman"/>
        </w:rPr>
        <w:br w:type="page"/>
      </w:r>
      <w:r>
        <w:rPr>
          <w:rFonts w:ascii="Times New Roman" w:eastAsia="Times New Roman" w:hAnsi="Times New Roman"/>
          <w:b/>
          <w:bCs/>
          <w:spacing w:val="-1"/>
          <w:lang w:eastAsia="de-DE"/>
        </w:rPr>
        <w:lastRenderedPageBreak/>
        <w:t>Lietošanas</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instrukcija:</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informācija</w:t>
      </w:r>
      <w:r>
        <w:rPr>
          <w:rFonts w:ascii="Times New Roman" w:eastAsia="Times New Roman" w:hAnsi="Times New Roman"/>
          <w:b/>
          <w:bCs/>
          <w:spacing w:val="-3"/>
          <w:lang w:eastAsia="de-DE"/>
        </w:rPr>
        <w:t xml:space="preserve"> </w:t>
      </w:r>
      <w:r>
        <w:rPr>
          <w:rFonts w:ascii="Times New Roman" w:eastAsia="Times New Roman" w:hAnsi="Times New Roman"/>
          <w:b/>
          <w:bCs/>
          <w:spacing w:val="-1"/>
          <w:lang w:eastAsia="de-DE"/>
        </w:rPr>
        <w:t>lietotājam</w:t>
      </w: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5 mg tabletes</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10 mg tabletes</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15 mg tabletes</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20 mg tabletes</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30 mg tabletes</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r>
        <w:rPr>
          <w:rFonts w:ascii="Times New Roman" w:eastAsia="Times New Roman" w:hAnsi="Times New Roman"/>
          <w:spacing w:val="-1"/>
          <w:lang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spacing w:val="-1"/>
          <w:lang w:eastAsia="de-DE"/>
        </w:rPr>
        <w:t>Pirms</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zāļu</w:t>
      </w:r>
      <w:r>
        <w:rPr>
          <w:rFonts w:ascii="Times New Roman" w:eastAsia="Times New Roman" w:hAnsi="Times New Roman"/>
          <w:b/>
          <w:bCs/>
          <w:spacing w:val="-3"/>
          <w:lang w:eastAsia="de-DE"/>
        </w:rPr>
        <w:t xml:space="preserve"> </w:t>
      </w:r>
      <w:r>
        <w:rPr>
          <w:rFonts w:ascii="Times New Roman" w:eastAsia="Times New Roman" w:hAnsi="Times New Roman"/>
          <w:b/>
          <w:bCs/>
          <w:spacing w:val="-1"/>
          <w:lang w:eastAsia="de-DE"/>
        </w:rPr>
        <w:t>lietošanas</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uzmanīgi</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izlasiet</w:t>
      </w:r>
      <w:r>
        <w:rPr>
          <w:rFonts w:ascii="Times New Roman" w:eastAsia="Times New Roman" w:hAnsi="Times New Roman"/>
          <w:b/>
          <w:bCs/>
          <w:spacing w:val="1"/>
          <w:lang w:eastAsia="de-DE"/>
        </w:rPr>
        <w:t xml:space="preserve"> </w:t>
      </w:r>
      <w:r>
        <w:rPr>
          <w:rFonts w:ascii="Times New Roman" w:eastAsia="Times New Roman" w:hAnsi="Times New Roman"/>
          <w:b/>
          <w:bCs/>
          <w:spacing w:val="-1"/>
          <w:lang w:eastAsia="de-DE"/>
        </w:rPr>
        <w:t>visu instrukciju,</w:t>
      </w:r>
      <w:r>
        <w:rPr>
          <w:rFonts w:ascii="Times New Roman" w:eastAsia="Times New Roman" w:hAnsi="Times New Roman"/>
          <w:b/>
          <w:bCs/>
          <w:spacing w:val="-3"/>
          <w:lang w:eastAsia="de-DE"/>
        </w:rPr>
        <w:t xml:space="preserve"> </w:t>
      </w:r>
      <w:r>
        <w:rPr>
          <w:rFonts w:ascii="Times New Roman" w:eastAsia="Times New Roman" w:hAnsi="Times New Roman"/>
          <w:b/>
          <w:bCs/>
          <w:lang w:eastAsia="de-DE"/>
        </w:rPr>
        <w:t xml:space="preserve">jo </w:t>
      </w:r>
      <w:r>
        <w:rPr>
          <w:rFonts w:ascii="Times New Roman" w:eastAsia="Times New Roman" w:hAnsi="Times New Roman"/>
          <w:b/>
          <w:bCs/>
          <w:spacing w:val="-1"/>
          <w:lang w:eastAsia="de-DE"/>
        </w:rPr>
        <w:t>tā</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satur</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Jums</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svarīgu informāciju.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spacing w:val="-1"/>
          <w:lang w:eastAsia="de-DE"/>
        </w:rPr>
      </w:pPr>
      <w:r>
        <w:rPr>
          <w:rFonts w:ascii="Times New Roman" w:eastAsia="Times New Roman" w:hAnsi="Times New Roman"/>
          <w:spacing w:val="-1"/>
          <w:lang w:eastAsia="de-DE"/>
        </w:rPr>
        <w:t>•</w:t>
      </w:r>
      <w:r>
        <w:rPr>
          <w:rFonts w:ascii="Times New Roman" w:eastAsia="Times New Roman" w:hAnsi="Times New Roman"/>
          <w:spacing w:val="-1"/>
          <w:lang w:eastAsia="de-DE"/>
        </w:rPr>
        <w:tab/>
        <w:t>Saglabājiet</w:t>
      </w:r>
      <w:r>
        <w:rPr>
          <w:rFonts w:ascii="Times New Roman" w:eastAsia="Times New Roman" w:hAnsi="Times New Roman"/>
          <w:spacing w:val="1"/>
          <w:lang w:eastAsia="de-DE"/>
        </w:rPr>
        <w:t xml:space="preserve"> </w:t>
      </w:r>
      <w:r>
        <w:rPr>
          <w:rFonts w:ascii="Times New Roman" w:eastAsia="Times New Roman" w:hAnsi="Times New Roman"/>
          <w:lang w:eastAsia="de-DE"/>
        </w:rPr>
        <w:t>šo</w:t>
      </w:r>
      <w:r>
        <w:rPr>
          <w:rFonts w:ascii="Times New Roman" w:eastAsia="Times New Roman" w:hAnsi="Times New Roman"/>
          <w:spacing w:val="-3"/>
          <w:lang w:eastAsia="de-DE"/>
        </w:rPr>
        <w:t xml:space="preserve"> </w:t>
      </w:r>
      <w:r>
        <w:rPr>
          <w:rFonts w:ascii="Times New Roman" w:eastAsia="Times New Roman" w:hAnsi="Times New Roman"/>
          <w:spacing w:val="-1"/>
          <w:lang w:eastAsia="de-DE"/>
        </w:rPr>
        <w:t>instrukciju!</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Iespējams,</w:t>
      </w:r>
      <w:r>
        <w:rPr>
          <w:rFonts w:ascii="Times New Roman" w:eastAsia="Times New Roman" w:hAnsi="Times New Roman"/>
          <w:lang w:eastAsia="de-DE"/>
        </w:rPr>
        <w:t xml:space="preserve"> </w:t>
      </w:r>
      <w:r>
        <w:rPr>
          <w:rFonts w:ascii="Times New Roman" w:eastAsia="Times New Roman" w:hAnsi="Times New Roman"/>
          <w:spacing w:val="-2"/>
          <w:lang w:eastAsia="de-DE"/>
        </w:rPr>
        <w:t>ka</w:t>
      </w:r>
      <w:r>
        <w:rPr>
          <w:rFonts w:ascii="Times New Roman" w:eastAsia="Times New Roman" w:hAnsi="Times New Roman"/>
          <w:lang w:eastAsia="de-DE"/>
        </w:rPr>
        <w:t xml:space="preserve"> </w:t>
      </w:r>
      <w:r>
        <w:rPr>
          <w:rFonts w:ascii="Times New Roman" w:eastAsia="Times New Roman" w:hAnsi="Times New Roman"/>
          <w:spacing w:val="-1"/>
          <w:lang w:eastAsia="de-DE"/>
        </w:rPr>
        <w:t>vēlāk</w:t>
      </w:r>
      <w:r>
        <w:rPr>
          <w:rFonts w:ascii="Times New Roman" w:eastAsia="Times New Roman" w:hAnsi="Times New Roman"/>
          <w:spacing w:val="-3"/>
          <w:lang w:eastAsia="de-DE"/>
        </w:rPr>
        <w:t xml:space="preserve"> </w:t>
      </w:r>
      <w:r>
        <w:rPr>
          <w:rFonts w:ascii="Times New Roman" w:eastAsia="Times New Roman" w:hAnsi="Times New Roman"/>
          <w:lang w:eastAsia="de-DE"/>
        </w:rPr>
        <w:t xml:space="preserve">to </w:t>
      </w:r>
      <w:r>
        <w:rPr>
          <w:rFonts w:ascii="Times New Roman" w:eastAsia="Times New Roman" w:hAnsi="Times New Roman"/>
          <w:spacing w:val="-1"/>
          <w:lang w:eastAsia="de-DE"/>
        </w:rPr>
        <w:t>vajadzēs</w:t>
      </w:r>
      <w:r>
        <w:rPr>
          <w:rFonts w:ascii="Times New Roman" w:eastAsia="Times New Roman" w:hAnsi="Times New Roman"/>
          <w:lang w:eastAsia="de-DE"/>
        </w:rPr>
        <w:t xml:space="preserve"> </w:t>
      </w:r>
      <w:r>
        <w:rPr>
          <w:rFonts w:ascii="Times New Roman" w:eastAsia="Times New Roman" w:hAnsi="Times New Roman"/>
          <w:spacing w:val="-1"/>
          <w:lang w:eastAsia="de-DE"/>
        </w:rPr>
        <w:t>pārlasīt.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spacing w:val="-1"/>
          <w:lang w:eastAsia="de-DE"/>
        </w:rPr>
      </w:pPr>
      <w:r>
        <w:rPr>
          <w:rFonts w:ascii="Times New Roman" w:eastAsia="Times New Roman" w:hAnsi="Times New Roman"/>
          <w:lang w:eastAsia="de-DE"/>
        </w:rPr>
        <w:t>•</w:t>
      </w:r>
      <w:r>
        <w:rPr>
          <w:rFonts w:ascii="Times New Roman" w:eastAsia="Times New Roman" w:hAnsi="Times New Roman"/>
          <w:lang w:eastAsia="de-DE"/>
        </w:rPr>
        <w:tab/>
        <w:t>Ja</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Jums</w:t>
      </w:r>
      <w:r>
        <w:rPr>
          <w:rFonts w:ascii="Times New Roman" w:eastAsia="Times New Roman" w:hAnsi="Times New Roman"/>
          <w:lang w:eastAsia="de-DE"/>
        </w:rPr>
        <w:t xml:space="preserve"> </w:t>
      </w:r>
      <w:r>
        <w:rPr>
          <w:rFonts w:ascii="Times New Roman" w:eastAsia="Times New Roman" w:hAnsi="Times New Roman"/>
          <w:spacing w:val="-1"/>
          <w:lang w:eastAsia="de-DE"/>
        </w:rPr>
        <w:t>rodas</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jebkādi</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jautājumi,</w:t>
      </w:r>
      <w:r>
        <w:rPr>
          <w:rFonts w:ascii="Times New Roman" w:eastAsia="Times New Roman" w:hAnsi="Times New Roman"/>
          <w:lang w:eastAsia="de-DE"/>
        </w:rPr>
        <w:t xml:space="preserve"> </w:t>
      </w:r>
      <w:r>
        <w:rPr>
          <w:rFonts w:ascii="Times New Roman" w:eastAsia="Times New Roman" w:hAnsi="Times New Roman"/>
          <w:spacing w:val="-1"/>
          <w:lang w:eastAsia="de-DE"/>
        </w:rPr>
        <w:t>vaicājiet</w:t>
      </w:r>
      <w:r>
        <w:rPr>
          <w:rFonts w:ascii="Times New Roman" w:eastAsia="Times New Roman" w:hAnsi="Times New Roman"/>
          <w:spacing w:val="1"/>
          <w:lang w:eastAsia="de-DE"/>
        </w:rPr>
        <w:t xml:space="preserve"> </w:t>
      </w:r>
      <w:r>
        <w:rPr>
          <w:rFonts w:ascii="Times New Roman" w:eastAsia="Times New Roman" w:hAnsi="Times New Roman"/>
          <w:spacing w:val="-1"/>
          <w:lang w:eastAsia="de-DE"/>
        </w:rPr>
        <w:t>ārstam</w:t>
      </w:r>
      <w:r>
        <w:rPr>
          <w:rFonts w:ascii="Times New Roman" w:eastAsia="Times New Roman" w:hAnsi="Times New Roman"/>
          <w:spacing w:val="-4"/>
          <w:lang w:eastAsia="de-DE"/>
        </w:rPr>
        <w:t xml:space="preserve"> </w:t>
      </w:r>
      <w:r>
        <w:rPr>
          <w:rFonts w:ascii="Times New Roman" w:eastAsia="Times New Roman" w:hAnsi="Times New Roman"/>
          <w:spacing w:val="-1"/>
          <w:lang w:eastAsia="de-DE"/>
        </w:rPr>
        <w:t>vai</w:t>
      </w:r>
      <w:r>
        <w:rPr>
          <w:rFonts w:ascii="Times New Roman" w:eastAsia="Times New Roman" w:hAnsi="Times New Roman"/>
          <w:spacing w:val="1"/>
          <w:lang w:eastAsia="de-DE"/>
        </w:rPr>
        <w:t xml:space="preserve"> </w:t>
      </w:r>
      <w:r>
        <w:rPr>
          <w:rFonts w:ascii="Times New Roman" w:eastAsia="Times New Roman" w:hAnsi="Times New Roman"/>
          <w:spacing w:val="-1"/>
          <w:lang w:eastAsia="de-DE"/>
        </w:rPr>
        <w:t>farmaceitam.</w:t>
      </w:r>
    </w:p>
    <w:p>
      <w:pPr>
        <w:widowControl w:val="0"/>
        <w:kinsoku w:val="0"/>
        <w:overflowPunct w:val="0"/>
        <w:autoSpaceDE w:val="0"/>
        <w:autoSpaceDN w:val="0"/>
        <w:adjustRightInd w:val="0"/>
        <w:spacing w:after="0" w:line="240" w:lineRule="auto"/>
        <w:ind w:left="567" w:right="138" w:hanging="567"/>
        <w:rPr>
          <w:rFonts w:ascii="Times New Roman" w:eastAsia="Times New Roman" w:hAnsi="Times New Roman"/>
          <w:spacing w:val="-1"/>
          <w:lang w:eastAsia="de-DE"/>
        </w:rPr>
      </w:pPr>
      <w:r>
        <w:rPr>
          <w:rFonts w:ascii="Times New Roman" w:eastAsia="Times New Roman" w:hAnsi="Times New Roman"/>
          <w:lang w:eastAsia="de-DE"/>
        </w:rPr>
        <w:t>•</w:t>
      </w:r>
      <w:r>
        <w:rPr>
          <w:rFonts w:ascii="Times New Roman" w:eastAsia="Times New Roman" w:hAnsi="Times New Roman"/>
          <w:lang w:eastAsia="de-DE"/>
        </w:rPr>
        <w:tab/>
        <w:t xml:space="preserve">Šīs </w:t>
      </w:r>
      <w:r>
        <w:rPr>
          <w:rFonts w:ascii="Times New Roman" w:eastAsia="Times New Roman" w:hAnsi="Times New Roman"/>
          <w:spacing w:val="-1"/>
          <w:lang w:eastAsia="de-DE"/>
        </w:rPr>
        <w:t>zāles</w:t>
      </w:r>
      <w:r>
        <w:rPr>
          <w:rFonts w:ascii="Times New Roman" w:eastAsia="Times New Roman" w:hAnsi="Times New Roman"/>
          <w:lang w:eastAsia="de-DE"/>
        </w:rPr>
        <w:t xml:space="preserve"> </w:t>
      </w:r>
      <w:r>
        <w:rPr>
          <w:rFonts w:ascii="Times New Roman" w:eastAsia="Times New Roman" w:hAnsi="Times New Roman"/>
          <w:spacing w:val="-1"/>
          <w:lang w:eastAsia="de-DE"/>
        </w:rPr>
        <w:t>ir</w:t>
      </w:r>
      <w:r>
        <w:rPr>
          <w:rFonts w:ascii="Times New Roman" w:eastAsia="Times New Roman" w:hAnsi="Times New Roman"/>
          <w:spacing w:val="1"/>
          <w:lang w:eastAsia="de-DE"/>
        </w:rPr>
        <w:t xml:space="preserve"> </w:t>
      </w:r>
      <w:r>
        <w:rPr>
          <w:rFonts w:ascii="Times New Roman" w:eastAsia="Times New Roman" w:hAnsi="Times New Roman"/>
          <w:spacing w:val="-1"/>
          <w:lang w:eastAsia="de-DE"/>
        </w:rPr>
        <w:t>parakstītas</w:t>
      </w:r>
      <w:r>
        <w:rPr>
          <w:rFonts w:ascii="Times New Roman" w:eastAsia="Times New Roman" w:hAnsi="Times New Roman"/>
          <w:lang w:eastAsia="de-DE"/>
        </w:rPr>
        <w:t xml:space="preserve"> </w:t>
      </w:r>
      <w:r>
        <w:rPr>
          <w:rFonts w:ascii="Times New Roman" w:eastAsia="Times New Roman" w:hAnsi="Times New Roman"/>
          <w:spacing w:val="-1"/>
          <w:lang w:eastAsia="de-DE"/>
        </w:rPr>
        <w:t>tikai</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Jums.</w:t>
      </w:r>
      <w:r>
        <w:rPr>
          <w:rFonts w:ascii="Times New Roman" w:eastAsia="Times New Roman" w:hAnsi="Times New Roman"/>
          <w:lang w:eastAsia="de-DE"/>
        </w:rPr>
        <w:t xml:space="preserve"> </w:t>
      </w:r>
      <w:r>
        <w:rPr>
          <w:rFonts w:ascii="Times New Roman" w:eastAsia="Times New Roman" w:hAnsi="Times New Roman"/>
          <w:spacing w:val="-1"/>
          <w:lang w:eastAsia="de-DE"/>
        </w:rPr>
        <w:t>Nedodiet</w:t>
      </w:r>
      <w:r>
        <w:rPr>
          <w:rFonts w:ascii="Times New Roman" w:eastAsia="Times New Roman" w:hAnsi="Times New Roman"/>
          <w:spacing w:val="1"/>
          <w:lang w:eastAsia="de-DE"/>
        </w:rPr>
        <w:t xml:space="preserve"> </w:t>
      </w:r>
      <w:r>
        <w:rPr>
          <w:rFonts w:ascii="Times New Roman" w:eastAsia="Times New Roman" w:hAnsi="Times New Roman"/>
          <w:spacing w:val="-1"/>
          <w:lang w:eastAsia="de-DE"/>
        </w:rPr>
        <w:t>tās</w:t>
      </w:r>
      <w:r>
        <w:rPr>
          <w:rFonts w:ascii="Times New Roman" w:eastAsia="Times New Roman" w:hAnsi="Times New Roman"/>
          <w:lang w:eastAsia="de-DE"/>
        </w:rPr>
        <w:t xml:space="preserve"> </w:t>
      </w:r>
      <w:r>
        <w:rPr>
          <w:rFonts w:ascii="Times New Roman" w:eastAsia="Times New Roman" w:hAnsi="Times New Roman"/>
          <w:spacing w:val="-1"/>
          <w:lang w:eastAsia="de-DE"/>
        </w:rPr>
        <w:t>citiem.</w:t>
      </w:r>
      <w:r>
        <w:rPr>
          <w:rFonts w:ascii="Times New Roman" w:eastAsia="Times New Roman" w:hAnsi="Times New Roman"/>
          <w:lang w:eastAsia="de-DE"/>
        </w:rPr>
        <w:t xml:space="preserve"> Tās </w:t>
      </w:r>
      <w:r>
        <w:rPr>
          <w:rFonts w:ascii="Times New Roman" w:eastAsia="Times New Roman" w:hAnsi="Times New Roman"/>
          <w:spacing w:val="-1"/>
          <w:lang w:eastAsia="de-DE"/>
        </w:rPr>
        <w:t>var</w:t>
      </w:r>
      <w:r>
        <w:rPr>
          <w:rFonts w:ascii="Times New Roman" w:eastAsia="Times New Roman" w:hAnsi="Times New Roman"/>
          <w:spacing w:val="1"/>
          <w:lang w:eastAsia="de-DE"/>
        </w:rPr>
        <w:t xml:space="preserve"> </w:t>
      </w:r>
      <w:r>
        <w:rPr>
          <w:rFonts w:ascii="Times New Roman" w:eastAsia="Times New Roman" w:hAnsi="Times New Roman"/>
          <w:spacing w:val="-1"/>
          <w:lang w:eastAsia="de-DE"/>
        </w:rPr>
        <w:t>nodarīt</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ļaunumu</w:t>
      </w:r>
      <w:r>
        <w:rPr>
          <w:rFonts w:ascii="Times New Roman" w:eastAsia="Times New Roman" w:hAnsi="Times New Roman"/>
          <w:lang w:eastAsia="de-DE"/>
        </w:rPr>
        <w:t xml:space="preserve"> </w:t>
      </w:r>
      <w:r>
        <w:rPr>
          <w:rFonts w:ascii="Times New Roman" w:eastAsia="Times New Roman" w:hAnsi="Times New Roman"/>
          <w:spacing w:val="-1"/>
          <w:lang w:eastAsia="de-DE"/>
        </w:rPr>
        <w:t>pat</w:t>
      </w:r>
      <w:r>
        <w:rPr>
          <w:rFonts w:ascii="Times New Roman" w:eastAsia="Times New Roman" w:hAnsi="Times New Roman"/>
          <w:spacing w:val="1"/>
          <w:lang w:eastAsia="de-DE"/>
        </w:rPr>
        <w:t xml:space="preserve"> </w:t>
      </w:r>
      <w:r>
        <w:rPr>
          <w:rFonts w:ascii="Times New Roman" w:eastAsia="Times New Roman" w:hAnsi="Times New Roman"/>
          <w:spacing w:val="-1"/>
          <w:lang w:eastAsia="de-DE"/>
        </w:rPr>
        <w:t>tad,</w:t>
      </w:r>
      <w:r>
        <w:rPr>
          <w:rFonts w:ascii="Times New Roman" w:eastAsia="Times New Roman" w:hAnsi="Times New Roman"/>
          <w:spacing w:val="-3"/>
          <w:lang w:eastAsia="de-DE"/>
        </w:rPr>
        <w:t xml:space="preserve"> </w:t>
      </w:r>
      <w:r>
        <w:rPr>
          <w:rFonts w:ascii="Times New Roman" w:eastAsia="Times New Roman" w:hAnsi="Times New Roman"/>
          <w:lang w:eastAsia="de-DE"/>
        </w:rPr>
        <w:t xml:space="preserve">ja </w:t>
      </w:r>
      <w:r>
        <w:rPr>
          <w:rFonts w:ascii="Times New Roman" w:eastAsia="Times New Roman" w:hAnsi="Times New Roman"/>
          <w:spacing w:val="-1"/>
          <w:lang w:eastAsia="de-DE"/>
        </w:rPr>
        <w:t>šiem</w:t>
      </w:r>
      <w:r>
        <w:rPr>
          <w:rFonts w:ascii="Times New Roman" w:eastAsia="Times New Roman" w:hAnsi="Times New Roman"/>
          <w:spacing w:val="57"/>
          <w:lang w:eastAsia="de-DE"/>
        </w:rPr>
        <w:t xml:space="preserve"> </w:t>
      </w:r>
      <w:r>
        <w:rPr>
          <w:rFonts w:ascii="Times New Roman" w:eastAsia="Times New Roman" w:hAnsi="Times New Roman"/>
          <w:spacing w:val="-1"/>
          <w:lang w:eastAsia="de-DE"/>
        </w:rPr>
        <w:t>cilvēkiem</w:t>
      </w:r>
      <w:r>
        <w:rPr>
          <w:rFonts w:ascii="Times New Roman" w:eastAsia="Times New Roman" w:hAnsi="Times New Roman"/>
          <w:spacing w:val="-4"/>
          <w:lang w:eastAsia="de-DE"/>
        </w:rPr>
        <w:t xml:space="preserve"> </w:t>
      </w:r>
      <w:r>
        <w:rPr>
          <w:rFonts w:ascii="Times New Roman" w:eastAsia="Times New Roman" w:hAnsi="Times New Roman"/>
          <w:lang w:eastAsia="de-DE"/>
        </w:rPr>
        <w:t>ir</w:t>
      </w:r>
      <w:r>
        <w:rPr>
          <w:rFonts w:ascii="Times New Roman" w:eastAsia="Times New Roman" w:hAnsi="Times New Roman"/>
          <w:spacing w:val="1"/>
          <w:lang w:eastAsia="de-DE"/>
        </w:rPr>
        <w:t xml:space="preserve"> </w:t>
      </w:r>
      <w:r>
        <w:rPr>
          <w:rFonts w:ascii="Times New Roman" w:eastAsia="Times New Roman" w:hAnsi="Times New Roman"/>
          <w:spacing w:val="-1"/>
          <w:lang w:eastAsia="de-DE"/>
        </w:rPr>
        <w:t>līdzīgas</w:t>
      </w:r>
      <w:r>
        <w:rPr>
          <w:rFonts w:ascii="Times New Roman" w:eastAsia="Times New Roman" w:hAnsi="Times New Roman"/>
          <w:lang w:eastAsia="de-DE"/>
        </w:rPr>
        <w:t xml:space="preserve"> </w:t>
      </w:r>
      <w:r>
        <w:rPr>
          <w:rFonts w:ascii="Times New Roman" w:eastAsia="Times New Roman" w:hAnsi="Times New Roman"/>
          <w:spacing w:val="-1"/>
          <w:lang w:eastAsia="de-DE"/>
        </w:rPr>
        <w:t>slimības</w:t>
      </w:r>
      <w:r>
        <w:rPr>
          <w:rFonts w:ascii="Times New Roman" w:eastAsia="Times New Roman" w:hAnsi="Times New Roman"/>
          <w:lang w:eastAsia="de-DE"/>
        </w:rPr>
        <w:t xml:space="preserve"> </w:t>
      </w:r>
      <w:r>
        <w:rPr>
          <w:rFonts w:ascii="Times New Roman" w:eastAsia="Times New Roman" w:hAnsi="Times New Roman"/>
          <w:spacing w:val="-1"/>
          <w:lang w:eastAsia="de-DE"/>
        </w:rPr>
        <w:t>pazīmes.</w:t>
      </w:r>
    </w:p>
    <w:p>
      <w:pPr>
        <w:widowControl w:val="0"/>
        <w:kinsoku w:val="0"/>
        <w:overflowPunct w:val="0"/>
        <w:autoSpaceDE w:val="0"/>
        <w:autoSpaceDN w:val="0"/>
        <w:adjustRightInd w:val="0"/>
        <w:spacing w:after="0" w:line="240" w:lineRule="auto"/>
        <w:ind w:left="567" w:right="159" w:hanging="567"/>
        <w:rPr>
          <w:rFonts w:ascii="Times New Roman" w:eastAsia="Times New Roman" w:hAnsi="Times New Roman"/>
          <w:spacing w:val="-1"/>
          <w:lang w:eastAsia="de-DE"/>
        </w:rPr>
      </w:pPr>
      <w:r>
        <w:rPr>
          <w:rFonts w:ascii="Times New Roman" w:eastAsia="Times New Roman" w:hAnsi="Times New Roman"/>
          <w:lang w:eastAsia="de-DE"/>
        </w:rPr>
        <w:t>•</w:t>
      </w:r>
      <w:r>
        <w:rPr>
          <w:rFonts w:ascii="Times New Roman" w:eastAsia="Times New Roman" w:hAnsi="Times New Roman"/>
          <w:lang w:eastAsia="de-DE"/>
        </w:rPr>
        <w:tab/>
        <w:t>Ja</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Jums</w:t>
      </w:r>
      <w:r>
        <w:rPr>
          <w:rFonts w:ascii="Times New Roman" w:eastAsia="Times New Roman" w:hAnsi="Times New Roman"/>
          <w:lang w:eastAsia="de-DE"/>
        </w:rPr>
        <w:t xml:space="preserve"> </w:t>
      </w:r>
      <w:r>
        <w:rPr>
          <w:rFonts w:ascii="Times New Roman" w:eastAsia="Times New Roman" w:hAnsi="Times New Roman"/>
          <w:spacing w:val="-1"/>
          <w:lang w:eastAsia="de-DE"/>
        </w:rPr>
        <w:t>rodas</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jebkādas</w:t>
      </w:r>
      <w:r>
        <w:rPr>
          <w:rFonts w:ascii="Times New Roman" w:eastAsia="Times New Roman" w:hAnsi="Times New Roman"/>
          <w:lang w:eastAsia="de-DE"/>
        </w:rPr>
        <w:t xml:space="preserve"> </w:t>
      </w:r>
      <w:r>
        <w:rPr>
          <w:rFonts w:ascii="Times New Roman" w:eastAsia="Times New Roman" w:hAnsi="Times New Roman"/>
          <w:spacing w:val="-1"/>
          <w:lang w:eastAsia="de-DE"/>
        </w:rPr>
        <w:t>blakusparādības,</w:t>
      </w:r>
      <w:r>
        <w:rPr>
          <w:rFonts w:ascii="Times New Roman" w:eastAsia="Times New Roman" w:hAnsi="Times New Roman"/>
          <w:spacing w:val="-3"/>
          <w:lang w:eastAsia="de-DE"/>
        </w:rPr>
        <w:t xml:space="preserve"> </w:t>
      </w:r>
      <w:r>
        <w:rPr>
          <w:rFonts w:ascii="Times New Roman" w:eastAsia="Times New Roman" w:hAnsi="Times New Roman"/>
          <w:spacing w:val="-1"/>
          <w:lang w:eastAsia="de-DE"/>
        </w:rPr>
        <w:t>konsultējieties</w:t>
      </w:r>
      <w:r>
        <w:rPr>
          <w:rFonts w:ascii="Times New Roman" w:eastAsia="Times New Roman" w:hAnsi="Times New Roman"/>
          <w:lang w:eastAsia="de-DE"/>
        </w:rPr>
        <w:t xml:space="preserve"> ar</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ārstu</w:t>
      </w:r>
      <w:r>
        <w:rPr>
          <w:rFonts w:ascii="Times New Roman" w:eastAsia="Times New Roman" w:hAnsi="Times New Roman"/>
          <w:lang w:eastAsia="de-DE"/>
        </w:rPr>
        <w:t xml:space="preserve"> </w:t>
      </w:r>
      <w:r>
        <w:rPr>
          <w:rFonts w:ascii="Times New Roman" w:eastAsia="Times New Roman" w:hAnsi="Times New Roman"/>
          <w:spacing w:val="-1"/>
          <w:lang w:eastAsia="de-DE"/>
        </w:rPr>
        <w:t>vai</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farmaceitu.</w:t>
      </w:r>
      <w:r>
        <w:rPr>
          <w:rFonts w:ascii="Times New Roman" w:eastAsia="Times New Roman" w:hAnsi="Times New Roman"/>
          <w:spacing w:val="-5"/>
          <w:lang w:eastAsia="de-DE"/>
        </w:rPr>
        <w:t xml:space="preserve"> </w:t>
      </w:r>
      <w:r>
        <w:rPr>
          <w:rFonts w:ascii="Times New Roman" w:eastAsia="Times New Roman" w:hAnsi="Times New Roman"/>
          <w:lang w:eastAsia="de-DE"/>
        </w:rPr>
        <w:t xml:space="preserve">Tas </w:t>
      </w:r>
      <w:r>
        <w:rPr>
          <w:rFonts w:ascii="Times New Roman" w:eastAsia="Times New Roman" w:hAnsi="Times New Roman"/>
          <w:spacing w:val="-1"/>
          <w:lang w:eastAsia="de-DE"/>
        </w:rPr>
        <w:t>attiecas</w:t>
      </w:r>
      <w:r>
        <w:rPr>
          <w:rFonts w:ascii="Times New Roman" w:eastAsia="Times New Roman" w:hAnsi="Times New Roman"/>
          <w:lang w:eastAsia="de-DE"/>
        </w:rPr>
        <w:t xml:space="preserve"> </w:t>
      </w:r>
      <w:r>
        <w:rPr>
          <w:rFonts w:ascii="Times New Roman" w:eastAsia="Times New Roman" w:hAnsi="Times New Roman"/>
          <w:spacing w:val="-1"/>
          <w:lang w:eastAsia="de-DE"/>
        </w:rPr>
        <w:t>arī</w:t>
      </w:r>
      <w:r>
        <w:rPr>
          <w:rFonts w:ascii="Times New Roman" w:eastAsia="Times New Roman" w:hAnsi="Times New Roman"/>
          <w:spacing w:val="79"/>
          <w:lang w:eastAsia="de-DE"/>
        </w:rPr>
        <w:t xml:space="preserve"> </w:t>
      </w:r>
      <w:r>
        <w:rPr>
          <w:rFonts w:ascii="Times New Roman" w:eastAsia="Times New Roman" w:hAnsi="Times New Roman"/>
          <w:lang w:eastAsia="de-DE"/>
        </w:rPr>
        <w:t>uz</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iespējamām</w:t>
      </w:r>
      <w:r>
        <w:rPr>
          <w:rFonts w:ascii="Times New Roman" w:eastAsia="Times New Roman" w:hAnsi="Times New Roman"/>
          <w:spacing w:val="-4"/>
          <w:lang w:eastAsia="de-DE"/>
        </w:rPr>
        <w:t xml:space="preserve"> </w:t>
      </w:r>
      <w:r>
        <w:rPr>
          <w:rFonts w:ascii="Times New Roman" w:eastAsia="Times New Roman" w:hAnsi="Times New Roman"/>
          <w:spacing w:val="-1"/>
          <w:lang w:eastAsia="de-DE"/>
        </w:rPr>
        <w:t>blakusparādībām,</w:t>
      </w:r>
      <w:r>
        <w:rPr>
          <w:rFonts w:ascii="Times New Roman" w:eastAsia="Times New Roman" w:hAnsi="Times New Roman"/>
          <w:lang w:eastAsia="de-DE"/>
        </w:rPr>
        <w:t xml:space="preserve"> </w:t>
      </w:r>
      <w:r>
        <w:rPr>
          <w:rFonts w:ascii="Times New Roman" w:eastAsia="Times New Roman" w:hAnsi="Times New Roman"/>
          <w:spacing w:val="-1"/>
          <w:lang w:eastAsia="de-DE"/>
        </w:rPr>
        <w:t xml:space="preserve">kas </w:t>
      </w:r>
      <w:r>
        <w:rPr>
          <w:rFonts w:ascii="Times New Roman" w:eastAsia="Times New Roman" w:hAnsi="Times New Roman"/>
          <w:lang w:eastAsia="de-DE"/>
        </w:rPr>
        <w:t xml:space="preserve">nav </w:t>
      </w:r>
      <w:r>
        <w:rPr>
          <w:rFonts w:ascii="Times New Roman" w:eastAsia="Times New Roman" w:hAnsi="Times New Roman"/>
          <w:spacing w:val="-1"/>
          <w:lang w:eastAsia="de-DE"/>
        </w:rPr>
        <w:t>minētas</w:t>
      </w:r>
      <w:r>
        <w:rPr>
          <w:rFonts w:ascii="Times New Roman" w:eastAsia="Times New Roman" w:hAnsi="Times New Roman"/>
          <w:spacing w:val="-3"/>
          <w:lang w:eastAsia="de-DE"/>
        </w:rPr>
        <w:t xml:space="preserve"> </w:t>
      </w:r>
      <w:r>
        <w:rPr>
          <w:rFonts w:ascii="Times New Roman" w:eastAsia="Times New Roman" w:hAnsi="Times New Roman"/>
          <w:spacing w:val="-1"/>
          <w:lang w:eastAsia="de-DE"/>
        </w:rPr>
        <w:t>šajā</w:t>
      </w:r>
      <w:r>
        <w:rPr>
          <w:rFonts w:ascii="Times New Roman" w:eastAsia="Times New Roman" w:hAnsi="Times New Roman"/>
          <w:spacing w:val="-2"/>
          <w:lang w:eastAsia="de-DE"/>
        </w:rPr>
        <w:t xml:space="preserve"> </w:t>
      </w:r>
      <w:r>
        <w:rPr>
          <w:rFonts w:ascii="Times New Roman" w:eastAsia="Times New Roman" w:hAnsi="Times New Roman"/>
          <w:spacing w:val="-1"/>
          <w:lang w:eastAsia="de-DE"/>
        </w:rPr>
        <w:t>instrukcijā.</w:t>
      </w:r>
      <w:r>
        <w:rPr>
          <w:rFonts w:ascii="Times New Roman" w:eastAsia="Times New Roman" w:hAnsi="Times New Roman"/>
          <w:lang w:eastAsia="de-DE"/>
        </w:rPr>
        <w:t xml:space="preserve"> </w:t>
      </w:r>
      <w:r>
        <w:rPr>
          <w:rFonts w:ascii="Times New Roman" w:eastAsia="Times New Roman" w:hAnsi="Times New Roman"/>
          <w:spacing w:val="-1"/>
          <w:lang w:eastAsia="de-DE"/>
        </w:rPr>
        <w:t>Skatīt</w:t>
      </w:r>
      <w:r>
        <w:rPr>
          <w:rFonts w:ascii="Times New Roman" w:eastAsia="Times New Roman" w:hAnsi="Times New Roman"/>
          <w:spacing w:val="-2"/>
          <w:lang w:eastAsia="de-DE"/>
        </w:rPr>
        <w:t xml:space="preserve"> </w:t>
      </w:r>
      <w:r>
        <w:rPr>
          <w:rFonts w:ascii="Times New Roman" w:eastAsia="Times New Roman" w:hAnsi="Times New Roman"/>
          <w:lang w:eastAsia="de-DE"/>
        </w:rPr>
        <w:t>4. </w:t>
      </w:r>
      <w:r>
        <w:rPr>
          <w:rFonts w:ascii="Times New Roman" w:eastAsia="Times New Roman" w:hAnsi="Times New Roman"/>
          <w:spacing w:val="-1"/>
          <w:lang w:eastAsia="de-DE"/>
        </w:rPr>
        <w:t>punktu.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spacing w:val="-1"/>
          <w:lang w:eastAsia="de-DE"/>
        </w:rPr>
        <w:t>Šajā</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instrukcijā</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varat</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uzzināt: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1.</w:t>
      </w:r>
      <w:r>
        <w:rPr>
          <w:rFonts w:ascii="Times New Roman" w:eastAsia="Times New Roman" w:hAnsi="Times New Roman"/>
          <w:lang w:eastAsia="de-DE"/>
        </w:rPr>
        <w:tab/>
        <w:t>Kas ir Aripiprazole Sandoz tabletes un kādam nolūkam tās lieto</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2.</w:t>
      </w:r>
      <w:r>
        <w:rPr>
          <w:rFonts w:ascii="Times New Roman" w:eastAsia="Times New Roman" w:hAnsi="Times New Roman"/>
          <w:lang w:eastAsia="de-DE"/>
        </w:rPr>
        <w:tab/>
        <w:t>Kas Jums jāzina pirms Aripiprazole Sandoz tablešu lietošanas</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3.</w:t>
      </w:r>
      <w:r>
        <w:rPr>
          <w:rFonts w:ascii="Times New Roman" w:eastAsia="Times New Roman" w:hAnsi="Times New Roman"/>
          <w:lang w:eastAsia="de-DE"/>
        </w:rPr>
        <w:tab/>
        <w:t>Kā lietot Aripiprazole Sandoz</w:t>
      </w:r>
      <w:r>
        <w:t xml:space="preserve"> </w:t>
      </w:r>
      <w:r>
        <w:rPr>
          <w:rFonts w:ascii="Times New Roman" w:eastAsia="Times New Roman" w:hAnsi="Times New Roman"/>
          <w:lang w:eastAsia="de-DE"/>
        </w:rPr>
        <w:t>tabletes</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4.</w:t>
      </w:r>
      <w:r>
        <w:rPr>
          <w:rFonts w:ascii="Times New Roman" w:eastAsia="Times New Roman" w:hAnsi="Times New Roman"/>
          <w:lang w:eastAsia="de-DE"/>
        </w:rPr>
        <w:tab/>
        <w:t>Iespējamās blakusparādības</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5.</w:t>
      </w:r>
      <w:r>
        <w:rPr>
          <w:rFonts w:ascii="Times New Roman" w:eastAsia="Times New Roman" w:hAnsi="Times New Roman"/>
          <w:lang w:eastAsia="de-DE"/>
        </w:rPr>
        <w:tab/>
        <w:t>Kā uzglabāt Aripiprazole Sandoz tabletes</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6.</w:t>
      </w:r>
      <w:r>
        <w:rPr>
          <w:rFonts w:ascii="Times New Roman" w:eastAsia="Times New Roman" w:hAnsi="Times New Roman"/>
          <w:lang w:eastAsia="de-DE"/>
        </w:rPr>
        <w:tab/>
        <w:t>Iepakojuma saturs un cita informācija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1.</w:t>
      </w:r>
      <w:r>
        <w:rPr>
          <w:rFonts w:ascii="Times New Roman" w:eastAsia="Times New Roman" w:hAnsi="Times New Roman"/>
          <w:b/>
          <w:bCs/>
          <w:lang w:eastAsia="de-DE"/>
        </w:rPr>
        <w:tab/>
        <w:t>Kas ir Aripiprazole Sandoz</w:t>
      </w:r>
      <w:r>
        <w:t xml:space="preserve"> </w:t>
      </w:r>
      <w:r>
        <w:rPr>
          <w:rFonts w:ascii="Times New Roman" w:eastAsia="Times New Roman" w:hAnsi="Times New Roman"/>
          <w:b/>
          <w:bCs/>
          <w:lang w:eastAsia="de-DE"/>
        </w:rPr>
        <w:t>un kādam nolūkam to lieto</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w:t>
      </w:r>
      <w:r>
        <w:t xml:space="preserve"> </w:t>
      </w:r>
      <w:r>
        <w:rPr>
          <w:rFonts w:ascii="Times New Roman" w:eastAsia="Times New Roman" w:hAnsi="Times New Roman"/>
          <w:lang w:eastAsia="de-DE"/>
        </w:rPr>
        <w:t xml:space="preserve"> sastāvā esošā aktīvā viela ir aripiprazols, un tās ir antipsihotisko līdzekļu grupas zāles. Tās lieto, lai ārstētu pieaugušos un pusaudžus no 15 gadu vecuma, kam ir slimība ar šādiem raksturīgiem simptomiem, piemēram, dzird, redz vai jūt lietas, kuru patiesībā tur nav; aizdomīgums, kļūdaini ticējumi, nesakarīga runa vai uzvedība un emocionāls seklums. Cilvēki ar šādu stāvokli var izjust arī depresiju, vainas apziņu, trauksmi vai sasprindzinājumu.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lieto, lai ārstētu pieaugušos un pusaudžus no 13 gadu vecuma, kam ir tādi simptomi, kā piemēram, pārspīlēti pacilāts garastāvoklis, pārmērīgs enerģijas daudzums, miegam nepieciešams mazāk stundu nekā parasti, ātra runa un "ātras", trauksmainas idejas, paaugstināta aizkaitināmība. Šīs zāles palīdz pieaugušiem pacientiem, kas veiksmīgi ārstējušies ar Aripiprazole Sandoz, neatgriezties iepriekšējā stāvoklī.</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eastAsia="de-DE"/>
        </w:rPr>
      </w:pPr>
      <w:r>
        <w:rPr>
          <w:rFonts w:ascii="Times New Roman" w:eastAsia="Times New Roman" w:hAnsi="Times New Roman"/>
          <w:b/>
          <w:bCs/>
          <w:lang w:eastAsia="de-DE"/>
        </w:rPr>
        <w:t>2.</w:t>
      </w:r>
      <w:r>
        <w:rPr>
          <w:rFonts w:ascii="Times New Roman" w:eastAsia="Times New Roman" w:hAnsi="Times New Roman"/>
          <w:b/>
          <w:bCs/>
          <w:lang w:eastAsia="de-DE"/>
        </w:rPr>
        <w:tab/>
        <w:t>Kas Jums jāzina pirms Aripiprazole Sandoz</w:t>
      </w:r>
      <w:r>
        <w:t xml:space="preserve"> </w:t>
      </w:r>
      <w:r>
        <w:rPr>
          <w:rFonts w:ascii="Times New Roman" w:eastAsia="Times New Roman" w:hAnsi="Times New Roman"/>
          <w:b/>
          <w:bCs/>
          <w:lang w:eastAsia="de-DE"/>
        </w:rPr>
        <w:t>lietošanas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eastAsia="de-DE"/>
        </w:rPr>
      </w:pPr>
      <w:r>
        <w:rPr>
          <w:rFonts w:ascii="Times New Roman" w:eastAsia="Times New Roman" w:hAnsi="Times New Roman"/>
          <w:b/>
          <w:bCs/>
          <w:lang w:eastAsia="de-DE"/>
        </w:rPr>
        <w:t>Nelietojiet Aripiprazole Sandoz šādos gadījumos:</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ja Jums ir alerģija pret aripiprazolu vai kādu citu (6. punktā minēto) šo zāļu sastāvdaļu.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Brīdinājumi un piesardzība lietošanā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Pirms Aripiprazole Sandoz</w:t>
      </w:r>
      <w:r>
        <w:t xml:space="preserve"> </w:t>
      </w:r>
      <w:r>
        <w:rPr>
          <w:rFonts w:ascii="Times New Roman" w:eastAsia="Times New Roman" w:hAnsi="Times New Roman"/>
          <w:lang w:eastAsia="de-DE"/>
        </w:rPr>
        <w:t>lietošanas konsultējieties ar ārstu.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Ārstēšanas ar aripiprazolu laikā ir ziņots par pašnāvnieciskām domām un rīcību. Nekavējoties pastāstiet ārstam, ja Jums rodas domas vai sajūtas, ka Jūs varētu nodarīt sev ļaunu.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iCs/>
        </w:rPr>
        <w:t xml:space="preserve">Pirms </w:t>
      </w:r>
      <w:r>
        <w:rPr>
          <w:rFonts w:ascii="Times New Roman" w:eastAsia="Times New Roman" w:hAnsi="Times New Roman"/>
          <w:lang w:eastAsia="de-DE"/>
        </w:rPr>
        <w:t>Aripiprazole Sandoz</w:t>
      </w:r>
      <w:r>
        <w:rPr>
          <w:rFonts w:ascii="Times New Roman" w:hAnsi="Times New Roman"/>
          <w:iCs/>
        </w:rPr>
        <w:t xml:space="preserve"> lietošanas pastāstiet ārstam, ja Jums ir:</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augsts cukura līmenis asinīs (ar tādiem simptomiem kā pārmērīgas slāpes, urīna daudzuma palielināšanās, apetītes pieaugums un vājuma sajūta) vai cukura diabēts ģimenes anamnēzē;</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lastRenderedPageBreak/>
        <w:t>•</w:t>
      </w:r>
      <w:r>
        <w:rPr>
          <w:rFonts w:ascii="Times New Roman" w:eastAsia="Times New Roman" w:hAnsi="Times New Roman"/>
          <w:lang w:eastAsia="de-DE"/>
        </w:rPr>
        <w:tab/>
      </w:r>
      <w:r>
        <w:rPr>
          <w:rFonts w:ascii="Times New Roman" w:hAnsi="Times New Roman"/>
          <w:iCs/>
        </w:rPr>
        <w:t>krampji, jo tādā gadījumā ārstam vajadzētu Jūs pastiprināti novērot</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netīšas, neregulāras muskuļu kustības, sevišķi sejā;</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sirds un asinsvadu slimības, sirds un asinsvadu slimība agrāk kādam ģimenes loceklim, insults vai mikro insults, patoloģiskas asinsspiediena izmaiņas;</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asins recekļi vai to esamība ģimenes anamnēzē, jo asins recekļu veidošanos saista ar antipsihotisko līdzekļu lietošanu;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pastiprināta tieksme uz azartspēlēm pagātnē;</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 xml:space="preserve">Ja Jūs novērojat ķermeņa masas pieaugumu, neparastu kustību attīstību, miegainību, kas traucē veikt </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ikdienas darbus, vai jebkādas rīšanas grūtības vai alerģiskus simptomus, lūdzu informējiet ārstu.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Jūs esat gados vecāks pacients, kurš slimo ar demenci (atmiņas vai citu garīgu spēju zudums) vai kuram kādreiz bijis insults vai mikroinsults, tad Jums vai Jūsu piederīgajiem, vai aprūpētājam tas jāpaziņo ārstam.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Nekavējoties pastāstiet ārstam, ja Jums ir domas vai sajūtas, kas liek darīt sev pāri. Ārstēšanas ar aripiprazolu laikā ir ziņots par pašnāvnieciskām domām un rīcību.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Nekavējoties pastāstiet ārstam, ja Jums ir muskuļu stīvums vai nekustīgums ar augstu temperatūru, svīšanu, nestabilu garīgo stāvokli vai ļoti ātra vai neregulāra sirds darbība.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Pastāstiet ārstam, ja Jūs vai Jūsu ģimene/aprūpētājs pamana, ka Jums attīstās tieksmes vai kāre uzvesties sev neierastā veidā un Jūs nevarat pretoties impulsam, stimulam vai kārdinājumam veikt noteiktas darbības, kas var kaitēt Jums vai apkārtējiem. Šāda uzvedība tiek saukta par impulsu kontroles traucējumiem un tā var izpausties kā atkarība no azartspēlēm, pārmērīga ēšana vai naudas tērēšana, anormāli augsta dzimumtieksme vai uzmācīgas seksuālas domas vai jūtas.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Jūsu ārstam var būt nepieciešams pielāgot Jūsu zāļu devu vai pārtraukt zāļu lietošanu.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Aripiprazols var izraisīt miegainību, asinsspiediena pazemināšanos, pieceļoties stāvus, reiboni un izmaiņas spējā kustēties un noturēt līdzsvaru, kā rezultātā ir iespējama krišana. Ir jāievēro piesardzība, it īpaši tad, ja esat gados vecāks pacients vai Jums ir novājināts organisms.</w:t>
      </w:r>
    </w:p>
    <w:p>
      <w:pPr>
        <w:widowControl w:val="0"/>
        <w:kinsoku w:val="0"/>
        <w:overflowPunct w:val="0"/>
        <w:autoSpaceDE w:val="0"/>
        <w:autoSpaceDN w:val="0"/>
        <w:adjustRightInd w:val="0"/>
        <w:spacing w:after="0" w:line="240" w:lineRule="auto"/>
        <w:rPr>
          <w:rFonts w:ascii="Times New Roman" w:eastAsia="Times New Roman" w:hAnsi="Times New Roman"/>
          <w:b/>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Bērni un pusaudži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Šīs zāles nedrīkst lietot bērniem un pusaudžiem līdz 13 gadu vecumam. Nav zināms, vai šo zāļu lietošana šiem pacientiem ir droša un efektīva.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
          <w:lang w:eastAsia="de-DE"/>
        </w:rPr>
      </w:pPr>
      <w:r>
        <w:rPr>
          <w:rFonts w:ascii="Times New Roman" w:eastAsia="Times New Roman" w:hAnsi="Times New Roman"/>
          <w:b/>
          <w:lang w:eastAsia="de-DE"/>
        </w:rPr>
        <w:t xml:space="preserve">Citas zāles un Aripiprazole Sandoz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Pastāstiet ārstam vai farmaceitam par visām zālēm, kuras lietojat, pēdējā laikā esat lietojis vai varētu lietot,</w:t>
      </w:r>
      <w:r>
        <w:t xml:space="preserve"> </w:t>
      </w:r>
      <w:r>
        <w:rPr>
          <w:rFonts w:ascii="Times New Roman" w:eastAsia="Times New Roman" w:hAnsi="Times New Roman"/>
          <w:lang w:eastAsia="de-DE"/>
        </w:rPr>
        <w:t>tostarp arī par bezrecepšu zālēm.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Asinsspiedienu pazeminošas zāles: Aripiprazole Sandoz var pastiprināt asinsspiedienu pazeminošo zāļu efektu. Katrā ziņā informējiet ārstu, ja lietojat zāles asinsspiediena regulēšanai.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Lietojot Aripiprazole Sandoz vienlaicīgi ar dažām citām zālēm, ārstam var būt jākoriģē Jums lietojamā Aripiprazole Sandoz vai citu zāļu deva. Īpaši svarīgi ir pastāstīt ārstam par:</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zālēm sirds ritma regulācijai (piem., hinidīnu, amiodaronu, flekainīdu);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antidepresantiem vai augu izcelsmes preparātiem depresijas un trauksmes ārstēšanai (piem., fluoksetīnu, paroksetīnu, venlafaksīnu, asinszāli);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pretsēnīšu zālēm (piem., ketokonazolu, itrakonazolu);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dažām zālēm, kuras lieto HIV infekcijas ārstēšanai (piem., efivarenzu, nevirapīnu, kā arī proteāzes inhibitoriem (piem., indinavīru, ritonavīru));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pretkrampjulīdzekļiem epilepsijas lēkmju ārstēšanai (piem., karbamazepīnu, fenitoīnu, fenobarbitālu);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noteiktām antibiotikām, kuras lieto tuberkulozes ārstēšanai (rifabutīnu, rifampicīnu).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Šīs zāles var palielināt blakusparādību iespējamību vai pavājināt Aripiprazole Sandoz iedarbību. Ja, lietojot jebkuras šīs zāles vienlaicīgi ar Aripiprazole Sandoz, Jums rodas jebkādi neparasti simptomi, Jums ir jāvēršas pie ārsta.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Depresijas, ģeneralizētas trauksmes, obsesīvi kompulsīvo traucējumu un sociālās fobijas, kā arī migrēnas un sāpju ārstēšanai parasti tiek lietotas zāles, kuras paaugstina serotonīna līmeni: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triptāni, tramadols un triptofāns depresijas, ģeneralizētas trauksmes, obsesīvi kompulsīvo traucējumu (OKT) un sociālās fobijas, kā arī migrēnas un sāpju ārstēšanai;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selektīvie serotonīna atpakaļsaistīšanās inhibitori (SSAI) (piem., paroksetīns un fluoksetīns) depresijas, OKT, panikas un trauksmes ārstēšanai;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citi antidepresanti (piem., venlafaksīns un triptofāns) depresijas ārstēšanai;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tricikliskie līdzekļi (piem., klomipramīns un amitriptilīns) depresijas ārstēšanai;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asinszāle (Hypericum perforatum) kā augu izcelsmes preparāts depresijas vieglās formas ārstēšanai;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pretsāpju līdzekļi (piem., tramadols un petidīns) sāpju mazināšanai;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triptāni (piem., sumatriptāns un zolmitriptāns) migrēnas ārstēšanai.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Šīs zāles var palielināt blakusparādību iespējamību; ja, lietojot jebkuras šīs zāles vienlaicīgi ar Aripiprazole Sandoz, Jums rodas jebkādi neparasti simptomi, Jums ir jāvēršas pie ārsta.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r>
        <w:rPr>
          <w:rFonts w:ascii="Times New Roman" w:eastAsia="Times New Roman" w:hAnsi="Times New Roman"/>
          <w:b/>
          <w:bCs/>
          <w:lang w:eastAsia="de-DE"/>
        </w:rPr>
        <w:t>Aripiprazole Sandoz kopā ar uzturu, dzērienu un alkoholu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Šīs zāles var lietot neatkarīgi no ēdienreizēm.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Ir jāizvairās no alkohola lietošanas.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Grūtniecība, barošana ar krūti un fertilitāte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Cs/>
          <w:lang w:eastAsia="de-DE"/>
        </w:rPr>
        <w:t xml:space="preserve">Ja Jūs </w:t>
      </w:r>
      <w:r>
        <w:rPr>
          <w:rFonts w:ascii="Times New Roman" w:eastAsia="Times New Roman" w:hAnsi="Times New Roman"/>
          <w:lang w:eastAsia="de-DE"/>
        </w:rPr>
        <w:t>esat grūtniece vai barojat bērnu ar krūti, ja domājat, ka Jums varētu būt grūtniecība, vai plānojat grūtniecību, pirms šo zāļu lietošanas konsultējieties ar ārstu.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Jaundzimušajiem bērniem, kuri dzimuši mātēm, kuras lietojušas Aripiprazole Sandoz pēdējā grūtniecības trimestrī (grūtniecības pēdējos trīs mēnešos), varētu būt šādi simptomi: trīce, muskuļu stīvums un/vai vājums, miegainība, uzbudinājums, apgrūtināta elpošana, barības uzņemšanas grūtības. Ja Jūsu bērnam parādās kāds no šiem simptomiem, iespējams Jums nepieciešams sazināties ar Jūsu ārstu.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Ja lietojat Aripiprazole Sandoz, Jūsu ārsts, ņemot vērā ieguvumu Jums no ārstēšanas un ieguvu mazulim no barošanas ar krūti, apspriedīs ar Jums, vai barot mazuli ar krūti. Nedrīkst vienlaicīgi ārstēties un barot ar krūti. Ja lietojat šīs zāles, konsultējieties ar savu ārstu par labāko veidu, kā barot savu mazuli.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Transportlīdzekļu vadīšana un mehānismu apkalpošana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Šo zāļu lietošanas laikā ir iespējams reibonis un redzes traucējumi (skatīt 4. punktu). Tas jāņem vērā gadījumos, kad ir nepieciešams saglabāt modrību, piemēram, vadot transportlīdzekli vai rīkojoties ar mehānismiem.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Aripiprazole Sandoz</w:t>
      </w:r>
      <w:r>
        <w:t xml:space="preserve"> </w:t>
      </w:r>
      <w:r>
        <w:rPr>
          <w:rFonts w:ascii="Times New Roman" w:eastAsia="Times New Roman" w:hAnsi="Times New Roman"/>
          <w:b/>
          <w:bCs/>
          <w:lang w:eastAsia="de-DE"/>
        </w:rPr>
        <w:t>tabletes satur laktozi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ārsts ir teicis, ka Jums ir kāda cukura nepanesība, pirms lietojat šīs zāles, konsultējieties ar ārstu.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3.</w:t>
      </w:r>
      <w:r>
        <w:rPr>
          <w:rFonts w:ascii="Times New Roman" w:eastAsia="Times New Roman" w:hAnsi="Times New Roman"/>
          <w:b/>
          <w:bCs/>
          <w:lang w:eastAsia="de-DE"/>
        </w:rPr>
        <w:tab/>
        <w:t>Kā lietot Aripiprazole Sandoz</w:t>
      </w:r>
      <w:r>
        <w:t xml:space="preserve"> </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Vienmēr lietojiet šīs zāles tieši tā, kā ārsts vai farmaceits Jums teicis. Neskaidrību gadījumā vaicājiet ārstam vai farmaceitam.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Ieteicamā deva pieaugušajiem ir 15 mg vienu reizi dienā</w:t>
      </w:r>
      <w:r>
        <w:rPr>
          <w:rFonts w:ascii="Times New Roman" w:eastAsia="Times New Roman" w:hAnsi="Times New Roman"/>
          <w:lang w:eastAsia="de-DE"/>
        </w:rPr>
        <w:t xml:space="preserve">. Tomēr ārsts var parakstīt Jums mazāku </w:t>
      </w:r>
      <w:r>
        <w:rPr>
          <w:rFonts w:ascii="Times New Roman" w:eastAsia="Times New Roman" w:hAnsi="Times New Roman"/>
          <w:lang w:eastAsia="de-DE"/>
        </w:rPr>
        <w:lastRenderedPageBreak/>
        <w:t>vai lielāku devu, maksimāli līdz 30 mg vienu reizi dienā.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Lietošana bērniem un pusaudžiem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Aripiprazole Sandoz ārstēšanu var uzsākt ar mazu devu. Devu pakāpeniski palielina, līdz tiek sasniegta </w:t>
      </w:r>
      <w:r>
        <w:rPr>
          <w:rFonts w:ascii="Times New Roman" w:eastAsia="Times New Roman" w:hAnsi="Times New Roman"/>
          <w:b/>
          <w:bCs/>
          <w:lang w:eastAsia="de-DE"/>
        </w:rPr>
        <w:t>ieteicamā deva pusaudžiem – 10 mg vienu reizi dienā</w:t>
      </w:r>
      <w:r>
        <w:rPr>
          <w:rFonts w:ascii="Times New Roman" w:eastAsia="Times New Roman" w:hAnsi="Times New Roman"/>
          <w:lang w:eastAsia="de-DE"/>
        </w:rPr>
        <w:t>. Tomēr ārsts var parakstīt Jums mazāku vai lielāku devu, maksimāli līdz 30 mg vienu reizi dienā.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Jums liekas, ka Aripiprazole Sandoz iedarbība ir par stipru vai par vāju, konsultējieties ar ārstu vai farmaceitu.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Centieties lietot Aripiprazole Sandoz katru dienu vienā un tajā pašā laikā. </w:t>
      </w:r>
      <w:r>
        <w:rPr>
          <w:rFonts w:ascii="Times New Roman" w:eastAsia="Times New Roman" w:hAnsi="Times New Roman"/>
          <w:lang w:eastAsia="de-DE"/>
        </w:rPr>
        <w:t>Tam nav nozīmes, vai lietojat šīs zāles ar ēdienu vai tukšā dūšā. Tablete vienmēr jānorij vesela, uzdzerot ūdeni.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Pat ja Jūs jūtaties labāk, </w:t>
      </w:r>
      <w:r>
        <w:rPr>
          <w:rFonts w:ascii="Times New Roman" w:eastAsia="Times New Roman" w:hAnsi="Times New Roman"/>
          <w:lang w:eastAsia="de-DE"/>
        </w:rPr>
        <w:t>nemainiet Aripiprazole Sandoz devu un nepārtrauciet to lietošanu bez ārsta konsultācijas.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Ja esat lietojis Aripiprazole Sandoz vairāk nekā noteikts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Jūs aptverat, ka esat lietojis vairāk Aripiprazole Sandoz  nekā ārsts to ieteica (vai kāds cits ir lietojis Jūsu Aripiprazole Sandoz ), tūlīt paziņojiet to savam ārstam. Ja tas nav iespējams, jāgriežas tuvākajā slimnīcā, ņemot līdzi iepakojumu.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Pacientiem, kas ir lietojuši pārāk daudz aripiprazola, ir bijuši šādi simptomi: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strauja sirdsdarbība, uzbudinājums/agresivitāte, runas problēmas;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neparastas kustības (jo īpaši sejas vai mēles kustības) un apziņas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Citi iespējamie simptomi ir:</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akūts apjukums, krampji (epilepsija), koma, drudža, paātrinātas elpošanas, svīšanas kombinācija;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muskuļu stīvums un vājums vai miegainība, palēnināta elpošana, smakšana, augsts vai zems asinsspiediens, sirdsdarbības traucējumi.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konstatējat jebko no iepriekš minētā, nekavējoties sazinieties ar ārstu vai slimnīcu.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Ja esat aizmirsis lietot Aripiprazole Sandoz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aizmirsāt iedzert zāļu devu, iedzeriet izlaisto devu tiklīdz Jūs to atceraties, bet nelietojiet divas devas vienā dienā.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
          <w:lang w:eastAsia="de-DE"/>
        </w:rPr>
      </w:pPr>
      <w:r>
        <w:rPr>
          <w:rFonts w:ascii="Times New Roman" w:eastAsia="Times New Roman" w:hAnsi="Times New Roman"/>
          <w:b/>
          <w:lang w:eastAsia="de-DE"/>
        </w:rPr>
        <w:t xml:space="preserve">Ja pārtraucat lietot Aripiprazole Sandoz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Nepārtrauciet ārstēšanos tikai tāpēc, ka jūtaties labāk. Ir svarīgi turpināt lietot Aripiprazole Sandoz tik ilgi, cik to ir noteicis ārsts.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 Jums ir kādi jautājumi par šo zāļu lietošanu, jautājiet ārstam vai farmaceitam.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w:t>
      </w:r>
      <w:r>
        <w:rPr>
          <w:rFonts w:ascii="Times New Roman" w:eastAsia="Times New Roman" w:hAnsi="Times New Roman"/>
          <w:b/>
          <w:bCs/>
          <w:lang w:eastAsia="de-DE"/>
        </w:rPr>
        <w:tab/>
        <w:t>Iespējamās blakusparādības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Tāpat kā visas zāles, šīs zāles var izraisīt blakusparādības, kaut arī ne visiem tās izpaužas.</w:t>
      </w:r>
    </w:p>
    <w:p>
      <w:pPr>
        <w:widowControl w:val="0"/>
        <w:spacing w:after="0" w:line="240" w:lineRule="auto"/>
        <w:rPr>
          <w:rFonts w:ascii="Times New Roman" w:eastAsia="Times New Roman" w:hAnsi="Times New Roman"/>
          <w:color w:val="000000"/>
        </w:rPr>
      </w:pPr>
    </w:p>
    <w:p>
      <w:pPr>
        <w:autoSpaceDE w:val="0"/>
        <w:autoSpaceDN w:val="0"/>
        <w:adjustRightInd w:val="0"/>
        <w:spacing w:after="0" w:line="240" w:lineRule="auto"/>
        <w:rPr>
          <w:rFonts w:ascii="Times New Roman" w:eastAsia="Times New Roman" w:hAnsi="Times New Roman"/>
          <w:iCs/>
          <w:color w:val="000000"/>
        </w:rPr>
      </w:pPr>
      <w:r>
        <w:rPr>
          <w:rFonts w:ascii="Times New Roman" w:eastAsia="Times New Roman" w:hAnsi="Times New Roman"/>
          <w:iCs/>
          <w:color w:val="000000"/>
        </w:rPr>
        <w:t>Biežas blakusparādības (iespējamas līdz 1 no 10 cilvēkiem):</w:t>
      </w:r>
    </w:p>
    <w:p>
      <w:pPr>
        <w:autoSpaceDE w:val="0"/>
        <w:autoSpaceDN w:val="0"/>
        <w:adjustRightInd w:val="0"/>
        <w:spacing w:after="0" w:line="240" w:lineRule="auto"/>
        <w:ind w:left="567" w:hanging="567"/>
        <w:rPr>
          <w:rFonts w:ascii="Times New Roman" w:eastAsia="Times New Roman" w:hAnsi="Times New Roman"/>
          <w:iCs/>
          <w:color w:val="000000"/>
        </w:rPr>
      </w:pPr>
    </w:p>
    <w:p>
      <w:pPr>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w:t>
      </w:r>
      <w:r>
        <w:rPr>
          <w:rFonts w:ascii="Times New Roman" w:eastAsia="Times New Roman" w:hAnsi="Times New Roman"/>
          <w:color w:val="000000"/>
        </w:rPr>
        <w:tab/>
        <w:t>cukura diabēts,</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miega traucējumi,</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trauksmes sajūta,</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nemierīguma sajūta un nespēja saglabāt mieru, grūtības mierīgi nosēdēt,</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t>akatīzija (nepatīkama iekšēja nemiera sajūta un nepārvarama nepieciešamība nepārtraukti pārvietoties),</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nekontrolējamas kustības (raustīšanās vai locīšanās),</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lastRenderedPageBreak/>
        <w:t>•</w:t>
      </w:r>
      <w:r>
        <w:rPr>
          <w:rFonts w:ascii="Times New Roman" w:eastAsia="Times New Roman" w:hAnsi="Times New Roman"/>
          <w:color w:val="000000"/>
        </w:rPr>
        <w:tab/>
      </w:r>
      <w:r>
        <w:rPr>
          <w:rFonts w:ascii="Times New Roman" w:eastAsia="Times New Roman" w:hAnsi="Times New Roman"/>
          <w:color w:val="000000"/>
          <w:lang w:eastAsia="en-GB"/>
        </w:rPr>
        <w:t>trīce,</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galvassāpes,</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nogurums,</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color w:val="000000"/>
        </w:rPr>
        <w:t>•</w:t>
      </w:r>
      <w:r>
        <w:rPr>
          <w:rFonts w:ascii="Times New Roman" w:eastAsia="Times New Roman" w:hAnsi="Times New Roman"/>
          <w:color w:val="000000"/>
        </w:rPr>
        <w:tab/>
        <w:t>miegainība,</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ģībšanas sajūta,</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drebuļi un redzes miglošanās,</w:t>
      </w:r>
    </w:p>
    <w:p>
      <w:pPr>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w:t>
      </w:r>
      <w:r>
        <w:rPr>
          <w:rFonts w:ascii="Times New Roman" w:eastAsia="Times New Roman" w:hAnsi="Times New Roman"/>
          <w:color w:val="000000"/>
        </w:rPr>
        <w:tab/>
        <w:t>retāka vai apgrūtināta vēdera izeja,</w:t>
      </w:r>
    </w:p>
    <w:p>
      <w:pPr>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w:t>
      </w:r>
      <w:r>
        <w:rPr>
          <w:rFonts w:ascii="Times New Roman" w:eastAsia="Times New Roman" w:hAnsi="Times New Roman"/>
          <w:color w:val="000000"/>
        </w:rPr>
        <w:tab/>
        <w:t>gremošanas traucējumi,</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t>slikta dūša,</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lielāks siekalu daudzums mutē nekā parasti,</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r>
      <w:r>
        <w:rPr>
          <w:rFonts w:ascii="Times New Roman" w:eastAsia="Times New Roman" w:hAnsi="Times New Roman"/>
          <w:color w:val="000000"/>
          <w:lang w:eastAsia="en-GB"/>
        </w:rPr>
        <w:t>vemšana,</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rPr>
        <w:t>•</w:t>
      </w:r>
      <w:r>
        <w:rPr>
          <w:rFonts w:ascii="Times New Roman" w:eastAsia="Times New Roman" w:hAnsi="Times New Roman"/>
          <w:color w:val="000000"/>
        </w:rPr>
        <w:tab/>
        <w:t>noguruma sajūta,</w:t>
      </w:r>
    </w:p>
    <w:p>
      <w:pPr>
        <w:autoSpaceDE w:val="0"/>
        <w:autoSpaceDN w:val="0"/>
        <w:adjustRightInd w:val="0"/>
        <w:spacing w:after="0" w:line="240" w:lineRule="auto"/>
        <w:ind w:left="567" w:hanging="567"/>
        <w:rPr>
          <w:rFonts w:ascii="Times New Roman" w:eastAsia="Times New Roman" w:hAnsi="Times New Roman"/>
          <w:iCs/>
          <w:color w:val="000000"/>
        </w:rPr>
      </w:pPr>
    </w:p>
    <w:p>
      <w:pPr>
        <w:spacing w:after="0" w:line="240" w:lineRule="auto"/>
        <w:rPr>
          <w:rFonts w:ascii="Times New Roman" w:eastAsia="Times New Roman" w:hAnsi="Times New Roman"/>
          <w:iCs/>
          <w:color w:val="000000"/>
        </w:rPr>
      </w:pPr>
      <w:r>
        <w:rPr>
          <w:rFonts w:ascii="Times New Roman" w:eastAsia="Times New Roman" w:hAnsi="Times New Roman"/>
          <w:iCs/>
          <w:color w:val="000000"/>
        </w:rPr>
        <w:t>Retākas blakusparādības (iespējamas līdz 1 no 100 cilvēkiem):</w:t>
      </w:r>
    </w:p>
    <w:p>
      <w:pPr>
        <w:autoSpaceDE w:val="0"/>
        <w:autoSpaceDN w:val="0"/>
        <w:adjustRightInd w:val="0"/>
        <w:spacing w:after="0" w:line="240" w:lineRule="auto"/>
        <w:ind w:left="567" w:hanging="567"/>
        <w:rPr>
          <w:rFonts w:ascii="Times New Roman" w:eastAsia="Times New Roman" w:hAnsi="Times New Roman"/>
          <w:iCs/>
          <w:color w:val="000000"/>
        </w:rPr>
      </w:pP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palielināta vai pazemināta prolaktīna (hormons) koncentrācija asinīs,</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pārlieks cukura daudzums asinīs,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depresija,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izmainīta vai pastiprināta seksuālā dziņa,</w:t>
      </w:r>
    </w:p>
    <w:p>
      <w:pPr>
        <w:autoSpaceDE w:val="0"/>
        <w:autoSpaceDN w:val="0"/>
        <w:adjustRightInd w:val="0"/>
        <w:spacing w:after="0" w:line="240" w:lineRule="auto"/>
        <w:ind w:left="567" w:hanging="567"/>
        <w:rPr>
          <w:rFonts w:ascii="Times New Roman" w:eastAsia="Times New Roman" w:hAnsi="Times New Roman"/>
          <w:lang w:eastAsia="en-GB"/>
        </w:rPr>
      </w:pPr>
      <w:r>
        <w:rPr>
          <w:rFonts w:ascii="Times New Roman" w:eastAsia="Times New Roman" w:hAnsi="Times New Roman"/>
          <w:iCs/>
          <w:color w:val="000000"/>
        </w:rPr>
        <w:t>•</w:t>
      </w:r>
      <w:r>
        <w:rPr>
          <w:rFonts w:ascii="Times New Roman" w:eastAsia="Times New Roman" w:hAnsi="Times New Roman"/>
          <w:iCs/>
          <w:color w:val="000000"/>
        </w:rPr>
        <w:tab/>
      </w:r>
      <w:r>
        <w:rPr>
          <w:rFonts w:ascii="Times New Roman" w:eastAsia="Times New Roman" w:hAnsi="Times New Roman"/>
          <w:lang w:eastAsia="en-GB"/>
        </w:rPr>
        <w:t>nekontrolējamas mutes, mēles vai locekļu kustības (tardīvā diskinēzija),</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kustību īpatnības izraisoši muskuļu darbības traucējumi (distonija),</w:t>
      </w:r>
    </w:p>
    <w:p>
      <w:pPr>
        <w:numPr>
          <w:ilvl w:val="0"/>
          <w:numId w:val="20"/>
        </w:num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nemierīgo kāju sindroms,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redzes dubultošanās,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acs jutība pret gaismu,</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ātra sirdsdarbība,</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asinsspiediena krišanās pieceļoties, kas izraisa reiboni, ģībšanas sajūtu vai samaņas zudumu,</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žagas.</w:t>
      </w:r>
    </w:p>
    <w:p>
      <w:pPr>
        <w:autoSpaceDE w:val="0"/>
        <w:autoSpaceDN w:val="0"/>
        <w:adjustRightInd w:val="0"/>
        <w:spacing w:after="0" w:line="240" w:lineRule="auto"/>
        <w:ind w:left="567" w:hanging="567"/>
        <w:rPr>
          <w:rFonts w:ascii="Times New Roman" w:eastAsia="Times New Roman" w:hAnsi="Times New Roman"/>
          <w:iCs/>
          <w:color w:val="000000"/>
          <w:szCs w:val="20"/>
        </w:rPr>
      </w:pPr>
    </w:p>
    <w:p>
      <w:pPr>
        <w:spacing w:after="0" w:line="240" w:lineRule="auto"/>
        <w:rPr>
          <w:rFonts w:ascii="Times New Roman" w:eastAsia="Times New Roman" w:hAnsi="Times New Roman"/>
          <w:iCs/>
          <w:color w:val="000000"/>
        </w:rPr>
      </w:pPr>
      <w:r>
        <w:rPr>
          <w:rFonts w:ascii="Times New Roman" w:eastAsia="Times New Roman" w:hAnsi="Times New Roman"/>
          <w:iCs/>
          <w:color w:val="000000"/>
        </w:rPr>
        <w:t>Pēc aripiprazola iekšķīgi lietojamās formas izplatīšanas uzsākšanas ir ziņots par zemāk minētajām blakusparādībām, taču to biežums nav zināms:</w:t>
      </w:r>
    </w:p>
    <w:p>
      <w:pPr>
        <w:autoSpaceDE w:val="0"/>
        <w:autoSpaceDN w:val="0"/>
        <w:adjustRightInd w:val="0"/>
        <w:spacing w:after="0" w:line="240" w:lineRule="auto"/>
        <w:ind w:left="567" w:hanging="567"/>
        <w:rPr>
          <w:rFonts w:ascii="Times New Roman" w:eastAsia="Times New Roman" w:hAnsi="Times New Roman"/>
          <w:iCs/>
          <w:color w:val="000000"/>
        </w:rPr>
      </w:pP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zems balto asinsķermenīšu skaits,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zems trombocītu skaits,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alerģiska reakcija (piem., mutes, mēles, sejas un rīkles pietūkums, nieze, nātrene),</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cukura diabēta iestāšanās vai saasināšanās, ketoacidoze (ketoni asinīs un urīnā) vai koma,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palielināts cukura daudzums asinīs,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nepietiekams nātrija daudzums asinīs,</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apetītes zudums (anoreksija),</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svara zudums,</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svara pieaugums,</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domas par pašnāvību, pašnāvības mēģinājums un pašnāvība,</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agresivitāte,</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uzbudinājums,</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nervozitāte,</w:t>
      </w:r>
    </w:p>
    <w:p>
      <w:pPr>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iCs/>
          <w:color w:val="000000"/>
        </w:rPr>
        <w:t>•</w:t>
      </w:r>
      <w:r>
        <w:rPr>
          <w:rFonts w:ascii="Times New Roman" w:eastAsia="Times New Roman" w:hAnsi="Times New Roman"/>
          <w:iCs/>
          <w:color w:val="000000"/>
        </w:rPr>
        <w:tab/>
        <w:t>kombinācijā drudzis, muskuļu stīvums, paātrināta elpošana, svīšana, apziņas traucējumi un pēkšņas asinsspiediena un sirdsdarbības izmaiņas, samaņas zudums (ļaundabīgais neiroleptiskais sindroms),</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krampji,</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serotonīna sindroms (reakcija, kura var izraisīt lielas laimes sajūtu, miegainumu, neveiklumu, nemierīgumu, dzēruma sajūtu, drudzi, svīšanu vai muskuļu saspringumu),</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runas traucējumi,</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acs ābolu fiksācija vienā pozīcijā,</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pēkšņa, neizskaidrojama nāve,</w:t>
      </w:r>
    </w:p>
    <w:p>
      <w:pPr>
        <w:autoSpaceDE w:val="0"/>
        <w:autoSpaceDN w:val="0"/>
        <w:adjustRightInd w:val="0"/>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iCs/>
          <w:color w:val="000000"/>
        </w:rPr>
        <w:t>•</w:t>
      </w:r>
      <w:r>
        <w:rPr>
          <w:rFonts w:ascii="Times New Roman" w:eastAsia="Times New Roman" w:hAnsi="Times New Roman"/>
          <w:iCs/>
          <w:color w:val="000000"/>
        </w:rPr>
        <w:tab/>
      </w:r>
      <w:r>
        <w:rPr>
          <w:rFonts w:ascii="Times New Roman" w:eastAsia="Times New Roman" w:hAnsi="Times New Roman"/>
          <w:color w:val="000000"/>
          <w:lang w:eastAsia="en-GB"/>
        </w:rPr>
        <w:t>dzīvībai bīstami neregulāra sirdsdarbība,</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sirdslēkme,</w:t>
      </w:r>
    </w:p>
    <w:p>
      <w:pPr>
        <w:autoSpaceDE w:val="0"/>
        <w:autoSpaceDN w:val="0"/>
        <w:adjustRightInd w:val="0"/>
        <w:spacing w:after="0" w:line="240" w:lineRule="auto"/>
        <w:ind w:left="567" w:hanging="567"/>
        <w:rPr>
          <w:rFonts w:ascii="Times New Roman" w:eastAsia="Times New Roman" w:hAnsi="Times New Roman"/>
          <w:iCs/>
          <w:color w:val="000000"/>
        </w:rPr>
      </w:pPr>
      <w:r>
        <w:rPr>
          <w:rFonts w:ascii="Times New Roman" w:eastAsia="Times New Roman" w:hAnsi="Times New Roman"/>
          <w:iCs/>
          <w:color w:val="000000"/>
        </w:rPr>
        <w:t>•</w:t>
      </w:r>
      <w:r>
        <w:rPr>
          <w:rFonts w:ascii="Times New Roman" w:eastAsia="Times New Roman" w:hAnsi="Times New Roman"/>
          <w:iCs/>
          <w:color w:val="000000"/>
        </w:rPr>
        <w:tab/>
        <w:t>palēnināta sirdsdarbība,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lastRenderedPageBreak/>
        <w:t>•</w:t>
      </w:r>
      <w:r>
        <w:rPr>
          <w:rFonts w:ascii="Times New Roman" w:eastAsia="Times New Roman" w:hAnsi="Times New Roman"/>
          <w:iCs/>
          <w:color w:val="000000"/>
          <w:szCs w:val="20"/>
        </w:rPr>
        <w:tab/>
        <w:t>asins recekļi vēnās, sevišķi kāju vēnās (var būt tādi simptomi kā pietūkums, sāpes un apsārtums), kuri pa asinsvadiem var nokļūt plaušās, radot sāpes krūtīs un grūtības elpot (ja novērojat kādu no šiem simptomiem, nekavējoties lūdziet medicīnisko palīdzību),</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augsts asinsspiediens,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samaņas zudums,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nejauša ēdiena ieelpošana ar pneimonijas (plaušu infekcijas) risku,</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muskuļu spazmas balsenes rajonā,</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aizkuņģa dziedzera iekaisums,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rīšanas grūtības,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caureja,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diskomforta sajūta vēderā,</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diskomforta sajūta kuņģī,</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aknu mazspēja,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aknu iekaisums,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ādas un acu baltumu dzelte,</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ziņojumi par patoloģiskiem aknu testu rādītājiem,</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ādas izsitumi,</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ādas jutība pret gaismu,</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plikpaurība,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pastiprināta svīšana,</w:t>
      </w:r>
    </w:p>
    <w:p>
      <w:pPr>
        <w:numPr>
          <w:ilvl w:val="0"/>
          <w:numId w:val="20"/>
        </w:num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nopietnas alerģiskas reakcijas (piemēram, zāļu izraisīta reakcija ar eozinofīliju un sistēmiskiem simptomiem (DRESS). DRESS sākotnēji izpaužas kā gripai līdzīgi simptomi ar izsitumiem uz sejas un pēc tam ar plašākiem izsitumiem, augstu temperatūru, palielinātiem limfmezgliem, paaugstinātiem aknu enzīmu rādītājiem asins analīzēs un viena tipa balto asins šūnu daudzuma palielināšanos (eozinofīliju),</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patoloģisks muskuļu vājums, kas var izraisīt nieru darbības traucējumus,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muskuļu sāpes,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stīvums,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patvaļīga urīna noplūde (nesaturēšana),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apgrūtināta urinēšana,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zāļu lietošanas pārtraukšanas simptomi jaundzimušajiem gadījumā, ja viņi ir bijuši pakļauti preparāta iedarbībai grūtniecības laikā,</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ilgstoša un/vai sāpīga erekcija,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ķermeņa temperatūras regulācijas problēmas vai pārkaršana,</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sāpes krūškurvī,</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plaukstu, potīšu vai pēdu pietūkums,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asins izmeklējumos: cukura koncentrācijas svārstības, paaugstināts glikolizētā hemoglobīna līmenis,</w:t>
      </w:r>
    </w:p>
    <w:p>
      <w:pPr>
        <w:autoSpaceDE w:val="0"/>
        <w:autoSpaceDN w:val="0"/>
        <w:adjustRightInd w:val="0"/>
        <w:spacing w:after="0" w:line="240" w:lineRule="auto"/>
        <w:ind w:left="567"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nespēja pretoties impulsam, veikt darbības, kas varētu nodarīt kaitējumu Jums vai kādam citam, tajā skaitā:</w:t>
      </w:r>
    </w:p>
    <w:p>
      <w:pPr>
        <w:autoSpaceDE w:val="0"/>
        <w:autoSpaceDN w:val="0"/>
        <w:adjustRightInd w:val="0"/>
        <w:spacing w:after="0" w:line="240" w:lineRule="auto"/>
        <w:ind w:left="851"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spēcīga tieksme uz azartspēlēm, neņemot vērā sekas, ko tās rada personīgajā vai ģimenes dzīvē;</w:t>
      </w:r>
    </w:p>
    <w:p>
      <w:pPr>
        <w:autoSpaceDE w:val="0"/>
        <w:autoSpaceDN w:val="0"/>
        <w:adjustRightInd w:val="0"/>
        <w:spacing w:after="0" w:line="240" w:lineRule="auto"/>
        <w:ind w:left="851"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izmainīta vai palielināta seksuāla interese un uzvedība, kas Jums vai citiem rada vērā ņemamas bažas, piemēram, paaugstināta dzimumtieksme;</w:t>
      </w:r>
    </w:p>
    <w:p>
      <w:pPr>
        <w:autoSpaceDE w:val="0"/>
        <w:autoSpaceDN w:val="0"/>
        <w:adjustRightInd w:val="0"/>
        <w:spacing w:after="0" w:line="240" w:lineRule="auto"/>
        <w:ind w:left="851"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nekontrolējama pārmērīga iepirkšanās;</w:t>
      </w:r>
    </w:p>
    <w:p>
      <w:pPr>
        <w:autoSpaceDE w:val="0"/>
        <w:autoSpaceDN w:val="0"/>
        <w:adjustRightInd w:val="0"/>
        <w:spacing w:after="0" w:line="240" w:lineRule="auto"/>
        <w:ind w:left="851"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pārēšanās (liela ēdiena daudzuma uzņemšana īsā laika periodā) vai kompulsīva ēšana (neierasti liela ēdiena daudzuma ēšana, vairāk kā nepieciešams izsalkuma remdināšanai);</w:t>
      </w:r>
    </w:p>
    <w:p>
      <w:pPr>
        <w:autoSpaceDE w:val="0"/>
        <w:autoSpaceDN w:val="0"/>
        <w:adjustRightInd w:val="0"/>
        <w:spacing w:after="0" w:line="240" w:lineRule="auto"/>
        <w:ind w:left="851" w:hanging="567"/>
        <w:rPr>
          <w:rFonts w:ascii="Times New Roman" w:eastAsia="Times New Roman" w:hAnsi="Times New Roman"/>
          <w:iCs/>
          <w:color w:val="000000"/>
          <w:szCs w:val="20"/>
        </w:rPr>
      </w:pPr>
      <w:r>
        <w:rPr>
          <w:rFonts w:ascii="Times New Roman" w:eastAsia="Times New Roman" w:hAnsi="Times New Roman"/>
          <w:iCs/>
          <w:color w:val="000000"/>
          <w:szCs w:val="20"/>
        </w:rPr>
        <w:t>-</w:t>
      </w:r>
      <w:r>
        <w:rPr>
          <w:rFonts w:ascii="Times New Roman" w:eastAsia="Times New Roman" w:hAnsi="Times New Roman"/>
          <w:iCs/>
          <w:color w:val="000000"/>
          <w:szCs w:val="20"/>
        </w:rPr>
        <w:tab/>
        <w:t>nosliece uz klaiņošanu.</w:t>
      </w:r>
    </w:p>
    <w:p>
      <w:pPr>
        <w:autoSpaceDE w:val="0"/>
        <w:autoSpaceDN w:val="0"/>
        <w:adjustRightInd w:val="0"/>
        <w:spacing w:after="0" w:line="240" w:lineRule="auto"/>
        <w:rPr>
          <w:rFonts w:ascii="Times New Roman" w:eastAsia="Times New Roman" w:hAnsi="Times New Roman"/>
          <w:iCs/>
          <w:color w:val="000000"/>
          <w:szCs w:val="20"/>
        </w:rPr>
      </w:pPr>
      <w:r>
        <w:rPr>
          <w:rFonts w:ascii="Times New Roman" w:eastAsia="Times New Roman" w:hAnsi="Times New Roman"/>
          <w:iCs/>
          <w:color w:val="000000"/>
          <w:szCs w:val="20"/>
        </w:rPr>
        <w:t>Pastāstiet ārstam, ja Jums parādās šāda uzvedība. Ārsts ar Jums apspriedīs veidus, kā kontrolēt vai mazināt šos simptomus.</w:t>
      </w:r>
    </w:p>
    <w:p>
      <w:pPr>
        <w:autoSpaceDE w:val="0"/>
        <w:autoSpaceDN w:val="0"/>
        <w:adjustRightInd w:val="0"/>
        <w:spacing w:after="0" w:line="240" w:lineRule="auto"/>
        <w:ind w:left="567" w:hanging="567"/>
        <w:rPr>
          <w:rFonts w:ascii="Times New Roman" w:eastAsia="Times New Roman" w:hAnsi="Times New Roman"/>
          <w:iCs/>
          <w:color w:val="000000"/>
          <w:szCs w:val="20"/>
        </w:rPr>
      </w:pPr>
    </w:p>
    <w:p>
      <w:pPr>
        <w:autoSpaceDE w:val="0"/>
        <w:autoSpaceDN w:val="0"/>
        <w:adjustRightInd w:val="0"/>
        <w:spacing w:after="0" w:line="240" w:lineRule="auto"/>
        <w:ind w:left="567" w:hanging="567"/>
        <w:rPr>
          <w:rFonts w:ascii="Times New Roman" w:eastAsia="Times New Roman" w:hAnsi="Times New Roman"/>
          <w:iCs/>
          <w:color w:val="000000"/>
          <w:szCs w:val="20"/>
        </w:rPr>
      </w:pPr>
    </w:p>
    <w:p>
      <w:pPr>
        <w:autoSpaceDE w:val="0"/>
        <w:autoSpaceDN w:val="0"/>
        <w:adjustRightInd w:val="0"/>
        <w:spacing w:after="0" w:line="240" w:lineRule="auto"/>
        <w:ind w:left="567" w:hanging="567"/>
        <w:rPr>
          <w:rFonts w:ascii="Times New Roman" w:eastAsia="Times New Roman" w:hAnsi="Times New Roman"/>
          <w:iCs/>
          <w:color w:val="000000"/>
          <w:szCs w:val="20"/>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
          <w:lang w:eastAsia="de-DE"/>
        </w:rPr>
      </w:pPr>
      <w:r>
        <w:rPr>
          <w:rFonts w:ascii="Times New Roman" w:eastAsia="Times New Roman" w:hAnsi="Times New Roman"/>
          <w:b/>
          <w:lang w:eastAsia="de-DE"/>
        </w:rPr>
        <w:t>Aripiprazola lietošanas laikā tika ziņots par vairākiem nāves gadījumiem vecāka gadagājuma pacientiem ar demenci. Turklāt ziņots par insultu vai mikroinsultu.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lastRenderedPageBreak/>
        <w:t>Papildus blakusparādības bērniem un pusaudžiem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13 gadus veciem un vecākiem pusaudžiem novēroto blakusparādību biežums un tips bija līdzīgs kā pieaugušajiem, izņemot miegainību, nekontrolētu muskuļu raustīšanos vai patvaļīgas kustības, nemieru un noguruma sajūtu, ko novēroja ļoti bieži (vairāk nekā 1 no katriem 10 pacientiem), un bieži (vairāk nekā 1 no katriem 100 pacientiem) novēroja sāpes vēdera augšdaļā, sausu muti, paātrinātu sirdsdarbību, ķermeņa masas palielināšanos, palielinātu ēstgribu, muskuļu raustīšanos, nekontrolējamas roku un kāju kustības un reiboņa sajūtu, īpaši pieceļoties no guļus vai sēdus pozīcijas.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Ziņošana par blakusparādībām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1" w:history="1">
        <w:r>
          <w:rPr>
            <w:rStyle w:val="Hyperlink"/>
            <w:rFonts w:ascii="Times New Roman" w:eastAsia="Times New Roman" w:hAnsi="Times New Roman"/>
            <w:highlight w:val="lightGray"/>
            <w:lang w:eastAsia="de-DE"/>
          </w:rPr>
          <w:t>V pielikumā</w:t>
        </w:r>
      </w:hyperlink>
      <w:r>
        <w:rPr>
          <w:rFonts w:ascii="Times New Roman" w:eastAsia="Times New Roman" w:hAnsi="Times New Roman"/>
          <w:highlight w:val="lightGray"/>
          <w:lang w:eastAsia="de-DE"/>
        </w:rPr>
        <w:t xml:space="preserve"> minēto nacionālās ziņošanas sistēmas kontaktinformāciju</w:t>
      </w:r>
      <w:r>
        <w:rPr>
          <w:rFonts w:ascii="Times New Roman" w:eastAsia="Times New Roman" w:hAnsi="Times New Roman"/>
          <w:lang w:eastAsia="de-DE"/>
        </w:rPr>
        <w:t>. Ziņojot par blakusparādībām, Jūs varat palīdzēt nodrošināt daudz plašāku informāciju par šo zāļu drošumu.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w:t>
      </w:r>
      <w:r>
        <w:rPr>
          <w:rFonts w:ascii="Times New Roman" w:eastAsia="Times New Roman" w:hAnsi="Times New Roman"/>
          <w:b/>
          <w:bCs/>
          <w:lang w:eastAsia="de-DE"/>
        </w:rPr>
        <w:tab/>
        <w:t>Kā uzglabāt Aripiprazole Sandoz</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Uzglabāt šīs zāles bērniem neredzamā un nepieejamā vietā.</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Nelietot šīs zāles pēc derīguma termiņa beigām, kas norādīts uz blistera, pudeles vai kastītes pēc EXP vai Derīgs līdz. Derīguma termiņš attiecas uz norādītā mēneša pēdējo dienu.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numPr>
          <w:ilvl w:val="12"/>
          <w:numId w:val="0"/>
        </w:numPr>
        <w:spacing w:after="0" w:line="240" w:lineRule="auto"/>
        <w:ind w:right="-2"/>
        <w:rPr>
          <w:rFonts w:ascii="Times New Roman" w:eastAsia="Times New Roman" w:hAnsi="Times New Roman"/>
        </w:rPr>
      </w:pPr>
      <w:r>
        <w:rPr>
          <w:rFonts w:ascii="Times New Roman" w:eastAsia="Times New Roman" w:hAnsi="Times New Roman"/>
        </w:rPr>
        <w:t>Zālēm nav nepieciešami īpaši uzglabāšanas apstākļi.</w:t>
      </w:r>
    </w:p>
    <w:p>
      <w:pPr>
        <w:tabs>
          <w:tab w:val="left" w:pos="567"/>
        </w:tabs>
        <w:spacing w:after="0" w:line="240" w:lineRule="auto"/>
        <w:ind w:right="-20"/>
        <w:rPr>
          <w:rFonts w:ascii="Times New Roman" w:eastAsia="Times New Roman" w:hAnsi="Times New Roman"/>
        </w:rPr>
      </w:pPr>
      <w:r>
        <w:rPr>
          <w:rFonts w:ascii="Times New Roman" w:hAnsi="Times New Roman"/>
        </w:rPr>
        <w:t>Izlietot 3 mēnešu laikā pēc pudeles pirmās atvēršanas</w:t>
      </w:r>
      <w:r>
        <w:rPr>
          <w:rFonts w:ascii="Times New Roman" w:eastAsia="Times New Roman" w:hAnsi="Times New Roman"/>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Neizmetiet zāles kanalizācijā vai sadzīves atkritumos. Vaicājiet farmaceitam, kā izmest zāles, kuras vairs nelietojat. Šie pasākumi palīdzēs aizsargāt apkārtējo vidi.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eastAsia="de-DE"/>
        </w:rPr>
      </w:pPr>
      <w:r>
        <w:rPr>
          <w:rFonts w:ascii="Times New Roman" w:eastAsia="Times New Roman" w:hAnsi="Times New Roman"/>
          <w:b/>
          <w:bCs/>
          <w:lang w:eastAsia="de-DE"/>
        </w:rPr>
        <w:t>6.</w:t>
      </w:r>
      <w:r>
        <w:rPr>
          <w:rFonts w:ascii="Times New Roman" w:eastAsia="Times New Roman" w:hAnsi="Times New Roman"/>
          <w:b/>
          <w:bCs/>
          <w:lang w:eastAsia="de-DE"/>
        </w:rPr>
        <w:tab/>
        <w:t>Iepakojuma saturs un cita informācija</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eastAsia="de-DE"/>
        </w:rPr>
      </w:pPr>
      <w:r>
        <w:rPr>
          <w:rFonts w:ascii="Times New Roman" w:eastAsia="Times New Roman" w:hAnsi="Times New Roman"/>
          <w:b/>
          <w:bCs/>
          <w:lang w:eastAsia="de-DE"/>
        </w:rPr>
        <w:t>Ko Aripiprazole Sandoz satur</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5 mg tabletes</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Aktīvā viela ir aripiprazols. Katra tablete satur 5 mg aripiprazola.</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Citas sastāvdaļas ir laktozes monohidrāts, kukurūzas ciete, mikrokristāliskā celuloze, hidroksipropilceluloze, magnija stearāts, indigo karmīna (E 132) alumīnija laka.</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Aktīvā viela ir aripiprazols. Katra tablete satur 10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 xml:space="preserve">Citas sastāvdaļas ir laktozes monohidrāts, kukurūzas ciete, mikrokristāliskā celuloze, </w:t>
      </w:r>
      <w:r>
        <w:rPr>
          <w:rFonts w:ascii="Times New Roman" w:eastAsia="Times New Roman" w:hAnsi="Times New Roman"/>
          <w:lang w:eastAsia="de-DE"/>
        </w:rPr>
        <w:tab/>
        <w:t>hidroksipropilceluloze, magnija stearāts, sarkanais dzelzs oksīds (E 172).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Aktīvā viela ir aripiprazols. Katra tablete satur 15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 xml:space="preserve">Citas sastāvdaļas ir laktozes monohidrāts, kukurūzas ciete, mikrokristāliskā celuloze, </w:t>
      </w:r>
      <w:r>
        <w:rPr>
          <w:rFonts w:ascii="Times New Roman" w:eastAsia="Times New Roman" w:hAnsi="Times New Roman"/>
          <w:lang w:eastAsia="de-DE"/>
        </w:rPr>
        <w:tab/>
        <w:t>hidroksipropilceluloze, magnija stearāts, dzeltenais dzelzs oksīds.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20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Aktīvā viela ir aripiprazols. Katra tablete satur 20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 xml:space="preserve">Citas sastāvdaļas ir laktozes monohidrāts, kukurūzas ciete, mikrokristāliskā celuloze, </w:t>
      </w:r>
      <w:r>
        <w:rPr>
          <w:rFonts w:ascii="Times New Roman" w:eastAsia="Times New Roman" w:hAnsi="Times New Roman"/>
          <w:lang w:eastAsia="de-DE"/>
        </w:rPr>
        <w:tab/>
        <w:t>hidroksipropilceluloze, magnija stearāts.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Aktīvā viela ir aripiprazols. Katra tablete satur 30 mg aripiprazola.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 xml:space="preserve">Citas sastāvdaļas ir laktozes monohidrāts, kukurūzas ciete, mikrokristāliskā celuloze, </w:t>
      </w:r>
      <w:r>
        <w:rPr>
          <w:rFonts w:ascii="Times New Roman" w:eastAsia="Times New Roman" w:hAnsi="Times New Roman"/>
          <w:lang w:eastAsia="de-DE"/>
        </w:rPr>
        <w:tab/>
        <w:t>hidroksipropilceluloze, magnija stearāts, sarkanais dzelzs oksīds (E 172).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Aripiprazole Sandoz ārējais izskats un iepakojums</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Aripiprazole Sandoz 5 mg tabletes ir zilas krāsas, raibas, apaļas formas tabletes, aptuveni 6,0 mm diametrā, ar iespiestu “SZ” vienā pusē un “444” otrā pusē.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10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10 mg tabletes ir sārtas krāsas, raibas, apaļas formas tabletes, aptuveni 6,0 mm diametrā, ar iespiestu “SZ” vienā pusē un “446” otrā pusē.</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15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15 mg tabletes ir dzeltenas krāsas, raibas, apaļas formas tabletes, aptuveni 7,0 mm diametrā, ar iespiestu “SZ” vienā pusē un “447” otrā pusē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eastAsia="de-DE"/>
        </w:rPr>
      </w:pPr>
      <w:r>
        <w:rPr>
          <w:rFonts w:ascii="Times New Roman" w:eastAsia="Times New Roman" w:hAnsi="Times New Roman"/>
          <w:bCs/>
          <w:u w:val="single"/>
          <w:lang w:eastAsia="de-DE"/>
        </w:rPr>
        <w:t>Aripiprazole Sandoz 20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20 mg tabletes ir baltas krāsas, raibas, apaļas formas tabletes, aptuveni 7,8 mm diametrā, ar iespiestu “SZ” vienā pusē un “448” otrā pusē.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Aripiprazole Sandoz 30 mg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30 mg tabletes ir sārtas krāsas, raibas, apaļas formas tabletes, aptuveni 9,0 mm diametrā, ar iespiestu “SZ” vienā pusē un “449” otrā pusē.</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5 mg, 10 mg, 15 mg un 30 mg  tiek piegādātas šādos iepakojumos: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alumīnija/alumīnija blisteros, iepakotas kartona kastītēs, kas satur 10, 14, 16, 28, 30, 35, 56 vai 70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Alumīnija/alumīnija blisteri ar vienu devu kontūrligzdām, iepakoti kartona kastītēs, kas satur 14 x 1, 28 x 1, 49 x 1, 56 x 1 vai 98 x 1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ABPE pudele satur silīcija gēla desikantu un poliestera tinumu, iepakots kastītēs, kas satur 100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20 mg tabletes tiek piegādātas alumīnija/alumīnija blisteros, iepakotas kartona kastītēs, kas satur 14, 28, 49, 56 vai 98 tabletes.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Visi iepakojuma lielumi tirgū var nebūt pieejami.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Reģistrācijas apliecības īpašnieks</w:t>
      </w:r>
    </w:p>
    <w:p>
      <w:pPr>
        <w:tabs>
          <w:tab w:val="left" w:pos="567"/>
        </w:tabs>
        <w:spacing w:after="0" w:line="240" w:lineRule="auto"/>
        <w:rPr>
          <w:rFonts w:ascii="Times New Roman" w:eastAsia="Times New Roman" w:hAnsi="Times New Roman"/>
        </w:rPr>
      </w:pPr>
      <w:r>
        <w:rPr>
          <w:rFonts w:ascii="Times New Roman" w:eastAsia="Times New Roman" w:hAnsi="Times New Roman"/>
        </w:rPr>
        <w:t>Sandoz GmbH</w:t>
      </w:r>
    </w:p>
    <w:p>
      <w:pPr>
        <w:tabs>
          <w:tab w:val="left" w:pos="567"/>
        </w:tabs>
        <w:spacing w:after="0" w:line="240" w:lineRule="auto"/>
        <w:rPr>
          <w:rFonts w:ascii="Times New Roman" w:eastAsia="Times New Roman" w:hAnsi="Times New Roman"/>
        </w:rPr>
      </w:pPr>
      <w:r>
        <w:rPr>
          <w:rFonts w:ascii="Times New Roman" w:eastAsia="Times New Roman" w:hAnsi="Times New Roman"/>
        </w:rPr>
        <w:t>Biochemiestrasse 10</w:t>
      </w:r>
    </w:p>
    <w:p>
      <w:pPr>
        <w:tabs>
          <w:tab w:val="left" w:pos="567"/>
        </w:tabs>
        <w:spacing w:after="0" w:line="240" w:lineRule="auto"/>
        <w:rPr>
          <w:rFonts w:ascii="Times New Roman" w:eastAsia="Times New Roman" w:hAnsi="Times New Roman"/>
        </w:rPr>
      </w:pPr>
      <w:r>
        <w:rPr>
          <w:rFonts w:ascii="Times New Roman" w:eastAsia="Times New Roman" w:hAnsi="Times New Roman"/>
        </w:rPr>
        <w:t>6250 Kundl</w:t>
      </w:r>
    </w:p>
    <w:p>
      <w:pPr>
        <w:tabs>
          <w:tab w:val="left" w:pos="567"/>
        </w:tabs>
        <w:spacing w:after="0" w:line="240" w:lineRule="auto"/>
        <w:rPr>
          <w:rFonts w:ascii="Times New Roman" w:eastAsia="Times New Roman" w:hAnsi="Times New Roman"/>
        </w:rPr>
      </w:pPr>
      <w:r>
        <w:rPr>
          <w:rFonts w:ascii="Times New Roman" w:eastAsia="Times New Roman" w:hAnsi="Times New Roman"/>
        </w:rPr>
        <w:t>Austrija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Ražotājs</w:t>
      </w:r>
    </w:p>
    <w:p>
      <w:pPr>
        <w:tabs>
          <w:tab w:val="left" w:pos="567"/>
        </w:tabs>
        <w:spacing w:after="0" w:line="240" w:lineRule="auto"/>
        <w:ind w:right="6531"/>
        <w:rPr>
          <w:rFonts w:ascii="Times New Roman" w:eastAsia="Times New Roman" w:hAnsi="Times New Roman"/>
          <w:spacing w:val="-1"/>
        </w:rPr>
      </w:pPr>
      <w:r>
        <w:rPr>
          <w:rFonts w:ascii="Times New Roman" w:eastAsia="Times New Roman" w:hAnsi="Times New Roman"/>
          <w:spacing w:val="-1"/>
        </w:rPr>
        <w:t>Lek Pharmaceuticals d.d.</w:t>
      </w:r>
    </w:p>
    <w:p>
      <w:pPr>
        <w:tabs>
          <w:tab w:val="left" w:pos="567"/>
        </w:tabs>
        <w:spacing w:after="0" w:line="240" w:lineRule="auto"/>
        <w:ind w:right="6531"/>
        <w:rPr>
          <w:rFonts w:ascii="Times New Roman" w:eastAsia="Times New Roman" w:hAnsi="Times New Roman"/>
          <w:spacing w:val="-1"/>
        </w:rPr>
      </w:pPr>
      <w:r>
        <w:rPr>
          <w:rFonts w:ascii="Times New Roman" w:eastAsia="Times New Roman" w:hAnsi="Times New Roman"/>
          <w:spacing w:val="-1"/>
        </w:rPr>
        <w:t>Verovškova 57</w:t>
      </w:r>
    </w:p>
    <w:p>
      <w:pPr>
        <w:tabs>
          <w:tab w:val="left" w:pos="567"/>
        </w:tabs>
        <w:spacing w:after="0" w:line="240" w:lineRule="auto"/>
        <w:ind w:right="6531"/>
        <w:rPr>
          <w:rFonts w:ascii="Times New Roman" w:eastAsia="Times New Roman" w:hAnsi="Times New Roman"/>
          <w:spacing w:val="-1"/>
        </w:rPr>
      </w:pPr>
      <w:r>
        <w:rPr>
          <w:rFonts w:ascii="Times New Roman" w:eastAsia="Times New Roman" w:hAnsi="Times New Roman"/>
          <w:spacing w:val="-1"/>
        </w:rPr>
        <w:t>1526 Ljubljana</w:t>
      </w:r>
    </w:p>
    <w:p>
      <w:pPr>
        <w:tabs>
          <w:tab w:val="left" w:pos="567"/>
        </w:tabs>
        <w:spacing w:after="0" w:line="240" w:lineRule="auto"/>
        <w:ind w:right="6531"/>
        <w:rPr>
          <w:rFonts w:ascii="Times New Roman" w:eastAsia="Times New Roman" w:hAnsi="Times New Roman"/>
          <w:spacing w:val="-1"/>
          <w:highlight w:val="yellow"/>
        </w:rPr>
      </w:pPr>
      <w:r>
        <w:rPr>
          <w:rFonts w:ascii="Times New Roman" w:eastAsia="Times New Roman" w:hAnsi="Times New Roman"/>
          <w:spacing w:val="-1"/>
        </w:rPr>
        <w:t>Slovēnija</w:t>
      </w:r>
    </w:p>
    <w:p>
      <w:pPr>
        <w:numPr>
          <w:ilvl w:val="12"/>
          <w:numId w:val="0"/>
        </w:numPr>
        <w:tabs>
          <w:tab w:val="left" w:pos="567"/>
        </w:tabs>
        <w:spacing w:after="0" w:line="240" w:lineRule="auto"/>
        <w:ind w:right="-2"/>
        <w:rPr>
          <w:rFonts w:ascii="Times New Roman" w:eastAsia="Times New Roman" w:hAnsi="Times New Roman"/>
          <w:highlight w:val="lightGray"/>
        </w:rPr>
      </w:pP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S.C. Sandoz, S.R.L.</w:t>
      </w: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Str. Livezeni nr. 7A</w:t>
      </w: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Târgu Mureş 540472</w:t>
      </w: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Rumānija</w:t>
      </w:r>
    </w:p>
    <w:p>
      <w:pPr>
        <w:numPr>
          <w:ilvl w:val="12"/>
          <w:numId w:val="0"/>
        </w:numPr>
        <w:tabs>
          <w:tab w:val="left" w:pos="567"/>
        </w:tabs>
        <w:spacing w:after="0" w:line="240" w:lineRule="auto"/>
        <w:ind w:right="-2"/>
        <w:rPr>
          <w:rFonts w:ascii="Times New Roman" w:eastAsia="Times New Roman" w:hAnsi="Times New Roman"/>
          <w:highlight w:val="lightGray"/>
        </w:rPr>
      </w:pP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Lek S.A.</w:t>
      </w: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ul. Domaniewska 50 C</w:t>
      </w:r>
    </w:p>
    <w:p>
      <w:pPr>
        <w:numPr>
          <w:ilvl w:val="12"/>
          <w:numId w:val="0"/>
        </w:numPr>
        <w:tabs>
          <w:tab w:val="left" w:pos="567"/>
        </w:tabs>
        <w:spacing w:after="0" w:line="240" w:lineRule="auto"/>
        <w:ind w:right="-2"/>
        <w:rPr>
          <w:rFonts w:ascii="Times New Roman" w:eastAsia="Times New Roman" w:hAnsi="Times New Roman"/>
          <w:highlight w:val="lightGray"/>
        </w:rPr>
      </w:pPr>
      <w:r>
        <w:rPr>
          <w:rFonts w:ascii="Times New Roman" w:eastAsia="Times New Roman" w:hAnsi="Times New Roman"/>
          <w:highlight w:val="lightGray"/>
        </w:rPr>
        <w:t>02-672 Warszawa</w:t>
      </w:r>
    </w:p>
    <w:p>
      <w:pPr>
        <w:tabs>
          <w:tab w:val="left" w:pos="567"/>
        </w:tabs>
        <w:spacing w:after="0" w:line="240" w:lineRule="auto"/>
        <w:ind w:right="6531"/>
        <w:rPr>
          <w:rFonts w:ascii="Times New Roman" w:eastAsia="Times New Roman" w:hAnsi="Times New Roman"/>
          <w:spacing w:val="-1"/>
          <w:highlight w:val="lightGray"/>
        </w:rPr>
      </w:pPr>
      <w:r>
        <w:rPr>
          <w:rFonts w:ascii="Times New Roman" w:eastAsia="Times New Roman" w:hAnsi="Times New Roman"/>
          <w:highlight w:val="lightGray"/>
        </w:rPr>
        <w:lastRenderedPageBreak/>
        <w:t>Polija</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Lai saņemtu papildu informāciju par šīm zālēm, lūdzam sazināties ar reģistrācijas apliecības īpašnieka vietējo pārstāvniecību:</w:t>
      </w:r>
    </w:p>
    <w:p>
      <w:pPr>
        <w:spacing w:after="0" w:line="240" w:lineRule="auto"/>
        <w:rPr>
          <w:rFonts w:asciiTheme="majorBidi" w:hAnsiTheme="majorBidi" w:cstheme="majorBidi"/>
          <w:noProof/>
        </w:rPr>
      </w:pPr>
      <w:bookmarkStart w:id="2" w:name="_Hlk220584922"/>
    </w:p>
    <w:tbl>
      <w:tblPr>
        <w:tblW w:w="9322" w:type="dxa"/>
        <w:tblLayout w:type="fixed"/>
        <w:tblLook w:val="0000" w:firstRow="0" w:lastRow="0" w:firstColumn="0" w:lastColumn="0" w:noHBand="0" w:noVBand="0"/>
      </w:tblPr>
      <w:tblGrid>
        <w:gridCol w:w="4644"/>
        <w:gridCol w:w="4678"/>
      </w:tblGrid>
      <w:tr>
        <w:tc>
          <w:tcPr>
            <w:tcW w:w="4644" w:type="dxa"/>
          </w:tcPr>
          <w:p>
            <w:pPr>
              <w:numPr>
                <w:ilvl w:val="12"/>
                <w:numId w:val="0"/>
              </w:numPr>
              <w:spacing w:after="0" w:line="240" w:lineRule="auto"/>
              <w:ind w:right="-2"/>
              <w:rPr>
                <w:rFonts w:asciiTheme="majorBidi" w:hAnsiTheme="majorBidi" w:cstheme="majorBidi"/>
                <w:b/>
                <w:noProof/>
                <w:lang w:val="fr-FR"/>
              </w:rPr>
            </w:pPr>
            <w:bookmarkStart w:id="3" w:name="_Hlk220585318"/>
            <w:r>
              <w:rPr>
                <w:rFonts w:asciiTheme="majorBidi" w:hAnsiTheme="majorBidi" w:cstheme="majorBidi"/>
                <w:b/>
                <w:noProof/>
                <w:lang w:val="fr-FR"/>
              </w:rPr>
              <w:t>België/Belgique/Belgien</w:t>
            </w:r>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nv/sa</w:t>
            </w:r>
          </w:p>
          <w:p>
            <w:pPr>
              <w:numPr>
                <w:ilvl w:val="12"/>
                <w:numId w:val="0"/>
              </w:numPr>
              <w:spacing w:after="0" w:line="240" w:lineRule="auto"/>
              <w:ind w:right="-2"/>
              <w:rPr>
                <w:del w:id="4" w:author="Author" w:date="2025-12-16T16:57:00Z"/>
                <w:rFonts w:asciiTheme="majorBidi" w:hAnsiTheme="majorBidi" w:cstheme="majorBidi"/>
                <w:noProof/>
                <w:lang w:val="fr-FR"/>
              </w:rPr>
            </w:pPr>
            <w:del w:id="5" w:author="Author" w:date="2025-12-16T16:57:00Z">
              <w:r>
                <w:rPr>
                  <w:rFonts w:asciiTheme="majorBidi" w:hAnsiTheme="majorBidi" w:cstheme="majorBidi"/>
                  <w:noProof/>
                  <w:lang w:val="fr-FR"/>
                </w:rPr>
                <w:delText>Medialaan 40</w:delText>
              </w:r>
            </w:del>
          </w:p>
          <w:p>
            <w:pPr>
              <w:numPr>
                <w:ilvl w:val="12"/>
                <w:numId w:val="0"/>
              </w:numPr>
              <w:spacing w:after="0" w:line="240" w:lineRule="auto"/>
              <w:ind w:right="-2"/>
              <w:rPr>
                <w:del w:id="6" w:author="Author" w:date="2025-12-18T18:14:00Z"/>
                <w:rFonts w:asciiTheme="majorBidi" w:hAnsiTheme="majorBidi" w:cstheme="majorBidi"/>
                <w:noProof/>
                <w:lang w:val="fr-FR"/>
              </w:rPr>
            </w:pPr>
            <w:del w:id="7" w:author="Author" w:date="2025-12-16T16:57:00Z">
              <w:r>
                <w:rPr>
                  <w:rFonts w:asciiTheme="majorBidi" w:hAnsiTheme="majorBidi" w:cstheme="majorBidi"/>
                  <w:noProof/>
                  <w:lang w:val="fr-FR"/>
                </w:rPr>
                <w:delText>B-1800 Vilvoorde</w:delText>
              </w:r>
            </w:del>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Tél/Tel.: +32 2 722 97 97</w:t>
            </w:r>
          </w:p>
          <w:p>
            <w:pPr>
              <w:numPr>
                <w:ilvl w:val="12"/>
                <w:numId w:val="0"/>
              </w:numPr>
              <w:spacing w:after="0" w:line="240" w:lineRule="auto"/>
              <w:ind w:right="-2"/>
              <w:rPr>
                <w:rFonts w:asciiTheme="majorBidi" w:hAnsiTheme="majorBidi" w:cstheme="majorBidi"/>
                <w:noProof/>
                <w:lang w:val="de-DE"/>
              </w:rPr>
            </w:pPr>
            <w:del w:id="8" w:author="Author" w:date="2025-12-16T16:57:00Z">
              <w:r>
                <w:rPr>
                  <w:rFonts w:asciiTheme="majorBidi" w:hAnsiTheme="majorBidi" w:cstheme="majorBidi"/>
                  <w:noProof/>
                  <w:lang w:val="de-DE"/>
                </w:rPr>
                <w:delText>regaff.belgium@sandoz.com</w:delText>
              </w:r>
            </w:del>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noProof/>
                <w:lang w:val="de-DE"/>
              </w:rPr>
            </w:pPr>
            <w:r>
              <w:rPr>
                <w:rFonts w:asciiTheme="majorBidi" w:hAnsiTheme="majorBidi" w:cstheme="majorBidi"/>
                <w:b/>
                <w:noProof/>
                <w:lang w:val="de-DE"/>
              </w:rPr>
              <w:t>Lietuva</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Sandoz Pharmaceuticals d.d. filialas</w:t>
            </w:r>
          </w:p>
          <w:p>
            <w:pPr>
              <w:numPr>
                <w:ilvl w:val="12"/>
                <w:numId w:val="0"/>
              </w:numPr>
              <w:spacing w:after="0" w:line="240" w:lineRule="auto"/>
              <w:ind w:right="-2"/>
              <w:rPr>
                <w:del w:id="9" w:author="Author" w:date="2025-12-18T10:03:00Z"/>
                <w:rFonts w:asciiTheme="majorBidi" w:hAnsiTheme="majorBidi" w:cstheme="majorBidi"/>
                <w:noProof/>
                <w:lang w:val="de-DE"/>
              </w:rPr>
            </w:pPr>
            <w:del w:id="10" w:author="Author" w:date="2025-12-18T10:03:00Z">
              <w:r>
                <w:rPr>
                  <w:rFonts w:asciiTheme="majorBidi" w:hAnsiTheme="majorBidi" w:cstheme="majorBidi"/>
                  <w:noProof/>
                  <w:lang w:val="de-DE"/>
                </w:rPr>
                <w:delText>Šeimyniškių 3A,</w:delText>
              </w:r>
            </w:del>
          </w:p>
          <w:p>
            <w:pPr>
              <w:numPr>
                <w:ilvl w:val="12"/>
                <w:numId w:val="0"/>
              </w:numPr>
              <w:spacing w:after="0" w:line="240" w:lineRule="auto"/>
              <w:ind w:right="-2"/>
              <w:rPr>
                <w:del w:id="11" w:author="Author" w:date="2025-12-18T18:14:00Z"/>
                <w:rFonts w:asciiTheme="majorBidi" w:hAnsiTheme="majorBidi" w:cstheme="majorBidi"/>
                <w:lang w:val="de-DE"/>
              </w:rPr>
            </w:pPr>
            <w:del w:id="12" w:author="Author" w:date="2025-12-18T10:03:00Z">
              <w:r>
                <w:rPr>
                  <w:rFonts w:asciiTheme="majorBidi" w:hAnsiTheme="majorBidi" w:cstheme="majorBidi"/>
                  <w:lang w:val="de-DE"/>
                </w:rPr>
                <w:delText>LT 09312 Vilnius</w:delText>
              </w:r>
            </w:del>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Tel: +370 5 26 36 037</w:t>
            </w:r>
          </w:p>
          <w:p>
            <w:pPr>
              <w:numPr>
                <w:ilvl w:val="12"/>
                <w:numId w:val="0"/>
              </w:numPr>
              <w:spacing w:after="0" w:line="240" w:lineRule="auto"/>
              <w:ind w:right="-2"/>
              <w:rPr>
                <w:rFonts w:asciiTheme="majorBidi" w:hAnsiTheme="majorBidi" w:cstheme="majorBidi"/>
                <w:noProof/>
              </w:rPr>
            </w:pPr>
            <w:del w:id="13" w:author="Author" w:date="2025-12-18T10:07:00Z">
              <w:r>
                <w:rPr>
                  <w:rFonts w:asciiTheme="majorBidi" w:hAnsiTheme="majorBidi" w:cstheme="majorBidi"/>
                  <w:noProof/>
                </w:rPr>
                <w:delText>Info.lithuania@sandoz.com</w:delText>
              </w:r>
            </w:del>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de-DE"/>
              </w:rPr>
              <w:t>България</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Regulatory Affairs Department</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Branch Office Sandoz d.d.</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 xml:space="preserve">55 Nikola Vaptzarov blvd. </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Building 4, floor 4</w:t>
            </w:r>
          </w:p>
          <w:p>
            <w:pPr>
              <w:keepNext/>
              <w:spacing w:after="0" w:line="240" w:lineRule="auto"/>
              <w:rPr>
                <w:rFonts w:asciiTheme="majorBidi" w:hAnsiTheme="majorBidi" w:cstheme="majorBidi"/>
                <w:lang w:val="it-IT"/>
              </w:rPr>
            </w:pPr>
            <w:r>
              <w:rPr>
                <w:rFonts w:asciiTheme="majorBidi" w:hAnsiTheme="majorBidi" w:cstheme="majorBidi"/>
                <w:lang w:val="it-IT"/>
              </w:rPr>
              <w:t>1407 Sofia, Bulgaria</w:t>
            </w:r>
          </w:p>
          <w:p>
            <w:pPr>
              <w:keepNext/>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Te</w:t>
            </w:r>
            <w:r>
              <w:rPr>
                <w:rFonts w:asciiTheme="majorBidi" w:hAnsiTheme="majorBidi" w:cstheme="majorBidi"/>
                <w:noProof/>
                <w:lang w:val="de-DE"/>
              </w:rPr>
              <w:t>л</w:t>
            </w:r>
            <w:r>
              <w:rPr>
                <w:rFonts w:asciiTheme="majorBidi" w:hAnsiTheme="majorBidi" w:cstheme="majorBidi"/>
                <w:noProof/>
                <w:lang w:val="it-IT"/>
              </w:rPr>
              <w:t xml:space="preserve">.: + 359 2 970 47 47 </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regaffairs.bg@sandoz.com</w:t>
            </w:r>
          </w:p>
          <w:p>
            <w:pPr>
              <w:keepNext/>
              <w:numPr>
                <w:ilvl w:val="12"/>
                <w:numId w:val="0"/>
              </w:numPr>
              <w:spacing w:after="0" w:line="240" w:lineRule="auto"/>
              <w:ind w:right="-2"/>
              <w:rPr>
                <w:rFonts w:asciiTheme="majorBidi" w:hAnsiTheme="majorBidi" w:cstheme="majorBidi"/>
                <w:lang w:val="it-IT"/>
              </w:rPr>
            </w:pPr>
          </w:p>
        </w:tc>
        <w:tc>
          <w:tcPr>
            <w:tcW w:w="4678" w:type="dxa"/>
          </w:tcPr>
          <w:p>
            <w:pPr>
              <w:keepNext/>
              <w:numPr>
                <w:ilvl w:val="12"/>
                <w:numId w:val="0"/>
              </w:numPr>
              <w:spacing w:after="0" w:line="240" w:lineRule="auto"/>
              <w:ind w:right="-2"/>
              <w:rPr>
                <w:rFonts w:asciiTheme="majorBidi" w:hAnsiTheme="majorBidi" w:cstheme="majorBidi"/>
                <w:b/>
                <w:lang w:val="it-IT"/>
              </w:rPr>
            </w:pPr>
            <w:r>
              <w:rPr>
                <w:rFonts w:asciiTheme="majorBidi" w:hAnsiTheme="majorBidi" w:cstheme="majorBidi"/>
                <w:b/>
                <w:lang w:val="it-IT"/>
              </w:rPr>
              <w:t>Luxembourg/Luxemburg</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Sandoz nv/sa</w:t>
            </w:r>
          </w:p>
          <w:p>
            <w:pPr>
              <w:keepNext/>
              <w:numPr>
                <w:ilvl w:val="12"/>
                <w:numId w:val="0"/>
              </w:numPr>
              <w:spacing w:after="0" w:line="240" w:lineRule="auto"/>
              <w:ind w:right="-2"/>
              <w:rPr>
                <w:del w:id="14" w:author="Author" w:date="2025-12-16T16:58:00Z"/>
                <w:rFonts w:asciiTheme="majorBidi" w:hAnsiTheme="majorBidi" w:cstheme="majorBidi"/>
                <w:lang w:val="it-IT"/>
              </w:rPr>
            </w:pPr>
            <w:del w:id="15" w:author="Author" w:date="2025-12-16T16:58:00Z">
              <w:r>
                <w:rPr>
                  <w:rFonts w:asciiTheme="majorBidi" w:hAnsiTheme="majorBidi" w:cstheme="majorBidi"/>
                  <w:lang w:val="it-IT"/>
                </w:rPr>
                <w:delText>Medialaan 40</w:delText>
              </w:r>
            </w:del>
          </w:p>
          <w:p>
            <w:pPr>
              <w:keepNext/>
              <w:numPr>
                <w:ilvl w:val="12"/>
                <w:numId w:val="0"/>
              </w:numPr>
              <w:spacing w:after="0" w:line="240" w:lineRule="auto"/>
              <w:ind w:right="-2"/>
              <w:rPr>
                <w:del w:id="16" w:author="Author" w:date="2025-12-18T18:15:00Z"/>
                <w:rFonts w:asciiTheme="majorBidi" w:hAnsiTheme="majorBidi" w:cstheme="majorBidi"/>
                <w:lang w:val="it-IT"/>
              </w:rPr>
            </w:pPr>
            <w:del w:id="17" w:author="Author" w:date="2025-12-16T16:58:00Z">
              <w:r>
                <w:rPr>
                  <w:rFonts w:asciiTheme="majorBidi" w:hAnsiTheme="majorBidi" w:cstheme="majorBidi"/>
                  <w:lang w:val="it-IT"/>
                </w:rPr>
                <w:delText>B-1800 Vilvoorde</w:delText>
              </w:r>
            </w:del>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Tél/Tel.: +32 2 722 97 97</w:t>
            </w:r>
          </w:p>
          <w:p>
            <w:pPr>
              <w:keepNext/>
              <w:numPr>
                <w:ilvl w:val="12"/>
                <w:numId w:val="0"/>
              </w:numPr>
              <w:spacing w:after="0" w:line="240" w:lineRule="auto"/>
              <w:ind w:right="-2"/>
              <w:rPr>
                <w:rFonts w:asciiTheme="majorBidi" w:hAnsiTheme="majorBidi" w:cstheme="majorBidi"/>
                <w:noProof/>
                <w:lang w:val="fr-FR"/>
              </w:rPr>
            </w:pPr>
            <w:del w:id="18" w:author="Author" w:date="2025-12-16T16:58:00Z">
              <w:r>
                <w:rPr>
                  <w:rFonts w:asciiTheme="majorBidi" w:hAnsiTheme="majorBidi" w:cstheme="majorBidi"/>
                  <w:noProof/>
                  <w:lang w:val="fr-FR"/>
                </w:rPr>
                <w:delText>regaff.belgium@sandoz.com</w:delText>
              </w:r>
            </w:del>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Česká republika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s.r.o.</w:t>
            </w:r>
          </w:p>
          <w:p>
            <w:pPr>
              <w:numPr>
                <w:ilvl w:val="12"/>
                <w:numId w:val="0"/>
              </w:numPr>
              <w:spacing w:after="0" w:line="240" w:lineRule="auto"/>
              <w:ind w:right="-2"/>
              <w:rPr>
                <w:del w:id="19" w:author="Author" w:date="2025-12-18T18:15:00Z"/>
                <w:rFonts w:asciiTheme="majorBidi" w:hAnsiTheme="majorBidi" w:cstheme="majorBidi"/>
              </w:rPr>
            </w:pPr>
            <w:del w:id="20" w:author="Author" w:date="2025-12-18T18:14:00Z">
              <w:r>
                <w:rPr>
                  <w:rFonts w:asciiTheme="majorBidi" w:hAnsiTheme="majorBidi" w:cstheme="majorBidi"/>
                </w:rPr>
                <w:tab/>
              </w:r>
            </w:del>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noProof/>
              </w:rPr>
              <w:t xml:space="preserve">Tel: +420 234 142 222 </w:t>
            </w:r>
          </w:p>
          <w:p>
            <w:pPr>
              <w:numPr>
                <w:ilvl w:val="12"/>
                <w:numId w:val="0"/>
              </w:numPr>
              <w:spacing w:after="0" w:line="240" w:lineRule="auto"/>
              <w:ind w:right="-2"/>
              <w:rPr>
                <w:rFonts w:asciiTheme="majorBidi" w:hAnsiTheme="majorBidi" w:cstheme="majorBidi"/>
                <w:lang w:val="en-US"/>
              </w:rPr>
            </w:pPr>
          </w:p>
        </w:tc>
        <w:tc>
          <w:tcPr>
            <w:tcW w:w="4678" w:type="dxa"/>
          </w:tcPr>
          <w:p>
            <w:pPr>
              <w:numPr>
                <w:ilvl w:val="12"/>
                <w:numId w:val="0"/>
              </w:numPr>
              <w:spacing w:after="0" w:line="240" w:lineRule="auto"/>
              <w:ind w:right="-2"/>
              <w:rPr>
                <w:rFonts w:asciiTheme="majorBidi" w:hAnsiTheme="majorBidi" w:cstheme="majorBidi"/>
                <w:b/>
                <w:lang w:val="en-US"/>
              </w:rPr>
            </w:pPr>
            <w:r>
              <w:rPr>
                <w:rFonts w:asciiTheme="majorBidi" w:hAnsiTheme="majorBidi" w:cstheme="majorBidi"/>
                <w:b/>
                <w:lang w:val="en-US"/>
              </w:rPr>
              <w:t>Magyarország</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Sandoz Hungária Kft.</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+36 1 430 2890</w:t>
            </w: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Danmark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rFonts w:asciiTheme="majorBidi" w:hAnsiTheme="majorBidi" w:cstheme="majorBidi"/>
                <w:noProof/>
                <w:lang w:val="nl-NL"/>
              </w:rPr>
            </w:pPr>
            <w:r>
              <w:rPr>
                <w:rFonts w:asciiTheme="majorBidi" w:hAnsiTheme="majorBidi" w:cstheme="majorBidi"/>
                <w:noProof/>
                <w:lang w:val="nl-NL"/>
              </w:rPr>
              <w:t>Tlf: + 45 6395 1000</w:t>
            </w:r>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Malta</w:t>
            </w:r>
          </w:p>
          <w:p>
            <w:pPr>
              <w:pStyle w:val="pil-t1"/>
              <w:rPr>
                <w:rFonts w:asciiTheme="majorBidi" w:hAnsiTheme="majorBidi" w:cstheme="majorBidi"/>
                <w:szCs w:val="22"/>
                <w:lang w:val="es-ES"/>
              </w:rPr>
            </w:pPr>
            <w:r>
              <w:rPr>
                <w:rFonts w:asciiTheme="majorBidi" w:hAnsiTheme="majorBidi" w:cstheme="majorBidi"/>
                <w:szCs w:val="22"/>
                <w:lang w:val="es-ES"/>
              </w:rPr>
              <w:t>Sandoz Pharmaceuticals d.d.</w:t>
            </w:r>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lang w:val="es-ES"/>
              </w:rPr>
              <w:t xml:space="preserve">Tel: </w:t>
            </w:r>
            <w:del w:id="21" w:author="Author" w:date="2026-01-28T23:13:00Z">
              <w:r>
                <w:rPr>
                  <w:rFonts w:asciiTheme="majorBidi" w:hAnsiTheme="majorBidi" w:cstheme="majorBidi"/>
                  <w:lang w:val="es-ES"/>
                </w:rPr>
                <w:delText>+356 21222872</w:delText>
              </w:r>
            </w:del>
            <w:ins w:id="22" w:author="Author" w:date="2026-01-28T23:13:00Z">
              <w:r>
                <w:rPr>
                  <w:rFonts w:asciiTheme="majorBidi" w:hAnsiTheme="majorBidi" w:cstheme="majorBidi"/>
                  <w:lang w:val="es-ES"/>
                </w:rPr>
                <w:t>+35699644126</w:t>
              </w:r>
            </w:ins>
          </w:p>
          <w:p>
            <w:pPr>
              <w:numPr>
                <w:ilvl w:val="12"/>
                <w:numId w:val="0"/>
              </w:numPr>
              <w:spacing w:after="0" w:line="240" w:lineRule="auto"/>
              <w:ind w:right="-2"/>
              <w:rPr>
                <w:rFonts w:asciiTheme="majorBidi" w:hAnsiTheme="majorBidi" w:cstheme="majorBidi"/>
                <w:noProof/>
                <w:lang w:val="de-DE"/>
              </w:rPr>
            </w:pPr>
          </w:p>
          <w:p>
            <w:pPr>
              <w:numPr>
                <w:ilvl w:val="12"/>
                <w:numId w:val="0"/>
              </w:numPr>
              <w:spacing w:after="0" w:line="240" w:lineRule="auto"/>
              <w:ind w:right="-2"/>
              <w:rPr>
                <w:rFonts w:asciiTheme="majorBidi" w:hAnsiTheme="majorBidi" w:cstheme="majorBidi"/>
                <w:noProof/>
                <w:lang w:val="de-DE"/>
              </w:rPr>
            </w:pPr>
          </w:p>
        </w:tc>
      </w:tr>
      <w:tr>
        <w:tc>
          <w:tcPr>
            <w:tcW w:w="4644" w:type="dxa"/>
          </w:tcPr>
          <w:p>
            <w:pPr>
              <w:numPr>
                <w:ilvl w:val="12"/>
                <w:numId w:val="0"/>
              </w:numPr>
              <w:spacing w:after="0" w:line="240" w:lineRule="auto"/>
              <w:ind w:right="-2"/>
              <w:rPr>
                <w:rFonts w:asciiTheme="majorBidi" w:hAnsiTheme="majorBidi" w:cstheme="majorBidi"/>
                <w:b/>
                <w:noProof/>
                <w:lang w:val="de-DE"/>
              </w:rPr>
            </w:pPr>
            <w:r>
              <w:rPr>
                <w:rFonts w:asciiTheme="majorBidi" w:hAnsiTheme="majorBidi" w:cstheme="majorBidi"/>
                <w:b/>
                <w:noProof/>
                <w:lang w:val="de-DE"/>
              </w:rPr>
              <w:t>Deutschland</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Hexal AG</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Industriestrasse  25</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D-83607 Holzkirchen</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 xml:space="preserve">Tel: +49 8024 908 0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E-mail: service@hexal.com</w:t>
            </w:r>
          </w:p>
          <w:p>
            <w:pPr>
              <w:numPr>
                <w:ilvl w:val="12"/>
                <w:numId w:val="0"/>
              </w:numPr>
              <w:spacing w:after="0" w:line="240" w:lineRule="auto"/>
              <w:ind w:right="-2"/>
              <w:rPr>
                <w:rFonts w:asciiTheme="majorBidi" w:hAnsiTheme="majorBidi" w:cstheme="majorBidi"/>
                <w:lang w:val="pt-BR"/>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Nederland</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B.V.</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Hospitaaldreef 29</w:t>
            </w:r>
            <w:del w:id="23" w:author="Author" w:date="2026-01-28T08:35:00Z">
              <w:r>
                <w:rPr>
                  <w:rFonts w:asciiTheme="majorBidi" w:hAnsiTheme="majorBidi" w:cstheme="majorBidi"/>
                  <w:lang w:val="pt-BR"/>
                </w:rPr>
                <w:delText>,</w:delText>
              </w:r>
            </w:del>
            <w:r>
              <w:rPr>
                <w:rFonts w:asciiTheme="majorBidi" w:hAnsiTheme="majorBidi" w:cstheme="majorBidi"/>
                <w:lang w:val="pt-BR"/>
              </w:rPr>
              <w:t xml:space="preserve">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NL-1315 RC Almere</w:t>
            </w:r>
          </w:p>
          <w:p>
            <w:pPr>
              <w:numPr>
                <w:ilvl w:val="12"/>
                <w:numId w:val="0"/>
              </w:numPr>
              <w:spacing w:after="0" w:line="240" w:lineRule="auto"/>
              <w:ind w:right="-2"/>
              <w:rPr>
                <w:rFonts w:asciiTheme="majorBidi" w:hAnsiTheme="majorBidi" w:cstheme="majorBidi"/>
                <w:lang w:val="de-DE"/>
              </w:rPr>
            </w:pPr>
            <w:r>
              <w:rPr>
                <w:rFonts w:asciiTheme="majorBidi" w:hAnsiTheme="majorBidi" w:cstheme="majorBidi"/>
                <w:lang w:val="de-DE"/>
              </w:rPr>
              <w:t>Tel: +31 36 5241600</w:t>
            </w:r>
          </w:p>
          <w:p>
            <w:pPr>
              <w:numPr>
                <w:ilvl w:val="12"/>
                <w:numId w:val="0"/>
              </w:numPr>
              <w:spacing w:after="0" w:line="240" w:lineRule="auto"/>
              <w:ind w:right="-2"/>
              <w:rPr>
                <w:rFonts w:asciiTheme="majorBidi" w:hAnsiTheme="majorBidi" w:cstheme="majorBidi"/>
                <w:lang w:val="de-DE"/>
              </w:rPr>
            </w:pPr>
            <w:r>
              <w:rPr>
                <w:rFonts w:asciiTheme="majorBidi" w:hAnsiTheme="majorBidi" w:cstheme="majorBidi"/>
                <w:lang w:val="de-DE"/>
              </w:rPr>
              <w:t>info.sandoz-nl@sandoz.com</w:t>
            </w: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Eesti</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Sandoz d.d. Eesti filiaal</w:t>
            </w:r>
          </w:p>
          <w:p>
            <w:pPr>
              <w:numPr>
                <w:ilvl w:val="12"/>
                <w:numId w:val="0"/>
              </w:numPr>
              <w:spacing w:after="0" w:line="240" w:lineRule="auto"/>
              <w:ind w:right="-2"/>
              <w:rPr>
                <w:del w:id="24" w:author="Author" w:date="2025-12-16T17:19:00Z"/>
                <w:rFonts w:asciiTheme="majorBidi" w:hAnsiTheme="majorBidi" w:cstheme="majorBidi"/>
                <w:noProof/>
                <w:lang w:val="fi-FI"/>
              </w:rPr>
            </w:pPr>
            <w:del w:id="25" w:author="Author" w:date="2025-12-16T17:19:00Z">
              <w:r>
                <w:rPr>
                  <w:rFonts w:asciiTheme="majorBidi" w:hAnsiTheme="majorBidi" w:cstheme="majorBidi"/>
                  <w:noProof/>
                  <w:lang w:val="fi-FI"/>
                </w:rPr>
                <w:delText>Pärnu mnt105</w:delText>
              </w:r>
            </w:del>
          </w:p>
          <w:p>
            <w:pPr>
              <w:numPr>
                <w:ilvl w:val="12"/>
                <w:numId w:val="0"/>
              </w:numPr>
              <w:spacing w:after="0" w:line="240" w:lineRule="auto"/>
              <w:ind w:right="-2"/>
              <w:rPr>
                <w:del w:id="26" w:author="Author" w:date="2025-12-16T17:19:00Z"/>
                <w:rFonts w:asciiTheme="majorBidi" w:hAnsiTheme="majorBidi" w:cstheme="majorBidi"/>
                <w:noProof/>
                <w:lang w:val="fi-FI"/>
              </w:rPr>
            </w:pPr>
            <w:del w:id="27" w:author="Author" w:date="2025-12-16T17:19:00Z">
              <w:r>
                <w:rPr>
                  <w:rFonts w:asciiTheme="majorBidi" w:hAnsiTheme="majorBidi" w:cstheme="majorBidi"/>
                  <w:noProof/>
                  <w:lang w:val="fi-FI"/>
                </w:rPr>
                <w:delText>EE-11312 Tallinn</w:delText>
              </w:r>
            </w:del>
          </w:p>
          <w:p>
            <w:pPr>
              <w:numPr>
                <w:ilvl w:val="12"/>
                <w:numId w:val="0"/>
              </w:numPr>
              <w:spacing w:after="0" w:line="240" w:lineRule="auto"/>
              <w:ind w:right="-2"/>
              <w:rPr>
                <w:rFonts w:asciiTheme="majorBidi" w:hAnsiTheme="majorBidi" w:cstheme="majorBidi"/>
                <w:noProof/>
                <w:lang w:val="fi-FI"/>
              </w:rPr>
            </w:pPr>
            <w:r>
              <w:rPr>
                <w:rFonts w:asciiTheme="majorBidi" w:hAnsiTheme="majorBidi" w:cstheme="majorBidi"/>
                <w:noProof/>
                <w:lang w:val="fi-FI"/>
              </w:rPr>
              <w:t>Tel.: +372 665 2400</w:t>
            </w:r>
          </w:p>
          <w:p>
            <w:pPr>
              <w:numPr>
                <w:ilvl w:val="12"/>
                <w:numId w:val="0"/>
              </w:numPr>
              <w:spacing w:after="0" w:line="240" w:lineRule="auto"/>
              <w:ind w:right="-2"/>
              <w:rPr>
                <w:del w:id="28" w:author="Author" w:date="2025-12-16T17:19:00Z"/>
                <w:rFonts w:asciiTheme="majorBidi" w:hAnsiTheme="majorBidi" w:cstheme="majorBidi"/>
                <w:noProof/>
                <w:lang w:val="de-DE"/>
              </w:rPr>
            </w:pPr>
            <w:del w:id="29" w:author="Author" w:date="2025-12-16T17:19:00Z">
              <w:r>
                <w:rPr>
                  <w:rFonts w:asciiTheme="majorBidi" w:hAnsiTheme="majorBidi" w:cstheme="majorBidi"/>
                  <w:noProof/>
                  <w:lang w:val="de-DE"/>
                </w:rPr>
                <w:delText>Info.ee@sandoz.com</w:delText>
              </w:r>
            </w:del>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Norge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del w:id="30" w:author="Author" w:date="2025-12-18T18:14:00Z"/>
                <w:rFonts w:asciiTheme="majorBidi" w:hAnsiTheme="majorBidi" w:cstheme="majorBidi"/>
                <w:lang w:val="pt-BR"/>
              </w:rPr>
            </w:pP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Tlf: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widowControl w:val="0"/>
              <w:numPr>
                <w:ilvl w:val="12"/>
                <w:numId w:val="0"/>
              </w:numPr>
              <w:spacing w:after="0" w:line="240" w:lineRule="auto"/>
              <w:rPr>
                <w:rFonts w:asciiTheme="majorBidi" w:hAnsiTheme="majorBidi" w:cstheme="majorBidi"/>
                <w:b/>
                <w:lang w:val="pt-BR"/>
              </w:rPr>
            </w:pPr>
            <w:r>
              <w:rPr>
                <w:rFonts w:asciiTheme="majorBidi" w:hAnsiTheme="majorBidi" w:cstheme="majorBidi"/>
                <w:b/>
                <w:noProof/>
                <w:lang w:val="el-GR"/>
              </w:rPr>
              <w:t>Ελλάδα</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lang w:val="pt-BR"/>
              </w:rPr>
              <w:t xml:space="preserve">SANDOZ HELLAS </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rPr>
              <w:t>ΜΟΝΟΠΡΟΣΩΠΗ</w:t>
            </w:r>
            <w:r>
              <w:rPr>
                <w:rStyle w:val="ui-provider"/>
                <w:rFonts w:asciiTheme="majorBidi" w:hAnsiTheme="majorBidi" w:cstheme="majorBidi"/>
                <w:lang w:val="pt-BR"/>
              </w:rPr>
              <w:t xml:space="preserve"> </w:t>
            </w:r>
            <w:r>
              <w:rPr>
                <w:rStyle w:val="ui-provider"/>
                <w:rFonts w:asciiTheme="majorBidi" w:hAnsiTheme="majorBidi" w:cstheme="majorBidi"/>
              </w:rPr>
              <w:t>Α</w:t>
            </w:r>
            <w:r>
              <w:rPr>
                <w:rStyle w:val="ui-provider"/>
                <w:rFonts w:asciiTheme="majorBidi" w:hAnsiTheme="majorBidi" w:cstheme="majorBidi"/>
                <w:lang w:val="pt-BR"/>
              </w:rPr>
              <w:t>.</w:t>
            </w:r>
            <w:r>
              <w:rPr>
                <w:rStyle w:val="ui-provider"/>
                <w:rFonts w:asciiTheme="majorBidi" w:hAnsiTheme="majorBidi" w:cstheme="majorBidi"/>
              </w:rPr>
              <w:t>Ε</w:t>
            </w:r>
            <w:r>
              <w:rPr>
                <w:rStyle w:val="ui-provider"/>
                <w:rFonts w:asciiTheme="majorBidi" w:hAnsiTheme="majorBidi" w:cstheme="majorBidi"/>
                <w:lang w:val="pt-BR"/>
              </w:rPr>
              <w:t>.</w:t>
            </w:r>
            <w:del w:id="31" w:author="Author" w:date="2025-12-16T17:20:00Z">
              <w:r>
                <w:rPr>
                  <w:rStyle w:val="ui-provider"/>
                  <w:rFonts w:asciiTheme="majorBidi" w:hAnsiTheme="majorBidi" w:cstheme="majorBidi"/>
                  <w:lang w:val="pt-BR"/>
                </w:rPr>
                <w:delText xml:space="preserve"> </w:delText>
              </w:r>
              <w:r>
                <w:rPr>
                  <w:rFonts w:asciiTheme="majorBidi" w:eastAsia="SimSun" w:hAnsiTheme="majorBidi" w:cstheme="majorBidi"/>
                  <w:color w:val="000000"/>
                  <w:lang w:val="pt-BR" w:eastAsia="zh-CN"/>
                </w:rPr>
                <w:delText>(</w:delText>
              </w:r>
              <w:r>
                <w:rPr>
                  <w:rFonts w:asciiTheme="majorBidi" w:eastAsia="SimSun" w:hAnsiTheme="majorBidi" w:cstheme="majorBidi"/>
                  <w:color w:val="000000"/>
                  <w:lang w:eastAsia="zh-CN"/>
                </w:rPr>
                <w:delText>Ελλάδα</w:delText>
              </w:r>
              <w:r>
                <w:rPr>
                  <w:rFonts w:asciiTheme="majorBidi" w:eastAsia="SimSun" w:hAnsiTheme="majorBidi" w:cstheme="majorBidi"/>
                  <w:color w:val="000000"/>
                  <w:lang w:val="pt-BR" w:eastAsia="zh-CN"/>
                </w:rPr>
                <w:delText>)</w:delText>
              </w:r>
            </w:del>
          </w:p>
          <w:p>
            <w:pPr>
              <w:widowControl w:val="0"/>
              <w:numPr>
                <w:ilvl w:val="12"/>
                <w:numId w:val="0"/>
              </w:numPr>
              <w:spacing w:after="0" w:line="240" w:lineRule="auto"/>
              <w:rPr>
                <w:rFonts w:asciiTheme="majorBidi" w:hAnsiTheme="majorBidi" w:cstheme="majorBidi"/>
                <w:noProof/>
                <w:lang w:val="nl-NL"/>
              </w:rPr>
            </w:pPr>
            <w:r>
              <w:rPr>
                <w:rStyle w:val="ui-provider"/>
                <w:rFonts w:asciiTheme="majorBidi" w:hAnsiTheme="majorBidi" w:cstheme="majorBidi"/>
              </w:rPr>
              <w:t>Τηλ: +30 216 600 5000</w:t>
            </w:r>
          </w:p>
          <w:p>
            <w:pPr>
              <w:widowControl w:val="0"/>
              <w:numPr>
                <w:ilvl w:val="12"/>
                <w:numId w:val="0"/>
              </w:numPr>
              <w:spacing w:after="0" w:line="240" w:lineRule="auto"/>
              <w:rPr>
                <w:rFonts w:asciiTheme="majorBidi" w:hAnsiTheme="majorBidi" w:cstheme="majorBidi"/>
                <w:noProof/>
                <w:lang w:val="nl-NL"/>
              </w:rPr>
            </w:pPr>
          </w:p>
          <w:p>
            <w:pPr>
              <w:widowControl w:val="0"/>
              <w:numPr>
                <w:ilvl w:val="12"/>
                <w:numId w:val="0"/>
              </w:numPr>
              <w:spacing w:after="0" w:line="240" w:lineRule="auto"/>
              <w:rPr>
                <w:rFonts w:asciiTheme="majorBidi" w:hAnsiTheme="majorBidi" w:cstheme="majorBidi"/>
                <w:b/>
                <w:noProof/>
                <w:lang w:val="nl-NL"/>
              </w:rPr>
            </w:pPr>
          </w:p>
        </w:tc>
        <w:tc>
          <w:tcPr>
            <w:tcW w:w="4678" w:type="dxa"/>
          </w:tcPr>
          <w:p>
            <w:pPr>
              <w:widowControl w:val="0"/>
              <w:numPr>
                <w:ilvl w:val="12"/>
                <w:numId w:val="0"/>
              </w:numPr>
              <w:spacing w:after="0" w:line="240" w:lineRule="auto"/>
              <w:rPr>
                <w:rFonts w:asciiTheme="majorBidi" w:hAnsiTheme="majorBidi" w:cstheme="majorBidi"/>
                <w:b/>
                <w:noProof/>
                <w:lang w:val="nl-NL"/>
              </w:rPr>
            </w:pPr>
            <w:r>
              <w:rPr>
                <w:rFonts w:asciiTheme="majorBidi" w:hAnsiTheme="majorBidi" w:cstheme="majorBidi"/>
                <w:b/>
                <w:noProof/>
                <w:lang w:val="nl-NL"/>
              </w:rPr>
              <w:t>Österreich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Sandoz GmbH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Biochemiestr. 10</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A-6250 Kundl</w:t>
            </w:r>
          </w:p>
          <w:p>
            <w:pPr>
              <w:widowControl w:val="0"/>
              <w:numPr>
                <w:ilvl w:val="12"/>
                <w:numId w:val="0"/>
              </w:numPr>
              <w:spacing w:after="0" w:line="240" w:lineRule="auto"/>
              <w:rPr>
                <w:rFonts w:asciiTheme="majorBidi" w:hAnsiTheme="majorBidi" w:cstheme="majorBidi"/>
                <w:noProof/>
              </w:rPr>
            </w:pPr>
            <w:r>
              <w:rPr>
                <w:rFonts w:asciiTheme="majorBidi" w:hAnsiTheme="majorBidi" w:cstheme="majorBidi"/>
                <w:noProof/>
              </w:rPr>
              <w:t>Tel: +43 5338 2000</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s-ES"/>
              </w:rPr>
            </w:pPr>
            <w:r>
              <w:rPr>
                <w:rFonts w:asciiTheme="majorBidi" w:hAnsiTheme="majorBidi" w:cstheme="majorBidi"/>
                <w:b/>
                <w:noProof/>
                <w:lang w:val="es-ES"/>
              </w:rPr>
              <w:t>España</w:t>
            </w:r>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 xml:space="preserve">Sandoz Farmacéutica, S.A. </w:t>
            </w:r>
          </w:p>
          <w:p>
            <w:pPr>
              <w:spacing w:after="0" w:line="240" w:lineRule="auto"/>
              <w:ind w:left="567" w:hanging="567"/>
              <w:rPr>
                <w:rFonts w:asciiTheme="majorBidi" w:hAnsiTheme="majorBidi" w:cstheme="majorBidi"/>
                <w:lang w:val="pt-BR"/>
              </w:rPr>
            </w:pPr>
            <w:r>
              <w:rPr>
                <w:rFonts w:asciiTheme="majorBidi" w:hAnsiTheme="majorBidi" w:cstheme="majorBidi"/>
                <w:lang w:val="pt-BR"/>
              </w:rPr>
              <w:t>Centro empresarial Parque Norte</w:t>
            </w:r>
          </w:p>
          <w:p>
            <w:pPr>
              <w:spacing w:after="0" w:line="240" w:lineRule="auto"/>
              <w:ind w:left="567" w:hanging="567"/>
              <w:rPr>
                <w:rFonts w:asciiTheme="majorBidi" w:hAnsiTheme="majorBidi" w:cstheme="majorBidi"/>
                <w:lang w:val="pt-BR"/>
              </w:rPr>
            </w:pPr>
            <w:r>
              <w:rPr>
                <w:rFonts w:asciiTheme="majorBidi" w:hAnsiTheme="majorBidi" w:cstheme="majorBidi"/>
                <w:lang w:val="pt-BR"/>
              </w:rPr>
              <w:t>Edificio Roble</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C/Serrano Galvache, N°56</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 xml:space="preserve">28033 Madrid      </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lastRenderedPageBreak/>
              <w:t>Spain</w:t>
            </w:r>
          </w:p>
          <w:p>
            <w:pPr>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Tel: +34 900 456 856</w:t>
            </w:r>
          </w:p>
          <w:p>
            <w:pPr>
              <w:numPr>
                <w:ilvl w:val="12"/>
                <w:numId w:val="0"/>
              </w:numPr>
              <w:spacing w:after="0" w:line="240" w:lineRule="auto"/>
              <w:ind w:right="-2"/>
              <w:rPr>
                <w:rFonts w:asciiTheme="majorBidi" w:hAnsiTheme="majorBidi" w:cstheme="majorBidi"/>
                <w:noProof/>
                <w:lang w:val="es-ES"/>
              </w:rPr>
            </w:pPr>
            <w:del w:id="32" w:author="Author" w:date="2026-01-28T08:32:00Z">
              <w:r>
                <w:rPr>
                  <w:rFonts w:asciiTheme="majorBidi" w:hAnsiTheme="majorBidi" w:cstheme="majorBidi"/>
                  <w:noProof/>
                  <w:lang w:val="es-ES"/>
                </w:rPr>
                <w:delText>registros.spain@sandoz.com</w:delText>
              </w:r>
            </w:del>
            <w:ins w:id="33" w:author="Author" w:date="2026-01-28T08:32:00Z">
              <w:r>
                <w:rPr>
                  <w:rFonts w:asciiTheme="majorBidi" w:hAnsiTheme="majorBidi" w:cstheme="majorBidi"/>
                  <w:noProof/>
                </w:rPr>
                <w:t xml:space="preserve"> regaffairs.es@sandoz.com</w:t>
              </w:r>
            </w:ins>
          </w:p>
          <w:p>
            <w:pPr>
              <w:numPr>
                <w:ilvl w:val="12"/>
                <w:numId w:val="0"/>
              </w:numPr>
              <w:spacing w:after="0" w:line="240" w:lineRule="auto"/>
              <w:ind w:right="-2"/>
              <w:rPr>
                <w:rFonts w:asciiTheme="majorBidi" w:hAnsiTheme="majorBidi" w:cstheme="majorBidi"/>
                <w:noProof/>
                <w:lang w:val="es-ES"/>
              </w:rPr>
            </w:pPr>
          </w:p>
        </w:tc>
        <w:tc>
          <w:tcPr>
            <w:tcW w:w="4678" w:type="dxa"/>
          </w:tcPr>
          <w:p>
            <w:pPr>
              <w:numPr>
                <w:ilvl w:val="12"/>
                <w:numId w:val="0"/>
              </w:numPr>
              <w:spacing w:after="0" w:line="240" w:lineRule="auto"/>
              <w:ind w:right="-2"/>
              <w:rPr>
                <w:rFonts w:asciiTheme="majorBidi" w:hAnsiTheme="majorBidi" w:cstheme="majorBidi"/>
                <w:b/>
                <w:lang w:val="pl-PL"/>
              </w:rPr>
            </w:pPr>
            <w:r>
              <w:rPr>
                <w:rFonts w:asciiTheme="majorBidi" w:hAnsiTheme="majorBidi" w:cstheme="majorBidi"/>
                <w:b/>
                <w:lang w:val="pl-PL"/>
              </w:rPr>
              <w:lastRenderedPageBreak/>
              <w:t>Polska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Sandoz Polska Sp. z o.o.</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ul. Domaniewska 50C</w:t>
            </w:r>
            <w:r>
              <w:rPr>
                <w:rFonts w:asciiTheme="majorBidi" w:hAnsiTheme="majorBidi" w:cstheme="majorBidi"/>
                <w:lang w:val="pl-PL"/>
              </w:rPr>
              <w:tab/>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02-672 Warszawa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Tel.: + 48 22 209 70 00</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biuro.pl@sandoz.com</w:t>
            </w:r>
          </w:p>
          <w:p>
            <w:pPr>
              <w:numPr>
                <w:ilvl w:val="12"/>
                <w:numId w:val="0"/>
              </w:numPr>
              <w:spacing w:after="0" w:line="240" w:lineRule="auto"/>
              <w:ind w:right="-2"/>
              <w:rPr>
                <w:rFonts w:asciiTheme="majorBidi" w:hAnsiTheme="majorBidi" w:cstheme="majorBidi"/>
                <w:noProof/>
                <w:lang w:val="de-DE"/>
              </w:rPr>
            </w:pPr>
          </w:p>
        </w:tc>
      </w:tr>
      <w:tr>
        <w:tc>
          <w:tcPr>
            <w:tcW w:w="4644" w:type="dxa"/>
          </w:tcPr>
          <w:p>
            <w:pPr>
              <w:keepNext/>
              <w:numPr>
                <w:ilvl w:val="12"/>
                <w:numId w:val="0"/>
              </w:numPr>
              <w:spacing w:after="0" w:line="240" w:lineRule="auto"/>
              <w:ind w:right="-2"/>
              <w:rPr>
                <w:rFonts w:asciiTheme="majorBidi" w:hAnsiTheme="majorBidi" w:cstheme="majorBidi"/>
                <w:b/>
                <w:noProof/>
                <w:lang w:val="fr-FR"/>
              </w:rPr>
            </w:pPr>
            <w:r>
              <w:rPr>
                <w:rFonts w:asciiTheme="majorBidi" w:hAnsiTheme="majorBidi" w:cstheme="majorBidi"/>
                <w:b/>
                <w:noProof/>
                <w:lang w:val="fr-FR"/>
              </w:rPr>
              <w:lastRenderedPageBreak/>
              <w:t>France</w:t>
            </w:r>
          </w:p>
          <w:p>
            <w:pPr>
              <w:keepNext/>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SAS</w:t>
            </w:r>
          </w:p>
          <w:p>
            <w:pPr>
              <w:keepNext/>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Tél: + 33 1 49 64 48 00</w:t>
            </w:r>
          </w:p>
          <w:p>
            <w:pPr>
              <w:keepNext/>
              <w:numPr>
                <w:ilvl w:val="12"/>
                <w:numId w:val="0"/>
              </w:numPr>
              <w:spacing w:after="0" w:line="240" w:lineRule="auto"/>
              <w:ind w:right="-2"/>
              <w:rPr>
                <w:rFonts w:asciiTheme="majorBidi" w:hAnsiTheme="majorBidi" w:cstheme="majorBidi"/>
                <w:noProof/>
                <w:lang w:val="en-US"/>
              </w:rPr>
            </w:pPr>
          </w:p>
        </w:tc>
        <w:tc>
          <w:tcPr>
            <w:tcW w:w="4678" w:type="dxa"/>
          </w:tcPr>
          <w:p>
            <w:pPr>
              <w:keepNext/>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Portugal</w:t>
            </w:r>
          </w:p>
          <w:p>
            <w:pPr>
              <w:spacing w:after="0" w:line="240" w:lineRule="auto"/>
              <w:rPr>
                <w:rFonts w:asciiTheme="majorBidi" w:hAnsiTheme="majorBidi" w:cstheme="majorBidi"/>
                <w:lang w:val="pt-BR"/>
              </w:rPr>
            </w:pPr>
            <w:r>
              <w:rPr>
                <w:rFonts w:asciiTheme="majorBidi" w:hAnsiTheme="majorBidi" w:cstheme="majorBidi"/>
                <w:lang w:val="pt-BR"/>
              </w:rPr>
              <w:t>Sandoz Farmacêutica Lda.</w:t>
            </w:r>
          </w:p>
          <w:p>
            <w:pPr>
              <w:spacing w:after="0" w:line="240" w:lineRule="auto"/>
              <w:rPr>
                <w:rFonts w:asciiTheme="majorBidi" w:hAnsiTheme="majorBidi" w:cstheme="majorBidi"/>
                <w:lang w:val="pt-BR"/>
              </w:rPr>
            </w:pPr>
            <w:r>
              <w:rPr>
                <w:rFonts w:asciiTheme="majorBidi" w:hAnsiTheme="majorBidi" w:cstheme="majorBidi"/>
                <w:lang w:val="pt-BR"/>
              </w:rPr>
              <w:t>Tel: +351 21 196 40 00</w:t>
            </w:r>
          </w:p>
          <w:p>
            <w:pPr>
              <w:keepNext/>
              <w:numPr>
                <w:ilvl w:val="12"/>
                <w:numId w:val="0"/>
              </w:numPr>
              <w:spacing w:after="0" w:line="240" w:lineRule="auto"/>
              <w:ind w:right="-2"/>
              <w:rPr>
                <w:rFonts w:asciiTheme="majorBidi" w:hAnsiTheme="majorBidi" w:cstheme="majorBidi"/>
                <w:lang w:val="pt-BR"/>
              </w:rPr>
            </w:pPr>
          </w:p>
        </w:tc>
      </w:tr>
      <w:tr>
        <w:tc>
          <w:tcPr>
            <w:tcW w:w="4644" w:type="dxa"/>
          </w:tcPr>
          <w:p>
            <w:pPr>
              <w:keepNext/>
              <w:numPr>
                <w:ilvl w:val="12"/>
                <w:numId w:val="0"/>
              </w:numPr>
              <w:spacing w:after="0" w:line="240" w:lineRule="auto"/>
              <w:rPr>
                <w:rFonts w:asciiTheme="majorBidi" w:hAnsiTheme="majorBidi" w:cstheme="majorBidi"/>
                <w:b/>
                <w:lang w:val="pt-BR"/>
              </w:rPr>
            </w:pPr>
            <w:r>
              <w:rPr>
                <w:rFonts w:asciiTheme="majorBidi" w:hAnsiTheme="majorBidi" w:cstheme="majorBidi"/>
                <w:lang w:val="pt-BR"/>
              </w:rPr>
              <w:br w:type="page"/>
            </w:r>
            <w:r>
              <w:rPr>
                <w:rFonts w:asciiTheme="majorBidi" w:hAnsiTheme="majorBidi" w:cstheme="majorBidi"/>
                <w:b/>
                <w:lang w:val="pt-BR"/>
              </w:rPr>
              <w:t>Hrvatska</w:t>
            </w:r>
          </w:p>
          <w:p>
            <w:pPr>
              <w:keepNext/>
              <w:numPr>
                <w:ilvl w:val="12"/>
                <w:numId w:val="0"/>
              </w:numPr>
              <w:spacing w:after="0" w:line="240" w:lineRule="auto"/>
              <w:rPr>
                <w:rFonts w:asciiTheme="majorBidi" w:hAnsiTheme="majorBidi" w:cstheme="majorBidi"/>
                <w:lang w:val="pt-BR"/>
              </w:rPr>
            </w:pPr>
            <w:r>
              <w:rPr>
                <w:rFonts w:asciiTheme="majorBidi" w:hAnsiTheme="majorBidi" w:cstheme="majorBidi"/>
                <w:lang w:val="pt-BR"/>
              </w:rPr>
              <w:t>Sandoz d.o.o.</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Maksimirska 120</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10000 Zagreb</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Tel: + 385 1 2353111</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e-mail: upit.croatia@sandoz.com</w:t>
            </w:r>
          </w:p>
          <w:p>
            <w:pPr>
              <w:numPr>
                <w:ilvl w:val="12"/>
                <w:numId w:val="0"/>
              </w:numPr>
              <w:spacing w:after="0" w:line="240" w:lineRule="auto"/>
              <w:ind w:right="-2"/>
              <w:rPr>
                <w:rFonts w:asciiTheme="majorBidi" w:hAnsiTheme="majorBidi" w:cstheme="majorBidi"/>
                <w:lang w:val="sv-SE"/>
              </w:rPr>
            </w:pPr>
          </w:p>
        </w:tc>
        <w:tc>
          <w:tcPr>
            <w:tcW w:w="4678" w:type="dxa"/>
          </w:tcPr>
          <w:p>
            <w:pPr>
              <w:numPr>
                <w:ilvl w:val="12"/>
                <w:numId w:val="0"/>
              </w:numPr>
              <w:spacing w:after="0" w:line="240" w:lineRule="auto"/>
              <w:ind w:right="-2"/>
              <w:rPr>
                <w:rFonts w:asciiTheme="majorBidi" w:hAnsiTheme="majorBidi" w:cstheme="majorBidi"/>
                <w:b/>
                <w:lang w:val="sv-SE"/>
              </w:rPr>
            </w:pPr>
            <w:r>
              <w:rPr>
                <w:rFonts w:asciiTheme="majorBidi" w:hAnsiTheme="majorBidi" w:cstheme="majorBidi"/>
                <w:b/>
                <w:lang w:val="sv-SE"/>
              </w:rPr>
              <w:t>România</w:t>
            </w:r>
          </w:p>
          <w:p>
            <w:pPr>
              <w:numPr>
                <w:ilvl w:val="12"/>
                <w:numId w:val="0"/>
              </w:numPr>
              <w:spacing w:after="0" w:line="240" w:lineRule="auto"/>
              <w:ind w:right="-2"/>
              <w:rPr>
                <w:ins w:id="34" w:author="Author" w:date="2026-01-23T13:43:00Z"/>
                <w:rFonts w:asciiTheme="majorBidi" w:hAnsiTheme="majorBidi" w:cstheme="majorBidi"/>
                <w:lang w:val="pt-BR"/>
              </w:rPr>
            </w:pPr>
            <w:ins w:id="35" w:author="Author" w:date="2026-01-23T13:43:00Z">
              <w:r>
                <w:rPr>
                  <w:rFonts w:asciiTheme="majorBidi" w:hAnsiTheme="majorBidi" w:cstheme="majorBidi"/>
                  <w:lang w:val="pt-BR"/>
                </w:rPr>
                <w:t>Sandoz Pharmaceuticals SRL</w:t>
              </w:r>
            </w:ins>
          </w:p>
          <w:p>
            <w:pPr>
              <w:numPr>
                <w:ilvl w:val="12"/>
                <w:numId w:val="0"/>
              </w:numPr>
              <w:spacing w:after="0" w:line="240" w:lineRule="auto"/>
              <w:ind w:right="-2"/>
              <w:rPr>
                <w:del w:id="36" w:author="Author" w:date="2026-01-23T13:43:00Z"/>
                <w:rFonts w:asciiTheme="majorBidi" w:hAnsiTheme="majorBidi" w:cstheme="majorBidi"/>
                <w:lang w:val="sv-SE"/>
              </w:rPr>
            </w:pPr>
            <w:ins w:id="37" w:author="Author" w:date="2026-01-23T13:43:00Z">
              <w:r>
                <w:rPr>
                  <w:rFonts w:asciiTheme="majorBidi" w:hAnsiTheme="majorBidi" w:cstheme="majorBidi"/>
                  <w:lang w:val="pt-BR"/>
                </w:rPr>
                <w:t>Tel: +40 21 407 51 60</w:t>
              </w:r>
            </w:ins>
            <w:del w:id="38" w:author="Author" w:date="2025-12-18T18:12:00Z">
              <w:r>
                <w:rPr>
                  <w:rFonts w:asciiTheme="majorBidi" w:hAnsiTheme="majorBidi" w:cstheme="majorBidi"/>
                  <w:lang w:val="sv-SE"/>
                </w:rPr>
                <w:delText xml:space="preserve"> </w:delText>
              </w:r>
            </w:del>
            <w:del w:id="39" w:author="Author" w:date="2026-01-23T13:43:00Z">
              <w:r>
                <w:rPr>
                  <w:rFonts w:asciiTheme="majorBidi" w:hAnsiTheme="majorBidi" w:cstheme="majorBidi"/>
                  <w:lang w:val="sv-SE"/>
                </w:rPr>
                <w:delText>Sandoz S.R.L.</w:delText>
              </w:r>
            </w:del>
          </w:p>
          <w:p>
            <w:pPr>
              <w:numPr>
                <w:ilvl w:val="12"/>
                <w:numId w:val="0"/>
              </w:numPr>
              <w:spacing w:after="0" w:line="240" w:lineRule="auto"/>
              <w:ind w:right="-2"/>
              <w:rPr>
                <w:del w:id="40" w:author="Author" w:date="2026-01-23T13:43:00Z"/>
                <w:rFonts w:asciiTheme="majorBidi" w:hAnsiTheme="majorBidi" w:cstheme="majorBidi"/>
                <w:lang w:val="sv-SE"/>
              </w:rPr>
            </w:pPr>
            <w:del w:id="41" w:author="Author" w:date="2026-01-23T13:43:00Z">
              <w:r>
                <w:rPr>
                  <w:rFonts w:asciiTheme="majorBidi" w:hAnsiTheme="majorBidi" w:cstheme="majorBidi"/>
                  <w:lang w:val="sv-SE"/>
                </w:rPr>
                <w:delText xml:space="preserve">Str. Livezeni nr.7A, </w:delText>
              </w:r>
            </w:del>
          </w:p>
          <w:p>
            <w:pPr>
              <w:numPr>
                <w:ilvl w:val="12"/>
                <w:numId w:val="0"/>
              </w:numPr>
              <w:spacing w:after="0" w:line="240" w:lineRule="auto"/>
              <w:ind w:right="-2"/>
              <w:rPr>
                <w:del w:id="42" w:author="Author" w:date="2026-01-23T13:43:00Z"/>
                <w:rFonts w:asciiTheme="majorBidi" w:hAnsiTheme="majorBidi" w:cstheme="majorBidi"/>
                <w:noProof/>
                <w:lang w:val="sv-SE"/>
              </w:rPr>
            </w:pPr>
            <w:del w:id="43" w:author="Author" w:date="2026-01-23T13:43:00Z">
              <w:r>
                <w:rPr>
                  <w:rFonts w:asciiTheme="majorBidi" w:hAnsiTheme="majorBidi" w:cstheme="majorBidi"/>
                  <w:noProof/>
                  <w:lang w:val="sv-SE"/>
                </w:rPr>
                <w:delText>540472 Târgu Mureş</w:delText>
              </w:r>
            </w:del>
          </w:p>
          <w:p>
            <w:pPr>
              <w:numPr>
                <w:ilvl w:val="12"/>
                <w:numId w:val="0"/>
              </w:numPr>
              <w:spacing w:after="0" w:line="240" w:lineRule="auto"/>
              <w:ind w:right="-2"/>
              <w:rPr>
                <w:rFonts w:asciiTheme="majorBidi" w:hAnsiTheme="majorBidi" w:cstheme="majorBidi"/>
                <w:noProof/>
              </w:rPr>
            </w:pPr>
            <w:del w:id="44" w:author="Author" w:date="2026-01-23T13:43:00Z">
              <w:r>
                <w:rPr>
                  <w:rFonts w:asciiTheme="majorBidi" w:hAnsiTheme="majorBidi" w:cstheme="majorBidi"/>
                  <w:noProof/>
                  <w:lang w:val="es-ES"/>
                </w:rPr>
                <w:delText xml:space="preserve">+40 21 4075160 </w:delText>
              </w:r>
            </w:del>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Rowex Ltd.,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Bantry, Co. Cork,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P75 V009</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 xml:space="preserve">Tel: + </w:t>
            </w:r>
            <w:ins w:id="45" w:author="Author" w:date="2025-12-19T11:51:00Z">
              <w:r>
                <w:rPr>
                  <w:rFonts w:asciiTheme="majorBidi" w:hAnsiTheme="majorBidi" w:cstheme="majorBidi"/>
                  <w:noProof/>
                  <w:lang w:val="en-US"/>
                </w:rPr>
                <w:t>1800 83 20 83</w:t>
              </w:r>
            </w:ins>
            <w:del w:id="46" w:author="Author" w:date="2025-12-19T11:51:00Z">
              <w:r>
                <w:rPr>
                  <w:rFonts w:asciiTheme="majorBidi" w:hAnsiTheme="majorBidi" w:cstheme="majorBidi"/>
                  <w:noProof/>
                  <w:lang w:val="en-US"/>
                </w:rPr>
                <w:delText>353 27 50077</w:delText>
              </w:r>
            </w:del>
          </w:p>
          <w:p>
            <w:pPr>
              <w:numPr>
                <w:ilvl w:val="12"/>
                <w:numId w:val="0"/>
              </w:numPr>
              <w:spacing w:after="0" w:line="240" w:lineRule="auto"/>
              <w:ind w:right="-2"/>
              <w:rPr>
                <w:rFonts w:asciiTheme="majorBidi" w:hAnsiTheme="majorBidi" w:cstheme="majorBidi"/>
                <w:noProof/>
                <w:lang w:val="en-US"/>
              </w:rPr>
            </w:pPr>
            <w:del w:id="47" w:author="Author" w:date="2025-12-19T11:51:00Z">
              <w:r>
                <w:rPr>
                  <w:rFonts w:asciiTheme="majorBidi" w:hAnsiTheme="majorBidi" w:cstheme="majorBidi"/>
                  <w:noProof/>
                  <w:lang w:val="en-US"/>
                </w:rPr>
                <w:delText>e-mail: reg@rowa-pharma.ie</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Slovenija</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Lek farmacevtska družba d.d.</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Verovškova ulica 57</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1526 Ljubljana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+386 1 580 21 11</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Ísland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del w:id="48" w:author="Author" w:date="2025-12-18T18:15:00Z"/>
                <w:rFonts w:asciiTheme="majorBidi" w:hAnsiTheme="majorBidi" w:cstheme="majorBidi"/>
                <w:noProof/>
                <w:lang w:val="nl-NL"/>
              </w:rPr>
            </w:pPr>
            <w:del w:id="49" w:author="Author" w:date="2025-12-18T09:32:00Z">
              <w:r>
                <w:rPr>
                  <w:rFonts w:asciiTheme="majorBidi" w:hAnsiTheme="majorBidi" w:cstheme="majorBidi"/>
                  <w:noProof/>
                  <w:lang w:val="en-US"/>
                </w:rPr>
                <w:delText>\</w:delText>
              </w:r>
            </w:del>
          </w:p>
          <w:p>
            <w:pPr>
              <w:numPr>
                <w:ilvl w:val="12"/>
                <w:numId w:val="0"/>
              </w:numPr>
              <w:spacing w:after="0" w:line="240" w:lineRule="auto"/>
              <w:ind w:right="-2"/>
              <w:rPr>
                <w:rFonts w:asciiTheme="majorBidi" w:hAnsiTheme="majorBidi" w:cstheme="majorBidi"/>
                <w:noProof/>
                <w:lang w:val="nl-NL"/>
              </w:rPr>
            </w:pPr>
            <w:ins w:id="50" w:author="Author" w:date="2025-12-18T09:33:00Z">
              <w:r>
                <w:rPr>
                  <w:rFonts w:asciiTheme="majorBidi" w:hAnsiTheme="majorBidi" w:cstheme="majorBidi"/>
                  <w:noProof/>
                  <w:lang w:val="nl-NL"/>
                </w:rPr>
                <w:t>S</w:t>
              </w:r>
            </w:ins>
            <w:ins w:id="51" w:author="Author" w:date="2025-12-18T16:21:00Z">
              <w:r>
                <w:rPr>
                  <w:rFonts w:asciiTheme="majorBidi" w:hAnsiTheme="majorBidi" w:cstheme="majorBidi"/>
                  <w:noProof/>
                  <w:lang w:val="en-IN"/>
                </w:rPr>
                <w:t>ími</w:t>
              </w:r>
            </w:ins>
            <w:del w:id="52" w:author="Author" w:date="2025-12-18T09:33:00Z">
              <w:r>
                <w:rPr>
                  <w:rFonts w:asciiTheme="majorBidi" w:hAnsiTheme="majorBidi" w:cstheme="majorBidi"/>
                  <w:noProof/>
                  <w:lang w:val="nl-NL"/>
                </w:rPr>
                <w:delText>Tlf</w:delText>
              </w:r>
            </w:del>
            <w:r>
              <w:rPr>
                <w:rFonts w:asciiTheme="majorBidi" w:hAnsiTheme="majorBidi" w:cstheme="majorBidi"/>
                <w:noProof/>
                <w:lang w:val="nl-NL"/>
              </w:rPr>
              <w:t>: + 45 6395 1000</w:t>
            </w:r>
          </w:p>
          <w:p>
            <w:pPr>
              <w:numPr>
                <w:ilvl w:val="12"/>
                <w:numId w:val="0"/>
              </w:numPr>
              <w:spacing w:after="0" w:line="240" w:lineRule="auto"/>
              <w:ind w:right="-2"/>
              <w:rPr>
                <w:del w:id="53" w:author="Author" w:date="2026-01-23T19:26:00Z"/>
                <w:rFonts w:asciiTheme="majorBidi" w:hAnsiTheme="majorBidi" w:cstheme="majorBidi"/>
                <w:noProof/>
                <w:lang w:val="nl-NL"/>
              </w:rPr>
            </w:pPr>
            <w:del w:id="54" w:author="Author" w:date="2026-01-23T19:26:00Z">
              <w:r>
                <w:rPr>
                  <w:rFonts w:asciiTheme="majorBidi" w:hAnsiTheme="majorBidi" w:cstheme="majorBidi"/>
                  <w:noProof/>
                  <w:lang w:val="nl-NL"/>
                </w:rPr>
                <w:delText>Info.danmark@sandoz.com</w:delText>
              </w:r>
            </w:del>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noProof/>
                <w:lang w:val="de-DE"/>
              </w:rPr>
            </w:pPr>
            <w:r>
              <w:rPr>
                <w:rFonts w:asciiTheme="majorBidi" w:hAnsiTheme="majorBidi" w:cstheme="majorBidi"/>
                <w:b/>
                <w:noProof/>
                <w:lang w:val="de-DE"/>
              </w:rPr>
              <w:t>Slovenská republika</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Sandoz d.d. organizačná zložka</w:t>
            </w:r>
          </w:p>
          <w:p>
            <w:pPr>
              <w:spacing w:after="0" w:line="240" w:lineRule="auto"/>
              <w:ind w:left="567" w:hanging="567"/>
              <w:rPr>
                <w:rFonts w:asciiTheme="majorBidi" w:hAnsiTheme="majorBidi" w:cstheme="majorBidi"/>
                <w:lang w:val="it-IT"/>
              </w:rPr>
            </w:pPr>
            <w:r>
              <w:rPr>
                <w:rFonts w:asciiTheme="majorBidi" w:hAnsiTheme="majorBidi" w:cstheme="majorBidi"/>
                <w:lang w:val="it-IT"/>
              </w:rPr>
              <w:t>Žižkova 22B</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SK-811 02</w:t>
            </w:r>
            <w:r>
              <w:rPr>
                <w:rFonts w:asciiTheme="majorBidi" w:hAnsiTheme="majorBidi" w:cstheme="majorBidi"/>
                <w:b/>
                <w:noProof/>
                <w:lang w:val="it-IT"/>
              </w:rPr>
              <w:t xml:space="preserve"> </w:t>
            </w:r>
            <w:r>
              <w:rPr>
                <w:rFonts w:asciiTheme="majorBidi" w:hAnsiTheme="majorBidi" w:cstheme="majorBidi"/>
                <w:noProof/>
                <w:lang w:val="it-IT"/>
              </w:rPr>
              <w:t xml:space="preserve"> Bratislava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Tel: </w:t>
            </w:r>
            <w:del w:id="55" w:author="Author" w:date="2026-01-28T08:41:00Z">
              <w:r>
                <w:rPr>
                  <w:rFonts w:asciiTheme="majorBidi" w:hAnsiTheme="majorBidi" w:cstheme="majorBidi"/>
                  <w:noProof/>
                  <w:lang w:val="it-IT"/>
                </w:rPr>
                <w:delText>+ 421 2 50 706 111</w:delText>
              </w:r>
            </w:del>
            <w:ins w:id="56" w:author="Author" w:date="2026-01-28T08:41:00Z">
              <w:r>
                <w:rPr>
                  <w:rFonts w:asciiTheme="majorBidi" w:hAnsiTheme="majorBidi" w:cstheme="majorBidi"/>
                  <w:noProof/>
                </w:rPr>
                <w:t>+421 2 48 200 600</w:t>
              </w:r>
            </w:ins>
          </w:p>
          <w:p>
            <w:pPr>
              <w:numPr>
                <w:ilvl w:val="12"/>
                <w:numId w:val="0"/>
              </w:numPr>
              <w:spacing w:after="0" w:line="240" w:lineRule="auto"/>
              <w:ind w:right="-2"/>
              <w:rPr>
                <w:rFonts w:asciiTheme="majorBidi" w:hAnsiTheme="majorBidi" w:cstheme="majorBidi"/>
                <w:noProof/>
                <w:lang w:val="it-IT"/>
              </w:rPr>
            </w:pPr>
            <w:del w:id="57" w:author="Author" w:date="2026-01-28T08:41:00Z">
              <w:r>
                <w:rPr>
                  <w:rFonts w:asciiTheme="majorBidi" w:hAnsiTheme="majorBidi" w:cstheme="majorBidi"/>
                  <w:noProof/>
                  <w:lang w:val="it-IT"/>
                </w:rPr>
                <w:delText>info@sandoz.sk</w:delText>
              </w:r>
            </w:del>
          </w:p>
          <w:p>
            <w:pPr>
              <w:numPr>
                <w:ilvl w:val="12"/>
                <w:numId w:val="0"/>
              </w:numPr>
              <w:spacing w:after="0" w:line="240" w:lineRule="auto"/>
              <w:ind w:right="-2"/>
              <w:rPr>
                <w:rFonts w:asciiTheme="majorBidi" w:hAnsiTheme="majorBidi" w:cstheme="majorBidi"/>
                <w:noProof/>
                <w:lang w:val="it-IT"/>
              </w:rPr>
            </w:pP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Italia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Sandoz  S.p.A </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 xml:space="preserve">Tel: </w:t>
            </w:r>
            <w:r>
              <w:rPr>
                <w:rFonts w:asciiTheme="majorBidi" w:hAnsiTheme="majorBidi" w:cstheme="majorBidi"/>
                <w:color w:val="000000"/>
              </w:rPr>
              <w:t>+39 02 812 806 96</w:t>
            </w:r>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Suomi/Finland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A/S</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Puh</w:t>
            </w:r>
            <w:r>
              <w:rPr>
                <w:rFonts w:asciiTheme="majorBidi" w:hAnsiTheme="majorBidi" w:cstheme="majorBidi"/>
                <w:noProof/>
                <w:lang w:val="en-US"/>
              </w:rPr>
              <w:t>/Tel</w:t>
            </w:r>
            <w:r>
              <w:rPr>
                <w:rFonts w:asciiTheme="majorBidi" w:hAnsiTheme="majorBidi" w:cstheme="majorBidi"/>
                <w:lang w:val="en-US"/>
              </w:rPr>
              <w:t>: + 358 010 6133 400</w:t>
            </w:r>
          </w:p>
          <w:p>
            <w:pPr>
              <w:numPr>
                <w:ilvl w:val="12"/>
                <w:numId w:val="0"/>
              </w:numPr>
              <w:spacing w:after="0" w:line="240" w:lineRule="auto"/>
              <w:ind w:right="-2"/>
              <w:rPr>
                <w:rFonts w:asciiTheme="majorBidi" w:hAnsiTheme="majorBidi" w:cstheme="majorBidi"/>
                <w:lang w:val="en-US"/>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noProof/>
                <w:lang w:val="de-DE"/>
              </w:rPr>
              <w:t>Κύπρος</w:t>
            </w:r>
          </w:p>
          <w:p>
            <w:pPr>
              <w:widowControl w:val="0"/>
              <w:numPr>
                <w:ilvl w:val="12"/>
                <w:numId w:val="0"/>
              </w:numPr>
              <w:spacing w:after="0" w:line="240" w:lineRule="auto"/>
              <w:rPr>
                <w:ins w:id="58" w:author="Author" w:date="2025-12-16T17:25:00Z"/>
                <w:rStyle w:val="ui-provider"/>
                <w:rFonts w:asciiTheme="majorBidi" w:hAnsiTheme="majorBidi" w:cstheme="majorBidi"/>
                <w:lang w:val="pt-BR"/>
              </w:rPr>
            </w:pPr>
            <w:ins w:id="59" w:author="Author" w:date="2025-12-16T17:25:00Z">
              <w:r>
                <w:rPr>
                  <w:rStyle w:val="ui-provider"/>
                  <w:rFonts w:asciiTheme="majorBidi" w:hAnsiTheme="majorBidi" w:cstheme="majorBidi"/>
                  <w:lang w:val="pt-BR"/>
                </w:rPr>
                <w:t xml:space="preserve">SANDOZ HELLAS </w:t>
              </w:r>
            </w:ins>
          </w:p>
          <w:p>
            <w:pPr>
              <w:pStyle w:val="pil-t1"/>
              <w:rPr>
                <w:ins w:id="60" w:author="Author" w:date="2025-12-16T17:31:00Z"/>
                <w:rFonts w:asciiTheme="majorBidi" w:hAnsiTheme="majorBidi" w:cstheme="majorBidi"/>
                <w:szCs w:val="22"/>
                <w:lang w:val="en-GB"/>
              </w:rPr>
            </w:pPr>
            <w:ins w:id="61" w:author="Author" w:date="2025-12-16T17:25:00Z">
              <w:r>
                <w:rPr>
                  <w:rStyle w:val="ui-provider"/>
                  <w:rFonts w:asciiTheme="majorBidi" w:hAnsiTheme="majorBidi" w:cstheme="majorBidi"/>
                  <w:szCs w:val="22"/>
                </w:rPr>
                <w:t>ΜΟΝΟΠΡΟΣΩΠΗ</w:t>
              </w:r>
              <w:r>
                <w:rPr>
                  <w:rStyle w:val="ui-provider"/>
                  <w:rFonts w:asciiTheme="majorBidi" w:hAnsiTheme="majorBidi" w:cstheme="majorBidi"/>
                  <w:szCs w:val="22"/>
                  <w:lang w:val="pt-BR"/>
                </w:rPr>
                <w:t xml:space="preserve"> </w:t>
              </w:r>
              <w:r>
                <w:rPr>
                  <w:rStyle w:val="ui-provider"/>
                  <w:rFonts w:asciiTheme="majorBidi" w:hAnsiTheme="majorBidi" w:cstheme="majorBidi"/>
                  <w:szCs w:val="22"/>
                </w:rPr>
                <w:t>Α</w:t>
              </w:r>
              <w:r>
                <w:rPr>
                  <w:rStyle w:val="ui-provider"/>
                  <w:rFonts w:asciiTheme="majorBidi" w:hAnsiTheme="majorBidi" w:cstheme="majorBidi"/>
                  <w:szCs w:val="22"/>
                  <w:lang w:val="pt-BR"/>
                </w:rPr>
                <w:t>.</w:t>
              </w:r>
              <w:r>
                <w:rPr>
                  <w:rStyle w:val="ui-provider"/>
                  <w:rFonts w:asciiTheme="majorBidi" w:hAnsiTheme="majorBidi" w:cstheme="majorBidi"/>
                  <w:szCs w:val="22"/>
                </w:rPr>
                <w:t>Ε</w:t>
              </w:r>
              <w:r>
                <w:rPr>
                  <w:rFonts w:asciiTheme="majorBidi" w:hAnsiTheme="majorBidi" w:cstheme="majorBidi"/>
                  <w:szCs w:val="22"/>
                  <w:lang w:val="en-GB"/>
                </w:rPr>
                <w:t xml:space="preserve"> </w:t>
              </w:r>
            </w:ins>
            <w:del w:id="62" w:author="Author" w:date="2025-12-16T17:25:00Z">
              <w:r>
                <w:rPr>
                  <w:rFonts w:asciiTheme="majorBidi" w:hAnsiTheme="majorBidi" w:cstheme="majorBidi"/>
                  <w:szCs w:val="22"/>
                  <w:lang w:val="en-GB"/>
                </w:rPr>
                <w:delText>Sandoz Pharmaceuticals d.d.</w:delText>
              </w:r>
            </w:del>
          </w:p>
          <w:p>
            <w:pPr>
              <w:pStyle w:val="pil-t1"/>
              <w:rPr>
                <w:del w:id="63" w:author="Author" w:date="2025-12-16T17:25:00Z"/>
                <w:rFonts w:asciiTheme="majorBidi" w:hAnsiTheme="majorBidi" w:cstheme="majorBidi"/>
                <w:szCs w:val="22"/>
                <w:lang w:val="en-GB"/>
              </w:rPr>
            </w:pPr>
            <w:ins w:id="64" w:author="Author" w:date="2025-12-16T17:30:00Z">
              <w:r>
                <w:rPr>
                  <w:rFonts w:asciiTheme="majorBidi" w:hAnsiTheme="majorBidi" w:cstheme="majorBidi"/>
                  <w:szCs w:val="22"/>
                  <w:lang w:val="en-GB"/>
                </w:rPr>
                <w:t>(Ελλάδα)</w:t>
              </w:r>
            </w:ins>
          </w:p>
          <w:p>
            <w:pPr>
              <w:pStyle w:val="pil-t1"/>
              <w:rPr>
                <w:rFonts w:asciiTheme="majorBidi" w:hAnsiTheme="majorBidi" w:cstheme="majorBidi"/>
                <w:szCs w:val="22"/>
                <w:lang w:val="es-ES"/>
              </w:rPr>
            </w:pPr>
            <w:r>
              <w:rPr>
                <w:rFonts w:asciiTheme="majorBidi" w:hAnsiTheme="majorBidi" w:cstheme="majorBidi"/>
                <w:szCs w:val="22"/>
                <w:lang w:val="es-ES"/>
              </w:rPr>
              <w:t>Τηλ: +3</w:t>
            </w:r>
            <w:ins w:id="65" w:author="Author" w:date="2025-12-16T17:47:00Z">
              <w:r>
                <w:rPr>
                  <w:rFonts w:asciiTheme="majorBidi" w:hAnsiTheme="majorBidi" w:cstheme="majorBidi"/>
                  <w:szCs w:val="22"/>
                  <w:lang w:val="es-ES"/>
                </w:rPr>
                <w:t>0</w:t>
              </w:r>
            </w:ins>
            <w:ins w:id="66" w:author="Author" w:date="2025-12-16T17:48:00Z">
              <w:r>
                <w:rPr>
                  <w:rFonts w:asciiTheme="majorBidi" w:hAnsiTheme="majorBidi" w:cstheme="majorBidi"/>
                  <w:szCs w:val="22"/>
                  <w:lang w:val="es-ES"/>
                </w:rPr>
                <w:t xml:space="preserve"> </w:t>
              </w:r>
            </w:ins>
            <w:ins w:id="67" w:author="Author" w:date="2025-12-16T17:47:00Z">
              <w:r>
                <w:rPr>
                  <w:rFonts w:asciiTheme="majorBidi" w:hAnsiTheme="majorBidi" w:cstheme="majorBidi"/>
                  <w:szCs w:val="22"/>
                  <w:lang w:val="es-ES"/>
                </w:rPr>
                <w:t>216 600 5000</w:t>
              </w:r>
            </w:ins>
            <w:del w:id="68" w:author="Author" w:date="2025-12-16T17:47:00Z">
              <w:r>
                <w:rPr>
                  <w:rFonts w:asciiTheme="majorBidi" w:hAnsiTheme="majorBidi" w:cstheme="majorBidi"/>
                  <w:szCs w:val="22"/>
                  <w:lang w:val="es-ES"/>
                </w:rPr>
                <w:delText>57 22 69 0690</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Sverige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rFonts w:asciiTheme="majorBidi" w:hAnsiTheme="majorBidi" w:cstheme="majorBidi"/>
                <w:lang w:val="pt-BR"/>
              </w:rPr>
            </w:pPr>
            <w:del w:id="69" w:author="Author" w:date="2025-12-18T09:45:00Z">
              <w:r>
                <w:rPr>
                  <w:rFonts w:asciiTheme="majorBidi" w:hAnsiTheme="majorBidi" w:cstheme="majorBidi"/>
                  <w:noProof/>
                  <w:lang w:val="pt-BR"/>
                </w:rPr>
                <w:delText>Puh/</w:delText>
              </w:r>
            </w:del>
            <w:r>
              <w:rPr>
                <w:rFonts w:asciiTheme="majorBidi" w:hAnsiTheme="majorBidi" w:cstheme="majorBidi"/>
                <w:lang w:val="pt-BR"/>
              </w:rPr>
              <w:t>Tel: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Latvija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d.d. Latvia filiāle</w:t>
            </w:r>
          </w:p>
          <w:p>
            <w:pPr>
              <w:numPr>
                <w:ilvl w:val="12"/>
                <w:numId w:val="0"/>
              </w:numPr>
              <w:spacing w:after="0" w:line="240" w:lineRule="auto"/>
              <w:ind w:right="-2"/>
              <w:rPr>
                <w:rFonts w:asciiTheme="majorBidi" w:hAnsiTheme="majorBidi" w:cstheme="majorBidi"/>
              </w:rPr>
            </w:pPr>
            <w:r>
              <w:rPr>
                <w:rFonts w:asciiTheme="majorBidi" w:hAnsiTheme="majorBidi" w:cstheme="majorBidi"/>
              </w:rPr>
              <w:t>K.Valdemāra iela 33-29</w:t>
            </w:r>
          </w:p>
          <w:p>
            <w:pPr>
              <w:numPr>
                <w:ilvl w:val="12"/>
                <w:numId w:val="0"/>
              </w:numPr>
              <w:spacing w:after="0" w:line="240" w:lineRule="auto"/>
              <w:ind w:right="-2"/>
              <w:rPr>
                <w:rFonts w:asciiTheme="majorBidi" w:hAnsiTheme="majorBidi" w:cstheme="majorBidi"/>
              </w:rPr>
            </w:pPr>
            <w:r>
              <w:rPr>
                <w:rFonts w:asciiTheme="majorBidi" w:hAnsiTheme="majorBidi" w:cstheme="majorBidi"/>
              </w:rPr>
              <w:t>Rīga, LV1010</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+ 371 67892006</w:t>
            </w:r>
          </w:p>
          <w:p>
            <w:pPr>
              <w:numPr>
                <w:ilvl w:val="12"/>
                <w:numId w:val="0"/>
              </w:numPr>
              <w:spacing w:after="0" w:line="240" w:lineRule="auto"/>
              <w:ind w:right="-2"/>
              <w:rPr>
                <w:rFonts w:asciiTheme="majorBidi" w:hAnsiTheme="majorBidi" w:cstheme="majorBidi"/>
              </w:rPr>
            </w:pPr>
          </w:p>
        </w:tc>
        <w:tc>
          <w:tcPr>
            <w:tcW w:w="4678" w:type="dxa"/>
          </w:tcPr>
          <w:p>
            <w:pPr>
              <w:numPr>
                <w:ilvl w:val="12"/>
                <w:numId w:val="0"/>
              </w:numPr>
              <w:spacing w:after="0" w:line="240" w:lineRule="auto"/>
              <w:ind w:right="-2"/>
              <w:rPr>
                <w:rFonts w:asciiTheme="majorBidi" w:hAnsiTheme="majorBidi" w:cstheme="majorBidi"/>
              </w:rPr>
            </w:pPr>
          </w:p>
        </w:tc>
      </w:tr>
      <w:bookmarkEnd w:id="2"/>
      <w:bookmarkEnd w:id="3"/>
    </w:tbl>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numPr>
          <w:ilvl w:val="12"/>
          <w:numId w:val="0"/>
        </w:numPr>
        <w:spacing w:after="0" w:line="240" w:lineRule="auto"/>
        <w:ind w:right="-2"/>
        <w:rPr>
          <w:rFonts w:ascii="Times New Roman" w:eastAsia="Times New Roman" w:hAnsi="Times New Roman"/>
        </w:rPr>
      </w:pPr>
      <w:r>
        <w:rPr>
          <w:rFonts w:ascii="Times New Roman" w:eastAsia="Times New Roman" w:hAnsi="Times New Roman"/>
          <w:b/>
          <w:bCs/>
          <w:lang w:eastAsia="de-DE"/>
        </w:rPr>
        <w:t>Šī lietošanas instrukcija pēdējo reizi pārskatīta</w:t>
      </w:r>
      <w:r>
        <w:rPr>
          <w:rFonts w:ascii="Times New Roman" w:eastAsia="MS Mincho" w:hAnsi="Times New Roman"/>
          <w:lang w:eastAsia="ja-JP"/>
        </w:rPr>
        <w:t>.</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
          <w:lang w:eastAsia="de-DE"/>
        </w:rPr>
      </w:pPr>
      <w:r>
        <w:rPr>
          <w:rFonts w:ascii="Times New Roman" w:eastAsia="Times New Roman" w:hAnsi="Times New Roman"/>
          <w:b/>
          <w:lang w:eastAsia="de-DE"/>
        </w:rPr>
        <w:t>Citi informācijas avoti</w:t>
      </w:r>
    </w:p>
    <w:p>
      <w:pPr>
        <w:widowControl w:val="0"/>
        <w:kinsoku w:val="0"/>
        <w:overflowPunct w:val="0"/>
        <w:autoSpaceDE w:val="0"/>
        <w:autoSpaceDN w:val="0"/>
        <w:adjustRightInd w:val="0"/>
        <w:spacing w:after="0" w:line="240" w:lineRule="auto"/>
        <w:rPr>
          <w:rFonts w:ascii="Times New Roman" w:hAnsi="Times New Roman"/>
        </w:rPr>
      </w:pPr>
      <w:r>
        <w:rPr>
          <w:rFonts w:ascii="Times New Roman" w:eastAsia="Times New Roman" w:hAnsi="Times New Roman"/>
          <w:lang w:eastAsia="de-DE"/>
        </w:rPr>
        <w:t>Sīkāka informācija par šīm zālēm ir pieejama Eiropas Zāļu aģentūras tīmekļa vietnē</w:t>
      </w:r>
      <w:r>
        <w:fldChar w:fldCharType="begin"/>
      </w:r>
      <w:r>
        <w:instrText xml:space="preserve"> HYPERLINK "http://www.ema.europa.eu/" </w:instrText>
      </w:r>
      <w:r>
        <w:fldChar w:fldCharType="separate"/>
      </w:r>
      <w:r>
        <w:rPr>
          <w:rStyle w:val="Hyperlink"/>
          <w:rFonts w:ascii="Times New Roman" w:hAnsi="Times New Roman"/>
        </w:rPr>
        <w:t xml:space="preserve"> </w:t>
      </w:r>
      <w:r>
        <w:fldChar w:fldCharType="begin"/>
      </w:r>
      <w:r>
        <w:instrText>HYPERLINK "https://www.ema.europa.eu/"</w:instrText>
      </w:r>
      <w:r>
        <w:fldChar w:fldCharType="separate"/>
      </w:r>
      <w:r>
        <w:rPr>
          <w:rFonts w:ascii="Times New Roman" w:eastAsia="Times New Roman" w:hAnsi="Times New Roman"/>
          <w:color w:val="0000FF"/>
          <w:u w:val="single"/>
        </w:rPr>
        <w:t>http</w:t>
      </w:r>
      <w:ins w:id="70" w:author="Author" w:date="2026-01-27T13:41:00Z">
        <w:r>
          <w:rPr>
            <w:rFonts w:ascii="Times New Roman" w:eastAsia="Times New Roman" w:hAnsi="Times New Roman"/>
            <w:color w:val="0000FF"/>
            <w:u w:val="single"/>
          </w:rPr>
          <w:t>s</w:t>
        </w:r>
      </w:ins>
      <w:r>
        <w:rPr>
          <w:rFonts w:ascii="Times New Roman" w:eastAsia="Times New Roman" w:hAnsi="Times New Roman"/>
          <w:color w:val="0000FF"/>
          <w:u w:val="single"/>
        </w:rPr>
        <w:t>://www.ema.europa.eu</w:t>
      </w:r>
      <w:r>
        <w:rPr>
          <w:rFonts w:ascii="Times New Roman" w:eastAsia="Times New Roman" w:hAnsi="Times New Roman"/>
          <w:color w:val="0000FF"/>
          <w:u w:val="single"/>
        </w:rPr>
        <w:fldChar w:fldCharType="end"/>
      </w:r>
      <w:r>
        <w:rPr>
          <w:rFonts w:ascii="Times New Roman" w:eastAsia="Times New Roman" w:hAnsi="Times New Roman"/>
          <w:color w:val="0000FF"/>
          <w:u w:val="single"/>
        </w:rPr>
        <w:fldChar w:fldCharType="end"/>
      </w:r>
      <w:r>
        <w:rPr>
          <w:rFonts w:ascii="Times New Roman" w:eastAsia="Times New Roman" w:hAnsi="Times New Roman"/>
          <w:lang w:eastAsia="de-DE"/>
        </w:rPr>
        <w:t>.</w:t>
      </w:r>
    </w:p>
    <w:sectPr>
      <w:footerReference w:type="default" r:id="rId12"/>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de-DE"/>
      </w:rPr>
      <w:t>66</w:t>
    </w:r>
    <w:r>
      <w:rPr>
        <w:rFonts w:ascii="Arial" w:hAnsi="Arial" w:cs="Arial"/>
        <w:sz w:val="16"/>
        <w:szCs w:val="16"/>
      </w:rPr>
      <w:fldChar w:fldCharType="end"/>
    </w:r>
  </w:p>
  <w:p>
    <w:pPr>
      <w:pStyle w:val="BodyText"/>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EECB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69881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E2A7A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3C0B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8F275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B8DF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9A1B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C82FD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0635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9E64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4627737"/>
    <w:multiLevelType w:val="hybridMultilevel"/>
    <w:tmpl w:val="86FA84AA"/>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A25E3"/>
    <w:multiLevelType w:val="hybridMultilevel"/>
    <w:tmpl w:val="6BD40FF6"/>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3E126F"/>
    <w:multiLevelType w:val="hybridMultilevel"/>
    <w:tmpl w:val="EBB2BE28"/>
    <w:lvl w:ilvl="0" w:tplc="FD02DB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BD04F5"/>
    <w:multiLevelType w:val="hybridMultilevel"/>
    <w:tmpl w:val="6BD40FF6"/>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3A37FE"/>
    <w:multiLevelType w:val="hybridMultilevel"/>
    <w:tmpl w:val="793C8982"/>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2C5824"/>
    <w:multiLevelType w:val="hybridMultilevel"/>
    <w:tmpl w:val="4720F422"/>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8F64E6"/>
    <w:multiLevelType w:val="hybridMultilevel"/>
    <w:tmpl w:val="2C228A48"/>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D22B04"/>
    <w:multiLevelType w:val="hybridMultilevel"/>
    <w:tmpl w:val="D45C6C90"/>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E24EA2"/>
    <w:multiLevelType w:val="hybridMultilevel"/>
    <w:tmpl w:val="E3FE3626"/>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9"/>
  </w:num>
  <w:num w:numId="2">
    <w:abstractNumId w:val="11"/>
  </w:num>
  <w:num w:numId="3">
    <w:abstractNumId w:val="13"/>
  </w:num>
  <w:num w:numId="4">
    <w:abstractNumId w:val="16"/>
  </w:num>
  <w:num w:numId="5">
    <w:abstractNumId w:val="15"/>
  </w:num>
  <w:num w:numId="6">
    <w:abstractNumId w:val="17"/>
  </w:num>
  <w:num w:numId="7">
    <w:abstractNumId w:val="10"/>
  </w:num>
  <w:num w:numId="8">
    <w:abstractNumId w:val="18"/>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DateAndTime/>
  <w:activeWritingStyle w:appName="MSWord" w:lang="pt-BR"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6" w:nlCheck="1" w:checkStyle="0"/>
  <w:activeWritingStyle w:appName="MSWord" w:lang="es-ES" w:vendorID="64" w:dllVersion="6" w:nlCheck="1" w:checkStyle="1"/>
  <w:activeWritingStyle w:appName="MSWord" w:lang="fr-FR" w:vendorID="64" w:dllVersion="6" w:nlCheck="1" w:checkStyle="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A3E6E-95C3-4868-98D7-3C382FAF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lv-LV" w:eastAsia="en-US"/>
    </w:rPr>
  </w:style>
  <w:style w:type="paragraph" w:styleId="Heading1">
    <w:name w:val="heading 1"/>
    <w:basedOn w:val="Normal"/>
    <w:next w:val="Normal"/>
    <w:link w:val="Heading1Char"/>
    <w:uiPriority w:val="1"/>
    <w:qFormat/>
    <w:pPr>
      <w:widowControl w:val="0"/>
      <w:autoSpaceDE w:val="0"/>
      <w:autoSpaceDN w:val="0"/>
      <w:adjustRightInd w:val="0"/>
      <w:spacing w:after="0" w:line="240" w:lineRule="auto"/>
      <w:ind w:left="684" w:hanging="566"/>
      <w:jc w:val="center"/>
      <w:outlineLvl w:val="0"/>
    </w:pPr>
    <w:rPr>
      <w:rFonts w:ascii="Times New Roman" w:eastAsia="Times New Roman" w:hAnsi="Times New Roman"/>
      <w:b/>
      <w:bCs/>
      <w:lang w:val="x-none" w:eastAsia="x-none"/>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eastAsia="MS Gothic"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MS Gothic"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eastAsia="MS Mincho"/>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eastAsia="MS Mincho"/>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eastAsia="MS Mincho"/>
      <w:b/>
      <w:bCs/>
    </w:rPr>
  </w:style>
  <w:style w:type="paragraph" w:styleId="Heading7">
    <w:name w:val="heading 7"/>
    <w:basedOn w:val="Normal"/>
    <w:next w:val="Normal"/>
    <w:link w:val="Heading7Char"/>
    <w:uiPriority w:val="9"/>
    <w:semiHidden/>
    <w:unhideWhenUsed/>
    <w:qFormat/>
    <w:pPr>
      <w:spacing w:before="240" w:after="60"/>
      <w:outlineLvl w:val="6"/>
    </w:pPr>
    <w:rPr>
      <w:rFonts w:eastAsia="MS Mincho"/>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eastAsia="MS Mincho"/>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eastAsia="MS Gothic"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pPr>
      <w:spacing w:after="0" w:line="240" w:lineRule="auto"/>
    </w:pPr>
    <w:rPr>
      <w:sz w:val="20"/>
      <w:szCs w:val="20"/>
      <w:lang w:val="en-US" w:eastAsia="ja-JP"/>
    </w:rPr>
  </w:style>
  <w:style w:type="character" w:customStyle="1" w:styleId="BalloonTextChar">
    <w:name w:val="Balloon Text Char"/>
    <w:link w:val="BalloonText"/>
    <w:semiHidden/>
    <w:rPr>
      <w:lang w:val="en-US" w:eastAsia="ja-JP"/>
    </w:rPr>
  </w:style>
  <w:style w:type="paragraph" w:styleId="BodyText">
    <w:name w:val="Body Text"/>
    <w:basedOn w:val="Normal"/>
    <w:link w:val="BodyTextChar"/>
    <w:uiPriority w:val="1"/>
    <w:unhideWhenUsed/>
    <w:qFormat/>
    <w:pPr>
      <w:spacing w:after="120"/>
    </w:pPr>
  </w:style>
  <w:style w:type="character" w:customStyle="1" w:styleId="BodyTextChar">
    <w:name w:val="Body Text Char"/>
    <w:basedOn w:val="DefaultParagraphFont"/>
    <w:link w:val="BodyText"/>
    <w:uiPriority w:val="1"/>
  </w:style>
  <w:style w:type="character" w:customStyle="1" w:styleId="Heading1Char">
    <w:name w:val="Heading 1 Char"/>
    <w:link w:val="Heading1"/>
    <w:uiPriority w:val="1"/>
    <w:rPr>
      <w:rFonts w:ascii="Times New Roman" w:eastAsia="Times New Roman" w:hAnsi="Times New Roman"/>
      <w:b/>
      <w:bCs/>
      <w:sz w:val="22"/>
      <w:szCs w:val="22"/>
      <w:lang w:val="x-none" w:eastAsia="x-none"/>
    </w:rPr>
  </w:style>
  <w:style w:type="paragraph" w:styleId="ListParagraph">
    <w:name w:val="List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paragraph" w:customStyle="1" w:styleId="TableParagraph">
    <w:name w:val="Table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x-none"/>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paragraph" w:styleId="Header">
    <w:name w:val="header"/>
    <w:basedOn w:val="Normal"/>
    <w:link w:val="HeaderChar"/>
    <w:uiPriority w:val="99"/>
    <w:unhideWhenUsed/>
    <w:pPr>
      <w:tabs>
        <w:tab w:val="center" w:pos="4536"/>
        <w:tab w:val="right" w:pos="9072"/>
      </w:tabs>
    </w:pPr>
    <w:rPr>
      <w:lang w:val="x-none"/>
    </w:r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36"/>
        <w:tab w:val="right" w:pos="9072"/>
      </w:tabs>
    </w:pPr>
    <w:rPr>
      <w:lang w:val="x-none"/>
    </w:rPr>
  </w:style>
  <w:style w:type="character" w:customStyle="1" w:styleId="FooterChar">
    <w:name w:val="Footer Char"/>
    <w:link w:val="Footer"/>
    <w:uiPriority w:val="99"/>
    <w:rPr>
      <w:sz w:val="22"/>
      <w:szCs w:val="22"/>
      <w:lang w:eastAsia="en-US"/>
    </w:rPr>
  </w:style>
  <w:style w:type="character" w:styleId="Hyperlink">
    <w:name w:val="Hyperlink"/>
    <w:unhideWhenUsed/>
    <w:rPr>
      <w:color w:val="0000FF"/>
      <w:u w:val="single"/>
    </w:rPr>
  </w:style>
  <w:style w:type="paragraph" w:styleId="Revision">
    <w:name w:val="Revision"/>
    <w:hidden/>
    <w:uiPriority w:val="99"/>
    <w:semiHidden/>
    <w:rPr>
      <w:sz w:val="22"/>
      <w:szCs w:val="22"/>
      <w:lang w:val="de-DE" w:eastAsia="en-US"/>
    </w:rPr>
  </w:style>
  <w:style w:type="paragraph" w:customStyle="1" w:styleId="EMEABodyText">
    <w:name w:val="EMEA Body Text"/>
    <w:basedOn w:val="Normal"/>
    <w:link w:val="EMEABodyTextChar"/>
    <w:pPr>
      <w:spacing w:after="0" w:line="240" w:lineRule="auto"/>
    </w:pPr>
    <w:rPr>
      <w:rFonts w:ascii="Times New Roman" w:eastAsia="Times New Roman" w:hAnsi="Times New Roman"/>
      <w:szCs w:val="20"/>
      <w:lang w:val="en-GB" w:eastAsia="x-none"/>
    </w:rPr>
  </w:style>
  <w:style w:type="character" w:customStyle="1" w:styleId="EMEABodyTextChar">
    <w:name w:val="EMEA Body Text Char"/>
    <w:link w:val="EMEABodyText"/>
    <w:rPr>
      <w:rFonts w:ascii="Times New Roman" w:eastAsia="Times New Roman" w:hAnsi="Times New Roman"/>
      <w:sz w:val="22"/>
      <w:lang w:val="en-GB"/>
    </w:rPr>
  </w:style>
  <w:style w:type="paragraph" w:customStyle="1" w:styleId="TitleA">
    <w:name w:val="Title A"/>
    <w:basedOn w:val="Normal"/>
    <w:qFormat/>
    <w:pPr>
      <w:widowControl w:val="0"/>
      <w:spacing w:after="0" w:line="240" w:lineRule="auto"/>
      <w:jc w:val="center"/>
    </w:pPr>
    <w:rPr>
      <w:rFonts w:ascii="Times New Roman" w:eastAsia="Times New Roman" w:hAnsi="Times New Roman"/>
      <w:b/>
      <w:szCs w:val="20"/>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eastAsia="lv-LV" w:bidi="lv-LV"/>
    </w:rPr>
  </w:style>
  <w:style w:type="character" w:customStyle="1" w:styleId="BodytextAgencyChar">
    <w:name w:val="Body text (Agency) Char"/>
    <w:link w:val="BodytextAgency"/>
    <w:rPr>
      <w:rFonts w:ascii="Verdana" w:eastAsia="Verdana" w:hAnsi="Verdana" w:cs="Verdana"/>
      <w:sz w:val="18"/>
      <w:szCs w:val="18"/>
      <w:lang w:val="lv-LV" w:eastAsia="lv-LV" w:bidi="lv-LV"/>
    </w:rPr>
  </w:style>
  <w:style w:type="character" w:customStyle="1" w:styleId="No-numheading3AgencyChar">
    <w:name w:val="No-num heading 3 (Agency) Char"/>
    <w:link w:val="No-numheading3Agency"/>
    <w:locked/>
    <w:rPr>
      <w:rFonts w:ascii="Verdana" w:hAnsi="Verdana"/>
      <w:b/>
      <w:kern w:val="32"/>
      <w:sz w:val="22"/>
      <w:lang w:val="en-GB" w:eastAsia="lv-LV"/>
    </w:rPr>
  </w:style>
  <w:style w:type="paragraph" w:customStyle="1" w:styleId="No-numheading3Agency">
    <w:name w:val="No-num heading 3 (Agency)"/>
    <w:link w:val="No-numheading3AgencyChar"/>
    <w:pPr>
      <w:keepNext/>
      <w:snapToGrid w:val="0"/>
      <w:spacing w:before="280" w:after="220"/>
      <w:outlineLvl w:val="2"/>
    </w:pPr>
    <w:rPr>
      <w:rFonts w:ascii="Verdana" w:hAnsi="Verdana"/>
      <w:b/>
      <w:kern w:val="32"/>
      <w:sz w:val="22"/>
      <w:lang w:val="en-GB" w:eastAsia="lv-LV"/>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eastAsia="lv-LV" w:bidi="lv-LV"/>
    </w:rPr>
  </w:style>
  <w:style w:type="character" w:customStyle="1" w:styleId="DraftingNotesAgencyChar">
    <w:name w:val="Drafting Notes (Agency) Char"/>
    <w:link w:val="DraftingNotesAgency"/>
    <w:rPr>
      <w:rFonts w:ascii="Courier New" w:eastAsia="Verdana" w:hAnsi="Courier New"/>
      <w:i/>
      <w:color w:val="339966"/>
      <w:sz w:val="22"/>
      <w:szCs w:val="18"/>
      <w:lang w:val="lv-LV" w:eastAsia="lv-LV" w:bidi="lv-LV"/>
    </w:rPr>
  </w:style>
  <w:style w:type="paragraph" w:customStyle="1" w:styleId="TitleB">
    <w:name w:val="Title B"/>
    <w:basedOn w:val="NormalWeb"/>
    <w:qFormat/>
    <w:pPr>
      <w:spacing w:after="0" w:line="240" w:lineRule="auto"/>
      <w:ind w:left="567" w:hanging="567"/>
    </w:pPr>
    <w:rPr>
      <w:b/>
      <w:sz w:val="22"/>
    </w:rPr>
  </w:style>
  <w:style w:type="paragraph" w:styleId="TableofFigures">
    <w:name w:val="table of figures"/>
    <w:basedOn w:val="Normal"/>
    <w:next w:val="Normal"/>
    <w:uiPriority w:val="99"/>
    <w:semiHidden/>
    <w:unhideWhenUsed/>
  </w:style>
  <w:style w:type="paragraph" w:styleId="NormalWeb">
    <w:name w:val="Normal (Web)"/>
    <w:basedOn w:val="Normal"/>
    <w:uiPriority w:val="99"/>
    <w:semiHidden/>
    <w:unhideWhenUsed/>
    <w:rPr>
      <w:rFonts w:ascii="Times New Roman" w:hAnsi="Times New Roman"/>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szCs w:val="22"/>
      <w:lang w:val="lv-LV" w:eastAsia="en-US"/>
    </w:rPr>
  </w:style>
  <w:style w:type="paragraph" w:styleId="ListBullet">
    <w:name w:val="List Bullet"/>
    <w:basedOn w:val="Normal"/>
    <w:uiPriority w:val="99"/>
    <w:semiHidden/>
    <w:unhideWhenUsed/>
    <w:pPr>
      <w:numPr>
        <w:numId w:val="10"/>
      </w:numPr>
      <w:contextualSpacing/>
    </w:pPr>
  </w:style>
  <w:style w:type="paragraph" w:styleId="ListBullet2">
    <w:name w:val="List Bullet 2"/>
    <w:basedOn w:val="Normal"/>
    <w:uiPriority w:val="99"/>
    <w:semiHidden/>
    <w:unhideWhenUsed/>
    <w:pPr>
      <w:numPr>
        <w:numId w:val="11"/>
      </w:numPr>
      <w:contextualSpacing/>
    </w:pPr>
  </w:style>
  <w:style w:type="paragraph" w:styleId="ListBullet3">
    <w:name w:val="List Bullet 3"/>
    <w:basedOn w:val="Normal"/>
    <w:uiPriority w:val="99"/>
    <w:semiHidden/>
    <w:unhideWhenUsed/>
    <w:pPr>
      <w:numPr>
        <w:numId w:val="12"/>
      </w:numPr>
      <w:contextualSpacing/>
    </w:pPr>
  </w:style>
  <w:style w:type="paragraph" w:styleId="ListBullet4">
    <w:name w:val="List Bullet 4"/>
    <w:basedOn w:val="Normal"/>
    <w:uiPriority w:val="99"/>
    <w:semiHidden/>
    <w:unhideWhenUsed/>
    <w:pPr>
      <w:numPr>
        <w:numId w:val="13"/>
      </w:numPr>
      <w:contextualSpacing/>
    </w:pPr>
  </w:style>
  <w:style w:type="paragraph" w:styleId="ListBullet5">
    <w:name w:val="List Bullet 5"/>
    <w:basedOn w:val="Normal"/>
    <w:uiPriority w:val="99"/>
    <w:semiHidden/>
    <w:unhideWhenUsed/>
    <w:pPr>
      <w:numPr>
        <w:numId w:val="14"/>
      </w:numPr>
      <w:contextualSpacing/>
    </w:pPr>
  </w:style>
  <w:style w:type="paragraph" w:styleId="Caption">
    <w:name w:val="caption"/>
    <w:basedOn w:val="Normal"/>
    <w:next w:val="Normal"/>
    <w:uiPriority w:val="35"/>
    <w:semiHidden/>
    <w:unhideWhenUsed/>
    <w:qFormat/>
    <w:rPr>
      <w:b/>
      <w:bCs/>
      <w:sz w:val="20"/>
      <w:szCs w:val="20"/>
    </w:rPr>
  </w:style>
  <w:style w:type="paragraph" w:styleId="BlockText">
    <w:name w:val="Block Text"/>
    <w:basedOn w:val="Normal"/>
    <w:uiPriority w:val="99"/>
    <w:semiHidden/>
    <w:unhideWhenUsed/>
    <w:pPr>
      <w:spacing w:after="120"/>
      <w:ind w:left="1440" w:right="1440"/>
    </w:p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szCs w:val="22"/>
      <w:lang w:val="lv-LV" w:eastAsia="en-US"/>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hAnsi="Tahoma" w:cs="Tahoma"/>
      <w:sz w:val="16"/>
      <w:szCs w:val="16"/>
      <w:lang w:val="lv-LV"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2"/>
      <w:lang w:val="lv-LV" w:eastAsia="en-U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val="lv-LV"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szCs w:val="22"/>
      <w:lang w:val="lv-LV"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lv-LV"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2"/>
      <w:lang w:val="lv-LV"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2"/>
      <w:lang w:val="lv-LV" w:eastAsia="en-US"/>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val="lv-LV"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eastAsia="MS Gothic" w:hAnsi="Cambria"/>
      <w:b/>
      <w:bCs/>
    </w:rPr>
  </w:style>
  <w:style w:type="paragraph" w:styleId="TOCHeading">
    <w:name w:val="TOC Heading"/>
    <w:basedOn w:val="Heading1"/>
    <w:next w:val="Normal"/>
    <w:uiPriority w:val="39"/>
    <w:semiHidden/>
    <w:unhideWhenUsed/>
    <w:qFormat/>
    <w:pPr>
      <w:keepNext/>
      <w:widowControl/>
      <w:autoSpaceDE/>
      <w:autoSpaceDN/>
      <w:adjustRightInd/>
      <w:spacing w:before="240" w:after="60" w:line="276" w:lineRule="auto"/>
      <w:ind w:left="0" w:firstLine="0"/>
      <w:jc w:val="left"/>
      <w:outlineLvl w:val="9"/>
    </w:pPr>
    <w:rPr>
      <w:rFonts w:ascii="Cambria" w:eastAsia="MS Gothic" w:hAnsi="Cambria"/>
      <w:kern w:val="32"/>
      <w:sz w:val="32"/>
      <w:szCs w:val="32"/>
      <w:lang w:val="lv-LV"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szCs w:val="22"/>
      <w:lang w:val="lv-LV" w:eastAsia="en-US"/>
    </w:rPr>
  </w:style>
  <w:style w:type="paragraph" w:styleId="NoSpacing">
    <w:name w:val="No Spacing"/>
    <w:uiPriority w:val="1"/>
    <w:qFormat/>
    <w:rPr>
      <w:sz w:val="22"/>
      <w:szCs w:val="22"/>
      <w:lang w:val="lv-LV"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15"/>
      </w:numPr>
      <w:contextualSpacing/>
    </w:pPr>
  </w:style>
  <w:style w:type="paragraph" w:styleId="ListNumber2">
    <w:name w:val="List Number 2"/>
    <w:basedOn w:val="Normal"/>
    <w:uiPriority w:val="99"/>
    <w:semiHidden/>
    <w:unhideWhenUsed/>
    <w:pPr>
      <w:numPr>
        <w:numId w:val="16"/>
      </w:numPr>
      <w:contextualSpacing/>
    </w:pPr>
  </w:style>
  <w:style w:type="paragraph" w:styleId="ListNumber3">
    <w:name w:val="List Number 3"/>
    <w:basedOn w:val="Normal"/>
    <w:uiPriority w:val="99"/>
    <w:semiHidden/>
    <w:unhideWhenUsed/>
    <w:pPr>
      <w:numPr>
        <w:numId w:val="17"/>
      </w:numPr>
      <w:contextualSpacing/>
    </w:pPr>
  </w:style>
  <w:style w:type="paragraph" w:styleId="ListNumber4">
    <w:name w:val="List Number 4"/>
    <w:basedOn w:val="Normal"/>
    <w:uiPriority w:val="99"/>
    <w:semiHidden/>
    <w:unhideWhenUsed/>
    <w:pPr>
      <w:numPr>
        <w:numId w:val="18"/>
      </w:numPr>
      <w:contextualSpacing/>
    </w:pPr>
  </w:style>
  <w:style w:type="paragraph" w:styleId="ListNumber5">
    <w:name w:val="List Number 5"/>
    <w:basedOn w:val="Normal"/>
    <w:uiPriority w:val="99"/>
    <w:semiHidden/>
    <w:unhideWhenUsed/>
    <w:pPr>
      <w:numPr>
        <w:numId w:val="19"/>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lv-LV" w:eastAsia="en-US"/>
    </w:rPr>
  </w:style>
  <w:style w:type="character" w:customStyle="1" w:styleId="MacroTextChar">
    <w:name w:val="Macro Text Char"/>
    <w:link w:val="MacroText"/>
    <w:uiPriority w:val="99"/>
    <w:semiHidden/>
    <w:rPr>
      <w:rFonts w:ascii="Courier New" w:hAnsi="Courier New" w:cs="Courier New"/>
      <w:lang w:val="lv-LV"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MessageHeaderChar">
    <w:name w:val="Message Header Char"/>
    <w:link w:val="MessageHeader"/>
    <w:uiPriority w:val="99"/>
    <w:semiHidden/>
    <w:rPr>
      <w:rFonts w:ascii="Cambria" w:eastAsia="MS Gothic" w:hAnsi="Cambria" w:cs="Times New Roman"/>
      <w:sz w:val="24"/>
      <w:szCs w:val="24"/>
      <w:shd w:val="pct20" w:color="auto" w:fill="auto"/>
      <w:lang w:val="lv-LV" w:eastAsia="en-US"/>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val="lv-LV"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eastAsia="MS Gothic" w:hAnsi="Cambria"/>
      <w:b/>
      <w:bCs/>
      <w:sz w:val="24"/>
      <w:szCs w:val="24"/>
    </w:rPr>
  </w:style>
  <w:style w:type="paragraph" w:styleId="NormalIndent">
    <w:name w:val="Normal Indent"/>
    <w:basedOn w:val="Normal"/>
    <w:uiPriority w:val="99"/>
    <w:semiHidden/>
    <w:unhideWhenUsed/>
    <w:pPr>
      <w:ind w:left="708"/>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szCs w:val="22"/>
      <w:lang w:val="lv-LV"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val="lv-LV"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szCs w:val="22"/>
      <w:lang w:val="lv-LV"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val="lv-LV" w:eastAsia="en-US"/>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sz w:val="22"/>
      <w:szCs w:val="22"/>
      <w:lang w:val="lv-LV"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szCs w:val="22"/>
      <w:lang w:val="lv-LV"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sz w:val="22"/>
      <w:szCs w:val="22"/>
      <w:lang w:val="lv-LV" w:eastAsia="en-US"/>
    </w:rPr>
  </w:style>
  <w:style w:type="paragraph" w:styleId="Title">
    <w:name w:val="Title"/>
    <w:basedOn w:val="Normal"/>
    <w:next w:val="Normal"/>
    <w:link w:val="TitleChar"/>
    <w:uiPriority w:val="10"/>
    <w:qFormat/>
    <w:pPr>
      <w:spacing w:before="240" w:after="60"/>
      <w:jc w:val="center"/>
      <w:outlineLvl w:val="0"/>
    </w:pPr>
    <w:rPr>
      <w:rFonts w:ascii="Cambria" w:eastAsia="MS Gothic" w:hAnsi="Cambria"/>
      <w:b/>
      <w:bCs/>
      <w:kern w:val="28"/>
      <w:sz w:val="32"/>
      <w:szCs w:val="32"/>
    </w:rPr>
  </w:style>
  <w:style w:type="character" w:customStyle="1" w:styleId="TitleChar">
    <w:name w:val="Title Char"/>
    <w:link w:val="Title"/>
    <w:uiPriority w:val="10"/>
    <w:rPr>
      <w:rFonts w:ascii="Cambria" w:eastAsia="MS Gothic" w:hAnsi="Cambria" w:cs="Times New Roman"/>
      <w:b/>
      <w:bCs/>
      <w:kern w:val="28"/>
      <w:sz w:val="32"/>
      <w:szCs w:val="32"/>
      <w:lang w:val="lv-LV" w:eastAsia="en-US"/>
    </w:rPr>
  </w:style>
  <w:style w:type="character" w:customStyle="1" w:styleId="Heading2Char">
    <w:name w:val="Heading 2 Char"/>
    <w:link w:val="Heading2"/>
    <w:uiPriority w:val="9"/>
    <w:semiHidden/>
    <w:rPr>
      <w:rFonts w:ascii="Cambria" w:eastAsia="MS Gothic" w:hAnsi="Cambria" w:cs="Times New Roman"/>
      <w:b/>
      <w:bCs/>
      <w:i/>
      <w:iCs/>
      <w:sz w:val="28"/>
      <w:szCs w:val="28"/>
      <w:lang w:val="lv-LV" w:eastAsia="en-US"/>
    </w:rPr>
  </w:style>
  <w:style w:type="character" w:customStyle="1" w:styleId="Heading3Char">
    <w:name w:val="Heading 3 Char"/>
    <w:link w:val="Heading3"/>
    <w:uiPriority w:val="9"/>
    <w:semiHidden/>
    <w:rPr>
      <w:rFonts w:ascii="Cambria" w:eastAsia="MS Gothic" w:hAnsi="Cambria" w:cs="Times New Roman"/>
      <w:b/>
      <w:bCs/>
      <w:sz w:val="26"/>
      <w:szCs w:val="26"/>
      <w:lang w:val="lv-LV" w:eastAsia="en-US"/>
    </w:rPr>
  </w:style>
  <w:style w:type="character" w:customStyle="1" w:styleId="Heading4Char">
    <w:name w:val="Heading 4 Char"/>
    <w:link w:val="Heading4"/>
    <w:uiPriority w:val="9"/>
    <w:semiHidden/>
    <w:rPr>
      <w:rFonts w:ascii="Calibri" w:eastAsia="MS Mincho" w:hAnsi="Calibri" w:cs="Times New Roman"/>
      <w:b/>
      <w:bCs/>
      <w:sz w:val="28"/>
      <w:szCs w:val="28"/>
      <w:lang w:val="lv-LV" w:eastAsia="en-US"/>
    </w:rPr>
  </w:style>
  <w:style w:type="character" w:customStyle="1" w:styleId="Heading5Char">
    <w:name w:val="Heading 5 Char"/>
    <w:link w:val="Heading5"/>
    <w:uiPriority w:val="9"/>
    <w:semiHidden/>
    <w:rPr>
      <w:rFonts w:ascii="Calibri" w:eastAsia="MS Mincho" w:hAnsi="Calibri" w:cs="Times New Roman"/>
      <w:b/>
      <w:bCs/>
      <w:i/>
      <w:iCs/>
      <w:sz w:val="26"/>
      <w:szCs w:val="26"/>
      <w:lang w:val="lv-LV" w:eastAsia="en-US"/>
    </w:rPr>
  </w:style>
  <w:style w:type="character" w:customStyle="1" w:styleId="Heading6Char">
    <w:name w:val="Heading 6 Char"/>
    <w:link w:val="Heading6"/>
    <w:uiPriority w:val="9"/>
    <w:semiHidden/>
    <w:rPr>
      <w:rFonts w:ascii="Calibri" w:eastAsia="MS Mincho" w:hAnsi="Calibri" w:cs="Times New Roman"/>
      <w:b/>
      <w:bCs/>
      <w:sz w:val="22"/>
      <w:szCs w:val="22"/>
      <w:lang w:val="lv-LV" w:eastAsia="en-US"/>
    </w:rPr>
  </w:style>
  <w:style w:type="character" w:customStyle="1" w:styleId="Heading7Char">
    <w:name w:val="Heading 7 Char"/>
    <w:link w:val="Heading7"/>
    <w:uiPriority w:val="9"/>
    <w:semiHidden/>
    <w:rPr>
      <w:rFonts w:ascii="Calibri" w:eastAsia="MS Mincho" w:hAnsi="Calibri" w:cs="Times New Roman"/>
      <w:sz w:val="24"/>
      <w:szCs w:val="24"/>
      <w:lang w:val="lv-LV" w:eastAsia="en-US"/>
    </w:rPr>
  </w:style>
  <w:style w:type="character" w:customStyle="1" w:styleId="Heading8Char">
    <w:name w:val="Heading 8 Char"/>
    <w:link w:val="Heading8"/>
    <w:uiPriority w:val="9"/>
    <w:semiHidden/>
    <w:rPr>
      <w:rFonts w:ascii="Calibri" w:eastAsia="MS Mincho" w:hAnsi="Calibri" w:cs="Times New Roman"/>
      <w:i/>
      <w:iCs/>
      <w:sz w:val="24"/>
      <w:szCs w:val="24"/>
      <w:lang w:val="lv-LV" w:eastAsia="en-US"/>
    </w:rPr>
  </w:style>
  <w:style w:type="character" w:customStyle="1" w:styleId="Heading9Char">
    <w:name w:val="Heading 9 Char"/>
    <w:link w:val="Heading9"/>
    <w:uiPriority w:val="9"/>
    <w:semiHidden/>
    <w:rPr>
      <w:rFonts w:ascii="Cambria" w:eastAsia="MS Gothic" w:hAnsi="Cambria" w:cs="Times New Roman"/>
      <w:sz w:val="22"/>
      <w:szCs w:val="22"/>
      <w:lang w:val="lv-LV" w:eastAsia="en-US"/>
    </w:rPr>
  </w:style>
  <w:style w:type="paragraph" w:styleId="EnvelopeReturn">
    <w:name w:val="envelope return"/>
    <w:basedOn w:val="Normal"/>
    <w:uiPriority w:val="99"/>
    <w:semiHidden/>
    <w:unhideWhenUsed/>
    <w:rPr>
      <w:rFonts w:ascii="Cambria" w:eastAsia="MS Gothic" w:hAnsi="Cambria"/>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eastAsia="MS Gothic" w:hAnsi="Cambria"/>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szCs w:val="22"/>
      <w:lang w:val="lv-LV" w:eastAsia="en-US"/>
    </w:rPr>
  </w:style>
  <w:style w:type="paragraph" w:styleId="Subtitle">
    <w:name w:val="Subtitle"/>
    <w:basedOn w:val="Normal"/>
    <w:next w:val="Normal"/>
    <w:link w:val="SubtitleChar"/>
    <w:uiPriority w:val="11"/>
    <w:qFormat/>
    <w:pPr>
      <w:spacing w:after="60"/>
      <w:jc w:val="center"/>
      <w:outlineLvl w:val="1"/>
    </w:pPr>
    <w:rPr>
      <w:rFonts w:ascii="Cambria" w:eastAsia="MS Gothic" w:hAnsi="Cambria"/>
      <w:sz w:val="24"/>
      <w:szCs w:val="24"/>
    </w:rPr>
  </w:style>
  <w:style w:type="character" w:customStyle="1" w:styleId="SubtitleChar">
    <w:name w:val="Subtitle Char"/>
    <w:link w:val="Subtitle"/>
    <w:uiPriority w:val="11"/>
    <w:rPr>
      <w:rFonts w:ascii="Cambria" w:eastAsia="MS Gothic" w:hAnsi="Cambria" w:cs="Times New Roman"/>
      <w:sz w:val="24"/>
      <w:szCs w:val="24"/>
      <w:lang w:val="lv-LV" w:eastAsia="en-US"/>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szCs w:val="22"/>
      <w:lang w:val="lv-LV" w:eastAsia="en-US"/>
    </w:rPr>
  </w:style>
  <w:style w:type="character" w:customStyle="1" w:styleId="ui-provider">
    <w:name w:val="ui-provide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 w:type="paragraph" w:customStyle="1" w:styleId="pil-t1">
    <w:name w:val="pil-t1"/>
    <w:basedOn w:val="Normal"/>
    <w:pPr>
      <w:spacing w:after="0" w:line="240" w:lineRule="auto"/>
    </w:pPr>
    <w:rPr>
      <w:rFonts w:ascii="Times New Roman" w:hAnsi="Times New Roman"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32414">
      <w:bodyDiv w:val="1"/>
      <w:marLeft w:val="0"/>
      <w:marRight w:val="0"/>
      <w:marTop w:val="0"/>
      <w:marBottom w:val="0"/>
      <w:divBdr>
        <w:top w:val="none" w:sz="0" w:space="0" w:color="auto"/>
        <w:left w:val="none" w:sz="0" w:space="0" w:color="auto"/>
        <w:bottom w:val="none" w:sz="0" w:space="0" w:color="auto"/>
        <w:right w:val="none" w:sz="0" w:space="0" w:color="auto"/>
      </w:divBdr>
    </w:div>
    <w:div w:id="1551964643">
      <w:bodyDiv w:val="1"/>
      <w:marLeft w:val="0"/>
      <w:marRight w:val="0"/>
      <w:marTop w:val="0"/>
      <w:marBottom w:val="0"/>
      <w:divBdr>
        <w:top w:val="none" w:sz="0" w:space="0" w:color="auto"/>
        <w:left w:val="none" w:sz="0" w:space="0" w:color="auto"/>
        <w:bottom w:val="none" w:sz="0" w:space="0" w:color="auto"/>
        <w:right w:val="none" w:sz="0" w:space="0" w:color="auto"/>
      </w:divBdr>
    </w:div>
    <w:div w:id="1625117016">
      <w:bodyDiv w:val="1"/>
      <w:marLeft w:val="0"/>
      <w:marRight w:val="0"/>
      <w:marTop w:val="0"/>
      <w:marBottom w:val="0"/>
      <w:divBdr>
        <w:top w:val="none" w:sz="0" w:space="0" w:color="auto"/>
        <w:left w:val="none" w:sz="0" w:space="0" w:color="auto"/>
        <w:bottom w:val="none" w:sz="0" w:space="0" w:color="auto"/>
        <w:right w:val="none" w:sz="0" w:space="0" w:color="auto"/>
      </w:divBdr>
    </w:div>
    <w:div w:id="1630011510">
      <w:bodyDiv w:val="1"/>
      <w:marLeft w:val="0"/>
      <w:marRight w:val="0"/>
      <w:marTop w:val="0"/>
      <w:marBottom w:val="0"/>
      <w:divBdr>
        <w:top w:val="none" w:sz="0" w:space="0" w:color="auto"/>
        <w:left w:val="none" w:sz="0" w:space="0" w:color="auto"/>
        <w:bottom w:val="none" w:sz="0" w:space="0" w:color="auto"/>
        <w:right w:val="none" w:sz="0" w:space="0" w:color="auto"/>
      </w:divBdr>
    </w:div>
    <w:div w:id="1677682728">
      <w:bodyDiv w:val="1"/>
      <w:marLeft w:val="0"/>
      <w:marRight w:val="0"/>
      <w:marTop w:val="0"/>
      <w:marBottom w:val="0"/>
      <w:divBdr>
        <w:top w:val="none" w:sz="0" w:space="0" w:color="auto"/>
        <w:left w:val="none" w:sz="0" w:space="0" w:color="auto"/>
        <w:bottom w:val="none" w:sz="0" w:space="0" w:color="auto"/>
        <w:right w:val="none" w:sz="0" w:space="0" w:color="auto"/>
      </w:divBdr>
    </w:div>
    <w:div w:id="174883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piprazole-sandoz"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EMADOC-1700519818-3070892</_dlc_DocId>
    <_dlc_DocIdUrl xmlns="a034c160-bfb7-45f5-8632-2eb7e0508071">
      <Url>https://euema.sharepoint.com/sites/CRM/_layouts/15/DocIdRedir.aspx?ID=EMADOC-1700519818-3070892</Url>
      <Description>EMADOC-1700519818-3070892</Description>
    </_dlc_DocIdUrl>
  </documentManagement>
</p:properties>
</file>

<file path=customXml/itemProps1.xml><?xml version="1.0" encoding="utf-8"?>
<ds:datastoreItem xmlns:ds="http://schemas.openxmlformats.org/officeDocument/2006/customXml" ds:itemID="{6BB78777-94CE-404B-8D49-799DEB9E9DDD}">
  <ds:schemaRefs>
    <ds:schemaRef ds:uri="http://schemas.openxmlformats.org/officeDocument/2006/bibliography"/>
  </ds:schemaRefs>
</ds:datastoreItem>
</file>

<file path=customXml/itemProps2.xml><?xml version="1.0" encoding="utf-8"?>
<ds:datastoreItem xmlns:ds="http://schemas.openxmlformats.org/officeDocument/2006/customXml" ds:itemID="{52930AB6-F4A1-4083-96D3-38E9980851AC}"/>
</file>

<file path=customXml/itemProps3.xml><?xml version="1.0" encoding="utf-8"?>
<ds:datastoreItem xmlns:ds="http://schemas.openxmlformats.org/officeDocument/2006/customXml" ds:itemID="{5DC08121-7C01-411F-829C-448EF9CFA434}"/>
</file>

<file path=customXml/itemProps4.xml><?xml version="1.0" encoding="utf-8"?>
<ds:datastoreItem xmlns:ds="http://schemas.openxmlformats.org/officeDocument/2006/customXml" ds:itemID="{716ECB84-DB16-4E9F-9ED1-FD1C523882DD}"/>
</file>

<file path=customXml/itemProps5.xml><?xml version="1.0" encoding="utf-8"?>
<ds:datastoreItem xmlns:ds="http://schemas.openxmlformats.org/officeDocument/2006/customXml" ds:itemID="{DDFF58A0-C27B-4942-8A49-3082239E1B32}"/>
</file>

<file path=docProps/app.xml><?xml version="1.0" encoding="utf-8"?>
<Properties xmlns="http://schemas.openxmlformats.org/officeDocument/2006/extended-properties" xmlns:vt="http://schemas.openxmlformats.org/officeDocument/2006/docPropsVTypes">
  <Template>Normal</Template>
  <TotalTime>0</TotalTime>
  <Pages>66</Pages>
  <Words>15974</Words>
  <Characters>91056</Characters>
  <Application>Microsoft Office Word</Application>
  <DocSecurity>0</DocSecurity>
  <Lines>758</Lines>
  <Paragraphs>213</Paragraphs>
  <ScaleCrop>false</ScaleCrop>
  <Company/>
  <LinksUpToDate>false</LinksUpToDate>
  <CharactersWithSpaces>106817</CharactersWithSpaces>
  <SharedDoc>false</SharedDoc>
  <HLinks>
    <vt:vector size="30" baseType="variant">
      <vt:variant>
        <vt:i4>1245197</vt:i4>
      </vt:variant>
      <vt:variant>
        <vt:i4>11</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Sandoz: EPAR – Product information – tracked changes</dc:title>
  <dc:subject>EPAR</dc:subject>
  <dc:creator>CHMP</dc:creator>
  <cp:keywords>Aripiprazole Sandoz, INN-aripiprazole</cp:keywords>
  <cp:revision>9</cp:revision>
  <dcterms:created xsi:type="dcterms:W3CDTF">2023-12-01T11:21:00Z</dcterms:created>
  <dcterms:modified xsi:type="dcterms:W3CDTF">2026-01-29T12:31:00Z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2023-12-01T11:21:47Z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727a6adb-b6ab-4311-bc1c-1d1681c06390</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15356d51-4812-409d-a36d-e23345d725ee</vt:lpwstr>
  </property>
</Properties>
</file>