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1"/>
        <w:tblW w:w="8931" w:type="dxa"/>
        <w:tblInd w:w="-147" w:type="dxa"/>
        <w:tblLook w:val="04A0" w:firstRow="1" w:lastRow="0" w:firstColumn="1" w:lastColumn="0" w:noHBand="0" w:noVBand="1"/>
      </w:tblPr>
      <w:tblGrid>
        <w:gridCol w:w="8931"/>
      </w:tblGrid>
      <w:tr w:rsidR="00065CD4" w:rsidRPr="009136E0" w14:paraId="6860B445" w14:textId="77777777" w:rsidTr="00065CD4">
        <w:tc>
          <w:tcPr>
            <w:tcW w:w="8931" w:type="dxa"/>
          </w:tcPr>
          <w:p w14:paraId="01EDCF21" w14:textId="1BE76E3E" w:rsidR="00065CD4" w:rsidRPr="00065CD4" w:rsidRDefault="00065CD4" w:rsidP="00065CD4">
            <w:pPr>
              <w:widowControl w:val="0"/>
              <w:rPr>
                <w:szCs w:val="24"/>
                <w:lang w:val="lv-LV" w:eastAsia="en-US"/>
              </w:rPr>
            </w:pPr>
            <w:r w:rsidRPr="00065CD4">
              <w:rPr>
                <w:szCs w:val="24"/>
                <w:lang w:val="lv-LV" w:eastAsia="en-US"/>
              </w:rPr>
              <w:t xml:space="preserve">Šis dokuments ir apstiprināta </w:t>
            </w:r>
            <w:r>
              <w:rPr>
                <w:szCs w:val="24"/>
                <w:lang w:val="lv-LV" w:eastAsia="en-US"/>
              </w:rPr>
              <w:t>RoActemra</w:t>
            </w:r>
            <w:r w:rsidRPr="00065CD4">
              <w:rPr>
                <w:szCs w:val="24"/>
                <w:lang w:val="lv-LV" w:eastAsia="en-US"/>
              </w:rPr>
              <w:t xml:space="preserve"> zāļu informācija, kurā ir izceltas izmaiņas kopš iepriekšējās procedūras, kas ietekmē zāļu informāciju (</w:t>
            </w:r>
            <w:r w:rsidRPr="00065CD4">
              <w:rPr>
                <w:rFonts w:eastAsia="Times New Roman"/>
                <w:szCs w:val="22"/>
                <w:lang w:val="en-GB" w:eastAsia="ja-JP"/>
              </w:rPr>
              <w:t>EMEA/H/C/000955/IB/0123/G</w:t>
            </w:r>
            <w:r w:rsidRPr="00065CD4">
              <w:rPr>
                <w:szCs w:val="24"/>
                <w:lang w:val="lv-LV" w:eastAsia="en-US"/>
              </w:rPr>
              <w:t>).</w:t>
            </w:r>
          </w:p>
          <w:p w14:paraId="1B2FE4D4" w14:textId="77777777" w:rsidR="00065CD4" w:rsidRPr="00065CD4" w:rsidRDefault="00065CD4" w:rsidP="00065CD4">
            <w:pPr>
              <w:widowControl w:val="0"/>
              <w:rPr>
                <w:szCs w:val="24"/>
                <w:lang w:val="lv-LV" w:eastAsia="en-US"/>
              </w:rPr>
            </w:pPr>
          </w:p>
          <w:p w14:paraId="176A6992" w14:textId="30A68B23" w:rsidR="00065CD4" w:rsidRPr="00065CD4" w:rsidRDefault="00065CD4" w:rsidP="00065CD4">
            <w:pPr>
              <w:widowControl w:val="0"/>
              <w:rPr>
                <w:szCs w:val="24"/>
                <w:lang w:val="lv-LV" w:eastAsia="en-US"/>
              </w:rPr>
            </w:pPr>
            <w:r w:rsidRPr="00065CD4">
              <w:rPr>
                <w:szCs w:val="24"/>
                <w:lang w:val="lv-LV" w:eastAsia="en-US"/>
              </w:rPr>
              <w:t xml:space="preserve">Plašāku informāciju skatīt Eiropas Zāļu aģentūras tīmekļa vietnē: </w:t>
            </w:r>
            <w:hyperlink r:id="rId9" w:history="1">
              <w:r w:rsidR="002C6D2D" w:rsidRPr="00E1027B">
                <w:rPr>
                  <w:rStyle w:val="Hyperlink"/>
                  <w:szCs w:val="24"/>
                  <w:lang w:eastAsia="en-US"/>
                </w:rPr>
                <w:t>https://www.ema.europa.eu/en/medicines/human/EPAR/</w:t>
              </w:r>
              <w:r w:rsidR="002C6D2D" w:rsidRPr="00514E28">
                <w:rPr>
                  <w:rStyle w:val="Hyperlink"/>
                  <w:szCs w:val="24"/>
                  <w:lang w:eastAsia="en-US"/>
                </w:rPr>
                <w:t>roactemra</w:t>
              </w:r>
            </w:hyperlink>
          </w:p>
        </w:tc>
      </w:tr>
    </w:tbl>
    <w:p w14:paraId="579656CD" w14:textId="77777777" w:rsidR="00784D05" w:rsidRDefault="00784D05">
      <w:pPr>
        <w:ind w:left="567" w:hanging="567"/>
        <w:jc w:val="center"/>
        <w:rPr>
          <w:b/>
          <w:lang w:val="lv-LV"/>
        </w:rPr>
      </w:pPr>
    </w:p>
    <w:p w14:paraId="3D8CE884" w14:textId="77777777" w:rsidR="00784D05" w:rsidRDefault="00784D05">
      <w:pPr>
        <w:ind w:left="567" w:hanging="567"/>
        <w:jc w:val="center"/>
        <w:rPr>
          <w:b/>
          <w:lang w:val="lv-LV"/>
        </w:rPr>
      </w:pPr>
    </w:p>
    <w:p w14:paraId="61C0D4F6" w14:textId="77777777" w:rsidR="00784D05" w:rsidRDefault="00784D05">
      <w:pPr>
        <w:ind w:left="567" w:hanging="567"/>
        <w:jc w:val="center"/>
        <w:rPr>
          <w:b/>
          <w:lang w:val="lv-LV"/>
        </w:rPr>
      </w:pPr>
    </w:p>
    <w:p w14:paraId="3DB6C65F" w14:textId="77777777" w:rsidR="00784D05" w:rsidRDefault="00784D05">
      <w:pPr>
        <w:ind w:left="567" w:hanging="567"/>
        <w:jc w:val="center"/>
        <w:rPr>
          <w:b/>
          <w:lang w:val="lv-LV"/>
        </w:rPr>
      </w:pPr>
    </w:p>
    <w:p w14:paraId="27E4FEA8" w14:textId="77777777" w:rsidR="00784D05" w:rsidRDefault="00784D05">
      <w:pPr>
        <w:ind w:left="567" w:hanging="567"/>
        <w:jc w:val="center"/>
        <w:rPr>
          <w:b/>
          <w:lang w:val="lv-LV"/>
        </w:rPr>
      </w:pPr>
    </w:p>
    <w:p w14:paraId="170A4C33" w14:textId="77777777" w:rsidR="00784D05" w:rsidRDefault="00784D05">
      <w:pPr>
        <w:ind w:left="567" w:hanging="567"/>
        <w:jc w:val="center"/>
        <w:rPr>
          <w:b/>
          <w:lang w:val="lv-LV"/>
        </w:rPr>
      </w:pPr>
    </w:p>
    <w:p w14:paraId="0119F9DA" w14:textId="77777777" w:rsidR="00784D05" w:rsidRDefault="00784D05">
      <w:pPr>
        <w:ind w:left="567" w:hanging="567"/>
        <w:jc w:val="center"/>
        <w:rPr>
          <w:b/>
          <w:lang w:val="lv-LV"/>
        </w:rPr>
      </w:pPr>
    </w:p>
    <w:p w14:paraId="5C92D1F2" w14:textId="77777777" w:rsidR="00784D05" w:rsidRDefault="00784D05">
      <w:pPr>
        <w:ind w:left="567" w:hanging="567"/>
        <w:jc w:val="center"/>
        <w:rPr>
          <w:b/>
          <w:lang w:val="lv-LV"/>
        </w:rPr>
      </w:pPr>
    </w:p>
    <w:p w14:paraId="078D2223" w14:textId="77777777" w:rsidR="00784D05" w:rsidRDefault="00784D05">
      <w:pPr>
        <w:ind w:left="567" w:hanging="567"/>
        <w:jc w:val="center"/>
        <w:rPr>
          <w:b/>
          <w:lang w:val="lv-LV"/>
        </w:rPr>
      </w:pPr>
    </w:p>
    <w:p w14:paraId="4C6342E6" w14:textId="77777777" w:rsidR="00784D05" w:rsidRDefault="00784D05">
      <w:pPr>
        <w:ind w:left="567" w:hanging="567"/>
        <w:jc w:val="center"/>
        <w:rPr>
          <w:b/>
          <w:lang w:val="lv-LV"/>
        </w:rPr>
      </w:pPr>
    </w:p>
    <w:p w14:paraId="170A5583" w14:textId="77777777" w:rsidR="00784D05" w:rsidRDefault="00784D05">
      <w:pPr>
        <w:ind w:left="567" w:hanging="567"/>
        <w:jc w:val="center"/>
        <w:rPr>
          <w:b/>
          <w:lang w:val="lv-LV"/>
        </w:rPr>
      </w:pPr>
    </w:p>
    <w:p w14:paraId="027F41E9" w14:textId="77777777" w:rsidR="00784D05" w:rsidRDefault="00784D05">
      <w:pPr>
        <w:ind w:left="567" w:hanging="567"/>
        <w:jc w:val="center"/>
        <w:rPr>
          <w:b/>
          <w:lang w:val="lv-LV"/>
        </w:rPr>
      </w:pPr>
    </w:p>
    <w:p w14:paraId="67102769" w14:textId="77777777" w:rsidR="00784D05" w:rsidRDefault="00784D05">
      <w:pPr>
        <w:ind w:left="567" w:hanging="567"/>
        <w:jc w:val="center"/>
        <w:rPr>
          <w:b/>
          <w:lang w:val="lv-LV"/>
        </w:rPr>
      </w:pPr>
    </w:p>
    <w:p w14:paraId="71C4E7F2" w14:textId="77777777" w:rsidR="00784D05" w:rsidRDefault="00784D05">
      <w:pPr>
        <w:ind w:left="567" w:hanging="567"/>
        <w:jc w:val="center"/>
        <w:rPr>
          <w:b/>
          <w:lang w:val="lv-LV"/>
        </w:rPr>
      </w:pPr>
    </w:p>
    <w:p w14:paraId="2A0328F9" w14:textId="77777777" w:rsidR="00784D05" w:rsidRDefault="00784D05">
      <w:pPr>
        <w:ind w:left="567" w:hanging="567"/>
        <w:jc w:val="center"/>
        <w:rPr>
          <w:b/>
          <w:lang w:val="lv-LV"/>
        </w:rPr>
      </w:pPr>
    </w:p>
    <w:p w14:paraId="5647AE40" w14:textId="77777777" w:rsidR="00784D05" w:rsidRDefault="00784D05">
      <w:pPr>
        <w:ind w:left="567" w:hanging="567"/>
        <w:jc w:val="center"/>
        <w:rPr>
          <w:b/>
          <w:lang w:val="lv-LV"/>
        </w:rPr>
      </w:pPr>
    </w:p>
    <w:p w14:paraId="16F4A645" w14:textId="77777777" w:rsidR="00784D05" w:rsidRDefault="00784D05">
      <w:pPr>
        <w:ind w:left="567" w:hanging="567"/>
        <w:jc w:val="center"/>
        <w:rPr>
          <w:b/>
          <w:lang w:val="lv-LV"/>
        </w:rPr>
      </w:pPr>
    </w:p>
    <w:p w14:paraId="429B5073" w14:textId="77777777" w:rsidR="00784D05" w:rsidRDefault="00784D05">
      <w:pPr>
        <w:ind w:left="567" w:hanging="567"/>
        <w:jc w:val="center"/>
        <w:rPr>
          <w:b/>
          <w:lang w:val="lv-LV"/>
        </w:rPr>
      </w:pPr>
    </w:p>
    <w:p w14:paraId="5B6A2C22" w14:textId="77777777" w:rsidR="00784D05" w:rsidRDefault="00784D05">
      <w:pPr>
        <w:ind w:left="567" w:hanging="567"/>
        <w:jc w:val="center"/>
        <w:rPr>
          <w:b/>
          <w:lang w:val="lv-LV"/>
        </w:rPr>
      </w:pPr>
      <w:r>
        <w:rPr>
          <w:b/>
          <w:lang w:val="lv-LV"/>
        </w:rPr>
        <w:t>I PIELIKUMS</w:t>
      </w:r>
    </w:p>
    <w:p w14:paraId="132C04D2" w14:textId="77777777" w:rsidR="00784D05" w:rsidRDefault="00784D05">
      <w:pPr>
        <w:ind w:left="567" w:hanging="567"/>
        <w:jc w:val="center"/>
        <w:rPr>
          <w:b/>
          <w:lang w:val="lv-LV"/>
        </w:rPr>
      </w:pPr>
    </w:p>
    <w:p w14:paraId="1AC1B86B" w14:textId="77777777" w:rsidR="00784D05" w:rsidRDefault="00784D05">
      <w:pPr>
        <w:pStyle w:val="Annex"/>
        <w:rPr>
          <w:lang w:val="lv-LV"/>
        </w:rPr>
      </w:pPr>
      <w:r>
        <w:rPr>
          <w:lang w:val="lv-LV"/>
        </w:rPr>
        <w:t>ZĀĻU APRAKSTS</w:t>
      </w:r>
    </w:p>
    <w:p w14:paraId="14CCA954" w14:textId="77777777" w:rsidR="00784D05" w:rsidRDefault="00784D05">
      <w:pPr>
        <w:ind w:left="567" w:hanging="567"/>
        <w:rPr>
          <w:szCs w:val="22"/>
          <w:lang w:val="lv-LV"/>
        </w:rPr>
      </w:pPr>
      <w:r>
        <w:rPr>
          <w:lang w:val="lv-LV"/>
        </w:rPr>
        <w:br w:type="page"/>
      </w:r>
      <w:r>
        <w:rPr>
          <w:b/>
          <w:szCs w:val="22"/>
          <w:lang w:val="lv-LV"/>
        </w:rPr>
        <w:lastRenderedPageBreak/>
        <w:t>1.</w:t>
      </w:r>
      <w:r>
        <w:rPr>
          <w:b/>
          <w:szCs w:val="22"/>
          <w:lang w:val="lv-LV"/>
        </w:rPr>
        <w:tab/>
        <w:t>ZĀĻU NOSAUKUMS</w:t>
      </w:r>
    </w:p>
    <w:p w14:paraId="0A88C7CC" w14:textId="77777777" w:rsidR="00784D05" w:rsidRDefault="00784D05">
      <w:pPr>
        <w:widowControl w:val="0"/>
        <w:rPr>
          <w:szCs w:val="22"/>
          <w:lang w:val="lv-LV"/>
        </w:rPr>
      </w:pPr>
    </w:p>
    <w:p w14:paraId="3C658D24" w14:textId="40606934" w:rsidR="00784D05" w:rsidRDefault="00784D05">
      <w:pPr>
        <w:widowControl w:val="0"/>
        <w:rPr>
          <w:bCs/>
          <w:szCs w:val="22"/>
          <w:lang w:val="lv-LV"/>
        </w:rPr>
      </w:pPr>
      <w:r>
        <w:rPr>
          <w:iCs/>
          <w:lang w:val="lv-LV"/>
        </w:rPr>
        <w:t xml:space="preserve">RoActemra </w:t>
      </w:r>
      <w:r>
        <w:rPr>
          <w:szCs w:val="22"/>
          <w:lang w:val="lv-LV"/>
        </w:rPr>
        <w:t>20 mg/ml koncentrāts infūziju šķīduma pagatavošanai</w:t>
      </w:r>
    </w:p>
    <w:p w14:paraId="1EE4621E" w14:textId="77777777" w:rsidR="00784D05" w:rsidRDefault="00784D05">
      <w:pPr>
        <w:widowControl w:val="0"/>
        <w:rPr>
          <w:bCs/>
          <w:szCs w:val="22"/>
          <w:lang w:val="lv-LV"/>
        </w:rPr>
      </w:pPr>
    </w:p>
    <w:p w14:paraId="3A94C9AD" w14:textId="77777777" w:rsidR="00784D05" w:rsidRDefault="00784D05">
      <w:pPr>
        <w:widowControl w:val="0"/>
        <w:ind w:left="567" w:hanging="567"/>
        <w:rPr>
          <w:szCs w:val="22"/>
          <w:lang w:val="lv-LV"/>
        </w:rPr>
      </w:pPr>
    </w:p>
    <w:p w14:paraId="7909D533" w14:textId="77777777" w:rsidR="00784D05" w:rsidRDefault="00784D05">
      <w:pPr>
        <w:widowControl w:val="0"/>
        <w:ind w:left="567" w:hanging="567"/>
        <w:rPr>
          <w:szCs w:val="22"/>
          <w:lang w:val="lv-LV"/>
        </w:rPr>
      </w:pPr>
      <w:r>
        <w:rPr>
          <w:b/>
          <w:szCs w:val="22"/>
          <w:lang w:val="lv-LV"/>
        </w:rPr>
        <w:t>2.</w:t>
      </w:r>
      <w:r>
        <w:rPr>
          <w:b/>
          <w:szCs w:val="22"/>
          <w:lang w:val="lv-LV"/>
        </w:rPr>
        <w:tab/>
        <w:t>KVALITATĪVAIS UN KVANTITATĪVAIS SASTĀVS</w:t>
      </w:r>
    </w:p>
    <w:p w14:paraId="09450030" w14:textId="77777777" w:rsidR="00784D05" w:rsidRDefault="00784D05">
      <w:pPr>
        <w:rPr>
          <w:szCs w:val="22"/>
          <w:lang w:val="lv-LV"/>
        </w:rPr>
      </w:pPr>
    </w:p>
    <w:p w14:paraId="3724F240" w14:textId="77777777" w:rsidR="00784D05" w:rsidRDefault="00784D05">
      <w:pPr>
        <w:rPr>
          <w:szCs w:val="22"/>
          <w:lang w:val="lv-LV"/>
        </w:rPr>
      </w:pPr>
      <w:r>
        <w:rPr>
          <w:szCs w:val="22"/>
          <w:lang w:val="lv-LV"/>
        </w:rPr>
        <w:t>Viens ml koncentrāta satur 20 mg tocilizumaba (</w:t>
      </w:r>
      <w:r>
        <w:rPr>
          <w:i/>
          <w:szCs w:val="22"/>
          <w:lang w:val="lv-LV"/>
        </w:rPr>
        <w:t>tocilizumab</w:t>
      </w:r>
      <w:r>
        <w:rPr>
          <w:szCs w:val="22"/>
          <w:lang w:val="lv-LV"/>
        </w:rPr>
        <w:t>)*</w:t>
      </w:r>
    </w:p>
    <w:p w14:paraId="1F6E5FA9" w14:textId="77777777" w:rsidR="00784D05" w:rsidRDefault="00784D05">
      <w:pPr>
        <w:rPr>
          <w:szCs w:val="22"/>
          <w:lang w:val="lv-LV"/>
        </w:rPr>
      </w:pPr>
    </w:p>
    <w:p w14:paraId="6858AB23" w14:textId="4DB0CD53" w:rsidR="00784D05" w:rsidRDefault="00A24F77">
      <w:pPr>
        <w:rPr>
          <w:szCs w:val="22"/>
          <w:lang w:val="lv-LV"/>
        </w:rPr>
      </w:pPr>
      <w:r>
        <w:rPr>
          <w:szCs w:val="22"/>
          <w:lang w:val="lv-LV"/>
        </w:rPr>
        <w:t xml:space="preserve">Katrs </w:t>
      </w:r>
      <w:r w:rsidR="00784D05">
        <w:rPr>
          <w:szCs w:val="22"/>
          <w:lang w:val="lv-LV"/>
        </w:rPr>
        <w:t>flakons satur 80 mg tocilizumaba* (</w:t>
      </w:r>
      <w:r w:rsidR="00784D05">
        <w:rPr>
          <w:i/>
          <w:szCs w:val="22"/>
          <w:lang w:val="lv-LV"/>
        </w:rPr>
        <w:t>tocilizumab</w:t>
      </w:r>
      <w:r w:rsidR="00784D05">
        <w:rPr>
          <w:szCs w:val="22"/>
          <w:lang w:val="lv-LV"/>
        </w:rPr>
        <w:t>) / 4 ml (20 mg/ml).</w:t>
      </w:r>
    </w:p>
    <w:p w14:paraId="2CAA4844" w14:textId="12C1D667" w:rsidR="00784D05" w:rsidRDefault="00A24F77">
      <w:pPr>
        <w:rPr>
          <w:szCs w:val="22"/>
          <w:lang w:val="lv-LV"/>
        </w:rPr>
      </w:pPr>
      <w:r>
        <w:rPr>
          <w:szCs w:val="22"/>
          <w:lang w:val="lv-LV"/>
        </w:rPr>
        <w:t xml:space="preserve">Katrs </w:t>
      </w:r>
      <w:r w:rsidR="00784D05">
        <w:rPr>
          <w:szCs w:val="22"/>
          <w:lang w:val="lv-LV"/>
        </w:rPr>
        <w:t>flakons satur 200 mg tocilizumaba* (</w:t>
      </w:r>
      <w:r w:rsidR="00784D05">
        <w:rPr>
          <w:i/>
          <w:szCs w:val="22"/>
          <w:lang w:val="lv-LV"/>
        </w:rPr>
        <w:t>tocilizumab</w:t>
      </w:r>
      <w:r w:rsidR="00784D05">
        <w:rPr>
          <w:szCs w:val="22"/>
          <w:lang w:val="lv-LV"/>
        </w:rPr>
        <w:t>) / 10 ml (20 mg/ml).</w:t>
      </w:r>
    </w:p>
    <w:p w14:paraId="1BA3176C" w14:textId="314ADA73" w:rsidR="00784D05" w:rsidRDefault="00A24F77">
      <w:pPr>
        <w:rPr>
          <w:szCs w:val="22"/>
          <w:lang w:val="lv-LV"/>
        </w:rPr>
      </w:pPr>
      <w:r>
        <w:rPr>
          <w:szCs w:val="22"/>
          <w:lang w:val="lv-LV"/>
        </w:rPr>
        <w:t xml:space="preserve">Katrs </w:t>
      </w:r>
      <w:r w:rsidR="00784D05">
        <w:rPr>
          <w:szCs w:val="22"/>
          <w:lang w:val="lv-LV"/>
        </w:rPr>
        <w:t>flakons satur 400 mg tocilizumaba* (</w:t>
      </w:r>
      <w:r w:rsidR="00784D05">
        <w:rPr>
          <w:i/>
          <w:szCs w:val="22"/>
          <w:lang w:val="lv-LV"/>
        </w:rPr>
        <w:t>tocilizumab</w:t>
      </w:r>
      <w:r w:rsidR="00784D05">
        <w:rPr>
          <w:szCs w:val="22"/>
          <w:lang w:val="lv-LV"/>
        </w:rPr>
        <w:t>) / 20 ml (20 mg/ml).</w:t>
      </w:r>
    </w:p>
    <w:p w14:paraId="5AC63EFC" w14:textId="77777777" w:rsidR="00784D05" w:rsidRDefault="00784D05">
      <w:pPr>
        <w:rPr>
          <w:szCs w:val="22"/>
          <w:lang w:val="lv-LV"/>
        </w:rPr>
      </w:pPr>
    </w:p>
    <w:p w14:paraId="026B1E98" w14:textId="1FAB4DFD" w:rsidR="00784D05" w:rsidRDefault="00784D05">
      <w:pPr>
        <w:autoSpaceDE w:val="0"/>
        <w:rPr>
          <w:szCs w:val="22"/>
          <w:lang w:val="lv-LV"/>
        </w:rPr>
      </w:pPr>
      <w:r>
        <w:rPr>
          <w:szCs w:val="22"/>
          <w:lang w:val="lv-LV"/>
        </w:rPr>
        <w:t xml:space="preserve">*humanizēta IgG1 monoklonāla antiviela, kas ražota Ķīnas kāmju olnīcu (ĶKO) šūnās, izmantojot rekombinanto DNS tehnoloģiju. </w:t>
      </w:r>
    </w:p>
    <w:p w14:paraId="628166E9" w14:textId="77777777" w:rsidR="00784D05" w:rsidRDefault="00784D05">
      <w:pPr>
        <w:autoSpaceDE w:val="0"/>
        <w:rPr>
          <w:szCs w:val="22"/>
          <w:lang w:val="lv-LV"/>
        </w:rPr>
      </w:pPr>
    </w:p>
    <w:p w14:paraId="1955F39B" w14:textId="09DB9F15" w:rsidR="00784D05" w:rsidRPr="003C3ED2" w:rsidRDefault="00784D05">
      <w:pPr>
        <w:autoSpaceDE w:val="0"/>
        <w:rPr>
          <w:lang w:val="lv-LV"/>
        </w:rPr>
      </w:pPr>
      <w:r w:rsidRPr="00186475">
        <w:rPr>
          <w:szCs w:val="22"/>
          <w:u w:val="single"/>
          <w:lang w:val="lv-LV"/>
        </w:rPr>
        <w:t>Palīgvielas ar zināmu iedarbību</w:t>
      </w:r>
    </w:p>
    <w:p w14:paraId="116F4E90" w14:textId="497296A2" w:rsidR="00784D05" w:rsidRDefault="007749EE">
      <w:pPr>
        <w:rPr>
          <w:lang w:val="lv-LV"/>
        </w:rPr>
      </w:pPr>
      <w:r>
        <w:rPr>
          <w:lang w:val="lv-LV"/>
        </w:rPr>
        <w:t>Katrs</w:t>
      </w:r>
      <w:r w:rsidR="00784D05">
        <w:rPr>
          <w:lang w:val="lv-LV"/>
        </w:rPr>
        <w:t xml:space="preserve"> 80 mg flakons satur 0,10 mmol (2,21 mg) nātrija</w:t>
      </w:r>
      <w:r w:rsidR="00313653">
        <w:rPr>
          <w:lang w:val="lv-LV"/>
        </w:rPr>
        <w:t xml:space="preserve"> un 2 mg (0,5 mg/ml) polisorbāta 80</w:t>
      </w:r>
      <w:r w:rsidR="00784D05">
        <w:rPr>
          <w:lang w:val="lv-LV"/>
        </w:rPr>
        <w:t>.</w:t>
      </w:r>
    </w:p>
    <w:p w14:paraId="7625A833" w14:textId="4C09B2EC" w:rsidR="00784D05" w:rsidRDefault="007749EE">
      <w:pPr>
        <w:rPr>
          <w:lang w:val="lv-LV"/>
        </w:rPr>
      </w:pPr>
      <w:r>
        <w:rPr>
          <w:lang w:val="lv-LV"/>
        </w:rPr>
        <w:t>Katrs</w:t>
      </w:r>
      <w:r w:rsidR="00784D05">
        <w:rPr>
          <w:lang w:val="lv-LV"/>
        </w:rPr>
        <w:t xml:space="preserve"> 200 mg flakons satur 0,20 mmol (4,43 mg) nātrija</w:t>
      </w:r>
      <w:r w:rsidR="00313653">
        <w:rPr>
          <w:lang w:val="lv-LV"/>
        </w:rPr>
        <w:t xml:space="preserve"> un 5 mg (0,5 mg/ml) polisorbāta 80</w:t>
      </w:r>
      <w:r w:rsidR="00784D05">
        <w:rPr>
          <w:lang w:val="lv-LV"/>
        </w:rPr>
        <w:t xml:space="preserve">. </w:t>
      </w:r>
    </w:p>
    <w:p w14:paraId="1DB2AE15" w14:textId="2B21DB0E" w:rsidR="00784D05" w:rsidRDefault="007749EE">
      <w:pPr>
        <w:autoSpaceDE w:val="0"/>
        <w:rPr>
          <w:lang w:val="lv-LV"/>
        </w:rPr>
      </w:pPr>
      <w:r>
        <w:rPr>
          <w:lang w:val="lv-LV"/>
        </w:rPr>
        <w:t>Katrs</w:t>
      </w:r>
      <w:r w:rsidR="00784D05">
        <w:rPr>
          <w:lang w:val="lv-LV"/>
        </w:rPr>
        <w:t xml:space="preserve"> 400 mg flakons satur 0,39 mmol (8,85 mg) nātrija</w:t>
      </w:r>
      <w:r w:rsidR="00313653">
        <w:rPr>
          <w:lang w:val="lv-LV"/>
        </w:rPr>
        <w:t xml:space="preserve"> un 10 mg (0,5 mg/ml) polisorbāta 80</w:t>
      </w:r>
      <w:r w:rsidR="00784D05">
        <w:rPr>
          <w:lang w:val="lv-LV"/>
        </w:rPr>
        <w:t>.</w:t>
      </w:r>
    </w:p>
    <w:p w14:paraId="21D078B7" w14:textId="77777777" w:rsidR="00E149E8" w:rsidRDefault="00E149E8">
      <w:pPr>
        <w:autoSpaceDE w:val="0"/>
        <w:rPr>
          <w:lang w:val="lv-LV"/>
        </w:rPr>
      </w:pPr>
    </w:p>
    <w:p w14:paraId="581F8C99" w14:textId="2A832707" w:rsidR="00784D05" w:rsidRDefault="00784D05">
      <w:pPr>
        <w:autoSpaceDE w:val="0"/>
        <w:rPr>
          <w:szCs w:val="22"/>
          <w:lang w:val="lv-LV"/>
        </w:rPr>
      </w:pPr>
      <w:r>
        <w:rPr>
          <w:szCs w:val="22"/>
          <w:lang w:val="lv-LV"/>
        </w:rPr>
        <w:t>Pilnu palīgvielu sarakstu skatīt 6.1.</w:t>
      </w:r>
      <w:r w:rsidR="00E149E8">
        <w:rPr>
          <w:szCs w:val="22"/>
          <w:lang w:val="lv-LV"/>
        </w:rPr>
        <w:t> </w:t>
      </w:r>
      <w:r>
        <w:rPr>
          <w:szCs w:val="22"/>
          <w:lang w:val="lv-LV"/>
        </w:rPr>
        <w:t>apakšpunktā.</w:t>
      </w:r>
    </w:p>
    <w:p w14:paraId="4D61C0CB" w14:textId="77777777" w:rsidR="00784D05" w:rsidRDefault="00784D05">
      <w:pPr>
        <w:rPr>
          <w:szCs w:val="22"/>
          <w:lang w:val="lv-LV"/>
        </w:rPr>
      </w:pPr>
    </w:p>
    <w:p w14:paraId="3A2E0536" w14:textId="77777777" w:rsidR="00784D05" w:rsidRDefault="00784D05">
      <w:pPr>
        <w:rPr>
          <w:szCs w:val="22"/>
          <w:lang w:val="lv-LV"/>
        </w:rPr>
      </w:pPr>
    </w:p>
    <w:p w14:paraId="128ABDD0" w14:textId="77777777" w:rsidR="00784D05" w:rsidRDefault="00784D05">
      <w:pPr>
        <w:ind w:left="567" w:hanging="567"/>
        <w:rPr>
          <w:szCs w:val="22"/>
          <w:lang w:val="lv-LV"/>
        </w:rPr>
      </w:pPr>
      <w:r>
        <w:rPr>
          <w:b/>
          <w:szCs w:val="22"/>
          <w:lang w:val="lv-LV"/>
        </w:rPr>
        <w:t>3.</w:t>
      </w:r>
      <w:r>
        <w:rPr>
          <w:b/>
          <w:szCs w:val="22"/>
          <w:lang w:val="lv-LV"/>
        </w:rPr>
        <w:tab/>
        <w:t>ZĀĻU FORMA</w:t>
      </w:r>
    </w:p>
    <w:p w14:paraId="6FA09C31" w14:textId="77777777" w:rsidR="00784D05" w:rsidRDefault="00784D05">
      <w:pPr>
        <w:rPr>
          <w:szCs w:val="22"/>
          <w:lang w:val="lv-LV"/>
        </w:rPr>
      </w:pPr>
    </w:p>
    <w:p w14:paraId="7F94F683" w14:textId="77777777" w:rsidR="00784D05" w:rsidRDefault="00784D05">
      <w:pPr>
        <w:rPr>
          <w:szCs w:val="22"/>
          <w:lang w:val="lv-LV"/>
        </w:rPr>
      </w:pPr>
      <w:r>
        <w:rPr>
          <w:szCs w:val="22"/>
          <w:lang w:val="lv-LV"/>
        </w:rPr>
        <w:t>Koncentrāts infūziju šķīduma pagatavošanai (sterils koncentrāts).</w:t>
      </w:r>
    </w:p>
    <w:p w14:paraId="10C20364" w14:textId="77777777" w:rsidR="00784D05" w:rsidRDefault="00784D05">
      <w:pPr>
        <w:rPr>
          <w:szCs w:val="22"/>
          <w:lang w:val="lv-LV"/>
        </w:rPr>
      </w:pPr>
    </w:p>
    <w:p w14:paraId="7E08DA48" w14:textId="4ABB4801" w:rsidR="00784D05" w:rsidRDefault="00784D05">
      <w:pPr>
        <w:rPr>
          <w:szCs w:val="22"/>
          <w:lang w:val="lv-LV"/>
        </w:rPr>
      </w:pPr>
      <w:r>
        <w:rPr>
          <w:szCs w:val="22"/>
          <w:lang w:val="lv-LV"/>
        </w:rPr>
        <w:t>Dzidrs vai opalescējošs, bezkrāsains vai gaiši dzeltens šķīdums</w:t>
      </w:r>
      <w:r w:rsidR="00E149E8">
        <w:rPr>
          <w:szCs w:val="22"/>
          <w:lang w:val="lv-LV"/>
        </w:rPr>
        <w:t xml:space="preserve"> ar pH 6,3</w:t>
      </w:r>
      <w:r w:rsidR="000C6C88">
        <w:rPr>
          <w:szCs w:val="22"/>
          <w:lang w:val="lv-LV"/>
        </w:rPr>
        <w:noBreakHyphen/>
      </w:r>
      <w:r w:rsidR="00E149E8">
        <w:rPr>
          <w:szCs w:val="22"/>
          <w:lang w:val="lv-LV"/>
        </w:rPr>
        <w:t>6,7 un osmolalitāti 172</w:t>
      </w:r>
      <w:r w:rsidR="000C6C88">
        <w:rPr>
          <w:szCs w:val="22"/>
          <w:lang w:val="lv-LV"/>
        </w:rPr>
        <w:noBreakHyphen/>
      </w:r>
      <w:r w:rsidR="00E149E8">
        <w:rPr>
          <w:szCs w:val="22"/>
          <w:lang w:val="lv-LV"/>
        </w:rPr>
        <w:t>229 mOsm/kg</w:t>
      </w:r>
      <w:r>
        <w:rPr>
          <w:szCs w:val="22"/>
          <w:lang w:val="lv-LV"/>
        </w:rPr>
        <w:t>.</w:t>
      </w:r>
    </w:p>
    <w:p w14:paraId="34AAFCE2" w14:textId="77777777" w:rsidR="00784D05" w:rsidRDefault="00784D05">
      <w:pPr>
        <w:rPr>
          <w:szCs w:val="22"/>
          <w:lang w:val="lv-LV"/>
        </w:rPr>
      </w:pPr>
    </w:p>
    <w:p w14:paraId="1EB44657" w14:textId="77777777" w:rsidR="00784D05" w:rsidRDefault="00784D05">
      <w:pPr>
        <w:rPr>
          <w:szCs w:val="22"/>
          <w:lang w:val="lv-LV"/>
        </w:rPr>
      </w:pPr>
    </w:p>
    <w:p w14:paraId="04FB4217" w14:textId="77777777" w:rsidR="00784D05" w:rsidRDefault="00784D05">
      <w:pPr>
        <w:ind w:left="567" w:hanging="567"/>
        <w:rPr>
          <w:szCs w:val="22"/>
          <w:lang w:val="lv-LV"/>
        </w:rPr>
      </w:pPr>
      <w:r>
        <w:rPr>
          <w:b/>
          <w:caps/>
          <w:szCs w:val="22"/>
          <w:lang w:val="lv-LV"/>
        </w:rPr>
        <w:t>4.</w:t>
      </w:r>
      <w:r>
        <w:rPr>
          <w:b/>
          <w:caps/>
          <w:szCs w:val="22"/>
          <w:lang w:val="lv-LV"/>
        </w:rPr>
        <w:tab/>
        <w:t>KLĪNISKĀ INFORMĀCIJA</w:t>
      </w:r>
    </w:p>
    <w:p w14:paraId="36230E99" w14:textId="77777777" w:rsidR="00784D05" w:rsidRDefault="00784D05">
      <w:pPr>
        <w:rPr>
          <w:szCs w:val="22"/>
          <w:lang w:val="lv-LV"/>
        </w:rPr>
      </w:pPr>
    </w:p>
    <w:p w14:paraId="79F3DDCB" w14:textId="77777777" w:rsidR="00784D05" w:rsidRDefault="00784D05">
      <w:pPr>
        <w:rPr>
          <w:rFonts w:eastAsia="PMingLiU"/>
          <w:szCs w:val="22"/>
          <w:lang w:val="lv-LV"/>
        </w:rPr>
      </w:pPr>
      <w:r>
        <w:rPr>
          <w:b/>
          <w:szCs w:val="22"/>
          <w:lang w:val="lv-LV"/>
        </w:rPr>
        <w:t>4.1.</w:t>
      </w:r>
      <w:r>
        <w:rPr>
          <w:b/>
          <w:szCs w:val="22"/>
          <w:lang w:val="lv-LV"/>
        </w:rPr>
        <w:tab/>
        <w:t>Terapeitiskās indikācijas</w:t>
      </w:r>
    </w:p>
    <w:p w14:paraId="1B90A943" w14:textId="77777777" w:rsidR="00784D05" w:rsidRDefault="00784D05">
      <w:pPr>
        <w:autoSpaceDE w:val="0"/>
        <w:rPr>
          <w:rFonts w:eastAsia="PMingLiU"/>
          <w:szCs w:val="22"/>
          <w:lang w:val="lv-LV"/>
        </w:rPr>
      </w:pPr>
    </w:p>
    <w:p w14:paraId="103B514B" w14:textId="283F9C06" w:rsidR="00E149E8" w:rsidRDefault="00E149E8">
      <w:pPr>
        <w:autoSpaceDE w:val="0"/>
        <w:rPr>
          <w:rFonts w:eastAsia="PMingLiU"/>
          <w:szCs w:val="22"/>
          <w:lang w:val="lv-LV"/>
        </w:rPr>
      </w:pPr>
      <w:r>
        <w:rPr>
          <w:rFonts w:eastAsia="PMingLiU"/>
          <w:szCs w:val="22"/>
          <w:u w:val="single"/>
          <w:lang w:val="lv-LV"/>
        </w:rPr>
        <w:t>Reimatoīdais artrīts (RA)</w:t>
      </w:r>
    </w:p>
    <w:p w14:paraId="17BA3434" w14:textId="4EDD5AC5" w:rsidR="00784D05" w:rsidRDefault="00784D05">
      <w:pPr>
        <w:autoSpaceDE w:val="0"/>
        <w:rPr>
          <w:rFonts w:eastAsia="PMingLiU"/>
          <w:szCs w:val="22"/>
          <w:lang w:val="lv-LV"/>
        </w:rPr>
      </w:pPr>
      <w:r>
        <w:rPr>
          <w:rFonts w:eastAsia="PMingLiU"/>
          <w:szCs w:val="22"/>
          <w:lang w:val="lv-LV"/>
        </w:rPr>
        <w:t xml:space="preserve">RoActemra kombinācijā ar metotreksātu (MTX) </w:t>
      </w:r>
      <w:del w:id="0" w:author="Regulatory LV" w:date="2026-03-17T11:06:00Z">
        <w:r w:rsidDel="00514E28">
          <w:rPr>
            <w:rFonts w:eastAsia="PMingLiU"/>
            <w:szCs w:val="22"/>
            <w:lang w:val="lv-LV"/>
          </w:rPr>
          <w:delText>indicēts</w:delText>
        </w:r>
      </w:del>
      <w:ins w:id="1" w:author="Regulatory LV" w:date="2026-03-17T11:06:00Z">
        <w:r w:rsidR="00514E28">
          <w:rPr>
            <w:rFonts w:eastAsia="PMingLiU"/>
            <w:szCs w:val="22"/>
            <w:lang w:val="lv-LV"/>
          </w:rPr>
          <w:t>ir paredzēts</w:t>
        </w:r>
      </w:ins>
    </w:p>
    <w:p w14:paraId="5D715F98" w14:textId="77777777" w:rsidR="00784D05" w:rsidRDefault="00784D05">
      <w:pPr>
        <w:autoSpaceDE w:val="0"/>
        <w:rPr>
          <w:rFonts w:eastAsia="PMingLiU"/>
          <w:szCs w:val="22"/>
          <w:lang w:val="lv-LV"/>
        </w:rPr>
      </w:pPr>
    </w:p>
    <w:p w14:paraId="616D269B" w14:textId="445506E7" w:rsidR="00784D05" w:rsidRPr="00E149E8" w:rsidRDefault="009750F5" w:rsidP="00707120">
      <w:pPr>
        <w:pStyle w:val="ListParagraph"/>
        <w:autoSpaceDE w:val="0"/>
        <w:ind w:left="567" w:hanging="567"/>
        <w:rPr>
          <w:rFonts w:eastAsia="PMingLiU"/>
          <w:szCs w:val="22"/>
          <w:lang w:val="lv-LV"/>
        </w:rPr>
      </w:pPr>
      <w:r>
        <w:rPr>
          <w:lang w:val="nb-NO"/>
        </w:rPr>
        <w:sym w:font="Symbol" w:char="F0B7"/>
      </w:r>
      <w:r>
        <w:rPr>
          <w:lang w:val="nb-NO"/>
        </w:rPr>
        <w:tab/>
      </w:r>
      <w:r w:rsidR="00784D05" w:rsidRPr="00E149E8">
        <w:rPr>
          <w:rFonts w:eastAsia="PMingLiU"/>
          <w:szCs w:val="22"/>
          <w:lang w:val="lv-LV"/>
        </w:rPr>
        <w:t xml:space="preserve">smaga, aktīva un progresējoša RA ārstēšanai pieaugušiem pacientiem, kuri iepriekš nav ārstēti ar MTX; </w:t>
      </w:r>
    </w:p>
    <w:p w14:paraId="336EE0BA" w14:textId="5CCB812F" w:rsidR="00784D05" w:rsidRPr="00E149E8" w:rsidRDefault="009750F5" w:rsidP="00707120">
      <w:pPr>
        <w:pStyle w:val="ListParagraph"/>
        <w:autoSpaceDE w:val="0"/>
        <w:ind w:left="567" w:hanging="567"/>
        <w:rPr>
          <w:rFonts w:eastAsia="PMingLiU"/>
          <w:szCs w:val="22"/>
          <w:lang w:val="lv-LV"/>
        </w:rPr>
      </w:pPr>
      <w:r>
        <w:rPr>
          <w:lang w:val="nb-NO"/>
        </w:rPr>
        <w:sym w:font="Symbol" w:char="F0B7"/>
      </w:r>
      <w:r>
        <w:rPr>
          <w:lang w:val="nb-NO"/>
        </w:rPr>
        <w:tab/>
      </w:r>
      <w:r w:rsidR="00784D05" w:rsidRPr="00E149E8">
        <w:rPr>
          <w:rFonts w:eastAsia="PMingLiU"/>
          <w:szCs w:val="22"/>
          <w:lang w:val="lv-LV"/>
        </w:rPr>
        <w:t>vidēji smaga vai smaga aktīva RA ārstēšanai pieaugušiem pacientiem, kuriem vai nu nav bijusi adekvāta reakcija uz iepriekšējo terapiju ar vienu vai vairākiem slimības gaitu modificējošajiem pretreimatisma līdzekļiem (DMARD -</w:t>
      </w:r>
      <w:r w:rsidR="00784D05" w:rsidRPr="00E149E8">
        <w:rPr>
          <w:lang w:val="lv-LV"/>
        </w:rPr>
        <w:t xml:space="preserve"> </w:t>
      </w:r>
      <w:r w:rsidR="00784D05" w:rsidRPr="00E149E8">
        <w:rPr>
          <w:i/>
          <w:iCs/>
          <w:lang w:val="lv-LV"/>
        </w:rPr>
        <w:t>disease-modifying anti-rheumatic drugs</w:t>
      </w:r>
      <w:r w:rsidR="00784D05" w:rsidRPr="00E149E8">
        <w:rPr>
          <w:rFonts w:eastAsia="PMingLiU"/>
          <w:szCs w:val="22"/>
          <w:lang w:val="lv-LV"/>
        </w:rPr>
        <w:t xml:space="preserve">) vai audzēja nekrozes faktora (TNF – </w:t>
      </w:r>
      <w:r w:rsidR="00784D05" w:rsidRPr="00E149E8">
        <w:rPr>
          <w:rFonts w:eastAsia="PMingLiU"/>
          <w:i/>
          <w:iCs/>
          <w:szCs w:val="22"/>
          <w:lang w:val="lv-LV"/>
        </w:rPr>
        <w:t>tumour necrosis factor</w:t>
      </w:r>
      <w:r w:rsidR="00784D05" w:rsidRPr="00E149E8">
        <w:rPr>
          <w:rFonts w:eastAsia="PMingLiU"/>
          <w:szCs w:val="22"/>
          <w:lang w:val="lv-LV"/>
        </w:rPr>
        <w:t xml:space="preserve">) antagonistiem, vai bija šo terapiju nepanesamība. </w:t>
      </w:r>
    </w:p>
    <w:p w14:paraId="3FAFFFEF" w14:textId="77777777" w:rsidR="00784D05" w:rsidRDefault="00784D05">
      <w:pPr>
        <w:autoSpaceDE w:val="0"/>
        <w:rPr>
          <w:rFonts w:eastAsia="PMingLiU"/>
          <w:szCs w:val="22"/>
          <w:lang w:val="lv-LV"/>
        </w:rPr>
      </w:pPr>
    </w:p>
    <w:p w14:paraId="5DFA4EC9" w14:textId="77777777" w:rsidR="00784D05" w:rsidRDefault="00784D05">
      <w:pPr>
        <w:autoSpaceDE w:val="0"/>
        <w:rPr>
          <w:szCs w:val="22"/>
          <w:lang w:val="lv-LV"/>
        </w:rPr>
      </w:pPr>
      <w:r>
        <w:rPr>
          <w:rFonts w:eastAsia="PMingLiU"/>
          <w:szCs w:val="22"/>
          <w:lang w:val="lv-LV"/>
        </w:rPr>
        <w:t xml:space="preserve">Šiem pacientiem RoActemra var ievadīt monoterapijas veidā gadījumos, kad viņiem ir MTX nepanesamība vai turpmākā terapija ar MTX ir nepiemērota. </w:t>
      </w:r>
    </w:p>
    <w:p w14:paraId="66AD627D" w14:textId="4304091B" w:rsidR="00784D05" w:rsidRDefault="00784D05">
      <w:pPr>
        <w:autoSpaceDE w:val="0"/>
        <w:rPr>
          <w:rFonts w:eastAsia="PMingLiU"/>
          <w:szCs w:val="22"/>
          <w:lang w:val="lv-LV"/>
        </w:rPr>
      </w:pPr>
      <w:r>
        <w:rPr>
          <w:szCs w:val="22"/>
          <w:lang w:val="lv-LV"/>
        </w:rPr>
        <w:t xml:space="preserve">Ir pierādīts, ka RoActemra, lietojot kombinācijā ar </w:t>
      </w:r>
      <w:r w:rsidR="00E149E8">
        <w:rPr>
          <w:szCs w:val="22"/>
          <w:lang w:val="lv-LV"/>
        </w:rPr>
        <w:t>MTX</w:t>
      </w:r>
      <w:r>
        <w:rPr>
          <w:szCs w:val="22"/>
          <w:lang w:val="lv-LV"/>
        </w:rPr>
        <w:t>, mazina locītavu bojājuma progresēšanas ātrumu (rentgenoloģiski) un uzlabo fiziskās funkcijas.</w:t>
      </w:r>
    </w:p>
    <w:p w14:paraId="24A83DB6" w14:textId="1BCDE8FC" w:rsidR="00784D05" w:rsidRDefault="00784D05">
      <w:pPr>
        <w:rPr>
          <w:rFonts w:eastAsia="PMingLiU"/>
          <w:szCs w:val="22"/>
          <w:lang w:val="lv-LV"/>
        </w:rPr>
      </w:pPr>
    </w:p>
    <w:p w14:paraId="6DED302C" w14:textId="3A636B77" w:rsidR="00E149E8" w:rsidRDefault="00E149E8" w:rsidP="00707120">
      <w:pPr>
        <w:keepNext/>
        <w:rPr>
          <w:rFonts w:eastAsia="PMingLiU"/>
          <w:szCs w:val="22"/>
          <w:lang w:val="lv-LV"/>
        </w:rPr>
      </w:pPr>
      <w:r>
        <w:rPr>
          <w:rFonts w:eastAsia="PMingLiU"/>
          <w:szCs w:val="22"/>
          <w:u w:val="single"/>
          <w:lang w:val="lv-LV"/>
        </w:rPr>
        <w:t>2019. gada koronavīrusa slimība (COVID</w:t>
      </w:r>
      <w:r>
        <w:rPr>
          <w:rFonts w:eastAsia="PMingLiU"/>
          <w:szCs w:val="22"/>
          <w:u w:val="single"/>
          <w:lang w:val="lv-LV"/>
        </w:rPr>
        <w:noBreakHyphen/>
        <w:t>19)</w:t>
      </w:r>
    </w:p>
    <w:p w14:paraId="456FD6A0" w14:textId="3B45010E" w:rsidR="00B1121A" w:rsidRDefault="00B1121A">
      <w:pPr>
        <w:rPr>
          <w:rFonts w:eastAsia="PMingLiU"/>
          <w:szCs w:val="22"/>
          <w:lang w:val="lv-LV"/>
        </w:rPr>
      </w:pPr>
      <w:r w:rsidRPr="00B1121A">
        <w:rPr>
          <w:rFonts w:eastAsia="PMingLiU"/>
          <w:szCs w:val="22"/>
          <w:lang w:val="lv-LV"/>
        </w:rPr>
        <w:t xml:space="preserve">RoActemra </w:t>
      </w:r>
      <w:del w:id="2" w:author="Regulatory LV" w:date="2026-03-17T11:07:00Z">
        <w:r w:rsidRPr="00B1121A" w:rsidDel="00514E28">
          <w:rPr>
            <w:rFonts w:eastAsia="PMingLiU"/>
            <w:szCs w:val="22"/>
            <w:lang w:val="lv-LV"/>
          </w:rPr>
          <w:delText>indicēt</w:delText>
        </w:r>
        <w:r w:rsidR="005077EE" w:rsidDel="00514E28">
          <w:rPr>
            <w:rFonts w:eastAsia="PMingLiU"/>
            <w:szCs w:val="22"/>
            <w:lang w:val="lv-LV"/>
          </w:rPr>
          <w:delText>s</w:delText>
        </w:r>
        <w:r w:rsidRPr="00B1121A" w:rsidDel="00514E28">
          <w:rPr>
            <w:rFonts w:eastAsia="PMingLiU"/>
            <w:szCs w:val="22"/>
            <w:lang w:val="lv-LV"/>
          </w:rPr>
          <w:delText xml:space="preserve"> </w:delText>
        </w:r>
      </w:del>
      <w:ins w:id="3" w:author="Regulatory LV" w:date="2026-03-17T11:07:00Z">
        <w:r w:rsidR="00514E28">
          <w:rPr>
            <w:rFonts w:eastAsia="PMingLiU"/>
            <w:szCs w:val="22"/>
            <w:lang w:val="lv-LV"/>
          </w:rPr>
          <w:t>ir paredzēts</w:t>
        </w:r>
        <w:r w:rsidR="00514E28" w:rsidRPr="00B1121A">
          <w:rPr>
            <w:rFonts w:eastAsia="PMingLiU"/>
            <w:szCs w:val="22"/>
            <w:lang w:val="lv-LV"/>
          </w:rPr>
          <w:t xml:space="preserve"> </w:t>
        </w:r>
      </w:ins>
      <w:r w:rsidRPr="00B1121A">
        <w:rPr>
          <w:rFonts w:eastAsia="PMingLiU"/>
          <w:szCs w:val="22"/>
          <w:lang w:val="lv-LV"/>
        </w:rPr>
        <w:t>COVID</w:t>
      </w:r>
      <w:r w:rsidR="00E149E8">
        <w:rPr>
          <w:rFonts w:eastAsia="PMingLiU"/>
          <w:szCs w:val="22"/>
          <w:lang w:val="lv-LV"/>
        </w:rPr>
        <w:noBreakHyphen/>
      </w:r>
      <w:r w:rsidRPr="00B1121A">
        <w:rPr>
          <w:rFonts w:eastAsia="PMingLiU"/>
          <w:szCs w:val="22"/>
          <w:lang w:val="lv-LV"/>
        </w:rPr>
        <w:t>19 ārstēšanai pieaugušajiem, kuri jau saņem terapiju ar sistēmiski lietojamiem kortikosteroīdiem un kuriem</w:t>
      </w:r>
      <w:r w:rsidR="0061138C">
        <w:rPr>
          <w:rFonts w:eastAsia="PMingLiU"/>
          <w:szCs w:val="22"/>
          <w:lang w:val="lv-LV"/>
        </w:rPr>
        <w:t xml:space="preserve"> ir</w:t>
      </w:r>
      <w:r w:rsidRPr="00B1121A">
        <w:rPr>
          <w:rFonts w:eastAsia="PMingLiU"/>
          <w:szCs w:val="22"/>
          <w:lang w:val="lv-LV"/>
        </w:rPr>
        <w:t xml:space="preserve"> nepieciešama papildu skābekļa terapija vai mehāniskā plaušu ventilācija.</w:t>
      </w:r>
    </w:p>
    <w:p w14:paraId="70095FF0" w14:textId="77777777" w:rsidR="00B1121A" w:rsidRDefault="00B1121A">
      <w:pPr>
        <w:rPr>
          <w:rFonts w:eastAsia="PMingLiU"/>
          <w:szCs w:val="22"/>
          <w:lang w:val="lv-LV"/>
        </w:rPr>
      </w:pPr>
    </w:p>
    <w:p w14:paraId="46B2746F" w14:textId="67C185F5" w:rsidR="00E149E8" w:rsidRDefault="00E149E8">
      <w:pPr>
        <w:rPr>
          <w:szCs w:val="22"/>
          <w:lang w:val="lv-LV"/>
        </w:rPr>
      </w:pPr>
      <w:r>
        <w:rPr>
          <w:szCs w:val="22"/>
          <w:u w:val="single"/>
          <w:lang w:val="lv-LV"/>
        </w:rPr>
        <w:lastRenderedPageBreak/>
        <w:t>Sistēmisks juvenils idiopātisks artrīts (sJIA)</w:t>
      </w:r>
    </w:p>
    <w:p w14:paraId="655442F6" w14:textId="71D63171" w:rsidR="00784D05" w:rsidRDefault="00784D05">
      <w:pPr>
        <w:rPr>
          <w:szCs w:val="22"/>
          <w:lang w:val="lv-LV"/>
        </w:rPr>
      </w:pPr>
      <w:r>
        <w:rPr>
          <w:szCs w:val="22"/>
          <w:lang w:val="lv-LV"/>
        </w:rPr>
        <w:t xml:space="preserve">RoActemra </w:t>
      </w:r>
      <w:del w:id="4" w:author="Regulatory LV" w:date="2026-03-17T11:07:00Z">
        <w:r w:rsidDel="00514E28">
          <w:rPr>
            <w:szCs w:val="22"/>
            <w:lang w:val="lv-LV"/>
          </w:rPr>
          <w:delText xml:space="preserve">indicēts </w:delText>
        </w:r>
      </w:del>
      <w:ins w:id="5" w:author="Regulatory LV" w:date="2026-03-17T11:07:00Z">
        <w:r w:rsidR="00514E28">
          <w:rPr>
            <w:szCs w:val="22"/>
            <w:lang w:val="lv-LV"/>
          </w:rPr>
          <w:t xml:space="preserve">ir paredzēts </w:t>
        </w:r>
      </w:ins>
      <w:r>
        <w:rPr>
          <w:szCs w:val="22"/>
          <w:lang w:val="lv-LV"/>
        </w:rPr>
        <w:t xml:space="preserve">aktīva sJIA ārstēšanai pacientiem no divu gadu vecuma, kuriem bijusi nepietiekama atbildes reakcija uz iepriekšēju ārstēšanu ar </w:t>
      </w:r>
      <w:r w:rsidR="00E149E8">
        <w:rPr>
          <w:szCs w:val="22"/>
          <w:lang w:val="lv-LV"/>
        </w:rPr>
        <w:t>nesteroīdiem pretiekaisuma līdzekļiem (</w:t>
      </w:r>
      <w:r>
        <w:rPr>
          <w:szCs w:val="22"/>
          <w:lang w:val="lv-LV"/>
        </w:rPr>
        <w:t>NSPL</w:t>
      </w:r>
      <w:r w:rsidR="00E149E8">
        <w:rPr>
          <w:szCs w:val="22"/>
          <w:lang w:val="lv-LV"/>
        </w:rPr>
        <w:t>)</w:t>
      </w:r>
      <w:r>
        <w:rPr>
          <w:szCs w:val="22"/>
          <w:lang w:val="lv-LV"/>
        </w:rPr>
        <w:t xml:space="preserve"> un sistēmiskajiem kortikosteroīdiem. RoActemra var lietot monoterapijas veidā (ja ir MTX nepanesība vai ārstēšana ar MTX nav piemērota) vai kombinācijā ar MTX.</w:t>
      </w:r>
    </w:p>
    <w:p w14:paraId="6C99BB05" w14:textId="77777777" w:rsidR="00784D05" w:rsidRDefault="00784D05">
      <w:pPr>
        <w:rPr>
          <w:szCs w:val="22"/>
          <w:lang w:val="lv-LV"/>
        </w:rPr>
      </w:pPr>
    </w:p>
    <w:p w14:paraId="43AC75C9" w14:textId="78C21941" w:rsidR="00E149E8" w:rsidRDefault="00E149E8">
      <w:pPr>
        <w:rPr>
          <w:rFonts w:eastAsia="PMingLiU"/>
          <w:szCs w:val="22"/>
          <w:lang w:val="lv-LV"/>
        </w:rPr>
      </w:pPr>
      <w:r>
        <w:rPr>
          <w:rFonts w:eastAsia="PMingLiU"/>
          <w:szCs w:val="22"/>
          <w:u w:val="single"/>
          <w:lang w:val="lv-LV"/>
        </w:rPr>
        <w:t>Juvenils idiopātisks poliartrīts (pJIA)</w:t>
      </w:r>
    </w:p>
    <w:p w14:paraId="60A89EFB" w14:textId="0E956352" w:rsidR="00784D05" w:rsidRDefault="00784D05">
      <w:pPr>
        <w:rPr>
          <w:rFonts w:eastAsia="PMingLiU"/>
          <w:szCs w:val="22"/>
          <w:lang w:val="lv-LV"/>
        </w:rPr>
      </w:pPr>
      <w:r>
        <w:rPr>
          <w:rFonts w:eastAsia="PMingLiU"/>
          <w:szCs w:val="22"/>
          <w:lang w:val="lv-LV"/>
        </w:rPr>
        <w:t xml:space="preserve">RoActemra kombinācijā ar MTX </w:t>
      </w:r>
      <w:del w:id="6" w:author="Regulatory LV" w:date="2026-03-17T11:07:00Z">
        <w:r w:rsidDel="00514E28">
          <w:rPr>
            <w:rFonts w:eastAsia="PMingLiU"/>
            <w:szCs w:val="22"/>
            <w:lang w:val="lv-LV"/>
          </w:rPr>
          <w:delText xml:space="preserve">indicēts </w:delText>
        </w:r>
      </w:del>
      <w:ins w:id="7" w:author="Regulatory LV" w:date="2026-03-17T11:07:00Z">
        <w:r w:rsidR="00514E28">
          <w:rPr>
            <w:rFonts w:eastAsia="PMingLiU"/>
            <w:szCs w:val="22"/>
            <w:lang w:val="lv-LV"/>
          </w:rPr>
          <w:t xml:space="preserve">ir paredzēts </w:t>
        </w:r>
      </w:ins>
      <w:r>
        <w:rPr>
          <w:rFonts w:eastAsia="PMingLiU"/>
          <w:bCs/>
          <w:iCs/>
          <w:color w:val="000000"/>
          <w:szCs w:val="22"/>
          <w:lang w:val="lv-LV"/>
        </w:rPr>
        <w:t xml:space="preserve">pJIA </w:t>
      </w:r>
      <w:r w:rsidR="00E149E8">
        <w:rPr>
          <w:rFonts w:eastAsia="PMingLiU"/>
          <w:bCs/>
          <w:iCs/>
          <w:color w:val="000000"/>
          <w:szCs w:val="22"/>
          <w:lang w:val="lv-LV"/>
        </w:rPr>
        <w:t>(</w:t>
      </w:r>
      <w:r>
        <w:rPr>
          <w:rFonts w:eastAsia="PMingLiU"/>
          <w:bCs/>
          <w:iCs/>
          <w:color w:val="000000"/>
          <w:szCs w:val="22"/>
          <w:lang w:val="lv-LV"/>
        </w:rPr>
        <w:t>pozitīv</w:t>
      </w:r>
      <w:r w:rsidR="000C6C88">
        <w:rPr>
          <w:rFonts w:eastAsia="PMingLiU"/>
          <w:bCs/>
          <w:iCs/>
          <w:color w:val="000000"/>
          <w:szCs w:val="22"/>
          <w:lang w:val="lv-LV"/>
        </w:rPr>
        <w:t>a</w:t>
      </w:r>
      <w:r>
        <w:rPr>
          <w:rFonts w:eastAsia="PMingLiU"/>
          <w:bCs/>
          <w:iCs/>
          <w:color w:val="000000"/>
          <w:szCs w:val="22"/>
          <w:lang w:val="lv-LV"/>
        </w:rPr>
        <w:t xml:space="preserve"> vai negatīv</w:t>
      </w:r>
      <w:r w:rsidR="000C6C88">
        <w:rPr>
          <w:rFonts w:eastAsia="PMingLiU"/>
          <w:bCs/>
          <w:iCs/>
          <w:color w:val="000000"/>
          <w:szCs w:val="22"/>
          <w:lang w:val="lv-LV"/>
        </w:rPr>
        <w:t>a</w:t>
      </w:r>
      <w:r>
        <w:rPr>
          <w:rFonts w:eastAsia="PMingLiU"/>
          <w:bCs/>
          <w:iCs/>
          <w:color w:val="000000"/>
          <w:szCs w:val="22"/>
          <w:lang w:val="lv-LV"/>
        </w:rPr>
        <w:t xml:space="preserve"> reimatoīd</w:t>
      </w:r>
      <w:r w:rsidR="000C6C88">
        <w:rPr>
          <w:rFonts w:eastAsia="PMingLiU"/>
          <w:bCs/>
          <w:iCs/>
          <w:color w:val="000000"/>
          <w:szCs w:val="22"/>
          <w:lang w:val="lv-LV"/>
        </w:rPr>
        <w:t>ā</w:t>
      </w:r>
      <w:r>
        <w:rPr>
          <w:rFonts w:eastAsia="PMingLiU"/>
          <w:bCs/>
          <w:iCs/>
          <w:color w:val="000000"/>
          <w:szCs w:val="22"/>
          <w:lang w:val="lv-LV"/>
        </w:rPr>
        <w:t xml:space="preserve"> faktor</w:t>
      </w:r>
      <w:r w:rsidR="000C6C88">
        <w:rPr>
          <w:rFonts w:eastAsia="PMingLiU"/>
          <w:bCs/>
          <w:iCs/>
          <w:color w:val="000000"/>
          <w:szCs w:val="22"/>
          <w:lang w:val="lv-LV"/>
        </w:rPr>
        <w:t>a atrade</w:t>
      </w:r>
      <w:r>
        <w:rPr>
          <w:rFonts w:eastAsia="PMingLiU"/>
          <w:bCs/>
          <w:iCs/>
          <w:color w:val="000000"/>
          <w:szCs w:val="22"/>
          <w:lang w:val="lv-LV"/>
        </w:rPr>
        <w:t xml:space="preserve"> un p</w:t>
      </w:r>
      <w:r w:rsidR="004F15A7">
        <w:rPr>
          <w:rFonts w:eastAsia="PMingLiU"/>
          <w:bCs/>
          <w:iCs/>
          <w:color w:val="000000"/>
          <w:szCs w:val="22"/>
          <w:lang w:val="lv-LV"/>
        </w:rPr>
        <w:t>aplašināt</w:t>
      </w:r>
      <w:r>
        <w:rPr>
          <w:rFonts w:eastAsia="PMingLiU"/>
          <w:bCs/>
          <w:iCs/>
          <w:color w:val="000000"/>
          <w:szCs w:val="22"/>
          <w:lang w:val="lv-LV"/>
        </w:rPr>
        <w:t xml:space="preserve">s oligoartrīts) ārstēšanai 2 gadus veciem un vecākiem pacientiem, kuriem </w:t>
      </w:r>
      <w:r>
        <w:rPr>
          <w:rFonts w:eastAsia="PMingLiU"/>
          <w:szCs w:val="22"/>
          <w:lang w:val="lv-LV"/>
        </w:rPr>
        <w:t>nav bijusi adekvāta reakcija uz iepriekšējo terapiju ar</w:t>
      </w:r>
      <w:r>
        <w:rPr>
          <w:rFonts w:eastAsia="PMingLiU"/>
          <w:bCs/>
          <w:iCs/>
          <w:color w:val="000000"/>
          <w:szCs w:val="22"/>
          <w:lang w:val="lv-LV"/>
        </w:rPr>
        <w:t xml:space="preserve"> MTX. RoActemra </w:t>
      </w:r>
      <w:r>
        <w:rPr>
          <w:rFonts w:eastAsia="PMingLiU"/>
          <w:szCs w:val="22"/>
          <w:lang w:val="lv-LV"/>
        </w:rPr>
        <w:t>var ievadīt monoterapijas veidā gadījumos, kad konstatēta MTX nepanesība vai turpmākā terapija ar MTX ir nepiemērota.</w:t>
      </w:r>
    </w:p>
    <w:p w14:paraId="3FE8003D" w14:textId="77777777" w:rsidR="000038EB" w:rsidRDefault="000038EB">
      <w:pPr>
        <w:rPr>
          <w:rFonts w:eastAsia="PMingLiU"/>
          <w:szCs w:val="22"/>
          <w:lang w:val="lv-LV"/>
        </w:rPr>
      </w:pPr>
    </w:p>
    <w:p w14:paraId="2218236C" w14:textId="5B6285F0" w:rsidR="00E149E8" w:rsidRDefault="00E149E8">
      <w:pPr>
        <w:rPr>
          <w:szCs w:val="22"/>
          <w:lang w:val="lv-LV"/>
        </w:rPr>
      </w:pPr>
      <w:r>
        <w:rPr>
          <w:szCs w:val="22"/>
          <w:u w:val="single"/>
          <w:lang w:val="lv-LV"/>
        </w:rPr>
        <w:t>Citokīnu atbrīvošanās sindroms (</w:t>
      </w:r>
      <w:r w:rsidRPr="00FA2078">
        <w:rPr>
          <w:i/>
          <w:iCs/>
          <w:szCs w:val="22"/>
          <w:u w:val="single"/>
          <w:lang w:val="lv-LV"/>
        </w:rPr>
        <w:t>cytokine release syndrome</w:t>
      </w:r>
      <w:r>
        <w:rPr>
          <w:szCs w:val="22"/>
          <w:u w:val="single"/>
          <w:lang w:val="lv-LV"/>
        </w:rPr>
        <w:t>, CRS)</w:t>
      </w:r>
    </w:p>
    <w:p w14:paraId="425E0412" w14:textId="0CA88E94" w:rsidR="000038EB" w:rsidRDefault="000038EB">
      <w:pPr>
        <w:rPr>
          <w:rFonts w:eastAsia="PMingLiU"/>
          <w:szCs w:val="22"/>
          <w:lang w:val="lv-LV"/>
        </w:rPr>
      </w:pPr>
      <w:r w:rsidRPr="00385B1F">
        <w:rPr>
          <w:szCs w:val="22"/>
          <w:lang w:val="lv-LV"/>
        </w:rPr>
        <w:t xml:space="preserve">RoActemra </w:t>
      </w:r>
      <w:del w:id="8" w:author="Regulatory LV" w:date="2026-03-17T11:07:00Z">
        <w:r w:rsidRPr="00385B1F" w:rsidDel="00514E28">
          <w:rPr>
            <w:szCs w:val="22"/>
            <w:lang w:val="lv-LV"/>
          </w:rPr>
          <w:delText xml:space="preserve">indicēts </w:delText>
        </w:r>
      </w:del>
      <w:ins w:id="9" w:author="Regulatory LV" w:date="2026-03-17T11:07:00Z">
        <w:r w:rsidR="00514E28">
          <w:rPr>
            <w:szCs w:val="22"/>
            <w:lang w:val="lv-LV"/>
          </w:rPr>
          <w:t>ir paredzēts</w:t>
        </w:r>
        <w:r w:rsidR="00514E28" w:rsidRPr="00385B1F">
          <w:rPr>
            <w:szCs w:val="22"/>
            <w:lang w:val="lv-LV"/>
          </w:rPr>
          <w:t xml:space="preserve"> </w:t>
        </w:r>
      </w:ins>
      <w:r w:rsidRPr="00385B1F">
        <w:rPr>
          <w:szCs w:val="22"/>
          <w:lang w:val="lv-LV"/>
        </w:rPr>
        <w:t>smaga vai dzīvībai bīstama CRS, ko inducējuši himēriska antigēna receptora (</w:t>
      </w:r>
      <w:r w:rsidRPr="00385B1F">
        <w:rPr>
          <w:i/>
          <w:szCs w:val="22"/>
          <w:lang w:val="lv-LV"/>
        </w:rPr>
        <w:t>chimeric antigen receptor</w:t>
      </w:r>
      <w:r w:rsidRPr="00385B1F">
        <w:rPr>
          <w:szCs w:val="22"/>
          <w:lang w:val="lv-LV"/>
        </w:rPr>
        <w:t>, CAR) T</w:t>
      </w:r>
      <w:r w:rsidR="00E149E8">
        <w:rPr>
          <w:szCs w:val="22"/>
          <w:lang w:val="lv-LV"/>
        </w:rPr>
        <w:t> </w:t>
      </w:r>
      <w:r w:rsidRPr="00385B1F">
        <w:rPr>
          <w:szCs w:val="22"/>
          <w:lang w:val="lv-LV"/>
        </w:rPr>
        <w:t xml:space="preserve">limfocīti, ārstēšanai pieaugušajiem un bērniem no 2 gadu vecuma. </w:t>
      </w:r>
    </w:p>
    <w:p w14:paraId="2BCEED33" w14:textId="77777777" w:rsidR="00784D05" w:rsidRDefault="00784D05">
      <w:pPr>
        <w:rPr>
          <w:rFonts w:eastAsia="PMingLiU"/>
          <w:szCs w:val="22"/>
          <w:lang w:val="lv-LV"/>
        </w:rPr>
      </w:pPr>
    </w:p>
    <w:p w14:paraId="3C6E7C05" w14:textId="77777777" w:rsidR="00784D05" w:rsidRDefault="00784D05">
      <w:pPr>
        <w:keepNext/>
        <w:rPr>
          <w:szCs w:val="22"/>
          <w:lang w:val="lv-LV"/>
        </w:rPr>
      </w:pPr>
      <w:r>
        <w:rPr>
          <w:b/>
          <w:szCs w:val="22"/>
          <w:lang w:val="lv-LV"/>
        </w:rPr>
        <w:t>4.2.</w:t>
      </w:r>
      <w:r>
        <w:rPr>
          <w:b/>
          <w:szCs w:val="22"/>
          <w:lang w:val="lv-LV"/>
        </w:rPr>
        <w:tab/>
        <w:t>Devas un lietošanas veids</w:t>
      </w:r>
    </w:p>
    <w:p w14:paraId="75989205" w14:textId="77777777" w:rsidR="00784D05" w:rsidRDefault="00784D05">
      <w:pPr>
        <w:keepNext/>
        <w:rPr>
          <w:szCs w:val="22"/>
          <w:lang w:val="lv-LV"/>
        </w:rPr>
      </w:pPr>
    </w:p>
    <w:p w14:paraId="7926D195" w14:textId="183ECD39" w:rsidR="00784D05" w:rsidRDefault="00784D05">
      <w:pPr>
        <w:rPr>
          <w:szCs w:val="22"/>
          <w:lang w:val="lv-LV"/>
        </w:rPr>
      </w:pPr>
      <w:r>
        <w:rPr>
          <w:szCs w:val="22"/>
          <w:lang w:val="lv-LV"/>
        </w:rPr>
        <w:t>Terapija jāsāk veselības aprūpes speciālistiem, kuriem ir pieredze RA,</w:t>
      </w:r>
      <w:r w:rsidR="00B1121A">
        <w:rPr>
          <w:szCs w:val="22"/>
          <w:lang w:val="lv-LV"/>
        </w:rPr>
        <w:t xml:space="preserve"> COVID</w:t>
      </w:r>
      <w:r w:rsidR="00E149E8">
        <w:rPr>
          <w:szCs w:val="22"/>
          <w:lang w:val="lv-LV"/>
        </w:rPr>
        <w:noBreakHyphen/>
      </w:r>
      <w:r w:rsidR="00B1121A">
        <w:rPr>
          <w:szCs w:val="22"/>
          <w:lang w:val="lv-LV"/>
        </w:rPr>
        <w:t>19,</w:t>
      </w:r>
      <w:r>
        <w:rPr>
          <w:szCs w:val="22"/>
          <w:lang w:val="lv-LV"/>
        </w:rPr>
        <w:t xml:space="preserve"> sJIA</w:t>
      </w:r>
      <w:r w:rsidR="00D44374">
        <w:rPr>
          <w:szCs w:val="22"/>
          <w:lang w:val="lv-LV"/>
        </w:rPr>
        <w:t>,</w:t>
      </w:r>
      <w:r>
        <w:rPr>
          <w:szCs w:val="22"/>
          <w:lang w:val="lv-LV"/>
        </w:rPr>
        <w:t xml:space="preserve"> pJIA </w:t>
      </w:r>
      <w:r w:rsidR="00D44374">
        <w:rPr>
          <w:szCs w:val="22"/>
          <w:lang w:val="lv-LV"/>
        </w:rPr>
        <w:t xml:space="preserve">vai CRS </w:t>
      </w:r>
      <w:r>
        <w:rPr>
          <w:szCs w:val="22"/>
          <w:lang w:val="lv-LV"/>
        </w:rPr>
        <w:t>diagnostikā un ārstēšanā.</w:t>
      </w:r>
    </w:p>
    <w:p w14:paraId="1536F4B1" w14:textId="77777777" w:rsidR="00901197" w:rsidRDefault="00901197">
      <w:pPr>
        <w:rPr>
          <w:szCs w:val="22"/>
          <w:lang w:val="lv-LV"/>
        </w:rPr>
      </w:pPr>
    </w:p>
    <w:p w14:paraId="6143466D" w14:textId="4B99B10F" w:rsidR="00784D05" w:rsidRDefault="00784D05">
      <w:pPr>
        <w:rPr>
          <w:szCs w:val="22"/>
          <w:lang w:val="lv-LV"/>
        </w:rPr>
      </w:pPr>
      <w:r>
        <w:rPr>
          <w:szCs w:val="22"/>
          <w:lang w:val="lv-LV"/>
        </w:rPr>
        <w:t>Visiem pacientiem, kurus ārstē ar RoActemra, ir jāizsniedz pacienta kart</w:t>
      </w:r>
      <w:r w:rsidR="00F020A5">
        <w:rPr>
          <w:szCs w:val="22"/>
          <w:lang w:val="lv-LV"/>
        </w:rPr>
        <w:t>īt</w:t>
      </w:r>
      <w:r>
        <w:rPr>
          <w:szCs w:val="22"/>
          <w:lang w:val="lv-LV"/>
        </w:rPr>
        <w:t>e.</w:t>
      </w:r>
    </w:p>
    <w:p w14:paraId="6CF1A2D4" w14:textId="622A56C7" w:rsidR="00784D05" w:rsidRDefault="00784D05">
      <w:pPr>
        <w:rPr>
          <w:szCs w:val="22"/>
          <w:lang w:val="lv-LV"/>
        </w:rPr>
      </w:pPr>
    </w:p>
    <w:p w14:paraId="0D009A0D" w14:textId="77777777" w:rsidR="009156C0" w:rsidRDefault="00784D05" w:rsidP="009156C0">
      <w:pPr>
        <w:keepNext/>
        <w:keepLines/>
        <w:rPr>
          <w:bCs/>
          <w:szCs w:val="22"/>
          <w:u w:val="single"/>
          <w:lang w:val="lv-LV"/>
        </w:rPr>
      </w:pPr>
      <w:r>
        <w:rPr>
          <w:szCs w:val="22"/>
          <w:u w:val="single"/>
          <w:lang w:val="lv-LV"/>
        </w:rPr>
        <w:t>Devas</w:t>
      </w:r>
      <w:r w:rsidR="009156C0" w:rsidRPr="009156C0">
        <w:rPr>
          <w:bCs/>
          <w:szCs w:val="22"/>
          <w:u w:val="single"/>
          <w:lang w:val="lv-LV"/>
        </w:rPr>
        <w:t xml:space="preserve"> </w:t>
      </w:r>
    </w:p>
    <w:p w14:paraId="6B22A216" w14:textId="77777777" w:rsidR="009156C0" w:rsidRDefault="009156C0" w:rsidP="009156C0">
      <w:pPr>
        <w:keepNext/>
        <w:keepLines/>
        <w:rPr>
          <w:ins w:id="10" w:author="Author"/>
          <w:bCs/>
          <w:i/>
          <w:iCs/>
          <w:szCs w:val="22"/>
          <w:lang w:val="lv-LV"/>
        </w:rPr>
      </w:pPr>
      <w:r w:rsidRPr="00707120">
        <w:rPr>
          <w:bCs/>
          <w:i/>
          <w:iCs/>
          <w:szCs w:val="22"/>
          <w:lang w:val="lv-LV"/>
        </w:rPr>
        <w:t>Pacienti ar RA</w:t>
      </w:r>
    </w:p>
    <w:p w14:paraId="2019C0D2" w14:textId="77777777" w:rsidR="00D61ECD" w:rsidRPr="002007A3" w:rsidRDefault="00D61ECD" w:rsidP="009156C0">
      <w:pPr>
        <w:keepNext/>
        <w:keepLines/>
        <w:rPr>
          <w:bCs/>
          <w:szCs w:val="22"/>
          <w:lang w:val="lv-LV"/>
          <w:rPrChange w:id="11" w:author="Author">
            <w:rPr>
              <w:bCs/>
              <w:i/>
              <w:iCs/>
              <w:szCs w:val="22"/>
              <w:lang w:val="lv-LV"/>
            </w:rPr>
          </w:rPrChange>
        </w:rPr>
      </w:pPr>
    </w:p>
    <w:p w14:paraId="67B74DA2" w14:textId="77777777" w:rsidR="00784D05" w:rsidRDefault="00784D05">
      <w:pPr>
        <w:rPr>
          <w:szCs w:val="22"/>
          <w:lang w:val="lv-LV"/>
        </w:rPr>
      </w:pPr>
      <w:r>
        <w:rPr>
          <w:szCs w:val="22"/>
          <w:lang w:val="lv-LV"/>
        </w:rPr>
        <w:t>Ieteicamā deva ir 8 mg/kg ķermeņa masas, ievadot reizi četrās nedēļās.</w:t>
      </w:r>
    </w:p>
    <w:p w14:paraId="7E2A2719" w14:textId="77777777" w:rsidR="00784D05" w:rsidRDefault="00784D05">
      <w:pPr>
        <w:rPr>
          <w:szCs w:val="22"/>
          <w:lang w:val="lv-LV"/>
        </w:rPr>
      </w:pPr>
    </w:p>
    <w:p w14:paraId="322AF5D3" w14:textId="77777777" w:rsidR="00784D05" w:rsidRDefault="00784D05">
      <w:pPr>
        <w:rPr>
          <w:szCs w:val="22"/>
          <w:lang w:val="lv-LV"/>
        </w:rPr>
      </w:pPr>
      <w:r>
        <w:rPr>
          <w:szCs w:val="22"/>
          <w:lang w:val="lv-LV"/>
        </w:rPr>
        <w:t>Cilvēkiem, kuru ķermeņa masa lielāka par 100 kg, vienas infūzijas laikā ievadīt devas, kas lielākas par 800 mg, nav ieteicams (skatīt 5.2. apakšpunktu).</w:t>
      </w:r>
    </w:p>
    <w:p w14:paraId="3525705A" w14:textId="77777777" w:rsidR="00784D05" w:rsidRDefault="00784D05">
      <w:pPr>
        <w:rPr>
          <w:szCs w:val="22"/>
          <w:lang w:val="lv-LV"/>
        </w:rPr>
      </w:pPr>
    </w:p>
    <w:p w14:paraId="7853F838" w14:textId="77777777" w:rsidR="00784D05" w:rsidRDefault="00784D05">
      <w:pPr>
        <w:rPr>
          <w:szCs w:val="22"/>
          <w:lang w:val="lv-LV"/>
        </w:rPr>
      </w:pPr>
      <w:r>
        <w:rPr>
          <w:szCs w:val="22"/>
          <w:lang w:val="lv-LV"/>
        </w:rPr>
        <w:t>Par 1,2 g lielākas devas klīniskos pētījumos nav novērtētas (skatīt 5.1. apakšpunktu).</w:t>
      </w:r>
    </w:p>
    <w:p w14:paraId="48668024" w14:textId="77777777" w:rsidR="00784D05" w:rsidRDefault="00784D05">
      <w:pPr>
        <w:rPr>
          <w:szCs w:val="22"/>
          <w:lang w:val="lv-LV"/>
        </w:rPr>
      </w:pPr>
    </w:p>
    <w:p w14:paraId="1F4ED267" w14:textId="38070371" w:rsidR="00784D05" w:rsidRPr="00707120" w:rsidRDefault="00784D05">
      <w:pPr>
        <w:keepNext/>
        <w:rPr>
          <w:bCs/>
          <w:i/>
          <w:iCs/>
          <w:u w:val="single"/>
          <w:lang w:val="lv-LV"/>
        </w:rPr>
      </w:pPr>
      <w:r w:rsidRPr="00707120">
        <w:rPr>
          <w:i/>
          <w:iCs/>
          <w:szCs w:val="22"/>
          <w:u w:val="single"/>
          <w:lang w:val="lv-LV"/>
        </w:rPr>
        <w:t>Devas pielāgošan</w:t>
      </w:r>
      <w:r w:rsidR="00E149E8" w:rsidRPr="00707120">
        <w:rPr>
          <w:i/>
          <w:iCs/>
          <w:szCs w:val="22"/>
          <w:u w:val="single"/>
          <w:lang w:val="lv-LV"/>
        </w:rPr>
        <w:t>a</w:t>
      </w:r>
      <w:r w:rsidRPr="00707120">
        <w:rPr>
          <w:i/>
          <w:iCs/>
          <w:szCs w:val="22"/>
          <w:u w:val="single"/>
          <w:lang w:val="lv-LV"/>
        </w:rPr>
        <w:t xml:space="preserve"> sakarā ar laboratorisko izmeklējumu rezultātu patoloģijām </w:t>
      </w:r>
      <w:r w:rsidR="00E149E8" w:rsidRPr="00707120">
        <w:rPr>
          <w:i/>
          <w:iCs/>
          <w:szCs w:val="22"/>
          <w:u w:val="single"/>
          <w:lang w:val="lv-LV"/>
        </w:rPr>
        <w:t>(</w:t>
      </w:r>
      <w:r w:rsidRPr="00707120">
        <w:rPr>
          <w:i/>
          <w:iCs/>
          <w:szCs w:val="22"/>
          <w:u w:val="single"/>
          <w:lang w:val="lv-LV"/>
        </w:rPr>
        <w:t>skatīt 4.4. apakšpunkt</w:t>
      </w:r>
      <w:r w:rsidR="00E149E8" w:rsidRPr="00707120">
        <w:rPr>
          <w:i/>
          <w:iCs/>
          <w:szCs w:val="22"/>
          <w:u w:val="single"/>
          <w:lang w:val="lv-LV"/>
        </w:rPr>
        <w:t>u)</w:t>
      </w:r>
    </w:p>
    <w:p w14:paraId="2DEA6D6B" w14:textId="77777777" w:rsidR="00784D05" w:rsidRDefault="00784D05">
      <w:pPr>
        <w:keepNext/>
        <w:ind w:left="567" w:hanging="567"/>
        <w:rPr>
          <w:bCs/>
          <w:u w:val="single"/>
          <w:lang w:val="lv-LV"/>
        </w:rPr>
      </w:pPr>
    </w:p>
    <w:p w14:paraId="15747DF6" w14:textId="745216C8" w:rsidR="00784D05" w:rsidRPr="00E149E8" w:rsidRDefault="009750F5" w:rsidP="00707120">
      <w:pPr>
        <w:pStyle w:val="ListParagraph"/>
        <w:keepNext/>
        <w:keepLines/>
        <w:ind w:left="567" w:hanging="567"/>
        <w:rPr>
          <w:szCs w:val="22"/>
          <w:lang w:val="lv-LV"/>
        </w:rPr>
      </w:pPr>
      <w:r>
        <w:rPr>
          <w:lang w:val="nb-NO"/>
        </w:rPr>
        <w:sym w:font="Symbol" w:char="F0B7"/>
      </w:r>
      <w:r>
        <w:rPr>
          <w:lang w:val="nb-NO"/>
        </w:rPr>
        <w:tab/>
      </w:r>
      <w:r w:rsidR="00784D05" w:rsidRPr="00E149E8">
        <w:rPr>
          <w:szCs w:val="22"/>
          <w:lang w:val="lv-LV"/>
        </w:rPr>
        <w:t xml:space="preserve">Aknu enzīmu </w:t>
      </w:r>
      <w:ins w:id="12" w:author="Regulatory LV" w:date="2026-03-17T11:10:00Z">
        <w:r w:rsidR="00514E28">
          <w:rPr>
            <w:szCs w:val="22"/>
            <w:lang w:val="lv-LV"/>
          </w:rPr>
          <w:t xml:space="preserve">līmeņa </w:t>
        </w:r>
      </w:ins>
      <w:r w:rsidR="00784D05" w:rsidRPr="00E149E8">
        <w:rPr>
          <w:szCs w:val="22"/>
          <w:lang w:val="lv-LV"/>
        </w:rPr>
        <w:t>patoloģi</w:t>
      </w:r>
      <w:ins w:id="13" w:author="Regulatory LV" w:date="2026-03-17T11:10:00Z">
        <w:r w:rsidR="00514E28">
          <w:rPr>
            <w:szCs w:val="22"/>
            <w:lang w:val="lv-LV"/>
          </w:rPr>
          <w:t>sk</w:t>
        </w:r>
      </w:ins>
      <w:ins w:id="14" w:author="Regulatory LV" w:date="2026-03-17T11:11:00Z">
        <w:r w:rsidR="00514E28">
          <w:rPr>
            <w:szCs w:val="22"/>
            <w:lang w:val="lv-LV"/>
          </w:rPr>
          <w:t>as</w:t>
        </w:r>
      </w:ins>
      <w:del w:id="15" w:author="Regulatory LV" w:date="2026-03-17T11:11:00Z">
        <w:r w:rsidR="00784D05" w:rsidRPr="00E149E8" w:rsidDel="00514E28">
          <w:rPr>
            <w:szCs w:val="22"/>
            <w:lang w:val="lv-LV"/>
          </w:rPr>
          <w:delText>jas</w:delText>
        </w:r>
      </w:del>
      <w:ins w:id="16" w:author="Regulatory LV" w:date="2026-03-17T11:11:00Z">
        <w:r w:rsidR="00514E28">
          <w:rPr>
            <w:szCs w:val="22"/>
            <w:lang w:val="lv-LV"/>
          </w:rPr>
          <w:t xml:space="preserve"> izmaiņas</w:t>
        </w:r>
      </w:ins>
    </w:p>
    <w:p w14:paraId="311102E9" w14:textId="77777777" w:rsidR="00784D05" w:rsidRDefault="00784D05" w:rsidP="00707120">
      <w:pPr>
        <w:keepNext/>
        <w:keepLines/>
        <w:rPr>
          <w:szCs w:val="22"/>
          <w:lang w:val="lv-LV"/>
        </w:rPr>
      </w:pPr>
    </w:p>
    <w:tbl>
      <w:tblPr>
        <w:tblW w:w="9082" w:type="dxa"/>
        <w:tblInd w:w="-15" w:type="dxa"/>
        <w:tblLayout w:type="fixed"/>
        <w:tblLook w:val="0000" w:firstRow="0" w:lastRow="0" w:firstColumn="0" w:lastColumn="0" w:noHBand="0" w:noVBand="0"/>
      </w:tblPr>
      <w:tblGrid>
        <w:gridCol w:w="2272"/>
        <w:gridCol w:w="6"/>
        <w:gridCol w:w="6804"/>
      </w:tblGrid>
      <w:tr w:rsidR="00784D05" w14:paraId="2ACCC581" w14:textId="77777777" w:rsidTr="00707120">
        <w:trPr>
          <w:cantSplit/>
        </w:trPr>
        <w:tc>
          <w:tcPr>
            <w:tcW w:w="2278" w:type="dxa"/>
            <w:gridSpan w:val="2"/>
            <w:tcBorders>
              <w:top w:val="single" w:sz="4" w:space="0" w:color="000000"/>
              <w:left w:val="single" w:sz="4" w:space="0" w:color="000000"/>
              <w:bottom w:val="single" w:sz="4" w:space="0" w:color="000000"/>
            </w:tcBorders>
          </w:tcPr>
          <w:p w14:paraId="74A9757D" w14:textId="77777777" w:rsidR="00784D05" w:rsidRDefault="00784D05" w:rsidP="00707120">
            <w:pPr>
              <w:pStyle w:val="TextTi12"/>
              <w:keepNext/>
              <w:keepLines/>
              <w:jc w:val="left"/>
              <w:rPr>
                <w:sz w:val="22"/>
                <w:szCs w:val="22"/>
                <w:lang w:val="lv-LV"/>
              </w:rPr>
            </w:pPr>
            <w:r>
              <w:rPr>
                <w:sz w:val="22"/>
                <w:szCs w:val="22"/>
                <w:lang w:val="lv-LV"/>
              </w:rPr>
              <w:t>Laboratorisko izmeklējumu rezultāti</w:t>
            </w:r>
          </w:p>
        </w:tc>
        <w:tc>
          <w:tcPr>
            <w:tcW w:w="6804" w:type="dxa"/>
            <w:tcBorders>
              <w:top w:val="single" w:sz="4" w:space="0" w:color="000000"/>
              <w:left w:val="single" w:sz="4" w:space="0" w:color="000000"/>
              <w:bottom w:val="single" w:sz="4" w:space="0" w:color="000000"/>
              <w:right w:val="single" w:sz="4" w:space="0" w:color="000000"/>
            </w:tcBorders>
          </w:tcPr>
          <w:p w14:paraId="240D3C3D" w14:textId="77777777" w:rsidR="00784D05" w:rsidRDefault="00784D05" w:rsidP="00707120">
            <w:pPr>
              <w:pStyle w:val="TextTi12"/>
              <w:keepNext/>
              <w:keepLines/>
              <w:jc w:val="center"/>
              <w:rPr>
                <w:sz w:val="22"/>
                <w:szCs w:val="22"/>
                <w:lang w:val="lv-LV"/>
              </w:rPr>
            </w:pPr>
            <w:r>
              <w:rPr>
                <w:sz w:val="22"/>
                <w:szCs w:val="22"/>
                <w:lang w:val="lv-LV"/>
              </w:rPr>
              <w:t>Rīcība</w:t>
            </w:r>
          </w:p>
        </w:tc>
      </w:tr>
      <w:tr w:rsidR="00784D05" w:rsidRPr="009136E0" w14:paraId="3553489F" w14:textId="77777777" w:rsidTr="00707120">
        <w:tc>
          <w:tcPr>
            <w:tcW w:w="2272" w:type="dxa"/>
            <w:tcBorders>
              <w:top w:val="single" w:sz="4" w:space="0" w:color="000000"/>
              <w:left w:val="single" w:sz="4" w:space="0" w:color="000000"/>
              <w:bottom w:val="single" w:sz="4" w:space="0" w:color="000000"/>
            </w:tcBorders>
          </w:tcPr>
          <w:p w14:paraId="0CC1BB6F" w14:textId="130B2624" w:rsidR="00784D05" w:rsidRDefault="00236CD1" w:rsidP="00707120">
            <w:pPr>
              <w:pStyle w:val="TextTi12"/>
              <w:keepNext/>
              <w:keepLines/>
              <w:jc w:val="left"/>
              <w:rPr>
                <w:sz w:val="22"/>
                <w:szCs w:val="22"/>
                <w:lang w:val="lv-LV"/>
              </w:rPr>
            </w:pPr>
            <w:r w:rsidRPr="009136E0">
              <w:rPr>
                <w:rFonts w:eastAsia="MS Mincho"/>
                <w:sz w:val="22"/>
                <w:szCs w:val="22"/>
                <w:lang w:val="pt-PT" w:eastAsia="ja-JP"/>
              </w:rPr>
              <w:t>&gt;</w:t>
            </w:r>
            <w:r w:rsidR="000C6C88" w:rsidRPr="009136E0">
              <w:rPr>
                <w:rFonts w:eastAsia="MS Mincho"/>
                <w:sz w:val="22"/>
                <w:szCs w:val="22"/>
                <w:lang w:val="pt-PT"/>
              </w:rPr>
              <w:t> </w:t>
            </w:r>
            <w:r w:rsidR="00784D05">
              <w:rPr>
                <w:sz w:val="22"/>
                <w:szCs w:val="22"/>
                <w:lang w:val="lv-LV"/>
              </w:rPr>
              <w:t>1</w:t>
            </w:r>
            <w:r w:rsidR="00E149E8">
              <w:rPr>
                <w:sz w:val="22"/>
                <w:szCs w:val="22"/>
                <w:lang w:val="lv-LV"/>
              </w:rPr>
              <w:noBreakHyphen/>
            </w:r>
            <w:r w:rsidR="00784D05">
              <w:rPr>
                <w:sz w:val="22"/>
                <w:szCs w:val="22"/>
                <w:lang w:val="lv-LV"/>
              </w:rPr>
              <w:t>3</w:t>
            </w:r>
            <w:r w:rsidR="00E149E8">
              <w:rPr>
                <w:sz w:val="22"/>
                <w:szCs w:val="22"/>
                <w:lang w:val="lv-LV"/>
              </w:rPr>
              <w:t> </w:t>
            </w:r>
            <w:r w:rsidR="00784D05">
              <w:rPr>
                <w:sz w:val="22"/>
                <w:szCs w:val="22"/>
                <w:lang w:val="lv-LV"/>
              </w:rPr>
              <w:t>reizes pārsniedz normas augšējo robežu (NAR)</w:t>
            </w:r>
          </w:p>
        </w:tc>
        <w:tc>
          <w:tcPr>
            <w:tcW w:w="6810" w:type="dxa"/>
            <w:gridSpan w:val="2"/>
            <w:tcBorders>
              <w:top w:val="single" w:sz="4" w:space="0" w:color="000000"/>
              <w:left w:val="single" w:sz="4" w:space="0" w:color="000000"/>
              <w:bottom w:val="single" w:sz="4" w:space="0" w:color="000000"/>
              <w:right w:val="single" w:sz="4" w:space="0" w:color="000000"/>
            </w:tcBorders>
          </w:tcPr>
          <w:p w14:paraId="7F40556E" w14:textId="088D54F9" w:rsidR="00784D05" w:rsidRDefault="00784D05" w:rsidP="00707120">
            <w:pPr>
              <w:pStyle w:val="TextTi12"/>
              <w:keepNext/>
              <w:keepLines/>
              <w:spacing w:after="0" w:line="240" w:lineRule="auto"/>
              <w:jc w:val="left"/>
              <w:rPr>
                <w:sz w:val="22"/>
                <w:szCs w:val="22"/>
                <w:lang w:val="lv-LV"/>
              </w:rPr>
            </w:pPr>
            <w:r>
              <w:rPr>
                <w:sz w:val="22"/>
                <w:szCs w:val="22"/>
                <w:lang w:val="lv-LV"/>
              </w:rPr>
              <w:t>Ja nepieciešams, jāmaina vienlaikus lietotā MTX</w:t>
            </w:r>
            <w:r>
              <w:rPr>
                <w:rFonts w:eastAsia="PMingLiU"/>
                <w:sz w:val="22"/>
                <w:szCs w:val="22"/>
                <w:lang w:val="lv-LV"/>
              </w:rPr>
              <w:t xml:space="preserve"> deva</w:t>
            </w:r>
            <w:r w:rsidR="00E149E8">
              <w:rPr>
                <w:rFonts w:eastAsia="PMingLiU"/>
                <w:sz w:val="22"/>
                <w:szCs w:val="22"/>
                <w:lang w:val="lv-LV"/>
              </w:rPr>
              <w:t>.</w:t>
            </w:r>
          </w:p>
          <w:p w14:paraId="621A616F" w14:textId="297282FE" w:rsidR="00784D05" w:rsidRDefault="00784D05" w:rsidP="00707120">
            <w:pPr>
              <w:pStyle w:val="TextTi12"/>
              <w:keepNext/>
              <w:keepLines/>
              <w:spacing w:after="0" w:line="240" w:lineRule="auto"/>
              <w:jc w:val="left"/>
              <w:rPr>
                <w:sz w:val="22"/>
                <w:szCs w:val="22"/>
                <w:lang w:val="lv-LV"/>
              </w:rPr>
            </w:pPr>
            <w:r>
              <w:rPr>
                <w:sz w:val="22"/>
                <w:szCs w:val="22"/>
                <w:lang w:val="lv-LV"/>
              </w:rPr>
              <w:t xml:space="preserve">Gadījumos, kad pieaugums saglabājas šajās robežās, </w:t>
            </w:r>
            <w:r w:rsidR="00E149E8">
              <w:rPr>
                <w:sz w:val="22"/>
                <w:szCs w:val="22"/>
                <w:lang w:val="lv-LV"/>
              </w:rPr>
              <w:t xml:space="preserve">tocilizumaba </w:t>
            </w:r>
            <w:r>
              <w:rPr>
                <w:sz w:val="22"/>
                <w:szCs w:val="22"/>
                <w:lang w:val="lv-LV"/>
              </w:rPr>
              <w:t xml:space="preserve">deva ir jāsamazina līdz 4 mg/kg vai </w:t>
            </w:r>
            <w:r w:rsidR="00E149E8">
              <w:rPr>
                <w:sz w:val="22"/>
                <w:szCs w:val="22"/>
                <w:lang w:val="lv-LV"/>
              </w:rPr>
              <w:t>terapija</w:t>
            </w:r>
            <w:r>
              <w:rPr>
                <w:sz w:val="22"/>
                <w:szCs w:val="22"/>
                <w:lang w:val="lv-LV"/>
              </w:rPr>
              <w:t xml:space="preserve"> ir </w:t>
            </w:r>
            <w:r w:rsidR="00E149E8">
              <w:rPr>
                <w:sz w:val="22"/>
                <w:szCs w:val="22"/>
                <w:lang w:val="lv-LV"/>
              </w:rPr>
              <w:t xml:space="preserve">uz laiku </w:t>
            </w:r>
            <w:r>
              <w:rPr>
                <w:sz w:val="22"/>
                <w:szCs w:val="22"/>
                <w:lang w:val="lv-LV"/>
              </w:rPr>
              <w:t>jāpārtrauc, līdz alanīnaminotransferāzes (ALAT) vai aspartātaminotransferāzes (ASAT) līmenis normalizējas</w:t>
            </w:r>
            <w:r w:rsidR="00E149E8">
              <w:rPr>
                <w:sz w:val="22"/>
                <w:szCs w:val="22"/>
                <w:lang w:val="lv-LV"/>
              </w:rPr>
              <w:t>.</w:t>
            </w:r>
          </w:p>
          <w:p w14:paraId="2918BE8F" w14:textId="43478C74" w:rsidR="00784D05" w:rsidRDefault="00784D05" w:rsidP="00707120">
            <w:pPr>
              <w:pStyle w:val="TextTi12"/>
              <w:keepNext/>
              <w:keepLines/>
              <w:spacing w:after="0" w:line="240" w:lineRule="auto"/>
              <w:jc w:val="left"/>
              <w:rPr>
                <w:sz w:val="22"/>
                <w:szCs w:val="22"/>
                <w:lang w:val="lv-LV"/>
              </w:rPr>
            </w:pPr>
            <w:r>
              <w:rPr>
                <w:sz w:val="22"/>
                <w:szCs w:val="22"/>
                <w:lang w:val="lv-LV"/>
              </w:rPr>
              <w:t>Terapiju atsāk ar 4 mg/kg vai 8 mg/kg (kas klīniski piemērotāks)</w:t>
            </w:r>
            <w:r w:rsidR="00E149E8">
              <w:rPr>
                <w:sz w:val="22"/>
                <w:szCs w:val="22"/>
                <w:lang w:val="lv-LV"/>
              </w:rPr>
              <w:t>.</w:t>
            </w:r>
          </w:p>
        </w:tc>
      </w:tr>
      <w:tr w:rsidR="00784D05" w:rsidRPr="009136E0" w14:paraId="0E5A2858" w14:textId="77777777" w:rsidTr="00707120">
        <w:trPr>
          <w:cantSplit/>
        </w:trPr>
        <w:tc>
          <w:tcPr>
            <w:tcW w:w="2278" w:type="dxa"/>
            <w:gridSpan w:val="2"/>
            <w:tcBorders>
              <w:top w:val="single" w:sz="4" w:space="0" w:color="000000"/>
              <w:left w:val="single" w:sz="4" w:space="0" w:color="000000"/>
              <w:bottom w:val="single" w:sz="4" w:space="0" w:color="000000"/>
            </w:tcBorders>
          </w:tcPr>
          <w:p w14:paraId="5715B8FA" w14:textId="721833AA" w:rsidR="00784D05" w:rsidRDefault="00236CD1" w:rsidP="00707120">
            <w:pPr>
              <w:pStyle w:val="TextTi12"/>
              <w:keepNext/>
              <w:keepLines/>
              <w:jc w:val="left"/>
              <w:rPr>
                <w:sz w:val="22"/>
                <w:szCs w:val="22"/>
                <w:lang w:val="lv-LV"/>
              </w:rPr>
            </w:pPr>
            <w:r w:rsidRPr="00707120">
              <w:rPr>
                <w:rFonts w:eastAsia="MS Mincho"/>
                <w:sz w:val="22"/>
                <w:szCs w:val="22"/>
                <w:lang w:val="lv-LV" w:eastAsia="ja-JP"/>
              </w:rPr>
              <w:t>&gt;</w:t>
            </w:r>
            <w:r w:rsidR="000C6C88" w:rsidRPr="00707120">
              <w:rPr>
                <w:rFonts w:eastAsia="MS Mincho"/>
                <w:sz w:val="22"/>
                <w:szCs w:val="22"/>
                <w:lang w:val="lv-LV"/>
              </w:rPr>
              <w:t> </w:t>
            </w:r>
            <w:r w:rsidR="00784D05">
              <w:rPr>
                <w:sz w:val="22"/>
                <w:szCs w:val="22"/>
                <w:lang w:val="lv-LV"/>
              </w:rPr>
              <w:t>3</w:t>
            </w:r>
            <w:r w:rsidR="00E149E8">
              <w:rPr>
                <w:sz w:val="22"/>
                <w:szCs w:val="22"/>
                <w:lang w:val="lv-LV"/>
              </w:rPr>
              <w:noBreakHyphen/>
            </w:r>
            <w:r w:rsidR="00784D05">
              <w:rPr>
                <w:sz w:val="22"/>
                <w:szCs w:val="22"/>
                <w:lang w:val="lv-LV"/>
              </w:rPr>
              <w:t>5</w:t>
            </w:r>
            <w:r w:rsidR="00E149E8">
              <w:rPr>
                <w:sz w:val="22"/>
                <w:szCs w:val="22"/>
                <w:lang w:val="lv-LV"/>
              </w:rPr>
              <w:t> </w:t>
            </w:r>
            <w:r w:rsidR="00784D05">
              <w:rPr>
                <w:sz w:val="22"/>
                <w:szCs w:val="22"/>
                <w:lang w:val="lv-LV"/>
              </w:rPr>
              <w:t>reizes pārsniedz NAR</w:t>
            </w:r>
          </w:p>
          <w:p w14:paraId="77663804" w14:textId="77777777" w:rsidR="00784D05" w:rsidRDefault="00784D05" w:rsidP="00707120">
            <w:pPr>
              <w:pStyle w:val="TextTi12"/>
              <w:keepNext/>
              <w:keepLines/>
              <w:jc w:val="left"/>
              <w:rPr>
                <w:sz w:val="22"/>
                <w:szCs w:val="22"/>
                <w:lang w:val="lv-LV"/>
              </w:rPr>
            </w:pPr>
            <w:r>
              <w:rPr>
                <w:sz w:val="22"/>
                <w:szCs w:val="22"/>
                <w:lang w:val="lv-LV"/>
              </w:rPr>
              <w:t>(apstiprinot ar atkārtotām analīzēm, skatīt 4.4. apakšpunktu).</w:t>
            </w:r>
          </w:p>
        </w:tc>
        <w:tc>
          <w:tcPr>
            <w:tcW w:w="6804" w:type="dxa"/>
            <w:tcBorders>
              <w:top w:val="single" w:sz="4" w:space="0" w:color="000000"/>
              <w:left w:val="single" w:sz="4" w:space="0" w:color="000000"/>
              <w:bottom w:val="single" w:sz="4" w:space="0" w:color="000000"/>
              <w:right w:val="single" w:sz="4" w:space="0" w:color="000000"/>
            </w:tcBorders>
          </w:tcPr>
          <w:p w14:paraId="277FF28E" w14:textId="034ECA2C" w:rsidR="00784D05" w:rsidRDefault="00E149E8" w:rsidP="00707120">
            <w:pPr>
              <w:pStyle w:val="TextTi12"/>
              <w:keepNext/>
              <w:keepLines/>
              <w:spacing w:after="0" w:line="240" w:lineRule="auto"/>
              <w:jc w:val="left"/>
              <w:rPr>
                <w:sz w:val="22"/>
                <w:szCs w:val="22"/>
                <w:lang w:val="lv-LV"/>
              </w:rPr>
            </w:pPr>
            <w:r>
              <w:rPr>
                <w:sz w:val="22"/>
                <w:szCs w:val="22"/>
                <w:lang w:val="lv-LV"/>
              </w:rPr>
              <w:t xml:space="preserve">Tocilizumaba </w:t>
            </w:r>
            <w:r w:rsidR="00784D05">
              <w:rPr>
                <w:sz w:val="22"/>
                <w:szCs w:val="22"/>
                <w:lang w:val="lv-LV"/>
              </w:rPr>
              <w:t xml:space="preserve">lietošana ir </w:t>
            </w:r>
            <w:r>
              <w:rPr>
                <w:sz w:val="22"/>
                <w:szCs w:val="22"/>
                <w:lang w:val="lv-LV"/>
              </w:rPr>
              <w:t xml:space="preserve">uz laiku </w:t>
            </w:r>
            <w:r w:rsidR="00784D05">
              <w:rPr>
                <w:sz w:val="22"/>
                <w:szCs w:val="22"/>
                <w:lang w:val="lv-LV"/>
              </w:rPr>
              <w:t>jāpārtrauc, līdz NAR ir pārsniegta mazāk nekā 3</w:t>
            </w:r>
            <w:r w:rsidR="000C6C88">
              <w:rPr>
                <w:sz w:val="22"/>
                <w:szCs w:val="22"/>
                <w:lang w:val="lv-LV"/>
              </w:rPr>
              <w:t> </w:t>
            </w:r>
            <w:r w:rsidR="00784D05">
              <w:rPr>
                <w:sz w:val="22"/>
                <w:szCs w:val="22"/>
                <w:lang w:val="lv-LV"/>
              </w:rPr>
              <w:t>reizes, un jāievēro augstākminētie ieteikumi</w:t>
            </w:r>
            <w:r w:rsidR="000C6C88">
              <w:rPr>
                <w:sz w:val="22"/>
                <w:szCs w:val="22"/>
                <w:lang w:val="lv-LV"/>
              </w:rPr>
              <w:t xml:space="preserve"> gadījumiem</w:t>
            </w:r>
            <w:r w:rsidR="00784D05">
              <w:rPr>
                <w:sz w:val="22"/>
                <w:szCs w:val="22"/>
                <w:lang w:val="lv-LV"/>
              </w:rPr>
              <w:t>, ja NAR pārsniegta vairāk nekā</w:t>
            </w:r>
            <w:r w:rsidR="000C6C88">
              <w:rPr>
                <w:sz w:val="22"/>
                <w:szCs w:val="22"/>
                <w:lang w:val="lv-LV"/>
              </w:rPr>
              <w:t> </w:t>
            </w:r>
            <w:r w:rsidR="00784D05">
              <w:rPr>
                <w:sz w:val="22"/>
                <w:szCs w:val="22"/>
                <w:lang w:val="lv-LV"/>
              </w:rPr>
              <w:t>1</w:t>
            </w:r>
            <w:r>
              <w:rPr>
                <w:sz w:val="22"/>
                <w:szCs w:val="22"/>
                <w:lang w:val="lv-LV"/>
              </w:rPr>
              <w:noBreakHyphen/>
            </w:r>
            <w:r w:rsidR="00784D05">
              <w:rPr>
                <w:sz w:val="22"/>
                <w:szCs w:val="22"/>
                <w:lang w:val="lv-LV"/>
              </w:rPr>
              <w:t>3</w:t>
            </w:r>
            <w:r>
              <w:rPr>
                <w:sz w:val="22"/>
                <w:szCs w:val="22"/>
                <w:lang w:val="lv-LV"/>
              </w:rPr>
              <w:t> </w:t>
            </w:r>
            <w:r w:rsidR="00784D05">
              <w:rPr>
                <w:sz w:val="22"/>
                <w:szCs w:val="22"/>
                <w:lang w:val="lv-LV"/>
              </w:rPr>
              <w:t>reizes.</w:t>
            </w:r>
          </w:p>
          <w:p w14:paraId="72890A39" w14:textId="4792016E" w:rsidR="00784D05" w:rsidRDefault="00784D05" w:rsidP="00707120">
            <w:pPr>
              <w:pStyle w:val="TextTi12"/>
              <w:keepNext/>
              <w:keepLines/>
              <w:spacing w:after="0" w:line="240" w:lineRule="auto"/>
              <w:jc w:val="left"/>
              <w:rPr>
                <w:sz w:val="22"/>
                <w:szCs w:val="22"/>
                <w:lang w:val="lv-LV"/>
              </w:rPr>
            </w:pPr>
            <w:r>
              <w:rPr>
                <w:sz w:val="22"/>
                <w:szCs w:val="22"/>
                <w:lang w:val="lv-LV"/>
              </w:rPr>
              <w:t>Ja NAR nepārtraukti ir pārsniegta vairāk nekā 3</w:t>
            </w:r>
            <w:r w:rsidR="000C6C88">
              <w:rPr>
                <w:sz w:val="22"/>
                <w:szCs w:val="22"/>
                <w:lang w:val="lv-LV"/>
              </w:rPr>
              <w:t> </w:t>
            </w:r>
            <w:r>
              <w:rPr>
                <w:sz w:val="22"/>
                <w:szCs w:val="22"/>
                <w:lang w:val="lv-LV"/>
              </w:rPr>
              <w:t xml:space="preserve">reizes, </w:t>
            </w:r>
            <w:r w:rsidR="00E149E8">
              <w:rPr>
                <w:sz w:val="22"/>
                <w:szCs w:val="22"/>
                <w:lang w:val="lv-LV"/>
              </w:rPr>
              <w:t xml:space="preserve">terapija </w:t>
            </w:r>
            <w:r>
              <w:rPr>
                <w:sz w:val="22"/>
                <w:szCs w:val="22"/>
                <w:lang w:val="lv-LV"/>
              </w:rPr>
              <w:t xml:space="preserve">ir </w:t>
            </w:r>
            <w:r w:rsidR="000B238A">
              <w:rPr>
                <w:sz w:val="22"/>
                <w:szCs w:val="22"/>
                <w:lang w:val="lv-LV"/>
              </w:rPr>
              <w:t xml:space="preserve">pilnīgi </w:t>
            </w:r>
            <w:r>
              <w:rPr>
                <w:sz w:val="22"/>
                <w:szCs w:val="22"/>
                <w:lang w:val="lv-LV"/>
              </w:rPr>
              <w:t>jāpārtrauc</w:t>
            </w:r>
            <w:r w:rsidR="00E149E8">
              <w:rPr>
                <w:sz w:val="22"/>
                <w:szCs w:val="22"/>
                <w:lang w:val="lv-LV"/>
              </w:rPr>
              <w:t>.</w:t>
            </w:r>
          </w:p>
        </w:tc>
      </w:tr>
      <w:tr w:rsidR="00784D05" w14:paraId="146EDB91" w14:textId="77777777" w:rsidTr="00707120">
        <w:trPr>
          <w:cantSplit/>
        </w:trPr>
        <w:tc>
          <w:tcPr>
            <w:tcW w:w="2278" w:type="dxa"/>
            <w:gridSpan w:val="2"/>
            <w:tcBorders>
              <w:top w:val="single" w:sz="4" w:space="0" w:color="000000"/>
              <w:left w:val="single" w:sz="4" w:space="0" w:color="000000"/>
              <w:bottom w:val="single" w:sz="4" w:space="0" w:color="000000"/>
            </w:tcBorders>
          </w:tcPr>
          <w:p w14:paraId="33CA605B" w14:textId="71D82E10" w:rsidR="00784D05" w:rsidRDefault="00236CD1">
            <w:pPr>
              <w:pStyle w:val="TextTi12"/>
              <w:keepLines/>
              <w:jc w:val="left"/>
              <w:rPr>
                <w:sz w:val="22"/>
                <w:szCs w:val="22"/>
                <w:lang w:val="lv-LV"/>
              </w:rPr>
              <w:pPrChange w:id="17" w:author="Author">
                <w:pPr>
                  <w:pStyle w:val="TextTi12"/>
                  <w:keepNext/>
                  <w:keepLines/>
                  <w:jc w:val="left"/>
                </w:pPr>
              </w:pPrChange>
            </w:pPr>
            <w:r w:rsidRPr="00236CD1">
              <w:rPr>
                <w:rFonts w:eastAsia="MS Mincho"/>
                <w:sz w:val="22"/>
                <w:szCs w:val="22"/>
                <w:lang w:val="en-GB" w:eastAsia="ja-JP"/>
              </w:rPr>
              <w:t>&gt;</w:t>
            </w:r>
            <w:r w:rsidR="000C6C88">
              <w:rPr>
                <w:rFonts w:eastAsia="MS Mincho"/>
                <w:sz w:val="22"/>
                <w:szCs w:val="22"/>
                <w:lang w:val="en-GB"/>
              </w:rPr>
              <w:t> </w:t>
            </w:r>
            <w:r w:rsidR="00784D05">
              <w:rPr>
                <w:sz w:val="22"/>
                <w:szCs w:val="22"/>
                <w:lang w:val="lv-LV"/>
              </w:rPr>
              <w:t>5</w:t>
            </w:r>
            <w:r w:rsidR="00E149E8">
              <w:rPr>
                <w:sz w:val="22"/>
                <w:szCs w:val="22"/>
                <w:lang w:val="lv-LV"/>
              </w:rPr>
              <w:t> </w:t>
            </w:r>
            <w:r w:rsidR="00784D05">
              <w:rPr>
                <w:sz w:val="22"/>
                <w:szCs w:val="22"/>
                <w:lang w:val="lv-LV"/>
              </w:rPr>
              <w:t>reizes pārsniedz NAR</w:t>
            </w:r>
          </w:p>
        </w:tc>
        <w:tc>
          <w:tcPr>
            <w:tcW w:w="6804" w:type="dxa"/>
            <w:tcBorders>
              <w:top w:val="single" w:sz="4" w:space="0" w:color="000000"/>
              <w:left w:val="single" w:sz="4" w:space="0" w:color="000000"/>
              <w:bottom w:val="single" w:sz="4" w:space="0" w:color="000000"/>
              <w:right w:val="single" w:sz="4" w:space="0" w:color="000000"/>
            </w:tcBorders>
          </w:tcPr>
          <w:p w14:paraId="75DF5939" w14:textId="0D6C0A1C" w:rsidR="00784D05" w:rsidRDefault="00E149E8">
            <w:pPr>
              <w:pStyle w:val="TextTi12"/>
              <w:keepLines/>
              <w:spacing w:after="0" w:line="240" w:lineRule="auto"/>
              <w:pPrChange w:id="18" w:author="Author">
                <w:pPr>
                  <w:pStyle w:val="TextTi12"/>
                  <w:keepNext/>
                  <w:keepLines/>
                  <w:spacing w:after="0" w:line="240" w:lineRule="auto"/>
                </w:pPr>
              </w:pPrChange>
            </w:pPr>
            <w:r>
              <w:rPr>
                <w:sz w:val="22"/>
                <w:szCs w:val="22"/>
                <w:lang w:val="lv-LV"/>
              </w:rPr>
              <w:t>Terapija</w:t>
            </w:r>
            <w:r w:rsidR="00784D05">
              <w:rPr>
                <w:sz w:val="22"/>
                <w:szCs w:val="22"/>
                <w:lang w:val="lv-LV"/>
              </w:rPr>
              <w:t xml:space="preserve"> ir </w:t>
            </w:r>
            <w:r w:rsidR="000B238A">
              <w:rPr>
                <w:sz w:val="22"/>
                <w:szCs w:val="22"/>
                <w:lang w:val="lv-LV"/>
              </w:rPr>
              <w:t xml:space="preserve">pilnīgi </w:t>
            </w:r>
            <w:r w:rsidR="00784D05">
              <w:rPr>
                <w:sz w:val="22"/>
                <w:szCs w:val="22"/>
                <w:lang w:val="lv-LV"/>
              </w:rPr>
              <w:t>jāpārtrauc</w:t>
            </w:r>
            <w:r>
              <w:rPr>
                <w:sz w:val="22"/>
                <w:szCs w:val="22"/>
                <w:lang w:val="lv-LV"/>
              </w:rPr>
              <w:t>.</w:t>
            </w:r>
          </w:p>
        </w:tc>
      </w:tr>
    </w:tbl>
    <w:p w14:paraId="7BEA06E4" w14:textId="77777777" w:rsidR="00784D05" w:rsidRDefault="00784D05"/>
    <w:p w14:paraId="5C174207" w14:textId="37A4A426" w:rsidR="00784D05" w:rsidRPr="000B238A" w:rsidRDefault="009750F5" w:rsidP="00707120">
      <w:pPr>
        <w:pStyle w:val="ListParagraph"/>
        <w:keepNext/>
        <w:keepLines/>
        <w:ind w:left="567" w:hanging="567"/>
        <w:rPr>
          <w:lang w:val="lv-LV"/>
        </w:rPr>
      </w:pPr>
      <w:r>
        <w:rPr>
          <w:lang w:val="nb-NO"/>
        </w:rPr>
        <w:sym w:font="Symbol" w:char="F0B7"/>
      </w:r>
      <w:r>
        <w:rPr>
          <w:lang w:val="nb-NO"/>
        </w:rPr>
        <w:tab/>
      </w:r>
      <w:r w:rsidR="00784D05" w:rsidRPr="000B238A">
        <w:rPr>
          <w:lang w:val="lv-LV"/>
        </w:rPr>
        <w:t>Samazināts absolūtais neitrofilo leikocītu skaits (ANS)</w:t>
      </w:r>
    </w:p>
    <w:p w14:paraId="034CE149" w14:textId="77777777" w:rsidR="00784D05" w:rsidRDefault="00784D05">
      <w:pPr>
        <w:keepNext/>
        <w:keepLines/>
        <w:rPr>
          <w:lang w:val="lv-LV"/>
        </w:rPr>
      </w:pPr>
    </w:p>
    <w:p w14:paraId="376B5FB9" w14:textId="26445E12" w:rsidR="00784D05" w:rsidRDefault="00784D05">
      <w:pPr>
        <w:keepNext/>
        <w:keepLines/>
        <w:rPr>
          <w:lang w:val="lv-LV"/>
        </w:rPr>
      </w:pPr>
      <w:r>
        <w:rPr>
          <w:szCs w:val="22"/>
          <w:lang w:val="lv-LV"/>
        </w:rPr>
        <w:t xml:space="preserve">Pacientiem, kuri ar </w:t>
      </w:r>
      <w:r w:rsidR="000B238A">
        <w:rPr>
          <w:szCs w:val="22"/>
          <w:lang w:val="lv-LV"/>
        </w:rPr>
        <w:t xml:space="preserve">tocilizumabu </w:t>
      </w:r>
      <w:r>
        <w:rPr>
          <w:szCs w:val="22"/>
          <w:lang w:val="lv-LV"/>
        </w:rPr>
        <w:t>agrāk nav ārstēti, sākt zāļu lietošanu nav ieteicams, ja absolūtais neitrofilo leikocītu skaits (ANS) ir mazāks par</w:t>
      </w:r>
      <w:r w:rsidR="000C6C88">
        <w:rPr>
          <w:szCs w:val="22"/>
          <w:lang w:val="lv-LV"/>
        </w:rPr>
        <w:t> </w:t>
      </w:r>
      <w:r>
        <w:rPr>
          <w:szCs w:val="22"/>
          <w:lang w:val="lv-LV"/>
        </w:rPr>
        <w:t>2 </w:t>
      </w:r>
      <w:r w:rsidR="000B238A">
        <w:rPr>
          <w:szCs w:val="22"/>
          <w:lang w:val="lv-LV"/>
        </w:rPr>
        <w:t>×</w:t>
      </w:r>
      <w:r>
        <w:rPr>
          <w:szCs w:val="22"/>
          <w:lang w:val="lv-LV"/>
        </w:rPr>
        <w:t> 10</w:t>
      </w:r>
      <w:r>
        <w:rPr>
          <w:szCs w:val="22"/>
          <w:vertAlign w:val="superscript"/>
          <w:lang w:val="lv-LV"/>
        </w:rPr>
        <w:t>9</w:t>
      </w:r>
      <w:r>
        <w:rPr>
          <w:szCs w:val="22"/>
          <w:lang w:val="lv-LV"/>
        </w:rPr>
        <w:t>/l.</w:t>
      </w:r>
    </w:p>
    <w:p w14:paraId="2D440A83" w14:textId="77777777" w:rsidR="00784D05" w:rsidRDefault="00784D05">
      <w:pPr>
        <w:keepNext/>
        <w:keepLines/>
        <w:rPr>
          <w:lang w:val="lv-LV"/>
        </w:rPr>
      </w:pPr>
    </w:p>
    <w:tbl>
      <w:tblPr>
        <w:tblW w:w="9082" w:type="dxa"/>
        <w:tblInd w:w="-15" w:type="dxa"/>
        <w:tblLayout w:type="fixed"/>
        <w:tblLook w:val="0000" w:firstRow="0" w:lastRow="0" w:firstColumn="0" w:lastColumn="0" w:noHBand="0" w:noVBand="0"/>
      </w:tblPr>
      <w:tblGrid>
        <w:gridCol w:w="2327"/>
        <w:gridCol w:w="6755"/>
      </w:tblGrid>
      <w:tr w:rsidR="00784D05" w14:paraId="6827C70A" w14:textId="77777777" w:rsidTr="00707120">
        <w:tc>
          <w:tcPr>
            <w:tcW w:w="2327" w:type="dxa"/>
            <w:tcBorders>
              <w:top w:val="single" w:sz="4" w:space="0" w:color="000000"/>
              <w:left w:val="single" w:sz="4" w:space="0" w:color="000000"/>
              <w:bottom w:val="single" w:sz="4" w:space="0" w:color="000000"/>
            </w:tcBorders>
          </w:tcPr>
          <w:p w14:paraId="265406F4" w14:textId="27D99FB9" w:rsidR="00784D05" w:rsidRDefault="00784D05">
            <w:pPr>
              <w:pStyle w:val="TextTi12"/>
              <w:keepNext/>
              <w:keepLines/>
              <w:jc w:val="left"/>
              <w:rPr>
                <w:sz w:val="22"/>
                <w:szCs w:val="22"/>
                <w:lang w:val="lv-LV"/>
              </w:rPr>
            </w:pPr>
            <w:r>
              <w:rPr>
                <w:sz w:val="22"/>
                <w:szCs w:val="22"/>
                <w:lang w:val="lv-LV"/>
              </w:rPr>
              <w:t>Laboratorisko izmeklējumu rezultāti</w:t>
            </w:r>
            <w:r>
              <w:rPr>
                <w:sz w:val="22"/>
                <w:szCs w:val="22"/>
                <w:lang w:val="lv-LV"/>
              </w:rPr>
              <w:br/>
              <w:t>(šūnas</w:t>
            </w:r>
            <w:r w:rsidR="000B238A">
              <w:rPr>
                <w:sz w:val="22"/>
                <w:szCs w:val="22"/>
                <w:lang w:val="lv-LV"/>
              </w:rPr>
              <w:t> × </w:t>
            </w:r>
            <w:r>
              <w:rPr>
                <w:sz w:val="22"/>
                <w:szCs w:val="22"/>
                <w:lang w:val="lv-LV"/>
              </w:rPr>
              <w:t>10</w:t>
            </w:r>
            <w:r>
              <w:rPr>
                <w:sz w:val="22"/>
                <w:szCs w:val="22"/>
                <w:vertAlign w:val="superscript"/>
                <w:lang w:val="lv-LV"/>
              </w:rPr>
              <w:t>9</w:t>
            </w:r>
            <w:r>
              <w:rPr>
                <w:sz w:val="22"/>
                <w:szCs w:val="22"/>
                <w:lang w:val="lv-LV"/>
              </w:rPr>
              <w:t>/l)</w:t>
            </w:r>
          </w:p>
        </w:tc>
        <w:tc>
          <w:tcPr>
            <w:tcW w:w="6755" w:type="dxa"/>
            <w:tcBorders>
              <w:top w:val="single" w:sz="4" w:space="0" w:color="000000"/>
              <w:left w:val="single" w:sz="4" w:space="0" w:color="000000"/>
              <w:bottom w:val="single" w:sz="4" w:space="0" w:color="000000"/>
              <w:right w:val="single" w:sz="4" w:space="0" w:color="000000"/>
            </w:tcBorders>
          </w:tcPr>
          <w:p w14:paraId="009B7D6F" w14:textId="77777777" w:rsidR="00784D05" w:rsidRDefault="00784D05">
            <w:pPr>
              <w:pStyle w:val="TextTi12"/>
              <w:keepNext/>
              <w:keepLines/>
              <w:jc w:val="center"/>
              <w:rPr>
                <w:sz w:val="22"/>
                <w:szCs w:val="22"/>
                <w:lang w:val="lv-LV"/>
              </w:rPr>
            </w:pPr>
            <w:r>
              <w:rPr>
                <w:sz w:val="22"/>
                <w:szCs w:val="22"/>
                <w:lang w:val="lv-LV"/>
              </w:rPr>
              <w:t>Rīcība</w:t>
            </w:r>
          </w:p>
        </w:tc>
      </w:tr>
      <w:tr w:rsidR="00784D05" w14:paraId="377D601F" w14:textId="77777777" w:rsidTr="00707120">
        <w:tc>
          <w:tcPr>
            <w:tcW w:w="2327" w:type="dxa"/>
            <w:tcBorders>
              <w:top w:val="single" w:sz="4" w:space="0" w:color="000000"/>
              <w:left w:val="single" w:sz="4" w:space="0" w:color="000000"/>
              <w:bottom w:val="single" w:sz="4" w:space="0" w:color="000000"/>
            </w:tcBorders>
          </w:tcPr>
          <w:p w14:paraId="590BC1EB" w14:textId="62D1451C" w:rsidR="00784D05" w:rsidRPr="000B238A" w:rsidRDefault="00784D05" w:rsidP="00236CD1">
            <w:pPr>
              <w:pStyle w:val="TextTi12"/>
              <w:keepNext/>
              <w:keepLines/>
              <w:jc w:val="left"/>
              <w:rPr>
                <w:sz w:val="22"/>
                <w:szCs w:val="22"/>
                <w:lang w:val="lv-LV"/>
              </w:rPr>
            </w:pPr>
            <w:r w:rsidRPr="000B238A">
              <w:rPr>
                <w:sz w:val="22"/>
                <w:szCs w:val="22"/>
                <w:lang w:val="lv-LV"/>
              </w:rPr>
              <w:t xml:space="preserve">ANS </w:t>
            </w:r>
            <w:r w:rsidR="000B238A">
              <w:rPr>
                <w:sz w:val="22"/>
                <w:szCs w:val="22"/>
                <w:lang w:val="lv-LV"/>
              </w:rPr>
              <w:t xml:space="preserve">ir </w:t>
            </w:r>
            <w:r w:rsidR="000B238A" w:rsidRPr="000B238A">
              <w:rPr>
                <w:sz w:val="22"/>
                <w:szCs w:val="22"/>
                <w:lang w:val="lv-LV"/>
              </w:rPr>
              <w:t>˃</w:t>
            </w:r>
            <w:r w:rsidRPr="000B238A">
              <w:rPr>
                <w:sz w:val="22"/>
                <w:szCs w:val="22"/>
                <w:lang w:val="lv-LV"/>
              </w:rPr>
              <w:t> 1</w:t>
            </w:r>
          </w:p>
        </w:tc>
        <w:tc>
          <w:tcPr>
            <w:tcW w:w="6755" w:type="dxa"/>
            <w:tcBorders>
              <w:top w:val="single" w:sz="4" w:space="0" w:color="000000"/>
              <w:left w:val="single" w:sz="4" w:space="0" w:color="000000"/>
              <w:bottom w:val="single" w:sz="4" w:space="0" w:color="000000"/>
              <w:right w:val="single" w:sz="4" w:space="0" w:color="000000"/>
            </w:tcBorders>
          </w:tcPr>
          <w:p w14:paraId="331B4045" w14:textId="7C456D67" w:rsidR="00784D05" w:rsidRDefault="00784D05">
            <w:pPr>
              <w:pStyle w:val="TextTi12"/>
              <w:keepNext/>
              <w:keepLines/>
              <w:rPr>
                <w:sz w:val="22"/>
                <w:szCs w:val="22"/>
                <w:lang w:val="lv-LV"/>
              </w:rPr>
            </w:pPr>
            <w:r>
              <w:rPr>
                <w:sz w:val="22"/>
                <w:szCs w:val="22"/>
                <w:lang w:val="lv-LV"/>
              </w:rPr>
              <w:t>Deva nav jāmaina</w:t>
            </w:r>
            <w:r w:rsidR="000B238A">
              <w:rPr>
                <w:sz w:val="22"/>
                <w:szCs w:val="22"/>
                <w:lang w:val="lv-LV"/>
              </w:rPr>
              <w:t>.</w:t>
            </w:r>
          </w:p>
        </w:tc>
      </w:tr>
      <w:tr w:rsidR="00784D05" w:rsidRPr="009136E0" w14:paraId="6A6E6172" w14:textId="77777777" w:rsidTr="00707120">
        <w:tc>
          <w:tcPr>
            <w:tcW w:w="2327" w:type="dxa"/>
            <w:tcBorders>
              <w:top w:val="single" w:sz="4" w:space="0" w:color="000000"/>
              <w:left w:val="single" w:sz="4" w:space="0" w:color="000000"/>
              <w:bottom w:val="single" w:sz="4" w:space="0" w:color="000000"/>
            </w:tcBorders>
          </w:tcPr>
          <w:p w14:paraId="5FDD62EC" w14:textId="0D827D02" w:rsidR="00784D05" w:rsidRPr="000B238A" w:rsidRDefault="00784D05">
            <w:pPr>
              <w:pStyle w:val="TextTi12"/>
              <w:keepNext/>
              <w:keepLines/>
              <w:jc w:val="left"/>
              <w:rPr>
                <w:sz w:val="22"/>
                <w:szCs w:val="22"/>
                <w:lang w:val="lv-LV"/>
              </w:rPr>
            </w:pPr>
            <w:r w:rsidRPr="000B238A">
              <w:rPr>
                <w:sz w:val="22"/>
                <w:szCs w:val="22"/>
                <w:lang w:val="lv-LV"/>
              </w:rPr>
              <w:t>ANS</w:t>
            </w:r>
            <w:r w:rsidRPr="00707120">
              <w:rPr>
                <w:sz w:val="22"/>
                <w:szCs w:val="22"/>
                <w:lang w:val="lv-LV"/>
              </w:rPr>
              <w:t xml:space="preserve"> </w:t>
            </w:r>
            <w:r w:rsidR="000B238A" w:rsidRPr="00707120">
              <w:rPr>
                <w:sz w:val="22"/>
                <w:szCs w:val="22"/>
                <w:lang w:val="lv-LV"/>
              </w:rPr>
              <w:t>ir</w:t>
            </w:r>
            <w:r w:rsidRPr="00707120">
              <w:rPr>
                <w:sz w:val="22"/>
                <w:szCs w:val="22"/>
                <w:lang w:val="lv-LV"/>
              </w:rPr>
              <w:t xml:space="preserve"> 0,5</w:t>
            </w:r>
            <w:r w:rsidR="000B238A" w:rsidRPr="00707120">
              <w:rPr>
                <w:sz w:val="22"/>
                <w:szCs w:val="22"/>
                <w:lang w:val="lv-LV"/>
              </w:rPr>
              <w:noBreakHyphen/>
            </w:r>
            <w:r w:rsidRPr="00707120">
              <w:rPr>
                <w:sz w:val="22"/>
                <w:szCs w:val="22"/>
                <w:lang w:val="lv-LV"/>
              </w:rPr>
              <w:t>1</w:t>
            </w:r>
          </w:p>
        </w:tc>
        <w:tc>
          <w:tcPr>
            <w:tcW w:w="6755" w:type="dxa"/>
            <w:tcBorders>
              <w:top w:val="single" w:sz="4" w:space="0" w:color="000000"/>
              <w:left w:val="single" w:sz="4" w:space="0" w:color="000000"/>
              <w:bottom w:val="single" w:sz="4" w:space="0" w:color="000000"/>
              <w:right w:val="single" w:sz="4" w:space="0" w:color="000000"/>
            </w:tcBorders>
          </w:tcPr>
          <w:p w14:paraId="4B28D385" w14:textId="62027C02" w:rsidR="00784D05" w:rsidRDefault="000B238A">
            <w:pPr>
              <w:pStyle w:val="TextTi12"/>
              <w:keepNext/>
              <w:keepLines/>
              <w:rPr>
                <w:sz w:val="22"/>
                <w:szCs w:val="22"/>
                <w:lang w:val="lv-LV"/>
              </w:rPr>
            </w:pPr>
            <w:r>
              <w:rPr>
                <w:sz w:val="22"/>
                <w:szCs w:val="22"/>
                <w:lang w:val="lv-LV"/>
              </w:rPr>
              <w:t xml:space="preserve">Tocilizumaba </w:t>
            </w:r>
            <w:r w:rsidR="00784D05">
              <w:rPr>
                <w:sz w:val="22"/>
                <w:szCs w:val="22"/>
                <w:lang w:val="lv-LV"/>
              </w:rPr>
              <w:t xml:space="preserve">lietošana ir </w:t>
            </w:r>
            <w:r>
              <w:rPr>
                <w:sz w:val="22"/>
                <w:szCs w:val="22"/>
                <w:lang w:val="lv-LV"/>
              </w:rPr>
              <w:t xml:space="preserve">uz laiku </w:t>
            </w:r>
            <w:r w:rsidR="00784D05">
              <w:rPr>
                <w:sz w:val="22"/>
                <w:szCs w:val="22"/>
                <w:lang w:val="lv-LV"/>
              </w:rPr>
              <w:t>jāpārtrauc</w:t>
            </w:r>
            <w:r>
              <w:rPr>
                <w:sz w:val="22"/>
                <w:szCs w:val="22"/>
                <w:lang w:val="lv-LV"/>
              </w:rPr>
              <w:t>.</w:t>
            </w:r>
          </w:p>
          <w:p w14:paraId="784782B5" w14:textId="5C7C1D75" w:rsidR="00784D05" w:rsidRDefault="000B238A" w:rsidP="00707120">
            <w:pPr>
              <w:pStyle w:val="TextTi12"/>
              <w:keepNext/>
              <w:keepLines/>
              <w:jc w:val="left"/>
              <w:rPr>
                <w:sz w:val="22"/>
                <w:szCs w:val="22"/>
                <w:lang w:val="lv-LV"/>
              </w:rPr>
            </w:pPr>
            <w:r>
              <w:rPr>
                <w:sz w:val="22"/>
                <w:szCs w:val="22"/>
                <w:lang w:val="lv-LV"/>
              </w:rPr>
              <w:t xml:space="preserve">Tiklīdz </w:t>
            </w:r>
            <w:r w:rsidR="00784D05">
              <w:rPr>
                <w:sz w:val="22"/>
                <w:szCs w:val="22"/>
                <w:lang w:val="lv-LV"/>
              </w:rPr>
              <w:t>ANS palielinās līdz</w:t>
            </w:r>
            <w:r w:rsidR="000C6C88">
              <w:rPr>
                <w:sz w:val="22"/>
                <w:szCs w:val="22"/>
                <w:lang w:val="lv-LV"/>
              </w:rPr>
              <w:t> </w:t>
            </w:r>
            <w:r>
              <w:rPr>
                <w:sz w:val="22"/>
                <w:szCs w:val="22"/>
                <w:lang w:val="lv-LV"/>
              </w:rPr>
              <w:t>˃ </w:t>
            </w:r>
            <w:r w:rsidR="00784D05">
              <w:rPr>
                <w:sz w:val="22"/>
                <w:szCs w:val="22"/>
                <w:lang w:val="lv-LV"/>
              </w:rPr>
              <w:t>1</w:t>
            </w:r>
            <w:r>
              <w:rPr>
                <w:sz w:val="22"/>
                <w:szCs w:val="22"/>
                <w:lang w:val="lv-LV"/>
              </w:rPr>
              <w:t> × </w:t>
            </w:r>
            <w:r w:rsidR="00784D05">
              <w:rPr>
                <w:sz w:val="22"/>
                <w:szCs w:val="22"/>
                <w:lang w:val="lv-LV"/>
              </w:rPr>
              <w:t>10</w:t>
            </w:r>
            <w:r w:rsidR="00784D05">
              <w:rPr>
                <w:sz w:val="22"/>
                <w:szCs w:val="22"/>
                <w:vertAlign w:val="superscript"/>
                <w:lang w:val="lv-LV"/>
              </w:rPr>
              <w:t>9</w:t>
            </w:r>
            <w:r w:rsidR="00784D05">
              <w:rPr>
                <w:sz w:val="22"/>
                <w:szCs w:val="22"/>
                <w:lang w:val="lv-LV"/>
              </w:rPr>
              <w:t xml:space="preserve">/l, </w:t>
            </w:r>
            <w:r>
              <w:rPr>
                <w:sz w:val="22"/>
                <w:szCs w:val="22"/>
                <w:lang w:val="lv-LV"/>
              </w:rPr>
              <w:t>terapiju</w:t>
            </w:r>
            <w:r w:rsidR="00784D05">
              <w:rPr>
                <w:sz w:val="22"/>
                <w:szCs w:val="22"/>
                <w:lang w:val="lv-LV"/>
              </w:rPr>
              <w:t xml:space="preserve"> atsāk ar 4 mg/kg devu, ko palielina līdz 8 mg/kg</w:t>
            </w:r>
            <w:r>
              <w:rPr>
                <w:sz w:val="22"/>
                <w:szCs w:val="22"/>
                <w:lang w:val="lv-LV"/>
              </w:rPr>
              <w:t>,</w:t>
            </w:r>
            <w:r w:rsidR="00784D05">
              <w:rPr>
                <w:sz w:val="22"/>
                <w:szCs w:val="22"/>
                <w:lang w:val="lv-LV"/>
              </w:rPr>
              <w:t xml:space="preserve"> ja </w:t>
            </w:r>
            <w:r>
              <w:rPr>
                <w:sz w:val="22"/>
                <w:szCs w:val="22"/>
                <w:lang w:val="lv-LV"/>
              </w:rPr>
              <w:t xml:space="preserve">tas ir </w:t>
            </w:r>
            <w:r w:rsidR="00784D05">
              <w:rPr>
                <w:sz w:val="22"/>
                <w:szCs w:val="22"/>
                <w:lang w:val="lv-LV"/>
              </w:rPr>
              <w:t>klīniski piemērots</w:t>
            </w:r>
            <w:r>
              <w:rPr>
                <w:sz w:val="22"/>
                <w:szCs w:val="22"/>
                <w:lang w:val="lv-LV"/>
              </w:rPr>
              <w:t>.</w:t>
            </w:r>
          </w:p>
        </w:tc>
      </w:tr>
      <w:tr w:rsidR="00784D05" w14:paraId="79A1238D" w14:textId="77777777" w:rsidTr="00707120">
        <w:tc>
          <w:tcPr>
            <w:tcW w:w="2327" w:type="dxa"/>
            <w:tcBorders>
              <w:top w:val="single" w:sz="4" w:space="0" w:color="000000"/>
              <w:left w:val="single" w:sz="4" w:space="0" w:color="000000"/>
              <w:bottom w:val="single" w:sz="4" w:space="0" w:color="000000"/>
            </w:tcBorders>
          </w:tcPr>
          <w:p w14:paraId="279D50D2" w14:textId="2082EE44" w:rsidR="00784D05" w:rsidRPr="000B238A" w:rsidRDefault="00784D05">
            <w:pPr>
              <w:pStyle w:val="TextTi12"/>
              <w:jc w:val="left"/>
              <w:rPr>
                <w:sz w:val="22"/>
                <w:szCs w:val="22"/>
                <w:lang w:val="lv-LV"/>
              </w:rPr>
            </w:pPr>
            <w:r w:rsidRPr="000B238A">
              <w:rPr>
                <w:sz w:val="22"/>
                <w:szCs w:val="22"/>
                <w:lang w:val="lv-LV"/>
              </w:rPr>
              <w:t xml:space="preserve">ANS </w:t>
            </w:r>
            <w:r w:rsidR="000B238A">
              <w:rPr>
                <w:sz w:val="22"/>
                <w:szCs w:val="22"/>
                <w:lang w:val="lv-LV"/>
              </w:rPr>
              <w:t>ir</w:t>
            </w:r>
            <w:r w:rsidR="000C6C88">
              <w:rPr>
                <w:sz w:val="22"/>
                <w:szCs w:val="22"/>
                <w:lang w:val="lv-LV"/>
              </w:rPr>
              <w:t> </w:t>
            </w:r>
            <w:r w:rsidR="000B238A" w:rsidRPr="000B238A">
              <w:rPr>
                <w:sz w:val="22"/>
                <w:szCs w:val="22"/>
                <w:lang w:val="lv-LV"/>
              </w:rPr>
              <w:t>˂</w:t>
            </w:r>
            <w:r w:rsidRPr="000B238A">
              <w:rPr>
                <w:sz w:val="22"/>
                <w:szCs w:val="22"/>
                <w:lang w:val="lv-LV"/>
              </w:rPr>
              <w:t> 0,5</w:t>
            </w:r>
          </w:p>
        </w:tc>
        <w:tc>
          <w:tcPr>
            <w:tcW w:w="6755" w:type="dxa"/>
            <w:tcBorders>
              <w:top w:val="single" w:sz="4" w:space="0" w:color="000000"/>
              <w:left w:val="single" w:sz="4" w:space="0" w:color="000000"/>
              <w:bottom w:val="single" w:sz="4" w:space="0" w:color="000000"/>
              <w:right w:val="single" w:sz="4" w:space="0" w:color="000000"/>
            </w:tcBorders>
          </w:tcPr>
          <w:p w14:paraId="59324C2C" w14:textId="59FB7B98" w:rsidR="00784D05" w:rsidRDefault="000B238A">
            <w:pPr>
              <w:pStyle w:val="TextTi12"/>
            </w:pPr>
            <w:r>
              <w:rPr>
                <w:sz w:val="22"/>
                <w:szCs w:val="22"/>
                <w:lang w:val="lv-LV"/>
              </w:rPr>
              <w:t>Terapija</w:t>
            </w:r>
            <w:r w:rsidR="00784D05">
              <w:rPr>
                <w:sz w:val="22"/>
                <w:szCs w:val="22"/>
                <w:lang w:val="lv-LV"/>
              </w:rPr>
              <w:t xml:space="preserve"> ir </w:t>
            </w:r>
            <w:r>
              <w:rPr>
                <w:sz w:val="22"/>
                <w:szCs w:val="22"/>
                <w:lang w:val="lv-LV"/>
              </w:rPr>
              <w:t xml:space="preserve">pilnīgi </w:t>
            </w:r>
            <w:r w:rsidR="00784D05">
              <w:rPr>
                <w:sz w:val="22"/>
                <w:szCs w:val="22"/>
                <w:lang w:val="lv-LV"/>
              </w:rPr>
              <w:t>jāpārtrauc</w:t>
            </w:r>
            <w:r>
              <w:rPr>
                <w:sz w:val="22"/>
                <w:szCs w:val="22"/>
                <w:lang w:val="lv-LV"/>
              </w:rPr>
              <w:t>.</w:t>
            </w:r>
          </w:p>
        </w:tc>
      </w:tr>
    </w:tbl>
    <w:p w14:paraId="35DDC3D2" w14:textId="77777777" w:rsidR="00784D05" w:rsidRDefault="00784D05"/>
    <w:p w14:paraId="17AE22D6" w14:textId="5AC0CC3A" w:rsidR="00784D05" w:rsidRPr="000B238A" w:rsidRDefault="009750F5" w:rsidP="00707120">
      <w:pPr>
        <w:pStyle w:val="ListParagraph"/>
        <w:keepNext/>
        <w:ind w:left="567" w:hanging="567"/>
        <w:rPr>
          <w:lang w:val="lv-LV"/>
        </w:rPr>
      </w:pPr>
      <w:r>
        <w:rPr>
          <w:lang w:val="nb-NO"/>
        </w:rPr>
        <w:sym w:font="Symbol" w:char="F0B7"/>
      </w:r>
      <w:r>
        <w:rPr>
          <w:lang w:val="nb-NO"/>
        </w:rPr>
        <w:tab/>
      </w:r>
      <w:r w:rsidR="00784D05" w:rsidRPr="000B238A">
        <w:rPr>
          <w:lang w:val="lv-LV"/>
        </w:rPr>
        <w:t>Samazināts trombocītu skaits</w:t>
      </w:r>
    </w:p>
    <w:p w14:paraId="0E7B3387" w14:textId="77777777" w:rsidR="00784D05" w:rsidRDefault="00784D05">
      <w:pPr>
        <w:keepNext/>
        <w:rPr>
          <w:lang w:val="lv-LV"/>
        </w:rPr>
      </w:pPr>
    </w:p>
    <w:tbl>
      <w:tblPr>
        <w:tblW w:w="9082" w:type="dxa"/>
        <w:tblInd w:w="-15" w:type="dxa"/>
        <w:tblLayout w:type="fixed"/>
        <w:tblLook w:val="0000" w:firstRow="0" w:lastRow="0" w:firstColumn="0" w:lastColumn="0" w:noHBand="0" w:noVBand="0"/>
      </w:tblPr>
      <w:tblGrid>
        <w:gridCol w:w="2327"/>
        <w:gridCol w:w="6755"/>
      </w:tblGrid>
      <w:tr w:rsidR="00784D05" w14:paraId="27E97EA5" w14:textId="77777777" w:rsidTr="00707120">
        <w:trPr>
          <w:cantSplit/>
        </w:trPr>
        <w:tc>
          <w:tcPr>
            <w:tcW w:w="2327" w:type="dxa"/>
            <w:tcBorders>
              <w:top w:val="single" w:sz="4" w:space="0" w:color="000000"/>
              <w:left w:val="single" w:sz="4" w:space="0" w:color="000000"/>
              <w:bottom w:val="single" w:sz="4" w:space="0" w:color="000000"/>
            </w:tcBorders>
          </w:tcPr>
          <w:p w14:paraId="277475F8" w14:textId="3167A8EF" w:rsidR="00784D05" w:rsidRDefault="00784D05">
            <w:pPr>
              <w:pStyle w:val="TextTi12"/>
              <w:keepNext/>
              <w:jc w:val="left"/>
              <w:rPr>
                <w:sz w:val="22"/>
                <w:szCs w:val="22"/>
                <w:lang w:val="lv-LV"/>
              </w:rPr>
            </w:pPr>
            <w:r>
              <w:rPr>
                <w:sz w:val="22"/>
                <w:szCs w:val="22"/>
                <w:lang w:val="lv-LV"/>
              </w:rPr>
              <w:t>Laboratorisko izmeklējumu rezultāti</w:t>
            </w:r>
            <w:r>
              <w:rPr>
                <w:sz w:val="22"/>
                <w:szCs w:val="22"/>
                <w:lang w:val="lv-LV"/>
              </w:rPr>
              <w:br/>
              <w:t>(šūnas</w:t>
            </w:r>
            <w:r w:rsidR="000B238A">
              <w:rPr>
                <w:sz w:val="22"/>
                <w:szCs w:val="22"/>
                <w:lang w:val="lv-LV"/>
              </w:rPr>
              <w:t> × </w:t>
            </w:r>
            <w:r>
              <w:rPr>
                <w:sz w:val="22"/>
                <w:szCs w:val="22"/>
                <w:lang w:val="lv-LV"/>
              </w:rPr>
              <w:t>10</w:t>
            </w:r>
            <w:r>
              <w:rPr>
                <w:sz w:val="22"/>
                <w:szCs w:val="22"/>
                <w:vertAlign w:val="superscript"/>
                <w:lang w:val="lv-LV"/>
              </w:rPr>
              <w:t>3</w:t>
            </w:r>
            <w:r>
              <w:rPr>
                <w:sz w:val="22"/>
                <w:szCs w:val="22"/>
                <w:lang w:val="lv-LV"/>
              </w:rPr>
              <w:t>/μl)</w:t>
            </w:r>
          </w:p>
        </w:tc>
        <w:tc>
          <w:tcPr>
            <w:tcW w:w="6755" w:type="dxa"/>
            <w:tcBorders>
              <w:top w:val="single" w:sz="4" w:space="0" w:color="000000"/>
              <w:left w:val="single" w:sz="4" w:space="0" w:color="000000"/>
              <w:bottom w:val="single" w:sz="4" w:space="0" w:color="000000"/>
              <w:right w:val="single" w:sz="4" w:space="0" w:color="000000"/>
            </w:tcBorders>
          </w:tcPr>
          <w:p w14:paraId="39DE8037" w14:textId="77777777" w:rsidR="00784D05" w:rsidRDefault="00784D05">
            <w:pPr>
              <w:pStyle w:val="TextTi12"/>
              <w:keepNext/>
              <w:jc w:val="center"/>
              <w:rPr>
                <w:sz w:val="22"/>
                <w:szCs w:val="22"/>
                <w:lang w:val="lv-LV"/>
              </w:rPr>
            </w:pPr>
            <w:r>
              <w:rPr>
                <w:sz w:val="22"/>
                <w:szCs w:val="22"/>
                <w:lang w:val="lv-LV"/>
              </w:rPr>
              <w:t>Rīcība</w:t>
            </w:r>
          </w:p>
        </w:tc>
      </w:tr>
      <w:tr w:rsidR="00784D05" w:rsidRPr="009136E0" w14:paraId="1244132A" w14:textId="77777777" w:rsidTr="00707120">
        <w:trPr>
          <w:cantSplit/>
        </w:trPr>
        <w:tc>
          <w:tcPr>
            <w:tcW w:w="2327" w:type="dxa"/>
            <w:tcBorders>
              <w:top w:val="single" w:sz="4" w:space="0" w:color="000000"/>
              <w:left w:val="single" w:sz="4" w:space="0" w:color="000000"/>
              <w:bottom w:val="single" w:sz="4" w:space="0" w:color="000000"/>
            </w:tcBorders>
          </w:tcPr>
          <w:p w14:paraId="43AC506A" w14:textId="70C8A6D2" w:rsidR="00784D05" w:rsidRDefault="00784D05">
            <w:pPr>
              <w:pStyle w:val="TextTi12"/>
              <w:keepNext/>
              <w:jc w:val="left"/>
              <w:rPr>
                <w:sz w:val="22"/>
                <w:szCs w:val="22"/>
                <w:lang w:val="lv-LV"/>
              </w:rPr>
            </w:pPr>
            <w:r>
              <w:rPr>
                <w:sz w:val="22"/>
                <w:szCs w:val="22"/>
                <w:lang w:val="lv-LV"/>
              </w:rPr>
              <w:t>50</w:t>
            </w:r>
            <w:r w:rsidR="000B238A">
              <w:rPr>
                <w:sz w:val="22"/>
                <w:szCs w:val="22"/>
                <w:lang w:val="lv-LV"/>
              </w:rPr>
              <w:noBreakHyphen/>
            </w:r>
            <w:r>
              <w:rPr>
                <w:sz w:val="22"/>
                <w:szCs w:val="22"/>
                <w:lang w:val="lv-LV"/>
              </w:rPr>
              <w:t>100</w:t>
            </w:r>
          </w:p>
        </w:tc>
        <w:tc>
          <w:tcPr>
            <w:tcW w:w="6755" w:type="dxa"/>
            <w:tcBorders>
              <w:top w:val="single" w:sz="4" w:space="0" w:color="000000"/>
              <w:left w:val="single" w:sz="4" w:space="0" w:color="000000"/>
              <w:bottom w:val="single" w:sz="4" w:space="0" w:color="000000"/>
              <w:right w:val="single" w:sz="4" w:space="0" w:color="000000"/>
            </w:tcBorders>
          </w:tcPr>
          <w:p w14:paraId="4495CF7E" w14:textId="5CB4C9DD" w:rsidR="00784D05" w:rsidRPr="000B238A" w:rsidRDefault="005014A7">
            <w:pPr>
              <w:pStyle w:val="TextTi12"/>
              <w:keepNext/>
              <w:rPr>
                <w:sz w:val="22"/>
                <w:szCs w:val="22"/>
                <w:lang w:val="lv-LV"/>
              </w:rPr>
            </w:pPr>
            <w:r>
              <w:rPr>
                <w:sz w:val="22"/>
                <w:szCs w:val="22"/>
                <w:lang w:val="lv-LV"/>
              </w:rPr>
              <w:t>Tocilizumaba</w:t>
            </w:r>
            <w:r w:rsidRPr="000B238A">
              <w:rPr>
                <w:sz w:val="22"/>
                <w:szCs w:val="22"/>
                <w:lang w:val="lv-LV"/>
              </w:rPr>
              <w:t xml:space="preserve"> </w:t>
            </w:r>
            <w:r w:rsidR="00784D05" w:rsidRPr="000B238A">
              <w:rPr>
                <w:sz w:val="22"/>
                <w:szCs w:val="22"/>
                <w:lang w:val="lv-LV"/>
              </w:rPr>
              <w:t xml:space="preserve">lietošana ir </w:t>
            </w:r>
            <w:r w:rsidR="000B238A">
              <w:rPr>
                <w:sz w:val="22"/>
                <w:szCs w:val="22"/>
                <w:lang w:val="lv-LV"/>
              </w:rPr>
              <w:t xml:space="preserve">uz laiku </w:t>
            </w:r>
            <w:r w:rsidR="00784D05" w:rsidRPr="000B238A">
              <w:rPr>
                <w:sz w:val="22"/>
                <w:szCs w:val="22"/>
                <w:lang w:val="lv-LV"/>
              </w:rPr>
              <w:t>jāpārtrauc</w:t>
            </w:r>
            <w:r w:rsidR="000B238A">
              <w:rPr>
                <w:sz w:val="22"/>
                <w:szCs w:val="22"/>
                <w:lang w:val="lv-LV"/>
              </w:rPr>
              <w:t>.</w:t>
            </w:r>
          </w:p>
          <w:p w14:paraId="4245FE93" w14:textId="09CB0199" w:rsidR="00784D05" w:rsidRPr="000B238A" w:rsidRDefault="000B238A" w:rsidP="00707120">
            <w:pPr>
              <w:pStyle w:val="TextTi12"/>
              <w:keepNext/>
              <w:jc w:val="left"/>
              <w:rPr>
                <w:sz w:val="22"/>
                <w:szCs w:val="22"/>
                <w:lang w:val="lv-LV"/>
              </w:rPr>
            </w:pPr>
            <w:r>
              <w:rPr>
                <w:sz w:val="22"/>
                <w:szCs w:val="22"/>
                <w:lang w:val="lv-LV"/>
              </w:rPr>
              <w:t>Tiklīdz</w:t>
            </w:r>
            <w:r w:rsidRPr="000B238A">
              <w:rPr>
                <w:sz w:val="22"/>
                <w:szCs w:val="22"/>
                <w:lang w:val="lv-LV"/>
              </w:rPr>
              <w:t xml:space="preserve"> </w:t>
            </w:r>
            <w:r w:rsidR="00784D05" w:rsidRPr="00707120">
              <w:rPr>
                <w:sz w:val="22"/>
                <w:szCs w:val="22"/>
                <w:lang w:val="lv-LV"/>
              </w:rPr>
              <w:t>trombocītu skaits</w:t>
            </w:r>
            <w:r w:rsidR="00784D05" w:rsidRPr="000B238A">
              <w:rPr>
                <w:sz w:val="22"/>
                <w:szCs w:val="22"/>
                <w:lang w:val="lv-LV"/>
              </w:rPr>
              <w:t xml:space="preserve"> palielinās līdz</w:t>
            </w:r>
            <w:r w:rsidR="000C6C88">
              <w:rPr>
                <w:sz w:val="22"/>
                <w:szCs w:val="22"/>
                <w:lang w:val="lv-LV"/>
              </w:rPr>
              <w:t> </w:t>
            </w:r>
            <w:r>
              <w:rPr>
                <w:sz w:val="22"/>
                <w:szCs w:val="22"/>
                <w:lang w:val="lv-LV"/>
              </w:rPr>
              <w:t>˃ </w:t>
            </w:r>
            <w:r w:rsidR="00784D05" w:rsidRPr="000B238A">
              <w:rPr>
                <w:sz w:val="22"/>
                <w:szCs w:val="22"/>
                <w:lang w:val="lv-LV"/>
              </w:rPr>
              <w:t>100</w:t>
            </w:r>
            <w:r>
              <w:rPr>
                <w:sz w:val="22"/>
                <w:szCs w:val="22"/>
                <w:lang w:val="lv-LV"/>
              </w:rPr>
              <w:t> × </w:t>
            </w:r>
            <w:r w:rsidR="00784D05" w:rsidRPr="000B238A">
              <w:rPr>
                <w:sz w:val="22"/>
                <w:szCs w:val="22"/>
                <w:lang w:val="lv-LV"/>
              </w:rPr>
              <w:t>10</w:t>
            </w:r>
            <w:r w:rsidR="00784D05" w:rsidRPr="000B238A">
              <w:rPr>
                <w:sz w:val="22"/>
                <w:szCs w:val="22"/>
                <w:vertAlign w:val="superscript"/>
                <w:lang w:val="lv-LV"/>
              </w:rPr>
              <w:t>3</w:t>
            </w:r>
            <w:r w:rsidR="00784D05" w:rsidRPr="000B238A">
              <w:rPr>
                <w:sz w:val="22"/>
                <w:szCs w:val="22"/>
                <w:lang w:val="lv-LV"/>
              </w:rPr>
              <w:t xml:space="preserve">/μl, </w:t>
            </w:r>
            <w:r>
              <w:rPr>
                <w:sz w:val="22"/>
                <w:szCs w:val="22"/>
                <w:lang w:val="lv-LV"/>
              </w:rPr>
              <w:t xml:space="preserve">terapiju </w:t>
            </w:r>
            <w:r w:rsidR="00784D05" w:rsidRPr="000B238A">
              <w:rPr>
                <w:sz w:val="22"/>
                <w:szCs w:val="22"/>
                <w:lang w:val="lv-LV"/>
              </w:rPr>
              <w:t>atsāk ar 4 mg/kg devu, ko palielina līdz 8 mg/kg</w:t>
            </w:r>
            <w:r>
              <w:rPr>
                <w:sz w:val="22"/>
                <w:szCs w:val="22"/>
                <w:lang w:val="lv-LV"/>
              </w:rPr>
              <w:t>,</w:t>
            </w:r>
            <w:r w:rsidR="00784D05" w:rsidRPr="000B238A">
              <w:rPr>
                <w:sz w:val="22"/>
                <w:szCs w:val="22"/>
                <w:lang w:val="lv-LV"/>
              </w:rPr>
              <w:t xml:space="preserve"> ja </w:t>
            </w:r>
            <w:r>
              <w:rPr>
                <w:sz w:val="22"/>
                <w:szCs w:val="22"/>
                <w:lang w:val="lv-LV"/>
              </w:rPr>
              <w:t xml:space="preserve">tas ir </w:t>
            </w:r>
            <w:r w:rsidR="00784D05" w:rsidRPr="000B238A">
              <w:rPr>
                <w:sz w:val="22"/>
                <w:szCs w:val="22"/>
                <w:lang w:val="lv-LV"/>
              </w:rPr>
              <w:t>klīniski piemērots</w:t>
            </w:r>
            <w:r>
              <w:rPr>
                <w:sz w:val="22"/>
                <w:szCs w:val="22"/>
                <w:lang w:val="lv-LV"/>
              </w:rPr>
              <w:t>.</w:t>
            </w:r>
          </w:p>
        </w:tc>
      </w:tr>
      <w:tr w:rsidR="00784D05" w14:paraId="3C607978" w14:textId="77777777" w:rsidTr="00707120">
        <w:trPr>
          <w:cantSplit/>
        </w:trPr>
        <w:tc>
          <w:tcPr>
            <w:tcW w:w="2327" w:type="dxa"/>
            <w:tcBorders>
              <w:top w:val="single" w:sz="4" w:space="0" w:color="000000"/>
              <w:left w:val="single" w:sz="4" w:space="0" w:color="000000"/>
              <w:bottom w:val="single" w:sz="4" w:space="0" w:color="000000"/>
            </w:tcBorders>
          </w:tcPr>
          <w:p w14:paraId="589FE9DA" w14:textId="4C08F3CB" w:rsidR="00784D05" w:rsidRDefault="000B238A">
            <w:pPr>
              <w:pStyle w:val="TextTi12"/>
              <w:jc w:val="left"/>
              <w:rPr>
                <w:sz w:val="22"/>
                <w:szCs w:val="22"/>
                <w:lang w:val="lv-LV"/>
              </w:rPr>
            </w:pPr>
            <w:r>
              <w:rPr>
                <w:sz w:val="22"/>
                <w:szCs w:val="22"/>
                <w:lang w:val="lv-LV"/>
              </w:rPr>
              <w:t xml:space="preserve"> ˂ </w:t>
            </w:r>
            <w:r w:rsidR="00784D05">
              <w:rPr>
                <w:sz w:val="22"/>
                <w:szCs w:val="22"/>
                <w:lang w:val="lv-LV"/>
              </w:rPr>
              <w:t>50</w:t>
            </w:r>
          </w:p>
        </w:tc>
        <w:tc>
          <w:tcPr>
            <w:tcW w:w="6755" w:type="dxa"/>
            <w:tcBorders>
              <w:top w:val="single" w:sz="4" w:space="0" w:color="000000"/>
              <w:left w:val="single" w:sz="4" w:space="0" w:color="000000"/>
              <w:bottom w:val="single" w:sz="4" w:space="0" w:color="000000"/>
              <w:right w:val="single" w:sz="4" w:space="0" w:color="000000"/>
            </w:tcBorders>
          </w:tcPr>
          <w:p w14:paraId="09DB47DC" w14:textId="0E7D88D8" w:rsidR="00784D05" w:rsidRDefault="000B238A">
            <w:pPr>
              <w:pStyle w:val="TextTi12"/>
            </w:pPr>
            <w:r>
              <w:rPr>
                <w:sz w:val="22"/>
                <w:szCs w:val="22"/>
                <w:lang w:val="lv-LV"/>
              </w:rPr>
              <w:t>Terapija</w:t>
            </w:r>
            <w:r w:rsidR="00784D05">
              <w:rPr>
                <w:sz w:val="22"/>
                <w:szCs w:val="22"/>
                <w:lang w:val="lv-LV"/>
              </w:rPr>
              <w:t xml:space="preserve"> ir </w:t>
            </w:r>
            <w:r>
              <w:rPr>
                <w:sz w:val="22"/>
                <w:szCs w:val="22"/>
                <w:lang w:val="lv-LV"/>
              </w:rPr>
              <w:t xml:space="preserve">pilnīgi </w:t>
            </w:r>
            <w:r w:rsidR="00784D05">
              <w:rPr>
                <w:sz w:val="22"/>
                <w:szCs w:val="22"/>
                <w:lang w:val="lv-LV"/>
              </w:rPr>
              <w:t>jāpārtrauc</w:t>
            </w:r>
            <w:r>
              <w:rPr>
                <w:sz w:val="22"/>
                <w:szCs w:val="22"/>
                <w:lang w:val="lv-LV"/>
              </w:rPr>
              <w:t>.</w:t>
            </w:r>
          </w:p>
        </w:tc>
      </w:tr>
    </w:tbl>
    <w:p w14:paraId="5C20D36C" w14:textId="62CB6F96" w:rsidR="00784D05" w:rsidRDefault="00784D05">
      <w:pPr>
        <w:autoSpaceDE w:val="0"/>
      </w:pPr>
    </w:p>
    <w:p w14:paraId="22277193" w14:textId="2F5BFE1E" w:rsidR="00B1121A" w:rsidRPr="00707120" w:rsidRDefault="000B238A" w:rsidP="002C6D2D">
      <w:pPr>
        <w:keepNext/>
        <w:autoSpaceDE w:val="0"/>
        <w:rPr>
          <w:i/>
          <w:iCs/>
        </w:rPr>
      </w:pPr>
      <w:r w:rsidRPr="00707120">
        <w:rPr>
          <w:i/>
          <w:iCs/>
        </w:rPr>
        <w:t xml:space="preserve">Pacienti ar </w:t>
      </w:r>
      <w:r w:rsidR="00B1121A" w:rsidRPr="00707120">
        <w:rPr>
          <w:i/>
          <w:iCs/>
        </w:rPr>
        <w:t>COVID</w:t>
      </w:r>
      <w:r>
        <w:rPr>
          <w:i/>
          <w:iCs/>
        </w:rPr>
        <w:noBreakHyphen/>
      </w:r>
      <w:r w:rsidR="00B1121A" w:rsidRPr="00707120">
        <w:rPr>
          <w:i/>
          <w:iCs/>
        </w:rPr>
        <w:t>19</w:t>
      </w:r>
    </w:p>
    <w:p w14:paraId="5E3CCCE6" w14:textId="503AEF84" w:rsidR="00B1121A" w:rsidRDefault="0061138C" w:rsidP="00B1121A">
      <w:pPr>
        <w:autoSpaceDE w:val="0"/>
      </w:pPr>
      <w:r>
        <w:t xml:space="preserve">Pacientiem, </w:t>
      </w:r>
      <w:r w:rsidRPr="0061138C">
        <w:t>kuri saņem terapiju ar sistēmiski lietojamiem kortikosteroīdiem un kuriem ir nepieciešama papildu skābekļa terapija vai mehāniskā plaušu ventilācija</w:t>
      </w:r>
      <w:r w:rsidR="001376FE">
        <w:t>,</w:t>
      </w:r>
      <w:r>
        <w:t xml:space="preserve"> i</w:t>
      </w:r>
      <w:r w:rsidR="00B1121A">
        <w:t>eteicamā deva COVID</w:t>
      </w:r>
      <w:r w:rsidR="000B238A">
        <w:noBreakHyphen/>
      </w:r>
      <w:r w:rsidR="00B1121A">
        <w:t>19 ārstēšanai ir 8</w:t>
      </w:r>
      <w:r w:rsidR="001376FE">
        <w:t> </w:t>
      </w:r>
      <w:r w:rsidR="00B1121A">
        <w:t>mg/kg</w:t>
      </w:r>
      <w:r w:rsidR="000B238A">
        <w:t xml:space="preserve"> ķermeņa masas</w:t>
      </w:r>
      <w:r w:rsidR="00B1121A">
        <w:t xml:space="preserve">, </w:t>
      </w:r>
      <w:r w:rsidR="001376FE">
        <w:t>ko ievada vienā</w:t>
      </w:r>
      <w:r w:rsidR="00B1121A">
        <w:t xml:space="preserve"> 60</w:t>
      </w:r>
      <w:r w:rsidR="000C6C88">
        <w:t> </w:t>
      </w:r>
      <w:r w:rsidR="00B1121A">
        <w:t>minūtes ilg</w:t>
      </w:r>
      <w:r w:rsidR="001376FE">
        <w:t>ā</w:t>
      </w:r>
      <w:r w:rsidR="00B1121A">
        <w:t xml:space="preserve"> intravenoz</w:t>
      </w:r>
      <w:r w:rsidR="001376FE">
        <w:t>ā</w:t>
      </w:r>
      <w:r w:rsidR="00B1121A">
        <w:t xml:space="preserve"> infūzij</w:t>
      </w:r>
      <w:r w:rsidR="001376FE">
        <w:t>ā;</w:t>
      </w:r>
      <w:r w:rsidR="00CC468E">
        <w:t xml:space="preserve"> </w:t>
      </w:r>
      <w:r>
        <w:t>skatīt 5.1 apakšpunktu</w:t>
      </w:r>
      <w:r w:rsidR="00B1121A">
        <w:t xml:space="preserve">. Ja klīniskās pazīmes vai simptomi pēc pirmās devas </w:t>
      </w:r>
      <w:r>
        <w:t xml:space="preserve">pastiprinās </w:t>
      </w:r>
      <w:r w:rsidR="00B1121A">
        <w:t xml:space="preserve">vai </w:t>
      </w:r>
      <w:r>
        <w:t>nemazinās</w:t>
      </w:r>
      <w:r w:rsidR="00B1121A">
        <w:t xml:space="preserve">, var ievadīt vēl vienu </w:t>
      </w:r>
      <w:r w:rsidR="000B238A">
        <w:t xml:space="preserve">tocilizumaba </w:t>
      </w:r>
      <w:r w:rsidR="00B1121A">
        <w:t>8</w:t>
      </w:r>
      <w:r w:rsidR="000B238A">
        <w:t> </w:t>
      </w:r>
      <w:r w:rsidR="00B1121A">
        <w:t>mg/kg devu</w:t>
      </w:r>
      <w:r w:rsidR="005C4EC1">
        <w:t xml:space="preserve"> infūzijas veidā</w:t>
      </w:r>
      <w:r w:rsidR="00B1121A">
        <w:t>. Starp abām infūzijām ir jābūt vismaz 8</w:t>
      </w:r>
      <w:r w:rsidR="000B238A">
        <w:t> </w:t>
      </w:r>
      <w:r w:rsidR="00B1121A">
        <w:t>stundu starplaikam.</w:t>
      </w:r>
    </w:p>
    <w:p w14:paraId="5D8D6BBE" w14:textId="77777777" w:rsidR="00B1121A" w:rsidRDefault="00B1121A" w:rsidP="00B1121A">
      <w:pPr>
        <w:autoSpaceDE w:val="0"/>
      </w:pPr>
    </w:p>
    <w:p w14:paraId="156B5036" w14:textId="00037851" w:rsidR="00B1121A" w:rsidRDefault="00B1121A" w:rsidP="00B1121A">
      <w:pPr>
        <w:autoSpaceDE w:val="0"/>
      </w:pPr>
      <w:r>
        <w:t>Personām, kuru ķermeņa masa pārsniedz 100</w:t>
      </w:r>
      <w:r w:rsidR="005C4EC1">
        <w:t> </w:t>
      </w:r>
      <w:r>
        <w:t xml:space="preserve">kg, </w:t>
      </w:r>
      <w:r w:rsidR="00B6346F">
        <w:t xml:space="preserve">vienā infūzijā </w:t>
      </w:r>
      <w:r>
        <w:t>nav ieteicama deva, kas pārsniedz 800 mg (skatīt 5.2.</w:t>
      </w:r>
      <w:r w:rsidR="000B238A">
        <w:t> </w:t>
      </w:r>
      <w:r>
        <w:t>apakšpunktu).</w:t>
      </w:r>
    </w:p>
    <w:p w14:paraId="50F0E894" w14:textId="77777777" w:rsidR="00B1121A" w:rsidRDefault="00B1121A" w:rsidP="00B1121A">
      <w:pPr>
        <w:autoSpaceDE w:val="0"/>
      </w:pPr>
    </w:p>
    <w:p w14:paraId="4517621D" w14:textId="6BD0E2EB" w:rsidR="00B1121A" w:rsidRDefault="00B1121A" w:rsidP="00B1121A">
      <w:pPr>
        <w:autoSpaceDE w:val="0"/>
      </w:pPr>
      <w:r w:rsidRPr="00B1121A">
        <w:t>Pacientiem ar COVID</w:t>
      </w:r>
      <w:r w:rsidR="000B238A">
        <w:noBreakHyphen/>
      </w:r>
      <w:r w:rsidRPr="00B1121A">
        <w:t xml:space="preserve">19 </w:t>
      </w:r>
      <w:r w:rsidR="000B238A">
        <w:t xml:space="preserve">tocilizumabu </w:t>
      </w:r>
      <w:r w:rsidR="00B6346F" w:rsidRPr="00B1121A">
        <w:t>nav ieteicams ievadīt</w:t>
      </w:r>
      <w:r w:rsidRPr="00B1121A">
        <w:t xml:space="preserve">, ja viņiem ir kādas no </w:t>
      </w:r>
      <w:r w:rsidR="00C11690">
        <w:t>tālāk</w:t>
      </w:r>
      <w:r w:rsidRPr="00B1121A">
        <w:t xml:space="preserve"> norādītajām novirzēm laboratorisko izmeklējumu rezultātos:</w:t>
      </w:r>
    </w:p>
    <w:p w14:paraId="6CA88038" w14:textId="77777777" w:rsidR="008364C5" w:rsidRPr="00B1121A" w:rsidRDefault="008364C5" w:rsidP="00B1121A">
      <w:pPr>
        <w:autoSpaceDE w:val="0"/>
      </w:pPr>
    </w:p>
    <w:tbl>
      <w:tblPr>
        <w:tblStyle w:val="TableGrid"/>
        <w:tblW w:w="0" w:type="auto"/>
        <w:tblLook w:val="04A0" w:firstRow="1" w:lastRow="0" w:firstColumn="1" w:lastColumn="0" w:noHBand="0" w:noVBand="1"/>
      </w:tblPr>
      <w:tblGrid>
        <w:gridCol w:w="3652"/>
        <w:gridCol w:w="3119"/>
        <w:gridCol w:w="2290"/>
      </w:tblGrid>
      <w:tr w:rsidR="00CE653F" w:rsidRPr="000B238A" w14:paraId="6F959755" w14:textId="77777777" w:rsidTr="008364C5">
        <w:tc>
          <w:tcPr>
            <w:tcW w:w="3652" w:type="dxa"/>
          </w:tcPr>
          <w:p w14:paraId="47F5C58F" w14:textId="360FC22C" w:rsidR="00B1121A" w:rsidRPr="00707120" w:rsidRDefault="00B1121A" w:rsidP="00C11690">
            <w:pPr>
              <w:pStyle w:val="Standard1"/>
              <w:jc w:val="center"/>
              <w:rPr>
                <w:szCs w:val="22"/>
                <w:u w:val="single"/>
              </w:rPr>
            </w:pPr>
            <w:r w:rsidRPr="00707120">
              <w:rPr>
                <w:u w:val="single"/>
              </w:rPr>
              <w:t>Laboratorisk</w:t>
            </w:r>
            <w:r w:rsidR="003F77CF" w:rsidRPr="00707120">
              <w:rPr>
                <w:u w:val="single"/>
              </w:rPr>
              <w:t>o</w:t>
            </w:r>
            <w:r w:rsidRPr="00707120">
              <w:rPr>
                <w:u w:val="single"/>
              </w:rPr>
              <w:t xml:space="preserve"> izmeklējum</w:t>
            </w:r>
            <w:r w:rsidR="00C11690" w:rsidRPr="00707120">
              <w:rPr>
                <w:u w:val="single"/>
              </w:rPr>
              <w:t>u</w:t>
            </w:r>
            <w:r w:rsidRPr="00707120">
              <w:rPr>
                <w:u w:val="single"/>
              </w:rPr>
              <w:t xml:space="preserve"> veids</w:t>
            </w:r>
          </w:p>
        </w:tc>
        <w:tc>
          <w:tcPr>
            <w:tcW w:w="3119" w:type="dxa"/>
          </w:tcPr>
          <w:p w14:paraId="3AA8E29B" w14:textId="7A384C2F" w:rsidR="00B1121A" w:rsidRPr="00707120" w:rsidRDefault="00B1121A" w:rsidP="003F77CF">
            <w:pPr>
              <w:pStyle w:val="Standard1"/>
              <w:jc w:val="center"/>
              <w:rPr>
                <w:szCs w:val="22"/>
                <w:u w:val="single"/>
              </w:rPr>
            </w:pPr>
            <w:r w:rsidRPr="00707120">
              <w:rPr>
                <w:u w:val="single"/>
              </w:rPr>
              <w:t>Laboratorisk</w:t>
            </w:r>
            <w:r w:rsidR="003F77CF" w:rsidRPr="00707120">
              <w:rPr>
                <w:u w:val="single"/>
              </w:rPr>
              <w:t>o</w:t>
            </w:r>
            <w:r w:rsidR="003739AF" w:rsidRPr="00707120">
              <w:rPr>
                <w:u w:val="single"/>
              </w:rPr>
              <w:t xml:space="preserve"> izmeklējumu</w:t>
            </w:r>
            <w:r w:rsidR="008364C5" w:rsidRPr="00707120">
              <w:rPr>
                <w:u w:val="single"/>
              </w:rPr>
              <w:t xml:space="preserve"> </w:t>
            </w:r>
            <w:r w:rsidRPr="00707120">
              <w:rPr>
                <w:u w:val="single"/>
              </w:rPr>
              <w:t>rezultāts</w:t>
            </w:r>
          </w:p>
        </w:tc>
        <w:tc>
          <w:tcPr>
            <w:tcW w:w="2290" w:type="dxa"/>
          </w:tcPr>
          <w:p w14:paraId="7C0A1E1C" w14:textId="77777777" w:rsidR="00B1121A" w:rsidRPr="00707120" w:rsidRDefault="00B1121A" w:rsidP="006952A3">
            <w:pPr>
              <w:pStyle w:val="Standard1"/>
              <w:jc w:val="center"/>
              <w:rPr>
                <w:szCs w:val="22"/>
                <w:u w:val="single"/>
              </w:rPr>
            </w:pPr>
            <w:r w:rsidRPr="00707120">
              <w:rPr>
                <w:u w:val="single"/>
              </w:rPr>
              <w:t>Rīcība</w:t>
            </w:r>
          </w:p>
        </w:tc>
      </w:tr>
      <w:tr w:rsidR="00CE653F" w:rsidRPr="0018021A" w14:paraId="0607CB77" w14:textId="77777777" w:rsidTr="008364C5">
        <w:tc>
          <w:tcPr>
            <w:tcW w:w="3652" w:type="dxa"/>
          </w:tcPr>
          <w:p w14:paraId="3B62521C" w14:textId="77777777" w:rsidR="00B1121A" w:rsidRPr="0018021A" w:rsidRDefault="00B1121A" w:rsidP="006952A3">
            <w:pPr>
              <w:pStyle w:val="Standard1"/>
              <w:rPr>
                <w:szCs w:val="22"/>
                <w:u w:val="single"/>
              </w:rPr>
            </w:pPr>
            <w:r>
              <w:t xml:space="preserve">Aknu enzīmu līmenis </w:t>
            </w:r>
          </w:p>
        </w:tc>
        <w:tc>
          <w:tcPr>
            <w:tcW w:w="3119" w:type="dxa"/>
          </w:tcPr>
          <w:p w14:paraId="45F4C6F3" w14:textId="6EB13FCB" w:rsidR="00B1121A" w:rsidRPr="0018021A" w:rsidRDefault="00313653" w:rsidP="00313653">
            <w:pPr>
              <w:pStyle w:val="Standard1"/>
              <w:jc w:val="center"/>
              <w:rPr>
                <w:szCs w:val="22"/>
                <w:u w:val="single"/>
              </w:rPr>
            </w:pPr>
            <w:r w:rsidRPr="00313653">
              <w:rPr>
                <w:szCs w:val="22"/>
                <w:lang w:val="en-GB"/>
              </w:rPr>
              <w:t>&gt;</w:t>
            </w:r>
            <w:r w:rsidR="000B238A">
              <w:rPr>
                <w:szCs w:val="22"/>
                <w:u w:val="single"/>
              </w:rPr>
              <w:t> </w:t>
            </w:r>
            <w:r w:rsidR="00B1121A">
              <w:t>10</w:t>
            </w:r>
            <w:r w:rsidR="000B238A">
              <w:t> × </w:t>
            </w:r>
            <w:r w:rsidR="00B1121A">
              <w:t>NAR</w:t>
            </w:r>
          </w:p>
        </w:tc>
        <w:tc>
          <w:tcPr>
            <w:tcW w:w="2290" w:type="dxa"/>
            <w:vMerge w:val="restart"/>
          </w:tcPr>
          <w:p w14:paraId="5A813CC1" w14:textId="20E935ED" w:rsidR="00B1121A" w:rsidRPr="0018021A" w:rsidRDefault="000B238A" w:rsidP="00846FA5">
            <w:pPr>
              <w:pStyle w:val="Standard1"/>
              <w:rPr>
                <w:szCs w:val="22"/>
                <w:u w:val="single"/>
              </w:rPr>
            </w:pPr>
            <w:r>
              <w:t xml:space="preserve">Tocilizumaba </w:t>
            </w:r>
            <w:r w:rsidR="00B1121A">
              <w:t xml:space="preserve">ievadīšana nav ieteicama </w:t>
            </w:r>
          </w:p>
        </w:tc>
      </w:tr>
      <w:tr w:rsidR="00CE653F" w:rsidRPr="0018021A" w14:paraId="35A0F7E3" w14:textId="77777777" w:rsidTr="008364C5">
        <w:tc>
          <w:tcPr>
            <w:tcW w:w="3652" w:type="dxa"/>
          </w:tcPr>
          <w:p w14:paraId="6CB5C8E6" w14:textId="77777777" w:rsidR="00B1121A" w:rsidRPr="0018021A" w:rsidRDefault="00B1121A" w:rsidP="006952A3">
            <w:pPr>
              <w:pStyle w:val="Standard1"/>
              <w:rPr>
                <w:szCs w:val="22"/>
                <w:u w:val="single"/>
              </w:rPr>
            </w:pPr>
            <w:r>
              <w:t xml:space="preserve">Absolūtais neitrofilo leikocītu skaits </w:t>
            </w:r>
          </w:p>
        </w:tc>
        <w:tc>
          <w:tcPr>
            <w:tcW w:w="3119" w:type="dxa"/>
          </w:tcPr>
          <w:p w14:paraId="14E922FB" w14:textId="57686483" w:rsidR="00B1121A" w:rsidRPr="0018021A" w:rsidRDefault="000B238A" w:rsidP="001E4A02">
            <w:pPr>
              <w:pStyle w:val="Standard1"/>
              <w:jc w:val="center"/>
              <w:rPr>
                <w:szCs w:val="22"/>
                <w:u w:val="single"/>
              </w:rPr>
            </w:pPr>
            <w:r>
              <w:t>˂ </w:t>
            </w:r>
            <w:r w:rsidR="00B1121A">
              <w:t>1</w:t>
            </w:r>
            <w:r>
              <w:t> × </w:t>
            </w:r>
            <w:r w:rsidR="00B1121A">
              <w:t>10</w:t>
            </w:r>
            <w:r w:rsidR="00B1121A">
              <w:rPr>
                <w:szCs w:val="22"/>
                <w:vertAlign w:val="superscript"/>
              </w:rPr>
              <w:t>9</w:t>
            </w:r>
            <w:r w:rsidR="00B1121A">
              <w:t>/l</w:t>
            </w:r>
          </w:p>
        </w:tc>
        <w:tc>
          <w:tcPr>
            <w:tcW w:w="2290" w:type="dxa"/>
            <w:vMerge/>
          </w:tcPr>
          <w:p w14:paraId="4EEFC1BD" w14:textId="77777777" w:rsidR="00B1121A" w:rsidRPr="0018021A" w:rsidRDefault="00B1121A" w:rsidP="006952A3">
            <w:pPr>
              <w:pStyle w:val="Standard1"/>
              <w:rPr>
                <w:szCs w:val="22"/>
                <w:u w:val="single"/>
                <w:lang w:val="en-GB"/>
              </w:rPr>
            </w:pPr>
          </w:p>
        </w:tc>
      </w:tr>
      <w:tr w:rsidR="00CE653F" w:rsidRPr="0018021A" w14:paraId="315A3019" w14:textId="77777777" w:rsidTr="008364C5">
        <w:trPr>
          <w:trHeight w:val="269"/>
        </w:trPr>
        <w:tc>
          <w:tcPr>
            <w:tcW w:w="3652" w:type="dxa"/>
          </w:tcPr>
          <w:p w14:paraId="0ECEB6E5" w14:textId="77777777" w:rsidR="00B1121A" w:rsidRPr="0018021A" w:rsidRDefault="00B1121A" w:rsidP="006952A3">
            <w:pPr>
              <w:pStyle w:val="Standard1"/>
              <w:rPr>
                <w:szCs w:val="22"/>
              </w:rPr>
            </w:pPr>
            <w:r>
              <w:t xml:space="preserve">Trombocītu skaits </w:t>
            </w:r>
          </w:p>
        </w:tc>
        <w:tc>
          <w:tcPr>
            <w:tcW w:w="3119" w:type="dxa"/>
          </w:tcPr>
          <w:p w14:paraId="2B4B175B" w14:textId="4E53BD4B" w:rsidR="00B1121A" w:rsidRPr="0018021A" w:rsidRDefault="000B238A" w:rsidP="006952A3">
            <w:pPr>
              <w:pStyle w:val="Standard1"/>
              <w:jc w:val="center"/>
              <w:rPr>
                <w:szCs w:val="22"/>
              </w:rPr>
            </w:pPr>
            <w:r>
              <w:t>˂ </w:t>
            </w:r>
            <w:r w:rsidR="00B1121A">
              <w:t>50</w:t>
            </w:r>
            <w:r>
              <w:t> × </w:t>
            </w:r>
            <w:r w:rsidR="00B1121A">
              <w:t>10</w:t>
            </w:r>
            <w:r w:rsidR="00B1121A">
              <w:rPr>
                <w:szCs w:val="22"/>
                <w:vertAlign w:val="superscript"/>
              </w:rPr>
              <w:t>3</w:t>
            </w:r>
            <w:r w:rsidR="00B1121A">
              <w:t>/μl</w:t>
            </w:r>
          </w:p>
        </w:tc>
        <w:tc>
          <w:tcPr>
            <w:tcW w:w="2290" w:type="dxa"/>
            <w:vMerge/>
          </w:tcPr>
          <w:p w14:paraId="7ACBBF51" w14:textId="77777777" w:rsidR="00B1121A" w:rsidRPr="0018021A" w:rsidRDefault="00B1121A" w:rsidP="006952A3">
            <w:pPr>
              <w:pStyle w:val="Standard1"/>
              <w:rPr>
                <w:szCs w:val="22"/>
                <w:u w:val="single"/>
                <w:lang w:val="en-GB"/>
              </w:rPr>
            </w:pPr>
          </w:p>
        </w:tc>
      </w:tr>
    </w:tbl>
    <w:p w14:paraId="3184A695" w14:textId="77777777" w:rsidR="00B1121A" w:rsidRDefault="00B1121A">
      <w:pPr>
        <w:autoSpaceDE w:val="0"/>
      </w:pPr>
    </w:p>
    <w:p w14:paraId="725BC679" w14:textId="77777777" w:rsidR="00D44374" w:rsidRPr="00707120" w:rsidRDefault="00D44374">
      <w:pPr>
        <w:keepNext/>
        <w:rPr>
          <w:i/>
          <w:iCs/>
          <w:lang w:val="en-GB"/>
        </w:rPr>
        <w:pPrChange w:id="19" w:author="Author">
          <w:pPr/>
        </w:pPrChange>
      </w:pPr>
      <w:r w:rsidRPr="00707120">
        <w:rPr>
          <w:i/>
          <w:iCs/>
          <w:lang w:val="en-GB"/>
        </w:rPr>
        <w:t xml:space="preserve">Citokīnu </w:t>
      </w:r>
      <w:r w:rsidR="00FE051B" w:rsidRPr="00707120">
        <w:rPr>
          <w:i/>
          <w:iCs/>
          <w:lang w:val="en-GB"/>
        </w:rPr>
        <w:t>atbrīvošanās</w:t>
      </w:r>
      <w:r w:rsidRPr="00707120">
        <w:rPr>
          <w:i/>
          <w:iCs/>
          <w:lang w:val="en-GB"/>
        </w:rPr>
        <w:t xml:space="preserve"> sindroms (CRS) (pieaugušie un bērni)</w:t>
      </w:r>
    </w:p>
    <w:p w14:paraId="45DA13E8" w14:textId="7D91C82D" w:rsidR="00D44374" w:rsidRDefault="00D44374" w:rsidP="00D44374">
      <w:pPr>
        <w:rPr>
          <w:lang w:val="en-GB"/>
        </w:rPr>
      </w:pPr>
      <w:r>
        <w:rPr>
          <w:lang w:val="en-GB"/>
        </w:rPr>
        <w:t>Ieteicamā deva CRS ārstēšanai, ko ievada 60 minūtes ilgā intravenozā infūzijā, ir 8 mg/kg pacientiem, kuru ķermeņa masa</w:t>
      </w:r>
      <w:r w:rsidR="005342EF">
        <w:rPr>
          <w:lang w:val="en-GB"/>
        </w:rPr>
        <w:t xml:space="preserve"> </w:t>
      </w:r>
      <w:r>
        <w:rPr>
          <w:lang w:val="en-GB"/>
        </w:rPr>
        <w:t>ir lielāka par vai vienāda ar 30 kg, vai 12</w:t>
      </w:r>
      <w:r w:rsidR="005342EF">
        <w:rPr>
          <w:lang w:val="en-GB"/>
        </w:rPr>
        <w:t> </w:t>
      </w:r>
      <w:r>
        <w:rPr>
          <w:lang w:val="en-GB"/>
        </w:rPr>
        <w:t>mg/kg pacientiem, kuru ķermeņa masa</w:t>
      </w:r>
      <w:r w:rsidR="005342EF">
        <w:rPr>
          <w:lang w:val="en-GB"/>
        </w:rPr>
        <w:t xml:space="preserve"> </w:t>
      </w:r>
      <w:r>
        <w:rPr>
          <w:lang w:val="en-GB"/>
        </w:rPr>
        <w:t xml:space="preserve">ir mazāka par 30 kg. </w:t>
      </w:r>
      <w:r w:rsidR="000B238A">
        <w:rPr>
          <w:lang w:val="en-GB"/>
        </w:rPr>
        <w:t>T</w:t>
      </w:r>
      <w:r w:rsidR="000B238A">
        <w:t xml:space="preserve">ocilizumabu </w:t>
      </w:r>
      <w:r>
        <w:rPr>
          <w:lang w:val="en-GB"/>
        </w:rPr>
        <w:t xml:space="preserve">var lietot vienu pašu vai kombinācijā ar kortikosteroīdiem. </w:t>
      </w:r>
    </w:p>
    <w:p w14:paraId="5A3A802C" w14:textId="77777777" w:rsidR="00D44374" w:rsidRDefault="00D44374" w:rsidP="00D44374">
      <w:pPr>
        <w:rPr>
          <w:lang w:val="en-GB"/>
        </w:rPr>
      </w:pPr>
    </w:p>
    <w:p w14:paraId="11541079" w14:textId="4C33487D" w:rsidR="00D44374" w:rsidRDefault="00D44374" w:rsidP="00D44374">
      <w:pPr>
        <w:rPr>
          <w:lang w:val="en-GB"/>
        </w:rPr>
      </w:pPr>
      <w:r>
        <w:rPr>
          <w:lang w:val="en-GB"/>
        </w:rPr>
        <w:t>Ja pēc pirmās zāļu devas saņemšanas nav vērojams klīnisks uzlabojums, vērtējot CRS pazīmes un simptomus, var ievadīt vēl līdz 3</w:t>
      </w:r>
      <w:r w:rsidR="000B238A">
        <w:rPr>
          <w:lang w:val="en-GB"/>
        </w:rPr>
        <w:t xml:space="preserve"> tocilizumaba </w:t>
      </w:r>
      <w:r>
        <w:rPr>
          <w:lang w:val="en-GB"/>
        </w:rPr>
        <w:t>papildu devām. Intervālam starp secīgi ievadītām devām jābūt vismaz 8</w:t>
      </w:r>
      <w:r w:rsidR="000B238A">
        <w:rPr>
          <w:lang w:val="en-GB"/>
        </w:rPr>
        <w:t> </w:t>
      </w:r>
      <w:r>
        <w:rPr>
          <w:lang w:val="en-GB"/>
        </w:rPr>
        <w:t xml:space="preserve">stundām. Pacientiem ar CRS vienā infūzijā nav ieteicams ievadīt devas, kas pārsniedz 800 mg. </w:t>
      </w:r>
    </w:p>
    <w:p w14:paraId="6108A86E" w14:textId="77777777" w:rsidR="00D44374" w:rsidRPr="00E1075D" w:rsidRDefault="00D44374" w:rsidP="00D44374">
      <w:pPr>
        <w:ind w:left="567" w:hanging="567"/>
        <w:rPr>
          <w:bCs/>
          <w:noProof/>
          <w:lang w:val="en-GB"/>
        </w:rPr>
      </w:pPr>
    </w:p>
    <w:p w14:paraId="24325FD3" w14:textId="6670C1AB" w:rsidR="00D44374" w:rsidRPr="00E1075D" w:rsidRDefault="00812F61" w:rsidP="00D44374">
      <w:pPr>
        <w:rPr>
          <w:bCs/>
          <w:noProof/>
          <w:lang w:val="en-GB"/>
        </w:rPr>
      </w:pPr>
      <w:r w:rsidRPr="00E1075D">
        <w:rPr>
          <w:bCs/>
          <w:noProof/>
          <w:lang w:val="en-GB"/>
        </w:rPr>
        <w:t xml:space="preserve">Pacientiem ar smagu vai dzīvībai bīstamu </w:t>
      </w:r>
      <w:r w:rsidR="00D44374" w:rsidRPr="00E1075D">
        <w:rPr>
          <w:bCs/>
          <w:noProof/>
          <w:lang w:val="en-GB"/>
        </w:rPr>
        <w:t xml:space="preserve">CRS </w:t>
      </w:r>
      <w:r w:rsidRPr="00E1075D">
        <w:rPr>
          <w:bCs/>
          <w:noProof/>
          <w:lang w:val="en-GB"/>
        </w:rPr>
        <w:t xml:space="preserve">bieži ir citopēnija vai paaugstināts </w:t>
      </w:r>
      <w:r w:rsidR="00D44374" w:rsidRPr="00E1075D">
        <w:rPr>
          <w:bCs/>
          <w:noProof/>
          <w:lang w:val="en-GB"/>
        </w:rPr>
        <w:t>A</w:t>
      </w:r>
      <w:r w:rsidR="00FE051B" w:rsidRPr="00E1075D">
        <w:rPr>
          <w:bCs/>
          <w:noProof/>
          <w:lang w:val="en-GB"/>
        </w:rPr>
        <w:t>L</w:t>
      </w:r>
      <w:r w:rsidRPr="00E1075D">
        <w:rPr>
          <w:bCs/>
          <w:noProof/>
          <w:lang w:val="en-GB"/>
        </w:rPr>
        <w:t>A</w:t>
      </w:r>
      <w:r w:rsidR="00D44374" w:rsidRPr="00E1075D">
        <w:rPr>
          <w:bCs/>
          <w:noProof/>
          <w:lang w:val="en-GB"/>
        </w:rPr>
        <w:t xml:space="preserve">T </w:t>
      </w:r>
      <w:r w:rsidRPr="00E1075D">
        <w:rPr>
          <w:bCs/>
          <w:noProof/>
          <w:lang w:val="en-GB"/>
        </w:rPr>
        <w:t xml:space="preserve">vai </w:t>
      </w:r>
      <w:r w:rsidR="00D44374" w:rsidRPr="00E1075D">
        <w:rPr>
          <w:bCs/>
          <w:noProof/>
          <w:lang w:val="en-GB"/>
        </w:rPr>
        <w:t>A</w:t>
      </w:r>
      <w:r w:rsidR="00FE051B" w:rsidRPr="00E1075D">
        <w:rPr>
          <w:bCs/>
          <w:noProof/>
          <w:lang w:val="en-GB"/>
        </w:rPr>
        <w:t>S</w:t>
      </w:r>
      <w:r w:rsidRPr="00E1075D">
        <w:rPr>
          <w:bCs/>
          <w:noProof/>
          <w:lang w:val="en-GB"/>
        </w:rPr>
        <w:t>A</w:t>
      </w:r>
      <w:r w:rsidR="00D44374" w:rsidRPr="00E1075D">
        <w:rPr>
          <w:bCs/>
          <w:noProof/>
          <w:lang w:val="en-GB"/>
        </w:rPr>
        <w:t xml:space="preserve">T </w:t>
      </w:r>
      <w:r w:rsidRPr="00E1075D">
        <w:rPr>
          <w:bCs/>
          <w:noProof/>
          <w:lang w:val="en-GB"/>
        </w:rPr>
        <w:t xml:space="preserve">līmenis ļaundabīgas blakusslimības, iepriekš saņemtas limfocītu aktivitāti nomācošas ķīmijterapijas vai </w:t>
      </w:r>
      <w:r w:rsidR="00D44374" w:rsidRPr="00E1075D">
        <w:rPr>
          <w:bCs/>
          <w:noProof/>
          <w:lang w:val="en-GB"/>
        </w:rPr>
        <w:t>CRS</w:t>
      </w:r>
      <w:r w:rsidRPr="00E1075D">
        <w:rPr>
          <w:bCs/>
          <w:noProof/>
          <w:lang w:val="en-GB"/>
        </w:rPr>
        <w:t xml:space="preserve"> dēļ</w:t>
      </w:r>
      <w:r w:rsidR="00D44374" w:rsidRPr="00E1075D">
        <w:rPr>
          <w:bCs/>
          <w:noProof/>
          <w:lang w:val="en-GB"/>
        </w:rPr>
        <w:t>.</w:t>
      </w:r>
    </w:p>
    <w:p w14:paraId="3B92EFA7" w14:textId="77777777" w:rsidR="00D44374" w:rsidRDefault="00D44374">
      <w:pPr>
        <w:autoSpaceDE w:val="0"/>
      </w:pPr>
    </w:p>
    <w:p w14:paraId="0F00B6E2" w14:textId="77777777" w:rsidR="00784D05" w:rsidRDefault="00784D05" w:rsidP="00707120">
      <w:pPr>
        <w:keepNext/>
        <w:autoSpaceDE w:val="0"/>
        <w:rPr>
          <w:rFonts w:eastAsia="SimSun"/>
          <w:bCs/>
          <w:szCs w:val="22"/>
          <w:u w:val="single"/>
          <w:lang w:val="lv-LV"/>
        </w:rPr>
      </w:pPr>
      <w:r>
        <w:rPr>
          <w:rFonts w:eastAsia="SimSun"/>
          <w:bCs/>
          <w:szCs w:val="22"/>
          <w:u w:val="single"/>
          <w:lang w:val="lv-LV"/>
        </w:rPr>
        <w:t>Īpašas pacientu grupas</w:t>
      </w:r>
    </w:p>
    <w:p w14:paraId="69B66472" w14:textId="77777777" w:rsidR="007E17F8" w:rsidRDefault="007E17F8" w:rsidP="00707120">
      <w:pPr>
        <w:keepNext/>
        <w:rPr>
          <w:ins w:id="20" w:author="Author"/>
          <w:i/>
          <w:szCs w:val="22"/>
          <w:lang w:val="lv-LV"/>
        </w:rPr>
      </w:pPr>
    </w:p>
    <w:p w14:paraId="0559CFE8" w14:textId="23CC250F" w:rsidR="000B238A" w:rsidRDefault="000B238A" w:rsidP="00707120">
      <w:pPr>
        <w:keepNext/>
        <w:rPr>
          <w:szCs w:val="22"/>
          <w:lang w:val="lv-LV"/>
        </w:rPr>
      </w:pPr>
      <w:r>
        <w:rPr>
          <w:i/>
          <w:szCs w:val="22"/>
          <w:lang w:val="lv-LV"/>
        </w:rPr>
        <w:t>Gados vecāki cilvēki</w:t>
      </w:r>
      <w:r>
        <w:rPr>
          <w:szCs w:val="22"/>
          <w:lang w:val="lv-LV"/>
        </w:rPr>
        <w:t xml:space="preserve"> </w:t>
      </w:r>
    </w:p>
    <w:p w14:paraId="6189A55C" w14:textId="6B69CBD5" w:rsidR="000B238A" w:rsidRDefault="000B238A" w:rsidP="000B238A">
      <w:pPr>
        <w:rPr>
          <w:szCs w:val="22"/>
          <w:lang w:val="lv-LV"/>
        </w:rPr>
      </w:pPr>
      <w:r>
        <w:rPr>
          <w:szCs w:val="22"/>
          <w:lang w:val="lv-LV"/>
        </w:rPr>
        <w:t>Gados vecākiem pacientiem no</w:t>
      </w:r>
      <w:r w:rsidR="000C6C88">
        <w:rPr>
          <w:szCs w:val="22"/>
          <w:lang w:val="lv-LV"/>
        </w:rPr>
        <w:t> </w:t>
      </w:r>
      <w:r>
        <w:rPr>
          <w:szCs w:val="22"/>
          <w:lang w:val="lv-LV"/>
        </w:rPr>
        <w:t xml:space="preserve">˃ 65 gadu vecuma devas pielāgošana nav nepieciešama. </w:t>
      </w:r>
    </w:p>
    <w:p w14:paraId="7899AF75" w14:textId="77777777" w:rsidR="000B238A" w:rsidRDefault="000B238A" w:rsidP="000B238A">
      <w:pPr>
        <w:rPr>
          <w:szCs w:val="22"/>
          <w:lang w:val="lv-LV"/>
        </w:rPr>
      </w:pPr>
    </w:p>
    <w:p w14:paraId="3AED1111" w14:textId="77777777" w:rsidR="000B238A" w:rsidRDefault="000B238A" w:rsidP="00707120">
      <w:pPr>
        <w:keepNext/>
        <w:rPr>
          <w:szCs w:val="22"/>
          <w:lang w:val="lv-LV"/>
        </w:rPr>
      </w:pPr>
      <w:r>
        <w:rPr>
          <w:i/>
          <w:szCs w:val="22"/>
          <w:lang w:val="lv-LV"/>
        </w:rPr>
        <w:t>Nieru darbības traucējumi</w:t>
      </w:r>
      <w:r>
        <w:rPr>
          <w:szCs w:val="22"/>
          <w:lang w:val="lv-LV"/>
        </w:rPr>
        <w:t xml:space="preserve"> </w:t>
      </w:r>
    </w:p>
    <w:p w14:paraId="33B492DE" w14:textId="77777777" w:rsidR="000B238A" w:rsidRDefault="000B238A" w:rsidP="000B238A">
      <w:pPr>
        <w:rPr>
          <w:szCs w:val="22"/>
          <w:lang w:val="lv-LV"/>
        </w:rPr>
      </w:pPr>
      <w:r>
        <w:rPr>
          <w:szCs w:val="22"/>
          <w:lang w:val="lv-LV"/>
        </w:rPr>
        <w:t>Pacientiem ar viegliem nieru darbības traucējumiem devas pielāgošana nav nepieciešama. Pacientiem ar vidēji smagiem un smagiem nieru darbības traucējumiem tocilizumaba lietošana nav pētīta (skatīt 5.2. apakšpunktu). Šiem pacientiem rūpīgi jākontrolē nieru darbība.</w:t>
      </w:r>
    </w:p>
    <w:p w14:paraId="31731263" w14:textId="77777777" w:rsidR="000B238A" w:rsidRDefault="000B238A" w:rsidP="000B238A">
      <w:pPr>
        <w:rPr>
          <w:szCs w:val="22"/>
          <w:lang w:val="lv-LV"/>
        </w:rPr>
      </w:pPr>
    </w:p>
    <w:p w14:paraId="26951B3C" w14:textId="77777777" w:rsidR="000B238A" w:rsidRDefault="000B238A" w:rsidP="000B238A">
      <w:pPr>
        <w:rPr>
          <w:szCs w:val="22"/>
          <w:lang w:val="lv-LV"/>
        </w:rPr>
      </w:pPr>
      <w:r>
        <w:rPr>
          <w:i/>
          <w:szCs w:val="22"/>
          <w:lang w:val="lv-LV"/>
        </w:rPr>
        <w:t>Aknu darbības traucējumi</w:t>
      </w:r>
    </w:p>
    <w:p w14:paraId="41429A46" w14:textId="77777777" w:rsidR="000B238A" w:rsidRPr="00BB6D26" w:rsidRDefault="000B238A" w:rsidP="000B238A">
      <w:pPr>
        <w:rPr>
          <w:szCs w:val="22"/>
          <w:lang w:val="lv-LV"/>
        </w:rPr>
      </w:pPr>
      <w:r>
        <w:rPr>
          <w:szCs w:val="22"/>
          <w:lang w:val="lv-LV"/>
        </w:rPr>
        <w:t>Tocilizumabs nav pētīts pacientiem ar aknu darbības traucējumiem, tādēļ ieteikumus par devu nav iespējams sniegt.</w:t>
      </w:r>
    </w:p>
    <w:p w14:paraId="2974AE15" w14:textId="77777777" w:rsidR="009156C0" w:rsidRPr="00707120" w:rsidRDefault="009156C0">
      <w:pPr>
        <w:autoSpaceDE w:val="0"/>
        <w:rPr>
          <w:rFonts w:eastAsia="SimSun"/>
          <w:bCs/>
          <w:szCs w:val="22"/>
          <w:lang w:val="lv-LV"/>
        </w:rPr>
      </w:pPr>
    </w:p>
    <w:p w14:paraId="7C471505" w14:textId="77777777" w:rsidR="00784D05" w:rsidRDefault="00784D05" w:rsidP="002C6D2D">
      <w:pPr>
        <w:keepNext/>
        <w:rPr>
          <w:rFonts w:eastAsia="SimSun"/>
          <w:i/>
          <w:szCs w:val="22"/>
          <w:lang w:val="lv-LV"/>
        </w:rPr>
      </w:pPr>
      <w:r>
        <w:rPr>
          <w:rFonts w:eastAsia="SimSun"/>
          <w:i/>
          <w:szCs w:val="22"/>
          <w:lang w:val="lv-LV"/>
        </w:rPr>
        <w:t>Pediatriskā populācija</w:t>
      </w:r>
    </w:p>
    <w:p w14:paraId="33A60583" w14:textId="77777777" w:rsidR="00784D05" w:rsidRPr="00707120" w:rsidRDefault="00784D05" w:rsidP="002C6D2D">
      <w:pPr>
        <w:keepNext/>
        <w:rPr>
          <w:szCs w:val="22"/>
          <w:u w:val="single"/>
          <w:lang w:val="lv-LV"/>
        </w:rPr>
      </w:pPr>
      <w:r w:rsidRPr="00707120">
        <w:rPr>
          <w:i/>
          <w:iCs/>
          <w:szCs w:val="22"/>
          <w:u w:val="single"/>
          <w:lang w:val="lv-LV"/>
        </w:rPr>
        <w:t>Pacienti ar sJIA</w:t>
      </w:r>
    </w:p>
    <w:p w14:paraId="203460C9" w14:textId="76A1CCAE" w:rsidR="00784D05" w:rsidRDefault="00784D05">
      <w:pPr>
        <w:rPr>
          <w:szCs w:val="22"/>
          <w:lang w:val="lv-LV"/>
        </w:rPr>
      </w:pPr>
      <w:r>
        <w:rPr>
          <w:szCs w:val="22"/>
          <w:lang w:val="lv-LV"/>
        </w:rPr>
        <w:t>Pacientiem, kas vecāki par 2</w:t>
      </w:r>
      <w:r w:rsidR="000B238A">
        <w:rPr>
          <w:szCs w:val="22"/>
          <w:lang w:val="lv-LV"/>
        </w:rPr>
        <w:t> </w:t>
      </w:r>
      <w:r>
        <w:rPr>
          <w:szCs w:val="22"/>
          <w:lang w:val="lv-LV"/>
        </w:rPr>
        <w:t>gadiem, kuri sver 30 kg vai vairāk, ieteicamā deva ir 8 mg/kg ik pēc divām nedēļām, bet pacientiem, kuri sver mazāk par 30 kg, tā ir 12 mg/kg ik pēc divām nedēļām. Šīs devas lielum</w:t>
      </w:r>
      <w:r w:rsidR="000C6C88">
        <w:rPr>
          <w:szCs w:val="22"/>
          <w:lang w:val="lv-LV"/>
        </w:rPr>
        <w:t>s</w:t>
      </w:r>
      <w:r>
        <w:rPr>
          <w:szCs w:val="22"/>
          <w:lang w:val="lv-LV"/>
        </w:rPr>
        <w:t xml:space="preserve"> jāaprēķina katrā ievadīšanas reizē, ņemot vērā pacienta ķermeņa masu. Dev</w:t>
      </w:r>
      <w:r w:rsidR="000C6C88">
        <w:rPr>
          <w:szCs w:val="22"/>
          <w:lang w:val="lv-LV"/>
        </w:rPr>
        <w:t>u</w:t>
      </w:r>
      <w:r>
        <w:rPr>
          <w:szCs w:val="22"/>
          <w:lang w:val="lv-LV"/>
        </w:rPr>
        <w:t xml:space="preserve"> </w:t>
      </w:r>
      <w:r w:rsidR="004969FE">
        <w:rPr>
          <w:szCs w:val="22"/>
          <w:lang w:val="lv-LV"/>
        </w:rPr>
        <w:t xml:space="preserve">drīkst </w:t>
      </w:r>
      <w:r w:rsidR="000C6C88">
        <w:rPr>
          <w:szCs w:val="22"/>
          <w:lang w:val="lv-LV"/>
        </w:rPr>
        <w:t xml:space="preserve">mainīt, </w:t>
      </w:r>
      <w:r>
        <w:rPr>
          <w:szCs w:val="22"/>
          <w:lang w:val="lv-LV"/>
        </w:rPr>
        <w:t xml:space="preserve">tikai pamatojoties uz </w:t>
      </w:r>
      <w:r w:rsidR="004969FE">
        <w:rPr>
          <w:szCs w:val="22"/>
          <w:lang w:val="lv-LV"/>
        </w:rPr>
        <w:t xml:space="preserve">konsekventām </w:t>
      </w:r>
      <w:r>
        <w:rPr>
          <w:szCs w:val="22"/>
          <w:lang w:val="lv-LV"/>
        </w:rPr>
        <w:t>pacienta ķermeņa masas izmaiņām laika gaitā.</w:t>
      </w:r>
    </w:p>
    <w:p w14:paraId="1471BAD1" w14:textId="77777777" w:rsidR="00784D05" w:rsidRDefault="00784D05">
      <w:pPr>
        <w:rPr>
          <w:szCs w:val="22"/>
          <w:lang w:val="lv-LV"/>
        </w:rPr>
      </w:pPr>
    </w:p>
    <w:p w14:paraId="6A18AC74" w14:textId="38362DFE" w:rsidR="00784D05" w:rsidRDefault="00066C7F">
      <w:pPr>
        <w:rPr>
          <w:szCs w:val="22"/>
          <w:lang w:val="lv-LV"/>
        </w:rPr>
      </w:pPr>
      <w:r>
        <w:rPr>
          <w:szCs w:val="22"/>
          <w:lang w:val="lv-LV"/>
        </w:rPr>
        <w:t>Intravenoz</w:t>
      </w:r>
      <w:r w:rsidR="001068FF">
        <w:rPr>
          <w:szCs w:val="22"/>
          <w:lang w:val="lv-LV"/>
        </w:rPr>
        <w:t>i ievadīta</w:t>
      </w:r>
      <w:r>
        <w:rPr>
          <w:szCs w:val="22"/>
          <w:lang w:val="lv-LV"/>
        </w:rPr>
        <w:t xml:space="preserve"> </w:t>
      </w:r>
      <w:r w:rsidR="000B238A" w:rsidRPr="005670F3">
        <w:rPr>
          <w:lang w:val="lv-LV"/>
        </w:rPr>
        <w:t>tocilizumaba</w:t>
      </w:r>
      <w:r w:rsidR="00784D05">
        <w:rPr>
          <w:szCs w:val="22"/>
          <w:lang w:val="lv-LV"/>
        </w:rPr>
        <w:t xml:space="preserve"> lietošanas drošums un efektivitāte, lietojot bērniem vecumā līdz 2 gadiem, nav pierādīta. </w:t>
      </w:r>
      <w:r w:rsidR="000B238A">
        <w:rPr>
          <w:szCs w:val="22"/>
          <w:lang w:val="lv-LV"/>
        </w:rPr>
        <w:t>Pašlaik pieejamie dati ir aprakstīti 4.8., 5.1. un 5.2. apakšpunktā, bet ieteikumus par devu nav iespējams</w:t>
      </w:r>
      <w:r w:rsidR="00E503B2">
        <w:rPr>
          <w:szCs w:val="22"/>
          <w:lang w:val="lv-LV"/>
        </w:rPr>
        <w:t xml:space="preserve"> sniegt</w:t>
      </w:r>
      <w:r w:rsidR="000B238A">
        <w:rPr>
          <w:szCs w:val="22"/>
          <w:lang w:val="lv-LV"/>
        </w:rPr>
        <w:t xml:space="preserve">. </w:t>
      </w:r>
    </w:p>
    <w:p w14:paraId="4F9CD7C0" w14:textId="77777777" w:rsidR="00784D05" w:rsidRDefault="00784D05">
      <w:pPr>
        <w:rPr>
          <w:szCs w:val="22"/>
          <w:lang w:val="lv-LV"/>
        </w:rPr>
      </w:pPr>
    </w:p>
    <w:p w14:paraId="4F0DB305" w14:textId="77777777" w:rsidR="00784D05" w:rsidRDefault="00784D05">
      <w:pPr>
        <w:rPr>
          <w:szCs w:val="22"/>
          <w:lang w:val="lv-LV"/>
        </w:rPr>
      </w:pPr>
      <w:r>
        <w:rPr>
          <w:szCs w:val="22"/>
          <w:lang w:val="lv-LV"/>
        </w:rPr>
        <w:t>Pacientiem ar sJIA laboratorisko rādītāju noviržu gadījumos ieteicams ārstēšanu ar tocilizumabu pārtraukt, kā norādīts turpmāk tabulās. Ja tas ir piemēroti, jāmaina vienlaikus lietotā MTX un/vai citu zāļu deva vai to lietošana jāpārtrauc, un, kamēr nav novērtēta klīniskā situācija, tocilizumaba lietošana uz laiku jāpārtrauc. Tā kā pastāv daudz blakusslimību, kas var ietekmēt sJIA laboratoriskos rādītājus, lēmums par tocilizumaba lietošanas pārtraukšanu laboratorisko rādītāju noviržu dēļ jāpamato ar attiecīgā pacienta medicīnisko izmeklējumu rezultātiem.</w:t>
      </w:r>
    </w:p>
    <w:p w14:paraId="5B99B196" w14:textId="77777777" w:rsidR="00784D05" w:rsidRDefault="00784D05">
      <w:pPr>
        <w:rPr>
          <w:szCs w:val="22"/>
          <w:lang w:val="lv-LV"/>
        </w:rPr>
      </w:pPr>
    </w:p>
    <w:p w14:paraId="323EC17A" w14:textId="3710B8A9" w:rsidR="00784D05" w:rsidRPr="000B238A" w:rsidRDefault="009750F5" w:rsidP="00707120">
      <w:pPr>
        <w:pStyle w:val="ListParagraph"/>
        <w:keepNext/>
        <w:keepLines/>
        <w:ind w:left="567" w:hanging="567"/>
        <w:rPr>
          <w:szCs w:val="22"/>
          <w:lang w:val="lv-LV"/>
        </w:rPr>
      </w:pPr>
      <w:r>
        <w:rPr>
          <w:lang w:val="nb-NO"/>
        </w:rPr>
        <w:sym w:font="Symbol" w:char="F0B7"/>
      </w:r>
      <w:r>
        <w:rPr>
          <w:lang w:val="nb-NO"/>
        </w:rPr>
        <w:tab/>
      </w:r>
      <w:r w:rsidR="00784D05" w:rsidRPr="000B238A">
        <w:rPr>
          <w:szCs w:val="22"/>
          <w:lang w:val="lv-LV"/>
        </w:rPr>
        <w:t xml:space="preserve">Aknu enzīmu </w:t>
      </w:r>
      <w:ins w:id="21" w:author="Regulatory LV" w:date="2026-03-17T11:11:00Z">
        <w:r w:rsidR="00514E28">
          <w:rPr>
            <w:szCs w:val="22"/>
            <w:lang w:val="lv-LV"/>
          </w:rPr>
          <w:t xml:space="preserve">līmeņa </w:t>
        </w:r>
      </w:ins>
      <w:r w:rsidR="00784D05" w:rsidRPr="000B238A">
        <w:rPr>
          <w:szCs w:val="22"/>
          <w:lang w:val="lv-LV"/>
        </w:rPr>
        <w:t>patoloģi</w:t>
      </w:r>
      <w:ins w:id="22" w:author="Regulatory LV" w:date="2026-03-17T11:11:00Z">
        <w:r w:rsidR="00514E28">
          <w:rPr>
            <w:szCs w:val="22"/>
            <w:lang w:val="lv-LV"/>
          </w:rPr>
          <w:t>sk</w:t>
        </w:r>
      </w:ins>
      <w:del w:id="23" w:author="Regulatory LV" w:date="2026-03-17T11:11:00Z">
        <w:r w:rsidR="00784D05" w:rsidRPr="000B238A" w:rsidDel="00514E28">
          <w:rPr>
            <w:szCs w:val="22"/>
            <w:lang w:val="lv-LV"/>
          </w:rPr>
          <w:delText>j</w:delText>
        </w:r>
      </w:del>
      <w:r w:rsidR="00784D05" w:rsidRPr="000B238A">
        <w:rPr>
          <w:szCs w:val="22"/>
          <w:lang w:val="lv-LV"/>
        </w:rPr>
        <w:t>as</w:t>
      </w:r>
      <w:ins w:id="24" w:author="Regulatory LV" w:date="2026-03-17T11:11:00Z">
        <w:r w:rsidR="00514E28">
          <w:rPr>
            <w:szCs w:val="22"/>
            <w:lang w:val="lv-LV"/>
          </w:rPr>
          <w:t xml:space="preserve"> izmaiņas</w:t>
        </w:r>
      </w:ins>
    </w:p>
    <w:p w14:paraId="2C913412" w14:textId="77777777" w:rsidR="00784D05" w:rsidRDefault="00784D05">
      <w:pPr>
        <w:keepNext/>
        <w:keepLines/>
        <w:rPr>
          <w:szCs w:val="22"/>
          <w:lang w:val="lv-LV"/>
        </w:rPr>
      </w:pPr>
    </w:p>
    <w:tbl>
      <w:tblPr>
        <w:tblW w:w="9072" w:type="dxa"/>
        <w:tblInd w:w="-5" w:type="dxa"/>
        <w:tblLayout w:type="fixed"/>
        <w:tblLook w:val="0000" w:firstRow="0" w:lastRow="0" w:firstColumn="0" w:lastColumn="0" w:noHBand="0" w:noVBand="0"/>
      </w:tblPr>
      <w:tblGrid>
        <w:gridCol w:w="2614"/>
        <w:gridCol w:w="6458"/>
      </w:tblGrid>
      <w:tr w:rsidR="00784D05" w:rsidRPr="000B238A" w14:paraId="41082164" w14:textId="77777777" w:rsidTr="00707120">
        <w:trPr>
          <w:tblHeader/>
        </w:trPr>
        <w:tc>
          <w:tcPr>
            <w:tcW w:w="2614" w:type="dxa"/>
            <w:tcBorders>
              <w:top w:val="single" w:sz="4" w:space="0" w:color="000000"/>
              <w:left w:val="single" w:sz="4" w:space="0" w:color="000000"/>
              <w:bottom w:val="single" w:sz="4" w:space="0" w:color="000000"/>
            </w:tcBorders>
          </w:tcPr>
          <w:p w14:paraId="59876CB5" w14:textId="77777777" w:rsidR="00784D05" w:rsidRPr="000B238A" w:rsidRDefault="00784D05">
            <w:pPr>
              <w:pStyle w:val="TextTi12"/>
              <w:keepNext/>
              <w:keepLines/>
              <w:jc w:val="center"/>
              <w:rPr>
                <w:bCs/>
                <w:sz w:val="22"/>
                <w:szCs w:val="22"/>
              </w:rPr>
            </w:pPr>
            <w:r w:rsidRPr="00707120">
              <w:rPr>
                <w:bCs/>
                <w:sz w:val="22"/>
                <w:szCs w:val="22"/>
              </w:rPr>
              <w:t>Laboratorisko izmeklējumu rezultāti</w:t>
            </w:r>
          </w:p>
        </w:tc>
        <w:tc>
          <w:tcPr>
            <w:tcW w:w="6458" w:type="dxa"/>
            <w:tcBorders>
              <w:top w:val="single" w:sz="4" w:space="0" w:color="000000"/>
              <w:left w:val="single" w:sz="4" w:space="0" w:color="000000"/>
              <w:bottom w:val="single" w:sz="4" w:space="0" w:color="000000"/>
              <w:right w:val="single" w:sz="4" w:space="0" w:color="000000"/>
            </w:tcBorders>
          </w:tcPr>
          <w:p w14:paraId="3B62313F" w14:textId="77777777" w:rsidR="00784D05" w:rsidRPr="000B238A" w:rsidRDefault="00784D05">
            <w:pPr>
              <w:pStyle w:val="TextTi12"/>
              <w:keepNext/>
              <w:keepLines/>
              <w:jc w:val="center"/>
              <w:rPr>
                <w:bCs/>
                <w:sz w:val="22"/>
                <w:szCs w:val="22"/>
              </w:rPr>
            </w:pPr>
            <w:r w:rsidRPr="000B238A">
              <w:rPr>
                <w:bCs/>
                <w:sz w:val="22"/>
                <w:szCs w:val="22"/>
              </w:rPr>
              <w:t>Rīcība</w:t>
            </w:r>
          </w:p>
        </w:tc>
      </w:tr>
      <w:tr w:rsidR="00784D05" w:rsidRPr="009136E0" w14:paraId="14CDC9E5" w14:textId="77777777" w:rsidTr="00707120">
        <w:tc>
          <w:tcPr>
            <w:tcW w:w="2614" w:type="dxa"/>
            <w:tcBorders>
              <w:top w:val="single" w:sz="4" w:space="0" w:color="000000"/>
              <w:left w:val="single" w:sz="4" w:space="0" w:color="000000"/>
              <w:bottom w:val="single" w:sz="4" w:space="0" w:color="000000"/>
            </w:tcBorders>
          </w:tcPr>
          <w:p w14:paraId="6FF5DB8E" w14:textId="76CCBAE9" w:rsidR="00784D05" w:rsidRDefault="000B238A">
            <w:pPr>
              <w:pStyle w:val="TextTi12"/>
              <w:keepNext/>
              <w:keepLines/>
              <w:jc w:val="left"/>
              <w:rPr>
                <w:sz w:val="22"/>
                <w:szCs w:val="22"/>
                <w:lang w:val="lv-LV"/>
              </w:rPr>
            </w:pPr>
            <w:r>
              <w:rPr>
                <w:sz w:val="22"/>
                <w:szCs w:val="22"/>
              </w:rPr>
              <w:t>˃ </w:t>
            </w:r>
            <w:r w:rsidR="00784D05">
              <w:rPr>
                <w:sz w:val="22"/>
                <w:szCs w:val="22"/>
              </w:rPr>
              <w:t>1</w:t>
            </w:r>
            <w:r>
              <w:rPr>
                <w:sz w:val="22"/>
                <w:szCs w:val="22"/>
              </w:rPr>
              <w:noBreakHyphen/>
            </w:r>
            <w:r w:rsidR="00784D05">
              <w:rPr>
                <w:sz w:val="22"/>
                <w:szCs w:val="22"/>
              </w:rPr>
              <w:t>3</w:t>
            </w:r>
            <w:r>
              <w:rPr>
                <w:sz w:val="22"/>
                <w:szCs w:val="22"/>
              </w:rPr>
              <w:t> reizes</w:t>
            </w:r>
            <w:r w:rsidR="00784D05">
              <w:rPr>
                <w:sz w:val="22"/>
                <w:szCs w:val="22"/>
              </w:rPr>
              <w:t xml:space="preserve"> pārsniedz NAR</w:t>
            </w:r>
          </w:p>
        </w:tc>
        <w:tc>
          <w:tcPr>
            <w:tcW w:w="6458" w:type="dxa"/>
            <w:tcBorders>
              <w:top w:val="single" w:sz="4" w:space="0" w:color="000000"/>
              <w:left w:val="single" w:sz="4" w:space="0" w:color="000000"/>
              <w:bottom w:val="single" w:sz="4" w:space="0" w:color="000000"/>
              <w:right w:val="single" w:sz="4" w:space="0" w:color="000000"/>
            </w:tcBorders>
          </w:tcPr>
          <w:p w14:paraId="45F4DBCF" w14:textId="77777777" w:rsidR="00784D05" w:rsidRDefault="00784D05">
            <w:pPr>
              <w:pStyle w:val="TextTi12"/>
              <w:keepNext/>
              <w:keepLines/>
              <w:rPr>
                <w:sz w:val="22"/>
                <w:szCs w:val="22"/>
                <w:lang w:val="lv-LV"/>
              </w:rPr>
            </w:pPr>
            <w:r>
              <w:rPr>
                <w:sz w:val="22"/>
                <w:szCs w:val="22"/>
                <w:lang w:val="lv-LV"/>
              </w:rPr>
              <w:t>Ja nepieciešams, jāmaina vienlaikus lietotā MTX</w:t>
            </w:r>
            <w:r>
              <w:rPr>
                <w:rFonts w:eastAsia="PMingLiU"/>
                <w:sz w:val="22"/>
                <w:szCs w:val="22"/>
                <w:lang w:val="lv-LV"/>
              </w:rPr>
              <w:t xml:space="preserve"> deva.</w:t>
            </w:r>
          </w:p>
          <w:p w14:paraId="5DA16C8A" w14:textId="4BD9F1B6" w:rsidR="00784D05" w:rsidRDefault="00784D05" w:rsidP="00707120">
            <w:pPr>
              <w:pStyle w:val="TextTi12"/>
              <w:keepNext/>
              <w:keepLines/>
              <w:jc w:val="left"/>
              <w:rPr>
                <w:sz w:val="22"/>
                <w:szCs w:val="22"/>
                <w:lang w:val="lv-LV"/>
              </w:rPr>
            </w:pPr>
            <w:r>
              <w:rPr>
                <w:sz w:val="22"/>
                <w:szCs w:val="22"/>
                <w:lang w:val="lv-LV"/>
              </w:rPr>
              <w:t xml:space="preserve">Gadījumos, kad pieaugums saglabājas šajās robežās, </w:t>
            </w:r>
            <w:r w:rsidR="000B238A" w:rsidRPr="00707120">
              <w:rPr>
                <w:sz w:val="22"/>
                <w:szCs w:val="22"/>
                <w:lang w:val="lv-LV"/>
              </w:rPr>
              <w:t>tocilizumaba</w:t>
            </w:r>
            <w:r>
              <w:rPr>
                <w:sz w:val="22"/>
                <w:szCs w:val="22"/>
                <w:lang w:val="lv-LV"/>
              </w:rPr>
              <w:t xml:space="preserve"> lietošana ir </w:t>
            </w:r>
            <w:r w:rsidR="005670F3">
              <w:rPr>
                <w:sz w:val="22"/>
                <w:szCs w:val="22"/>
                <w:lang w:val="lv-LV"/>
              </w:rPr>
              <w:t xml:space="preserve">uz laiku </w:t>
            </w:r>
            <w:r>
              <w:rPr>
                <w:sz w:val="22"/>
                <w:szCs w:val="22"/>
                <w:lang w:val="lv-LV"/>
              </w:rPr>
              <w:t xml:space="preserve">jāpārtrauc, līdz ALAT/ASAT līmenis </w:t>
            </w:r>
            <w:r w:rsidR="00782240">
              <w:rPr>
                <w:sz w:val="22"/>
                <w:szCs w:val="22"/>
                <w:lang w:val="lv-LV"/>
              </w:rPr>
              <w:t xml:space="preserve">ir </w:t>
            </w:r>
            <w:r>
              <w:rPr>
                <w:sz w:val="22"/>
                <w:szCs w:val="22"/>
                <w:lang w:val="lv-LV"/>
              </w:rPr>
              <w:t>normalizēj</w:t>
            </w:r>
            <w:r w:rsidR="00782240">
              <w:rPr>
                <w:sz w:val="22"/>
                <w:szCs w:val="22"/>
                <w:lang w:val="lv-LV"/>
              </w:rPr>
              <w:t>ie</w:t>
            </w:r>
            <w:r>
              <w:rPr>
                <w:sz w:val="22"/>
                <w:szCs w:val="22"/>
                <w:lang w:val="lv-LV"/>
              </w:rPr>
              <w:t>s.</w:t>
            </w:r>
          </w:p>
        </w:tc>
      </w:tr>
      <w:tr w:rsidR="00784D05" w:rsidRPr="009136E0" w14:paraId="1AE9C7C4" w14:textId="77777777" w:rsidTr="00707120">
        <w:tc>
          <w:tcPr>
            <w:tcW w:w="2614" w:type="dxa"/>
            <w:tcBorders>
              <w:top w:val="single" w:sz="4" w:space="0" w:color="000000"/>
              <w:left w:val="single" w:sz="4" w:space="0" w:color="000000"/>
              <w:bottom w:val="single" w:sz="4" w:space="0" w:color="000000"/>
            </w:tcBorders>
          </w:tcPr>
          <w:p w14:paraId="35C70EEA" w14:textId="1E61E863" w:rsidR="00784D05" w:rsidRDefault="000B238A" w:rsidP="00707120">
            <w:pPr>
              <w:pStyle w:val="TextTi12"/>
              <w:keepNext/>
              <w:keepLines/>
              <w:jc w:val="left"/>
              <w:rPr>
                <w:sz w:val="22"/>
                <w:szCs w:val="22"/>
              </w:rPr>
            </w:pPr>
            <w:r>
              <w:rPr>
                <w:sz w:val="22"/>
                <w:szCs w:val="22"/>
              </w:rPr>
              <w:t>˃ </w:t>
            </w:r>
            <w:r w:rsidR="00784D05">
              <w:rPr>
                <w:sz w:val="22"/>
                <w:szCs w:val="22"/>
              </w:rPr>
              <w:t>3</w:t>
            </w:r>
            <w:r>
              <w:rPr>
                <w:sz w:val="22"/>
                <w:szCs w:val="22"/>
              </w:rPr>
              <w:noBreakHyphen/>
            </w:r>
            <w:r w:rsidR="00784D05">
              <w:rPr>
                <w:sz w:val="22"/>
                <w:szCs w:val="22"/>
              </w:rPr>
              <w:t>5</w:t>
            </w:r>
            <w:r>
              <w:rPr>
                <w:sz w:val="22"/>
                <w:szCs w:val="22"/>
              </w:rPr>
              <w:t> </w:t>
            </w:r>
            <w:r w:rsidR="00784D05">
              <w:rPr>
                <w:sz w:val="22"/>
                <w:szCs w:val="22"/>
              </w:rPr>
              <w:t>reizes pārsniedz NAR</w:t>
            </w:r>
          </w:p>
          <w:p w14:paraId="3093EDBE" w14:textId="77777777" w:rsidR="00784D05" w:rsidRDefault="00784D05">
            <w:pPr>
              <w:pStyle w:val="TextTi12"/>
              <w:keepNext/>
              <w:keepLines/>
              <w:jc w:val="left"/>
              <w:rPr>
                <w:sz w:val="22"/>
                <w:szCs w:val="22"/>
              </w:rPr>
            </w:pPr>
          </w:p>
        </w:tc>
        <w:tc>
          <w:tcPr>
            <w:tcW w:w="6458" w:type="dxa"/>
            <w:tcBorders>
              <w:top w:val="single" w:sz="4" w:space="0" w:color="000000"/>
              <w:left w:val="single" w:sz="4" w:space="0" w:color="000000"/>
              <w:bottom w:val="single" w:sz="4" w:space="0" w:color="000000"/>
              <w:right w:val="single" w:sz="4" w:space="0" w:color="000000"/>
            </w:tcBorders>
          </w:tcPr>
          <w:p w14:paraId="3614577C" w14:textId="77777777" w:rsidR="00784D05" w:rsidRDefault="00784D05">
            <w:pPr>
              <w:pStyle w:val="TextTi12"/>
              <w:keepNext/>
              <w:keepLines/>
              <w:rPr>
                <w:sz w:val="22"/>
                <w:szCs w:val="22"/>
                <w:lang w:val="lv-LV"/>
              </w:rPr>
            </w:pPr>
            <w:r>
              <w:rPr>
                <w:sz w:val="22"/>
                <w:szCs w:val="22"/>
                <w:lang w:val="lv-LV"/>
              </w:rPr>
              <w:t>Ja nepieciešams, jāmaina vienlaikus lietotā MTX</w:t>
            </w:r>
            <w:r>
              <w:rPr>
                <w:rFonts w:eastAsia="PMingLiU"/>
                <w:sz w:val="22"/>
                <w:szCs w:val="22"/>
                <w:lang w:val="lv-LV"/>
              </w:rPr>
              <w:t xml:space="preserve"> deva.</w:t>
            </w:r>
          </w:p>
          <w:p w14:paraId="7F91E421" w14:textId="1E73DC06" w:rsidR="00784D05" w:rsidRDefault="000B238A">
            <w:pPr>
              <w:pStyle w:val="TextTi12"/>
              <w:keepNext/>
              <w:keepLines/>
              <w:rPr>
                <w:sz w:val="22"/>
                <w:szCs w:val="22"/>
                <w:lang w:val="lv-LV"/>
              </w:rPr>
            </w:pPr>
            <w:r>
              <w:rPr>
                <w:sz w:val="22"/>
                <w:szCs w:val="22"/>
                <w:lang w:val="lv-LV"/>
              </w:rPr>
              <w:t xml:space="preserve">Tocilizumaba </w:t>
            </w:r>
            <w:r w:rsidR="00784D05">
              <w:rPr>
                <w:sz w:val="22"/>
                <w:szCs w:val="22"/>
                <w:lang w:val="lv-LV"/>
              </w:rPr>
              <w:t xml:space="preserve">lietošana ir </w:t>
            </w:r>
            <w:r>
              <w:rPr>
                <w:sz w:val="22"/>
                <w:szCs w:val="22"/>
                <w:lang w:val="lv-LV"/>
              </w:rPr>
              <w:t xml:space="preserve">uz laiku </w:t>
            </w:r>
            <w:r w:rsidR="00784D05">
              <w:rPr>
                <w:sz w:val="22"/>
                <w:szCs w:val="22"/>
                <w:lang w:val="lv-LV"/>
              </w:rPr>
              <w:t>jāpārtrauc, līdz NAR ir pārsniegta mazāk nekā 3</w:t>
            </w:r>
            <w:r w:rsidR="000C6C88">
              <w:rPr>
                <w:sz w:val="22"/>
                <w:szCs w:val="22"/>
                <w:lang w:val="lv-LV"/>
              </w:rPr>
              <w:t> </w:t>
            </w:r>
            <w:r w:rsidR="00784D05">
              <w:rPr>
                <w:sz w:val="22"/>
                <w:szCs w:val="22"/>
                <w:lang w:val="lv-LV"/>
              </w:rPr>
              <w:t>reizes, un jāievēro augstākminētie ieteikumi gadījumiem, ja NAR pārsniegta vairāk nekā 1</w:t>
            </w:r>
            <w:r>
              <w:rPr>
                <w:sz w:val="22"/>
                <w:szCs w:val="22"/>
                <w:lang w:val="lv-LV"/>
              </w:rPr>
              <w:noBreakHyphen/>
            </w:r>
            <w:r w:rsidR="00784D05">
              <w:rPr>
                <w:sz w:val="22"/>
                <w:szCs w:val="22"/>
                <w:lang w:val="lv-LV"/>
              </w:rPr>
              <w:t>3</w:t>
            </w:r>
            <w:r>
              <w:rPr>
                <w:sz w:val="22"/>
                <w:szCs w:val="22"/>
                <w:lang w:val="lv-LV"/>
              </w:rPr>
              <w:t> </w:t>
            </w:r>
            <w:r w:rsidR="00784D05">
              <w:rPr>
                <w:sz w:val="22"/>
                <w:szCs w:val="22"/>
                <w:lang w:val="lv-LV"/>
              </w:rPr>
              <w:t xml:space="preserve">reizes. </w:t>
            </w:r>
          </w:p>
        </w:tc>
      </w:tr>
      <w:tr w:rsidR="00784D05" w:rsidRPr="009136E0" w14:paraId="29BE7E87" w14:textId="77777777" w:rsidTr="00707120">
        <w:tc>
          <w:tcPr>
            <w:tcW w:w="2614" w:type="dxa"/>
            <w:tcBorders>
              <w:top w:val="single" w:sz="4" w:space="0" w:color="000000"/>
              <w:left w:val="single" w:sz="4" w:space="0" w:color="000000"/>
              <w:bottom w:val="single" w:sz="4" w:space="0" w:color="000000"/>
            </w:tcBorders>
          </w:tcPr>
          <w:p w14:paraId="15A174C2" w14:textId="2EC17C5C" w:rsidR="00784D05" w:rsidRDefault="000B238A">
            <w:pPr>
              <w:pStyle w:val="TextTi12"/>
              <w:keepNext/>
              <w:keepLines/>
              <w:jc w:val="left"/>
              <w:rPr>
                <w:sz w:val="22"/>
                <w:szCs w:val="22"/>
                <w:lang w:val="lv-LV"/>
              </w:rPr>
            </w:pPr>
            <w:r>
              <w:rPr>
                <w:sz w:val="22"/>
                <w:szCs w:val="22"/>
              </w:rPr>
              <w:t>˃ </w:t>
            </w:r>
            <w:r w:rsidR="00784D05">
              <w:rPr>
                <w:sz w:val="22"/>
                <w:szCs w:val="22"/>
              </w:rPr>
              <w:t>5</w:t>
            </w:r>
            <w:r>
              <w:rPr>
                <w:sz w:val="22"/>
                <w:szCs w:val="22"/>
              </w:rPr>
              <w:t> </w:t>
            </w:r>
            <w:r w:rsidR="00784D05">
              <w:rPr>
                <w:sz w:val="22"/>
                <w:szCs w:val="22"/>
              </w:rPr>
              <w:t>reizes pārsniedz NAR</w:t>
            </w:r>
          </w:p>
        </w:tc>
        <w:tc>
          <w:tcPr>
            <w:tcW w:w="6458" w:type="dxa"/>
            <w:tcBorders>
              <w:top w:val="single" w:sz="4" w:space="0" w:color="000000"/>
              <w:left w:val="single" w:sz="4" w:space="0" w:color="000000"/>
              <w:bottom w:val="single" w:sz="4" w:space="0" w:color="000000"/>
              <w:right w:val="single" w:sz="4" w:space="0" w:color="000000"/>
            </w:tcBorders>
          </w:tcPr>
          <w:p w14:paraId="6E09060C" w14:textId="4FCCB388" w:rsidR="00784D05" w:rsidRDefault="000B238A" w:rsidP="00707120">
            <w:pPr>
              <w:pStyle w:val="TextTi12"/>
              <w:keepNext/>
              <w:keepLines/>
              <w:jc w:val="left"/>
              <w:rPr>
                <w:sz w:val="22"/>
                <w:szCs w:val="22"/>
                <w:lang w:val="lv-LV"/>
              </w:rPr>
            </w:pPr>
            <w:r>
              <w:rPr>
                <w:sz w:val="22"/>
                <w:szCs w:val="22"/>
                <w:lang w:val="lv-LV"/>
              </w:rPr>
              <w:t>Tocilizumaba terapija</w:t>
            </w:r>
            <w:r w:rsidR="00784D05">
              <w:rPr>
                <w:sz w:val="22"/>
                <w:szCs w:val="22"/>
                <w:lang w:val="lv-LV"/>
              </w:rPr>
              <w:t xml:space="preserve"> ir </w:t>
            </w:r>
            <w:r>
              <w:rPr>
                <w:sz w:val="22"/>
                <w:szCs w:val="22"/>
                <w:lang w:val="lv-LV"/>
              </w:rPr>
              <w:t xml:space="preserve">pilnīgi </w:t>
            </w:r>
            <w:r w:rsidR="00784D05">
              <w:rPr>
                <w:sz w:val="22"/>
                <w:szCs w:val="22"/>
                <w:lang w:val="lv-LV"/>
              </w:rPr>
              <w:t xml:space="preserve">jāpārtrauc. </w:t>
            </w:r>
          </w:p>
          <w:p w14:paraId="6B39F6D0" w14:textId="7B1047A3" w:rsidR="00784D05" w:rsidRDefault="00784D05" w:rsidP="00707120">
            <w:pPr>
              <w:pStyle w:val="TextTi12"/>
              <w:keepNext/>
              <w:keepLines/>
              <w:jc w:val="left"/>
              <w:rPr>
                <w:lang w:val="lv-LV"/>
              </w:rPr>
            </w:pPr>
            <w:r>
              <w:rPr>
                <w:sz w:val="22"/>
                <w:szCs w:val="22"/>
                <w:lang w:val="lv-LV"/>
              </w:rPr>
              <w:t xml:space="preserve">Lēmums pārtraukt </w:t>
            </w:r>
            <w:r w:rsidR="000B238A">
              <w:rPr>
                <w:sz w:val="22"/>
                <w:szCs w:val="22"/>
                <w:lang w:val="lv-LV"/>
              </w:rPr>
              <w:t>terapiju</w:t>
            </w:r>
            <w:r>
              <w:rPr>
                <w:sz w:val="22"/>
                <w:szCs w:val="22"/>
                <w:lang w:val="lv-LV"/>
              </w:rPr>
              <w:t xml:space="preserve"> sJIA gadījumā laboratorisko izmeklējumu noviržu dēļ jāpamato ar konkrētā pacienta medicīniskās izmeklēšanas rezultātiem.</w:t>
            </w:r>
          </w:p>
        </w:tc>
      </w:tr>
    </w:tbl>
    <w:p w14:paraId="0C08C95A" w14:textId="77777777" w:rsidR="00784D05" w:rsidRDefault="00784D05">
      <w:pPr>
        <w:rPr>
          <w:lang w:val="lv-LV"/>
        </w:rPr>
      </w:pPr>
    </w:p>
    <w:p w14:paraId="48214009" w14:textId="224FDB9E" w:rsidR="00784D05" w:rsidRPr="000B238A" w:rsidRDefault="009750F5" w:rsidP="00707120">
      <w:pPr>
        <w:pStyle w:val="ListParagraph"/>
        <w:keepNext/>
        <w:ind w:left="567" w:hanging="567"/>
        <w:rPr>
          <w:szCs w:val="22"/>
          <w:lang w:val="lv-LV"/>
        </w:rPr>
      </w:pPr>
      <w:r>
        <w:rPr>
          <w:lang w:val="nb-NO"/>
        </w:rPr>
        <w:sym w:font="Symbol" w:char="F0B7"/>
      </w:r>
      <w:r>
        <w:rPr>
          <w:lang w:val="nb-NO"/>
        </w:rPr>
        <w:tab/>
      </w:r>
      <w:r w:rsidR="00784D05" w:rsidRPr="000B238A">
        <w:rPr>
          <w:szCs w:val="22"/>
          <w:lang w:val="lv-LV"/>
        </w:rPr>
        <w:t>Samazināts absolūtais neitrofilo leikocītu skaits (ANS)</w:t>
      </w:r>
    </w:p>
    <w:p w14:paraId="3EA277E8" w14:textId="77777777" w:rsidR="00784D05" w:rsidRDefault="00784D05" w:rsidP="00846FA5">
      <w:pPr>
        <w:keepNext/>
        <w:ind w:left="357"/>
        <w:rPr>
          <w:szCs w:val="22"/>
          <w:lang w:val="lv-LV"/>
        </w:rPr>
      </w:pPr>
    </w:p>
    <w:tbl>
      <w:tblPr>
        <w:tblW w:w="9106" w:type="dxa"/>
        <w:tblInd w:w="-5" w:type="dxa"/>
        <w:tblLayout w:type="fixed"/>
        <w:tblLook w:val="0000" w:firstRow="0" w:lastRow="0" w:firstColumn="0" w:lastColumn="0" w:noHBand="0" w:noVBand="0"/>
      </w:tblPr>
      <w:tblGrid>
        <w:gridCol w:w="2650"/>
        <w:gridCol w:w="6456"/>
      </w:tblGrid>
      <w:tr w:rsidR="00784D05" w:rsidRPr="000B238A" w14:paraId="7C6F6832" w14:textId="77777777" w:rsidTr="00846FA5">
        <w:tc>
          <w:tcPr>
            <w:tcW w:w="2650" w:type="dxa"/>
            <w:tcBorders>
              <w:top w:val="single" w:sz="4" w:space="0" w:color="000000"/>
              <w:left w:val="single" w:sz="4" w:space="0" w:color="000000"/>
              <w:bottom w:val="single" w:sz="4" w:space="0" w:color="000000"/>
            </w:tcBorders>
          </w:tcPr>
          <w:p w14:paraId="79DEC290" w14:textId="253CFF13" w:rsidR="00784D05" w:rsidRPr="000B238A" w:rsidRDefault="00784D05">
            <w:pPr>
              <w:pStyle w:val="TextTi12"/>
              <w:jc w:val="center"/>
              <w:rPr>
                <w:bCs/>
                <w:sz w:val="22"/>
                <w:szCs w:val="22"/>
                <w:lang w:val="lv-LV"/>
              </w:rPr>
            </w:pPr>
            <w:r w:rsidRPr="00707120">
              <w:rPr>
                <w:bCs/>
                <w:sz w:val="22"/>
                <w:szCs w:val="22"/>
                <w:lang w:val="lv-LV"/>
              </w:rPr>
              <w:t>Laboratorisko izmeklējumu rezultāti</w:t>
            </w:r>
            <w:r w:rsidRPr="00707120">
              <w:rPr>
                <w:bCs/>
                <w:sz w:val="22"/>
                <w:szCs w:val="22"/>
                <w:lang w:val="lv-LV"/>
              </w:rPr>
              <w:br/>
              <w:t>(šūnas</w:t>
            </w:r>
            <w:r w:rsidR="000B238A">
              <w:rPr>
                <w:bCs/>
                <w:sz w:val="22"/>
                <w:szCs w:val="22"/>
                <w:lang w:val="lv-LV"/>
              </w:rPr>
              <w:t> × </w:t>
            </w:r>
            <w:r w:rsidRPr="00707120">
              <w:rPr>
                <w:bCs/>
                <w:sz w:val="22"/>
                <w:szCs w:val="22"/>
                <w:lang w:val="lv-LV"/>
              </w:rPr>
              <w:t>10</w:t>
            </w:r>
            <w:r w:rsidRPr="00707120">
              <w:rPr>
                <w:bCs/>
                <w:sz w:val="22"/>
                <w:szCs w:val="22"/>
                <w:vertAlign w:val="superscript"/>
                <w:lang w:val="lv-LV"/>
              </w:rPr>
              <w:t>9</w:t>
            </w:r>
            <w:r w:rsidRPr="00707120">
              <w:rPr>
                <w:bCs/>
                <w:sz w:val="22"/>
                <w:szCs w:val="22"/>
                <w:lang w:val="lv-LV"/>
              </w:rPr>
              <w:t>/l)</w:t>
            </w:r>
          </w:p>
        </w:tc>
        <w:tc>
          <w:tcPr>
            <w:tcW w:w="6456" w:type="dxa"/>
            <w:tcBorders>
              <w:top w:val="single" w:sz="4" w:space="0" w:color="000000"/>
              <w:left w:val="single" w:sz="4" w:space="0" w:color="000000"/>
              <w:bottom w:val="single" w:sz="4" w:space="0" w:color="000000"/>
              <w:right w:val="single" w:sz="4" w:space="0" w:color="000000"/>
            </w:tcBorders>
          </w:tcPr>
          <w:p w14:paraId="71DB12DC" w14:textId="77777777" w:rsidR="00784D05" w:rsidRPr="000B238A" w:rsidRDefault="00784D05">
            <w:pPr>
              <w:pStyle w:val="TextTi12"/>
              <w:jc w:val="center"/>
              <w:rPr>
                <w:bCs/>
                <w:sz w:val="22"/>
                <w:szCs w:val="22"/>
              </w:rPr>
            </w:pPr>
            <w:r w:rsidRPr="000B238A">
              <w:rPr>
                <w:bCs/>
                <w:sz w:val="22"/>
                <w:szCs w:val="22"/>
              </w:rPr>
              <w:t>Rīcība</w:t>
            </w:r>
          </w:p>
        </w:tc>
      </w:tr>
      <w:tr w:rsidR="00784D05" w14:paraId="1B88A9D5" w14:textId="77777777" w:rsidTr="00846FA5">
        <w:tc>
          <w:tcPr>
            <w:tcW w:w="2650" w:type="dxa"/>
            <w:tcBorders>
              <w:top w:val="single" w:sz="4" w:space="0" w:color="000000"/>
              <w:left w:val="single" w:sz="4" w:space="0" w:color="000000"/>
              <w:bottom w:val="single" w:sz="4" w:space="0" w:color="000000"/>
            </w:tcBorders>
          </w:tcPr>
          <w:p w14:paraId="58FD441E" w14:textId="30124A21" w:rsidR="00784D05" w:rsidRDefault="00784D05">
            <w:pPr>
              <w:pStyle w:val="TextTi12"/>
              <w:rPr>
                <w:sz w:val="22"/>
                <w:szCs w:val="22"/>
              </w:rPr>
            </w:pPr>
            <w:r>
              <w:rPr>
                <w:sz w:val="22"/>
                <w:szCs w:val="22"/>
              </w:rPr>
              <w:t xml:space="preserve">ANS </w:t>
            </w:r>
            <w:r w:rsidR="000B238A">
              <w:rPr>
                <w:sz w:val="22"/>
                <w:szCs w:val="22"/>
              </w:rPr>
              <w:t>ir ˃ </w:t>
            </w:r>
            <w:r>
              <w:rPr>
                <w:sz w:val="22"/>
                <w:szCs w:val="22"/>
              </w:rPr>
              <w:t xml:space="preserve">1 </w:t>
            </w:r>
          </w:p>
        </w:tc>
        <w:tc>
          <w:tcPr>
            <w:tcW w:w="6456" w:type="dxa"/>
            <w:tcBorders>
              <w:top w:val="single" w:sz="4" w:space="0" w:color="000000"/>
              <w:left w:val="single" w:sz="4" w:space="0" w:color="000000"/>
              <w:bottom w:val="single" w:sz="4" w:space="0" w:color="000000"/>
              <w:right w:val="single" w:sz="4" w:space="0" w:color="000000"/>
            </w:tcBorders>
          </w:tcPr>
          <w:p w14:paraId="072B19C7" w14:textId="48B29FBE" w:rsidR="00784D05" w:rsidRDefault="000B238A" w:rsidP="00707120">
            <w:pPr>
              <w:pStyle w:val="TextTi12"/>
              <w:jc w:val="left"/>
              <w:rPr>
                <w:sz w:val="22"/>
                <w:szCs w:val="22"/>
              </w:rPr>
            </w:pPr>
            <w:r>
              <w:rPr>
                <w:sz w:val="22"/>
                <w:szCs w:val="22"/>
              </w:rPr>
              <w:t>Deva nav jāmaina</w:t>
            </w:r>
            <w:r w:rsidR="00784D05">
              <w:rPr>
                <w:sz w:val="22"/>
                <w:szCs w:val="22"/>
              </w:rPr>
              <w:t>.</w:t>
            </w:r>
          </w:p>
        </w:tc>
      </w:tr>
      <w:tr w:rsidR="00784D05" w:rsidRPr="000B238A" w14:paraId="788905B2" w14:textId="77777777" w:rsidTr="00846FA5">
        <w:tc>
          <w:tcPr>
            <w:tcW w:w="2650" w:type="dxa"/>
            <w:tcBorders>
              <w:top w:val="single" w:sz="4" w:space="0" w:color="000000"/>
              <w:left w:val="single" w:sz="4" w:space="0" w:color="000000"/>
              <w:bottom w:val="single" w:sz="4" w:space="0" w:color="000000"/>
            </w:tcBorders>
          </w:tcPr>
          <w:p w14:paraId="64E80F3E" w14:textId="07A70801" w:rsidR="00784D05" w:rsidRDefault="00784D05">
            <w:pPr>
              <w:pStyle w:val="TextTi12"/>
              <w:rPr>
                <w:sz w:val="22"/>
                <w:szCs w:val="22"/>
              </w:rPr>
            </w:pPr>
            <w:r>
              <w:rPr>
                <w:sz w:val="22"/>
                <w:szCs w:val="22"/>
              </w:rPr>
              <w:t xml:space="preserve">ANS </w:t>
            </w:r>
            <w:r w:rsidR="000B238A">
              <w:rPr>
                <w:sz w:val="22"/>
                <w:szCs w:val="22"/>
              </w:rPr>
              <w:t xml:space="preserve">ir </w:t>
            </w:r>
            <w:r>
              <w:rPr>
                <w:sz w:val="22"/>
                <w:szCs w:val="22"/>
              </w:rPr>
              <w:t>0,5</w:t>
            </w:r>
            <w:r w:rsidR="000B238A">
              <w:rPr>
                <w:sz w:val="22"/>
                <w:szCs w:val="22"/>
              </w:rPr>
              <w:noBreakHyphen/>
            </w:r>
            <w:r>
              <w:rPr>
                <w:sz w:val="22"/>
                <w:szCs w:val="22"/>
              </w:rPr>
              <w:t>1</w:t>
            </w:r>
          </w:p>
        </w:tc>
        <w:tc>
          <w:tcPr>
            <w:tcW w:w="6456" w:type="dxa"/>
            <w:tcBorders>
              <w:top w:val="single" w:sz="4" w:space="0" w:color="000000"/>
              <w:left w:val="single" w:sz="4" w:space="0" w:color="000000"/>
              <w:bottom w:val="single" w:sz="4" w:space="0" w:color="000000"/>
              <w:right w:val="single" w:sz="4" w:space="0" w:color="000000"/>
            </w:tcBorders>
          </w:tcPr>
          <w:p w14:paraId="359DA693" w14:textId="04865B69" w:rsidR="00784D05" w:rsidRDefault="00784D05" w:rsidP="00707120">
            <w:pPr>
              <w:pStyle w:val="TextTi12"/>
              <w:spacing w:after="0" w:line="240" w:lineRule="auto"/>
              <w:jc w:val="left"/>
              <w:rPr>
                <w:sz w:val="22"/>
                <w:szCs w:val="22"/>
              </w:rPr>
            </w:pPr>
            <w:r>
              <w:rPr>
                <w:sz w:val="22"/>
                <w:szCs w:val="22"/>
              </w:rPr>
              <w:t xml:space="preserve">Uz laiku </w:t>
            </w:r>
            <w:r w:rsidR="000B238A">
              <w:rPr>
                <w:sz w:val="22"/>
                <w:szCs w:val="22"/>
              </w:rPr>
              <w:t>jā</w:t>
            </w:r>
            <w:r>
              <w:rPr>
                <w:sz w:val="22"/>
                <w:szCs w:val="22"/>
              </w:rPr>
              <w:t>pārtrau</w:t>
            </w:r>
            <w:r w:rsidR="000B238A">
              <w:rPr>
                <w:sz w:val="22"/>
                <w:szCs w:val="22"/>
              </w:rPr>
              <w:t>c</w:t>
            </w:r>
            <w:r>
              <w:rPr>
                <w:sz w:val="22"/>
                <w:szCs w:val="22"/>
              </w:rPr>
              <w:t xml:space="preserve"> </w:t>
            </w:r>
            <w:r w:rsidR="000B238A">
              <w:rPr>
                <w:sz w:val="22"/>
                <w:szCs w:val="22"/>
                <w:lang w:val="lv-LV"/>
              </w:rPr>
              <w:t>tocilizumaba</w:t>
            </w:r>
            <w:r>
              <w:rPr>
                <w:sz w:val="22"/>
                <w:szCs w:val="22"/>
              </w:rPr>
              <w:t xml:space="preserve"> lietošan</w:t>
            </w:r>
            <w:r w:rsidR="000B238A">
              <w:rPr>
                <w:sz w:val="22"/>
                <w:szCs w:val="22"/>
              </w:rPr>
              <w:t>a</w:t>
            </w:r>
            <w:r>
              <w:rPr>
                <w:sz w:val="22"/>
                <w:szCs w:val="22"/>
              </w:rPr>
              <w:t>.</w:t>
            </w:r>
          </w:p>
          <w:p w14:paraId="7C0C2233" w14:textId="1F9034C3" w:rsidR="00784D05" w:rsidRPr="000B238A" w:rsidRDefault="000B238A" w:rsidP="00707120">
            <w:pPr>
              <w:pStyle w:val="TextTi12"/>
              <w:spacing w:after="0" w:line="240" w:lineRule="auto"/>
              <w:jc w:val="left"/>
              <w:rPr>
                <w:sz w:val="22"/>
                <w:szCs w:val="22"/>
              </w:rPr>
            </w:pPr>
            <w:r w:rsidRPr="00707120">
              <w:rPr>
                <w:sz w:val="22"/>
                <w:szCs w:val="22"/>
              </w:rPr>
              <w:t>Tiklīdz</w:t>
            </w:r>
            <w:r w:rsidRPr="000B238A">
              <w:rPr>
                <w:sz w:val="22"/>
                <w:szCs w:val="22"/>
              </w:rPr>
              <w:t xml:space="preserve"> </w:t>
            </w:r>
            <w:r w:rsidR="00784D05" w:rsidRPr="000B238A">
              <w:rPr>
                <w:sz w:val="22"/>
                <w:szCs w:val="22"/>
              </w:rPr>
              <w:t>ANS palielinās līdz</w:t>
            </w:r>
            <w:r w:rsidR="000C6C88">
              <w:rPr>
                <w:sz w:val="22"/>
                <w:szCs w:val="22"/>
              </w:rPr>
              <w:t> </w:t>
            </w:r>
            <w:r w:rsidRPr="00707120">
              <w:rPr>
                <w:sz w:val="22"/>
                <w:szCs w:val="22"/>
              </w:rPr>
              <w:t>˃ 1 × </w:t>
            </w:r>
            <w:r w:rsidR="00784D05" w:rsidRPr="000B238A">
              <w:rPr>
                <w:sz w:val="22"/>
                <w:szCs w:val="22"/>
              </w:rPr>
              <w:t>10</w:t>
            </w:r>
            <w:r w:rsidR="00784D05" w:rsidRPr="000B238A">
              <w:rPr>
                <w:sz w:val="22"/>
                <w:szCs w:val="22"/>
                <w:vertAlign w:val="superscript"/>
              </w:rPr>
              <w:t>9</w:t>
            </w:r>
            <w:r w:rsidR="00784D05" w:rsidRPr="000B238A">
              <w:rPr>
                <w:sz w:val="22"/>
                <w:szCs w:val="22"/>
              </w:rPr>
              <w:t xml:space="preserve">/l, </w:t>
            </w:r>
            <w:r w:rsidRPr="000B238A">
              <w:rPr>
                <w:sz w:val="22"/>
                <w:szCs w:val="22"/>
              </w:rPr>
              <w:t xml:space="preserve">terapiju </w:t>
            </w:r>
            <w:r w:rsidR="00784D05" w:rsidRPr="000B238A">
              <w:rPr>
                <w:sz w:val="22"/>
                <w:szCs w:val="22"/>
              </w:rPr>
              <w:t>atsāk</w:t>
            </w:r>
            <w:r w:rsidRPr="000B238A">
              <w:rPr>
                <w:sz w:val="22"/>
                <w:szCs w:val="22"/>
              </w:rPr>
              <w:t>.</w:t>
            </w:r>
          </w:p>
        </w:tc>
      </w:tr>
      <w:tr w:rsidR="00784D05" w:rsidRPr="00903A29" w14:paraId="3A3E2993" w14:textId="77777777" w:rsidTr="00846FA5">
        <w:tc>
          <w:tcPr>
            <w:tcW w:w="2650" w:type="dxa"/>
            <w:tcBorders>
              <w:top w:val="single" w:sz="4" w:space="0" w:color="000000"/>
              <w:left w:val="single" w:sz="4" w:space="0" w:color="000000"/>
              <w:bottom w:val="single" w:sz="4" w:space="0" w:color="000000"/>
            </w:tcBorders>
          </w:tcPr>
          <w:p w14:paraId="3BAC7194" w14:textId="7A44EBD0" w:rsidR="00784D05" w:rsidRDefault="00784D05">
            <w:pPr>
              <w:pStyle w:val="TextTi12"/>
              <w:rPr>
                <w:sz w:val="22"/>
                <w:szCs w:val="22"/>
                <w:lang w:val="lv-LV"/>
              </w:rPr>
            </w:pPr>
            <w:r>
              <w:rPr>
                <w:sz w:val="22"/>
                <w:szCs w:val="22"/>
              </w:rPr>
              <w:t xml:space="preserve">ANS </w:t>
            </w:r>
            <w:r w:rsidR="000B238A">
              <w:rPr>
                <w:sz w:val="22"/>
                <w:szCs w:val="22"/>
              </w:rPr>
              <w:t>ir ˂</w:t>
            </w:r>
            <w:r>
              <w:rPr>
                <w:sz w:val="22"/>
                <w:szCs w:val="22"/>
              </w:rPr>
              <w:t> 0,5</w:t>
            </w:r>
          </w:p>
        </w:tc>
        <w:tc>
          <w:tcPr>
            <w:tcW w:w="6456" w:type="dxa"/>
            <w:tcBorders>
              <w:top w:val="single" w:sz="4" w:space="0" w:color="000000"/>
              <w:left w:val="single" w:sz="4" w:space="0" w:color="000000"/>
              <w:bottom w:val="single" w:sz="4" w:space="0" w:color="000000"/>
              <w:right w:val="single" w:sz="4" w:space="0" w:color="000000"/>
            </w:tcBorders>
          </w:tcPr>
          <w:p w14:paraId="618E149A" w14:textId="4E4364A6" w:rsidR="00784D05" w:rsidRDefault="000B238A" w:rsidP="00707120">
            <w:pPr>
              <w:pStyle w:val="TextTi12"/>
              <w:spacing w:after="0" w:line="240" w:lineRule="auto"/>
              <w:jc w:val="left"/>
              <w:rPr>
                <w:sz w:val="22"/>
                <w:szCs w:val="22"/>
                <w:lang w:val="lv-LV"/>
              </w:rPr>
            </w:pPr>
            <w:r>
              <w:rPr>
                <w:sz w:val="22"/>
                <w:szCs w:val="22"/>
                <w:lang w:val="lv-LV"/>
              </w:rPr>
              <w:t>Tocilizumaba</w:t>
            </w:r>
            <w:del w:id="25" w:author="Author">
              <w:r w:rsidR="000C6C88" w:rsidDel="00CE6B8D">
                <w:rPr>
                  <w:sz w:val="22"/>
                  <w:szCs w:val="22"/>
                  <w:lang w:val="lv-LV"/>
                </w:rPr>
                <w:delText xml:space="preserve"> </w:delText>
              </w:r>
            </w:del>
            <w:r w:rsidR="00784D05">
              <w:rPr>
                <w:sz w:val="22"/>
                <w:szCs w:val="22"/>
                <w:lang w:val="lv-LV"/>
              </w:rPr>
              <w:t xml:space="preserve"> </w:t>
            </w:r>
            <w:r>
              <w:rPr>
                <w:sz w:val="22"/>
                <w:szCs w:val="22"/>
                <w:lang w:val="lv-LV"/>
              </w:rPr>
              <w:t>terapija ir pilnīgi jāpārtrauc</w:t>
            </w:r>
            <w:r w:rsidR="00784D05">
              <w:rPr>
                <w:sz w:val="22"/>
                <w:szCs w:val="22"/>
                <w:lang w:val="lv-LV"/>
              </w:rPr>
              <w:t xml:space="preserve">. </w:t>
            </w:r>
          </w:p>
          <w:p w14:paraId="22B94FFC" w14:textId="5BCE2223" w:rsidR="00784D05" w:rsidRDefault="00784D05" w:rsidP="00707120">
            <w:pPr>
              <w:pStyle w:val="TextTi12"/>
              <w:spacing w:after="0" w:line="240" w:lineRule="auto"/>
              <w:jc w:val="left"/>
              <w:rPr>
                <w:lang w:val="lv-LV"/>
              </w:rPr>
            </w:pPr>
            <w:r>
              <w:rPr>
                <w:sz w:val="22"/>
                <w:szCs w:val="22"/>
                <w:lang w:val="lv-LV"/>
              </w:rPr>
              <w:t xml:space="preserve">Lēmums pārtraukt </w:t>
            </w:r>
            <w:r w:rsidR="000B238A">
              <w:rPr>
                <w:sz w:val="22"/>
                <w:szCs w:val="22"/>
                <w:lang w:val="lv-LV"/>
              </w:rPr>
              <w:t>terapiju</w:t>
            </w:r>
            <w:r>
              <w:rPr>
                <w:sz w:val="22"/>
                <w:szCs w:val="22"/>
                <w:lang w:val="lv-LV"/>
              </w:rPr>
              <w:t xml:space="preserve"> sJIA gadījumā laboratorisko izmeklējumu noviržu dēļ jāpamato ar konkrētā pacienta medicīniskās izmeklēšanas rezultātiem.</w:t>
            </w:r>
          </w:p>
        </w:tc>
      </w:tr>
    </w:tbl>
    <w:p w14:paraId="7DCDBAA0" w14:textId="77777777" w:rsidR="00784D05" w:rsidRDefault="00784D05">
      <w:pPr>
        <w:rPr>
          <w:lang w:val="lv-LV"/>
        </w:rPr>
      </w:pPr>
    </w:p>
    <w:p w14:paraId="587D7E3D" w14:textId="45428036" w:rsidR="00784D05" w:rsidRPr="000B238A" w:rsidRDefault="009750F5" w:rsidP="00707120">
      <w:pPr>
        <w:pStyle w:val="ListParagraph"/>
        <w:keepNext/>
        <w:keepLines/>
        <w:ind w:left="567" w:hanging="567"/>
        <w:rPr>
          <w:szCs w:val="22"/>
          <w:lang w:val="lv-LV"/>
        </w:rPr>
      </w:pPr>
      <w:r>
        <w:rPr>
          <w:lang w:val="nb-NO"/>
        </w:rPr>
        <w:sym w:font="Symbol" w:char="F0B7"/>
      </w:r>
      <w:r>
        <w:rPr>
          <w:lang w:val="nb-NO"/>
        </w:rPr>
        <w:tab/>
      </w:r>
      <w:r w:rsidR="00784D05" w:rsidRPr="000B238A">
        <w:rPr>
          <w:szCs w:val="22"/>
          <w:lang w:val="lv-LV"/>
        </w:rPr>
        <w:t xml:space="preserve">Samazināts trombocītu skaits </w:t>
      </w:r>
    </w:p>
    <w:p w14:paraId="6160DC93" w14:textId="77777777" w:rsidR="00784D05" w:rsidRDefault="00784D05">
      <w:pPr>
        <w:keepNext/>
        <w:ind w:left="360"/>
        <w:rPr>
          <w:szCs w:val="22"/>
          <w:lang w:val="lv-LV"/>
        </w:rPr>
      </w:pPr>
    </w:p>
    <w:tbl>
      <w:tblPr>
        <w:tblW w:w="9072" w:type="dxa"/>
        <w:tblInd w:w="-5" w:type="dxa"/>
        <w:tblLayout w:type="fixed"/>
        <w:tblLook w:val="0000" w:firstRow="0" w:lastRow="0" w:firstColumn="0" w:lastColumn="0" w:noHBand="0" w:noVBand="0"/>
      </w:tblPr>
      <w:tblGrid>
        <w:gridCol w:w="2515"/>
        <w:gridCol w:w="6557"/>
      </w:tblGrid>
      <w:tr w:rsidR="00784D05" w:rsidRPr="000B238A" w14:paraId="1BF7D21C" w14:textId="77777777" w:rsidTr="00707120">
        <w:trPr>
          <w:cantSplit/>
        </w:trPr>
        <w:tc>
          <w:tcPr>
            <w:tcW w:w="2515" w:type="dxa"/>
            <w:tcBorders>
              <w:top w:val="single" w:sz="4" w:space="0" w:color="000000"/>
              <w:left w:val="single" w:sz="4" w:space="0" w:color="000000"/>
              <w:bottom w:val="single" w:sz="4" w:space="0" w:color="000000"/>
            </w:tcBorders>
          </w:tcPr>
          <w:p w14:paraId="5BFADB40" w14:textId="06814F54" w:rsidR="00784D05" w:rsidRPr="000B238A" w:rsidRDefault="00784D05" w:rsidP="00236CD1">
            <w:pPr>
              <w:pStyle w:val="TextTi12"/>
              <w:keepNext/>
              <w:jc w:val="center"/>
              <w:rPr>
                <w:bCs/>
                <w:sz w:val="22"/>
                <w:szCs w:val="22"/>
                <w:lang w:val="lv-LV"/>
              </w:rPr>
            </w:pPr>
            <w:r w:rsidRPr="00707120">
              <w:rPr>
                <w:bCs/>
                <w:sz w:val="22"/>
                <w:szCs w:val="22"/>
                <w:lang w:val="lv-LV"/>
              </w:rPr>
              <w:t xml:space="preserve">Laboratorisko izmeklējumu rezultāti </w:t>
            </w:r>
            <w:r w:rsidRPr="00707120">
              <w:rPr>
                <w:bCs/>
                <w:sz w:val="22"/>
                <w:szCs w:val="22"/>
                <w:lang w:val="lv-LV"/>
              </w:rPr>
              <w:br/>
              <w:t>(šūnas</w:t>
            </w:r>
            <w:r w:rsidR="000B238A">
              <w:rPr>
                <w:bCs/>
                <w:sz w:val="22"/>
                <w:szCs w:val="22"/>
                <w:lang w:val="lv-LV"/>
              </w:rPr>
              <w:t> × </w:t>
            </w:r>
            <w:r w:rsidRPr="00707120">
              <w:rPr>
                <w:bCs/>
                <w:sz w:val="22"/>
                <w:szCs w:val="22"/>
                <w:lang w:val="lv-LV"/>
              </w:rPr>
              <w:t>10</w:t>
            </w:r>
            <w:r w:rsidRPr="00707120">
              <w:rPr>
                <w:bCs/>
                <w:sz w:val="22"/>
                <w:szCs w:val="22"/>
                <w:vertAlign w:val="superscript"/>
                <w:lang w:val="lv-LV"/>
              </w:rPr>
              <w:t>3</w:t>
            </w:r>
            <w:r w:rsidRPr="00707120">
              <w:rPr>
                <w:bCs/>
                <w:sz w:val="22"/>
                <w:szCs w:val="22"/>
                <w:lang w:val="lv-LV"/>
              </w:rPr>
              <w:t>/</w:t>
            </w:r>
            <w:r w:rsidR="00236CD1">
              <w:rPr>
                <w:sz w:val="22"/>
                <w:szCs w:val="22"/>
                <w:lang w:val="lv-LV"/>
              </w:rPr>
              <w:t>μ</w:t>
            </w:r>
            <w:r w:rsidRPr="00707120">
              <w:rPr>
                <w:bCs/>
                <w:sz w:val="22"/>
                <w:szCs w:val="22"/>
                <w:lang w:val="lv-LV"/>
              </w:rPr>
              <w:t>l)</w:t>
            </w:r>
          </w:p>
        </w:tc>
        <w:tc>
          <w:tcPr>
            <w:tcW w:w="6557" w:type="dxa"/>
            <w:tcBorders>
              <w:top w:val="single" w:sz="4" w:space="0" w:color="000000"/>
              <w:left w:val="single" w:sz="4" w:space="0" w:color="000000"/>
              <w:bottom w:val="single" w:sz="4" w:space="0" w:color="000000"/>
              <w:right w:val="single" w:sz="4" w:space="0" w:color="000000"/>
            </w:tcBorders>
          </w:tcPr>
          <w:p w14:paraId="41BA1D03" w14:textId="77777777" w:rsidR="00784D05" w:rsidRPr="000B238A" w:rsidRDefault="00784D05">
            <w:pPr>
              <w:pStyle w:val="TextTi12"/>
              <w:keepNext/>
              <w:jc w:val="center"/>
              <w:rPr>
                <w:bCs/>
                <w:sz w:val="22"/>
                <w:szCs w:val="22"/>
              </w:rPr>
            </w:pPr>
            <w:r w:rsidRPr="000B238A">
              <w:rPr>
                <w:bCs/>
                <w:sz w:val="22"/>
                <w:szCs w:val="22"/>
              </w:rPr>
              <w:t>Rīcība</w:t>
            </w:r>
          </w:p>
        </w:tc>
      </w:tr>
      <w:tr w:rsidR="00784D05" w:rsidRPr="00903A29" w14:paraId="2C4C761D" w14:textId="77777777" w:rsidTr="00707120">
        <w:trPr>
          <w:cantSplit/>
        </w:trPr>
        <w:tc>
          <w:tcPr>
            <w:tcW w:w="2515" w:type="dxa"/>
            <w:tcBorders>
              <w:top w:val="single" w:sz="4" w:space="0" w:color="000000"/>
              <w:left w:val="single" w:sz="4" w:space="0" w:color="000000"/>
              <w:bottom w:val="single" w:sz="4" w:space="0" w:color="000000"/>
            </w:tcBorders>
          </w:tcPr>
          <w:p w14:paraId="0D4443BB" w14:textId="36AB1E1D" w:rsidR="00784D05" w:rsidRDefault="00784D05">
            <w:pPr>
              <w:pStyle w:val="TextTi12"/>
              <w:keepNext/>
              <w:rPr>
                <w:sz w:val="22"/>
                <w:szCs w:val="22"/>
                <w:lang w:val="lv-LV"/>
              </w:rPr>
            </w:pPr>
            <w:r>
              <w:rPr>
                <w:sz w:val="22"/>
                <w:szCs w:val="22"/>
              </w:rPr>
              <w:t>50</w:t>
            </w:r>
            <w:r w:rsidR="000B238A">
              <w:rPr>
                <w:sz w:val="22"/>
                <w:szCs w:val="22"/>
              </w:rPr>
              <w:noBreakHyphen/>
            </w:r>
            <w:r>
              <w:rPr>
                <w:sz w:val="22"/>
                <w:szCs w:val="22"/>
              </w:rPr>
              <w:t>100</w:t>
            </w:r>
          </w:p>
        </w:tc>
        <w:tc>
          <w:tcPr>
            <w:tcW w:w="6557" w:type="dxa"/>
            <w:tcBorders>
              <w:top w:val="single" w:sz="4" w:space="0" w:color="000000"/>
              <w:left w:val="single" w:sz="4" w:space="0" w:color="000000"/>
              <w:bottom w:val="single" w:sz="4" w:space="0" w:color="000000"/>
              <w:right w:val="single" w:sz="4" w:space="0" w:color="000000"/>
            </w:tcBorders>
          </w:tcPr>
          <w:p w14:paraId="0EE72252" w14:textId="77777777" w:rsidR="00784D05" w:rsidRDefault="00784D05" w:rsidP="00707120">
            <w:pPr>
              <w:pStyle w:val="TextTi12"/>
              <w:keepNext/>
              <w:spacing w:after="0" w:line="240" w:lineRule="auto"/>
              <w:rPr>
                <w:sz w:val="22"/>
                <w:szCs w:val="22"/>
                <w:lang w:val="lv-LV"/>
              </w:rPr>
            </w:pPr>
            <w:r>
              <w:rPr>
                <w:sz w:val="22"/>
                <w:szCs w:val="22"/>
                <w:lang w:val="lv-LV"/>
              </w:rPr>
              <w:t>Ja nepieciešams, jāmaina vienlaikus lietotā MTX</w:t>
            </w:r>
            <w:r>
              <w:rPr>
                <w:rFonts w:eastAsia="PMingLiU"/>
                <w:sz w:val="22"/>
                <w:szCs w:val="22"/>
                <w:lang w:val="lv-LV"/>
              </w:rPr>
              <w:t xml:space="preserve"> deva.</w:t>
            </w:r>
          </w:p>
          <w:p w14:paraId="541C5EE8" w14:textId="6CAFE2F0" w:rsidR="00784D05" w:rsidRDefault="00784D05" w:rsidP="00707120">
            <w:pPr>
              <w:pStyle w:val="TextTi12"/>
              <w:keepNext/>
              <w:spacing w:after="0" w:line="240" w:lineRule="auto"/>
              <w:rPr>
                <w:sz w:val="22"/>
                <w:szCs w:val="22"/>
                <w:lang w:val="lv-LV"/>
              </w:rPr>
            </w:pPr>
            <w:r>
              <w:rPr>
                <w:sz w:val="22"/>
                <w:szCs w:val="22"/>
                <w:lang w:val="lv-LV"/>
              </w:rPr>
              <w:t xml:space="preserve">Uz laiku </w:t>
            </w:r>
            <w:r w:rsidR="000B238A">
              <w:rPr>
                <w:sz w:val="22"/>
                <w:szCs w:val="22"/>
                <w:lang w:val="lv-LV"/>
              </w:rPr>
              <w:t>jāpārtrauc tocilizumaba</w:t>
            </w:r>
            <w:r>
              <w:rPr>
                <w:sz w:val="22"/>
                <w:szCs w:val="22"/>
                <w:lang w:val="lv-LV"/>
              </w:rPr>
              <w:t xml:space="preserve"> lietošan</w:t>
            </w:r>
            <w:r w:rsidR="000B238A">
              <w:rPr>
                <w:sz w:val="22"/>
                <w:szCs w:val="22"/>
                <w:lang w:val="lv-LV"/>
              </w:rPr>
              <w:t>a</w:t>
            </w:r>
            <w:r>
              <w:rPr>
                <w:sz w:val="22"/>
                <w:szCs w:val="22"/>
                <w:lang w:val="lv-LV"/>
              </w:rPr>
              <w:t>.</w:t>
            </w:r>
          </w:p>
          <w:p w14:paraId="5F71D02F" w14:textId="79D02579" w:rsidR="00784D05" w:rsidRDefault="000B238A" w:rsidP="00707120">
            <w:pPr>
              <w:pStyle w:val="TextTi12"/>
              <w:keepNext/>
              <w:spacing w:after="0" w:line="240" w:lineRule="auto"/>
              <w:jc w:val="left"/>
              <w:rPr>
                <w:sz w:val="22"/>
                <w:szCs w:val="22"/>
                <w:lang w:val="lv-LV"/>
              </w:rPr>
            </w:pPr>
            <w:r>
              <w:rPr>
                <w:sz w:val="22"/>
                <w:szCs w:val="22"/>
                <w:lang w:val="lv-LV"/>
              </w:rPr>
              <w:t xml:space="preserve">Tiklīdz </w:t>
            </w:r>
            <w:r w:rsidR="00784D05">
              <w:rPr>
                <w:sz w:val="22"/>
                <w:szCs w:val="22"/>
                <w:lang w:val="lv-LV"/>
              </w:rPr>
              <w:t>trombocītu skaits palielinās līdz</w:t>
            </w:r>
            <w:r w:rsidR="000C6C88">
              <w:rPr>
                <w:sz w:val="22"/>
                <w:szCs w:val="22"/>
                <w:lang w:val="lv-LV"/>
              </w:rPr>
              <w:t> </w:t>
            </w:r>
            <w:r>
              <w:rPr>
                <w:sz w:val="22"/>
                <w:szCs w:val="22"/>
                <w:lang w:val="lv-LV"/>
              </w:rPr>
              <w:t>˃ </w:t>
            </w:r>
            <w:r w:rsidR="00784D05">
              <w:rPr>
                <w:sz w:val="22"/>
                <w:szCs w:val="22"/>
                <w:lang w:val="lv-LV"/>
              </w:rPr>
              <w:t>100</w:t>
            </w:r>
            <w:r>
              <w:rPr>
                <w:sz w:val="22"/>
                <w:szCs w:val="22"/>
                <w:lang w:val="lv-LV"/>
              </w:rPr>
              <w:t> × </w:t>
            </w:r>
            <w:r w:rsidR="00784D05">
              <w:rPr>
                <w:sz w:val="22"/>
                <w:szCs w:val="22"/>
                <w:lang w:val="lv-LV"/>
              </w:rPr>
              <w:t>10</w:t>
            </w:r>
            <w:r w:rsidR="00784D05">
              <w:rPr>
                <w:sz w:val="22"/>
                <w:szCs w:val="22"/>
                <w:vertAlign w:val="superscript"/>
                <w:lang w:val="lv-LV"/>
              </w:rPr>
              <w:t>3</w:t>
            </w:r>
            <w:r w:rsidR="00784D05">
              <w:rPr>
                <w:sz w:val="22"/>
                <w:szCs w:val="22"/>
                <w:lang w:val="lv-LV"/>
              </w:rPr>
              <w:t xml:space="preserve">/μl, </w:t>
            </w:r>
            <w:r>
              <w:rPr>
                <w:sz w:val="22"/>
                <w:szCs w:val="22"/>
                <w:lang w:val="lv-LV"/>
              </w:rPr>
              <w:t xml:space="preserve">terapiju </w:t>
            </w:r>
            <w:r w:rsidR="00784D05">
              <w:rPr>
                <w:sz w:val="22"/>
                <w:szCs w:val="22"/>
                <w:lang w:val="lv-LV"/>
              </w:rPr>
              <w:t>atsāk</w:t>
            </w:r>
            <w:r>
              <w:rPr>
                <w:sz w:val="22"/>
                <w:szCs w:val="22"/>
                <w:lang w:val="lv-LV"/>
              </w:rPr>
              <w:t>.</w:t>
            </w:r>
          </w:p>
        </w:tc>
      </w:tr>
      <w:tr w:rsidR="00784D05" w:rsidRPr="00903A29" w14:paraId="7A175DA3" w14:textId="77777777" w:rsidTr="00707120">
        <w:trPr>
          <w:cantSplit/>
        </w:trPr>
        <w:tc>
          <w:tcPr>
            <w:tcW w:w="2515" w:type="dxa"/>
            <w:tcBorders>
              <w:top w:val="single" w:sz="4" w:space="0" w:color="000000"/>
              <w:left w:val="single" w:sz="4" w:space="0" w:color="000000"/>
              <w:bottom w:val="single" w:sz="4" w:space="0" w:color="000000"/>
            </w:tcBorders>
          </w:tcPr>
          <w:p w14:paraId="0C5C049D" w14:textId="413A8AC5" w:rsidR="00784D05" w:rsidRDefault="000B238A">
            <w:pPr>
              <w:pStyle w:val="TextTi12"/>
              <w:rPr>
                <w:sz w:val="22"/>
                <w:szCs w:val="22"/>
                <w:lang w:val="lv-LV"/>
              </w:rPr>
            </w:pPr>
            <w:r w:rsidRPr="00707120">
              <w:rPr>
                <w:sz w:val="22"/>
                <w:szCs w:val="22"/>
                <w:lang w:val="lv-LV"/>
              </w:rPr>
              <w:t xml:space="preserve"> </w:t>
            </w:r>
            <w:r>
              <w:rPr>
                <w:sz w:val="22"/>
                <w:szCs w:val="22"/>
              </w:rPr>
              <w:t>˂ </w:t>
            </w:r>
            <w:r w:rsidR="00784D05">
              <w:rPr>
                <w:sz w:val="22"/>
                <w:szCs w:val="22"/>
              </w:rPr>
              <w:t>50</w:t>
            </w:r>
          </w:p>
        </w:tc>
        <w:tc>
          <w:tcPr>
            <w:tcW w:w="6557" w:type="dxa"/>
            <w:tcBorders>
              <w:top w:val="single" w:sz="4" w:space="0" w:color="000000"/>
              <w:left w:val="single" w:sz="4" w:space="0" w:color="000000"/>
              <w:bottom w:val="single" w:sz="4" w:space="0" w:color="000000"/>
              <w:right w:val="single" w:sz="4" w:space="0" w:color="000000"/>
            </w:tcBorders>
          </w:tcPr>
          <w:p w14:paraId="4129B8DA" w14:textId="2542E92F" w:rsidR="00784D05" w:rsidRDefault="000B238A" w:rsidP="00707120">
            <w:pPr>
              <w:pStyle w:val="TextTi12"/>
              <w:spacing w:after="0" w:line="240" w:lineRule="auto"/>
              <w:jc w:val="left"/>
              <w:rPr>
                <w:sz w:val="22"/>
                <w:szCs w:val="22"/>
                <w:lang w:val="lv-LV"/>
              </w:rPr>
            </w:pPr>
            <w:r>
              <w:rPr>
                <w:sz w:val="22"/>
                <w:szCs w:val="22"/>
                <w:lang w:val="lv-LV"/>
              </w:rPr>
              <w:t>Tocilizumaba terapija ir pilnīgi</w:t>
            </w:r>
            <w:r w:rsidR="00784D05">
              <w:rPr>
                <w:sz w:val="22"/>
                <w:szCs w:val="22"/>
                <w:lang w:val="lv-LV"/>
              </w:rPr>
              <w:t xml:space="preserve"> </w:t>
            </w:r>
            <w:r>
              <w:rPr>
                <w:sz w:val="22"/>
                <w:szCs w:val="22"/>
                <w:lang w:val="lv-LV"/>
              </w:rPr>
              <w:t>jā</w:t>
            </w:r>
            <w:r w:rsidR="00784D05">
              <w:rPr>
                <w:sz w:val="22"/>
                <w:szCs w:val="22"/>
                <w:lang w:val="lv-LV"/>
              </w:rPr>
              <w:t>pārtrau</w:t>
            </w:r>
            <w:r>
              <w:rPr>
                <w:sz w:val="22"/>
                <w:szCs w:val="22"/>
                <w:lang w:val="lv-LV"/>
              </w:rPr>
              <w:t>c</w:t>
            </w:r>
            <w:r w:rsidR="00784D05">
              <w:rPr>
                <w:sz w:val="22"/>
                <w:szCs w:val="22"/>
                <w:lang w:val="lv-LV"/>
              </w:rPr>
              <w:t>.</w:t>
            </w:r>
          </w:p>
          <w:p w14:paraId="78A55769" w14:textId="12F876BC" w:rsidR="00784D05" w:rsidRDefault="00784D05" w:rsidP="00707120">
            <w:pPr>
              <w:pStyle w:val="TextTi12"/>
              <w:spacing w:after="0" w:line="240" w:lineRule="auto"/>
              <w:jc w:val="left"/>
              <w:rPr>
                <w:lang w:val="lv-LV"/>
              </w:rPr>
            </w:pPr>
            <w:r>
              <w:rPr>
                <w:sz w:val="22"/>
                <w:szCs w:val="22"/>
                <w:lang w:val="lv-LV"/>
              </w:rPr>
              <w:t xml:space="preserve">Lēmums pārtraukt </w:t>
            </w:r>
            <w:r w:rsidR="000B238A">
              <w:rPr>
                <w:sz w:val="22"/>
                <w:szCs w:val="22"/>
                <w:lang w:val="lv-LV"/>
              </w:rPr>
              <w:t>terapiju</w:t>
            </w:r>
            <w:r>
              <w:rPr>
                <w:sz w:val="22"/>
                <w:szCs w:val="22"/>
                <w:lang w:val="lv-LV"/>
              </w:rPr>
              <w:t xml:space="preserve"> sJIA gadījumā laboratorisko izmeklējumu noviržu dēļ jāpamato ar konkrētā pacienta medicīniskās izmeklēšanas rezultātiem.</w:t>
            </w:r>
          </w:p>
        </w:tc>
      </w:tr>
    </w:tbl>
    <w:p w14:paraId="6D703837" w14:textId="77777777" w:rsidR="00784D05" w:rsidRDefault="00784D05">
      <w:pPr>
        <w:rPr>
          <w:lang w:val="lv-LV"/>
        </w:rPr>
      </w:pPr>
    </w:p>
    <w:p w14:paraId="05297585" w14:textId="65BDF060" w:rsidR="00784D05" w:rsidRDefault="0088426B">
      <w:pPr>
        <w:rPr>
          <w:szCs w:val="22"/>
          <w:lang w:val="lv-LV"/>
        </w:rPr>
      </w:pPr>
      <w:r>
        <w:rPr>
          <w:szCs w:val="22"/>
          <w:lang w:val="lv-LV"/>
        </w:rPr>
        <w:t>Kl</w:t>
      </w:r>
      <w:r w:rsidR="007828B1">
        <w:rPr>
          <w:szCs w:val="22"/>
          <w:lang w:val="lv-LV"/>
        </w:rPr>
        <w:t>īniskie dati</w:t>
      </w:r>
      <w:r w:rsidR="0072559B">
        <w:rPr>
          <w:szCs w:val="22"/>
          <w:lang w:val="lv-LV"/>
        </w:rPr>
        <w:t xml:space="preserve"> nav pietiekami</w:t>
      </w:r>
      <w:r>
        <w:rPr>
          <w:szCs w:val="22"/>
          <w:lang w:val="lv-LV"/>
        </w:rPr>
        <w:t xml:space="preserve">, lai izvērtētu tocilizumaba devas samazināšanas ietekmi </w:t>
      </w:r>
      <w:r w:rsidR="000C6C88">
        <w:rPr>
          <w:szCs w:val="22"/>
          <w:lang w:val="lv-LV"/>
        </w:rPr>
        <w:t xml:space="preserve">uz </w:t>
      </w:r>
      <w:r>
        <w:rPr>
          <w:szCs w:val="22"/>
          <w:lang w:val="lv-LV"/>
        </w:rPr>
        <w:t xml:space="preserve">sJIA pacientiem, kuriem </w:t>
      </w:r>
      <w:r w:rsidR="0072559B">
        <w:rPr>
          <w:szCs w:val="22"/>
          <w:lang w:val="lv-LV"/>
        </w:rPr>
        <w:t xml:space="preserve">bijušas </w:t>
      </w:r>
      <w:r>
        <w:rPr>
          <w:szCs w:val="22"/>
          <w:lang w:val="lv-LV"/>
        </w:rPr>
        <w:t xml:space="preserve">labarotorisko rādītāju </w:t>
      </w:r>
      <w:r w:rsidR="007828B1">
        <w:rPr>
          <w:szCs w:val="22"/>
          <w:lang w:val="lv-LV"/>
        </w:rPr>
        <w:t>novir</w:t>
      </w:r>
      <w:r w:rsidR="0072559B">
        <w:rPr>
          <w:szCs w:val="22"/>
          <w:lang w:val="lv-LV"/>
        </w:rPr>
        <w:t>zes.</w:t>
      </w:r>
    </w:p>
    <w:p w14:paraId="228E1336" w14:textId="77777777" w:rsidR="00784D05" w:rsidRDefault="00784D05">
      <w:pPr>
        <w:rPr>
          <w:szCs w:val="22"/>
          <w:lang w:val="lv-LV"/>
        </w:rPr>
      </w:pPr>
    </w:p>
    <w:p w14:paraId="3F83B251" w14:textId="60EFC8C9" w:rsidR="00784D05" w:rsidRDefault="00784D05">
      <w:pPr>
        <w:rPr>
          <w:szCs w:val="22"/>
          <w:lang w:val="lv-LV"/>
        </w:rPr>
      </w:pPr>
      <w:r>
        <w:rPr>
          <w:szCs w:val="22"/>
          <w:lang w:val="lv-LV"/>
        </w:rPr>
        <w:t xml:space="preserve">Pieejamie dati liecina, ka klīnisku uzlabošanos novēro 6 nedēļu laikā pēc ārstēšanas uzsākšanas ar </w:t>
      </w:r>
      <w:r w:rsidR="000B238A">
        <w:rPr>
          <w:szCs w:val="22"/>
          <w:lang w:val="lv-LV"/>
        </w:rPr>
        <w:t>tocilizumabu</w:t>
      </w:r>
      <w:r>
        <w:rPr>
          <w:szCs w:val="22"/>
          <w:lang w:val="lv-LV"/>
        </w:rPr>
        <w:t>. Ārstēšanas turpināšana vēlreiz rūpīgi jāizvērtē, ja pacienta stāvoklis šajā laikā neuzlabojas.</w:t>
      </w:r>
    </w:p>
    <w:p w14:paraId="3A5CB401" w14:textId="77777777" w:rsidR="00784D05" w:rsidRDefault="00784D05">
      <w:pPr>
        <w:rPr>
          <w:szCs w:val="22"/>
          <w:lang w:val="lv-LV"/>
        </w:rPr>
      </w:pPr>
    </w:p>
    <w:p w14:paraId="11725765" w14:textId="77777777" w:rsidR="00784D05" w:rsidRPr="00707120" w:rsidRDefault="00784D05">
      <w:pPr>
        <w:ind w:left="567" w:hanging="567"/>
        <w:rPr>
          <w:szCs w:val="22"/>
          <w:u w:val="single"/>
          <w:lang w:val="lv-LV"/>
        </w:rPr>
      </w:pPr>
      <w:r w:rsidRPr="00707120">
        <w:rPr>
          <w:i/>
          <w:u w:val="single"/>
          <w:lang w:val="lv-LV"/>
        </w:rPr>
        <w:t>Pacienti ar pJIA</w:t>
      </w:r>
    </w:p>
    <w:p w14:paraId="1A62E267" w14:textId="7FF8788D" w:rsidR="00784D05" w:rsidRDefault="00784D05">
      <w:pPr>
        <w:rPr>
          <w:szCs w:val="22"/>
          <w:lang w:val="lv-LV"/>
        </w:rPr>
      </w:pPr>
      <w:r>
        <w:rPr>
          <w:szCs w:val="22"/>
          <w:lang w:val="lv-LV"/>
        </w:rPr>
        <w:t>Pacientiem, kas vecāki par 2</w:t>
      </w:r>
      <w:r w:rsidR="000B238A">
        <w:rPr>
          <w:szCs w:val="22"/>
          <w:lang w:val="lv-LV"/>
        </w:rPr>
        <w:t> </w:t>
      </w:r>
      <w:r>
        <w:rPr>
          <w:szCs w:val="22"/>
          <w:lang w:val="lv-LV"/>
        </w:rPr>
        <w:t>gadiem, kuri sver 30 kg vai vairāk, ieteicamā deva ir 8 mg/kg ik pēc 4</w:t>
      </w:r>
      <w:r w:rsidR="000B238A">
        <w:rPr>
          <w:szCs w:val="22"/>
          <w:lang w:val="lv-LV"/>
        </w:rPr>
        <w:t> </w:t>
      </w:r>
      <w:r>
        <w:rPr>
          <w:szCs w:val="22"/>
          <w:lang w:val="lv-LV"/>
        </w:rPr>
        <w:t>nedēļām, bet pacientiem, kuri sver mazāk par 30 kg, tā ir 10 mg/kg ik pēc 4</w:t>
      </w:r>
      <w:r w:rsidR="000B238A">
        <w:rPr>
          <w:szCs w:val="22"/>
          <w:lang w:val="lv-LV"/>
        </w:rPr>
        <w:t> </w:t>
      </w:r>
      <w:r>
        <w:rPr>
          <w:szCs w:val="22"/>
          <w:lang w:val="lv-LV"/>
        </w:rPr>
        <w:t>nedēļām. Šīs devas lielumu katru reizi, kad tiek ievadītas zāles, jāaprēķina, ņemot vērā pacienta ķermeņa masu. Dev</w:t>
      </w:r>
      <w:r w:rsidR="008A660A">
        <w:rPr>
          <w:szCs w:val="22"/>
          <w:lang w:val="lv-LV"/>
        </w:rPr>
        <w:t>u</w:t>
      </w:r>
      <w:r>
        <w:rPr>
          <w:szCs w:val="22"/>
          <w:lang w:val="lv-LV"/>
        </w:rPr>
        <w:t xml:space="preserve"> </w:t>
      </w:r>
      <w:r w:rsidR="004969FE">
        <w:rPr>
          <w:szCs w:val="22"/>
          <w:lang w:val="lv-LV"/>
        </w:rPr>
        <w:t xml:space="preserve">drīkst </w:t>
      </w:r>
      <w:r w:rsidR="000C6C88">
        <w:rPr>
          <w:szCs w:val="22"/>
          <w:lang w:val="lv-LV"/>
        </w:rPr>
        <w:t xml:space="preserve">mainīt, </w:t>
      </w:r>
      <w:r>
        <w:rPr>
          <w:szCs w:val="22"/>
          <w:lang w:val="lv-LV"/>
        </w:rPr>
        <w:t xml:space="preserve">tikai pamatojoties uz </w:t>
      </w:r>
      <w:r w:rsidR="001C2949">
        <w:rPr>
          <w:szCs w:val="22"/>
          <w:lang w:val="lv-LV"/>
        </w:rPr>
        <w:t xml:space="preserve">konsekventām </w:t>
      </w:r>
      <w:r>
        <w:rPr>
          <w:szCs w:val="22"/>
          <w:lang w:val="lv-LV"/>
        </w:rPr>
        <w:t>pacienta ķermeņa masas izmaiņām laika gaitā.</w:t>
      </w:r>
    </w:p>
    <w:p w14:paraId="5E943DF1" w14:textId="77777777" w:rsidR="00784D05" w:rsidRDefault="00784D05">
      <w:pPr>
        <w:rPr>
          <w:szCs w:val="22"/>
          <w:lang w:val="lv-LV"/>
        </w:rPr>
      </w:pPr>
    </w:p>
    <w:p w14:paraId="78192D0D" w14:textId="7A35C749" w:rsidR="00784D05" w:rsidRDefault="00066C7F">
      <w:pPr>
        <w:rPr>
          <w:szCs w:val="22"/>
          <w:lang w:val="lv-LV"/>
        </w:rPr>
      </w:pPr>
      <w:r>
        <w:rPr>
          <w:szCs w:val="22"/>
          <w:lang w:val="lv-LV"/>
        </w:rPr>
        <w:t xml:space="preserve">Intravenozi ievadīta </w:t>
      </w:r>
      <w:r w:rsidR="000B238A">
        <w:rPr>
          <w:szCs w:val="22"/>
          <w:lang w:val="lv-LV"/>
        </w:rPr>
        <w:t>tocilizumaba</w:t>
      </w:r>
      <w:r w:rsidR="00784D05">
        <w:rPr>
          <w:szCs w:val="22"/>
          <w:lang w:val="lv-LV"/>
        </w:rPr>
        <w:t xml:space="preserve"> drošums un efektivitāte, lietojot bērniem vecumā līdz 2 gadiem, nav pierādīta. </w:t>
      </w:r>
      <w:r w:rsidR="000B238A">
        <w:rPr>
          <w:szCs w:val="22"/>
          <w:lang w:val="lv-LV"/>
        </w:rPr>
        <w:t>Pašlaik pieejamie dati ir aprakstīti 4.8., 5.1. un 5.2. apakšpunktā, bet ieteikumus par devu nav iespējams</w:t>
      </w:r>
      <w:r w:rsidR="00E503B2">
        <w:rPr>
          <w:szCs w:val="22"/>
          <w:lang w:val="lv-LV"/>
        </w:rPr>
        <w:t xml:space="preserve"> sniegt</w:t>
      </w:r>
      <w:r w:rsidR="000B238A">
        <w:rPr>
          <w:szCs w:val="22"/>
          <w:lang w:val="lv-LV"/>
        </w:rPr>
        <w:t>.</w:t>
      </w:r>
    </w:p>
    <w:p w14:paraId="78E23824" w14:textId="77777777" w:rsidR="00784D05" w:rsidRDefault="00784D05">
      <w:pPr>
        <w:rPr>
          <w:szCs w:val="22"/>
          <w:lang w:val="lv-LV"/>
        </w:rPr>
      </w:pPr>
    </w:p>
    <w:p w14:paraId="1990B6FD" w14:textId="77777777" w:rsidR="00784D05" w:rsidRDefault="00784D05">
      <w:pPr>
        <w:rPr>
          <w:szCs w:val="22"/>
          <w:lang w:val="lv-LV"/>
        </w:rPr>
      </w:pPr>
      <w:r>
        <w:rPr>
          <w:szCs w:val="22"/>
          <w:lang w:val="lv-LV"/>
        </w:rPr>
        <w:t>Pacientiem ar pJIA laboratorisko rādītāju noviržu gadījumos ieteicams ārstēšanu ar tocilizumabu pārtraukt, kā norādīts turpmāk tabulās. Ja tas ir piemēroti, jāmaina vienlaikus lietotā MTX un/vai citu zāļu deva vai to lietošana jāpārtrauc, un, kamēr nav novērtēta klīniskā situācija, tocilizumaba lietošana uz laiku jāpārtrauc. Pastāv daudz blakusslimību, kas var ietekmēt pJIA laboratoriskos rādītājus, tāpēc lēmums par tocilizumaba lietošanas pārtraukšanu laboratorisko rādītāju noviržu dēļ jāpamato ar attiecīgā pacienta medicīnisko izmeklējumu rezultātiem.</w:t>
      </w:r>
    </w:p>
    <w:p w14:paraId="5FC8CFC4" w14:textId="77777777" w:rsidR="00784D05" w:rsidRDefault="00784D05">
      <w:pPr>
        <w:rPr>
          <w:szCs w:val="22"/>
          <w:lang w:val="lv-LV"/>
        </w:rPr>
      </w:pPr>
    </w:p>
    <w:p w14:paraId="35D77376" w14:textId="060E53CD" w:rsidR="00784D05" w:rsidRPr="000B238A" w:rsidRDefault="009750F5" w:rsidP="00707120">
      <w:pPr>
        <w:pStyle w:val="ListParagraph"/>
        <w:keepNext/>
        <w:keepLines/>
        <w:tabs>
          <w:tab w:val="left" w:pos="851"/>
        </w:tabs>
        <w:ind w:left="567" w:hanging="567"/>
        <w:rPr>
          <w:szCs w:val="22"/>
          <w:lang w:val="lv-LV"/>
        </w:rPr>
      </w:pPr>
      <w:r>
        <w:rPr>
          <w:lang w:val="nb-NO"/>
        </w:rPr>
        <w:sym w:font="Symbol" w:char="F0B7"/>
      </w:r>
      <w:r>
        <w:rPr>
          <w:lang w:val="nb-NO"/>
        </w:rPr>
        <w:tab/>
      </w:r>
      <w:r w:rsidR="00784D05" w:rsidRPr="000B238A">
        <w:rPr>
          <w:szCs w:val="22"/>
          <w:lang w:val="lv-LV"/>
        </w:rPr>
        <w:t xml:space="preserve">Aknu enzīmu </w:t>
      </w:r>
      <w:ins w:id="26" w:author="Regulatory LV" w:date="2026-03-17T11:11:00Z">
        <w:r w:rsidR="00514E28">
          <w:rPr>
            <w:szCs w:val="22"/>
            <w:lang w:val="lv-LV"/>
          </w:rPr>
          <w:t xml:space="preserve">līmeņa </w:t>
        </w:r>
      </w:ins>
      <w:r w:rsidR="00784D05" w:rsidRPr="000B238A">
        <w:rPr>
          <w:szCs w:val="22"/>
          <w:lang w:val="lv-LV"/>
        </w:rPr>
        <w:t>patoloģi</w:t>
      </w:r>
      <w:ins w:id="27" w:author="Regulatory LV" w:date="2026-03-17T11:12:00Z">
        <w:r w:rsidR="00514E28">
          <w:rPr>
            <w:szCs w:val="22"/>
            <w:lang w:val="lv-LV"/>
          </w:rPr>
          <w:t>sk</w:t>
        </w:r>
      </w:ins>
      <w:del w:id="28" w:author="Regulatory LV" w:date="2026-03-17T11:12:00Z">
        <w:r w:rsidR="00784D05" w:rsidRPr="000B238A" w:rsidDel="00514E28">
          <w:rPr>
            <w:szCs w:val="22"/>
            <w:lang w:val="lv-LV"/>
          </w:rPr>
          <w:delText>j</w:delText>
        </w:r>
      </w:del>
      <w:r w:rsidR="00784D05" w:rsidRPr="000B238A">
        <w:rPr>
          <w:szCs w:val="22"/>
          <w:lang w:val="lv-LV"/>
        </w:rPr>
        <w:t>as</w:t>
      </w:r>
      <w:ins w:id="29" w:author="Regulatory LV" w:date="2026-03-17T11:12:00Z">
        <w:r w:rsidR="00514E28">
          <w:rPr>
            <w:szCs w:val="22"/>
            <w:lang w:val="lv-LV"/>
          </w:rPr>
          <w:t xml:space="preserve"> izmaiņas</w:t>
        </w:r>
      </w:ins>
    </w:p>
    <w:p w14:paraId="3E831005" w14:textId="77777777" w:rsidR="003F77CF" w:rsidRDefault="003F77CF">
      <w:pPr>
        <w:keepNext/>
        <w:keepLines/>
        <w:tabs>
          <w:tab w:val="left" w:pos="851"/>
        </w:tabs>
        <w:ind w:left="360"/>
        <w:rPr>
          <w:b/>
          <w:szCs w:val="22"/>
        </w:rPr>
      </w:pPr>
    </w:p>
    <w:tbl>
      <w:tblPr>
        <w:tblW w:w="9072" w:type="dxa"/>
        <w:tblInd w:w="-5" w:type="dxa"/>
        <w:tblLayout w:type="fixed"/>
        <w:tblLook w:val="0000" w:firstRow="0" w:lastRow="0" w:firstColumn="0" w:lastColumn="0" w:noHBand="0" w:noVBand="0"/>
      </w:tblPr>
      <w:tblGrid>
        <w:gridCol w:w="2614"/>
        <w:gridCol w:w="6458"/>
      </w:tblGrid>
      <w:tr w:rsidR="00784D05" w:rsidRPr="000B238A" w14:paraId="075EF3E5" w14:textId="77777777" w:rsidTr="00707120">
        <w:trPr>
          <w:tblHeader/>
        </w:trPr>
        <w:tc>
          <w:tcPr>
            <w:tcW w:w="2614" w:type="dxa"/>
            <w:tcBorders>
              <w:top w:val="single" w:sz="4" w:space="0" w:color="000000"/>
              <w:left w:val="single" w:sz="4" w:space="0" w:color="000000"/>
              <w:bottom w:val="single" w:sz="4" w:space="0" w:color="000000"/>
            </w:tcBorders>
          </w:tcPr>
          <w:p w14:paraId="257546DE" w14:textId="77777777" w:rsidR="00784D05" w:rsidRPr="00707120" w:rsidRDefault="00784D05">
            <w:pPr>
              <w:pStyle w:val="TextTi12"/>
              <w:keepNext/>
              <w:keepLines/>
              <w:jc w:val="center"/>
              <w:rPr>
                <w:bCs/>
                <w:sz w:val="22"/>
                <w:szCs w:val="22"/>
              </w:rPr>
            </w:pPr>
            <w:r w:rsidRPr="00707120">
              <w:rPr>
                <w:bCs/>
                <w:sz w:val="22"/>
                <w:szCs w:val="22"/>
              </w:rPr>
              <w:t>Laboratorisko izmeklējumu rezultāti</w:t>
            </w:r>
          </w:p>
        </w:tc>
        <w:tc>
          <w:tcPr>
            <w:tcW w:w="6458" w:type="dxa"/>
            <w:tcBorders>
              <w:top w:val="single" w:sz="4" w:space="0" w:color="000000"/>
              <w:left w:val="single" w:sz="4" w:space="0" w:color="000000"/>
              <w:bottom w:val="single" w:sz="4" w:space="0" w:color="000000"/>
              <w:right w:val="single" w:sz="4" w:space="0" w:color="000000"/>
            </w:tcBorders>
          </w:tcPr>
          <w:p w14:paraId="1F2C73B0" w14:textId="77777777" w:rsidR="00784D05" w:rsidRPr="000B238A" w:rsidRDefault="00784D05">
            <w:pPr>
              <w:pStyle w:val="TextTi12"/>
              <w:keepNext/>
              <w:keepLines/>
              <w:jc w:val="center"/>
              <w:rPr>
                <w:bCs/>
                <w:sz w:val="22"/>
                <w:szCs w:val="22"/>
              </w:rPr>
            </w:pPr>
            <w:r w:rsidRPr="00707120">
              <w:rPr>
                <w:bCs/>
                <w:sz w:val="22"/>
                <w:szCs w:val="22"/>
              </w:rPr>
              <w:t>Rīcība</w:t>
            </w:r>
          </w:p>
        </w:tc>
      </w:tr>
      <w:tr w:rsidR="00784D05" w:rsidRPr="00903A29" w14:paraId="0E834EB3" w14:textId="77777777" w:rsidTr="00707120">
        <w:tc>
          <w:tcPr>
            <w:tcW w:w="2614" w:type="dxa"/>
            <w:tcBorders>
              <w:top w:val="single" w:sz="4" w:space="0" w:color="000000"/>
              <w:left w:val="single" w:sz="4" w:space="0" w:color="000000"/>
              <w:bottom w:val="single" w:sz="4" w:space="0" w:color="000000"/>
            </w:tcBorders>
          </w:tcPr>
          <w:p w14:paraId="60BF3A35" w14:textId="6F47B809" w:rsidR="00784D05" w:rsidRDefault="000B238A">
            <w:pPr>
              <w:pStyle w:val="TextTi12"/>
              <w:keepNext/>
              <w:keepLines/>
              <w:jc w:val="left"/>
              <w:rPr>
                <w:sz w:val="22"/>
                <w:szCs w:val="22"/>
                <w:lang w:val="lv-LV"/>
              </w:rPr>
            </w:pPr>
            <w:r>
              <w:rPr>
                <w:sz w:val="22"/>
                <w:szCs w:val="22"/>
              </w:rPr>
              <w:t>˃ </w:t>
            </w:r>
            <w:r w:rsidR="00784D05">
              <w:rPr>
                <w:sz w:val="22"/>
                <w:szCs w:val="22"/>
              </w:rPr>
              <w:t>1</w:t>
            </w:r>
            <w:r>
              <w:rPr>
                <w:sz w:val="22"/>
                <w:szCs w:val="22"/>
              </w:rPr>
              <w:noBreakHyphen/>
            </w:r>
            <w:r w:rsidR="00784D05">
              <w:rPr>
                <w:sz w:val="22"/>
                <w:szCs w:val="22"/>
              </w:rPr>
              <w:t>3</w:t>
            </w:r>
            <w:r>
              <w:rPr>
                <w:sz w:val="22"/>
                <w:szCs w:val="22"/>
              </w:rPr>
              <w:t> </w:t>
            </w:r>
            <w:r w:rsidR="00784D05">
              <w:rPr>
                <w:sz w:val="22"/>
                <w:szCs w:val="22"/>
              </w:rPr>
              <w:t>reizes pārsniedz NAR</w:t>
            </w:r>
          </w:p>
        </w:tc>
        <w:tc>
          <w:tcPr>
            <w:tcW w:w="6458" w:type="dxa"/>
            <w:tcBorders>
              <w:top w:val="single" w:sz="4" w:space="0" w:color="000000"/>
              <w:left w:val="single" w:sz="4" w:space="0" w:color="000000"/>
              <w:bottom w:val="single" w:sz="4" w:space="0" w:color="000000"/>
              <w:right w:val="single" w:sz="4" w:space="0" w:color="000000"/>
            </w:tcBorders>
          </w:tcPr>
          <w:p w14:paraId="2328EEEE" w14:textId="77777777" w:rsidR="00784D05" w:rsidRDefault="00784D05" w:rsidP="00707120">
            <w:pPr>
              <w:pStyle w:val="TextTi12"/>
              <w:keepNext/>
              <w:keepLines/>
              <w:spacing w:after="0" w:line="240" w:lineRule="auto"/>
              <w:rPr>
                <w:sz w:val="22"/>
                <w:szCs w:val="22"/>
                <w:lang w:val="lv-LV"/>
              </w:rPr>
            </w:pPr>
            <w:r>
              <w:rPr>
                <w:sz w:val="22"/>
                <w:szCs w:val="22"/>
                <w:lang w:val="lv-LV"/>
              </w:rPr>
              <w:t>Ja nepieciešams, jāmaina vienlaikus lietotā MTX</w:t>
            </w:r>
            <w:r>
              <w:rPr>
                <w:rFonts w:eastAsia="PMingLiU"/>
                <w:sz w:val="22"/>
                <w:szCs w:val="22"/>
                <w:lang w:val="lv-LV"/>
              </w:rPr>
              <w:t xml:space="preserve"> deva.</w:t>
            </w:r>
          </w:p>
          <w:p w14:paraId="7462D49C" w14:textId="3EDFA7CC" w:rsidR="00784D05" w:rsidRDefault="00784D05" w:rsidP="00707120">
            <w:pPr>
              <w:pStyle w:val="TextTi12"/>
              <w:keepNext/>
              <w:keepLines/>
              <w:spacing w:after="0" w:line="240" w:lineRule="auto"/>
              <w:jc w:val="left"/>
              <w:rPr>
                <w:sz w:val="22"/>
                <w:szCs w:val="22"/>
                <w:lang w:val="lv-LV"/>
              </w:rPr>
            </w:pPr>
            <w:r>
              <w:rPr>
                <w:sz w:val="22"/>
                <w:szCs w:val="22"/>
                <w:lang w:val="lv-LV"/>
              </w:rPr>
              <w:t xml:space="preserve">Gadījumos, kad pieaugums saglabājas šajās robežās, </w:t>
            </w:r>
            <w:r w:rsidR="000B238A">
              <w:rPr>
                <w:sz w:val="22"/>
                <w:szCs w:val="22"/>
                <w:lang w:val="lv-LV"/>
              </w:rPr>
              <w:t>tocilizumaba</w:t>
            </w:r>
            <w:r>
              <w:rPr>
                <w:sz w:val="22"/>
                <w:szCs w:val="22"/>
                <w:lang w:val="lv-LV"/>
              </w:rPr>
              <w:t xml:space="preserve"> lietošana jāpārtrauc, līdz ALAT/ASAT </w:t>
            </w:r>
            <w:r w:rsidR="000B238A">
              <w:rPr>
                <w:sz w:val="22"/>
                <w:szCs w:val="22"/>
                <w:lang w:val="lv-LV"/>
              </w:rPr>
              <w:t xml:space="preserve">līmenis ir </w:t>
            </w:r>
            <w:r>
              <w:rPr>
                <w:sz w:val="22"/>
                <w:szCs w:val="22"/>
                <w:lang w:val="lv-LV"/>
              </w:rPr>
              <w:t>normalizēj</w:t>
            </w:r>
            <w:r w:rsidR="000B238A">
              <w:rPr>
                <w:sz w:val="22"/>
                <w:szCs w:val="22"/>
                <w:lang w:val="lv-LV"/>
              </w:rPr>
              <w:t>ies</w:t>
            </w:r>
            <w:r>
              <w:rPr>
                <w:sz w:val="22"/>
                <w:szCs w:val="22"/>
                <w:lang w:val="lv-LV"/>
              </w:rPr>
              <w:t>.</w:t>
            </w:r>
          </w:p>
        </w:tc>
      </w:tr>
      <w:tr w:rsidR="00784D05" w:rsidRPr="00903A29" w14:paraId="3965F74F" w14:textId="77777777" w:rsidTr="00707120">
        <w:tc>
          <w:tcPr>
            <w:tcW w:w="2614" w:type="dxa"/>
            <w:tcBorders>
              <w:top w:val="single" w:sz="4" w:space="0" w:color="000000"/>
              <w:left w:val="single" w:sz="4" w:space="0" w:color="000000"/>
              <w:bottom w:val="single" w:sz="4" w:space="0" w:color="000000"/>
            </w:tcBorders>
          </w:tcPr>
          <w:p w14:paraId="5E6EDD67" w14:textId="1BA43A39" w:rsidR="00784D05" w:rsidRDefault="000B238A" w:rsidP="00707120">
            <w:pPr>
              <w:pStyle w:val="TextTi12"/>
              <w:keepNext/>
              <w:keepLines/>
              <w:jc w:val="left"/>
              <w:rPr>
                <w:sz w:val="22"/>
                <w:szCs w:val="22"/>
              </w:rPr>
            </w:pPr>
            <w:r>
              <w:rPr>
                <w:sz w:val="22"/>
                <w:szCs w:val="22"/>
                <w:lang w:val="lv-LV"/>
              </w:rPr>
              <w:t>˃ </w:t>
            </w:r>
            <w:r w:rsidR="00784D05">
              <w:rPr>
                <w:sz w:val="22"/>
                <w:szCs w:val="22"/>
              </w:rPr>
              <w:t>3</w:t>
            </w:r>
            <w:r>
              <w:rPr>
                <w:sz w:val="22"/>
                <w:szCs w:val="22"/>
              </w:rPr>
              <w:noBreakHyphen/>
            </w:r>
            <w:r w:rsidR="00784D05">
              <w:rPr>
                <w:sz w:val="22"/>
                <w:szCs w:val="22"/>
              </w:rPr>
              <w:t>5</w:t>
            </w:r>
            <w:r>
              <w:rPr>
                <w:sz w:val="22"/>
                <w:szCs w:val="22"/>
              </w:rPr>
              <w:t> </w:t>
            </w:r>
            <w:r w:rsidR="00784D05">
              <w:rPr>
                <w:sz w:val="22"/>
                <w:szCs w:val="22"/>
              </w:rPr>
              <w:t>reizes pārsniedz NAR</w:t>
            </w:r>
          </w:p>
          <w:p w14:paraId="5E3090FB" w14:textId="77777777" w:rsidR="00784D05" w:rsidRDefault="00784D05">
            <w:pPr>
              <w:pStyle w:val="TextTi12"/>
              <w:keepNext/>
              <w:keepLines/>
              <w:jc w:val="left"/>
              <w:rPr>
                <w:sz w:val="22"/>
                <w:szCs w:val="22"/>
              </w:rPr>
            </w:pPr>
          </w:p>
        </w:tc>
        <w:tc>
          <w:tcPr>
            <w:tcW w:w="6458" w:type="dxa"/>
            <w:tcBorders>
              <w:top w:val="single" w:sz="4" w:space="0" w:color="000000"/>
              <w:left w:val="single" w:sz="4" w:space="0" w:color="000000"/>
              <w:bottom w:val="single" w:sz="4" w:space="0" w:color="000000"/>
              <w:right w:val="single" w:sz="4" w:space="0" w:color="000000"/>
            </w:tcBorders>
          </w:tcPr>
          <w:p w14:paraId="0836E1DA" w14:textId="77777777" w:rsidR="00784D05" w:rsidRDefault="00784D05" w:rsidP="00707120">
            <w:pPr>
              <w:pStyle w:val="TextTi12"/>
              <w:keepNext/>
              <w:keepLines/>
              <w:spacing w:after="0" w:line="240" w:lineRule="auto"/>
              <w:rPr>
                <w:sz w:val="22"/>
                <w:szCs w:val="22"/>
                <w:lang w:val="lv-LV"/>
              </w:rPr>
            </w:pPr>
            <w:r>
              <w:rPr>
                <w:sz w:val="22"/>
                <w:szCs w:val="22"/>
                <w:lang w:val="lv-LV"/>
              </w:rPr>
              <w:t>Ja nepieciešams, jāmaina vienlaikus lietotā MTX</w:t>
            </w:r>
            <w:r>
              <w:rPr>
                <w:rFonts w:eastAsia="PMingLiU"/>
                <w:sz w:val="22"/>
                <w:szCs w:val="22"/>
                <w:lang w:val="lv-LV"/>
              </w:rPr>
              <w:t xml:space="preserve"> deva.</w:t>
            </w:r>
          </w:p>
          <w:p w14:paraId="0BB85372" w14:textId="39225432" w:rsidR="00784D05" w:rsidRDefault="000B238A" w:rsidP="00707120">
            <w:pPr>
              <w:pStyle w:val="TextTi12"/>
              <w:keepNext/>
              <w:keepLines/>
              <w:spacing w:after="0" w:line="240" w:lineRule="auto"/>
              <w:rPr>
                <w:sz w:val="22"/>
                <w:szCs w:val="22"/>
                <w:lang w:val="lv-LV"/>
              </w:rPr>
            </w:pPr>
            <w:r>
              <w:rPr>
                <w:sz w:val="22"/>
                <w:szCs w:val="22"/>
                <w:lang w:val="lv-LV"/>
              </w:rPr>
              <w:t>Tocilizumaba</w:t>
            </w:r>
            <w:r w:rsidR="00784D05">
              <w:rPr>
                <w:sz w:val="22"/>
                <w:szCs w:val="22"/>
                <w:lang w:val="lv-LV"/>
              </w:rPr>
              <w:t xml:space="preserve"> lietošana </w:t>
            </w:r>
            <w:r>
              <w:rPr>
                <w:sz w:val="22"/>
                <w:szCs w:val="22"/>
                <w:lang w:val="lv-LV"/>
              </w:rPr>
              <w:t xml:space="preserve">uz laiku </w:t>
            </w:r>
            <w:r w:rsidR="00784D05">
              <w:rPr>
                <w:sz w:val="22"/>
                <w:szCs w:val="22"/>
                <w:lang w:val="lv-LV"/>
              </w:rPr>
              <w:t>jāpārtrauc, līdz NAR ir pārsniegta mazāk nekā 3</w:t>
            </w:r>
            <w:r w:rsidR="000C6C88">
              <w:rPr>
                <w:sz w:val="22"/>
                <w:szCs w:val="22"/>
                <w:lang w:val="lv-LV"/>
              </w:rPr>
              <w:t> </w:t>
            </w:r>
            <w:r w:rsidR="00784D05">
              <w:rPr>
                <w:sz w:val="22"/>
                <w:szCs w:val="22"/>
                <w:lang w:val="lv-LV"/>
              </w:rPr>
              <w:t>reizes, un jāievēro iepriekš minētie ieteikumi gadījumiem, ja NAR pārsniegta vairāk nekā</w:t>
            </w:r>
            <w:r w:rsidR="000C6C88">
              <w:rPr>
                <w:sz w:val="22"/>
                <w:szCs w:val="22"/>
                <w:lang w:val="lv-LV"/>
              </w:rPr>
              <w:t> </w:t>
            </w:r>
            <w:r w:rsidR="00784D05">
              <w:rPr>
                <w:sz w:val="22"/>
                <w:szCs w:val="22"/>
                <w:lang w:val="lv-LV"/>
              </w:rPr>
              <w:t>1</w:t>
            </w:r>
            <w:r>
              <w:rPr>
                <w:sz w:val="22"/>
                <w:szCs w:val="22"/>
                <w:lang w:val="lv-LV"/>
              </w:rPr>
              <w:noBreakHyphen/>
            </w:r>
            <w:r w:rsidR="00784D05">
              <w:rPr>
                <w:sz w:val="22"/>
                <w:szCs w:val="22"/>
                <w:lang w:val="lv-LV"/>
              </w:rPr>
              <w:t>3</w:t>
            </w:r>
            <w:r>
              <w:rPr>
                <w:sz w:val="22"/>
                <w:szCs w:val="22"/>
                <w:lang w:val="lv-LV"/>
              </w:rPr>
              <w:t> </w:t>
            </w:r>
            <w:r w:rsidR="00784D05">
              <w:rPr>
                <w:sz w:val="22"/>
                <w:szCs w:val="22"/>
                <w:lang w:val="lv-LV"/>
              </w:rPr>
              <w:t xml:space="preserve">reizes. </w:t>
            </w:r>
          </w:p>
        </w:tc>
      </w:tr>
      <w:tr w:rsidR="00784D05" w:rsidRPr="00903A29" w14:paraId="5EC52D5E" w14:textId="77777777" w:rsidTr="00707120">
        <w:tc>
          <w:tcPr>
            <w:tcW w:w="2614" w:type="dxa"/>
            <w:tcBorders>
              <w:top w:val="single" w:sz="4" w:space="0" w:color="000000"/>
              <w:left w:val="single" w:sz="4" w:space="0" w:color="000000"/>
              <w:bottom w:val="single" w:sz="4" w:space="0" w:color="000000"/>
            </w:tcBorders>
          </w:tcPr>
          <w:p w14:paraId="17CD62B3" w14:textId="35BE7799" w:rsidR="00784D05" w:rsidRDefault="000B238A" w:rsidP="00236CD1">
            <w:pPr>
              <w:pStyle w:val="TextTi12"/>
              <w:keepLines/>
              <w:jc w:val="left"/>
              <w:rPr>
                <w:sz w:val="22"/>
                <w:szCs w:val="22"/>
                <w:lang w:val="lv-LV"/>
              </w:rPr>
            </w:pPr>
            <w:r>
              <w:rPr>
                <w:sz w:val="22"/>
                <w:szCs w:val="22"/>
              </w:rPr>
              <w:t>˃ </w:t>
            </w:r>
            <w:r w:rsidR="00784D05">
              <w:rPr>
                <w:sz w:val="22"/>
                <w:szCs w:val="22"/>
              </w:rPr>
              <w:t>5</w:t>
            </w:r>
            <w:r>
              <w:rPr>
                <w:sz w:val="22"/>
                <w:szCs w:val="22"/>
              </w:rPr>
              <w:t> </w:t>
            </w:r>
            <w:r w:rsidR="00784D05">
              <w:rPr>
                <w:sz w:val="22"/>
                <w:szCs w:val="22"/>
              </w:rPr>
              <w:t>reizes pārsniedz NAR</w:t>
            </w:r>
          </w:p>
        </w:tc>
        <w:tc>
          <w:tcPr>
            <w:tcW w:w="6458" w:type="dxa"/>
            <w:tcBorders>
              <w:top w:val="single" w:sz="4" w:space="0" w:color="000000"/>
              <w:left w:val="single" w:sz="4" w:space="0" w:color="000000"/>
              <w:bottom w:val="single" w:sz="4" w:space="0" w:color="000000"/>
              <w:right w:val="single" w:sz="4" w:space="0" w:color="000000"/>
            </w:tcBorders>
          </w:tcPr>
          <w:p w14:paraId="3D502E11" w14:textId="5C2CF6BC" w:rsidR="00784D05" w:rsidRDefault="000B238A" w:rsidP="00707120">
            <w:pPr>
              <w:pStyle w:val="TextTi12"/>
              <w:keepLines/>
              <w:spacing w:after="0" w:line="240" w:lineRule="auto"/>
              <w:jc w:val="left"/>
              <w:rPr>
                <w:sz w:val="22"/>
                <w:szCs w:val="22"/>
                <w:lang w:val="lv-LV"/>
              </w:rPr>
            </w:pPr>
            <w:r>
              <w:rPr>
                <w:sz w:val="22"/>
                <w:szCs w:val="22"/>
                <w:lang w:val="lv-LV"/>
              </w:rPr>
              <w:t>Tocilizumaba terapija</w:t>
            </w:r>
            <w:r w:rsidR="00784D05">
              <w:rPr>
                <w:sz w:val="22"/>
                <w:szCs w:val="22"/>
                <w:lang w:val="lv-LV"/>
              </w:rPr>
              <w:t xml:space="preserve"> </w:t>
            </w:r>
            <w:r>
              <w:rPr>
                <w:sz w:val="22"/>
                <w:szCs w:val="22"/>
                <w:lang w:val="lv-LV"/>
              </w:rPr>
              <w:t xml:space="preserve">ir pilnīgi </w:t>
            </w:r>
            <w:r w:rsidR="00784D05">
              <w:rPr>
                <w:sz w:val="22"/>
                <w:szCs w:val="22"/>
                <w:lang w:val="lv-LV"/>
              </w:rPr>
              <w:t>jāpārtrauc</w:t>
            </w:r>
            <w:r>
              <w:rPr>
                <w:sz w:val="22"/>
                <w:szCs w:val="22"/>
                <w:lang w:val="lv-LV"/>
              </w:rPr>
              <w:t>.</w:t>
            </w:r>
            <w:r w:rsidR="00784D05">
              <w:rPr>
                <w:sz w:val="22"/>
                <w:szCs w:val="22"/>
                <w:lang w:val="lv-LV"/>
              </w:rPr>
              <w:t xml:space="preserve"> </w:t>
            </w:r>
          </w:p>
          <w:p w14:paraId="48040F21" w14:textId="440272F9" w:rsidR="00784D05" w:rsidRDefault="00784D05" w:rsidP="00707120">
            <w:pPr>
              <w:pStyle w:val="TextTi12"/>
              <w:keepLines/>
              <w:spacing w:after="0" w:line="240" w:lineRule="auto"/>
              <w:jc w:val="left"/>
              <w:rPr>
                <w:lang w:val="lv-LV"/>
              </w:rPr>
            </w:pPr>
            <w:r>
              <w:rPr>
                <w:sz w:val="22"/>
                <w:szCs w:val="22"/>
                <w:lang w:val="lv-LV"/>
              </w:rPr>
              <w:t xml:space="preserve">Lēmums pārtraukt </w:t>
            </w:r>
            <w:r w:rsidR="000B238A">
              <w:rPr>
                <w:sz w:val="22"/>
                <w:szCs w:val="22"/>
                <w:lang w:val="lv-LV"/>
              </w:rPr>
              <w:t>terapiju</w:t>
            </w:r>
            <w:r>
              <w:rPr>
                <w:sz w:val="22"/>
                <w:szCs w:val="22"/>
                <w:lang w:val="lv-LV"/>
              </w:rPr>
              <w:t xml:space="preserve"> pJIA gadījumā laboratorisko izmeklējumu noviržu dēļ jāpamato ar konkrētā pacienta medicīniskās izmeklēšanas rezultātiem.</w:t>
            </w:r>
          </w:p>
        </w:tc>
      </w:tr>
    </w:tbl>
    <w:p w14:paraId="4D6A5AD2" w14:textId="77777777" w:rsidR="00784D05" w:rsidRDefault="00784D05">
      <w:pPr>
        <w:rPr>
          <w:lang w:val="lv-LV"/>
        </w:rPr>
      </w:pPr>
    </w:p>
    <w:p w14:paraId="042B04CE" w14:textId="2F35E9B5" w:rsidR="00784D05" w:rsidRPr="000B238A" w:rsidRDefault="009750F5" w:rsidP="00707120">
      <w:pPr>
        <w:pStyle w:val="ListParagraph"/>
        <w:keepNext/>
        <w:keepLines/>
        <w:tabs>
          <w:tab w:val="left" w:pos="851"/>
        </w:tabs>
        <w:ind w:left="567" w:hanging="567"/>
        <w:rPr>
          <w:szCs w:val="22"/>
          <w:lang w:val="lv-LV"/>
        </w:rPr>
      </w:pPr>
      <w:r>
        <w:rPr>
          <w:lang w:val="nb-NO"/>
        </w:rPr>
        <w:sym w:font="Symbol" w:char="F0B7"/>
      </w:r>
      <w:r>
        <w:rPr>
          <w:lang w:val="nb-NO"/>
        </w:rPr>
        <w:tab/>
      </w:r>
      <w:r w:rsidR="00784D05" w:rsidRPr="000B238A">
        <w:rPr>
          <w:szCs w:val="22"/>
          <w:lang w:val="lv-LV"/>
        </w:rPr>
        <w:t>Mazs absolūtais neitrofilo leikocītu skaits (ANS)</w:t>
      </w:r>
    </w:p>
    <w:p w14:paraId="70EDB926" w14:textId="77777777" w:rsidR="003F77CF" w:rsidRDefault="003F77CF" w:rsidP="00707120">
      <w:pPr>
        <w:keepNext/>
        <w:keepLines/>
        <w:tabs>
          <w:tab w:val="left" w:pos="851"/>
        </w:tabs>
        <w:ind w:left="360"/>
        <w:rPr>
          <w:b/>
          <w:szCs w:val="22"/>
          <w:lang w:val="lv-LV"/>
        </w:rPr>
      </w:pPr>
    </w:p>
    <w:tbl>
      <w:tblPr>
        <w:tblW w:w="9106" w:type="dxa"/>
        <w:tblInd w:w="-5" w:type="dxa"/>
        <w:tblLayout w:type="fixed"/>
        <w:tblLook w:val="0000" w:firstRow="0" w:lastRow="0" w:firstColumn="0" w:lastColumn="0" w:noHBand="0" w:noVBand="0"/>
      </w:tblPr>
      <w:tblGrid>
        <w:gridCol w:w="2650"/>
        <w:gridCol w:w="6456"/>
      </w:tblGrid>
      <w:tr w:rsidR="00784D05" w:rsidRPr="000B238A" w14:paraId="171FEA13" w14:textId="77777777" w:rsidTr="00846FA5">
        <w:tc>
          <w:tcPr>
            <w:tcW w:w="2650" w:type="dxa"/>
            <w:tcBorders>
              <w:top w:val="single" w:sz="4" w:space="0" w:color="000000"/>
              <w:left w:val="single" w:sz="4" w:space="0" w:color="000000"/>
              <w:bottom w:val="single" w:sz="4" w:space="0" w:color="000000"/>
            </w:tcBorders>
          </w:tcPr>
          <w:p w14:paraId="01641680" w14:textId="06FE1CE3" w:rsidR="00784D05" w:rsidRPr="00707120" w:rsidRDefault="00784D05" w:rsidP="00707120">
            <w:pPr>
              <w:pStyle w:val="TextTi12"/>
              <w:keepNext/>
              <w:keepLines/>
              <w:jc w:val="center"/>
              <w:rPr>
                <w:bCs/>
                <w:sz w:val="22"/>
                <w:szCs w:val="22"/>
                <w:lang w:val="lv-LV"/>
              </w:rPr>
            </w:pPr>
            <w:r w:rsidRPr="00707120">
              <w:rPr>
                <w:bCs/>
                <w:sz w:val="22"/>
                <w:szCs w:val="22"/>
                <w:lang w:val="lv-LV"/>
              </w:rPr>
              <w:t>Laboratorisko izmeklējumu rezultāti</w:t>
            </w:r>
            <w:r w:rsidRPr="00707120">
              <w:rPr>
                <w:bCs/>
                <w:sz w:val="22"/>
                <w:szCs w:val="22"/>
                <w:lang w:val="lv-LV"/>
              </w:rPr>
              <w:br/>
              <w:t>(šūnas</w:t>
            </w:r>
            <w:r w:rsidR="000B238A">
              <w:rPr>
                <w:bCs/>
                <w:sz w:val="22"/>
                <w:szCs w:val="22"/>
                <w:lang w:val="lv-LV"/>
              </w:rPr>
              <w:t> × </w:t>
            </w:r>
            <w:r w:rsidRPr="00707120">
              <w:rPr>
                <w:bCs/>
                <w:sz w:val="22"/>
                <w:szCs w:val="22"/>
                <w:lang w:val="lv-LV"/>
              </w:rPr>
              <w:t>10</w:t>
            </w:r>
            <w:r w:rsidRPr="00707120">
              <w:rPr>
                <w:bCs/>
                <w:sz w:val="22"/>
                <w:szCs w:val="22"/>
                <w:vertAlign w:val="superscript"/>
                <w:lang w:val="lv-LV"/>
              </w:rPr>
              <w:t>9</w:t>
            </w:r>
            <w:r w:rsidRPr="00707120">
              <w:rPr>
                <w:bCs/>
                <w:sz w:val="22"/>
                <w:szCs w:val="22"/>
                <w:lang w:val="lv-LV"/>
              </w:rPr>
              <w:t>/l)</w:t>
            </w:r>
          </w:p>
        </w:tc>
        <w:tc>
          <w:tcPr>
            <w:tcW w:w="6456" w:type="dxa"/>
            <w:tcBorders>
              <w:top w:val="single" w:sz="4" w:space="0" w:color="000000"/>
              <w:left w:val="single" w:sz="4" w:space="0" w:color="000000"/>
              <w:bottom w:val="single" w:sz="4" w:space="0" w:color="000000"/>
              <w:right w:val="single" w:sz="4" w:space="0" w:color="000000"/>
            </w:tcBorders>
          </w:tcPr>
          <w:p w14:paraId="77BFE0CC" w14:textId="77777777" w:rsidR="00784D05" w:rsidRPr="000B238A" w:rsidRDefault="00784D05" w:rsidP="00707120">
            <w:pPr>
              <w:pStyle w:val="TextTi12"/>
              <w:keepNext/>
              <w:keepLines/>
              <w:jc w:val="center"/>
              <w:rPr>
                <w:bCs/>
                <w:sz w:val="22"/>
                <w:szCs w:val="22"/>
              </w:rPr>
            </w:pPr>
            <w:r w:rsidRPr="00707120">
              <w:rPr>
                <w:bCs/>
                <w:sz w:val="22"/>
                <w:szCs w:val="22"/>
              </w:rPr>
              <w:t>Rīcība</w:t>
            </w:r>
          </w:p>
        </w:tc>
      </w:tr>
      <w:tr w:rsidR="00784D05" w14:paraId="10E31DEA" w14:textId="77777777" w:rsidTr="00846FA5">
        <w:tc>
          <w:tcPr>
            <w:tcW w:w="2650" w:type="dxa"/>
            <w:tcBorders>
              <w:top w:val="single" w:sz="4" w:space="0" w:color="000000"/>
              <w:left w:val="single" w:sz="4" w:space="0" w:color="000000"/>
              <w:bottom w:val="single" w:sz="4" w:space="0" w:color="000000"/>
            </w:tcBorders>
          </w:tcPr>
          <w:p w14:paraId="3E639293" w14:textId="5DA6DE3F" w:rsidR="00784D05" w:rsidRDefault="00784D05" w:rsidP="00707120">
            <w:pPr>
              <w:pStyle w:val="TextTi12"/>
              <w:keepNext/>
              <w:keepLines/>
              <w:rPr>
                <w:sz w:val="22"/>
                <w:szCs w:val="22"/>
              </w:rPr>
            </w:pPr>
            <w:r>
              <w:rPr>
                <w:sz w:val="22"/>
                <w:szCs w:val="22"/>
              </w:rPr>
              <w:t xml:space="preserve">ANS </w:t>
            </w:r>
            <w:r w:rsidR="000B238A">
              <w:rPr>
                <w:sz w:val="22"/>
                <w:szCs w:val="22"/>
              </w:rPr>
              <w:t>ir ˃ </w:t>
            </w:r>
            <w:r>
              <w:rPr>
                <w:sz w:val="22"/>
                <w:szCs w:val="22"/>
              </w:rPr>
              <w:t xml:space="preserve">1 </w:t>
            </w:r>
          </w:p>
        </w:tc>
        <w:tc>
          <w:tcPr>
            <w:tcW w:w="6456" w:type="dxa"/>
            <w:tcBorders>
              <w:top w:val="single" w:sz="4" w:space="0" w:color="000000"/>
              <w:left w:val="single" w:sz="4" w:space="0" w:color="000000"/>
              <w:bottom w:val="single" w:sz="4" w:space="0" w:color="000000"/>
              <w:right w:val="single" w:sz="4" w:space="0" w:color="000000"/>
            </w:tcBorders>
          </w:tcPr>
          <w:p w14:paraId="0CFAE9AC" w14:textId="77777777" w:rsidR="00784D05" w:rsidRDefault="00784D05" w:rsidP="00707120">
            <w:pPr>
              <w:pStyle w:val="TextTi12"/>
              <w:keepNext/>
              <w:keepLines/>
              <w:rPr>
                <w:sz w:val="22"/>
                <w:szCs w:val="22"/>
              </w:rPr>
            </w:pPr>
            <w:r>
              <w:rPr>
                <w:sz w:val="22"/>
                <w:szCs w:val="22"/>
              </w:rPr>
              <w:t>Balstdeva.</w:t>
            </w:r>
          </w:p>
        </w:tc>
      </w:tr>
      <w:tr w:rsidR="00784D05" w:rsidRPr="000B238A" w14:paraId="582CA83D" w14:textId="77777777" w:rsidTr="00846FA5">
        <w:tc>
          <w:tcPr>
            <w:tcW w:w="2650" w:type="dxa"/>
            <w:tcBorders>
              <w:top w:val="single" w:sz="4" w:space="0" w:color="000000"/>
              <w:left w:val="single" w:sz="4" w:space="0" w:color="000000"/>
              <w:bottom w:val="single" w:sz="4" w:space="0" w:color="000000"/>
            </w:tcBorders>
          </w:tcPr>
          <w:p w14:paraId="73FF56D9" w14:textId="65A8F00D" w:rsidR="00784D05" w:rsidRDefault="00784D05">
            <w:pPr>
              <w:pStyle w:val="TextTi12"/>
              <w:rPr>
                <w:sz w:val="22"/>
                <w:szCs w:val="22"/>
              </w:rPr>
            </w:pPr>
            <w:r>
              <w:rPr>
                <w:sz w:val="22"/>
                <w:szCs w:val="22"/>
              </w:rPr>
              <w:t xml:space="preserve">ANS </w:t>
            </w:r>
            <w:r w:rsidR="000B238A">
              <w:rPr>
                <w:sz w:val="22"/>
                <w:szCs w:val="22"/>
              </w:rPr>
              <w:t xml:space="preserve">ir </w:t>
            </w:r>
            <w:r>
              <w:rPr>
                <w:sz w:val="22"/>
                <w:szCs w:val="22"/>
              </w:rPr>
              <w:t>0,5</w:t>
            </w:r>
            <w:r w:rsidR="000B238A">
              <w:rPr>
                <w:sz w:val="22"/>
                <w:szCs w:val="22"/>
              </w:rPr>
              <w:noBreakHyphen/>
            </w:r>
            <w:r>
              <w:rPr>
                <w:sz w:val="22"/>
                <w:szCs w:val="22"/>
              </w:rPr>
              <w:t>1</w:t>
            </w:r>
          </w:p>
        </w:tc>
        <w:tc>
          <w:tcPr>
            <w:tcW w:w="6456" w:type="dxa"/>
            <w:tcBorders>
              <w:top w:val="single" w:sz="4" w:space="0" w:color="000000"/>
              <w:left w:val="single" w:sz="4" w:space="0" w:color="000000"/>
              <w:bottom w:val="single" w:sz="4" w:space="0" w:color="000000"/>
              <w:right w:val="single" w:sz="4" w:space="0" w:color="000000"/>
            </w:tcBorders>
          </w:tcPr>
          <w:p w14:paraId="25B3AF8E" w14:textId="522A6D68" w:rsidR="00784D05" w:rsidRDefault="00784D05" w:rsidP="00707120">
            <w:pPr>
              <w:pStyle w:val="TextTi12"/>
              <w:spacing w:after="0" w:line="240" w:lineRule="auto"/>
              <w:rPr>
                <w:sz w:val="22"/>
                <w:szCs w:val="22"/>
              </w:rPr>
            </w:pPr>
            <w:r>
              <w:rPr>
                <w:sz w:val="22"/>
                <w:szCs w:val="22"/>
              </w:rPr>
              <w:t xml:space="preserve">Uz laiku </w:t>
            </w:r>
            <w:r w:rsidR="000B238A">
              <w:rPr>
                <w:sz w:val="22"/>
                <w:szCs w:val="22"/>
              </w:rPr>
              <w:t xml:space="preserve">jāpārtrauc </w:t>
            </w:r>
            <w:r w:rsidR="000B238A">
              <w:rPr>
                <w:sz w:val="22"/>
                <w:szCs w:val="22"/>
                <w:lang w:val="lv-LV"/>
              </w:rPr>
              <w:t>tocilizumaba</w:t>
            </w:r>
            <w:r>
              <w:rPr>
                <w:sz w:val="22"/>
                <w:szCs w:val="22"/>
              </w:rPr>
              <w:t xml:space="preserve"> lietošan</w:t>
            </w:r>
            <w:r w:rsidR="000B238A">
              <w:rPr>
                <w:sz w:val="22"/>
                <w:szCs w:val="22"/>
              </w:rPr>
              <w:t>a</w:t>
            </w:r>
            <w:r>
              <w:rPr>
                <w:sz w:val="22"/>
                <w:szCs w:val="22"/>
              </w:rPr>
              <w:t>.</w:t>
            </w:r>
          </w:p>
          <w:p w14:paraId="7962A3A3" w14:textId="43CD0538" w:rsidR="00784D05" w:rsidRPr="000B238A" w:rsidRDefault="000B238A" w:rsidP="00707120">
            <w:pPr>
              <w:pStyle w:val="TextTi12"/>
              <w:spacing w:after="0" w:line="240" w:lineRule="auto"/>
              <w:jc w:val="left"/>
              <w:rPr>
                <w:sz w:val="22"/>
                <w:szCs w:val="22"/>
              </w:rPr>
            </w:pPr>
            <w:r w:rsidRPr="00707120">
              <w:rPr>
                <w:sz w:val="22"/>
                <w:szCs w:val="22"/>
              </w:rPr>
              <w:t>Tiklīdz</w:t>
            </w:r>
            <w:r w:rsidRPr="000B238A">
              <w:rPr>
                <w:sz w:val="22"/>
                <w:szCs w:val="22"/>
              </w:rPr>
              <w:t xml:space="preserve"> </w:t>
            </w:r>
            <w:r w:rsidR="00784D05" w:rsidRPr="000B238A">
              <w:rPr>
                <w:sz w:val="22"/>
                <w:szCs w:val="22"/>
              </w:rPr>
              <w:t>ANS palielinās līdz</w:t>
            </w:r>
            <w:r w:rsidR="000C6C88">
              <w:rPr>
                <w:sz w:val="22"/>
                <w:szCs w:val="22"/>
                <w:lang w:val="lv-LV"/>
              </w:rPr>
              <w:t> </w:t>
            </w:r>
            <w:r>
              <w:rPr>
                <w:sz w:val="22"/>
                <w:szCs w:val="22"/>
              </w:rPr>
              <w:t>˃ </w:t>
            </w:r>
            <w:r w:rsidR="00784D05" w:rsidRPr="000B238A">
              <w:rPr>
                <w:sz w:val="22"/>
                <w:szCs w:val="22"/>
              </w:rPr>
              <w:t>1</w:t>
            </w:r>
            <w:r>
              <w:rPr>
                <w:sz w:val="22"/>
                <w:szCs w:val="22"/>
              </w:rPr>
              <w:t> × </w:t>
            </w:r>
            <w:r w:rsidR="00784D05" w:rsidRPr="000B238A">
              <w:rPr>
                <w:sz w:val="22"/>
                <w:szCs w:val="22"/>
              </w:rPr>
              <w:t>10</w:t>
            </w:r>
            <w:r w:rsidR="00784D05" w:rsidRPr="000B238A">
              <w:rPr>
                <w:sz w:val="22"/>
                <w:szCs w:val="22"/>
                <w:vertAlign w:val="superscript"/>
              </w:rPr>
              <w:t>9</w:t>
            </w:r>
            <w:r w:rsidR="00784D05" w:rsidRPr="000B238A">
              <w:rPr>
                <w:sz w:val="22"/>
                <w:szCs w:val="22"/>
              </w:rPr>
              <w:t xml:space="preserve">/l, </w:t>
            </w:r>
            <w:r w:rsidRPr="000B238A">
              <w:rPr>
                <w:sz w:val="22"/>
                <w:szCs w:val="22"/>
              </w:rPr>
              <w:t xml:space="preserve">terapiju </w:t>
            </w:r>
            <w:r w:rsidR="00784D05" w:rsidRPr="000B238A">
              <w:rPr>
                <w:sz w:val="22"/>
                <w:szCs w:val="22"/>
              </w:rPr>
              <w:t>atsāk</w:t>
            </w:r>
            <w:r w:rsidRPr="000B238A">
              <w:rPr>
                <w:sz w:val="22"/>
                <w:szCs w:val="22"/>
              </w:rPr>
              <w:t>.</w:t>
            </w:r>
          </w:p>
        </w:tc>
      </w:tr>
      <w:tr w:rsidR="00784D05" w:rsidRPr="00903A29" w14:paraId="36711F47" w14:textId="77777777" w:rsidTr="00846FA5">
        <w:tc>
          <w:tcPr>
            <w:tcW w:w="2650" w:type="dxa"/>
            <w:tcBorders>
              <w:top w:val="single" w:sz="4" w:space="0" w:color="000000"/>
              <w:left w:val="single" w:sz="4" w:space="0" w:color="000000"/>
              <w:bottom w:val="single" w:sz="4" w:space="0" w:color="000000"/>
            </w:tcBorders>
          </w:tcPr>
          <w:p w14:paraId="443F0819" w14:textId="2B4E1F38" w:rsidR="00784D05" w:rsidRDefault="00784D05">
            <w:pPr>
              <w:pStyle w:val="TextTi12"/>
              <w:rPr>
                <w:sz w:val="22"/>
                <w:szCs w:val="22"/>
                <w:lang w:val="lv-LV"/>
              </w:rPr>
            </w:pPr>
            <w:r>
              <w:rPr>
                <w:sz w:val="22"/>
                <w:szCs w:val="22"/>
              </w:rPr>
              <w:t xml:space="preserve">ANS </w:t>
            </w:r>
            <w:r w:rsidR="000B238A">
              <w:rPr>
                <w:sz w:val="22"/>
                <w:szCs w:val="22"/>
              </w:rPr>
              <w:t>ir ˂ </w:t>
            </w:r>
            <w:r>
              <w:rPr>
                <w:sz w:val="22"/>
                <w:szCs w:val="22"/>
              </w:rPr>
              <w:t>0,5</w:t>
            </w:r>
          </w:p>
        </w:tc>
        <w:tc>
          <w:tcPr>
            <w:tcW w:w="6456" w:type="dxa"/>
            <w:tcBorders>
              <w:top w:val="single" w:sz="4" w:space="0" w:color="000000"/>
              <w:left w:val="single" w:sz="4" w:space="0" w:color="000000"/>
              <w:bottom w:val="single" w:sz="4" w:space="0" w:color="000000"/>
              <w:right w:val="single" w:sz="4" w:space="0" w:color="000000"/>
            </w:tcBorders>
          </w:tcPr>
          <w:p w14:paraId="41267C0D" w14:textId="6F107411" w:rsidR="00784D05" w:rsidRDefault="000B238A" w:rsidP="00707120">
            <w:pPr>
              <w:pStyle w:val="TextTi12"/>
              <w:spacing w:after="0" w:line="240" w:lineRule="auto"/>
              <w:rPr>
                <w:sz w:val="22"/>
                <w:szCs w:val="22"/>
                <w:lang w:val="lv-LV"/>
              </w:rPr>
            </w:pPr>
            <w:r>
              <w:rPr>
                <w:sz w:val="22"/>
                <w:szCs w:val="22"/>
                <w:lang w:val="lv-LV"/>
              </w:rPr>
              <w:t>Tocilizumaba terapija ir pilnīgi jāpārtrauc.</w:t>
            </w:r>
          </w:p>
          <w:p w14:paraId="7C71D7CF" w14:textId="6541B060" w:rsidR="00784D05" w:rsidRDefault="00784D05" w:rsidP="00707120">
            <w:pPr>
              <w:pStyle w:val="TextTi12"/>
              <w:spacing w:after="0" w:line="240" w:lineRule="auto"/>
              <w:jc w:val="left"/>
              <w:rPr>
                <w:lang w:val="lv-LV"/>
              </w:rPr>
            </w:pPr>
            <w:r>
              <w:rPr>
                <w:sz w:val="22"/>
                <w:szCs w:val="22"/>
                <w:lang w:val="lv-LV"/>
              </w:rPr>
              <w:t xml:space="preserve">Lēmums pārtraukt </w:t>
            </w:r>
            <w:r w:rsidR="000B238A">
              <w:rPr>
                <w:sz w:val="22"/>
                <w:szCs w:val="22"/>
                <w:lang w:val="lv-LV"/>
              </w:rPr>
              <w:t>terapiju</w:t>
            </w:r>
            <w:r>
              <w:rPr>
                <w:sz w:val="22"/>
                <w:szCs w:val="22"/>
                <w:lang w:val="lv-LV"/>
              </w:rPr>
              <w:t xml:space="preserve"> pJIA gadījumā laboratorisko izmeklējumu noviržu dēļ jābalsta uz konkrētā pacienta medicīnisku izmeklēšanu.</w:t>
            </w:r>
          </w:p>
        </w:tc>
      </w:tr>
    </w:tbl>
    <w:p w14:paraId="2CC9C308" w14:textId="77777777" w:rsidR="00784D05" w:rsidRDefault="00784D05">
      <w:pPr>
        <w:rPr>
          <w:lang w:val="lv-LV"/>
        </w:rPr>
      </w:pPr>
    </w:p>
    <w:p w14:paraId="534BD462" w14:textId="530185E7" w:rsidR="00784D05" w:rsidRPr="000B238A" w:rsidRDefault="009750F5" w:rsidP="00707120">
      <w:pPr>
        <w:pStyle w:val="ListParagraph"/>
        <w:keepNext/>
        <w:keepLines/>
        <w:tabs>
          <w:tab w:val="left" w:pos="851"/>
        </w:tabs>
        <w:ind w:left="567" w:hanging="567"/>
        <w:rPr>
          <w:szCs w:val="22"/>
          <w:lang w:val="lv-LV"/>
        </w:rPr>
      </w:pPr>
      <w:r>
        <w:rPr>
          <w:lang w:val="nb-NO"/>
        </w:rPr>
        <w:sym w:font="Symbol" w:char="F0B7"/>
      </w:r>
      <w:r>
        <w:rPr>
          <w:lang w:val="nb-NO"/>
        </w:rPr>
        <w:tab/>
      </w:r>
      <w:r w:rsidR="00784D05" w:rsidRPr="000B238A">
        <w:rPr>
          <w:szCs w:val="22"/>
          <w:lang w:val="lv-LV"/>
        </w:rPr>
        <w:t xml:space="preserve">Mazs trombocītu skaits </w:t>
      </w:r>
    </w:p>
    <w:p w14:paraId="79C6F503" w14:textId="77777777" w:rsidR="003F77CF" w:rsidRDefault="003F77CF">
      <w:pPr>
        <w:keepNext/>
        <w:keepLines/>
        <w:tabs>
          <w:tab w:val="left" w:pos="851"/>
        </w:tabs>
        <w:ind w:left="360"/>
        <w:rPr>
          <w:b/>
          <w:szCs w:val="22"/>
          <w:lang w:val="lv-LV"/>
        </w:rPr>
      </w:pPr>
    </w:p>
    <w:tbl>
      <w:tblPr>
        <w:tblW w:w="9072" w:type="dxa"/>
        <w:tblInd w:w="-5" w:type="dxa"/>
        <w:tblLayout w:type="fixed"/>
        <w:tblLook w:val="0000" w:firstRow="0" w:lastRow="0" w:firstColumn="0" w:lastColumn="0" w:noHBand="0" w:noVBand="0"/>
      </w:tblPr>
      <w:tblGrid>
        <w:gridCol w:w="2515"/>
        <w:gridCol w:w="6557"/>
      </w:tblGrid>
      <w:tr w:rsidR="00784D05" w:rsidRPr="000B238A" w14:paraId="46E6ACC3" w14:textId="77777777" w:rsidTr="00707120">
        <w:tc>
          <w:tcPr>
            <w:tcW w:w="2515" w:type="dxa"/>
            <w:tcBorders>
              <w:top w:val="single" w:sz="4" w:space="0" w:color="000000"/>
              <w:left w:val="single" w:sz="4" w:space="0" w:color="000000"/>
              <w:bottom w:val="single" w:sz="4" w:space="0" w:color="000000"/>
            </w:tcBorders>
          </w:tcPr>
          <w:p w14:paraId="1F1FA293" w14:textId="10D8A518" w:rsidR="00784D05" w:rsidRPr="00707120" w:rsidRDefault="00784D05">
            <w:pPr>
              <w:pStyle w:val="TextTi12"/>
              <w:keepNext/>
              <w:keepLines/>
              <w:jc w:val="center"/>
              <w:rPr>
                <w:bCs/>
                <w:sz w:val="22"/>
                <w:szCs w:val="22"/>
                <w:lang w:val="lv-LV"/>
              </w:rPr>
            </w:pPr>
            <w:r w:rsidRPr="00707120">
              <w:rPr>
                <w:bCs/>
                <w:sz w:val="22"/>
                <w:szCs w:val="22"/>
                <w:lang w:val="lv-LV"/>
              </w:rPr>
              <w:t xml:space="preserve">Laboratorisko izmeklējumu rezultāti </w:t>
            </w:r>
            <w:r w:rsidRPr="00707120">
              <w:rPr>
                <w:bCs/>
                <w:sz w:val="22"/>
                <w:szCs w:val="22"/>
                <w:lang w:val="lv-LV"/>
              </w:rPr>
              <w:br/>
              <w:t>(šūnas</w:t>
            </w:r>
            <w:r w:rsidR="000B238A">
              <w:rPr>
                <w:bCs/>
                <w:sz w:val="22"/>
                <w:szCs w:val="22"/>
                <w:lang w:val="lv-LV"/>
              </w:rPr>
              <w:t> × </w:t>
            </w:r>
            <w:r w:rsidRPr="00707120">
              <w:rPr>
                <w:bCs/>
                <w:sz w:val="22"/>
                <w:szCs w:val="22"/>
                <w:lang w:val="lv-LV"/>
              </w:rPr>
              <w:t>10</w:t>
            </w:r>
            <w:r w:rsidRPr="00707120">
              <w:rPr>
                <w:bCs/>
                <w:sz w:val="22"/>
                <w:szCs w:val="22"/>
                <w:vertAlign w:val="superscript"/>
                <w:lang w:val="lv-LV"/>
              </w:rPr>
              <w:t>3</w:t>
            </w:r>
            <w:r w:rsidRPr="00707120">
              <w:rPr>
                <w:bCs/>
                <w:sz w:val="22"/>
                <w:szCs w:val="22"/>
                <w:lang w:val="lv-LV"/>
              </w:rPr>
              <w:t>/</w:t>
            </w:r>
            <w:r w:rsidR="00236CD1">
              <w:rPr>
                <w:sz w:val="22"/>
                <w:szCs w:val="22"/>
                <w:lang w:val="lv-LV"/>
              </w:rPr>
              <w:t>μ</w:t>
            </w:r>
            <w:r w:rsidRPr="00707120">
              <w:rPr>
                <w:bCs/>
                <w:sz w:val="22"/>
                <w:szCs w:val="22"/>
                <w:lang w:val="lv-LV"/>
              </w:rPr>
              <w:t>l)</w:t>
            </w:r>
          </w:p>
        </w:tc>
        <w:tc>
          <w:tcPr>
            <w:tcW w:w="6557" w:type="dxa"/>
            <w:tcBorders>
              <w:top w:val="single" w:sz="4" w:space="0" w:color="000000"/>
              <w:left w:val="single" w:sz="4" w:space="0" w:color="000000"/>
              <w:bottom w:val="single" w:sz="4" w:space="0" w:color="000000"/>
              <w:right w:val="single" w:sz="4" w:space="0" w:color="000000"/>
            </w:tcBorders>
          </w:tcPr>
          <w:p w14:paraId="1BAC9541" w14:textId="77777777" w:rsidR="00784D05" w:rsidRPr="000B238A" w:rsidRDefault="00784D05">
            <w:pPr>
              <w:pStyle w:val="TextTi12"/>
              <w:keepNext/>
              <w:keepLines/>
              <w:jc w:val="center"/>
              <w:rPr>
                <w:bCs/>
                <w:sz w:val="22"/>
                <w:szCs w:val="22"/>
              </w:rPr>
            </w:pPr>
            <w:r w:rsidRPr="00707120">
              <w:rPr>
                <w:bCs/>
                <w:sz w:val="22"/>
                <w:szCs w:val="22"/>
              </w:rPr>
              <w:t>Rīcība</w:t>
            </w:r>
          </w:p>
        </w:tc>
      </w:tr>
      <w:tr w:rsidR="00784D05" w:rsidRPr="00903A29" w14:paraId="24F12311" w14:textId="77777777" w:rsidTr="00707120">
        <w:tc>
          <w:tcPr>
            <w:tcW w:w="2515" w:type="dxa"/>
            <w:tcBorders>
              <w:top w:val="single" w:sz="4" w:space="0" w:color="000000"/>
              <w:left w:val="single" w:sz="4" w:space="0" w:color="000000"/>
              <w:bottom w:val="single" w:sz="4" w:space="0" w:color="000000"/>
            </w:tcBorders>
          </w:tcPr>
          <w:p w14:paraId="1A7E9FFD" w14:textId="6242522C" w:rsidR="00784D05" w:rsidRDefault="00784D05">
            <w:pPr>
              <w:pStyle w:val="TextTi12"/>
              <w:keepNext/>
              <w:keepLines/>
              <w:rPr>
                <w:sz w:val="22"/>
                <w:szCs w:val="22"/>
                <w:lang w:val="lv-LV"/>
              </w:rPr>
            </w:pPr>
            <w:r>
              <w:rPr>
                <w:sz w:val="22"/>
                <w:szCs w:val="22"/>
              </w:rPr>
              <w:t>50</w:t>
            </w:r>
            <w:r w:rsidR="000B238A">
              <w:rPr>
                <w:sz w:val="22"/>
                <w:szCs w:val="22"/>
              </w:rPr>
              <w:noBreakHyphen/>
            </w:r>
            <w:r>
              <w:rPr>
                <w:sz w:val="22"/>
                <w:szCs w:val="22"/>
              </w:rPr>
              <w:t>100</w:t>
            </w:r>
          </w:p>
        </w:tc>
        <w:tc>
          <w:tcPr>
            <w:tcW w:w="6557" w:type="dxa"/>
            <w:tcBorders>
              <w:top w:val="single" w:sz="4" w:space="0" w:color="000000"/>
              <w:left w:val="single" w:sz="4" w:space="0" w:color="000000"/>
              <w:bottom w:val="single" w:sz="4" w:space="0" w:color="000000"/>
              <w:right w:val="single" w:sz="4" w:space="0" w:color="000000"/>
            </w:tcBorders>
          </w:tcPr>
          <w:p w14:paraId="06CC7D03" w14:textId="77777777" w:rsidR="00784D05" w:rsidRDefault="00784D05" w:rsidP="00707120">
            <w:pPr>
              <w:pStyle w:val="TextTi12"/>
              <w:keepNext/>
              <w:keepLines/>
              <w:spacing w:after="0" w:line="240" w:lineRule="auto"/>
              <w:rPr>
                <w:sz w:val="22"/>
                <w:szCs w:val="22"/>
                <w:lang w:val="lv-LV"/>
              </w:rPr>
            </w:pPr>
            <w:r>
              <w:rPr>
                <w:sz w:val="22"/>
                <w:szCs w:val="22"/>
                <w:lang w:val="lv-LV"/>
              </w:rPr>
              <w:t>Ja nepieciešams, jāmaina vienlaikus lietotā MTX</w:t>
            </w:r>
            <w:r>
              <w:rPr>
                <w:rFonts w:eastAsia="PMingLiU"/>
                <w:sz w:val="22"/>
                <w:szCs w:val="22"/>
                <w:lang w:val="lv-LV"/>
              </w:rPr>
              <w:t xml:space="preserve"> deva.</w:t>
            </w:r>
          </w:p>
          <w:p w14:paraId="6DE4963B" w14:textId="64F53659" w:rsidR="00784D05" w:rsidRDefault="00784D05" w:rsidP="00707120">
            <w:pPr>
              <w:pStyle w:val="TextTi12"/>
              <w:keepNext/>
              <w:keepLines/>
              <w:spacing w:after="0" w:line="240" w:lineRule="auto"/>
              <w:rPr>
                <w:sz w:val="22"/>
                <w:szCs w:val="22"/>
                <w:lang w:val="lv-LV"/>
              </w:rPr>
            </w:pPr>
            <w:r>
              <w:rPr>
                <w:sz w:val="22"/>
                <w:szCs w:val="22"/>
                <w:lang w:val="lv-LV"/>
              </w:rPr>
              <w:t xml:space="preserve">Uz laiku </w:t>
            </w:r>
            <w:r w:rsidR="000B238A">
              <w:rPr>
                <w:sz w:val="22"/>
                <w:szCs w:val="22"/>
                <w:lang w:val="lv-LV"/>
              </w:rPr>
              <w:t>jāpārtrauc tocilizumaba</w:t>
            </w:r>
            <w:r>
              <w:rPr>
                <w:sz w:val="22"/>
                <w:szCs w:val="22"/>
                <w:lang w:val="lv-LV"/>
              </w:rPr>
              <w:t xml:space="preserve"> lietošan</w:t>
            </w:r>
            <w:r w:rsidR="000B238A">
              <w:rPr>
                <w:sz w:val="22"/>
                <w:szCs w:val="22"/>
                <w:lang w:val="lv-LV"/>
              </w:rPr>
              <w:t>a</w:t>
            </w:r>
            <w:r>
              <w:rPr>
                <w:sz w:val="22"/>
                <w:szCs w:val="22"/>
                <w:lang w:val="lv-LV"/>
              </w:rPr>
              <w:t>.</w:t>
            </w:r>
          </w:p>
          <w:p w14:paraId="756453D6" w14:textId="1755A823" w:rsidR="00784D05" w:rsidRDefault="000B238A" w:rsidP="00707120">
            <w:pPr>
              <w:pStyle w:val="TextTi12"/>
              <w:keepNext/>
              <w:keepLines/>
              <w:spacing w:after="0" w:line="240" w:lineRule="auto"/>
              <w:jc w:val="left"/>
              <w:rPr>
                <w:sz w:val="22"/>
                <w:szCs w:val="22"/>
                <w:lang w:val="lv-LV"/>
              </w:rPr>
            </w:pPr>
            <w:r>
              <w:rPr>
                <w:sz w:val="22"/>
                <w:szCs w:val="22"/>
                <w:lang w:val="lv-LV"/>
              </w:rPr>
              <w:t xml:space="preserve">Tiklīdz </w:t>
            </w:r>
            <w:r w:rsidR="00784D05">
              <w:rPr>
                <w:sz w:val="22"/>
                <w:szCs w:val="22"/>
                <w:lang w:val="lv-LV"/>
              </w:rPr>
              <w:t>trombocītu skaits palielinās līdz</w:t>
            </w:r>
            <w:r w:rsidR="000C6C88">
              <w:rPr>
                <w:sz w:val="22"/>
                <w:szCs w:val="22"/>
                <w:lang w:val="lv-LV"/>
              </w:rPr>
              <w:t> </w:t>
            </w:r>
            <w:r>
              <w:rPr>
                <w:sz w:val="22"/>
                <w:szCs w:val="22"/>
                <w:lang w:val="lv-LV"/>
              </w:rPr>
              <w:t>˃ </w:t>
            </w:r>
            <w:r w:rsidR="00784D05">
              <w:rPr>
                <w:sz w:val="22"/>
                <w:szCs w:val="22"/>
                <w:lang w:val="lv-LV"/>
              </w:rPr>
              <w:t>100</w:t>
            </w:r>
            <w:r>
              <w:rPr>
                <w:sz w:val="22"/>
                <w:szCs w:val="22"/>
                <w:lang w:val="lv-LV"/>
              </w:rPr>
              <w:t> × </w:t>
            </w:r>
            <w:r w:rsidR="00784D05">
              <w:rPr>
                <w:sz w:val="22"/>
                <w:szCs w:val="22"/>
                <w:lang w:val="lv-LV"/>
              </w:rPr>
              <w:t>10</w:t>
            </w:r>
            <w:r w:rsidR="00784D05">
              <w:rPr>
                <w:sz w:val="22"/>
                <w:szCs w:val="22"/>
                <w:vertAlign w:val="superscript"/>
                <w:lang w:val="lv-LV"/>
              </w:rPr>
              <w:t>3</w:t>
            </w:r>
            <w:r w:rsidR="00784D05">
              <w:rPr>
                <w:sz w:val="22"/>
                <w:szCs w:val="22"/>
                <w:lang w:val="lv-LV"/>
              </w:rPr>
              <w:t xml:space="preserve">/μl, </w:t>
            </w:r>
            <w:r>
              <w:rPr>
                <w:sz w:val="22"/>
                <w:szCs w:val="22"/>
                <w:lang w:val="lv-LV"/>
              </w:rPr>
              <w:t xml:space="preserve">terapiju </w:t>
            </w:r>
            <w:r w:rsidR="00784D05">
              <w:rPr>
                <w:sz w:val="22"/>
                <w:szCs w:val="22"/>
                <w:lang w:val="lv-LV"/>
              </w:rPr>
              <w:t>atsāk</w:t>
            </w:r>
            <w:r>
              <w:rPr>
                <w:sz w:val="22"/>
                <w:szCs w:val="22"/>
                <w:lang w:val="lv-LV"/>
              </w:rPr>
              <w:t>.</w:t>
            </w:r>
          </w:p>
        </w:tc>
      </w:tr>
      <w:tr w:rsidR="00784D05" w:rsidRPr="00903A29" w14:paraId="1243D2BA" w14:textId="77777777" w:rsidTr="00707120">
        <w:tc>
          <w:tcPr>
            <w:tcW w:w="2515" w:type="dxa"/>
            <w:tcBorders>
              <w:top w:val="single" w:sz="4" w:space="0" w:color="000000"/>
              <w:left w:val="single" w:sz="4" w:space="0" w:color="000000"/>
              <w:bottom w:val="single" w:sz="4" w:space="0" w:color="000000"/>
            </w:tcBorders>
          </w:tcPr>
          <w:p w14:paraId="51DB136C" w14:textId="010A8445" w:rsidR="00784D05" w:rsidRDefault="000B238A">
            <w:pPr>
              <w:pStyle w:val="TextTi12"/>
              <w:keepNext/>
              <w:keepLines/>
              <w:rPr>
                <w:sz w:val="22"/>
                <w:szCs w:val="22"/>
                <w:lang w:val="lv-LV"/>
              </w:rPr>
            </w:pPr>
            <w:r>
              <w:rPr>
                <w:sz w:val="22"/>
                <w:szCs w:val="22"/>
              </w:rPr>
              <w:t>˂ </w:t>
            </w:r>
            <w:r w:rsidR="00784D05">
              <w:rPr>
                <w:sz w:val="22"/>
                <w:szCs w:val="22"/>
              </w:rPr>
              <w:t>50</w:t>
            </w:r>
          </w:p>
        </w:tc>
        <w:tc>
          <w:tcPr>
            <w:tcW w:w="6557" w:type="dxa"/>
            <w:tcBorders>
              <w:top w:val="single" w:sz="4" w:space="0" w:color="000000"/>
              <w:left w:val="single" w:sz="4" w:space="0" w:color="000000"/>
              <w:bottom w:val="single" w:sz="4" w:space="0" w:color="000000"/>
              <w:right w:val="single" w:sz="4" w:space="0" w:color="000000"/>
            </w:tcBorders>
          </w:tcPr>
          <w:p w14:paraId="5C8504AD" w14:textId="0B8109C9" w:rsidR="00784D05" w:rsidRDefault="000B238A" w:rsidP="00707120">
            <w:pPr>
              <w:pStyle w:val="TextTi12"/>
              <w:keepNext/>
              <w:keepLines/>
              <w:spacing w:after="0" w:line="240" w:lineRule="auto"/>
              <w:jc w:val="left"/>
              <w:rPr>
                <w:sz w:val="22"/>
                <w:szCs w:val="22"/>
                <w:lang w:val="lv-LV"/>
              </w:rPr>
            </w:pPr>
            <w:r>
              <w:rPr>
                <w:sz w:val="22"/>
                <w:szCs w:val="22"/>
                <w:lang w:val="lv-LV"/>
              </w:rPr>
              <w:t>Tocilizumaba terapija ir pilnīgi jāpārtrauc.</w:t>
            </w:r>
          </w:p>
          <w:p w14:paraId="76115702" w14:textId="706118C5" w:rsidR="00784D05" w:rsidRDefault="00784D05" w:rsidP="00707120">
            <w:pPr>
              <w:pStyle w:val="TextTi12"/>
              <w:keepNext/>
              <w:keepLines/>
              <w:spacing w:after="0" w:line="240" w:lineRule="auto"/>
              <w:jc w:val="left"/>
              <w:rPr>
                <w:lang w:val="lv-LV"/>
              </w:rPr>
            </w:pPr>
            <w:r>
              <w:rPr>
                <w:sz w:val="22"/>
                <w:szCs w:val="22"/>
                <w:lang w:val="lv-LV"/>
              </w:rPr>
              <w:t xml:space="preserve">Lēmums pārtraukt </w:t>
            </w:r>
            <w:r w:rsidR="000B238A">
              <w:rPr>
                <w:sz w:val="22"/>
                <w:szCs w:val="22"/>
                <w:lang w:val="lv-LV"/>
              </w:rPr>
              <w:t>terapiju</w:t>
            </w:r>
            <w:r>
              <w:rPr>
                <w:sz w:val="22"/>
                <w:szCs w:val="22"/>
                <w:lang w:val="lv-LV"/>
              </w:rPr>
              <w:t xml:space="preserve"> pJIA gadījumā laboratorisko izmeklējumu noviržu dēļ jābalsta uz konkrētā pacienta medicīnisku izmeklēšanu.</w:t>
            </w:r>
          </w:p>
        </w:tc>
      </w:tr>
    </w:tbl>
    <w:p w14:paraId="4EF7EBBB" w14:textId="77777777" w:rsidR="00784D05" w:rsidRDefault="00784D05">
      <w:pPr>
        <w:ind w:left="567" w:hanging="567"/>
        <w:rPr>
          <w:lang w:val="lv-LV"/>
        </w:rPr>
      </w:pPr>
    </w:p>
    <w:p w14:paraId="181B4DB0" w14:textId="77777777" w:rsidR="00784D05" w:rsidRDefault="00784D05">
      <w:pPr>
        <w:rPr>
          <w:szCs w:val="22"/>
          <w:lang w:val="lv-LV"/>
        </w:rPr>
      </w:pPr>
      <w:r>
        <w:rPr>
          <w:szCs w:val="22"/>
          <w:lang w:val="lv-LV"/>
        </w:rPr>
        <w:t>Tocilizumaba devas samazināšana laboratorisko rādītāju noviržu dēļ pJIA slimniekiem nav pētīta.</w:t>
      </w:r>
    </w:p>
    <w:p w14:paraId="6A8009DD" w14:textId="77777777" w:rsidR="00784D05" w:rsidRDefault="00784D05">
      <w:pPr>
        <w:rPr>
          <w:szCs w:val="22"/>
          <w:lang w:val="lv-LV"/>
        </w:rPr>
      </w:pPr>
    </w:p>
    <w:p w14:paraId="4D075494" w14:textId="58001E1C" w:rsidR="00784D05" w:rsidRDefault="00784D05">
      <w:pPr>
        <w:rPr>
          <w:szCs w:val="22"/>
          <w:lang w:val="lv-LV"/>
        </w:rPr>
      </w:pPr>
      <w:r>
        <w:rPr>
          <w:szCs w:val="22"/>
          <w:lang w:val="lv-LV"/>
        </w:rPr>
        <w:t xml:space="preserve">Pieejamie dati liecina, ka klīnisku uzlabošanos novēro 12 nedēļu laikā pēc ārstēšanas uzsākšanas ar </w:t>
      </w:r>
      <w:r w:rsidR="000B238A">
        <w:rPr>
          <w:szCs w:val="22"/>
          <w:lang w:val="lv-LV"/>
        </w:rPr>
        <w:t>tocilizumabu</w:t>
      </w:r>
      <w:r>
        <w:rPr>
          <w:szCs w:val="22"/>
          <w:lang w:val="lv-LV"/>
        </w:rPr>
        <w:t>. Ārstēšanas turpināšana vēlreiz rūpīgi jāizvērtē, ja pacienta stāvoklis šajā laikā neuzlabojas.</w:t>
      </w:r>
    </w:p>
    <w:p w14:paraId="28E7E6EF" w14:textId="77777777" w:rsidR="000B238A" w:rsidRDefault="000B238A">
      <w:pPr>
        <w:rPr>
          <w:szCs w:val="22"/>
          <w:lang w:val="lv-LV"/>
        </w:rPr>
      </w:pPr>
    </w:p>
    <w:p w14:paraId="186DC74D" w14:textId="4D888F28" w:rsidR="000B238A" w:rsidRPr="00707120" w:rsidRDefault="000B238A">
      <w:pPr>
        <w:rPr>
          <w:i/>
          <w:szCs w:val="22"/>
          <w:lang w:val="lv-LV"/>
        </w:rPr>
      </w:pPr>
      <w:r w:rsidRPr="00707120">
        <w:rPr>
          <w:i/>
          <w:szCs w:val="22"/>
          <w:u w:val="single"/>
          <w:lang w:val="lv-LV"/>
        </w:rPr>
        <w:t>CRS</w:t>
      </w:r>
    </w:p>
    <w:p w14:paraId="070F2E1C" w14:textId="12F5DD97" w:rsidR="00784D05" w:rsidRDefault="000B238A" w:rsidP="000B238A">
      <w:pPr>
        <w:rPr>
          <w:b/>
          <w:szCs w:val="22"/>
          <w:lang w:val="lv-LV"/>
        </w:rPr>
      </w:pPr>
      <w:r>
        <w:rPr>
          <w:szCs w:val="22"/>
          <w:lang w:val="lv-LV"/>
        </w:rPr>
        <w:t>Pediatriskiem pacientiem (no 2 gadu vecuma) tocilizumabu var lietot tādā pašā devā, kā pieaugušajiem ar CRS. Skatīt 4.2. apakšpunkt</w:t>
      </w:r>
      <w:r w:rsidR="007F4FFA">
        <w:rPr>
          <w:szCs w:val="22"/>
          <w:lang w:val="lv-LV"/>
        </w:rPr>
        <w:t>ā</w:t>
      </w:r>
      <w:r>
        <w:rPr>
          <w:szCs w:val="22"/>
          <w:lang w:val="lv-LV"/>
        </w:rPr>
        <w:t xml:space="preserve"> “Devas un lietošanas veids</w:t>
      </w:r>
      <w:r w:rsidR="007F4FFA">
        <w:rPr>
          <w:szCs w:val="22"/>
          <w:lang w:val="lv-LV"/>
        </w:rPr>
        <w:t>”, sadaļu “</w:t>
      </w:r>
      <w:r w:rsidR="007F4FFA" w:rsidRPr="00707120">
        <w:rPr>
          <w:i/>
          <w:iCs/>
          <w:lang w:val="lv-LV"/>
        </w:rPr>
        <w:t>Citokīnu atbrīvošanās sindroms (CRS) (pieaugušie un bērni)</w:t>
      </w:r>
      <w:r>
        <w:rPr>
          <w:szCs w:val="22"/>
          <w:lang w:val="lv-LV"/>
        </w:rPr>
        <w:t xml:space="preserve">”. </w:t>
      </w:r>
    </w:p>
    <w:p w14:paraId="6C688FE2" w14:textId="77777777" w:rsidR="00784D05" w:rsidRDefault="00784D05">
      <w:pPr>
        <w:ind w:left="567" w:hanging="567"/>
        <w:rPr>
          <w:b/>
          <w:szCs w:val="22"/>
          <w:lang w:val="lv-LV"/>
        </w:rPr>
      </w:pPr>
    </w:p>
    <w:p w14:paraId="0264B549" w14:textId="77777777" w:rsidR="00784D05" w:rsidRDefault="00784D05">
      <w:pPr>
        <w:keepNext/>
        <w:keepLines/>
        <w:ind w:left="562" w:hanging="562"/>
        <w:rPr>
          <w:szCs w:val="22"/>
          <w:u w:val="single"/>
          <w:lang w:val="lv-LV"/>
        </w:rPr>
      </w:pPr>
      <w:r>
        <w:rPr>
          <w:szCs w:val="22"/>
          <w:u w:val="single"/>
          <w:lang w:val="lv-LV"/>
        </w:rPr>
        <w:t>Lietošanas veids</w:t>
      </w:r>
    </w:p>
    <w:p w14:paraId="39D9A5E2" w14:textId="59CB1D7E" w:rsidR="00784D05" w:rsidRPr="000B238A" w:rsidRDefault="00784D05">
      <w:pPr>
        <w:rPr>
          <w:lang w:val="lv-LV"/>
        </w:rPr>
      </w:pPr>
      <w:r>
        <w:rPr>
          <w:lang w:val="lv-LV"/>
        </w:rPr>
        <w:t xml:space="preserve">Pēc atšķaidīšanas </w:t>
      </w:r>
      <w:r w:rsidR="000B238A">
        <w:rPr>
          <w:szCs w:val="22"/>
          <w:lang w:val="lv-LV"/>
        </w:rPr>
        <w:t>šīs zāles</w:t>
      </w:r>
      <w:r>
        <w:rPr>
          <w:lang w:val="lv-LV"/>
        </w:rPr>
        <w:t xml:space="preserve"> jāievada </w:t>
      </w:r>
      <w:r w:rsidR="00B1121A">
        <w:rPr>
          <w:lang w:val="lv-LV"/>
        </w:rPr>
        <w:t>1 </w:t>
      </w:r>
      <w:r>
        <w:rPr>
          <w:lang w:val="lv-LV"/>
        </w:rPr>
        <w:t>stundu ilgas intravenozas infūzijas veidā.</w:t>
      </w:r>
      <w:r w:rsidR="000B238A">
        <w:rPr>
          <w:lang w:val="lv-LV"/>
        </w:rPr>
        <w:t xml:space="preserve"> </w:t>
      </w:r>
      <w:r w:rsidR="000B238A" w:rsidRPr="00707120">
        <w:rPr>
          <w:lang w:val="lv-LV"/>
        </w:rPr>
        <w:t>Ja rodas ar infūziju saistītas reakcijas pazīmes un simptomi, ir jāsamazina infūzijas ātrums vai tā jāpārtrauc un nekavējoties jāsāk ārstēšana ar atbilstošām zālēm/</w:t>
      </w:r>
      <w:r w:rsidR="000B238A" w:rsidRPr="00026F10">
        <w:rPr>
          <w:lang w:val="lv-LV"/>
        </w:rPr>
        <w:t>uzturošā terapija</w:t>
      </w:r>
      <w:r w:rsidR="000B238A" w:rsidRPr="00707120">
        <w:rPr>
          <w:lang w:val="lv-LV"/>
        </w:rPr>
        <w:t xml:space="preserve"> </w:t>
      </w:r>
      <w:r w:rsidR="000B238A">
        <w:rPr>
          <w:lang w:val="lv-LV"/>
        </w:rPr>
        <w:t>(</w:t>
      </w:r>
      <w:r w:rsidR="000B238A" w:rsidRPr="00707120">
        <w:rPr>
          <w:lang w:val="lv-LV"/>
        </w:rPr>
        <w:t>skatīt 4.4. apakšpunktu</w:t>
      </w:r>
      <w:r w:rsidR="000B238A">
        <w:rPr>
          <w:lang w:val="lv-LV"/>
        </w:rPr>
        <w:t>)</w:t>
      </w:r>
      <w:r w:rsidR="000B238A" w:rsidRPr="00707120">
        <w:rPr>
          <w:lang w:val="lv-LV"/>
        </w:rPr>
        <w:t>.</w:t>
      </w:r>
    </w:p>
    <w:p w14:paraId="6DBD9741" w14:textId="77777777" w:rsidR="00784D05" w:rsidRDefault="00784D05">
      <w:pPr>
        <w:rPr>
          <w:lang w:val="lv-LV"/>
        </w:rPr>
      </w:pPr>
    </w:p>
    <w:p w14:paraId="1D6095BF" w14:textId="4F5871D2" w:rsidR="00784D05" w:rsidRPr="00707120" w:rsidRDefault="00784D05">
      <w:pPr>
        <w:rPr>
          <w:i/>
          <w:iCs/>
          <w:lang w:val="lv-LV"/>
        </w:rPr>
      </w:pPr>
      <w:r w:rsidRPr="00707120">
        <w:rPr>
          <w:i/>
          <w:iCs/>
          <w:szCs w:val="22"/>
          <w:lang w:val="lv-LV"/>
        </w:rPr>
        <w:t>Pacienti ar RA, sJIA</w:t>
      </w:r>
      <w:r w:rsidR="001B1AF6" w:rsidRPr="00707120">
        <w:rPr>
          <w:i/>
          <w:iCs/>
          <w:szCs w:val="22"/>
          <w:lang w:val="lv-LV"/>
        </w:rPr>
        <w:t>,</w:t>
      </w:r>
      <w:r w:rsidRPr="00707120">
        <w:rPr>
          <w:i/>
          <w:iCs/>
          <w:szCs w:val="22"/>
          <w:lang w:val="lv-LV"/>
        </w:rPr>
        <w:t xml:space="preserve"> pJIA</w:t>
      </w:r>
      <w:r w:rsidR="00B1121A" w:rsidRPr="00707120">
        <w:rPr>
          <w:i/>
          <w:iCs/>
          <w:szCs w:val="22"/>
          <w:lang w:val="lv-LV"/>
        </w:rPr>
        <w:t>,</w:t>
      </w:r>
      <w:r w:rsidRPr="00707120">
        <w:rPr>
          <w:i/>
          <w:iCs/>
          <w:szCs w:val="22"/>
          <w:lang w:val="lv-LV"/>
        </w:rPr>
        <w:t xml:space="preserve"> </w:t>
      </w:r>
      <w:r w:rsidR="001B1AF6" w:rsidRPr="00707120">
        <w:rPr>
          <w:i/>
          <w:iCs/>
          <w:szCs w:val="22"/>
          <w:lang w:val="lv-LV"/>
        </w:rPr>
        <w:t xml:space="preserve">CRS </w:t>
      </w:r>
      <w:r w:rsidR="00B1121A" w:rsidRPr="00707120">
        <w:rPr>
          <w:i/>
          <w:iCs/>
          <w:szCs w:val="22"/>
          <w:lang w:val="lv-LV"/>
        </w:rPr>
        <w:t>vai COVID</w:t>
      </w:r>
      <w:r w:rsidR="000B238A">
        <w:rPr>
          <w:i/>
          <w:iCs/>
          <w:szCs w:val="22"/>
          <w:lang w:val="lv-LV"/>
        </w:rPr>
        <w:noBreakHyphen/>
      </w:r>
      <w:r w:rsidR="00B1121A" w:rsidRPr="00707120">
        <w:rPr>
          <w:i/>
          <w:iCs/>
          <w:szCs w:val="22"/>
          <w:lang w:val="lv-LV"/>
        </w:rPr>
        <w:t>19</w:t>
      </w:r>
      <w:r w:rsidR="000C6C88">
        <w:rPr>
          <w:i/>
          <w:iCs/>
          <w:szCs w:val="22"/>
          <w:lang w:val="lv-LV"/>
        </w:rPr>
        <w:t>, kuru</w:t>
      </w:r>
      <w:r w:rsidR="00B1121A" w:rsidRPr="00707120">
        <w:rPr>
          <w:i/>
          <w:iCs/>
          <w:szCs w:val="22"/>
          <w:lang w:val="lv-LV"/>
        </w:rPr>
        <w:t xml:space="preserve"> </w:t>
      </w:r>
      <w:r w:rsidRPr="00707120">
        <w:rPr>
          <w:i/>
          <w:iCs/>
          <w:szCs w:val="22"/>
          <w:lang w:val="lv-LV"/>
        </w:rPr>
        <w:t>ķermeņa mas</w:t>
      </w:r>
      <w:r w:rsidR="000C6C88">
        <w:rPr>
          <w:i/>
          <w:iCs/>
          <w:szCs w:val="22"/>
          <w:lang w:val="lv-LV"/>
        </w:rPr>
        <w:t>a ir</w:t>
      </w:r>
      <w:r w:rsidRPr="00707120">
        <w:rPr>
          <w:i/>
          <w:iCs/>
          <w:szCs w:val="22"/>
          <w:lang w:val="lv-LV"/>
        </w:rPr>
        <w:t xml:space="preserve"> </w:t>
      </w:r>
      <w:r w:rsidR="000B238A">
        <w:rPr>
          <w:i/>
          <w:iCs/>
          <w:szCs w:val="22"/>
          <w:lang w:val="lv-LV"/>
        </w:rPr>
        <w:t>≥ </w:t>
      </w:r>
      <w:r w:rsidRPr="00707120">
        <w:rPr>
          <w:i/>
          <w:iCs/>
          <w:szCs w:val="22"/>
          <w:lang w:val="lv-LV"/>
        </w:rPr>
        <w:t>30 kg</w:t>
      </w:r>
    </w:p>
    <w:p w14:paraId="1D5D810D" w14:textId="0F13523E" w:rsidR="00784D05" w:rsidRDefault="000B238A">
      <w:pPr>
        <w:rPr>
          <w:lang w:val="lv-LV"/>
        </w:rPr>
      </w:pPr>
      <w:r>
        <w:rPr>
          <w:szCs w:val="22"/>
          <w:lang w:val="lv-LV"/>
        </w:rPr>
        <w:t>Šīs zāles</w:t>
      </w:r>
      <w:r w:rsidR="00784D05">
        <w:rPr>
          <w:lang w:val="lv-LV"/>
        </w:rPr>
        <w:t xml:space="preserve"> ir aseptiski jāatšķaida līdz galīgajam tilpumam (100 ml) ar sterilu, apirogēnu nātrija hlorīda 9 mg/ml (0,9%) šķīdumu injekcijām. </w:t>
      </w:r>
    </w:p>
    <w:p w14:paraId="272CA033" w14:textId="77777777" w:rsidR="00784D05" w:rsidRDefault="00784D05">
      <w:pPr>
        <w:rPr>
          <w:lang w:val="lv-LV"/>
        </w:rPr>
      </w:pPr>
    </w:p>
    <w:p w14:paraId="760A7B26" w14:textId="7346DCE7" w:rsidR="00784D05" w:rsidRDefault="00E503B2">
      <w:pPr>
        <w:rPr>
          <w:b/>
          <w:szCs w:val="22"/>
          <w:lang w:val="lv-LV"/>
        </w:rPr>
      </w:pPr>
      <w:r>
        <w:rPr>
          <w:lang w:val="lv-LV"/>
        </w:rPr>
        <w:t xml:space="preserve">Norādījumus </w:t>
      </w:r>
      <w:r w:rsidR="00784D05">
        <w:rPr>
          <w:lang w:val="lv-LV"/>
        </w:rPr>
        <w:t xml:space="preserve">par zāļu atšķaidīšanu pirms lietošanas skatīt 6.6. apakšpunktā. </w:t>
      </w:r>
    </w:p>
    <w:p w14:paraId="0B234A9B" w14:textId="77777777" w:rsidR="00784D05" w:rsidRDefault="00784D05">
      <w:pPr>
        <w:ind w:left="567" w:hanging="567"/>
        <w:rPr>
          <w:b/>
          <w:szCs w:val="22"/>
          <w:lang w:val="lv-LV"/>
        </w:rPr>
      </w:pPr>
    </w:p>
    <w:p w14:paraId="63F1E211" w14:textId="00957598" w:rsidR="00784D05" w:rsidRPr="00707120" w:rsidRDefault="00784D05" w:rsidP="00707120">
      <w:pPr>
        <w:keepNext/>
        <w:rPr>
          <w:i/>
          <w:iCs/>
          <w:szCs w:val="22"/>
          <w:lang w:val="lv-LV"/>
        </w:rPr>
      </w:pPr>
      <w:r w:rsidRPr="00707120">
        <w:rPr>
          <w:i/>
          <w:iCs/>
          <w:szCs w:val="22"/>
          <w:lang w:val="lv-LV"/>
        </w:rPr>
        <w:t>Pacienti ar sJIA</w:t>
      </w:r>
      <w:r w:rsidR="001B1AF6" w:rsidRPr="00707120">
        <w:rPr>
          <w:i/>
          <w:iCs/>
          <w:szCs w:val="22"/>
          <w:lang w:val="lv-LV"/>
        </w:rPr>
        <w:t>,</w:t>
      </w:r>
      <w:r w:rsidRPr="00707120">
        <w:rPr>
          <w:i/>
          <w:iCs/>
          <w:szCs w:val="22"/>
          <w:lang w:val="lv-LV"/>
        </w:rPr>
        <w:t xml:space="preserve"> pJIA</w:t>
      </w:r>
      <w:r w:rsidR="001B1AF6" w:rsidRPr="00707120">
        <w:rPr>
          <w:i/>
          <w:iCs/>
          <w:szCs w:val="22"/>
          <w:lang w:val="lv-LV"/>
        </w:rPr>
        <w:t xml:space="preserve"> vai CRS</w:t>
      </w:r>
      <w:r w:rsidRPr="00707120">
        <w:rPr>
          <w:i/>
          <w:iCs/>
          <w:szCs w:val="22"/>
          <w:lang w:val="lv-LV"/>
        </w:rPr>
        <w:t xml:space="preserve">, kuru ķermeņa masa ir </w:t>
      </w:r>
      <w:r w:rsidR="000B238A">
        <w:rPr>
          <w:i/>
          <w:iCs/>
          <w:szCs w:val="22"/>
          <w:lang w:val="lv-LV"/>
        </w:rPr>
        <w:t>˂ </w:t>
      </w:r>
      <w:r w:rsidRPr="00707120">
        <w:rPr>
          <w:i/>
          <w:iCs/>
          <w:szCs w:val="22"/>
          <w:lang w:val="lv-LV"/>
        </w:rPr>
        <w:t>30 kg</w:t>
      </w:r>
    </w:p>
    <w:p w14:paraId="517A8423" w14:textId="00CCFC73" w:rsidR="00784D05" w:rsidRDefault="000B238A">
      <w:pPr>
        <w:rPr>
          <w:szCs w:val="22"/>
          <w:lang w:val="lv-LV"/>
        </w:rPr>
      </w:pPr>
      <w:r>
        <w:rPr>
          <w:szCs w:val="22"/>
          <w:lang w:val="lv-LV"/>
        </w:rPr>
        <w:t>Šīs zāles</w:t>
      </w:r>
      <w:r w:rsidR="00784D05">
        <w:rPr>
          <w:szCs w:val="22"/>
          <w:lang w:val="lv-LV"/>
        </w:rPr>
        <w:t xml:space="preserve"> jāatšķaida ar sterilu apirogēnu 9 mg/ml (0,9%) nātrija hlorīda injekciju šķīdumu, ievērojot aseptikas tehniku, līdz galīgajam tilpumam – 50 ml.</w:t>
      </w:r>
    </w:p>
    <w:p w14:paraId="642C0403" w14:textId="77777777" w:rsidR="00784D05" w:rsidRDefault="00784D05">
      <w:pPr>
        <w:rPr>
          <w:szCs w:val="22"/>
          <w:lang w:val="lv-LV"/>
        </w:rPr>
      </w:pPr>
    </w:p>
    <w:p w14:paraId="07A2C401" w14:textId="52FD6C0B" w:rsidR="00784D05" w:rsidRDefault="000B238A">
      <w:pPr>
        <w:rPr>
          <w:b/>
          <w:szCs w:val="22"/>
          <w:lang w:val="lv-LV"/>
        </w:rPr>
      </w:pPr>
      <w:r>
        <w:rPr>
          <w:szCs w:val="22"/>
          <w:lang w:val="lv-LV"/>
        </w:rPr>
        <w:t xml:space="preserve">Norādījumus </w:t>
      </w:r>
      <w:r w:rsidR="00784D05">
        <w:rPr>
          <w:szCs w:val="22"/>
          <w:lang w:val="lv-LV"/>
        </w:rPr>
        <w:t>par zāļu atšķaidīšanu pirms lietošanas skatīt 6.6. apakšpunktā.</w:t>
      </w:r>
    </w:p>
    <w:p w14:paraId="0A4616D6" w14:textId="5B991FE8" w:rsidR="00784D05" w:rsidRDefault="00784D05">
      <w:pPr>
        <w:ind w:left="567" w:hanging="567"/>
        <w:rPr>
          <w:b/>
          <w:szCs w:val="22"/>
          <w:lang w:val="lv-LV"/>
        </w:rPr>
      </w:pPr>
    </w:p>
    <w:p w14:paraId="3DE6B342" w14:textId="77777777" w:rsidR="00784D05" w:rsidRDefault="00784D05" w:rsidP="0063054D">
      <w:pPr>
        <w:keepNext/>
        <w:keepLines/>
        <w:ind w:left="567" w:hanging="567"/>
        <w:rPr>
          <w:szCs w:val="22"/>
          <w:lang w:val="lv-LV"/>
        </w:rPr>
      </w:pPr>
      <w:r>
        <w:rPr>
          <w:b/>
          <w:szCs w:val="22"/>
          <w:lang w:val="lv-LV"/>
        </w:rPr>
        <w:t>4.3.</w:t>
      </w:r>
      <w:r>
        <w:rPr>
          <w:b/>
          <w:szCs w:val="22"/>
          <w:lang w:val="lv-LV"/>
        </w:rPr>
        <w:tab/>
        <w:t>Kontrindikācijas</w:t>
      </w:r>
    </w:p>
    <w:p w14:paraId="5677C890" w14:textId="77777777" w:rsidR="00784D05" w:rsidRDefault="00784D05" w:rsidP="0063054D">
      <w:pPr>
        <w:keepNext/>
        <w:keepLines/>
        <w:rPr>
          <w:szCs w:val="22"/>
          <w:lang w:val="lv-LV"/>
        </w:rPr>
      </w:pPr>
    </w:p>
    <w:p w14:paraId="4C561122" w14:textId="77777777" w:rsidR="00784D05" w:rsidRDefault="00784D05" w:rsidP="0063054D">
      <w:pPr>
        <w:keepNext/>
        <w:keepLines/>
        <w:rPr>
          <w:szCs w:val="22"/>
          <w:lang w:val="lv-LV"/>
        </w:rPr>
      </w:pPr>
      <w:r>
        <w:rPr>
          <w:szCs w:val="22"/>
          <w:lang w:val="lv-LV"/>
        </w:rPr>
        <w:t>Paaugstināta jutība pret aktīvo vielu vai jebkuru no 6.1. apakšpunktā uzskaitītajām palīgvielām.</w:t>
      </w:r>
    </w:p>
    <w:p w14:paraId="1CDC1082" w14:textId="77777777" w:rsidR="00784D05" w:rsidRDefault="00784D05">
      <w:pPr>
        <w:rPr>
          <w:szCs w:val="22"/>
          <w:lang w:val="lv-LV"/>
        </w:rPr>
      </w:pPr>
    </w:p>
    <w:p w14:paraId="417205D2" w14:textId="6FE69DA4" w:rsidR="00784D05" w:rsidRDefault="00784D05">
      <w:pPr>
        <w:rPr>
          <w:szCs w:val="22"/>
          <w:lang w:val="lv-LV"/>
        </w:rPr>
      </w:pPr>
      <w:r>
        <w:rPr>
          <w:szCs w:val="22"/>
          <w:lang w:val="lv-LV"/>
        </w:rPr>
        <w:t>Smagas aktīvas infekcijas</w:t>
      </w:r>
      <w:r w:rsidR="00B1121A">
        <w:rPr>
          <w:szCs w:val="22"/>
          <w:lang w:val="lv-LV"/>
        </w:rPr>
        <w:t>, izņemot COVID</w:t>
      </w:r>
      <w:r w:rsidR="000B238A">
        <w:rPr>
          <w:szCs w:val="22"/>
          <w:lang w:val="lv-LV"/>
        </w:rPr>
        <w:noBreakHyphen/>
      </w:r>
      <w:r w:rsidR="00B1121A">
        <w:rPr>
          <w:szCs w:val="22"/>
          <w:lang w:val="lv-LV"/>
        </w:rPr>
        <w:t>19</w:t>
      </w:r>
      <w:r>
        <w:rPr>
          <w:szCs w:val="22"/>
          <w:lang w:val="lv-LV"/>
        </w:rPr>
        <w:t xml:space="preserve"> (skatīt 4.4. apakšpunktu).</w:t>
      </w:r>
    </w:p>
    <w:p w14:paraId="4E5624C7" w14:textId="77777777" w:rsidR="00784D05" w:rsidRDefault="00784D05">
      <w:pPr>
        <w:rPr>
          <w:szCs w:val="22"/>
          <w:lang w:val="lv-LV"/>
        </w:rPr>
      </w:pPr>
    </w:p>
    <w:p w14:paraId="59CDB7D0" w14:textId="77777777" w:rsidR="00784D05" w:rsidRDefault="00784D05" w:rsidP="00236CD1">
      <w:pPr>
        <w:keepNext/>
        <w:keepLines/>
        <w:rPr>
          <w:b/>
          <w:szCs w:val="22"/>
          <w:lang w:val="lv-LV"/>
        </w:rPr>
      </w:pPr>
      <w:r>
        <w:rPr>
          <w:b/>
          <w:szCs w:val="22"/>
          <w:lang w:val="lv-LV"/>
        </w:rPr>
        <w:t>4.4.</w:t>
      </w:r>
      <w:r>
        <w:rPr>
          <w:b/>
          <w:szCs w:val="22"/>
          <w:lang w:val="lv-LV"/>
        </w:rPr>
        <w:tab/>
        <w:t xml:space="preserve">Īpaši brīdinājumi un piesardzība lietošanā </w:t>
      </w:r>
    </w:p>
    <w:p w14:paraId="44119861" w14:textId="77777777" w:rsidR="00784D05" w:rsidRDefault="00784D05" w:rsidP="00707120">
      <w:pPr>
        <w:keepNext/>
        <w:rPr>
          <w:b/>
          <w:szCs w:val="22"/>
          <w:lang w:val="lv-LV"/>
        </w:rPr>
      </w:pPr>
    </w:p>
    <w:p w14:paraId="720F97B4" w14:textId="57C69912" w:rsidR="001D4BC9" w:rsidRDefault="00F020A5" w:rsidP="00707120">
      <w:pPr>
        <w:keepNext/>
        <w:suppressAutoHyphens w:val="0"/>
        <w:rPr>
          <w:ins w:id="30" w:author="Author"/>
          <w:iCs/>
          <w:u w:val="single"/>
          <w:lang w:val="lv-LV" w:eastAsia="lv-LV" w:bidi="lv-LV"/>
        </w:rPr>
      </w:pPr>
      <w:r w:rsidRPr="00707120">
        <w:rPr>
          <w:iCs/>
          <w:u w:val="single"/>
          <w:lang w:val="lv-LV" w:eastAsia="lv-LV" w:bidi="lv-LV"/>
        </w:rPr>
        <w:t>I</w:t>
      </w:r>
      <w:r w:rsidR="001D4BC9" w:rsidRPr="00707120">
        <w:rPr>
          <w:iCs/>
          <w:u w:val="single"/>
          <w:lang w:val="lv-LV" w:eastAsia="lv-LV" w:bidi="lv-LV"/>
        </w:rPr>
        <w:t>zsekojamība</w:t>
      </w:r>
    </w:p>
    <w:p w14:paraId="00EBCB64" w14:textId="77777777" w:rsidR="00DD58C9" w:rsidRPr="00707120" w:rsidRDefault="00DD58C9" w:rsidP="00707120">
      <w:pPr>
        <w:keepNext/>
        <w:suppressAutoHyphens w:val="0"/>
        <w:rPr>
          <w:iCs/>
          <w:u w:val="single"/>
          <w:lang w:val="lv-LV" w:eastAsia="lv-LV" w:bidi="lv-LV"/>
        </w:rPr>
      </w:pPr>
    </w:p>
    <w:p w14:paraId="5B3BC5C1" w14:textId="77777777" w:rsidR="001D4BC9" w:rsidRDefault="001D4BC9" w:rsidP="001D4BC9">
      <w:pPr>
        <w:suppressAutoHyphens w:val="0"/>
        <w:rPr>
          <w:szCs w:val="22"/>
          <w:lang w:val="lv-LV" w:eastAsia="lv-LV" w:bidi="lv-LV"/>
        </w:rPr>
      </w:pPr>
      <w:r w:rsidRPr="001721AD">
        <w:rPr>
          <w:szCs w:val="22"/>
          <w:lang w:val="lv-LV" w:eastAsia="lv-LV" w:bidi="lv-LV"/>
        </w:rPr>
        <w:t xml:space="preserve">Lai uzlabotu bioloģisko zāļu izsekojamību, </w:t>
      </w:r>
      <w:r w:rsidR="00F020A5">
        <w:rPr>
          <w:szCs w:val="22"/>
          <w:lang w:val="lv-LV" w:eastAsia="lv-LV" w:bidi="lv-LV"/>
        </w:rPr>
        <w:t>ir</w:t>
      </w:r>
      <w:r w:rsidRPr="001721AD">
        <w:rPr>
          <w:szCs w:val="22"/>
          <w:lang w:val="lv-LV" w:eastAsia="lv-LV" w:bidi="lv-LV"/>
        </w:rPr>
        <w:t xml:space="preserve"> skaidri jā</w:t>
      </w:r>
      <w:r w:rsidR="00F020A5">
        <w:rPr>
          <w:szCs w:val="22"/>
          <w:lang w:val="lv-LV" w:eastAsia="lv-LV" w:bidi="lv-LV"/>
        </w:rPr>
        <w:t>reģistrē</w:t>
      </w:r>
      <w:r w:rsidRPr="001721AD">
        <w:rPr>
          <w:szCs w:val="22"/>
          <w:lang w:val="lv-LV" w:eastAsia="lv-LV" w:bidi="lv-LV"/>
        </w:rPr>
        <w:t xml:space="preserve"> lietoto zāļu nosaukums un sērijas numurs.</w:t>
      </w:r>
    </w:p>
    <w:p w14:paraId="1F1E7693" w14:textId="77777777" w:rsidR="001D4BC9" w:rsidRDefault="001D4BC9" w:rsidP="001D4BC9">
      <w:pPr>
        <w:rPr>
          <w:lang w:val="lv-LV"/>
        </w:rPr>
      </w:pPr>
    </w:p>
    <w:p w14:paraId="15DE40F4" w14:textId="64932991" w:rsidR="001E4A02" w:rsidRPr="00707120" w:rsidRDefault="001E4A02" w:rsidP="00707120">
      <w:pPr>
        <w:keepNext/>
        <w:rPr>
          <w:szCs w:val="22"/>
          <w:u w:val="single"/>
          <w:lang w:val="lv-LV"/>
        </w:rPr>
      </w:pPr>
      <w:r w:rsidRPr="00707120">
        <w:rPr>
          <w:szCs w:val="22"/>
          <w:u w:val="single"/>
          <w:lang w:val="lv-LV"/>
        </w:rPr>
        <w:t xml:space="preserve">Pacienti ar RA, sJIA vai pJIA </w:t>
      </w:r>
    </w:p>
    <w:p w14:paraId="33C19334" w14:textId="77777777" w:rsidR="007E17F8" w:rsidRDefault="007E17F8" w:rsidP="00707120">
      <w:pPr>
        <w:keepNext/>
        <w:rPr>
          <w:ins w:id="31" w:author="Author"/>
          <w:i/>
          <w:szCs w:val="22"/>
          <w:lang w:val="lv-LV"/>
        </w:rPr>
      </w:pPr>
    </w:p>
    <w:p w14:paraId="6EB7A9BC" w14:textId="667864D8" w:rsidR="00784D05" w:rsidRDefault="00784D05" w:rsidP="00707120">
      <w:pPr>
        <w:keepNext/>
        <w:rPr>
          <w:szCs w:val="22"/>
          <w:lang w:val="lv-LV"/>
        </w:rPr>
      </w:pPr>
      <w:r>
        <w:rPr>
          <w:i/>
          <w:szCs w:val="22"/>
          <w:lang w:val="lv-LV"/>
        </w:rPr>
        <w:t>Infekcijas</w:t>
      </w:r>
    </w:p>
    <w:p w14:paraId="16F78451" w14:textId="2E437071" w:rsidR="00784D05" w:rsidRDefault="00784D05">
      <w:pPr>
        <w:rPr>
          <w:szCs w:val="22"/>
          <w:lang w:val="lv-LV"/>
        </w:rPr>
      </w:pPr>
      <w:r>
        <w:rPr>
          <w:szCs w:val="22"/>
          <w:lang w:val="lv-LV"/>
        </w:rPr>
        <w:t xml:space="preserve">Pacientiem, kas saņem imūnsupresīvus līdzekļus, tajā skaitā arī </w:t>
      </w:r>
      <w:r w:rsidR="000B238A">
        <w:rPr>
          <w:szCs w:val="22"/>
          <w:lang w:val="lv-LV"/>
        </w:rPr>
        <w:t>tocilizumabu</w:t>
      </w:r>
      <w:r>
        <w:rPr>
          <w:szCs w:val="22"/>
          <w:lang w:val="lv-LV"/>
        </w:rPr>
        <w:t>, ir aprakstītas nopietnas un dažkārt letālas infekcijas (skatīt 4.8. apakšpunktu).</w:t>
      </w:r>
      <w:r>
        <w:rPr>
          <w:lang w:val="lv-LV"/>
        </w:rPr>
        <w:t xml:space="preserve"> </w:t>
      </w:r>
      <w:r>
        <w:rPr>
          <w:szCs w:val="22"/>
          <w:lang w:val="lv-LV"/>
        </w:rPr>
        <w:t xml:space="preserve">Ārstēšanu nedrīkst sākt pacientiem ar aktīvām infekcijām (skatīt 4.3. apakšpunktu). Ja pacientam rodas nopietna infekcija, </w:t>
      </w:r>
      <w:r w:rsidR="000B238A">
        <w:rPr>
          <w:szCs w:val="22"/>
          <w:lang w:val="lv-LV"/>
        </w:rPr>
        <w:t>tocilizumaba</w:t>
      </w:r>
      <w:r>
        <w:rPr>
          <w:szCs w:val="22"/>
          <w:lang w:val="lv-LV"/>
        </w:rPr>
        <w:t xml:space="preserve"> lietošana jāpārtrauc, līdz infekcija tiek kontrolēta (skatīt 4.8. apakšpunktu). Veselības aprūpes speciālistiem jāievēro piesardzība, </w:t>
      </w:r>
      <w:r w:rsidR="000B238A">
        <w:rPr>
          <w:szCs w:val="22"/>
          <w:lang w:val="lv-LV"/>
        </w:rPr>
        <w:t>šo zā</w:t>
      </w:r>
      <w:r w:rsidR="000C6C88">
        <w:rPr>
          <w:szCs w:val="22"/>
          <w:lang w:val="lv-LV"/>
        </w:rPr>
        <w:t>ļ</w:t>
      </w:r>
      <w:r w:rsidR="000B238A">
        <w:rPr>
          <w:szCs w:val="22"/>
          <w:lang w:val="lv-LV"/>
        </w:rPr>
        <w:t xml:space="preserve">u lietošanu </w:t>
      </w:r>
      <w:r>
        <w:rPr>
          <w:szCs w:val="22"/>
          <w:lang w:val="lv-LV"/>
        </w:rPr>
        <w:t>apsverot pacientiem, kuriem anamnēzē ir recidivējošas vai hroniskas infekcijas vai pamatslimības (piemēram, divertikulīts, cukura diabēts un intersticiāla plaušu slimība), kas var predisponēt pacientus infekcijām.</w:t>
      </w:r>
    </w:p>
    <w:p w14:paraId="309BC402" w14:textId="77777777" w:rsidR="00784D05" w:rsidRDefault="00784D05">
      <w:pPr>
        <w:rPr>
          <w:szCs w:val="22"/>
          <w:lang w:val="lv-LV"/>
        </w:rPr>
      </w:pPr>
    </w:p>
    <w:p w14:paraId="62BB5D7C" w14:textId="03264568" w:rsidR="00784D05" w:rsidRDefault="00784D05">
      <w:pPr>
        <w:rPr>
          <w:szCs w:val="22"/>
          <w:lang w:val="lv-LV"/>
        </w:rPr>
      </w:pPr>
      <w:r>
        <w:rPr>
          <w:szCs w:val="22"/>
          <w:lang w:val="lv-LV"/>
        </w:rPr>
        <w:t xml:space="preserve">Ieteicama rūpīga novērošana, lai laicīgi konstatētu nopietnu infekciju pacientiem, kas saņem </w:t>
      </w:r>
      <w:del w:id="32" w:author="Regulatory LV" w:date="2026-03-17T11:12:00Z">
        <w:r w:rsidDel="00514E28">
          <w:rPr>
            <w:szCs w:val="22"/>
            <w:lang w:val="lv-LV"/>
          </w:rPr>
          <w:delText xml:space="preserve">bioloģisku </w:delText>
        </w:r>
      </w:del>
      <w:r>
        <w:rPr>
          <w:szCs w:val="22"/>
          <w:lang w:val="lv-LV"/>
        </w:rPr>
        <w:t>terapiju</w:t>
      </w:r>
      <w:ins w:id="33" w:author="Regulatory LV" w:date="2026-03-17T11:12:00Z">
        <w:r w:rsidR="00514E28">
          <w:rPr>
            <w:szCs w:val="22"/>
            <w:lang w:val="lv-LV"/>
          </w:rPr>
          <w:t xml:space="preserve"> ar bioloģiskām zālēm</w:t>
        </w:r>
      </w:ins>
      <w:r>
        <w:rPr>
          <w:szCs w:val="22"/>
          <w:lang w:val="lv-LV"/>
        </w:rPr>
        <w:t xml:space="preserve">, jo akūta iekaisuma pazīmes un simptomi var mazināties akūtās fāzes reakcijas nomākuma dēļ. Izmeklējot pacientu attiecībā uz iespējamu infekciju, ir jāņem vērā </w:t>
      </w:r>
      <w:r>
        <w:rPr>
          <w:lang w:val="lv-LV"/>
        </w:rPr>
        <w:t xml:space="preserve">tocilizumaba ietekme uz C-reaktīvo olbaltumu (CRO), </w:t>
      </w:r>
      <w:r w:rsidRPr="0043103B">
        <w:rPr>
          <w:lang w:val="lv-LV"/>
        </w:rPr>
        <w:t xml:space="preserve">neitrofilajiem leikocītiem un infekcijas pazīmēm un simptomiem. </w:t>
      </w:r>
      <w:r w:rsidRPr="0043103B">
        <w:rPr>
          <w:szCs w:val="22"/>
          <w:lang w:val="lv-LV"/>
        </w:rPr>
        <w:t>Pacientiem ar sJIA un pJIA (</w:t>
      </w:r>
      <w:r w:rsidR="008A660A" w:rsidRPr="0043103B">
        <w:rPr>
          <w:szCs w:val="22"/>
          <w:lang w:val="lv-LV"/>
        </w:rPr>
        <w:t>arī mazākiem</w:t>
      </w:r>
      <w:r w:rsidRPr="0043103B">
        <w:rPr>
          <w:szCs w:val="22"/>
          <w:lang w:val="lv-LV"/>
        </w:rPr>
        <w:t xml:space="preserve"> bērn</w:t>
      </w:r>
      <w:r w:rsidR="008A660A" w:rsidRPr="0043103B">
        <w:rPr>
          <w:szCs w:val="22"/>
          <w:lang w:val="lv-LV"/>
        </w:rPr>
        <w:t>iem</w:t>
      </w:r>
      <w:r w:rsidRPr="0043103B">
        <w:rPr>
          <w:szCs w:val="22"/>
          <w:lang w:val="lv-LV"/>
        </w:rPr>
        <w:t xml:space="preserve"> ar sJIA vai pJIA, kuri </w:t>
      </w:r>
      <w:r w:rsidR="008A660A" w:rsidRPr="0043103B">
        <w:rPr>
          <w:szCs w:val="22"/>
          <w:lang w:val="lv-LV"/>
        </w:rPr>
        <w:t>var būt mazāk spējīgi</w:t>
      </w:r>
      <w:r w:rsidRPr="0043103B">
        <w:rPr>
          <w:szCs w:val="22"/>
          <w:lang w:val="lv-LV"/>
        </w:rPr>
        <w:t xml:space="preserve"> darīt zināmus savus simptomus) un viņ</w:t>
      </w:r>
      <w:r>
        <w:rPr>
          <w:szCs w:val="22"/>
          <w:lang w:val="lv-LV"/>
        </w:rPr>
        <w:t>u vecākiem/aizbildņiem jānorāda nekavējoties sazināties ar savu veselības aprūpes speciālistu, ja rodas par infekciju liecinoši simptomi, lai nodrošinātu ātru novērtēšanu un atbilstošu ārstēšanu.</w:t>
      </w:r>
    </w:p>
    <w:p w14:paraId="48FE594E" w14:textId="77777777" w:rsidR="00784D05" w:rsidRDefault="00784D05">
      <w:pPr>
        <w:rPr>
          <w:szCs w:val="22"/>
          <w:lang w:val="lv-LV"/>
        </w:rPr>
      </w:pPr>
    </w:p>
    <w:p w14:paraId="60B4D775" w14:textId="6A9CF763" w:rsidR="00784D05" w:rsidRDefault="00784D05">
      <w:pPr>
        <w:rPr>
          <w:lang w:val="lv-LV"/>
        </w:rPr>
      </w:pPr>
      <w:r>
        <w:rPr>
          <w:i/>
          <w:lang w:val="lv-LV"/>
        </w:rPr>
        <w:t>Tuberkuloze</w:t>
      </w:r>
      <w:r w:rsidR="000B238A">
        <w:rPr>
          <w:i/>
          <w:lang w:val="lv-LV"/>
        </w:rPr>
        <w:t xml:space="preserve"> (TB)</w:t>
      </w:r>
    </w:p>
    <w:p w14:paraId="14BA8058" w14:textId="4DB6601F" w:rsidR="00784D05" w:rsidRDefault="00784D05" w:rsidP="00846FA5">
      <w:pPr>
        <w:rPr>
          <w:szCs w:val="24"/>
          <w:lang w:val="lv-LV"/>
        </w:rPr>
      </w:pPr>
      <w:r>
        <w:rPr>
          <w:lang w:val="lv-LV"/>
        </w:rPr>
        <w:t xml:space="preserve">Tāpat kā ir ieteikts citu bioloģisko RA, </w:t>
      </w:r>
      <w:r w:rsidR="000B238A">
        <w:rPr>
          <w:lang w:val="lv-LV"/>
        </w:rPr>
        <w:t>p</w:t>
      </w:r>
      <w:r>
        <w:rPr>
          <w:lang w:val="lv-LV"/>
        </w:rPr>
        <w:t xml:space="preserve">JIA un </w:t>
      </w:r>
      <w:r w:rsidR="000B238A">
        <w:rPr>
          <w:lang w:val="lv-LV"/>
        </w:rPr>
        <w:t>s</w:t>
      </w:r>
      <w:r>
        <w:rPr>
          <w:lang w:val="lv-LV"/>
        </w:rPr>
        <w:t xml:space="preserve">JIA terapijai paredzēto zāļu lietošanas gadījumos, pirms </w:t>
      </w:r>
      <w:r w:rsidR="000B238A">
        <w:rPr>
          <w:szCs w:val="22"/>
          <w:lang w:val="lv-LV"/>
        </w:rPr>
        <w:t>tocilizumaba</w:t>
      </w:r>
      <w:r>
        <w:rPr>
          <w:lang w:val="lv-LV"/>
        </w:rPr>
        <w:t xml:space="preserve"> terapijas sākuma pacienti</w:t>
      </w:r>
      <w:ins w:id="34" w:author="Regulatory LV" w:date="2026-03-17T11:12:00Z">
        <w:r w:rsidR="00514E28">
          <w:rPr>
            <w:lang w:val="lv-LV"/>
          </w:rPr>
          <w:t>em</w:t>
        </w:r>
      </w:ins>
      <w:r>
        <w:rPr>
          <w:lang w:val="lv-LV"/>
        </w:rPr>
        <w:t xml:space="preserve"> ir jā</w:t>
      </w:r>
      <w:ins w:id="35" w:author="Regulatory LV" w:date="2026-03-17T11:12:00Z">
        <w:r w:rsidR="00514E28">
          <w:rPr>
            <w:lang w:val="lv-LV"/>
          </w:rPr>
          <w:t>veic</w:t>
        </w:r>
      </w:ins>
      <w:del w:id="36" w:author="Regulatory LV" w:date="2026-03-17T11:12:00Z">
        <w:r w:rsidDel="00514E28">
          <w:rPr>
            <w:lang w:val="lv-LV"/>
          </w:rPr>
          <w:delText>pakļauj</w:delText>
        </w:r>
      </w:del>
      <w:r>
        <w:rPr>
          <w:lang w:val="lv-LV"/>
        </w:rPr>
        <w:t xml:space="preserve"> skrīning</w:t>
      </w:r>
      <w:ins w:id="37" w:author="Regulatory LV" w:date="2026-03-17T11:13:00Z">
        <w:r w:rsidR="00514E28">
          <w:rPr>
            <w:lang w:val="lv-LV"/>
          </w:rPr>
          <w:t>s</w:t>
        </w:r>
      </w:ins>
      <w:del w:id="38" w:author="Regulatory LV" w:date="2026-03-17T11:13:00Z">
        <w:r w:rsidDel="00514E28">
          <w:rPr>
            <w:lang w:val="lv-LV"/>
          </w:rPr>
          <w:delText>am</w:delText>
        </w:r>
      </w:del>
      <w:r>
        <w:rPr>
          <w:lang w:val="lv-LV"/>
        </w:rPr>
        <w:t xml:space="preserve"> attiecībā uz latentu TB. Pirms terapijas sākuma pacienti </w:t>
      </w:r>
      <w:r w:rsidR="000C6C88">
        <w:rPr>
          <w:lang w:val="lv-LV"/>
        </w:rPr>
        <w:t xml:space="preserve">ar latentu TB </w:t>
      </w:r>
      <w:r>
        <w:rPr>
          <w:lang w:val="lv-LV"/>
        </w:rPr>
        <w:t xml:space="preserve">ir jāārstē ar mikobaktēriju infekciju ārstēšanai paredzētajām standarta zālēm. </w:t>
      </w:r>
      <w:r>
        <w:rPr>
          <w:szCs w:val="24"/>
          <w:lang w:val="lv-LV"/>
        </w:rPr>
        <w:t>Ārstiem, kuri ordinē zāles, jāatceras, ka ir iespējami pseidonegatīvi tuberkulīna ādas testa un gamma interferona TB asins</w:t>
      </w:r>
      <w:r w:rsidR="008A660A">
        <w:rPr>
          <w:szCs w:val="24"/>
          <w:lang w:val="lv-LV"/>
        </w:rPr>
        <w:t xml:space="preserve"> </w:t>
      </w:r>
      <w:r>
        <w:rPr>
          <w:szCs w:val="24"/>
          <w:lang w:val="lv-LV"/>
        </w:rPr>
        <w:t xml:space="preserve">analīžu rezultāti. Tie īpaši ir iespējami smagi slimiem pacientiem, kā arī pacientiem ar nomāktu imūno sistēmu. </w:t>
      </w:r>
    </w:p>
    <w:p w14:paraId="51DA6577" w14:textId="77777777" w:rsidR="00784D05" w:rsidRDefault="00784D05">
      <w:pPr>
        <w:rPr>
          <w:szCs w:val="24"/>
          <w:lang w:val="lv-LV"/>
        </w:rPr>
      </w:pPr>
    </w:p>
    <w:p w14:paraId="42737A98" w14:textId="36AF9070" w:rsidR="00784D05" w:rsidRDefault="00784D05">
      <w:pPr>
        <w:rPr>
          <w:szCs w:val="22"/>
          <w:lang w:val="lv-LV"/>
        </w:rPr>
      </w:pPr>
      <w:r>
        <w:rPr>
          <w:szCs w:val="24"/>
          <w:lang w:val="lv-LV"/>
        </w:rPr>
        <w:t xml:space="preserve">Pacienti jāinformē, ka gadījumā, ja </w:t>
      </w:r>
      <w:r w:rsidR="000B238A">
        <w:rPr>
          <w:szCs w:val="22"/>
          <w:lang w:val="lv-LV"/>
        </w:rPr>
        <w:t>šo zāļu</w:t>
      </w:r>
      <w:r>
        <w:rPr>
          <w:szCs w:val="24"/>
          <w:lang w:val="lv-LV"/>
        </w:rPr>
        <w:t xml:space="preserve"> lietošanas laikā vai pēc tās pārtraukšanas rodas pazīmes vai simptomi (piemēram, nepārejošs klepus, vājums/ķermeņa masas samazināšanās vai viegls drudzis), kas liecina par tuberkulozes infekciju, jāmeklē medicīniska palīdzība.</w:t>
      </w:r>
    </w:p>
    <w:p w14:paraId="6332F66D" w14:textId="77777777" w:rsidR="00784D05" w:rsidRDefault="00784D05">
      <w:pPr>
        <w:rPr>
          <w:szCs w:val="22"/>
          <w:lang w:val="lv-LV"/>
        </w:rPr>
      </w:pPr>
    </w:p>
    <w:p w14:paraId="3524B24D" w14:textId="77777777" w:rsidR="00784D05" w:rsidRDefault="00784D05" w:rsidP="00707120">
      <w:pPr>
        <w:keepNext/>
        <w:rPr>
          <w:szCs w:val="22"/>
          <w:lang w:val="lv-LV"/>
        </w:rPr>
      </w:pPr>
      <w:r>
        <w:rPr>
          <w:i/>
          <w:iCs/>
          <w:szCs w:val="22"/>
          <w:lang w:val="lv-LV"/>
        </w:rPr>
        <w:t>Vīrusu reaktivācija</w:t>
      </w:r>
    </w:p>
    <w:p w14:paraId="5BD913BB" w14:textId="5C8644F9" w:rsidR="00784D05" w:rsidRDefault="00784D05">
      <w:pPr>
        <w:rPr>
          <w:szCs w:val="22"/>
          <w:lang w:val="lv-LV"/>
        </w:rPr>
      </w:pPr>
      <w:r>
        <w:rPr>
          <w:szCs w:val="22"/>
          <w:lang w:val="lv-LV"/>
        </w:rPr>
        <w:t>Ārstējot RA ar bioloģiskas izcelsmes zālēm, aprakstīta vīrusu (piemēram, B hepatīta vīrusa) reaktivācija. Pacienti, kuriem bija pozitīvi skrīninga rezultāti attiecībā uz hepatītu, no tocilizumaba klīniskajiem pētījumiem tika izslēgti.</w:t>
      </w:r>
    </w:p>
    <w:p w14:paraId="31D6CC05" w14:textId="77777777" w:rsidR="00784D05" w:rsidRDefault="00784D05">
      <w:pPr>
        <w:rPr>
          <w:szCs w:val="22"/>
          <w:lang w:val="lv-LV"/>
        </w:rPr>
      </w:pPr>
    </w:p>
    <w:p w14:paraId="185DA28D" w14:textId="77777777" w:rsidR="00784D05" w:rsidRDefault="00784D05">
      <w:pPr>
        <w:keepNext/>
        <w:rPr>
          <w:szCs w:val="22"/>
          <w:lang w:val="lv-LV"/>
        </w:rPr>
      </w:pPr>
      <w:r>
        <w:rPr>
          <w:i/>
          <w:szCs w:val="22"/>
          <w:lang w:val="lv-LV"/>
        </w:rPr>
        <w:t>Divertikulīta komplikācijas</w:t>
      </w:r>
    </w:p>
    <w:p w14:paraId="5B31C0AE" w14:textId="297CAF86" w:rsidR="00784D05" w:rsidRDefault="000B238A" w:rsidP="00707120">
      <w:pPr>
        <w:rPr>
          <w:szCs w:val="22"/>
          <w:lang w:val="lv-LV"/>
        </w:rPr>
      </w:pPr>
      <w:r>
        <w:rPr>
          <w:szCs w:val="22"/>
          <w:lang w:val="lv-LV"/>
        </w:rPr>
        <w:t>Tocilizumaba</w:t>
      </w:r>
      <w:r w:rsidR="00784D05">
        <w:rPr>
          <w:szCs w:val="22"/>
          <w:lang w:val="lv-LV"/>
        </w:rPr>
        <w:t xml:space="preserve"> lietošanas laikā pacientiem ar RA retākos gadījumos ziņots par divertikula perforāciju kā divertikulīta komplikāciju (skatīt 4.8. apakšpunktu). </w:t>
      </w:r>
      <w:r>
        <w:rPr>
          <w:szCs w:val="22"/>
          <w:lang w:val="lv-LV"/>
        </w:rPr>
        <w:t>Šīs zāles</w:t>
      </w:r>
      <w:r w:rsidR="00784D05">
        <w:rPr>
          <w:szCs w:val="22"/>
          <w:lang w:val="lv-LV"/>
        </w:rPr>
        <w:t xml:space="preserve"> ar piesardzību jālieto pacientiem, kuriem anamnēzē ir zarnu čūlas vai divertikulīts. Pacienti, kuriem ir simptomi, kas var liecināt par komplicētu divertikulītu, piemēram, sāpes vēderā, asiņošana un/vai neizskaidrojamas vēdera izejas pārmaiņas ar drudzi, nekavējoties jānovērtē, lai agrīni konstatētu divertikulītu, kas var būt saistīts ar kuņģa</w:t>
      </w:r>
      <w:r w:rsidR="00E503B2">
        <w:rPr>
          <w:szCs w:val="22"/>
          <w:lang w:val="lv-LV"/>
        </w:rPr>
        <w:t xml:space="preserve"> un </w:t>
      </w:r>
      <w:r w:rsidR="00784D05">
        <w:rPr>
          <w:szCs w:val="22"/>
          <w:lang w:val="lv-LV"/>
        </w:rPr>
        <w:t>zarnu trakta perforāciju.</w:t>
      </w:r>
    </w:p>
    <w:p w14:paraId="1EB9BBAA" w14:textId="77777777" w:rsidR="00784D05" w:rsidRDefault="00784D05">
      <w:pPr>
        <w:rPr>
          <w:szCs w:val="22"/>
          <w:lang w:val="lv-LV"/>
        </w:rPr>
      </w:pPr>
    </w:p>
    <w:p w14:paraId="5661242D" w14:textId="77777777" w:rsidR="00784D05" w:rsidRDefault="00784D05" w:rsidP="00707120">
      <w:pPr>
        <w:keepNext/>
        <w:keepLines/>
        <w:rPr>
          <w:rFonts w:eastAsia="MS Mincho"/>
          <w:szCs w:val="22"/>
          <w:lang w:val="lv-LV"/>
        </w:rPr>
      </w:pPr>
      <w:r>
        <w:rPr>
          <w:bCs/>
          <w:i/>
          <w:szCs w:val="22"/>
          <w:lang w:val="lv-LV"/>
        </w:rPr>
        <w:t>Paaugstinātas jutības reakcijas</w:t>
      </w:r>
    </w:p>
    <w:p w14:paraId="67B5ADC2" w14:textId="6C12DC9D" w:rsidR="00784D05" w:rsidRDefault="00784D05" w:rsidP="00641B94">
      <w:pPr>
        <w:rPr>
          <w:szCs w:val="22"/>
          <w:lang w:val="lv-LV"/>
        </w:rPr>
      </w:pPr>
      <w:r>
        <w:rPr>
          <w:rFonts w:eastAsia="MS Mincho"/>
          <w:szCs w:val="22"/>
          <w:lang w:val="lv-LV"/>
        </w:rPr>
        <w:t xml:space="preserve">Saistībā ar </w:t>
      </w:r>
      <w:r w:rsidR="000B238A">
        <w:rPr>
          <w:szCs w:val="22"/>
          <w:lang w:val="lv-LV"/>
        </w:rPr>
        <w:t>tocilizumaba</w:t>
      </w:r>
      <w:r>
        <w:rPr>
          <w:rFonts w:eastAsia="MS Mincho"/>
          <w:szCs w:val="22"/>
          <w:lang w:val="lv-LV"/>
        </w:rPr>
        <w:t xml:space="preserve"> infūziju ziņots par nopietnām paaugstinātas jutības reakcijām (skatīt 4.8. apakšpunktu)</w:t>
      </w:r>
      <w:r>
        <w:rPr>
          <w:szCs w:val="22"/>
          <w:lang w:val="lv-LV"/>
        </w:rPr>
        <w:t xml:space="preserve">. </w:t>
      </w:r>
      <w:r>
        <w:rPr>
          <w:lang w:val="lv-LV"/>
        </w:rPr>
        <w:t xml:space="preserve">Šādas reakcijas var būt smagākas un pat letālas pacientiem, kuriem iepriekšējās infūzijas laikā bijušas </w:t>
      </w:r>
      <w:r>
        <w:rPr>
          <w:rFonts w:eastAsia="MS Mincho"/>
          <w:lang w:val="lv-LV"/>
        </w:rPr>
        <w:t>nopietnas paaugstinātas jutības reakcijas, pat, ja saņemta</w:t>
      </w:r>
      <w:r>
        <w:rPr>
          <w:lang w:val="lv-LV"/>
        </w:rPr>
        <w:t xml:space="preserve"> premedikācija ar steroīdiem un antihistamīna līdzekļiem</w:t>
      </w:r>
      <w:r>
        <w:rPr>
          <w:szCs w:val="22"/>
          <w:lang w:val="lv-LV"/>
        </w:rPr>
        <w:t>.</w:t>
      </w:r>
      <w:r>
        <w:rPr>
          <w:lang w:val="lv-LV"/>
        </w:rPr>
        <w:t xml:space="preserve"> </w:t>
      </w:r>
      <w:r w:rsidR="000B238A">
        <w:rPr>
          <w:lang w:val="lv-LV"/>
        </w:rPr>
        <w:t>T</w:t>
      </w:r>
      <w:r>
        <w:rPr>
          <w:lang w:val="lv-LV"/>
        </w:rPr>
        <w:t>erapijas laikā jābūt pieejamiem atbilstošiem ārstēšanas līdzekļiem tūlītējai lietošanai anafilaktisk</w:t>
      </w:r>
      <w:r w:rsidRPr="0043103B">
        <w:rPr>
          <w:lang w:val="lv-LV"/>
        </w:rPr>
        <w:t xml:space="preserve">as reakcijas gadījumā. Ja rodas anafilaktiska reakcija vai cita nopietna paaugstinātas jutības reakcija/nopietna ar infūziju saistīta reakcija, </w:t>
      </w:r>
      <w:r w:rsidR="000B238A" w:rsidRPr="0043103B">
        <w:rPr>
          <w:lang w:val="lv-LV"/>
        </w:rPr>
        <w:t>t</w:t>
      </w:r>
      <w:r w:rsidR="000B238A" w:rsidRPr="0043103B">
        <w:rPr>
          <w:szCs w:val="22"/>
          <w:lang w:val="lv-LV"/>
        </w:rPr>
        <w:t>ocilizumaba</w:t>
      </w:r>
      <w:r w:rsidRPr="0043103B">
        <w:rPr>
          <w:lang w:val="lv-LV"/>
        </w:rPr>
        <w:t xml:space="preserve"> ievadīšana nekavējoties jāpārtrauc un </w:t>
      </w:r>
      <w:r w:rsidR="000B238A" w:rsidRPr="0043103B">
        <w:rPr>
          <w:lang w:val="lv-LV"/>
        </w:rPr>
        <w:t>terapija pilnīgi jāpārtrauc</w:t>
      </w:r>
      <w:r w:rsidR="000B238A" w:rsidRPr="0043103B">
        <w:rPr>
          <w:szCs w:val="22"/>
          <w:lang w:val="lv-LV"/>
        </w:rPr>
        <w:t>.</w:t>
      </w:r>
      <w:r>
        <w:rPr>
          <w:szCs w:val="22"/>
          <w:lang w:val="lv-LV"/>
        </w:rPr>
        <w:t xml:space="preserve"> </w:t>
      </w:r>
    </w:p>
    <w:p w14:paraId="3FD7DC65" w14:textId="77777777" w:rsidR="00784D05" w:rsidRDefault="00784D05">
      <w:pPr>
        <w:rPr>
          <w:szCs w:val="22"/>
          <w:lang w:val="lv-LV"/>
        </w:rPr>
      </w:pPr>
    </w:p>
    <w:p w14:paraId="572EDE44" w14:textId="77777777" w:rsidR="00784D05" w:rsidRDefault="00784D05">
      <w:pPr>
        <w:keepNext/>
        <w:rPr>
          <w:szCs w:val="22"/>
          <w:lang w:val="lv-LV"/>
        </w:rPr>
      </w:pPr>
      <w:r>
        <w:rPr>
          <w:i/>
          <w:szCs w:val="22"/>
          <w:lang w:val="lv-LV"/>
        </w:rPr>
        <w:t>Aktīva aknu slimība un aknu darbības traucējumi</w:t>
      </w:r>
    </w:p>
    <w:p w14:paraId="3C11ACCC" w14:textId="6DD14CDE" w:rsidR="00784D05" w:rsidRDefault="00784D05">
      <w:pPr>
        <w:rPr>
          <w:szCs w:val="22"/>
          <w:lang w:val="lv-LV"/>
        </w:rPr>
      </w:pPr>
      <w:r>
        <w:rPr>
          <w:szCs w:val="22"/>
          <w:lang w:val="lv-LV"/>
        </w:rPr>
        <w:t xml:space="preserve">Ārstēšana ar </w:t>
      </w:r>
      <w:r w:rsidR="000B238A">
        <w:rPr>
          <w:szCs w:val="22"/>
          <w:lang w:val="lv-LV"/>
        </w:rPr>
        <w:t>tocilizumabu</w:t>
      </w:r>
      <w:r>
        <w:rPr>
          <w:szCs w:val="22"/>
          <w:lang w:val="lv-LV"/>
        </w:rPr>
        <w:t xml:space="preserve">, īpaši lietojot vienlaikus ar MTX, var būt saistīta ar aknu transamināžu līmeņa paaugstināšanos, tādēļ, apsverot </w:t>
      </w:r>
      <w:r w:rsidR="000C6C88">
        <w:rPr>
          <w:szCs w:val="22"/>
          <w:lang w:val="lv-LV"/>
        </w:rPr>
        <w:t xml:space="preserve">ārstēšanu </w:t>
      </w:r>
      <w:r>
        <w:rPr>
          <w:szCs w:val="22"/>
          <w:lang w:val="lv-LV"/>
        </w:rPr>
        <w:t>pacient</w:t>
      </w:r>
      <w:r w:rsidR="000C6C88">
        <w:rPr>
          <w:szCs w:val="22"/>
          <w:lang w:val="lv-LV"/>
        </w:rPr>
        <w:t>iem</w:t>
      </w:r>
      <w:r>
        <w:rPr>
          <w:szCs w:val="22"/>
          <w:lang w:val="lv-LV"/>
        </w:rPr>
        <w:t xml:space="preserve"> ar aktīvu aknu slimību vai aknu darbības traucējumiem, jāievēro piesardzība (skatīt 4.2.</w:t>
      </w:r>
      <w:r w:rsidR="000B238A">
        <w:rPr>
          <w:szCs w:val="22"/>
          <w:lang w:val="lv-LV"/>
        </w:rPr>
        <w:t> </w:t>
      </w:r>
      <w:r>
        <w:rPr>
          <w:szCs w:val="22"/>
          <w:lang w:val="lv-LV"/>
        </w:rPr>
        <w:t>un 4.8. apakšpunktu).</w:t>
      </w:r>
    </w:p>
    <w:p w14:paraId="0D1EDCA3" w14:textId="77777777" w:rsidR="00784D05" w:rsidRDefault="00784D05">
      <w:pPr>
        <w:rPr>
          <w:szCs w:val="22"/>
          <w:lang w:val="lv-LV"/>
        </w:rPr>
      </w:pPr>
    </w:p>
    <w:p w14:paraId="74031A79" w14:textId="77777777" w:rsidR="00784D05" w:rsidRDefault="00F454E0" w:rsidP="00707120">
      <w:pPr>
        <w:keepNext/>
        <w:rPr>
          <w:szCs w:val="22"/>
          <w:lang w:val="lv-LV"/>
        </w:rPr>
      </w:pPr>
      <w:r>
        <w:rPr>
          <w:i/>
          <w:szCs w:val="22"/>
          <w:lang w:val="lv-LV"/>
        </w:rPr>
        <w:t>Hepatotoksicitāte</w:t>
      </w:r>
    </w:p>
    <w:p w14:paraId="361B9C2D" w14:textId="4B933C38" w:rsidR="00784D05" w:rsidRDefault="00F454E0">
      <w:pPr>
        <w:rPr>
          <w:szCs w:val="22"/>
          <w:lang w:val="lv-LV"/>
        </w:rPr>
      </w:pPr>
      <w:r>
        <w:rPr>
          <w:szCs w:val="22"/>
          <w:lang w:val="lv-LV"/>
        </w:rPr>
        <w:t>Ā</w:t>
      </w:r>
      <w:r w:rsidR="00784D05">
        <w:rPr>
          <w:szCs w:val="22"/>
          <w:lang w:val="lv-LV"/>
        </w:rPr>
        <w:t xml:space="preserve">rstējot ar </w:t>
      </w:r>
      <w:r w:rsidR="000B238A">
        <w:rPr>
          <w:szCs w:val="22"/>
          <w:lang w:val="lv-LV"/>
        </w:rPr>
        <w:t>tocilizumabu</w:t>
      </w:r>
      <w:r w:rsidR="00784D05">
        <w:rPr>
          <w:szCs w:val="22"/>
          <w:lang w:val="lv-LV"/>
        </w:rPr>
        <w:t xml:space="preserve">, bieži novērota pārejoša vai periodiska neliela vai vidēji izteikta aknu transamināžu līmeņa paaugstināšanās (skatīt 4.8. apakšpunktu). Palielinātu šādas paaugstināšanās biežumu novēroja, lietojot potenciāli hepatotoksiskās zāles (piemēram, MTX) kombinācijā ar </w:t>
      </w:r>
      <w:r w:rsidR="000B238A">
        <w:rPr>
          <w:szCs w:val="22"/>
          <w:lang w:val="lv-LV"/>
        </w:rPr>
        <w:t>tocilizumabu</w:t>
      </w:r>
      <w:r w:rsidR="00784D05">
        <w:rPr>
          <w:szCs w:val="22"/>
          <w:lang w:val="lv-LV"/>
        </w:rPr>
        <w:t>. Klīnisku indikāciju gadījumos jāapsver nepieciešamība veikt citas aknu darbības pārbaudes, tajā skaitā arī jānosaka bilirubīna koncentrācija.</w:t>
      </w:r>
    </w:p>
    <w:p w14:paraId="5C434CE1" w14:textId="77777777" w:rsidR="00784D05" w:rsidRDefault="00784D05">
      <w:pPr>
        <w:rPr>
          <w:szCs w:val="22"/>
          <w:lang w:val="lv-LV"/>
        </w:rPr>
      </w:pPr>
    </w:p>
    <w:p w14:paraId="1CE9281C" w14:textId="3F0A45E8" w:rsidR="00F454E0" w:rsidRDefault="00F454E0">
      <w:pPr>
        <w:rPr>
          <w:szCs w:val="22"/>
          <w:lang w:val="lv-LV"/>
        </w:rPr>
      </w:pPr>
      <w:r>
        <w:rPr>
          <w:szCs w:val="22"/>
          <w:lang w:val="lv-LV"/>
        </w:rPr>
        <w:t xml:space="preserve">Lietojot </w:t>
      </w:r>
      <w:r w:rsidR="000B238A">
        <w:rPr>
          <w:szCs w:val="22"/>
          <w:lang w:val="lv-LV"/>
        </w:rPr>
        <w:t>tocilizumabu,</w:t>
      </w:r>
      <w:r>
        <w:rPr>
          <w:szCs w:val="22"/>
          <w:lang w:val="lv-LV"/>
        </w:rPr>
        <w:t xml:space="preserve"> novēroti nopietni zāļu izraisīti aknu bojājumi, </w:t>
      </w:r>
      <w:r w:rsidR="00D22889">
        <w:rPr>
          <w:szCs w:val="22"/>
          <w:lang w:val="lv-LV"/>
        </w:rPr>
        <w:t>ieskaitot akūtu aknu mazspēju, hepatītu un dzelti (skatīt 4.8.</w:t>
      </w:r>
      <w:r w:rsidR="000B238A">
        <w:rPr>
          <w:szCs w:val="22"/>
          <w:lang w:val="lv-LV"/>
        </w:rPr>
        <w:t> </w:t>
      </w:r>
      <w:r w:rsidR="00D22889">
        <w:rPr>
          <w:szCs w:val="22"/>
          <w:lang w:val="lv-LV"/>
        </w:rPr>
        <w:t xml:space="preserve">apakšpunktu). Nopietni aknu bojājumi </w:t>
      </w:r>
      <w:r w:rsidR="002C4A78">
        <w:rPr>
          <w:szCs w:val="22"/>
          <w:lang w:val="lv-LV"/>
        </w:rPr>
        <w:t>novēroti 2</w:t>
      </w:r>
      <w:r w:rsidR="000B238A">
        <w:rPr>
          <w:szCs w:val="22"/>
          <w:lang w:val="lv-LV"/>
        </w:rPr>
        <w:t> </w:t>
      </w:r>
      <w:r w:rsidR="002C4A78">
        <w:rPr>
          <w:szCs w:val="22"/>
          <w:lang w:val="lv-LV"/>
        </w:rPr>
        <w:t>nedēļ</w:t>
      </w:r>
      <w:r w:rsidR="005A3E1A">
        <w:rPr>
          <w:szCs w:val="22"/>
          <w:lang w:val="lv-LV"/>
        </w:rPr>
        <w:t>u laikā</w:t>
      </w:r>
      <w:r w:rsidR="002C4A78">
        <w:rPr>
          <w:szCs w:val="22"/>
          <w:lang w:val="lv-LV"/>
        </w:rPr>
        <w:t xml:space="preserve"> līdz vairāk </w:t>
      </w:r>
      <w:r w:rsidR="000B238A">
        <w:rPr>
          <w:szCs w:val="22"/>
          <w:lang w:val="lv-LV"/>
        </w:rPr>
        <w:t>ne</w:t>
      </w:r>
      <w:r w:rsidR="002C4A78">
        <w:rPr>
          <w:szCs w:val="22"/>
          <w:lang w:val="lv-LV"/>
        </w:rPr>
        <w:t>k</w:t>
      </w:r>
      <w:r w:rsidR="005A3E1A">
        <w:rPr>
          <w:szCs w:val="22"/>
          <w:lang w:val="lv-LV"/>
        </w:rPr>
        <w:t>ā 5</w:t>
      </w:r>
      <w:r w:rsidR="000B238A">
        <w:rPr>
          <w:szCs w:val="22"/>
          <w:lang w:val="lv-LV"/>
        </w:rPr>
        <w:t> </w:t>
      </w:r>
      <w:r w:rsidR="005A3E1A">
        <w:rPr>
          <w:szCs w:val="22"/>
          <w:lang w:val="lv-LV"/>
        </w:rPr>
        <w:t>gadus</w:t>
      </w:r>
      <w:r w:rsidR="002C4A78">
        <w:rPr>
          <w:szCs w:val="22"/>
          <w:lang w:val="lv-LV"/>
        </w:rPr>
        <w:t xml:space="preserve"> pēc ārstēšanas uzsākšanas. </w:t>
      </w:r>
      <w:r w:rsidR="00C52497">
        <w:rPr>
          <w:szCs w:val="22"/>
          <w:lang w:val="lv-LV"/>
        </w:rPr>
        <w:t>Ziņots par aknu mazspējas gadījumiem</w:t>
      </w:r>
      <w:r w:rsidR="004C17E9">
        <w:rPr>
          <w:szCs w:val="22"/>
          <w:lang w:val="lv-LV"/>
        </w:rPr>
        <w:t xml:space="preserve">, </w:t>
      </w:r>
      <w:r w:rsidR="000C6C88">
        <w:rPr>
          <w:szCs w:val="22"/>
          <w:lang w:val="lv-LV"/>
        </w:rPr>
        <w:t xml:space="preserve">kuru </w:t>
      </w:r>
      <w:r w:rsidR="004C17E9">
        <w:rPr>
          <w:szCs w:val="22"/>
          <w:lang w:val="lv-LV"/>
        </w:rPr>
        <w:t xml:space="preserve">rezultātā bijusi nepieciešama aknu transplantācija. </w:t>
      </w:r>
      <w:r w:rsidR="004C17E9" w:rsidRPr="004C17E9">
        <w:rPr>
          <w:szCs w:val="22"/>
          <w:lang w:val="lv-LV"/>
        </w:rPr>
        <w:t xml:space="preserve">Pacienti jāinformē, ka gadījumā, ja rodas </w:t>
      </w:r>
      <w:r w:rsidR="004C17E9">
        <w:rPr>
          <w:szCs w:val="22"/>
          <w:lang w:val="lv-LV"/>
        </w:rPr>
        <w:t xml:space="preserve">aknu bojājumu </w:t>
      </w:r>
      <w:r w:rsidR="004C17E9" w:rsidRPr="004C17E9">
        <w:rPr>
          <w:szCs w:val="22"/>
          <w:lang w:val="lv-LV"/>
        </w:rPr>
        <w:t>pazīmes vai simptomi</w:t>
      </w:r>
      <w:r w:rsidR="000C6C88">
        <w:rPr>
          <w:szCs w:val="22"/>
          <w:lang w:val="lv-LV"/>
        </w:rPr>
        <w:t>,</w:t>
      </w:r>
      <w:r w:rsidR="004C17E9">
        <w:rPr>
          <w:szCs w:val="22"/>
          <w:lang w:val="lv-LV"/>
        </w:rPr>
        <w:t xml:space="preserve"> nekavējoties</w:t>
      </w:r>
      <w:r w:rsidR="004C17E9" w:rsidRPr="004C17E9">
        <w:rPr>
          <w:szCs w:val="22"/>
          <w:lang w:val="lv-LV"/>
        </w:rPr>
        <w:t xml:space="preserve"> jāmeklē medicīniska palīdzība</w:t>
      </w:r>
      <w:r w:rsidR="004C17E9">
        <w:rPr>
          <w:szCs w:val="22"/>
          <w:lang w:val="lv-LV"/>
        </w:rPr>
        <w:t>.</w:t>
      </w:r>
    </w:p>
    <w:p w14:paraId="37B481E1" w14:textId="77777777" w:rsidR="004C17E9" w:rsidRDefault="004C17E9">
      <w:pPr>
        <w:rPr>
          <w:szCs w:val="22"/>
          <w:lang w:val="lv-LV"/>
        </w:rPr>
      </w:pPr>
    </w:p>
    <w:p w14:paraId="22E76810" w14:textId="77FA5A3E" w:rsidR="00784D05" w:rsidRDefault="00784D05">
      <w:pPr>
        <w:rPr>
          <w:szCs w:val="22"/>
          <w:lang w:val="lv-LV"/>
        </w:rPr>
      </w:pPr>
      <w:r>
        <w:rPr>
          <w:szCs w:val="22"/>
          <w:lang w:val="lv-LV"/>
        </w:rPr>
        <w:t>Apsverot ārstēšanas sākšanu pacientiem ar paaugstinātu ALAT vai ASAT līmeni</w:t>
      </w:r>
      <w:r w:rsidR="000C6C88">
        <w:rPr>
          <w:szCs w:val="22"/>
          <w:lang w:val="lv-LV"/>
        </w:rPr>
        <w:t> </w:t>
      </w:r>
      <w:r w:rsidR="000B238A">
        <w:rPr>
          <w:szCs w:val="22"/>
          <w:lang w:val="lv-LV"/>
        </w:rPr>
        <w:t>˃ </w:t>
      </w:r>
      <w:r>
        <w:rPr>
          <w:szCs w:val="22"/>
          <w:lang w:val="lv-LV"/>
        </w:rPr>
        <w:t>1,5</w:t>
      </w:r>
      <w:r w:rsidR="00B6346F">
        <w:rPr>
          <w:szCs w:val="22"/>
          <w:lang w:val="lv-LV"/>
        </w:rPr>
        <w:t> </w:t>
      </w:r>
      <w:r w:rsidR="000B238A">
        <w:rPr>
          <w:szCs w:val="22"/>
          <w:lang w:val="lv-LV"/>
        </w:rPr>
        <w:t>×</w:t>
      </w:r>
      <w:r w:rsidR="00B6346F">
        <w:rPr>
          <w:szCs w:val="22"/>
          <w:lang w:val="lv-LV"/>
        </w:rPr>
        <w:t> </w:t>
      </w:r>
      <w:r>
        <w:rPr>
          <w:szCs w:val="22"/>
          <w:lang w:val="lv-LV"/>
        </w:rPr>
        <w:t>NAR, jāievēro piesardzība. Pacientiem</w:t>
      </w:r>
      <w:r w:rsidR="00B1121A">
        <w:rPr>
          <w:szCs w:val="22"/>
          <w:lang w:val="lv-LV"/>
        </w:rPr>
        <w:t xml:space="preserve"> ar RA, pJIA vai sJIA</w:t>
      </w:r>
      <w:r>
        <w:rPr>
          <w:szCs w:val="22"/>
          <w:lang w:val="lv-LV"/>
        </w:rPr>
        <w:t>, kuriem pirms terapijas sākuma ALAT vai ASAT līmenis ir</w:t>
      </w:r>
      <w:r w:rsidR="000C6C88">
        <w:rPr>
          <w:szCs w:val="22"/>
          <w:lang w:val="lv-LV"/>
        </w:rPr>
        <w:t> </w:t>
      </w:r>
      <w:r w:rsidR="000B238A">
        <w:rPr>
          <w:szCs w:val="22"/>
          <w:lang w:val="lv-LV"/>
        </w:rPr>
        <w:t>˃ </w:t>
      </w:r>
      <w:r>
        <w:rPr>
          <w:szCs w:val="22"/>
          <w:lang w:val="lv-LV"/>
        </w:rPr>
        <w:t>5</w:t>
      </w:r>
      <w:r w:rsidR="000B238A">
        <w:rPr>
          <w:szCs w:val="22"/>
          <w:lang w:val="lv-LV"/>
        </w:rPr>
        <w:t> × </w:t>
      </w:r>
      <w:r>
        <w:rPr>
          <w:szCs w:val="22"/>
          <w:lang w:val="lv-LV"/>
        </w:rPr>
        <w:t>NAR, ārstēšana nav ieteicama.</w:t>
      </w:r>
    </w:p>
    <w:p w14:paraId="6371354F" w14:textId="77777777" w:rsidR="00B1121A" w:rsidRPr="00B1121A" w:rsidRDefault="00B1121A">
      <w:pPr>
        <w:rPr>
          <w:szCs w:val="22"/>
          <w:lang w:val="lv-LV"/>
        </w:rPr>
      </w:pPr>
    </w:p>
    <w:p w14:paraId="04ABA698" w14:textId="5A21B47F" w:rsidR="00784D05" w:rsidRDefault="00784D05">
      <w:pPr>
        <w:rPr>
          <w:szCs w:val="22"/>
          <w:lang w:val="lv-LV"/>
        </w:rPr>
      </w:pPr>
      <w:r>
        <w:rPr>
          <w:szCs w:val="22"/>
          <w:lang w:val="lv-LV"/>
        </w:rPr>
        <w:t>Pacientiem ar RA</w:t>
      </w:r>
      <w:r w:rsidR="009046FC">
        <w:rPr>
          <w:szCs w:val="22"/>
          <w:lang w:val="lv-LV"/>
        </w:rPr>
        <w:t xml:space="preserve">, pJIA </w:t>
      </w:r>
      <w:r w:rsidR="000C6C88">
        <w:rPr>
          <w:szCs w:val="22"/>
          <w:lang w:val="lv-LV"/>
        </w:rPr>
        <w:t xml:space="preserve">vai </w:t>
      </w:r>
      <w:r w:rsidR="009046FC">
        <w:rPr>
          <w:szCs w:val="22"/>
          <w:lang w:val="lv-LV"/>
        </w:rPr>
        <w:t>sJIA</w:t>
      </w:r>
      <w:r>
        <w:rPr>
          <w:szCs w:val="22"/>
          <w:lang w:val="lv-LV"/>
        </w:rPr>
        <w:t xml:space="preserve"> pirmo 6</w:t>
      </w:r>
      <w:r w:rsidR="000C6C88">
        <w:rPr>
          <w:szCs w:val="22"/>
          <w:lang w:val="lv-LV"/>
        </w:rPr>
        <w:t> </w:t>
      </w:r>
      <w:r>
        <w:rPr>
          <w:szCs w:val="22"/>
          <w:lang w:val="lv-LV"/>
        </w:rPr>
        <w:t>terapijas mēnešu laikā ALAT</w:t>
      </w:r>
      <w:r w:rsidR="009046FC">
        <w:rPr>
          <w:szCs w:val="22"/>
          <w:lang w:val="lv-LV"/>
        </w:rPr>
        <w:t>/</w:t>
      </w:r>
      <w:r>
        <w:rPr>
          <w:szCs w:val="22"/>
          <w:lang w:val="lv-LV"/>
        </w:rPr>
        <w:t>ASAT jākontrolē ik pēc 4</w:t>
      </w:r>
      <w:r w:rsidR="000C6C88">
        <w:rPr>
          <w:szCs w:val="22"/>
          <w:lang w:val="lv-LV"/>
        </w:rPr>
        <w:noBreakHyphen/>
      </w:r>
      <w:r>
        <w:rPr>
          <w:szCs w:val="22"/>
          <w:lang w:val="lv-LV"/>
        </w:rPr>
        <w:t>8 nedēļām, bet vēlāk – ik pēc 12</w:t>
      </w:r>
      <w:r w:rsidR="000B238A">
        <w:rPr>
          <w:szCs w:val="22"/>
          <w:lang w:val="lv-LV"/>
        </w:rPr>
        <w:t> </w:t>
      </w:r>
      <w:r>
        <w:rPr>
          <w:szCs w:val="22"/>
          <w:lang w:val="lv-LV"/>
        </w:rPr>
        <w:t>nedēļām. Ieteicamās izmaiņas,</w:t>
      </w:r>
      <w:r w:rsidR="009046FC">
        <w:rPr>
          <w:szCs w:val="22"/>
          <w:lang w:val="lv-LV"/>
        </w:rPr>
        <w:t xml:space="preserve"> ieskaitot </w:t>
      </w:r>
      <w:r w:rsidR="000B238A">
        <w:rPr>
          <w:szCs w:val="22"/>
          <w:lang w:val="lv-LV"/>
        </w:rPr>
        <w:t>tocilizumaba</w:t>
      </w:r>
      <w:r w:rsidR="009046FC">
        <w:rPr>
          <w:szCs w:val="22"/>
          <w:lang w:val="lv-LV"/>
        </w:rPr>
        <w:t xml:space="preserve"> lietošanas pārtraukšan</w:t>
      </w:r>
      <w:r w:rsidR="000B238A">
        <w:rPr>
          <w:szCs w:val="22"/>
          <w:lang w:val="lv-LV"/>
        </w:rPr>
        <w:t>u</w:t>
      </w:r>
      <w:r w:rsidR="009046FC">
        <w:rPr>
          <w:szCs w:val="22"/>
          <w:lang w:val="lv-LV"/>
        </w:rPr>
        <w:t>,</w:t>
      </w:r>
      <w:r>
        <w:rPr>
          <w:szCs w:val="22"/>
          <w:lang w:val="lv-LV"/>
        </w:rPr>
        <w:t xml:space="preserve"> ko pamato transamināžu līmenis, skatīt 4.2. apakšpunktā. Ja ALAT un ASAT līmenis paaugstinās līdz vērtībām, kas vairāk nekā 3</w:t>
      </w:r>
      <w:r w:rsidR="000B238A">
        <w:rPr>
          <w:szCs w:val="22"/>
          <w:lang w:val="lv-LV"/>
        </w:rPr>
        <w:noBreakHyphen/>
      </w:r>
      <w:r>
        <w:rPr>
          <w:szCs w:val="22"/>
          <w:lang w:val="lv-LV"/>
        </w:rPr>
        <w:t>5</w:t>
      </w:r>
      <w:r w:rsidR="000B238A">
        <w:rPr>
          <w:szCs w:val="22"/>
          <w:lang w:val="lv-LV"/>
        </w:rPr>
        <w:t> </w:t>
      </w:r>
      <w:r>
        <w:rPr>
          <w:szCs w:val="22"/>
          <w:lang w:val="lv-LV"/>
        </w:rPr>
        <w:t xml:space="preserve">reizes pārsniedz NAR un kas ir apstiprināts ar atkārtotām analīzēm, </w:t>
      </w:r>
      <w:r w:rsidR="00C55A88">
        <w:rPr>
          <w:szCs w:val="22"/>
          <w:lang w:val="lv-LV"/>
        </w:rPr>
        <w:t>terapija</w:t>
      </w:r>
      <w:r>
        <w:rPr>
          <w:szCs w:val="22"/>
          <w:lang w:val="lv-LV"/>
        </w:rPr>
        <w:t xml:space="preserve"> ir jāpārtrauc. </w:t>
      </w:r>
    </w:p>
    <w:p w14:paraId="4822C2DA" w14:textId="77777777" w:rsidR="00784D05" w:rsidRPr="00B1121A" w:rsidRDefault="00784D05">
      <w:pPr>
        <w:rPr>
          <w:szCs w:val="22"/>
          <w:lang w:val="lv-LV"/>
        </w:rPr>
      </w:pPr>
    </w:p>
    <w:p w14:paraId="7899F06C" w14:textId="77777777" w:rsidR="00784D05" w:rsidRPr="0043103B" w:rsidRDefault="00784D05">
      <w:pPr>
        <w:keepNext/>
        <w:rPr>
          <w:szCs w:val="22"/>
          <w:lang w:val="lv-LV"/>
        </w:rPr>
        <w:pPrChange w:id="39" w:author="Author">
          <w:pPr/>
        </w:pPrChange>
      </w:pPr>
      <w:r>
        <w:rPr>
          <w:i/>
          <w:szCs w:val="22"/>
          <w:lang w:val="lv-LV"/>
        </w:rPr>
        <w:t>Hematoloģiskās patoloģij</w:t>
      </w:r>
      <w:r w:rsidRPr="0043103B">
        <w:rPr>
          <w:i/>
          <w:szCs w:val="22"/>
          <w:lang w:val="lv-LV"/>
        </w:rPr>
        <w:t>as</w:t>
      </w:r>
    </w:p>
    <w:p w14:paraId="44A94729" w14:textId="249E2CF3" w:rsidR="00784D05" w:rsidRDefault="00784D05">
      <w:pPr>
        <w:rPr>
          <w:szCs w:val="22"/>
          <w:lang w:val="lv-LV"/>
        </w:rPr>
      </w:pPr>
      <w:r w:rsidRPr="0043103B">
        <w:rPr>
          <w:szCs w:val="22"/>
          <w:lang w:val="lv-LV"/>
        </w:rPr>
        <w:t>Pēc ārstēšanas ar tocilizumab</w:t>
      </w:r>
      <w:r w:rsidR="000C6C88" w:rsidRPr="0043103B">
        <w:rPr>
          <w:szCs w:val="22"/>
          <w:lang w:val="lv-LV"/>
        </w:rPr>
        <w:t>a</w:t>
      </w:r>
      <w:r w:rsidRPr="0043103B">
        <w:rPr>
          <w:szCs w:val="22"/>
          <w:lang w:val="lv-LV"/>
        </w:rPr>
        <w:t xml:space="preserve"> 8 mg/kg </w:t>
      </w:r>
      <w:r w:rsidR="000C6C88" w:rsidRPr="0043103B">
        <w:rPr>
          <w:szCs w:val="22"/>
          <w:lang w:val="lv-LV"/>
        </w:rPr>
        <w:t xml:space="preserve">devu </w:t>
      </w:r>
      <w:r w:rsidRPr="0043103B">
        <w:rPr>
          <w:szCs w:val="22"/>
          <w:lang w:val="lv-LV"/>
        </w:rPr>
        <w:t>kombinācijā ar MT</w:t>
      </w:r>
      <w:r>
        <w:rPr>
          <w:szCs w:val="22"/>
          <w:lang w:val="lv-LV"/>
        </w:rPr>
        <w:t>X novērota neitrofilo leikocītu un trombocītu skaita samazināšanās (skatīt 4.8. apakšpunktu). Pacientiem, kuri agrāk ir ārstēti ar TNF</w:t>
      </w:r>
      <w:r w:rsidR="000C6C88">
        <w:rPr>
          <w:szCs w:val="22"/>
          <w:lang w:val="lv-LV"/>
        </w:rPr>
        <w:t> </w:t>
      </w:r>
      <w:r>
        <w:rPr>
          <w:szCs w:val="22"/>
          <w:lang w:val="lv-LV"/>
        </w:rPr>
        <w:t>antagonistiem, var paaugstināties neitropēnijas risks.</w:t>
      </w:r>
    </w:p>
    <w:p w14:paraId="2D1BC756" w14:textId="77777777" w:rsidR="00784D05" w:rsidRDefault="00784D05">
      <w:pPr>
        <w:rPr>
          <w:szCs w:val="22"/>
          <w:lang w:val="lv-LV"/>
        </w:rPr>
      </w:pPr>
    </w:p>
    <w:p w14:paraId="1DBB071C" w14:textId="29CEEDCF" w:rsidR="00784D05" w:rsidRDefault="00784D05">
      <w:pPr>
        <w:rPr>
          <w:szCs w:val="22"/>
          <w:lang w:val="lv-LV"/>
        </w:rPr>
      </w:pPr>
      <w:r>
        <w:rPr>
          <w:szCs w:val="22"/>
          <w:lang w:val="lv-LV"/>
        </w:rPr>
        <w:t xml:space="preserve">Pacientiem, kuri ar </w:t>
      </w:r>
      <w:r w:rsidR="000B238A">
        <w:rPr>
          <w:szCs w:val="22"/>
          <w:lang w:val="lv-LV"/>
        </w:rPr>
        <w:t>tocilizumabu</w:t>
      </w:r>
      <w:r>
        <w:rPr>
          <w:szCs w:val="22"/>
          <w:lang w:val="lv-LV"/>
        </w:rPr>
        <w:t xml:space="preserve"> agrāk nav ārstēti, sākt zāļu lietošanu nav ieteicams, ja ANS ir mazāks par</w:t>
      </w:r>
      <w:r w:rsidR="000C6C88">
        <w:rPr>
          <w:szCs w:val="22"/>
          <w:lang w:val="lv-LV"/>
        </w:rPr>
        <w:t> </w:t>
      </w:r>
      <w:r>
        <w:rPr>
          <w:szCs w:val="22"/>
          <w:lang w:val="lv-LV"/>
        </w:rPr>
        <w:t>2 </w:t>
      </w:r>
      <w:r w:rsidR="000B238A">
        <w:rPr>
          <w:szCs w:val="22"/>
          <w:lang w:val="lv-LV"/>
        </w:rPr>
        <w:t>×</w:t>
      </w:r>
      <w:r>
        <w:rPr>
          <w:szCs w:val="22"/>
          <w:lang w:val="lv-LV"/>
        </w:rPr>
        <w:t> 10</w:t>
      </w:r>
      <w:r>
        <w:rPr>
          <w:szCs w:val="22"/>
          <w:vertAlign w:val="superscript"/>
          <w:lang w:val="lv-LV"/>
        </w:rPr>
        <w:t>9</w:t>
      </w:r>
      <w:r>
        <w:rPr>
          <w:szCs w:val="22"/>
          <w:lang w:val="lv-LV"/>
        </w:rPr>
        <w:t>/l.</w:t>
      </w:r>
      <w:r>
        <w:rPr>
          <w:bCs/>
          <w:lang w:val="lv-LV"/>
        </w:rPr>
        <w:t xml:space="preserve"> </w:t>
      </w:r>
      <w:r>
        <w:rPr>
          <w:szCs w:val="22"/>
          <w:lang w:val="lv-LV"/>
        </w:rPr>
        <w:t xml:space="preserve">Apsverot </w:t>
      </w:r>
      <w:r w:rsidR="000B238A">
        <w:rPr>
          <w:szCs w:val="22"/>
          <w:lang w:val="lv-LV"/>
        </w:rPr>
        <w:t xml:space="preserve">terapijas </w:t>
      </w:r>
      <w:r>
        <w:rPr>
          <w:szCs w:val="22"/>
          <w:lang w:val="lv-LV"/>
        </w:rPr>
        <w:t>sākšanu pacientiem ar mazu neitrofilo leikocītu vai trombocītu skaitu (trombocītu skaitu, kas mazāks par</w:t>
      </w:r>
      <w:r w:rsidR="000C6C88">
        <w:rPr>
          <w:szCs w:val="22"/>
          <w:lang w:val="lv-LV"/>
        </w:rPr>
        <w:t> </w:t>
      </w:r>
      <w:r>
        <w:rPr>
          <w:szCs w:val="22"/>
          <w:lang w:val="lv-LV"/>
        </w:rPr>
        <w:t>100</w:t>
      </w:r>
      <w:r w:rsidR="000B238A">
        <w:rPr>
          <w:szCs w:val="22"/>
          <w:lang w:val="lv-LV"/>
        </w:rPr>
        <w:t> × </w:t>
      </w:r>
      <w:r>
        <w:rPr>
          <w:szCs w:val="22"/>
          <w:lang w:val="lv-LV"/>
        </w:rPr>
        <w:t>10</w:t>
      </w:r>
      <w:r>
        <w:rPr>
          <w:szCs w:val="22"/>
          <w:vertAlign w:val="superscript"/>
          <w:lang w:val="lv-LV"/>
        </w:rPr>
        <w:t>3</w:t>
      </w:r>
      <w:r>
        <w:rPr>
          <w:szCs w:val="22"/>
          <w:lang w:val="lv-LV"/>
        </w:rPr>
        <w:t>/</w:t>
      </w:r>
      <w:r w:rsidR="00236CD1" w:rsidRPr="00707120">
        <w:rPr>
          <w:szCs w:val="22"/>
          <w:lang w:val="lv-LV" w:eastAsia="ja-JP"/>
        </w:rPr>
        <w:t>µ</w:t>
      </w:r>
      <w:r>
        <w:rPr>
          <w:szCs w:val="22"/>
          <w:lang w:val="lv-LV"/>
        </w:rPr>
        <w:t>l), jāievēro piesardzība. Pacientiem</w:t>
      </w:r>
      <w:r w:rsidR="00B1121A">
        <w:rPr>
          <w:szCs w:val="22"/>
          <w:lang w:val="lv-LV"/>
        </w:rPr>
        <w:t xml:space="preserve"> ar RA, </w:t>
      </w:r>
      <w:r w:rsidR="000B238A">
        <w:rPr>
          <w:szCs w:val="22"/>
          <w:lang w:val="lv-LV"/>
        </w:rPr>
        <w:t>p</w:t>
      </w:r>
      <w:r w:rsidR="00B1121A">
        <w:rPr>
          <w:szCs w:val="22"/>
          <w:lang w:val="lv-LV"/>
        </w:rPr>
        <w:t xml:space="preserve">JIA vai </w:t>
      </w:r>
      <w:r w:rsidR="000B238A">
        <w:rPr>
          <w:szCs w:val="22"/>
          <w:lang w:val="lv-LV"/>
        </w:rPr>
        <w:t>s</w:t>
      </w:r>
      <w:r w:rsidR="00B1121A">
        <w:rPr>
          <w:szCs w:val="22"/>
          <w:lang w:val="lv-LV"/>
        </w:rPr>
        <w:t>JIA</w:t>
      </w:r>
      <w:r>
        <w:rPr>
          <w:szCs w:val="22"/>
          <w:lang w:val="lv-LV"/>
        </w:rPr>
        <w:t>, kuriem ANS ir</w:t>
      </w:r>
      <w:r w:rsidR="000C6C88">
        <w:rPr>
          <w:szCs w:val="22"/>
          <w:lang w:val="lv-LV"/>
        </w:rPr>
        <w:t> </w:t>
      </w:r>
      <w:r w:rsidR="000B238A">
        <w:rPr>
          <w:szCs w:val="22"/>
          <w:lang w:val="lv-LV"/>
        </w:rPr>
        <w:t>˂ </w:t>
      </w:r>
      <w:r>
        <w:rPr>
          <w:szCs w:val="22"/>
          <w:lang w:val="lv-LV"/>
        </w:rPr>
        <w:t>0,5</w:t>
      </w:r>
      <w:r w:rsidR="000B238A">
        <w:rPr>
          <w:szCs w:val="22"/>
          <w:lang w:val="lv-LV"/>
        </w:rPr>
        <w:t> × </w:t>
      </w:r>
      <w:r>
        <w:rPr>
          <w:szCs w:val="22"/>
          <w:lang w:val="lv-LV"/>
        </w:rPr>
        <w:t>10</w:t>
      </w:r>
      <w:r>
        <w:rPr>
          <w:szCs w:val="22"/>
          <w:vertAlign w:val="superscript"/>
          <w:lang w:val="lv-LV"/>
        </w:rPr>
        <w:t>9</w:t>
      </w:r>
      <w:r>
        <w:rPr>
          <w:szCs w:val="22"/>
          <w:lang w:val="lv-LV"/>
        </w:rPr>
        <w:t>/l vai trombocītu skaits ir</w:t>
      </w:r>
      <w:r w:rsidR="000C6C88">
        <w:rPr>
          <w:szCs w:val="22"/>
          <w:lang w:val="lv-LV"/>
        </w:rPr>
        <w:t> </w:t>
      </w:r>
      <w:r w:rsidR="000B238A">
        <w:rPr>
          <w:szCs w:val="22"/>
          <w:lang w:val="lv-LV"/>
        </w:rPr>
        <w:t>˂ </w:t>
      </w:r>
      <w:r>
        <w:rPr>
          <w:szCs w:val="22"/>
          <w:lang w:val="lv-LV"/>
        </w:rPr>
        <w:t>50</w:t>
      </w:r>
      <w:r w:rsidR="000B238A">
        <w:rPr>
          <w:szCs w:val="22"/>
          <w:lang w:val="lv-LV"/>
        </w:rPr>
        <w:t> × </w:t>
      </w:r>
      <w:r>
        <w:rPr>
          <w:szCs w:val="22"/>
          <w:lang w:val="lv-LV"/>
        </w:rPr>
        <w:t>10</w:t>
      </w:r>
      <w:r>
        <w:rPr>
          <w:szCs w:val="22"/>
          <w:vertAlign w:val="superscript"/>
          <w:lang w:val="lv-LV"/>
        </w:rPr>
        <w:t>3</w:t>
      </w:r>
      <w:r>
        <w:rPr>
          <w:szCs w:val="22"/>
          <w:lang w:val="lv-LV"/>
        </w:rPr>
        <w:t>/</w:t>
      </w:r>
      <w:r w:rsidR="00236CD1" w:rsidRPr="00707120">
        <w:rPr>
          <w:szCs w:val="22"/>
          <w:lang w:val="lv-LV" w:eastAsia="ja-JP"/>
        </w:rPr>
        <w:t>µ</w:t>
      </w:r>
      <w:r>
        <w:rPr>
          <w:szCs w:val="22"/>
          <w:lang w:val="lv-LV"/>
        </w:rPr>
        <w:t>l, turpmāka ārstēšana nav ieteicama.</w:t>
      </w:r>
    </w:p>
    <w:p w14:paraId="2B0C80FC" w14:textId="77777777" w:rsidR="00784D05" w:rsidRDefault="00784D05">
      <w:pPr>
        <w:rPr>
          <w:szCs w:val="22"/>
          <w:lang w:val="lv-LV"/>
        </w:rPr>
      </w:pPr>
    </w:p>
    <w:p w14:paraId="19BD05C9" w14:textId="0285D5BA" w:rsidR="00784D05" w:rsidRDefault="00784D05">
      <w:pPr>
        <w:rPr>
          <w:szCs w:val="22"/>
          <w:lang w:val="lv-LV"/>
        </w:rPr>
      </w:pPr>
      <w:r>
        <w:rPr>
          <w:szCs w:val="22"/>
          <w:lang w:val="lv-LV"/>
        </w:rPr>
        <w:t xml:space="preserve">Smaga neitropēnija var būt saistīta ar paaugstinātu nopietnu infekciju risku, lai gan līdz šim klīniskos pētījumos </w:t>
      </w:r>
      <w:r w:rsidR="000B238A">
        <w:rPr>
          <w:szCs w:val="22"/>
          <w:lang w:val="lv-LV"/>
        </w:rPr>
        <w:t>p</w:t>
      </w:r>
      <w:r>
        <w:rPr>
          <w:szCs w:val="22"/>
          <w:lang w:val="lv-LV"/>
        </w:rPr>
        <w:t xml:space="preserve">ar </w:t>
      </w:r>
      <w:r w:rsidR="000B238A">
        <w:rPr>
          <w:szCs w:val="22"/>
          <w:lang w:val="lv-LV"/>
        </w:rPr>
        <w:t>tocilizumabu</w:t>
      </w:r>
      <w:r>
        <w:rPr>
          <w:szCs w:val="22"/>
          <w:lang w:val="lv-LV"/>
        </w:rPr>
        <w:t xml:space="preserve"> nebija acīmredzamas saistības starp neitrofilo leikocītu skaita samazināšanos un nopietnu infekciju rašanos.</w:t>
      </w:r>
    </w:p>
    <w:p w14:paraId="0393B961" w14:textId="77777777" w:rsidR="00784D05" w:rsidRDefault="00784D05">
      <w:pPr>
        <w:rPr>
          <w:szCs w:val="22"/>
          <w:lang w:val="lv-LV"/>
        </w:rPr>
      </w:pPr>
    </w:p>
    <w:p w14:paraId="553B6B0B" w14:textId="30A03CCE" w:rsidR="00784D05" w:rsidRDefault="00784D05">
      <w:pPr>
        <w:rPr>
          <w:szCs w:val="22"/>
          <w:lang w:val="lv-LV"/>
        </w:rPr>
      </w:pPr>
      <w:r>
        <w:rPr>
          <w:szCs w:val="22"/>
          <w:lang w:val="lv-LV"/>
        </w:rPr>
        <w:t>Pacientiem ar RA neitrofilo leikocītu un trombocītu skaits jākontrolē 4</w:t>
      </w:r>
      <w:r w:rsidR="000B238A">
        <w:rPr>
          <w:szCs w:val="22"/>
          <w:lang w:val="lv-LV"/>
        </w:rPr>
        <w:noBreakHyphen/>
      </w:r>
      <w:r>
        <w:rPr>
          <w:szCs w:val="22"/>
          <w:lang w:val="lv-LV"/>
        </w:rPr>
        <w:t>8</w:t>
      </w:r>
      <w:r w:rsidR="000B238A">
        <w:rPr>
          <w:szCs w:val="22"/>
          <w:lang w:val="lv-LV"/>
        </w:rPr>
        <w:t> </w:t>
      </w:r>
      <w:r>
        <w:rPr>
          <w:szCs w:val="22"/>
          <w:lang w:val="lv-LV"/>
        </w:rPr>
        <w:t>nedēļas pēc ārstēšanas uzsākšanas un pēc tam atbilstoši standarta klīniskai praksei. Ieteicamo devas pielāgošanu, pamatojoties uz ANS un trombocītu skaitu, skatīt 4.2. apakšpunktā.</w:t>
      </w:r>
    </w:p>
    <w:p w14:paraId="638676A9" w14:textId="77777777" w:rsidR="00784D05" w:rsidRDefault="00784D05">
      <w:pPr>
        <w:rPr>
          <w:szCs w:val="22"/>
          <w:lang w:val="lv-LV"/>
        </w:rPr>
      </w:pPr>
    </w:p>
    <w:p w14:paraId="3883204A" w14:textId="6DD3378B" w:rsidR="00784D05" w:rsidRDefault="00784D05">
      <w:pPr>
        <w:rPr>
          <w:szCs w:val="22"/>
          <w:lang w:val="lv-LV"/>
        </w:rPr>
      </w:pPr>
      <w:r>
        <w:rPr>
          <w:szCs w:val="22"/>
          <w:lang w:val="lv-LV"/>
        </w:rPr>
        <w:t xml:space="preserve">Pacientiem ar </w:t>
      </w:r>
      <w:r w:rsidR="000B238A">
        <w:rPr>
          <w:szCs w:val="22"/>
          <w:lang w:val="lv-LV"/>
        </w:rPr>
        <w:t>p</w:t>
      </w:r>
      <w:r>
        <w:rPr>
          <w:szCs w:val="22"/>
          <w:lang w:val="lv-LV"/>
        </w:rPr>
        <w:t xml:space="preserve">JIA </w:t>
      </w:r>
      <w:r w:rsidR="000B238A">
        <w:rPr>
          <w:szCs w:val="22"/>
          <w:lang w:val="lv-LV"/>
        </w:rPr>
        <w:t>vai s</w:t>
      </w:r>
      <w:r>
        <w:rPr>
          <w:szCs w:val="22"/>
          <w:lang w:val="lv-LV"/>
        </w:rPr>
        <w:t>JIA neitrofilo leikocītu un trombocītu skaits jānosaka otrās infūzijas laikā, bet vēlāk saskaņā ar labas klīniskās prakses prasībām (skatīt 4.2. apakšpunktu).</w:t>
      </w:r>
    </w:p>
    <w:p w14:paraId="1A4BA902" w14:textId="77777777" w:rsidR="00B1121A" w:rsidRDefault="00B1121A" w:rsidP="00B1121A">
      <w:pPr>
        <w:rPr>
          <w:szCs w:val="22"/>
          <w:lang w:val="lv-LV"/>
        </w:rPr>
      </w:pPr>
    </w:p>
    <w:p w14:paraId="0D11E643" w14:textId="77777777" w:rsidR="00784D05" w:rsidRDefault="00784D05">
      <w:pPr>
        <w:keepNext/>
        <w:keepLines/>
        <w:rPr>
          <w:szCs w:val="22"/>
          <w:lang w:val="lv-LV"/>
        </w:rPr>
      </w:pPr>
      <w:r>
        <w:rPr>
          <w:i/>
          <w:szCs w:val="22"/>
          <w:lang w:val="lv-LV"/>
        </w:rPr>
        <w:t>Lipīdu rādītāji</w:t>
      </w:r>
    </w:p>
    <w:p w14:paraId="02BB5CC1" w14:textId="74708924" w:rsidR="00784D05" w:rsidRDefault="00784D05">
      <w:pPr>
        <w:rPr>
          <w:lang w:val="lv-LV"/>
        </w:rPr>
      </w:pPr>
      <w:r>
        <w:rPr>
          <w:szCs w:val="22"/>
          <w:lang w:val="lv-LV"/>
        </w:rPr>
        <w:t xml:space="preserve">Ar tocilizumabu ārstētajiem pacientiem ir novērota lipīdu rādītāju, tajā skaitā arī kopējā holesterīna, zema blīvuma lipoproteīnu (ZBL), augsta blīvuma lipoproteīnu (ABL) </w:t>
      </w:r>
      <w:r w:rsidRPr="003259A0">
        <w:rPr>
          <w:szCs w:val="22"/>
          <w:lang w:val="lv-LV"/>
        </w:rPr>
        <w:t>un triglicerīdu</w:t>
      </w:r>
      <w:r w:rsidR="003259A0" w:rsidRPr="0067693D">
        <w:rPr>
          <w:szCs w:val="22"/>
          <w:lang w:val="lv-LV"/>
        </w:rPr>
        <w:t>,</w:t>
      </w:r>
      <w:r w:rsidRPr="003259A0">
        <w:rPr>
          <w:szCs w:val="22"/>
          <w:lang w:val="lv-LV"/>
        </w:rPr>
        <w:t xml:space="preserve"> </w:t>
      </w:r>
      <w:r w:rsidR="000C6C88" w:rsidRPr="003259A0">
        <w:rPr>
          <w:szCs w:val="22"/>
          <w:lang w:val="lv-LV"/>
        </w:rPr>
        <w:t>līmeņa</w:t>
      </w:r>
      <w:r w:rsidR="000C6C88">
        <w:rPr>
          <w:szCs w:val="22"/>
          <w:lang w:val="lv-LV"/>
        </w:rPr>
        <w:t xml:space="preserve"> </w:t>
      </w:r>
      <w:r>
        <w:rPr>
          <w:szCs w:val="22"/>
          <w:lang w:val="lv-LV"/>
        </w:rPr>
        <w:t xml:space="preserve">paaugstināšanās (skatīt 4.8. apakšpunktu). Lielākajai daļai pacientu aterogēno rādītāju vērtības nepaaugstinājās un kopējā holesterīna līmeņa paaugstināšanās reaģēja uz terapiju ar </w:t>
      </w:r>
      <w:r>
        <w:rPr>
          <w:lang w:val="lv-LV"/>
        </w:rPr>
        <w:t>lipīdu līmeni pazeminošajiem līdzekļiem.</w:t>
      </w:r>
    </w:p>
    <w:p w14:paraId="68E2055E" w14:textId="77777777" w:rsidR="00784D05" w:rsidRDefault="00784D05">
      <w:pPr>
        <w:rPr>
          <w:lang w:val="lv-LV"/>
        </w:rPr>
      </w:pPr>
    </w:p>
    <w:p w14:paraId="41F4DC44" w14:textId="218F228E" w:rsidR="00784D05" w:rsidRDefault="00784D05">
      <w:pPr>
        <w:rPr>
          <w:szCs w:val="22"/>
          <w:lang w:val="lv-LV"/>
        </w:rPr>
      </w:pPr>
      <w:r>
        <w:rPr>
          <w:szCs w:val="22"/>
          <w:lang w:val="lv-LV"/>
        </w:rPr>
        <w:t xml:space="preserve">Pacientiem ar </w:t>
      </w:r>
      <w:r w:rsidR="000B238A">
        <w:rPr>
          <w:szCs w:val="22"/>
          <w:lang w:val="lv-LV"/>
        </w:rPr>
        <w:t>R</w:t>
      </w:r>
      <w:r w:rsidR="000C6C88">
        <w:rPr>
          <w:szCs w:val="22"/>
          <w:lang w:val="lv-LV"/>
        </w:rPr>
        <w:t>A</w:t>
      </w:r>
      <w:r w:rsidR="000B238A">
        <w:rPr>
          <w:szCs w:val="22"/>
          <w:lang w:val="lv-LV"/>
        </w:rPr>
        <w:t>, p</w:t>
      </w:r>
      <w:r>
        <w:rPr>
          <w:szCs w:val="22"/>
          <w:lang w:val="lv-LV"/>
        </w:rPr>
        <w:t>JIA</w:t>
      </w:r>
      <w:r w:rsidR="000B238A">
        <w:rPr>
          <w:szCs w:val="22"/>
          <w:lang w:val="lv-LV"/>
        </w:rPr>
        <w:t xml:space="preserve"> un</w:t>
      </w:r>
      <w:r>
        <w:rPr>
          <w:szCs w:val="22"/>
          <w:lang w:val="lv-LV"/>
        </w:rPr>
        <w:t xml:space="preserve"> </w:t>
      </w:r>
      <w:r w:rsidR="000B238A">
        <w:rPr>
          <w:szCs w:val="22"/>
          <w:lang w:val="lv-LV"/>
        </w:rPr>
        <w:t>s</w:t>
      </w:r>
      <w:r>
        <w:rPr>
          <w:szCs w:val="22"/>
          <w:lang w:val="lv-LV"/>
        </w:rPr>
        <w:t>JIA lipīdu rādītāji jānovērtē 4</w:t>
      </w:r>
      <w:r w:rsidR="000B238A">
        <w:rPr>
          <w:szCs w:val="22"/>
          <w:lang w:val="lv-LV"/>
        </w:rPr>
        <w:noBreakHyphen/>
      </w:r>
      <w:r>
        <w:rPr>
          <w:szCs w:val="22"/>
          <w:lang w:val="lv-LV"/>
        </w:rPr>
        <w:t>8</w:t>
      </w:r>
      <w:r w:rsidR="000B238A">
        <w:rPr>
          <w:szCs w:val="22"/>
          <w:lang w:val="lv-LV"/>
        </w:rPr>
        <w:t> </w:t>
      </w:r>
      <w:r>
        <w:rPr>
          <w:szCs w:val="22"/>
          <w:lang w:val="lv-LV"/>
        </w:rPr>
        <w:t xml:space="preserve">nedēļas pēc </w:t>
      </w:r>
      <w:r w:rsidR="000B238A">
        <w:rPr>
          <w:szCs w:val="22"/>
          <w:lang w:val="lv-LV"/>
        </w:rPr>
        <w:t>terapijas sākuma.</w:t>
      </w:r>
      <w:r>
        <w:rPr>
          <w:szCs w:val="22"/>
          <w:lang w:val="lv-LV"/>
        </w:rPr>
        <w:t xml:space="preserve"> Pacienti jāārstē atbilstoši vietējām klīniskām vadlīnijām par hiperlipidēmijas ārstēšanu.</w:t>
      </w:r>
    </w:p>
    <w:p w14:paraId="69B2E382" w14:textId="77777777" w:rsidR="00784D05" w:rsidRDefault="00784D05">
      <w:pPr>
        <w:rPr>
          <w:szCs w:val="22"/>
          <w:lang w:val="lv-LV"/>
        </w:rPr>
      </w:pPr>
    </w:p>
    <w:p w14:paraId="0ECEE505" w14:textId="77777777" w:rsidR="00784D05" w:rsidRDefault="00784D05">
      <w:pPr>
        <w:keepNext/>
        <w:keepLines/>
        <w:rPr>
          <w:szCs w:val="22"/>
          <w:lang w:val="lv-LV"/>
        </w:rPr>
      </w:pPr>
      <w:r>
        <w:rPr>
          <w:i/>
          <w:szCs w:val="22"/>
          <w:lang w:val="lv-LV"/>
        </w:rPr>
        <w:t>Neiroloģiski traucējumi</w:t>
      </w:r>
    </w:p>
    <w:p w14:paraId="3234AEC9" w14:textId="0B2D61A7" w:rsidR="00784D05" w:rsidRDefault="00784D05">
      <w:pPr>
        <w:rPr>
          <w:szCs w:val="22"/>
          <w:lang w:val="lv-LV"/>
        </w:rPr>
      </w:pPr>
      <w:r>
        <w:rPr>
          <w:szCs w:val="22"/>
          <w:lang w:val="lv-LV"/>
        </w:rPr>
        <w:t xml:space="preserve">Ārstiem jānovēro, vai pacientam nerodas simptomi, kas var liecināt par jauniem centrāliem demielinizējošiem traucējumiem. Centrālas demielinizācijas iespējamība, lietojot </w:t>
      </w:r>
      <w:r w:rsidR="000B238A">
        <w:rPr>
          <w:szCs w:val="22"/>
          <w:lang w:val="lv-LV"/>
        </w:rPr>
        <w:t>tocilizumabu</w:t>
      </w:r>
      <w:r>
        <w:rPr>
          <w:szCs w:val="22"/>
          <w:lang w:val="lv-LV"/>
        </w:rPr>
        <w:t>, pašlaik nav zināma.</w:t>
      </w:r>
    </w:p>
    <w:p w14:paraId="2A2210D0" w14:textId="77777777" w:rsidR="00784D05" w:rsidRDefault="00784D05">
      <w:pPr>
        <w:rPr>
          <w:szCs w:val="22"/>
          <w:lang w:val="lv-LV"/>
        </w:rPr>
      </w:pPr>
    </w:p>
    <w:p w14:paraId="77EBD373" w14:textId="77777777" w:rsidR="00784D05" w:rsidRDefault="00784D05">
      <w:pPr>
        <w:rPr>
          <w:szCs w:val="22"/>
          <w:lang w:val="lv-LV"/>
        </w:rPr>
      </w:pPr>
      <w:r>
        <w:rPr>
          <w:i/>
          <w:szCs w:val="22"/>
          <w:lang w:val="lv-LV"/>
        </w:rPr>
        <w:t>Ļaundabīgi audzēji</w:t>
      </w:r>
    </w:p>
    <w:p w14:paraId="2D1BE574" w14:textId="39DDADF0" w:rsidR="00784D05" w:rsidRDefault="00784D05">
      <w:pPr>
        <w:rPr>
          <w:szCs w:val="22"/>
          <w:lang w:val="lv-LV"/>
        </w:rPr>
      </w:pPr>
      <w:r>
        <w:rPr>
          <w:szCs w:val="22"/>
          <w:lang w:val="lv-LV"/>
        </w:rPr>
        <w:t>Ļaundabīgu audzēju risks pacientiem ar RA ir paaugstināts. Imūnmodulējoši līdzekļi var paaugstināt ļaundabīga audzēja risku.</w:t>
      </w:r>
      <w:r w:rsidR="000B238A">
        <w:rPr>
          <w:szCs w:val="22"/>
          <w:lang w:val="lv-LV"/>
        </w:rPr>
        <w:t xml:space="preserve"> </w:t>
      </w:r>
      <w:r w:rsidR="000B238A">
        <w:rPr>
          <w:rFonts w:eastAsia="PMingLiU"/>
          <w:szCs w:val="22"/>
          <w:lang w:val="lv-LV"/>
        </w:rPr>
        <w:t xml:space="preserve">Klīniskie dati nav pietiekami, lai novērtētu ļaundabīgo audzēju iespējamo rašanās biežumu pēc tocilizumaba lietošanas. </w:t>
      </w:r>
      <w:r w:rsidR="000C6C88">
        <w:rPr>
          <w:rFonts w:eastAsia="PMingLiU"/>
          <w:szCs w:val="22"/>
          <w:lang w:val="lv-LV"/>
        </w:rPr>
        <w:t>D</w:t>
      </w:r>
      <w:r w:rsidR="000B238A">
        <w:rPr>
          <w:rFonts w:eastAsia="PMingLiU"/>
          <w:szCs w:val="22"/>
          <w:lang w:val="lv-LV"/>
        </w:rPr>
        <w:t>rošuma novērtēšana ilgtermiņā</w:t>
      </w:r>
      <w:r w:rsidR="000347F3">
        <w:rPr>
          <w:rFonts w:eastAsia="PMingLiU"/>
          <w:szCs w:val="22"/>
          <w:lang w:val="lv-LV"/>
        </w:rPr>
        <w:t xml:space="preserve"> vēl arvien</w:t>
      </w:r>
      <w:r w:rsidR="000C6C88">
        <w:rPr>
          <w:rFonts w:eastAsia="PMingLiU"/>
          <w:szCs w:val="22"/>
          <w:lang w:val="lv-LV"/>
        </w:rPr>
        <w:t xml:space="preserve"> turpinās</w:t>
      </w:r>
      <w:r w:rsidR="000B238A">
        <w:rPr>
          <w:rFonts w:eastAsia="PMingLiU"/>
          <w:szCs w:val="22"/>
          <w:lang w:val="lv-LV"/>
        </w:rPr>
        <w:t>.</w:t>
      </w:r>
    </w:p>
    <w:p w14:paraId="223E6497" w14:textId="77777777" w:rsidR="00784D05" w:rsidRDefault="00784D05">
      <w:pPr>
        <w:rPr>
          <w:szCs w:val="22"/>
          <w:lang w:val="lv-LV"/>
        </w:rPr>
      </w:pPr>
    </w:p>
    <w:p w14:paraId="4EA5B957" w14:textId="77777777" w:rsidR="00784D05" w:rsidRDefault="00784D05">
      <w:pPr>
        <w:rPr>
          <w:szCs w:val="22"/>
          <w:lang w:val="lv-LV"/>
        </w:rPr>
      </w:pPr>
      <w:r>
        <w:rPr>
          <w:i/>
          <w:szCs w:val="22"/>
          <w:lang w:val="lv-LV"/>
        </w:rPr>
        <w:t>Vakcinācija</w:t>
      </w:r>
    </w:p>
    <w:p w14:paraId="46C41932" w14:textId="659315E7" w:rsidR="00784D05" w:rsidRDefault="00784D05">
      <w:pPr>
        <w:rPr>
          <w:szCs w:val="22"/>
          <w:lang w:val="lv-LV"/>
        </w:rPr>
      </w:pPr>
      <w:r>
        <w:rPr>
          <w:szCs w:val="22"/>
          <w:lang w:val="lv-LV"/>
        </w:rPr>
        <w:t xml:space="preserve">Dzīvas un dzīvas novājinātas vakcīnas nedrīkst lietot vienlaikus ar </w:t>
      </w:r>
      <w:r w:rsidR="000B238A">
        <w:rPr>
          <w:szCs w:val="22"/>
          <w:lang w:val="lv-LV"/>
        </w:rPr>
        <w:t>šīm zālēm</w:t>
      </w:r>
      <w:r>
        <w:rPr>
          <w:szCs w:val="22"/>
          <w:lang w:val="lv-LV"/>
        </w:rPr>
        <w:t xml:space="preserve">, jo klīniskais drošums nav pierādīts. Randomizētā, atklātā pētījumā pieaugušiem pacientiem ar RA, ārstētiem ar </w:t>
      </w:r>
      <w:r w:rsidR="000B238A">
        <w:rPr>
          <w:szCs w:val="22"/>
          <w:lang w:val="lv-LV"/>
        </w:rPr>
        <w:t>tocilizumabu</w:t>
      </w:r>
      <w:r>
        <w:rPr>
          <w:szCs w:val="22"/>
          <w:lang w:val="lv-LV"/>
        </w:rPr>
        <w:t xml:space="preserve"> un MTX</w:t>
      </w:r>
      <w:r w:rsidR="000B238A">
        <w:rPr>
          <w:szCs w:val="22"/>
          <w:lang w:val="lv-LV"/>
        </w:rPr>
        <w:t>,</w:t>
      </w:r>
      <w:r>
        <w:rPr>
          <w:szCs w:val="22"/>
          <w:lang w:val="lv-LV"/>
        </w:rPr>
        <w:t xml:space="preserve"> konstatēja efektīvu atbildes reakciju gan uz 23</w:t>
      </w:r>
      <w:r w:rsidR="000347F3">
        <w:rPr>
          <w:szCs w:val="22"/>
          <w:lang w:val="lv-LV"/>
        </w:rPr>
        <w:noBreakHyphen/>
      </w:r>
      <w:r>
        <w:rPr>
          <w:szCs w:val="22"/>
          <w:lang w:val="lv-LV"/>
        </w:rPr>
        <w:t xml:space="preserve">valentu pneimokoku polisaharīdu, gan stingumkrampju toksoīda vakcīnu, un tā bija līdzīga atbildes reakcijai, kas konstatēta tikai ar MTX ārstētiem pacientiem. Visiem pacientiem, īpaši pacientiem ar </w:t>
      </w:r>
      <w:r w:rsidR="000B238A">
        <w:rPr>
          <w:szCs w:val="22"/>
          <w:lang w:val="lv-LV"/>
        </w:rPr>
        <w:t>p</w:t>
      </w:r>
      <w:r>
        <w:rPr>
          <w:szCs w:val="22"/>
          <w:lang w:val="lv-LV"/>
        </w:rPr>
        <w:t xml:space="preserve">JIA un </w:t>
      </w:r>
      <w:r w:rsidR="000B238A">
        <w:rPr>
          <w:szCs w:val="22"/>
          <w:lang w:val="lv-LV"/>
        </w:rPr>
        <w:t>s</w:t>
      </w:r>
      <w:r>
        <w:rPr>
          <w:szCs w:val="22"/>
          <w:lang w:val="lv-LV"/>
        </w:rPr>
        <w:t xml:space="preserve">JIA, pirms ārstēšanas uzsākšanas ieteicams saņemt visas vakcīnas saskaņā ar pašlaik spēkā esošajām imunizācijas vadlīnijām. Intervālam starp dzīvo vakcīnu lietošanu un </w:t>
      </w:r>
      <w:r w:rsidR="000B238A">
        <w:rPr>
          <w:szCs w:val="22"/>
          <w:lang w:val="lv-LV"/>
        </w:rPr>
        <w:t>terapijas</w:t>
      </w:r>
      <w:r>
        <w:rPr>
          <w:szCs w:val="22"/>
          <w:lang w:val="lv-LV"/>
        </w:rPr>
        <w:t xml:space="preserve"> sākumu jāatbilst pašlaik spēkā esošajām imunizācijas vadlīnijām attiecībā uz imūnsupresīvo preparātu lietošanu.</w:t>
      </w:r>
    </w:p>
    <w:p w14:paraId="6C075DCA" w14:textId="77777777" w:rsidR="00784D05" w:rsidRDefault="00784D05">
      <w:pPr>
        <w:rPr>
          <w:szCs w:val="22"/>
          <w:lang w:val="lv-LV"/>
        </w:rPr>
      </w:pPr>
    </w:p>
    <w:p w14:paraId="71A60B49" w14:textId="77777777" w:rsidR="00784D05" w:rsidRDefault="00784D05">
      <w:pPr>
        <w:rPr>
          <w:rFonts w:eastAsia="SimSun"/>
          <w:szCs w:val="22"/>
          <w:lang w:val="lv-LV"/>
        </w:rPr>
      </w:pPr>
      <w:r>
        <w:rPr>
          <w:rFonts w:eastAsia="SimSun"/>
          <w:i/>
          <w:szCs w:val="22"/>
          <w:lang w:val="lv-LV"/>
        </w:rPr>
        <w:t xml:space="preserve">Kardiovaskulārais risks </w:t>
      </w:r>
    </w:p>
    <w:p w14:paraId="0A0BE7EF" w14:textId="77777777" w:rsidR="00784D05" w:rsidRDefault="00784D05">
      <w:pPr>
        <w:rPr>
          <w:rFonts w:eastAsia="SimSun"/>
          <w:szCs w:val="22"/>
          <w:lang w:val="lv-LV"/>
        </w:rPr>
      </w:pPr>
      <w:r>
        <w:rPr>
          <w:rFonts w:eastAsia="SimSun"/>
          <w:szCs w:val="22"/>
          <w:lang w:val="lv-LV"/>
        </w:rPr>
        <w:t>RA slimniekiem ir paaugstināts kardiovaskulāru traucējumu risks, un standarta aprūpes ietvaros viņiem jānovērš riska faktori (piemēram, hipertensija, hiperlipidēmija).</w:t>
      </w:r>
    </w:p>
    <w:p w14:paraId="05CD6B68" w14:textId="77777777" w:rsidR="00784D05" w:rsidRDefault="00784D05">
      <w:pPr>
        <w:rPr>
          <w:rFonts w:eastAsia="SimSun"/>
          <w:szCs w:val="22"/>
          <w:lang w:val="lv-LV"/>
        </w:rPr>
      </w:pPr>
    </w:p>
    <w:p w14:paraId="349E355F" w14:textId="77777777" w:rsidR="00784D05" w:rsidRDefault="00784D05" w:rsidP="00707120">
      <w:pPr>
        <w:keepNext/>
        <w:rPr>
          <w:rFonts w:eastAsia="SimSun"/>
          <w:szCs w:val="22"/>
          <w:lang w:val="lv-LV"/>
        </w:rPr>
      </w:pPr>
      <w:r>
        <w:rPr>
          <w:rFonts w:eastAsia="SimSun"/>
          <w:i/>
          <w:szCs w:val="22"/>
          <w:lang w:val="lv-LV"/>
        </w:rPr>
        <w:t>Kombinācija ar TNF antagonistiem</w:t>
      </w:r>
    </w:p>
    <w:p w14:paraId="34724704" w14:textId="270C912E" w:rsidR="00784D05" w:rsidRDefault="00784D05">
      <w:pPr>
        <w:rPr>
          <w:rFonts w:eastAsia="PMingLiU"/>
          <w:szCs w:val="22"/>
          <w:lang w:val="lv-LV"/>
        </w:rPr>
      </w:pPr>
      <w:r>
        <w:rPr>
          <w:rFonts w:eastAsia="SimSun"/>
          <w:szCs w:val="22"/>
          <w:lang w:val="lv-LV"/>
        </w:rPr>
        <w:t xml:space="preserve">Pieredzes par </w:t>
      </w:r>
      <w:r w:rsidR="000B238A">
        <w:rPr>
          <w:szCs w:val="22"/>
          <w:lang w:val="lv-LV"/>
        </w:rPr>
        <w:t>tocilizumaba</w:t>
      </w:r>
      <w:r>
        <w:rPr>
          <w:rFonts w:eastAsia="SimSun"/>
          <w:szCs w:val="22"/>
          <w:lang w:val="lv-LV"/>
        </w:rPr>
        <w:t xml:space="preserve"> lietošanu kopā ar TNF antagonistiem vai citiem RA, </w:t>
      </w:r>
      <w:r w:rsidR="000B238A">
        <w:rPr>
          <w:rFonts w:eastAsia="SimSun"/>
          <w:szCs w:val="22"/>
          <w:lang w:val="lv-LV"/>
        </w:rPr>
        <w:t>p</w:t>
      </w:r>
      <w:r>
        <w:rPr>
          <w:rFonts w:eastAsia="SimSun"/>
          <w:szCs w:val="22"/>
          <w:lang w:val="lv-LV"/>
        </w:rPr>
        <w:t xml:space="preserve">JIA vai </w:t>
      </w:r>
      <w:r w:rsidR="000B238A">
        <w:rPr>
          <w:rFonts w:eastAsia="SimSun"/>
          <w:szCs w:val="22"/>
          <w:lang w:val="lv-LV"/>
        </w:rPr>
        <w:t>s</w:t>
      </w:r>
      <w:r>
        <w:rPr>
          <w:rFonts w:eastAsia="SimSun"/>
          <w:szCs w:val="22"/>
          <w:lang w:val="lv-LV"/>
        </w:rPr>
        <w:t xml:space="preserve">JIA ārstēšanai paredzētiem bioloģiskiem līdzekļiem nav. </w:t>
      </w:r>
      <w:r w:rsidR="000B238A">
        <w:rPr>
          <w:rFonts w:eastAsia="SimSun"/>
          <w:szCs w:val="22"/>
          <w:lang w:val="lv-LV"/>
        </w:rPr>
        <w:t>Šīs zāles</w:t>
      </w:r>
      <w:r>
        <w:rPr>
          <w:rFonts w:eastAsia="SimSun"/>
          <w:szCs w:val="22"/>
          <w:lang w:val="lv-LV"/>
        </w:rPr>
        <w:t xml:space="preserve"> nav ieteicams lietot kopā ar citiem bioloģiskiem līdzekļiem.</w:t>
      </w:r>
    </w:p>
    <w:p w14:paraId="1F1B4590" w14:textId="2CEF9034" w:rsidR="00784D05" w:rsidDel="002C6D2D" w:rsidRDefault="00784D05">
      <w:pPr>
        <w:rPr>
          <w:del w:id="40" w:author="Author"/>
          <w:rFonts w:eastAsia="PMingLiU"/>
          <w:szCs w:val="22"/>
          <w:lang w:val="lv-LV"/>
        </w:rPr>
      </w:pPr>
    </w:p>
    <w:p w14:paraId="7448685F" w14:textId="556F05B4" w:rsidR="00784D05" w:rsidDel="007E17F8" w:rsidRDefault="00784D05" w:rsidP="00846FA5">
      <w:pPr>
        <w:keepNext/>
        <w:rPr>
          <w:moveFrom w:id="41" w:author="Author"/>
          <w:lang w:val="lv-LV"/>
        </w:rPr>
      </w:pPr>
      <w:moveFromRangeStart w:id="42" w:author="Author" w:name="move205278866"/>
      <w:moveFrom w:id="43" w:author="Author">
        <w:r w:rsidDel="007E17F8">
          <w:rPr>
            <w:i/>
            <w:lang w:val="lv-LV"/>
          </w:rPr>
          <w:t>Nātrijs</w:t>
        </w:r>
      </w:moveFrom>
    </w:p>
    <w:p w14:paraId="18D8F428" w14:textId="07927770" w:rsidR="00784D05" w:rsidDel="007E17F8" w:rsidRDefault="000B238A" w:rsidP="000B238A">
      <w:pPr>
        <w:rPr>
          <w:moveFrom w:id="44" w:author="Author"/>
          <w:lang w:val="lv-LV"/>
        </w:rPr>
      </w:pPr>
      <w:moveFrom w:id="45" w:author="Author">
        <w:r w:rsidDel="007E17F8">
          <w:rPr>
            <w:lang w:val="lv-LV"/>
          </w:rPr>
          <w:t>Pēc atšķaidīšanas ar nātrija hlorīda 0,9% šķīdumu šīs zāles satur 230,6 mg</w:t>
        </w:r>
        <w:r w:rsidR="00784D05" w:rsidDel="007E17F8">
          <w:rPr>
            <w:lang w:val="lv-LV"/>
          </w:rPr>
          <w:t xml:space="preserve"> nātrija maksimālajā </w:t>
        </w:r>
        <w:r w:rsidDel="007E17F8">
          <w:rPr>
            <w:lang w:val="lv-LV"/>
          </w:rPr>
          <w:t>800 </w:t>
        </w:r>
        <w:r w:rsidR="00784D05" w:rsidDel="007E17F8">
          <w:rPr>
            <w:lang w:val="lv-LV"/>
          </w:rPr>
          <w:t>mg devā</w:t>
        </w:r>
        <w:r w:rsidDel="007E17F8">
          <w:rPr>
            <w:lang w:val="lv-LV"/>
          </w:rPr>
          <w:t xml:space="preserve">, </w:t>
        </w:r>
        <w:r w:rsidR="00F9009A" w:rsidDel="007E17F8">
          <w:rPr>
            <w:lang w:val="lv-LV"/>
          </w:rPr>
          <w:t>kas</w:t>
        </w:r>
        <w:r w:rsidDel="007E17F8">
          <w:rPr>
            <w:lang w:val="lv-LV"/>
          </w:rPr>
          <w:t xml:space="preserve"> </w:t>
        </w:r>
        <w:r w:rsidR="00F9009A" w:rsidDel="007E17F8">
          <w:rPr>
            <w:lang w:val="lv-LV"/>
          </w:rPr>
          <w:t>ir līdzvērtīgi</w:t>
        </w:r>
        <w:r w:rsidDel="007E17F8">
          <w:rPr>
            <w:lang w:val="lv-LV"/>
          </w:rPr>
          <w:t xml:space="preserve"> 11,5% no PVO ieteiktā</w:t>
        </w:r>
        <w:r w:rsidR="00F9009A" w:rsidDel="007E17F8">
          <w:rPr>
            <w:lang w:val="lv-LV"/>
          </w:rPr>
          <w:t>s maksimālās</w:t>
        </w:r>
        <w:r w:rsidDel="007E17F8">
          <w:rPr>
            <w:lang w:val="lv-LV"/>
          </w:rPr>
          <w:t xml:space="preserve"> 2 g</w:t>
        </w:r>
        <w:r w:rsidR="00F9009A" w:rsidDel="007E17F8">
          <w:rPr>
            <w:lang w:val="lv-LV"/>
          </w:rPr>
          <w:t xml:space="preserve"> nātrija devas pieaugušajiem</w:t>
        </w:r>
        <w:r w:rsidR="00784D05" w:rsidDel="007E17F8">
          <w:rPr>
            <w:lang w:val="lv-LV"/>
          </w:rPr>
          <w:t xml:space="preserve">. </w:t>
        </w:r>
      </w:moveFrom>
    </w:p>
    <w:p w14:paraId="659E492F" w14:textId="18FCAB07" w:rsidR="000B238A" w:rsidDel="007E17F8" w:rsidRDefault="000B238A" w:rsidP="000B238A">
      <w:pPr>
        <w:rPr>
          <w:moveFrom w:id="46" w:author="Author"/>
          <w:lang w:val="lv-LV"/>
        </w:rPr>
      </w:pPr>
    </w:p>
    <w:p w14:paraId="688842CD" w14:textId="39415C90" w:rsidR="000B238A" w:rsidDel="007E17F8" w:rsidRDefault="000B238A" w:rsidP="000B238A">
      <w:pPr>
        <w:rPr>
          <w:moveFrom w:id="47" w:author="Author"/>
          <w:lang w:val="lv-LV"/>
        </w:rPr>
      </w:pPr>
      <w:moveFrom w:id="48" w:author="Author">
        <w:r w:rsidDel="007E17F8">
          <w:rPr>
            <w:i/>
            <w:iCs/>
            <w:lang w:val="lv-LV"/>
          </w:rPr>
          <w:t>Polisorbāts</w:t>
        </w:r>
      </w:moveFrom>
    </w:p>
    <w:p w14:paraId="091F5ADE" w14:textId="3245BC62" w:rsidR="000B238A" w:rsidDel="007E17F8" w:rsidRDefault="000B238A" w:rsidP="000B238A">
      <w:pPr>
        <w:rPr>
          <w:moveFrom w:id="49" w:author="Author"/>
          <w:lang w:val="lv-LV"/>
        </w:rPr>
      </w:pPr>
      <w:moveFrom w:id="50" w:author="Author">
        <w:r w:rsidDel="007E17F8">
          <w:rPr>
            <w:lang w:val="lv-LV"/>
          </w:rPr>
          <w:t>Šīs zāles satur 2 mg polisorbāta 80 katrā 80 mg flakonā, 5 mg polisorbāta 80 katrā 200 mg flakonā un 10 mg polisorbāta 80 katrā 400 mg flakonā</w:t>
        </w:r>
        <w:r w:rsidR="00F9009A" w:rsidDel="007E17F8">
          <w:rPr>
            <w:lang w:val="lv-LV"/>
          </w:rPr>
          <w:t>, kas ir līdzvērtīgi</w:t>
        </w:r>
        <w:r w:rsidDel="007E17F8">
          <w:rPr>
            <w:lang w:val="lv-LV"/>
          </w:rPr>
          <w:t xml:space="preserve"> 0,5 mg/ml. </w:t>
        </w:r>
      </w:moveFrom>
    </w:p>
    <w:p w14:paraId="31FD444E" w14:textId="67F1F6A1" w:rsidR="000B238A" w:rsidRPr="000B238A" w:rsidDel="007E17F8" w:rsidRDefault="000B238A" w:rsidP="000B238A">
      <w:pPr>
        <w:rPr>
          <w:moveFrom w:id="51" w:author="Author"/>
          <w:lang w:val="lv-LV"/>
        </w:rPr>
      </w:pPr>
      <w:moveFrom w:id="52" w:author="Author">
        <w:r w:rsidDel="007E17F8">
          <w:rPr>
            <w:lang w:val="lv-LV"/>
          </w:rPr>
          <w:t>Polisorbāti var izraisīt alerģiskas reakcijas.</w:t>
        </w:r>
        <w:r w:rsidR="00313653" w:rsidDel="007E17F8">
          <w:rPr>
            <w:lang w:val="lv-LV"/>
          </w:rPr>
          <w:t xml:space="preserve"> </w:t>
        </w:r>
        <w:r w:rsidR="00313653" w:rsidRPr="00707120" w:rsidDel="007E17F8">
          <w:rPr>
            <w:lang w:val="lv-LV"/>
          </w:rPr>
          <w:t>Jāņem vērā pacient</w:t>
        </w:r>
        <w:r w:rsidR="00C7704F" w:rsidRPr="00707120" w:rsidDel="007E17F8">
          <w:rPr>
            <w:lang w:val="lv-LV"/>
          </w:rPr>
          <w:t>u</w:t>
        </w:r>
        <w:r w:rsidR="00313653" w:rsidRPr="00707120" w:rsidDel="007E17F8">
          <w:rPr>
            <w:lang w:val="lv-LV"/>
          </w:rPr>
          <w:t xml:space="preserve"> zināmā</w:t>
        </w:r>
        <w:r w:rsidR="00C7704F" w:rsidRPr="00707120" w:rsidDel="007E17F8">
          <w:rPr>
            <w:lang w:val="lv-LV"/>
          </w:rPr>
          <w:t>s</w:t>
        </w:r>
        <w:r w:rsidR="00313653" w:rsidRPr="00707120" w:rsidDel="007E17F8">
          <w:rPr>
            <w:lang w:val="lv-LV"/>
          </w:rPr>
          <w:t xml:space="preserve"> alerģij</w:t>
        </w:r>
        <w:r w:rsidR="00C7704F" w:rsidRPr="00707120" w:rsidDel="007E17F8">
          <w:rPr>
            <w:lang w:val="lv-LV"/>
          </w:rPr>
          <w:t>as</w:t>
        </w:r>
        <w:r w:rsidR="00313653" w:rsidRPr="00707120" w:rsidDel="007E17F8">
          <w:rPr>
            <w:lang w:val="lv-LV"/>
          </w:rPr>
          <w:t>.</w:t>
        </w:r>
      </w:moveFrom>
    </w:p>
    <w:moveFromRangeEnd w:id="42"/>
    <w:p w14:paraId="561B6EE2" w14:textId="7B74E954" w:rsidR="000E4AF1" w:rsidRDefault="000E4AF1" w:rsidP="000E4AF1">
      <w:pPr>
        <w:rPr>
          <w:lang w:val="lv-LV"/>
        </w:rPr>
      </w:pPr>
    </w:p>
    <w:p w14:paraId="4F2831AD" w14:textId="794C356D" w:rsidR="001E4A02" w:rsidRPr="00707120" w:rsidRDefault="000B238A" w:rsidP="005266F5">
      <w:pPr>
        <w:keepNext/>
        <w:keepLines/>
        <w:rPr>
          <w:u w:val="single"/>
          <w:lang w:val="lv-LV"/>
        </w:rPr>
      </w:pPr>
      <w:r w:rsidRPr="00707120">
        <w:rPr>
          <w:u w:val="single"/>
          <w:lang w:val="lv-LV"/>
        </w:rPr>
        <w:t xml:space="preserve">Pacienti ar </w:t>
      </w:r>
      <w:r w:rsidR="001E4A02" w:rsidRPr="00707120">
        <w:rPr>
          <w:u w:val="single"/>
          <w:lang w:val="lv-LV"/>
        </w:rPr>
        <w:t>COVID</w:t>
      </w:r>
      <w:r w:rsidRPr="00707120">
        <w:rPr>
          <w:u w:val="single"/>
          <w:lang w:val="lv-LV"/>
        </w:rPr>
        <w:noBreakHyphen/>
      </w:r>
      <w:r w:rsidR="001E4A02" w:rsidRPr="00707120">
        <w:rPr>
          <w:u w:val="single"/>
          <w:lang w:val="lv-LV"/>
        </w:rPr>
        <w:t>19</w:t>
      </w:r>
    </w:p>
    <w:p w14:paraId="4866F57F" w14:textId="4B8AA806" w:rsidR="001E4A02" w:rsidRDefault="00DD58C9" w:rsidP="00EA0D23">
      <w:pPr>
        <w:pStyle w:val="ListParagraph"/>
        <w:keepNext/>
        <w:keepLines/>
        <w:ind w:left="567" w:hanging="567"/>
        <w:rPr>
          <w:lang w:val="lv-LV"/>
        </w:rPr>
      </w:pPr>
      <w:ins w:id="53" w:author="Author">
        <w:r>
          <w:rPr>
            <w:lang w:val="nb-NO"/>
          </w:rPr>
          <w:sym w:font="Symbol" w:char="F0B7"/>
        </w:r>
        <w:r>
          <w:rPr>
            <w:lang w:val="nb-NO"/>
          </w:rPr>
          <w:tab/>
        </w:r>
      </w:ins>
      <w:r w:rsidR="000B238A">
        <w:rPr>
          <w:lang w:val="lv-LV"/>
        </w:rPr>
        <w:t>Šo zāļu</w:t>
      </w:r>
      <w:r w:rsidR="001E4A02" w:rsidRPr="00EF5504">
        <w:rPr>
          <w:lang w:val="lv-LV"/>
        </w:rPr>
        <w:t xml:space="preserve"> efektivitāte, ārstējot COVID</w:t>
      </w:r>
      <w:r w:rsidR="000B238A">
        <w:rPr>
          <w:lang w:val="lv-LV"/>
        </w:rPr>
        <w:noBreakHyphen/>
      </w:r>
      <w:r w:rsidR="001E4A02" w:rsidRPr="00EF5504">
        <w:rPr>
          <w:lang w:val="lv-LV"/>
        </w:rPr>
        <w:t>19 pacientus</w:t>
      </w:r>
      <w:r w:rsidR="00BF171F" w:rsidRPr="00EF5504">
        <w:rPr>
          <w:lang w:val="lv-LV"/>
        </w:rPr>
        <w:t xml:space="preserve">, </w:t>
      </w:r>
      <w:r w:rsidR="003739AF" w:rsidRPr="00EF5504">
        <w:rPr>
          <w:lang w:val="lv-LV"/>
        </w:rPr>
        <w:t>kuriem nav</w:t>
      </w:r>
      <w:r w:rsidR="00BF171F" w:rsidRPr="00EF5504">
        <w:rPr>
          <w:lang w:val="lv-LV"/>
        </w:rPr>
        <w:t xml:space="preserve"> </w:t>
      </w:r>
      <w:r w:rsidR="00EF5504">
        <w:rPr>
          <w:lang w:val="lv-LV"/>
        </w:rPr>
        <w:t>paaugstināts CRO līmenis</w:t>
      </w:r>
      <w:r w:rsidR="00BF171F" w:rsidRPr="00EF5504">
        <w:rPr>
          <w:lang w:val="lv-LV"/>
        </w:rPr>
        <w:t xml:space="preserve">, </w:t>
      </w:r>
      <w:r w:rsidR="00EF5504" w:rsidRPr="00EF5504">
        <w:rPr>
          <w:lang w:val="lv-LV"/>
        </w:rPr>
        <w:t>nav pierādīta</w:t>
      </w:r>
      <w:r w:rsidR="00EF5504">
        <w:rPr>
          <w:lang w:val="lv-LV"/>
        </w:rPr>
        <w:t>,</w:t>
      </w:r>
      <w:r w:rsidR="00EF5504" w:rsidRPr="00EF5504">
        <w:rPr>
          <w:lang w:val="lv-LV"/>
        </w:rPr>
        <w:t xml:space="preserve"> </w:t>
      </w:r>
      <w:r w:rsidR="00BF171F" w:rsidRPr="00EF5504">
        <w:rPr>
          <w:lang w:val="lv-LV"/>
        </w:rPr>
        <w:t>skatīt 5.1</w:t>
      </w:r>
      <w:r w:rsidR="00FD55AF">
        <w:rPr>
          <w:lang w:val="lv-LV"/>
        </w:rPr>
        <w:t>.</w:t>
      </w:r>
      <w:r w:rsidR="00BF171F" w:rsidRPr="00EF5504">
        <w:rPr>
          <w:lang w:val="lv-LV"/>
        </w:rPr>
        <w:t> apakšpunktu</w:t>
      </w:r>
      <w:r w:rsidR="001E4A02" w:rsidRPr="00EF5504">
        <w:rPr>
          <w:lang w:val="lv-LV"/>
        </w:rPr>
        <w:t>.</w:t>
      </w:r>
    </w:p>
    <w:p w14:paraId="5A5D1641" w14:textId="5A778096" w:rsidR="00BF171F" w:rsidRDefault="009750F5">
      <w:pPr>
        <w:pStyle w:val="ListParagraph"/>
        <w:keepNext/>
        <w:keepLines/>
        <w:ind w:left="567" w:hanging="567"/>
        <w:rPr>
          <w:lang w:val="lv-LV"/>
        </w:rPr>
      </w:pPr>
      <w:bookmarkStart w:id="54" w:name="_Hlk175924498"/>
      <w:r>
        <w:rPr>
          <w:lang w:val="nb-NO"/>
        </w:rPr>
        <w:sym w:font="Symbol" w:char="F0B7"/>
      </w:r>
      <w:r>
        <w:rPr>
          <w:lang w:val="nb-NO"/>
        </w:rPr>
        <w:tab/>
      </w:r>
      <w:bookmarkEnd w:id="54"/>
      <w:r w:rsidR="000B238A">
        <w:rPr>
          <w:lang w:val="lv-LV"/>
        </w:rPr>
        <w:t>Šīs zāles</w:t>
      </w:r>
      <w:r w:rsidR="00EF5504" w:rsidRPr="00EF5504">
        <w:rPr>
          <w:lang w:val="lv-LV"/>
        </w:rPr>
        <w:t xml:space="preserve"> nedrīkst ievadīt </w:t>
      </w:r>
      <w:r w:rsidR="00EF5504">
        <w:rPr>
          <w:lang w:val="lv-LV"/>
        </w:rPr>
        <w:t xml:space="preserve">pacientiem ar </w:t>
      </w:r>
      <w:r w:rsidR="00EF5504" w:rsidRPr="00EF5504">
        <w:rPr>
          <w:lang w:val="lv-LV"/>
        </w:rPr>
        <w:t>COVID</w:t>
      </w:r>
      <w:r w:rsidR="000B238A">
        <w:rPr>
          <w:lang w:val="lv-LV"/>
        </w:rPr>
        <w:noBreakHyphen/>
      </w:r>
      <w:r w:rsidR="00EF5504" w:rsidRPr="00EF5504">
        <w:rPr>
          <w:lang w:val="lv-LV"/>
        </w:rPr>
        <w:t>19, kuri nesaņem terapiju ar sistēmiski lietojamiem kortikosteroīdiem, jo šajā apakšgrupā</w:t>
      </w:r>
      <w:r w:rsidR="003D60B9">
        <w:rPr>
          <w:lang w:val="lv-LV"/>
        </w:rPr>
        <w:t xml:space="preserve"> nevar izslēgt</w:t>
      </w:r>
      <w:r w:rsidR="00C11690" w:rsidRPr="00C11690">
        <w:rPr>
          <w:lang w:val="lv-LV"/>
        </w:rPr>
        <w:t xml:space="preserve"> </w:t>
      </w:r>
      <w:r w:rsidR="00C11690">
        <w:rPr>
          <w:lang w:val="lv-LV"/>
        </w:rPr>
        <w:t>mirstības palielināšanos</w:t>
      </w:r>
      <w:r w:rsidR="003D60B9">
        <w:rPr>
          <w:lang w:val="lv-LV"/>
        </w:rPr>
        <w:t>,</w:t>
      </w:r>
      <w:r w:rsidR="003D60B9" w:rsidRPr="00FD55AF">
        <w:rPr>
          <w:lang w:val="lv-LV"/>
        </w:rPr>
        <w:t xml:space="preserve"> </w:t>
      </w:r>
      <w:r w:rsidR="003D60B9" w:rsidRPr="003D60B9">
        <w:rPr>
          <w:lang w:val="lv-LV"/>
        </w:rPr>
        <w:t>skatīt 5.1</w:t>
      </w:r>
      <w:r w:rsidR="00FD55AF">
        <w:rPr>
          <w:lang w:val="lv-LV"/>
        </w:rPr>
        <w:t>. </w:t>
      </w:r>
      <w:r w:rsidR="003D60B9" w:rsidRPr="003D60B9">
        <w:rPr>
          <w:lang w:val="lv-LV"/>
        </w:rPr>
        <w:t>apakšpunktu</w:t>
      </w:r>
      <w:r w:rsidR="00EF5504">
        <w:rPr>
          <w:lang w:val="lv-LV"/>
        </w:rPr>
        <w:t>.</w:t>
      </w:r>
    </w:p>
    <w:p w14:paraId="099C807A" w14:textId="77777777" w:rsidR="00EF5504" w:rsidRPr="00EF5504" w:rsidRDefault="00EF5504" w:rsidP="00EF5504">
      <w:pPr>
        <w:pStyle w:val="ListParagraph"/>
        <w:ind w:left="0"/>
        <w:rPr>
          <w:lang w:val="lv-LV"/>
        </w:rPr>
      </w:pPr>
    </w:p>
    <w:p w14:paraId="1423FE60" w14:textId="2E1DC9DE" w:rsidR="001E4A02" w:rsidRPr="001E4A02" w:rsidRDefault="001E4A02" w:rsidP="00707120">
      <w:pPr>
        <w:keepNext/>
        <w:rPr>
          <w:i/>
          <w:lang w:val="lv-LV"/>
        </w:rPr>
      </w:pPr>
      <w:r w:rsidRPr="001E4A02">
        <w:rPr>
          <w:i/>
          <w:lang w:val="lv-LV"/>
        </w:rPr>
        <w:t>Infekcijas</w:t>
      </w:r>
    </w:p>
    <w:p w14:paraId="47D61134" w14:textId="2995903E" w:rsidR="001E4A02" w:rsidRDefault="0011235E" w:rsidP="000E4AF1">
      <w:pPr>
        <w:rPr>
          <w:lang w:val="lv-LV"/>
        </w:rPr>
      </w:pPr>
      <w:r>
        <w:rPr>
          <w:szCs w:val="22"/>
          <w:lang w:val="lv-LV"/>
        </w:rPr>
        <w:t>Šīs zāles</w:t>
      </w:r>
      <w:r w:rsidR="001E4A02" w:rsidRPr="001E4A02">
        <w:rPr>
          <w:lang w:val="lv-LV"/>
        </w:rPr>
        <w:t xml:space="preserve"> nedrīkst ievadīt pacientiem ar COVID</w:t>
      </w:r>
      <w:r>
        <w:rPr>
          <w:lang w:val="lv-LV"/>
        </w:rPr>
        <w:noBreakHyphen/>
      </w:r>
      <w:r w:rsidR="001E4A02" w:rsidRPr="001E4A02">
        <w:rPr>
          <w:lang w:val="lv-LV"/>
        </w:rPr>
        <w:t xml:space="preserve">19, ja </w:t>
      </w:r>
      <w:r w:rsidR="00C11690">
        <w:rPr>
          <w:lang w:val="lv-LV"/>
        </w:rPr>
        <w:t>viņiem</w:t>
      </w:r>
      <w:r w:rsidR="001E4A02" w:rsidRPr="001E4A02">
        <w:rPr>
          <w:lang w:val="lv-LV"/>
        </w:rPr>
        <w:t xml:space="preserve"> ir arī jebkāda cita smaga aktīva infekcija.</w:t>
      </w:r>
      <w:r w:rsidR="00005113">
        <w:rPr>
          <w:lang w:val="lv-LV"/>
        </w:rPr>
        <w:t xml:space="preserve"> </w:t>
      </w:r>
      <w:r w:rsidR="00005113" w:rsidRPr="00005113">
        <w:rPr>
          <w:lang w:val="lv-LV"/>
        </w:rPr>
        <w:t xml:space="preserve">Veselības aprūpes speciālistiem jāievēro piesardzība, apsverot </w:t>
      </w:r>
      <w:r w:rsidR="000B238A">
        <w:rPr>
          <w:szCs w:val="22"/>
          <w:lang w:val="lv-LV"/>
        </w:rPr>
        <w:t>tocilizumaba</w:t>
      </w:r>
      <w:r w:rsidR="00005113" w:rsidRPr="00005113">
        <w:rPr>
          <w:lang w:val="lv-LV"/>
        </w:rPr>
        <w:t xml:space="preserve"> lietošanu pacientiem, kuriem anamnēzē ir recidivējošas vai hroniskas infekcijas vai pamatslimības</w:t>
      </w:r>
      <w:r w:rsidR="00005113">
        <w:rPr>
          <w:lang w:val="lv-LV"/>
        </w:rPr>
        <w:t xml:space="preserve"> </w:t>
      </w:r>
      <w:r w:rsidR="00005113" w:rsidRPr="00005113">
        <w:rPr>
          <w:lang w:val="lv-LV"/>
        </w:rPr>
        <w:t>(piemēram, divertikulīts, cukura diabēts un intersticiāla plaušu slimība), kas var predisponēt pacientus infekcijām.</w:t>
      </w:r>
    </w:p>
    <w:p w14:paraId="67F3E570" w14:textId="73D72AE6" w:rsidR="001E4A02" w:rsidRDefault="001E4A02" w:rsidP="000E4AF1">
      <w:pPr>
        <w:rPr>
          <w:lang w:val="lv-LV"/>
        </w:rPr>
      </w:pPr>
    </w:p>
    <w:p w14:paraId="6E746FCB" w14:textId="77777777" w:rsidR="001E4A02" w:rsidRPr="001E4A02" w:rsidRDefault="001E4A02" w:rsidP="00707120">
      <w:pPr>
        <w:keepNext/>
        <w:rPr>
          <w:lang w:val="lv-LV"/>
        </w:rPr>
      </w:pPr>
      <w:r w:rsidRPr="001E4A02">
        <w:rPr>
          <w:i/>
          <w:lang w:val="lv-LV"/>
        </w:rPr>
        <w:t>Hepatotoksicitāte</w:t>
      </w:r>
    </w:p>
    <w:p w14:paraId="3D39829B" w14:textId="7FF1A24C" w:rsidR="001E4A02" w:rsidRDefault="001E4A02" w:rsidP="001E4A02">
      <w:pPr>
        <w:rPr>
          <w:lang w:val="lv-LV"/>
        </w:rPr>
      </w:pPr>
      <w:r w:rsidRPr="001E4A02">
        <w:rPr>
          <w:lang w:val="lv-LV"/>
        </w:rPr>
        <w:t>Pacientiem, kuri ir hospitalizēti COVID</w:t>
      </w:r>
      <w:r w:rsidR="0011235E">
        <w:rPr>
          <w:lang w:val="lv-LV"/>
        </w:rPr>
        <w:noBreakHyphen/>
      </w:r>
      <w:r w:rsidRPr="001E4A02">
        <w:rPr>
          <w:lang w:val="lv-LV"/>
        </w:rPr>
        <w:t xml:space="preserve">19 dēļ, var būt paaugstināts ALAT vai ASAT līmenis. Vairāku orgānu mazspēja, kas skar arī aknas, </w:t>
      </w:r>
      <w:r w:rsidR="00C11690">
        <w:rPr>
          <w:lang w:val="lv-LV"/>
        </w:rPr>
        <w:t>ir zināma</w:t>
      </w:r>
      <w:r w:rsidRPr="001E4A02">
        <w:rPr>
          <w:lang w:val="lv-LV"/>
        </w:rPr>
        <w:t xml:space="preserve"> smaga COVID</w:t>
      </w:r>
      <w:r w:rsidR="0011235E">
        <w:rPr>
          <w:lang w:val="lv-LV"/>
        </w:rPr>
        <w:noBreakHyphen/>
      </w:r>
      <w:r w:rsidRPr="001E4A02">
        <w:rPr>
          <w:lang w:val="lv-LV"/>
        </w:rPr>
        <w:t>19 komplikācij</w:t>
      </w:r>
      <w:r w:rsidR="00C11690">
        <w:rPr>
          <w:lang w:val="lv-LV"/>
        </w:rPr>
        <w:t>a</w:t>
      </w:r>
      <w:r w:rsidRPr="001E4A02">
        <w:rPr>
          <w:lang w:val="lv-LV"/>
        </w:rPr>
        <w:t>. Pieņemot lēmumu par tocilizumaba ievadīšanu, COVID</w:t>
      </w:r>
      <w:r w:rsidR="0011235E">
        <w:rPr>
          <w:lang w:val="lv-LV"/>
        </w:rPr>
        <w:noBreakHyphen/>
      </w:r>
      <w:r w:rsidRPr="001E4A02">
        <w:rPr>
          <w:lang w:val="lv-LV"/>
        </w:rPr>
        <w:t>19 ārstēšanas sniegtais iespējamais ieguvums ir jālīdzsvaro ar akūtas tocilizumaba lietošanas radīto iespējamo risku. COVID</w:t>
      </w:r>
      <w:r w:rsidR="0011235E">
        <w:rPr>
          <w:lang w:val="lv-LV"/>
        </w:rPr>
        <w:noBreakHyphen/>
      </w:r>
      <w:r w:rsidRPr="001E4A02">
        <w:rPr>
          <w:lang w:val="lv-LV"/>
        </w:rPr>
        <w:t xml:space="preserve">19 </w:t>
      </w:r>
      <w:r w:rsidR="009C0FEB" w:rsidRPr="0071189E">
        <w:rPr>
          <w:lang w:val="lv-LV"/>
        </w:rPr>
        <w:t>pacientiem</w:t>
      </w:r>
      <w:r w:rsidRPr="001E4A02">
        <w:rPr>
          <w:lang w:val="lv-LV"/>
        </w:rPr>
        <w:t>, kuriem ALAT vai ASAT līmenis pārsniedz</w:t>
      </w:r>
      <w:r w:rsidR="00FE214A">
        <w:rPr>
          <w:lang w:val="lv-LV"/>
        </w:rPr>
        <w:t> </w:t>
      </w:r>
      <w:r w:rsidRPr="001E4A02">
        <w:rPr>
          <w:lang w:val="lv-LV"/>
        </w:rPr>
        <w:t>10 </w:t>
      </w:r>
      <w:r w:rsidR="0011235E">
        <w:rPr>
          <w:lang w:val="lv-LV"/>
        </w:rPr>
        <w:t>×</w:t>
      </w:r>
      <w:r w:rsidRPr="001E4A02">
        <w:rPr>
          <w:lang w:val="lv-LV"/>
        </w:rPr>
        <w:t xml:space="preserve"> NAR, </w:t>
      </w:r>
      <w:r w:rsidR="000B238A">
        <w:rPr>
          <w:szCs w:val="22"/>
          <w:lang w:val="lv-LV"/>
        </w:rPr>
        <w:t>tocilizumaba</w:t>
      </w:r>
      <w:r w:rsidRPr="001E4A02">
        <w:rPr>
          <w:lang w:val="lv-LV"/>
        </w:rPr>
        <w:t xml:space="preserve"> lietošana nav ieteicama.</w:t>
      </w:r>
      <w:r w:rsidR="009C0FEB">
        <w:rPr>
          <w:lang w:val="lv-LV"/>
        </w:rPr>
        <w:t xml:space="preserve"> </w:t>
      </w:r>
      <w:r w:rsidRPr="001E4A02">
        <w:rPr>
          <w:lang w:val="lv-LV"/>
        </w:rPr>
        <w:t>COVID</w:t>
      </w:r>
      <w:r w:rsidR="0011235E">
        <w:rPr>
          <w:lang w:val="lv-LV"/>
        </w:rPr>
        <w:noBreakHyphen/>
      </w:r>
      <w:r w:rsidRPr="001E4A02">
        <w:rPr>
          <w:lang w:val="lv-LV"/>
        </w:rPr>
        <w:t xml:space="preserve">19 </w:t>
      </w:r>
      <w:r w:rsidR="009C0FEB">
        <w:rPr>
          <w:lang w:val="lv-LV"/>
        </w:rPr>
        <w:t>pacientiem</w:t>
      </w:r>
      <w:r w:rsidRPr="001E4A02">
        <w:rPr>
          <w:lang w:val="lv-LV"/>
        </w:rPr>
        <w:t xml:space="preserve"> ALAT/ASAT līmenis ir jāuzrauga atbilstoši </w:t>
      </w:r>
      <w:r w:rsidR="00C11690">
        <w:rPr>
          <w:lang w:val="lv-LV"/>
        </w:rPr>
        <w:t>pašreizējai</w:t>
      </w:r>
      <w:r w:rsidRPr="001E4A02">
        <w:rPr>
          <w:lang w:val="lv-LV"/>
        </w:rPr>
        <w:t xml:space="preserve"> </w:t>
      </w:r>
      <w:r w:rsidR="00C11690">
        <w:rPr>
          <w:lang w:val="lv-LV"/>
        </w:rPr>
        <w:t xml:space="preserve">standarta </w:t>
      </w:r>
      <w:r w:rsidRPr="001E4A02">
        <w:rPr>
          <w:lang w:val="lv-LV"/>
        </w:rPr>
        <w:t>klīniskajai praksei.</w:t>
      </w:r>
    </w:p>
    <w:p w14:paraId="4EC1E02A" w14:textId="77777777" w:rsidR="001E4A02" w:rsidRPr="001E4A02" w:rsidRDefault="001E4A02" w:rsidP="001E4A02">
      <w:pPr>
        <w:rPr>
          <w:lang w:val="lv-LV"/>
        </w:rPr>
      </w:pPr>
    </w:p>
    <w:p w14:paraId="1C696FAD" w14:textId="77777777" w:rsidR="001E4A02" w:rsidRPr="001E4A02" w:rsidRDefault="001E4A02">
      <w:pPr>
        <w:keepNext/>
        <w:rPr>
          <w:lang w:val="lv-LV"/>
        </w:rPr>
        <w:pPrChange w:id="55" w:author="Author">
          <w:pPr/>
        </w:pPrChange>
      </w:pPr>
      <w:r w:rsidRPr="001E4A02">
        <w:rPr>
          <w:i/>
          <w:lang w:val="lv-LV"/>
        </w:rPr>
        <w:t>Hematoloģiskās patoloģijas</w:t>
      </w:r>
    </w:p>
    <w:p w14:paraId="6AFB1D48" w14:textId="55DFF575" w:rsidR="001E4A02" w:rsidRDefault="001E4A02" w:rsidP="000E4AF1">
      <w:pPr>
        <w:rPr>
          <w:lang w:val="lv-LV"/>
        </w:rPr>
      </w:pPr>
      <w:r w:rsidRPr="001E4A02">
        <w:rPr>
          <w:lang w:val="lv-LV"/>
        </w:rPr>
        <w:t>COVID</w:t>
      </w:r>
      <w:r w:rsidR="0011235E">
        <w:rPr>
          <w:lang w:val="lv-LV"/>
        </w:rPr>
        <w:noBreakHyphen/>
      </w:r>
      <w:r w:rsidRPr="001E4A02">
        <w:rPr>
          <w:lang w:val="lv-LV"/>
        </w:rPr>
        <w:t xml:space="preserve">19 </w:t>
      </w:r>
      <w:r w:rsidR="009C0FEB">
        <w:rPr>
          <w:lang w:val="lv-LV"/>
        </w:rPr>
        <w:t>pacientiem</w:t>
      </w:r>
      <w:r w:rsidRPr="001E4A02">
        <w:rPr>
          <w:lang w:val="lv-LV"/>
        </w:rPr>
        <w:t>, kuriem ANS ir</w:t>
      </w:r>
      <w:r w:rsidR="00FE214A">
        <w:rPr>
          <w:lang w:val="lv-LV"/>
        </w:rPr>
        <w:t> </w:t>
      </w:r>
      <w:r w:rsidR="0011235E">
        <w:rPr>
          <w:lang w:val="lv-LV"/>
        </w:rPr>
        <w:t>˂ </w:t>
      </w:r>
      <w:r w:rsidRPr="001E4A02">
        <w:rPr>
          <w:lang w:val="lv-LV"/>
        </w:rPr>
        <w:t>1 </w:t>
      </w:r>
      <w:r w:rsidR="0011235E">
        <w:rPr>
          <w:lang w:val="lv-LV"/>
        </w:rPr>
        <w:t>×</w:t>
      </w:r>
      <w:r w:rsidRPr="001E4A02">
        <w:rPr>
          <w:lang w:val="lv-LV"/>
        </w:rPr>
        <w:t> 10</w:t>
      </w:r>
      <w:r w:rsidRPr="001E4A02">
        <w:rPr>
          <w:vertAlign w:val="superscript"/>
          <w:lang w:val="lv-LV"/>
        </w:rPr>
        <w:t>9</w:t>
      </w:r>
      <w:r w:rsidRPr="001E4A02">
        <w:rPr>
          <w:lang w:val="lv-LV"/>
        </w:rPr>
        <w:t>/l vai trombocītu skaits ir</w:t>
      </w:r>
      <w:r w:rsidR="00FE214A">
        <w:rPr>
          <w:lang w:val="lv-LV"/>
        </w:rPr>
        <w:t> </w:t>
      </w:r>
      <w:r w:rsidR="0011235E">
        <w:rPr>
          <w:lang w:val="lv-LV"/>
        </w:rPr>
        <w:t>˂ </w:t>
      </w:r>
      <w:r w:rsidRPr="001E4A02">
        <w:rPr>
          <w:lang w:val="lv-LV"/>
        </w:rPr>
        <w:t>50 </w:t>
      </w:r>
      <w:r w:rsidR="0011235E">
        <w:rPr>
          <w:lang w:val="lv-LV"/>
        </w:rPr>
        <w:t>×</w:t>
      </w:r>
      <w:r w:rsidRPr="001E4A02">
        <w:rPr>
          <w:lang w:val="lv-LV"/>
        </w:rPr>
        <w:t> 10</w:t>
      </w:r>
      <w:r w:rsidRPr="001E4A02">
        <w:rPr>
          <w:vertAlign w:val="superscript"/>
          <w:lang w:val="lv-LV"/>
        </w:rPr>
        <w:t>3</w:t>
      </w:r>
      <w:r w:rsidRPr="001E4A02">
        <w:rPr>
          <w:lang w:val="lv-LV"/>
        </w:rPr>
        <w:t xml:space="preserve">/μl, </w:t>
      </w:r>
      <w:r w:rsidR="00C11690">
        <w:rPr>
          <w:lang w:val="lv-LV"/>
        </w:rPr>
        <w:t>šo zāļu ievadīša</w:t>
      </w:r>
      <w:r w:rsidR="009C0FEB">
        <w:rPr>
          <w:lang w:val="lv-LV"/>
        </w:rPr>
        <w:t xml:space="preserve">na </w:t>
      </w:r>
      <w:r w:rsidRPr="001E4A02">
        <w:rPr>
          <w:lang w:val="lv-LV"/>
        </w:rPr>
        <w:t>nav ieteicam</w:t>
      </w:r>
      <w:r w:rsidR="009C0FEB">
        <w:rPr>
          <w:lang w:val="lv-LV"/>
        </w:rPr>
        <w:t>a</w:t>
      </w:r>
      <w:r w:rsidRPr="001E4A02">
        <w:rPr>
          <w:lang w:val="lv-LV"/>
        </w:rPr>
        <w:t>.</w:t>
      </w:r>
      <w:r w:rsidR="009C0FEB">
        <w:rPr>
          <w:lang w:val="lv-LV"/>
        </w:rPr>
        <w:t xml:space="preserve"> </w:t>
      </w:r>
      <w:r w:rsidRPr="001E4A02">
        <w:rPr>
          <w:lang w:val="lv-LV"/>
        </w:rPr>
        <w:t>COVID</w:t>
      </w:r>
      <w:r w:rsidR="0011235E">
        <w:rPr>
          <w:lang w:val="lv-LV"/>
        </w:rPr>
        <w:noBreakHyphen/>
      </w:r>
      <w:r w:rsidRPr="001E4A02">
        <w:rPr>
          <w:lang w:val="lv-LV"/>
        </w:rPr>
        <w:t xml:space="preserve">19 </w:t>
      </w:r>
      <w:r w:rsidR="009C0FEB">
        <w:rPr>
          <w:lang w:val="lv-LV"/>
        </w:rPr>
        <w:t>pacientiem</w:t>
      </w:r>
      <w:r w:rsidRPr="001E4A02">
        <w:rPr>
          <w:lang w:val="lv-LV"/>
        </w:rPr>
        <w:t xml:space="preserve"> neitrofilo leikocītu un trombocītu skaits ir jāuzrauga atbilstoši </w:t>
      </w:r>
      <w:r w:rsidR="00C11690" w:rsidRPr="00C11690">
        <w:rPr>
          <w:lang w:val="lv-LV"/>
        </w:rPr>
        <w:t xml:space="preserve">pašreizējai standarta </w:t>
      </w:r>
      <w:r w:rsidRPr="001E4A02">
        <w:rPr>
          <w:lang w:val="lv-LV"/>
        </w:rPr>
        <w:t>klīniskajai praksei, skatīt 4.2.</w:t>
      </w:r>
      <w:r w:rsidR="00FD55AF">
        <w:rPr>
          <w:lang w:val="lv-LV"/>
        </w:rPr>
        <w:t> </w:t>
      </w:r>
      <w:r w:rsidRPr="001E4A02">
        <w:rPr>
          <w:lang w:val="lv-LV"/>
        </w:rPr>
        <w:t>apakšpunktu.</w:t>
      </w:r>
    </w:p>
    <w:p w14:paraId="6DC7684B" w14:textId="77777777" w:rsidR="001E4A02" w:rsidRDefault="001E4A02" w:rsidP="000E4AF1">
      <w:pPr>
        <w:rPr>
          <w:lang w:val="lv-LV"/>
        </w:rPr>
      </w:pPr>
    </w:p>
    <w:p w14:paraId="7579B176" w14:textId="4F095143" w:rsidR="00784D05" w:rsidRDefault="00784D05">
      <w:pPr>
        <w:keepNext/>
        <w:rPr>
          <w:bCs/>
          <w:i/>
          <w:szCs w:val="22"/>
          <w:lang w:val="lv-LV"/>
        </w:rPr>
        <w:pPrChange w:id="56" w:author="Author">
          <w:pPr/>
        </w:pPrChange>
      </w:pPr>
      <w:r>
        <w:rPr>
          <w:bCs/>
          <w:szCs w:val="22"/>
          <w:u w:val="single"/>
          <w:lang w:val="lv-LV"/>
        </w:rPr>
        <w:t>Pediatriskā populācija</w:t>
      </w:r>
    </w:p>
    <w:p w14:paraId="22857D09" w14:textId="77777777" w:rsidR="00784D05" w:rsidRDefault="00784D05">
      <w:pPr>
        <w:keepNext/>
        <w:rPr>
          <w:szCs w:val="22"/>
          <w:lang w:val="lv-LV"/>
        </w:rPr>
        <w:pPrChange w:id="57" w:author="Author">
          <w:pPr/>
        </w:pPrChange>
      </w:pPr>
      <w:r>
        <w:rPr>
          <w:i/>
          <w:iCs/>
          <w:szCs w:val="22"/>
          <w:lang w:val="lv-LV"/>
        </w:rPr>
        <w:t>Pacienti ar sJIA</w:t>
      </w:r>
    </w:p>
    <w:p w14:paraId="761A82B4" w14:textId="77777777" w:rsidR="00784D05" w:rsidRDefault="00784D05">
      <w:pPr>
        <w:rPr>
          <w:lang w:val="lv-LV"/>
        </w:rPr>
      </w:pPr>
      <w:r>
        <w:rPr>
          <w:szCs w:val="22"/>
          <w:lang w:val="lv-LV"/>
        </w:rPr>
        <w:t>Pacientiem ar sJIA var attīstīties makrofāgu aktivācijas sindroms (MAS) – nopietna, dzīvībai bīstama patoloģija. Klīniskajos pētījumos tocilizumabs nav pētīts pacientiem aktīvās MAS fāzes laikā.</w:t>
      </w:r>
    </w:p>
    <w:p w14:paraId="72153BAF" w14:textId="77777777" w:rsidR="00784D05" w:rsidRDefault="00784D05">
      <w:pPr>
        <w:rPr>
          <w:lang w:val="lv-LV"/>
        </w:rPr>
      </w:pPr>
    </w:p>
    <w:p w14:paraId="730032F3" w14:textId="77777777" w:rsidR="007E17F8" w:rsidRDefault="007E17F8" w:rsidP="007E17F8">
      <w:pPr>
        <w:keepNext/>
        <w:rPr>
          <w:moveTo w:id="58" w:author="Author"/>
          <w:lang w:val="lv-LV"/>
        </w:rPr>
      </w:pPr>
      <w:moveToRangeStart w:id="59" w:author="Author" w:name="move205278866"/>
      <w:moveTo w:id="60" w:author="Author">
        <w:r>
          <w:rPr>
            <w:i/>
            <w:lang w:val="lv-LV"/>
          </w:rPr>
          <w:t>Nātrijs</w:t>
        </w:r>
      </w:moveTo>
    </w:p>
    <w:p w14:paraId="69AF832B" w14:textId="77777777" w:rsidR="007E17F8" w:rsidRDefault="007E17F8" w:rsidP="007E17F8">
      <w:pPr>
        <w:rPr>
          <w:moveTo w:id="61" w:author="Author"/>
          <w:lang w:val="lv-LV"/>
        </w:rPr>
      </w:pPr>
      <w:moveTo w:id="62" w:author="Author">
        <w:r>
          <w:rPr>
            <w:lang w:val="lv-LV"/>
          </w:rPr>
          <w:t xml:space="preserve">Pēc atšķaidīšanas ar nātrija hlorīda 0,9% šķīdumu šīs zāles satur 230,6 mg nātrija maksimālajā 800 mg devā, kas ir līdzvērtīgi 11,5% no PVO ieteiktās maksimālās 2 g nātrija devas pieaugušajiem. </w:t>
        </w:r>
      </w:moveTo>
    </w:p>
    <w:p w14:paraId="0D48023C" w14:textId="77777777" w:rsidR="007E17F8" w:rsidRDefault="007E17F8" w:rsidP="007E17F8">
      <w:pPr>
        <w:rPr>
          <w:moveTo w:id="63" w:author="Author"/>
          <w:lang w:val="lv-LV"/>
        </w:rPr>
      </w:pPr>
    </w:p>
    <w:p w14:paraId="1E8A63B5" w14:textId="3DAF4C50" w:rsidR="007E17F8" w:rsidRDefault="007E17F8" w:rsidP="007E17F8">
      <w:pPr>
        <w:rPr>
          <w:moveTo w:id="64" w:author="Author"/>
          <w:lang w:val="lv-LV"/>
        </w:rPr>
      </w:pPr>
      <w:moveTo w:id="65" w:author="Author">
        <w:r>
          <w:rPr>
            <w:i/>
            <w:iCs/>
            <w:lang w:val="lv-LV"/>
          </w:rPr>
          <w:t>Polisorbāts</w:t>
        </w:r>
      </w:moveTo>
      <w:ins w:id="66" w:author="Author">
        <w:r w:rsidR="001E44D1">
          <w:rPr>
            <w:i/>
            <w:iCs/>
            <w:lang w:val="lv-LV"/>
          </w:rPr>
          <w:t> </w:t>
        </w:r>
        <w:del w:id="67" w:author="Author">
          <w:r w:rsidDel="001E44D1">
            <w:rPr>
              <w:i/>
              <w:iCs/>
              <w:lang w:val="lv-LV"/>
            </w:rPr>
            <w:delText xml:space="preserve"> </w:delText>
          </w:r>
        </w:del>
        <w:r>
          <w:rPr>
            <w:i/>
            <w:iCs/>
            <w:lang w:val="lv-LV"/>
          </w:rPr>
          <w:t>80 (E</w:t>
        </w:r>
        <w:r w:rsidR="001E44D1">
          <w:rPr>
            <w:i/>
            <w:iCs/>
            <w:lang w:val="lv-LV"/>
          </w:rPr>
          <w:t> </w:t>
        </w:r>
        <w:del w:id="68" w:author="Author">
          <w:r w:rsidDel="001E44D1">
            <w:rPr>
              <w:i/>
              <w:iCs/>
              <w:lang w:val="lv-LV"/>
            </w:rPr>
            <w:delText xml:space="preserve"> </w:delText>
          </w:r>
        </w:del>
        <w:r>
          <w:rPr>
            <w:i/>
            <w:iCs/>
            <w:lang w:val="lv-LV"/>
          </w:rPr>
          <w:t>433)</w:t>
        </w:r>
      </w:ins>
    </w:p>
    <w:p w14:paraId="3E1FDB2A" w14:textId="77777777" w:rsidR="007E17F8" w:rsidRDefault="007E17F8" w:rsidP="007E17F8">
      <w:pPr>
        <w:rPr>
          <w:moveTo w:id="69" w:author="Author"/>
          <w:lang w:val="lv-LV"/>
        </w:rPr>
      </w:pPr>
      <w:moveTo w:id="70" w:author="Author">
        <w:r>
          <w:rPr>
            <w:lang w:val="lv-LV"/>
          </w:rPr>
          <w:t xml:space="preserve">Šīs zāles satur 2 mg polisorbāta 80 katrā 80 mg flakonā, 5 mg polisorbāta 80 katrā 200 mg flakonā un 10 mg polisorbāta 80 katrā 400 mg flakonā, kas ir līdzvērtīgi 0,5 mg/ml. </w:t>
        </w:r>
      </w:moveTo>
    </w:p>
    <w:p w14:paraId="6727ADE0" w14:textId="77777777" w:rsidR="007E17F8" w:rsidRPr="000B238A" w:rsidRDefault="007E17F8" w:rsidP="007E17F8">
      <w:pPr>
        <w:rPr>
          <w:moveTo w:id="71" w:author="Author"/>
          <w:lang w:val="lv-LV"/>
        </w:rPr>
      </w:pPr>
      <w:moveTo w:id="72" w:author="Author">
        <w:r>
          <w:rPr>
            <w:lang w:val="lv-LV"/>
          </w:rPr>
          <w:t xml:space="preserve">Polisorbāti var izraisīt alerģiskas reakcijas. </w:t>
        </w:r>
        <w:r w:rsidRPr="00707120">
          <w:rPr>
            <w:lang w:val="lv-LV"/>
          </w:rPr>
          <w:t>Jāņem vērā pacientu zināmās alerģijas.</w:t>
        </w:r>
      </w:moveTo>
    </w:p>
    <w:moveToRangeEnd w:id="59"/>
    <w:p w14:paraId="00B90C93" w14:textId="77777777" w:rsidR="007E17F8" w:rsidRPr="00B50DD8" w:rsidRDefault="007E17F8">
      <w:pPr>
        <w:rPr>
          <w:ins w:id="73" w:author="Author"/>
          <w:bCs/>
          <w:szCs w:val="22"/>
          <w:lang w:val="lv-LV"/>
        </w:rPr>
        <w:pPrChange w:id="74" w:author="Author">
          <w:pPr>
            <w:keepNext/>
            <w:keepLines/>
          </w:pPr>
        </w:pPrChange>
      </w:pPr>
    </w:p>
    <w:p w14:paraId="339F9200" w14:textId="2B97FC5C" w:rsidR="00784D05" w:rsidRDefault="00784D05" w:rsidP="0063054D">
      <w:pPr>
        <w:keepNext/>
        <w:keepLines/>
        <w:rPr>
          <w:szCs w:val="22"/>
          <w:lang w:val="lv-LV"/>
        </w:rPr>
      </w:pPr>
      <w:r>
        <w:rPr>
          <w:b/>
          <w:szCs w:val="22"/>
          <w:lang w:val="lv-LV"/>
        </w:rPr>
        <w:t>4.5.</w:t>
      </w:r>
      <w:r>
        <w:rPr>
          <w:b/>
          <w:szCs w:val="22"/>
          <w:lang w:val="lv-LV"/>
        </w:rPr>
        <w:tab/>
        <w:t>Mijiedarbība ar citām zālēm un citi mijiedarbības veidi</w:t>
      </w:r>
    </w:p>
    <w:p w14:paraId="0BB0D35C" w14:textId="77777777" w:rsidR="00784D05" w:rsidRDefault="00784D05" w:rsidP="0063054D">
      <w:pPr>
        <w:keepNext/>
        <w:keepLines/>
        <w:rPr>
          <w:szCs w:val="22"/>
          <w:lang w:val="lv-LV"/>
        </w:rPr>
      </w:pPr>
    </w:p>
    <w:p w14:paraId="19A91D3B" w14:textId="77777777" w:rsidR="00784D05" w:rsidRDefault="00784D05" w:rsidP="0063054D">
      <w:pPr>
        <w:keepNext/>
        <w:keepLines/>
        <w:rPr>
          <w:szCs w:val="22"/>
          <w:lang w:val="lv-LV"/>
        </w:rPr>
      </w:pPr>
      <w:r>
        <w:rPr>
          <w:szCs w:val="22"/>
          <w:lang w:val="lv-LV"/>
        </w:rPr>
        <w:t>Mijiedarbības pētījumi veikti tikai pieaugušajiem.</w:t>
      </w:r>
    </w:p>
    <w:p w14:paraId="07D32BBE" w14:textId="77777777" w:rsidR="00784D05" w:rsidRDefault="00784D05" w:rsidP="00707120">
      <w:pPr>
        <w:keepLines/>
        <w:rPr>
          <w:szCs w:val="22"/>
          <w:lang w:val="lv-LV"/>
        </w:rPr>
      </w:pPr>
    </w:p>
    <w:p w14:paraId="4B41BA31" w14:textId="06934237" w:rsidR="00784D05" w:rsidRDefault="00784D05">
      <w:pPr>
        <w:rPr>
          <w:szCs w:val="22"/>
          <w:lang w:val="lv-LV"/>
        </w:rPr>
      </w:pPr>
      <w:r>
        <w:rPr>
          <w:szCs w:val="22"/>
          <w:lang w:val="lv-LV"/>
        </w:rPr>
        <w:t xml:space="preserve">Vienreizējas </w:t>
      </w:r>
      <w:r w:rsidR="00FE214A">
        <w:rPr>
          <w:szCs w:val="22"/>
          <w:lang w:val="lv-LV"/>
        </w:rPr>
        <w:t xml:space="preserve">tocilizumaba </w:t>
      </w:r>
      <w:r>
        <w:rPr>
          <w:szCs w:val="22"/>
          <w:lang w:val="lv-LV"/>
        </w:rPr>
        <w:t>10 mg/kg devas ievadīšana kopā ar 10</w:t>
      </w:r>
      <w:r w:rsidR="0011235E">
        <w:rPr>
          <w:szCs w:val="22"/>
          <w:lang w:val="lv-LV"/>
        </w:rPr>
        <w:noBreakHyphen/>
      </w:r>
      <w:r>
        <w:rPr>
          <w:szCs w:val="22"/>
          <w:lang w:val="lv-LV"/>
        </w:rPr>
        <w:t>25 mg MTX vienu reizi nedēļā klīniski nozīmīgi neietekmēja MTX iedarbību.</w:t>
      </w:r>
    </w:p>
    <w:p w14:paraId="3390BD0C" w14:textId="77777777" w:rsidR="00784D05" w:rsidRDefault="00784D05">
      <w:pPr>
        <w:rPr>
          <w:szCs w:val="22"/>
          <w:lang w:val="lv-LV"/>
        </w:rPr>
      </w:pPr>
    </w:p>
    <w:p w14:paraId="52B147A1" w14:textId="2C7CBD51" w:rsidR="00784D05" w:rsidRDefault="00784D05">
      <w:pPr>
        <w:rPr>
          <w:szCs w:val="22"/>
          <w:lang w:val="lv-LV"/>
        </w:rPr>
      </w:pPr>
      <w:r>
        <w:rPr>
          <w:szCs w:val="22"/>
          <w:lang w:val="lv-LV"/>
        </w:rPr>
        <w:t xml:space="preserve">Populācijas farmakokinētikas analīzē nekāda MTX, NSPL vai kortikosteroīdu ietekme uz tocilizumaba klīrensu nav konstatēta. </w:t>
      </w:r>
    </w:p>
    <w:p w14:paraId="7615D642" w14:textId="77777777" w:rsidR="00784D05" w:rsidRDefault="00784D05">
      <w:pPr>
        <w:rPr>
          <w:szCs w:val="22"/>
          <w:lang w:val="lv-LV"/>
        </w:rPr>
      </w:pPr>
    </w:p>
    <w:p w14:paraId="3EC99BF6" w14:textId="4877903C" w:rsidR="00784D05" w:rsidRDefault="00784D05">
      <w:pPr>
        <w:rPr>
          <w:szCs w:val="22"/>
          <w:lang w:val="lv-LV"/>
        </w:rPr>
      </w:pPr>
      <w:r>
        <w:rPr>
          <w:szCs w:val="22"/>
          <w:lang w:val="lv-LV"/>
        </w:rPr>
        <w:t>Citokīni, piemēram, IL</w:t>
      </w:r>
      <w:r w:rsidR="0011235E">
        <w:rPr>
          <w:szCs w:val="22"/>
          <w:lang w:val="lv-LV"/>
        </w:rPr>
        <w:noBreakHyphen/>
      </w:r>
      <w:r>
        <w:rPr>
          <w:szCs w:val="22"/>
          <w:lang w:val="lv-LV"/>
        </w:rPr>
        <w:t xml:space="preserve">6, kas stimulē hronisku iekaisumu, nomāc CYP450 enzīmu ekspresiju aknās. Tādēļ, lietojot spēcīgu citokīnu nomācošu terapiju, piemēram, tocilizumabu, CYP450 ekspresija varētu atjaunoties. </w:t>
      </w:r>
    </w:p>
    <w:p w14:paraId="5770FB1E" w14:textId="77777777" w:rsidR="00784D05" w:rsidRDefault="00784D05">
      <w:pPr>
        <w:rPr>
          <w:szCs w:val="22"/>
          <w:lang w:val="lv-LV"/>
        </w:rPr>
      </w:pPr>
    </w:p>
    <w:p w14:paraId="245E8411" w14:textId="2DE53666" w:rsidR="00784D05" w:rsidRDefault="00784D05">
      <w:pPr>
        <w:rPr>
          <w:szCs w:val="22"/>
          <w:lang w:val="lv-LV"/>
        </w:rPr>
      </w:pPr>
      <w:r>
        <w:rPr>
          <w:i/>
          <w:szCs w:val="22"/>
          <w:lang w:val="lv-LV"/>
        </w:rPr>
        <w:t>In vitro</w:t>
      </w:r>
      <w:r>
        <w:rPr>
          <w:szCs w:val="22"/>
          <w:lang w:val="lv-LV"/>
        </w:rPr>
        <w:t xml:space="preserve"> pētījumos ar cilvēku hepatocītu kultūru pierādīts, ka IL</w:t>
      </w:r>
      <w:r w:rsidR="0011235E">
        <w:rPr>
          <w:szCs w:val="22"/>
          <w:lang w:val="lv-LV"/>
        </w:rPr>
        <w:noBreakHyphen/>
      </w:r>
      <w:r>
        <w:rPr>
          <w:szCs w:val="22"/>
          <w:lang w:val="lv-LV"/>
        </w:rPr>
        <w:t xml:space="preserve">6 izraisa CYP1A2, </w:t>
      </w:r>
      <w:r>
        <w:rPr>
          <w:lang w:val="lv-LV"/>
        </w:rPr>
        <w:t xml:space="preserve">CYP2C9, </w:t>
      </w:r>
      <w:r>
        <w:rPr>
          <w:szCs w:val="22"/>
          <w:lang w:val="lv-LV"/>
        </w:rPr>
        <w:t>CYP2C19 un CYP3A4 enzīmu ekspresijas samazināšanos. Tocilizumabs normalizē šo enzīmu ekspresiju.</w:t>
      </w:r>
    </w:p>
    <w:p w14:paraId="58FD55AB" w14:textId="77777777" w:rsidR="00784D05" w:rsidRDefault="00784D05">
      <w:pPr>
        <w:rPr>
          <w:szCs w:val="22"/>
          <w:lang w:val="lv-LV"/>
        </w:rPr>
      </w:pPr>
    </w:p>
    <w:p w14:paraId="09CC64A1" w14:textId="4D64B069" w:rsidR="00784D05" w:rsidRDefault="00784D05">
      <w:pPr>
        <w:rPr>
          <w:szCs w:val="22"/>
          <w:lang w:val="lv-LV"/>
        </w:rPr>
      </w:pPr>
      <w:r>
        <w:rPr>
          <w:szCs w:val="22"/>
          <w:lang w:val="lv-LV"/>
        </w:rPr>
        <w:t>Pētījumā, kurā piedalījās pacienti ar RA, vienu nedēļu pēc vienas tocilizumaba devas lietošanas simvastatīna līmenis (CYP3A4) samazinājās par 57% līdz līmenim, kas atbilst veseliem cilvēkiem novērotam vai ir nedaudz augstāks par to.</w:t>
      </w:r>
    </w:p>
    <w:p w14:paraId="013D305C" w14:textId="77777777" w:rsidR="00784D05" w:rsidRDefault="00784D05">
      <w:pPr>
        <w:rPr>
          <w:szCs w:val="22"/>
          <w:lang w:val="lv-LV"/>
        </w:rPr>
      </w:pPr>
    </w:p>
    <w:p w14:paraId="2374F1EB" w14:textId="767AE3CB" w:rsidR="00784D05" w:rsidRDefault="00784D05">
      <w:pPr>
        <w:rPr>
          <w:szCs w:val="22"/>
          <w:lang w:val="lv-LV"/>
        </w:rPr>
      </w:pPr>
      <w:r>
        <w:rPr>
          <w:szCs w:val="22"/>
          <w:lang w:val="lv-LV"/>
        </w:rPr>
        <w:t xml:space="preserve">Sākot vai pārtraucot ārstēšanu ar tocilizumabu, pacienti, kuri lieto individuāli pielāgotas zāles, kuras metabolizē CYP450 3A4, 1A2 vai 2C9 (piemēram, </w:t>
      </w:r>
      <w:r w:rsidR="00D8560A">
        <w:rPr>
          <w:szCs w:val="22"/>
          <w:lang w:val="lv-LV"/>
        </w:rPr>
        <w:t>metilprednizolonu, deksametazonu, (ar iespējamu atcelšanas sindroma rašanos</w:t>
      </w:r>
      <w:r w:rsidR="00D8560A" w:rsidRPr="00CE3CA8">
        <w:rPr>
          <w:szCs w:val="22"/>
          <w:lang w:val="lv-LV"/>
        </w:rPr>
        <w:t xml:space="preserve"> </w:t>
      </w:r>
      <w:r w:rsidR="00D8560A">
        <w:rPr>
          <w:szCs w:val="22"/>
          <w:lang w:val="lv-LV"/>
        </w:rPr>
        <w:t xml:space="preserve">perorāli lietotiem glikokortikoīdiem), </w:t>
      </w:r>
      <w:r>
        <w:rPr>
          <w:szCs w:val="22"/>
          <w:lang w:val="lv-LV"/>
        </w:rPr>
        <w:t xml:space="preserve">atorvastatīnu, kalcija kanālu blokatorus, teofilīnu, varfarīnu, fenprokumonu, fenitoīnu, ciklosporīnu vai benzodiazepīnus), jānovēro, jo terapeitiskās iedarbības saglabāšanai var būt jāpalielina zāļu devas. Ņemot vērā relatīvi ilgo eliminācijas pusperiodu </w:t>
      </w:r>
      <w:r>
        <w:rPr>
          <w:iCs/>
          <w:lang w:val="lv-LV"/>
        </w:rPr>
        <w:t>(t</w:t>
      </w:r>
      <w:r>
        <w:rPr>
          <w:iCs/>
          <w:vertAlign w:val="subscript"/>
          <w:lang w:val="lv-LV"/>
        </w:rPr>
        <w:t>1/2</w:t>
      </w:r>
      <w:r>
        <w:rPr>
          <w:iCs/>
          <w:lang w:val="lv-LV"/>
        </w:rPr>
        <w:t>)</w:t>
      </w:r>
      <w:r>
        <w:rPr>
          <w:szCs w:val="22"/>
          <w:lang w:val="lv-LV"/>
        </w:rPr>
        <w:t>, tocilizumaba ietekme uz CYP450 enzīma aktivitāti var saglabāties vairākas nedēļas pēc ārstēšanas pārtraukšanas.</w:t>
      </w:r>
    </w:p>
    <w:p w14:paraId="58719C90" w14:textId="77777777" w:rsidR="00784D05" w:rsidRDefault="00784D05">
      <w:pPr>
        <w:rPr>
          <w:szCs w:val="22"/>
          <w:lang w:val="lv-LV"/>
        </w:rPr>
      </w:pPr>
    </w:p>
    <w:p w14:paraId="19901DA3" w14:textId="77777777" w:rsidR="00784D05" w:rsidRDefault="00784D05">
      <w:pPr>
        <w:keepNext/>
        <w:rPr>
          <w:b/>
          <w:szCs w:val="22"/>
          <w:lang w:val="lv-LV"/>
        </w:rPr>
      </w:pPr>
      <w:r>
        <w:rPr>
          <w:b/>
          <w:szCs w:val="22"/>
          <w:lang w:val="lv-LV"/>
        </w:rPr>
        <w:t>4.6.</w:t>
      </w:r>
      <w:r>
        <w:rPr>
          <w:b/>
          <w:szCs w:val="22"/>
          <w:lang w:val="lv-LV"/>
        </w:rPr>
        <w:tab/>
        <w:t>Fertilitāte, grūtniecība un barošana ar krūti</w:t>
      </w:r>
    </w:p>
    <w:p w14:paraId="48CDC5CA" w14:textId="77777777" w:rsidR="00784D05" w:rsidRDefault="00784D05">
      <w:pPr>
        <w:keepNext/>
        <w:rPr>
          <w:b/>
          <w:szCs w:val="22"/>
          <w:lang w:val="lv-LV"/>
        </w:rPr>
      </w:pPr>
    </w:p>
    <w:p w14:paraId="1929AC7A" w14:textId="1BB111BB" w:rsidR="00784D05" w:rsidRDefault="00784D05">
      <w:pPr>
        <w:keepNext/>
        <w:suppressAutoHyphens w:val="0"/>
        <w:outlineLvl w:val="0"/>
        <w:rPr>
          <w:u w:val="single"/>
          <w:lang w:val="lv-LV" w:eastAsia="ja-JP"/>
        </w:rPr>
      </w:pPr>
      <w:r>
        <w:rPr>
          <w:u w:val="single"/>
          <w:lang w:val="lv-LV" w:eastAsia="ja-JP"/>
        </w:rPr>
        <w:t xml:space="preserve">Sievietes </w:t>
      </w:r>
      <w:r w:rsidR="0081178F">
        <w:rPr>
          <w:u w:val="single"/>
          <w:lang w:val="lv-LV" w:eastAsia="ja-JP"/>
        </w:rPr>
        <w:t xml:space="preserve">ar </w:t>
      </w:r>
      <w:r>
        <w:rPr>
          <w:u w:val="single"/>
          <w:lang w:val="lv-LV" w:eastAsia="ja-JP"/>
        </w:rPr>
        <w:t>reproduktīv</w:t>
      </w:r>
      <w:r w:rsidR="0081178F">
        <w:rPr>
          <w:u w:val="single"/>
          <w:lang w:val="lv-LV" w:eastAsia="ja-JP"/>
        </w:rPr>
        <w:t>o potenciālu</w:t>
      </w:r>
    </w:p>
    <w:p w14:paraId="6ECA92D8" w14:textId="0A0F35AC" w:rsidR="00784D05" w:rsidRDefault="00784D05">
      <w:pPr>
        <w:keepNext/>
        <w:rPr>
          <w:rFonts w:eastAsia="PMingLiU"/>
          <w:szCs w:val="22"/>
          <w:lang w:val="lv-LV"/>
        </w:rPr>
      </w:pPr>
      <w:r>
        <w:rPr>
          <w:rFonts w:eastAsia="PMingLiU"/>
          <w:szCs w:val="22"/>
          <w:lang w:val="lv-LV"/>
        </w:rPr>
        <w:t xml:space="preserve">Sievietēm </w:t>
      </w:r>
      <w:r w:rsidR="0081178F">
        <w:rPr>
          <w:rFonts w:eastAsia="PMingLiU"/>
          <w:szCs w:val="22"/>
          <w:lang w:val="lv-LV"/>
        </w:rPr>
        <w:t xml:space="preserve">ar </w:t>
      </w:r>
      <w:r>
        <w:rPr>
          <w:rFonts w:eastAsia="PMingLiU"/>
          <w:szCs w:val="22"/>
          <w:lang w:val="lv-LV"/>
        </w:rPr>
        <w:t>reproduktīv</w:t>
      </w:r>
      <w:r w:rsidR="0081178F">
        <w:rPr>
          <w:rFonts w:eastAsia="PMingLiU"/>
          <w:szCs w:val="22"/>
          <w:lang w:val="lv-LV"/>
        </w:rPr>
        <w:t>o potenciālu</w:t>
      </w:r>
      <w:r>
        <w:rPr>
          <w:rFonts w:eastAsia="PMingLiU"/>
          <w:szCs w:val="22"/>
          <w:lang w:val="lv-LV"/>
        </w:rPr>
        <w:t xml:space="preserve"> jālieto efektīva kontracepcijas metode ārstēšanas laikā un līdz 3</w:t>
      </w:r>
      <w:r w:rsidR="0011235E">
        <w:rPr>
          <w:rFonts w:eastAsia="PMingLiU"/>
          <w:szCs w:val="22"/>
          <w:lang w:val="lv-LV"/>
        </w:rPr>
        <w:t> </w:t>
      </w:r>
      <w:r>
        <w:rPr>
          <w:rFonts w:eastAsia="PMingLiU"/>
          <w:szCs w:val="22"/>
          <w:lang w:val="lv-LV"/>
        </w:rPr>
        <w:t>mēnešiem pēc tās.</w:t>
      </w:r>
    </w:p>
    <w:p w14:paraId="6C705018" w14:textId="77777777" w:rsidR="00784D05" w:rsidRDefault="00784D05">
      <w:pPr>
        <w:rPr>
          <w:u w:val="single"/>
          <w:lang w:val="lv-LV"/>
        </w:rPr>
        <w:pPrChange w:id="75" w:author="Author">
          <w:pPr>
            <w:keepNext/>
          </w:pPr>
        </w:pPrChange>
      </w:pPr>
    </w:p>
    <w:p w14:paraId="2BBD8AA7" w14:textId="77777777" w:rsidR="00784D05" w:rsidRDefault="00784D05">
      <w:pPr>
        <w:keepNext/>
        <w:rPr>
          <w:rFonts w:eastAsia="PMingLiU"/>
          <w:szCs w:val="22"/>
          <w:lang w:val="lv-LV"/>
        </w:rPr>
      </w:pPr>
      <w:r>
        <w:rPr>
          <w:u w:val="single"/>
          <w:lang w:val="lv-LV"/>
        </w:rPr>
        <w:t>Grūtniecība</w:t>
      </w:r>
    </w:p>
    <w:p w14:paraId="217CEBBB" w14:textId="048AAC81" w:rsidR="00784D05" w:rsidRDefault="00784D05">
      <w:pPr>
        <w:rPr>
          <w:rFonts w:eastAsia="PMingLiU"/>
          <w:szCs w:val="22"/>
          <w:lang w:val="lv-LV"/>
        </w:rPr>
      </w:pPr>
      <w:r>
        <w:rPr>
          <w:rFonts w:eastAsia="PMingLiU"/>
          <w:szCs w:val="22"/>
          <w:lang w:val="lv-LV"/>
        </w:rPr>
        <w:t>Atbilstošu datu par tocilizumaba lietošanu grūtniecēm nav. Pētījumā ar dzīvniekiem pierādīts paaugstināts spontāna aborta/embrija</w:t>
      </w:r>
      <w:r w:rsidR="003E48B5">
        <w:rPr>
          <w:rFonts w:eastAsia="PMingLiU"/>
          <w:szCs w:val="22"/>
          <w:lang w:val="lv-LV"/>
        </w:rPr>
        <w:noBreakHyphen/>
      </w:r>
      <w:r>
        <w:rPr>
          <w:rFonts w:eastAsia="PMingLiU"/>
          <w:szCs w:val="22"/>
          <w:lang w:val="lv-LV"/>
        </w:rPr>
        <w:t>augļa nāves risks, lietojot lielu devu (skatīt 5.3. apakšpunktu). Iespējamais risks cilvēkiem nav zināms.</w:t>
      </w:r>
    </w:p>
    <w:p w14:paraId="506C2E36" w14:textId="77777777" w:rsidR="00784D05" w:rsidRDefault="00784D05">
      <w:pPr>
        <w:rPr>
          <w:rFonts w:eastAsia="PMingLiU"/>
          <w:szCs w:val="22"/>
          <w:lang w:val="lv-LV"/>
        </w:rPr>
      </w:pPr>
    </w:p>
    <w:p w14:paraId="6135C02E" w14:textId="0E32992C" w:rsidR="00784D05" w:rsidRDefault="00784D05">
      <w:pPr>
        <w:rPr>
          <w:bCs/>
          <w:i/>
          <w:iCs/>
          <w:szCs w:val="22"/>
          <w:lang w:val="lv-LV"/>
        </w:rPr>
      </w:pPr>
      <w:r>
        <w:rPr>
          <w:rFonts w:eastAsia="PMingLiU"/>
          <w:szCs w:val="22"/>
          <w:lang w:val="lv-LV"/>
        </w:rPr>
        <w:t>RoActemra nedrīkst lietot grūtniecības laikā, izņemot gadījumus, kad ir absolūtas indikācijas.</w:t>
      </w:r>
    </w:p>
    <w:p w14:paraId="661A9A7F" w14:textId="77777777" w:rsidR="00784D05" w:rsidRDefault="00784D05">
      <w:pPr>
        <w:rPr>
          <w:bCs/>
          <w:i/>
          <w:iCs/>
          <w:szCs w:val="22"/>
          <w:lang w:val="lv-LV"/>
        </w:rPr>
      </w:pPr>
    </w:p>
    <w:p w14:paraId="25A5E8A8" w14:textId="77777777" w:rsidR="00784D05" w:rsidRDefault="00784D05">
      <w:pPr>
        <w:keepNext/>
        <w:rPr>
          <w:iCs/>
          <w:szCs w:val="22"/>
          <w:lang w:val="lv-LV"/>
        </w:rPr>
      </w:pPr>
      <w:r>
        <w:rPr>
          <w:u w:val="single"/>
          <w:lang w:val="lv-LV"/>
        </w:rPr>
        <w:t>Barošana ar krūti</w:t>
      </w:r>
    </w:p>
    <w:p w14:paraId="68DB4BCC" w14:textId="22B99639" w:rsidR="00784D05" w:rsidRDefault="00784D05" w:rsidP="00707120">
      <w:pPr>
        <w:rPr>
          <w:iCs/>
          <w:szCs w:val="22"/>
          <w:lang w:val="lv-LV"/>
        </w:rPr>
      </w:pPr>
      <w:r>
        <w:rPr>
          <w:iCs/>
          <w:szCs w:val="22"/>
          <w:lang w:val="lv-LV"/>
        </w:rPr>
        <w:t xml:space="preserve">Nav zināms, vai tocilizumabs izdalās </w:t>
      </w:r>
      <w:r w:rsidR="0011235E">
        <w:rPr>
          <w:iCs/>
          <w:szCs w:val="22"/>
          <w:lang w:val="lv-LV"/>
        </w:rPr>
        <w:t xml:space="preserve">cilvēka </w:t>
      </w:r>
      <w:r>
        <w:rPr>
          <w:iCs/>
          <w:szCs w:val="22"/>
          <w:lang w:val="lv-LV"/>
        </w:rPr>
        <w:t>pienā</w:t>
      </w:r>
      <w:r w:rsidR="0011235E">
        <w:rPr>
          <w:iCs/>
          <w:szCs w:val="22"/>
          <w:lang w:val="lv-LV"/>
        </w:rPr>
        <w:t>.</w:t>
      </w:r>
      <w:r>
        <w:rPr>
          <w:iCs/>
          <w:szCs w:val="22"/>
          <w:lang w:val="lv-LV"/>
        </w:rPr>
        <w:t xml:space="preserve"> Tocilizumaba ekskrēcija dzīvnieku pienā nav pētīta. Lēmums pārtraukt </w:t>
      </w:r>
      <w:r w:rsidR="0047340E">
        <w:rPr>
          <w:iCs/>
          <w:szCs w:val="22"/>
          <w:lang w:val="lv-LV"/>
        </w:rPr>
        <w:t xml:space="preserve">barošanu ar krūti </w:t>
      </w:r>
      <w:r>
        <w:rPr>
          <w:iCs/>
          <w:szCs w:val="22"/>
          <w:lang w:val="lv-LV"/>
        </w:rPr>
        <w:t>vai pārtraukt RoActemra lietošanu</w:t>
      </w:r>
      <w:r w:rsidR="0011235E">
        <w:rPr>
          <w:iCs/>
          <w:szCs w:val="22"/>
          <w:lang w:val="lv-LV"/>
        </w:rPr>
        <w:t>/atturēties no terapijas</w:t>
      </w:r>
      <w:r>
        <w:rPr>
          <w:iCs/>
          <w:szCs w:val="22"/>
          <w:lang w:val="lv-LV"/>
        </w:rPr>
        <w:t xml:space="preserve"> jāpieņem, ņemot vērā barošanas ar krūti </w:t>
      </w:r>
      <w:r w:rsidR="0011235E">
        <w:rPr>
          <w:iCs/>
          <w:szCs w:val="22"/>
          <w:lang w:val="lv-LV"/>
        </w:rPr>
        <w:t xml:space="preserve">radīto </w:t>
      </w:r>
      <w:r>
        <w:rPr>
          <w:iCs/>
          <w:szCs w:val="22"/>
          <w:lang w:val="lv-LV"/>
        </w:rPr>
        <w:t xml:space="preserve">ieguvumu bērnam un </w:t>
      </w:r>
      <w:r w:rsidR="0011235E">
        <w:rPr>
          <w:iCs/>
          <w:szCs w:val="22"/>
          <w:lang w:val="lv-LV"/>
        </w:rPr>
        <w:t>terapijas sniegto</w:t>
      </w:r>
      <w:r>
        <w:rPr>
          <w:iCs/>
          <w:szCs w:val="22"/>
          <w:lang w:val="lv-LV"/>
        </w:rPr>
        <w:t xml:space="preserve"> ieguvumu sievietei.</w:t>
      </w:r>
    </w:p>
    <w:p w14:paraId="3FF7B7FC" w14:textId="77777777" w:rsidR="00784D05" w:rsidRDefault="00784D05" w:rsidP="00707120">
      <w:pPr>
        <w:rPr>
          <w:iCs/>
          <w:szCs w:val="22"/>
          <w:lang w:val="lv-LV"/>
        </w:rPr>
      </w:pPr>
    </w:p>
    <w:p w14:paraId="1D5A2773" w14:textId="77777777" w:rsidR="00784D05" w:rsidRDefault="00784D05">
      <w:pPr>
        <w:keepNext/>
        <w:rPr>
          <w:lang w:val="lv-LV"/>
        </w:rPr>
        <w:pPrChange w:id="76" w:author="Author">
          <w:pPr/>
        </w:pPrChange>
      </w:pPr>
      <w:r>
        <w:rPr>
          <w:szCs w:val="22"/>
          <w:u w:val="single"/>
          <w:lang w:val="lv-LV"/>
        </w:rPr>
        <w:t>Fertilitāte</w:t>
      </w:r>
    </w:p>
    <w:p w14:paraId="26A825A5" w14:textId="77777777" w:rsidR="00784D05" w:rsidRDefault="00784D05">
      <w:pPr>
        <w:rPr>
          <w:iCs/>
          <w:szCs w:val="22"/>
          <w:lang w:val="lv-LV"/>
        </w:rPr>
      </w:pPr>
      <w:r>
        <w:rPr>
          <w:lang w:val="lv-LV"/>
        </w:rPr>
        <w:t>Pieejamie neklīniskie dati neliecina par tocilizumaba terapijas ietekmi uz fertilitāti.</w:t>
      </w:r>
    </w:p>
    <w:p w14:paraId="1BB8EDA1" w14:textId="77777777" w:rsidR="00784D05" w:rsidRDefault="00784D05">
      <w:pPr>
        <w:rPr>
          <w:iCs/>
          <w:szCs w:val="22"/>
          <w:lang w:val="lv-LV"/>
        </w:rPr>
      </w:pPr>
    </w:p>
    <w:p w14:paraId="2081064B" w14:textId="77777777" w:rsidR="00784D05" w:rsidRDefault="00784D05">
      <w:pPr>
        <w:rPr>
          <w:szCs w:val="22"/>
          <w:lang w:val="lv-LV"/>
        </w:rPr>
      </w:pPr>
      <w:r>
        <w:rPr>
          <w:b/>
          <w:szCs w:val="22"/>
          <w:lang w:val="lv-LV"/>
        </w:rPr>
        <w:t>4.7.</w:t>
      </w:r>
      <w:r>
        <w:rPr>
          <w:b/>
          <w:szCs w:val="22"/>
          <w:lang w:val="lv-LV"/>
        </w:rPr>
        <w:tab/>
        <w:t>Ietekme uz spēju vadīt transportlīdzekļus un apkalpot mehānismus</w:t>
      </w:r>
    </w:p>
    <w:p w14:paraId="10DB25B2" w14:textId="77777777" w:rsidR="00784D05" w:rsidRDefault="00784D05">
      <w:pPr>
        <w:rPr>
          <w:szCs w:val="22"/>
          <w:lang w:val="lv-LV"/>
        </w:rPr>
      </w:pPr>
    </w:p>
    <w:p w14:paraId="4241C4DA" w14:textId="4C73D1BA" w:rsidR="00784D05" w:rsidRDefault="00784D05">
      <w:pPr>
        <w:rPr>
          <w:rFonts w:eastAsia="MS Mincho"/>
          <w:szCs w:val="22"/>
          <w:lang w:val="lv-LV"/>
        </w:rPr>
      </w:pPr>
      <w:r>
        <w:rPr>
          <w:rFonts w:eastAsia="MS Mincho"/>
          <w:szCs w:val="22"/>
          <w:lang w:val="lv-LV"/>
        </w:rPr>
        <w:t>RoActemra nedaudz ietekmē spēju vadīt transportlīdzekļus un apkalpot mehānismus</w:t>
      </w:r>
      <w:r w:rsidR="0011235E">
        <w:rPr>
          <w:rFonts w:eastAsia="MS Mincho"/>
          <w:szCs w:val="22"/>
          <w:lang w:val="lv-LV"/>
        </w:rPr>
        <w:t>, piemēram, var izraisīt reiboni</w:t>
      </w:r>
      <w:r>
        <w:rPr>
          <w:rFonts w:eastAsia="MS Mincho"/>
          <w:szCs w:val="22"/>
          <w:lang w:val="lv-LV"/>
        </w:rPr>
        <w:t xml:space="preserve"> (skatīt 4.8.</w:t>
      </w:r>
      <w:r w:rsidR="00692B94">
        <w:rPr>
          <w:rFonts w:eastAsia="MS Mincho"/>
          <w:szCs w:val="22"/>
          <w:lang w:val="lv-LV"/>
        </w:rPr>
        <w:t> </w:t>
      </w:r>
      <w:r>
        <w:rPr>
          <w:rFonts w:eastAsia="MS Mincho"/>
          <w:szCs w:val="22"/>
          <w:lang w:val="lv-LV"/>
        </w:rPr>
        <w:t>apakšpunktu).</w:t>
      </w:r>
    </w:p>
    <w:p w14:paraId="7029B8F5" w14:textId="77777777" w:rsidR="00784D05" w:rsidRDefault="00784D05">
      <w:pPr>
        <w:rPr>
          <w:rFonts w:eastAsia="MS Mincho"/>
          <w:szCs w:val="22"/>
          <w:lang w:val="lv-LV"/>
        </w:rPr>
      </w:pPr>
    </w:p>
    <w:p w14:paraId="0BA98013" w14:textId="77777777" w:rsidR="00784D05" w:rsidRDefault="00784D05" w:rsidP="0063054D">
      <w:pPr>
        <w:keepNext/>
        <w:keepLines/>
        <w:rPr>
          <w:szCs w:val="22"/>
          <w:lang w:val="lv-LV"/>
        </w:rPr>
      </w:pPr>
      <w:r>
        <w:rPr>
          <w:b/>
          <w:szCs w:val="22"/>
          <w:lang w:val="lv-LV"/>
        </w:rPr>
        <w:t>4.8.</w:t>
      </w:r>
      <w:r>
        <w:rPr>
          <w:b/>
          <w:szCs w:val="22"/>
          <w:lang w:val="lv-LV"/>
        </w:rPr>
        <w:tab/>
        <w:t>Nevēlamās blakusparādības</w:t>
      </w:r>
    </w:p>
    <w:p w14:paraId="00A31021" w14:textId="77777777" w:rsidR="00784D05" w:rsidRDefault="00784D05" w:rsidP="00707120">
      <w:pPr>
        <w:keepNext/>
        <w:rPr>
          <w:szCs w:val="22"/>
          <w:lang w:val="lv-LV"/>
        </w:rPr>
      </w:pPr>
    </w:p>
    <w:p w14:paraId="0AAE7073" w14:textId="77777777" w:rsidR="00784D05" w:rsidRDefault="00784D05" w:rsidP="00707120">
      <w:pPr>
        <w:keepNext/>
        <w:suppressLineNumbers/>
        <w:suppressAutoHyphens w:val="0"/>
        <w:autoSpaceDE w:val="0"/>
        <w:autoSpaceDN w:val="0"/>
        <w:adjustRightInd w:val="0"/>
        <w:rPr>
          <w:rFonts w:eastAsia="Courier New" w:cs="Sendnya"/>
          <w:noProof/>
          <w:szCs w:val="24"/>
          <w:lang w:val="lv-LV" w:eastAsia="ja-JP" w:bidi="or-IN"/>
        </w:rPr>
      </w:pPr>
      <w:r>
        <w:rPr>
          <w:rFonts w:cs="Sendnya"/>
          <w:szCs w:val="24"/>
          <w:u w:val="single"/>
          <w:lang w:val="lv-LV" w:eastAsia="ja-JP" w:bidi="or-IN"/>
        </w:rPr>
        <w:t xml:space="preserve">Drošuma profila kopsavilkums </w:t>
      </w:r>
    </w:p>
    <w:p w14:paraId="58E79387" w14:textId="31751CCF" w:rsidR="0011235E" w:rsidRPr="0011235E" w:rsidRDefault="0011235E" w:rsidP="00707120">
      <w:pPr>
        <w:keepNext/>
        <w:autoSpaceDE w:val="0"/>
        <w:rPr>
          <w:rFonts w:eastAsia="PMingLiU"/>
          <w:szCs w:val="22"/>
          <w:lang w:val="lv-LV"/>
        </w:rPr>
      </w:pPr>
      <w:r>
        <w:rPr>
          <w:rFonts w:eastAsia="PMingLiU"/>
          <w:i/>
          <w:iCs/>
          <w:szCs w:val="22"/>
          <w:lang w:val="lv-LV"/>
        </w:rPr>
        <w:t>RA, sJIA, pJIA un CRS</w:t>
      </w:r>
    </w:p>
    <w:p w14:paraId="611C9091" w14:textId="3A7D318E" w:rsidR="00784D05" w:rsidRDefault="00784D05">
      <w:pPr>
        <w:autoSpaceDE w:val="0"/>
        <w:rPr>
          <w:rFonts w:eastAsia="PMingLiU"/>
          <w:szCs w:val="22"/>
          <w:lang w:val="lv-LV"/>
        </w:rPr>
      </w:pPr>
      <w:r>
        <w:rPr>
          <w:rFonts w:eastAsia="PMingLiU"/>
          <w:szCs w:val="22"/>
          <w:lang w:val="lv-LV"/>
        </w:rPr>
        <w:t xml:space="preserve">Visbiežāk novērotās </w:t>
      </w:r>
      <w:r w:rsidR="0011235E">
        <w:rPr>
          <w:rFonts w:eastAsia="PMingLiU"/>
          <w:szCs w:val="22"/>
          <w:lang w:val="lv-LV"/>
        </w:rPr>
        <w:t>nevēlamās blakusparādības ir</w:t>
      </w:r>
      <w:r>
        <w:rPr>
          <w:rFonts w:eastAsia="PMingLiU"/>
          <w:szCs w:val="22"/>
          <w:lang w:val="lv-LV"/>
        </w:rPr>
        <w:t xml:space="preserve"> augšējo elpceļu infekcijas, nazofaringīts, galvassāpes, hipertensija un paaugstināts ALAT līmenis.</w:t>
      </w:r>
    </w:p>
    <w:p w14:paraId="1FE2F723" w14:textId="77777777" w:rsidR="00784D05" w:rsidRDefault="00784D05">
      <w:pPr>
        <w:rPr>
          <w:b/>
          <w:szCs w:val="22"/>
          <w:lang w:val="lv-LV"/>
        </w:rPr>
      </w:pPr>
    </w:p>
    <w:p w14:paraId="612FBD73" w14:textId="6DB1167C" w:rsidR="00784D05" w:rsidRDefault="00784D05">
      <w:pPr>
        <w:rPr>
          <w:szCs w:val="22"/>
          <w:lang w:val="lv-LV"/>
        </w:rPr>
      </w:pPr>
      <w:r>
        <w:rPr>
          <w:bCs/>
          <w:szCs w:val="22"/>
          <w:lang w:val="lv-LV"/>
        </w:rPr>
        <w:t xml:space="preserve">Visnopietnākās </w:t>
      </w:r>
      <w:r w:rsidR="0011235E">
        <w:rPr>
          <w:bCs/>
          <w:szCs w:val="22"/>
          <w:lang w:val="lv-LV"/>
        </w:rPr>
        <w:t xml:space="preserve">nevēlamās blakusparādības ir </w:t>
      </w:r>
      <w:r>
        <w:rPr>
          <w:bCs/>
          <w:szCs w:val="22"/>
          <w:lang w:val="lv-LV"/>
        </w:rPr>
        <w:t xml:space="preserve">nopietnas infekcijas, divertikulīta komplikācijas un </w:t>
      </w:r>
      <w:r>
        <w:rPr>
          <w:szCs w:val="22"/>
          <w:lang w:val="lv-LV"/>
        </w:rPr>
        <w:t>paaugstinātas jutības reakcijas.</w:t>
      </w:r>
    </w:p>
    <w:p w14:paraId="46A14368" w14:textId="77777777" w:rsidR="00B1121A" w:rsidRPr="00B1121A" w:rsidRDefault="00B1121A" w:rsidP="00B1121A">
      <w:pPr>
        <w:rPr>
          <w:bCs/>
          <w:szCs w:val="22"/>
          <w:lang w:val="lv-LV"/>
        </w:rPr>
      </w:pPr>
    </w:p>
    <w:p w14:paraId="3F66D5CE" w14:textId="2A34C508" w:rsidR="0011235E" w:rsidRPr="0011235E" w:rsidRDefault="0011235E" w:rsidP="00707120">
      <w:pPr>
        <w:keepNext/>
        <w:rPr>
          <w:bCs/>
          <w:szCs w:val="22"/>
          <w:lang w:val="lv-LV"/>
        </w:rPr>
      </w:pPr>
      <w:r>
        <w:rPr>
          <w:bCs/>
          <w:i/>
          <w:iCs/>
          <w:szCs w:val="22"/>
          <w:lang w:val="lv-LV"/>
        </w:rPr>
        <w:t>COVID</w:t>
      </w:r>
      <w:r>
        <w:rPr>
          <w:bCs/>
          <w:i/>
          <w:iCs/>
          <w:szCs w:val="22"/>
          <w:lang w:val="lv-LV"/>
        </w:rPr>
        <w:noBreakHyphen/>
        <w:t>19</w:t>
      </w:r>
    </w:p>
    <w:p w14:paraId="33A3C845" w14:textId="3DB890DA" w:rsidR="00B1121A" w:rsidRPr="00EA0D23" w:rsidRDefault="00C11690" w:rsidP="00B1121A">
      <w:pPr>
        <w:rPr>
          <w:bCs/>
          <w:szCs w:val="22"/>
          <w:lang w:val="lv-LV"/>
        </w:rPr>
      </w:pPr>
      <w:r w:rsidRPr="00EA0D23">
        <w:rPr>
          <w:bCs/>
          <w:szCs w:val="22"/>
          <w:lang w:val="lv-LV"/>
        </w:rPr>
        <w:t>Visb</w:t>
      </w:r>
      <w:r w:rsidR="00B1121A" w:rsidRPr="00EA0D23">
        <w:rPr>
          <w:bCs/>
          <w:szCs w:val="22"/>
          <w:lang w:val="lv-LV"/>
        </w:rPr>
        <w:t>iežāk ziņot</w:t>
      </w:r>
      <w:r w:rsidRPr="00EA0D23">
        <w:rPr>
          <w:bCs/>
          <w:szCs w:val="22"/>
          <w:lang w:val="lv-LV"/>
        </w:rPr>
        <w:t>ā</w:t>
      </w:r>
      <w:r w:rsidR="00B1121A" w:rsidRPr="00EA0D23">
        <w:rPr>
          <w:bCs/>
          <w:szCs w:val="22"/>
          <w:lang w:val="lv-LV"/>
        </w:rPr>
        <w:t xml:space="preserve">s nevēlamās blakusparādības </w:t>
      </w:r>
      <w:r w:rsidR="0011235E" w:rsidRPr="00EA0D23">
        <w:rPr>
          <w:bCs/>
          <w:szCs w:val="22"/>
          <w:lang w:val="lv-LV"/>
        </w:rPr>
        <w:t>ir</w:t>
      </w:r>
      <w:r w:rsidR="00B1121A" w:rsidRPr="00EA0D23">
        <w:rPr>
          <w:bCs/>
          <w:szCs w:val="22"/>
          <w:lang w:val="lv-LV"/>
        </w:rPr>
        <w:t xml:space="preserve"> paaugstināts aknu transamināžu līmenis, aizcietējums un urīnceļu infekcija.</w:t>
      </w:r>
    </w:p>
    <w:p w14:paraId="2D46D097" w14:textId="36B6E4B9" w:rsidR="00B1121A" w:rsidRPr="00EA0D23" w:rsidRDefault="00B1121A" w:rsidP="00B1121A">
      <w:pPr>
        <w:rPr>
          <w:bCs/>
          <w:szCs w:val="22"/>
          <w:lang w:val="lv-LV"/>
        </w:rPr>
      </w:pPr>
    </w:p>
    <w:p w14:paraId="4AA1C36B" w14:textId="1A32A981" w:rsidR="0011235E" w:rsidRPr="00707120" w:rsidRDefault="0011235E" w:rsidP="00707120">
      <w:pPr>
        <w:keepNext/>
        <w:rPr>
          <w:bCs/>
          <w:szCs w:val="22"/>
          <w:u w:val="single"/>
          <w:lang w:val="lv-LV"/>
        </w:rPr>
      </w:pPr>
      <w:r w:rsidRPr="00EA0D23">
        <w:rPr>
          <w:bCs/>
          <w:szCs w:val="22"/>
          <w:u w:val="single"/>
          <w:lang w:val="lv-LV"/>
        </w:rPr>
        <w:t>Nevēlamo blakusparādību saraksts tabulā</w:t>
      </w:r>
    </w:p>
    <w:p w14:paraId="288CD36C" w14:textId="77777777" w:rsidR="0011235E" w:rsidRPr="00EA0D23" w:rsidRDefault="0011235E" w:rsidP="00707120">
      <w:pPr>
        <w:keepNext/>
        <w:rPr>
          <w:bCs/>
          <w:szCs w:val="22"/>
          <w:lang w:val="lv-LV"/>
        </w:rPr>
      </w:pPr>
    </w:p>
    <w:p w14:paraId="10BCFC50" w14:textId="694E4D94" w:rsidR="00B1121A" w:rsidRPr="00B1121A" w:rsidRDefault="00B1121A" w:rsidP="00B1121A">
      <w:pPr>
        <w:rPr>
          <w:bCs/>
          <w:szCs w:val="22"/>
          <w:lang w:val="lv-LV"/>
        </w:rPr>
      </w:pPr>
      <w:r w:rsidRPr="00EA0D23">
        <w:rPr>
          <w:bCs/>
          <w:szCs w:val="22"/>
          <w:lang w:val="lv-LV"/>
        </w:rPr>
        <w:t>Nevēlamās blakusparādības, k</w:t>
      </w:r>
      <w:r w:rsidRPr="00B1121A">
        <w:rPr>
          <w:bCs/>
          <w:szCs w:val="22"/>
          <w:lang w:val="lv-LV"/>
        </w:rPr>
        <w:t xml:space="preserve">as tika novērotas </w:t>
      </w:r>
      <w:r w:rsidR="0011235E">
        <w:rPr>
          <w:bCs/>
          <w:szCs w:val="22"/>
          <w:lang w:val="lv-LV"/>
        </w:rPr>
        <w:t>tocilizumaba</w:t>
      </w:r>
      <w:r w:rsidR="0011235E" w:rsidRPr="00B1121A">
        <w:rPr>
          <w:bCs/>
          <w:szCs w:val="22"/>
          <w:lang w:val="lv-LV"/>
        </w:rPr>
        <w:t xml:space="preserve"> </w:t>
      </w:r>
      <w:r w:rsidRPr="00B1121A">
        <w:rPr>
          <w:bCs/>
          <w:szCs w:val="22"/>
          <w:lang w:val="lv-LV"/>
        </w:rPr>
        <w:t xml:space="preserve">klīniskajos pētījumos un/vai pēcreģistrācijas </w:t>
      </w:r>
      <w:r w:rsidR="00DA5869">
        <w:rPr>
          <w:bCs/>
          <w:szCs w:val="22"/>
          <w:lang w:val="lv-LV"/>
        </w:rPr>
        <w:t>periodā</w:t>
      </w:r>
      <w:r w:rsidRPr="00B1121A">
        <w:rPr>
          <w:bCs/>
          <w:szCs w:val="22"/>
          <w:lang w:val="lv-LV"/>
        </w:rPr>
        <w:t xml:space="preserve">, </w:t>
      </w:r>
      <w:r w:rsidR="00DA5869">
        <w:rPr>
          <w:bCs/>
          <w:szCs w:val="22"/>
          <w:lang w:val="lv-LV"/>
        </w:rPr>
        <w:t>pamatojoties</w:t>
      </w:r>
      <w:r w:rsidRPr="00B1121A">
        <w:rPr>
          <w:bCs/>
          <w:szCs w:val="22"/>
          <w:lang w:val="lv-LV"/>
        </w:rPr>
        <w:t xml:space="preserve"> uz spontāniem gadījumu ziņojumiem, literatūrā aprakstītiem gadījumiem un </w:t>
      </w:r>
      <w:r w:rsidR="00DA5869">
        <w:rPr>
          <w:bCs/>
          <w:szCs w:val="22"/>
          <w:lang w:val="lv-LV"/>
        </w:rPr>
        <w:t>beziejaukšanās</w:t>
      </w:r>
      <w:r w:rsidRPr="00B1121A">
        <w:rPr>
          <w:bCs/>
          <w:szCs w:val="22"/>
          <w:lang w:val="lv-LV"/>
        </w:rPr>
        <w:t xml:space="preserve"> pētījumu datiem, 1.</w:t>
      </w:r>
      <w:r w:rsidR="0046093A">
        <w:rPr>
          <w:bCs/>
          <w:szCs w:val="22"/>
          <w:lang w:val="lv-LV"/>
        </w:rPr>
        <w:t> </w:t>
      </w:r>
      <w:r w:rsidRPr="00B1121A">
        <w:rPr>
          <w:bCs/>
          <w:szCs w:val="22"/>
          <w:lang w:val="lv-LV"/>
        </w:rPr>
        <w:t>tabulā un 2.</w:t>
      </w:r>
      <w:r>
        <w:rPr>
          <w:bCs/>
          <w:szCs w:val="22"/>
          <w:lang w:val="lv-LV"/>
        </w:rPr>
        <w:t> </w:t>
      </w:r>
      <w:r w:rsidRPr="00B1121A">
        <w:rPr>
          <w:bCs/>
          <w:szCs w:val="22"/>
          <w:lang w:val="lv-LV"/>
        </w:rPr>
        <w:t xml:space="preserve">tabulā ir uzskaitītas atbilstoši </w:t>
      </w:r>
      <w:r w:rsidRPr="00DA5869">
        <w:rPr>
          <w:bCs/>
          <w:iCs/>
          <w:szCs w:val="22"/>
          <w:lang w:val="lv-LV"/>
        </w:rPr>
        <w:t>MedDRA</w:t>
      </w:r>
      <w:r w:rsidRPr="00B1121A">
        <w:rPr>
          <w:bCs/>
          <w:szCs w:val="22"/>
          <w:lang w:val="lv-LV"/>
        </w:rPr>
        <w:t xml:space="preserve"> orgānu sistēmu klasifikācijai</w:t>
      </w:r>
      <w:r w:rsidR="000D3469">
        <w:rPr>
          <w:bCs/>
          <w:szCs w:val="22"/>
          <w:lang w:val="lv-LV"/>
        </w:rPr>
        <w:t xml:space="preserve"> (OSK)</w:t>
      </w:r>
      <w:r w:rsidRPr="00B1121A">
        <w:rPr>
          <w:bCs/>
          <w:szCs w:val="22"/>
          <w:lang w:val="lv-LV"/>
        </w:rPr>
        <w:t>. Katrai nevēlam</w:t>
      </w:r>
      <w:r w:rsidR="00C11690">
        <w:rPr>
          <w:bCs/>
          <w:szCs w:val="22"/>
          <w:lang w:val="lv-LV"/>
        </w:rPr>
        <w:t>aj</w:t>
      </w:r>
      <w:r w:rsidRPr="00B1121A">
        <w:rPr>
          <w:bCs/>
          <w:szCs w:val="22"/>
          <w:lang w:val="lv-LV"/>
        </w:rPr>
        <w:t xml:space="preserve">ai blakusparādībai atbilstošā </w:t>
      </w:r>
      <w:r w:rsidR="00DA5869">
        <w:rPr>
          <w:bCs/>
          <w:szCs w:val="22"/>
          <w:lang w:val="lv-LV"/>
        </w:rPr>
        <w:t>biežuma kategorija</w:t>
      </w:r>
      <w:r w:rsidRPr="00B1121A">
        <w:rPr>
          <w:bCs/>
          <w:szCs w:val="22"/>
          <w:lang w:val="lv-LV"/>
        </w:rPr>
        <w:t xml:space="preserve"> ir </w:t>
      </w:r>
      <w:r>
        <w:rPr>
          <w:bCs/>
          <w:szCs w:val="22"/>
          <w:lang w:val="lv-LV"/>
        </w:rPr>
        <w:t>noteikta atbilstoši</w:t>
      </w:r>
      <w:r w:rsidRPr="00B1121A">
        <w:rPr>
          <w:bCs/>
          <w:szCs w:val="22"/>
          <w:lang w:val="lv-LV"/>
        </w:rPr>
        <w:t xml:space="preserve"> šād</w:t>
      </w:r>
      <w:r>
        <w:rPr>
          <w:bCs/>
          <w:szCs w:val="22"/>
          <w:lang w:val="lv-LV"/>
        </w:rPr>
        <w:t>a</w:t>
      </w:r>
      <w:r w:rsidR="00DA5869">
        <w:rPr>
          <w:bCs/>
          <w:szCs w:val="22"/>
          <w:lang w:val="lv-LV"/>
        </w:rPr>
        <w:t>i klasifikācijai</w:t>
      </w:r>
      <w:r w:rsidRPr="00B1121A">
        <w:rPr>
          <w:bCs/>
          <w:szCs w:val="22"/>
          <w:lang w:val="lv-LV"/>
        </w:rPr>
        <w:t>: ļoti bieži (</w:t>
      </w:r>
      <w:r w:rsidR="0011235E" w:rsidRPr="00707120">
        <w:rPr>
          <w:lang w:val="lv-LV"/>
        </w:rPr>
        <w:t>≥</w:t>
      </w:r>
      <w:r w:rsidR="0011235E">
        <w:rPr>
          <w:bCs/>
          <w:szCs w:val="22"/>
          <w:lang w:val="lv-LV"/>
        </w:rPr>
        <w:t> </w:t>
      </w:r>
      <w:r w:rsidRPr="00B1121A">
        <w:rPr>
          <w:bCs/>
          <w:szCs w:val="22"/>
          <w:lang w:val="lv-LV"/>
        </w:rPr>
        <w:t xml:space="preserve">1/10); bieži (no </w:t>
      </w:r>
      <w:r w:rsidR="0011235E" w:rsidRPr="00707120">
        <w:rPr>
          <w:lang w:val="lv-LV"/>
        </w:rPr>
        <w:t>≥ </w:t>
      </w:r>
      <w:r w:rsidRPr="00B1121A">
        <w:rPr>
          <w:bCs/>
          <w:szCs w:val="22"/>
          <w:lang w:val="lv-LV"/>
        </w:rPr>
        <w:t xml:space="preserve">1/100 līdz </w:t>
      </w:r>
      <w:r w:rsidR="0011235E">
        <w:rPr>
          <w:bCs/>
          <w:szCs w:val="22"/>
          <w:lang w:val="lv-LV"/>
        </w:rPr>
        <w:t>˂ </w:t>
      </w:r>
      <w:r w:rsidRPr="00B1121A">
        <w:rPr>
          <w:bCs/>
          <w:szCs w:val="22"/>
          <w:lang w:val="lv-LV"/>
        </w:rPr>
        <w:t xml:space="preserve">1/10), retāk (no </w:t>
      </w:r>
      <w:r w:rsidR="0011235E" w:rsidRPr="00707120">
        <w:rPr>
          <w:lang w:val="lv-LV"/>
        </w:rPr>
        <w:t>≥ </w:t>
      </w:r>
      <w:r w:rsidRPr="00B1121A">
        <w:rPr>
          <w:bCs/>
          <w:szCs w:val="22"/>
          <w:lang w:val="lv-LV"/>
        </w:rPr>
        <w:t xml:space="preserve">1/1000 līdz </w:t>
      </w:r>
      <w:r w:rsidR="0011235E">
        <w:rPr>
          <w:bCs/>
          <w:szCs w:val="22"/>
          <w:lang w:val="lv-LV"/>
        </w:rPr>
        <w:t>˂ </w:t>
      </w:r>
      <w:r w:rsidRPr="00B1121A">
        <w:rPr>
          <w:bCs/>
          <w:szCs w:val="22"/>
          <w:lang w:val="lv-LV"/>
        </w:rPr>
        <w:t xml:space="preserve">1/100), reti (no </w:t>
      </w:r>
      <w:r w:rsidR="00641B94" w:rsidRPr="00707120">
        <w:rPr>
          <w:lang w:val="lv-LV" w:eastAsia="ja-JP"/>
        </w:rPr>
        <w:t>≥</w:t>
      </w:r>
      <w:r w:rsidR="0011235E">
        <w:rPr>
          <w:bCs/>
          <w:szCs w:val="22"/>
          <w:lang w:val="lv-LV"/>
        </w:rPr>
        <w:t> </w:t>
      </w:r>
      <w:r w:rsidRPr="00B1121A">
        <w:rPr>
          <w:bCs/>
          <w:szCs w:val="22"/>
          <w:lang w:val="lv-LV"/>
        </w:rPr>
        <w:t>1/10</w:t>
      </w:r>
      <w:r>
        <w:rPr>
          <w:bCs/>
          <w:szCs w:val="22"/>
          <w:lang w:val="lv-LV"/>
        </w:rPr>
        <w:t> </w:t>
      </w:r>
      <w:r w:rsidRPr="00B1121A">
        <w:rPr>
          <w:bCs/>
          <w:szCs w:val="22"/>
          <w:lang w:val="lv-LV"/>
        </w:rPr>
        <w:t xml:space="preserve">000 līdz </w:t>
      </w:r>
      <w:r w:rsidR="0011235E">
        <w:rPr>
          <w:bCs/>
          <w:szCs w:val="22"/>
          <w:lang w:val="lv-LV"/>
        </w:rPr>
        <w:t>˂ </w:t>
      </w:r>
      <w:r w:rsidRPr="00B1121A">
        <w:rPr>
          <w:bCs/>
          <w:szCs w:val="22"/>
          <w:lang w:val="lv-LV"/>
        </w:rPr>
        <w:t>1/1000)</w:t>
      </w:r>
      <w:r w:rsidR="0011235E">
        <w:rPr>
          <w:bCs/>
          <w:szCs w:val="22"/>
          <w:lang w:val="lv-LV"/>
        </w:rPr>
        <w:t>,</w:t>
      </w:r>
      <w:r w:rsidRPr="00B1121A">
        <w:rPr>
          <w:bCs/>
          <w:szCs w:val="22"/>
          <w:lang w:val="lv-LV"/>
        </w:rPr>
        <w:t xml:space="preserve"> ļoti reti (</w:t>
      </w:r>
      <w:r w:rsidR="0011235E">
        <w:rPr>
          <w:bCs/>
          <w:szCs w:val="22"/>
          <w:lang w:val="lv-LV"/>
        </w:rPr>
        <w:t>˂ </w:t>
      </w:r>
      <w:r w:rsidRPr="00B1121A">
        <w:rPr>
          <w:bCs/>
          <w:szCs w:val="22"/>
          <w:lang w:val="lv-LV"/>
        </w:rPr>
        <w:t>1/10</w:t>
      </w:r>
      <w:r>
        <w:rPr>
          <w:bCs/>
          <w:szCs w:val="22"/>
          <w:lang w:val="lv-LV"/>
        </w:rPr>
        <w:t> </w:t>
      </w:r>
      <w:r w:rsidRPr="00B1121A">
        <w:rPr>
          <w:bCs/>
          <w:szCs w:val="22"/>
          <w:lang w:val="lv-LV"/>
        </w:rPr>
        <w:t>000)</w:t>
      </w:r>
      <w:r w:rsidR="0011235E">
        <w:rPr>
          <w:bCs/>
          <w:szCs w:val="22"/>
          <w:lang w:val="lv-LV"/>
        </w:rPr>
        <w:t xml:space="preserve"> vai biežums nav zināms (nevar noteikt, pamatojoties uz pieejamiem datiem)</w:t>
      </w:r>
      <w:r w:rsidRPr="00B1121A">
        <w:rPr>
          <w:bCs/>
          <w:szCs w:val="22"/>
          <w:lang w:val="lv-LV"/>
        </w:rPr>
        <w:t xml:space="preserve">. Katrā biežuma grupā nevēlamās blakusparādības ir norādītas to </w:t>
      </w:r>
      <w:r w:rsidR="00DA5869" w:rsidRPr="00DA5869">
        <w:rPr>
          <w:bCs/>
          <w:szCs w:val="22"/>
          <w:lang w:val="lv-LV"/>
        </w:rPr>
        <w:t xml:space="preserve">nopietnības samazinājuma </w:t>
      </w:r>
      <w:r w:rsidRPr="00B1121A">
        <w:rPr>
          <w:bCs/>
          <w:szCs w:val="22"/>
          <w:lang w:val="lv-LV"/>
        </w:rPr>
        <w:t>secībā.</w:t>
      </w:r>
    </w:p>
    <w:p w14:paraId="7F83C668" w14:textId="3A688685" w:rsidR="00784D05" w:rsidRDefault="00784D05">
      <w:pPr>
        <w:rPr>
          <w:bCs/>
          <w:szCs w:val="22"/>
          <w:lang w:val="lv-LV"/>
        </w:rPr>
      </w:pPr>
    </w:p>
    <w:p w14:paraId="7D5F779E" w14:textId="77777777" w:rsidR="00784D05" w:rsidRPr="00707120" w:rsidRDefault="00784D05" w:rsidP="000E4AF1">
      <w:pPr>
        <w:keepNext/>
        <w:keepLines/>
        <w:rPr>
          <w:bCs/>
          <w:i/>
          <w:iCs/>
          <w:szCs w:val="22"/>
          <w:lang w:val="lv-LV"/>
        </w:rPr>
      </w:pPr>
      <w:r w:rsidRPr="00707120">
        <w:rPr>
          <w:bCs/>
          <w:i/>
          <w:iCs/>
          <w:szCs w:val="22"/>
          <w:lang w:val="lv-LV"/>
        </w:rPr>
        <w:t>Pacienti ar RA</w:t>
      </w:r>
    </w:p>
    <w:p w14:paraId="22696345" w14:textId="6D48CA55" w:rsidR="00784D05" w:rsidRDefault="001F1F19">
      <w:pPr>
        <w:keepNext/>
        <w:rPr>
          <w:szCs w:val="22"/>
          <w:lang w:val="lv-LV"/>
        </w:rPr>
        <w:pPrChange w:id="77" w:author="Author">
          <w:pPr/>
        </w:pPrChange>
      </w:pPr>
      <w:del w:id="78" w:author="Author">
        <w:r w:rsidDel="001E44D1">
          <w:rPr>
            <w:iCs/>
            <w:szCs w:val="22"/>
            <w:lang w:val="lv-LV"/>
          </w:rPr>
          <w:delText> </w:delText>
        </w:r>
      </w:del>
    </w:p>
    <w:p w14:paraId="401214CD" w14:textId="03E8FB31" w:rsidR="00784D05" w:rsidRDefault="00784D05" w:rsidP="007D6CFA">
      <w:pPr>
        <w:keepNext/>
        <w:keepLines/>
        <w:widowControl w:val="0"/>
        <w:suppressAutoHyphens w:val="0"/>
        <w:ind w:left="896" w:hanging="896"/>
        <w:rPr>
          <w:bCs/>
          <w:i/>
          <w:szCs w:val="22"/>
          <w:lang w:val="lv-LV"/>
        </w:rPr>
      </w:pPr>
      <w:r>
        <w:rPr>
          <w:rFonts w:eastAsia="PMingLiU"/>
          <w:bCs/>
          <w:i/>
          <w:szCs w:val="22"/>
          <w:lang w:val="lv-LV"/>
        </w:rPr>
        <w:t xml:space="preserve">1. tabula. </w:t>
      </w:r>
      <w:r w:rsidR="0011235E">
        <w:rPr>
          <w:rFonts w:eastAsia="PMingLiU"/>
          <w:bCs/>
          <w:i/>
          <w:szCs w:val="22"/>
          <w:lang w:val="lv-LV"/>
        </w:rPr>
        <w:t>Nevēlamo blakusparādību saraksts</w:t>
      </w:r>
      <w:r w:rsidR="009156C0">
        <w:rPr>
          <w:rFonts w:eastAsia="PMingLiU"/>
          <w:bCs/>
          <w:i/>
          <w:szCs w:val="22"/>
          <w:lang w:val="lv-LV"/>
        </w:rPr>
        <w:t xml:space="preserve"> </w:t>
      </w:r>
      <w:r>
        <w:rPr>
          <w:rFonts w:eastAsia="PMingLiU"/>
          <w:bCs/>
          <w:i/>
          <w:szCs w:val="22"/>
          <w:lang w:val="lv-LV"/>
        </w:rPr>
        <w:t>pacientiem ar RA, k</w:t>
      </w:r>
      <w:r w:rsidR="009156C0">
        <w:rPr>
          <w:rFonts w:eastAsia="PMingLiU"/>
          <w:bCs/>
          <w:i/>
          <w:szCs w:val="22"/>
          <w:lang w:val="lv-LV"/>
        </w:rPr>
        <w:t>uri</w:t>
      </w:r>
      <w:r>
        <w:rPr>
          <w:rFonts w:eastAsia="PMingLiU"/>
          <w:bCs/>
          <w:i/>
          <w:szCs w:val="22"/>
          <w:lang w:val="lv-LV"/>
        </w:rPr>
        <w:t xml:space="preserve"> dubultmaskētā kontroles perioda </w:t>
      </w:r>
      <w:r w:rsidR="000B5191" w:rsidRPr="00BF6F3F">
        <w:rPr>
          <w:rFonts w:eastAsia="PMingLiU"/>
          <w:bCs/>
          <w:i/>
          <w:szCs w:val="22"/>
          <w:lang w:val="lv-LV"/>
        </w:rPr>
        <w:t>vai pēcreģistrācijas perioda</w:t>
      </w:r>
      <w:r w:rsidR="000B5191">
        <w:rPr>
          <w:rFonts w:eastAsia="PMingLiU"/>
          <w:bCs/>
          <w:i/>
          <w:szCs w:val="22"/>
          <w:lang w:val="lv-LV"/>
        </w:rPr>
        <w:t xml:space="preserve"> </w:t>
      </w:r>
      <w:r>
        <w:rPr>
          <w:rFonts w:eastAsia="PMingLiU"/>
          <w:bCs/>
          <w:i/>
          <w:szCs w:val="22"/>
          <w:lang w:val="lv-LV"/>
        </w:rPr>
        <w:t xml:space="preserve">laikā saņēma </w:t>
      </w:r>
      <w:r>
        <w:rPr>
          <w:bCs/>
          <w:i/>
          <w:iCs/>
          <w:szCs w:val="22"/>
          <w:lang w:val="lv-LV"/>
        </w:rPr>
        <w:t>tocilizumabu monoterapijā vai kombinācijā ar MTX vai citiem DMARD</w:t>
      </w:r>
    </w:p>
    <w:p w14:paraId="7F711FCA" w14:textId="77777777" w:rsidR="0046093A" w:rsidRDefault="0046093A" w:rsidP="007D6CFA">
      <w:pPr>
        <w:keepNext/>
        <w:keepLines/>
        <w:widowControl w:val="0"/>
        <w:suppressAutoHyphens w:val="0"/>
        <w:ind w:left="896" w:hanging="896"/>
        <w:rPr>
          <w:bCs/>
          <w:i/>
          <w:szCs w:val="22"/>
          <w:lang w:val="lv-LV"/>
        </w:rPr>
      </w:pPr>
    </w:p>
    <w:tbl>
      <w:tblPr>
        <w:tblStyle w:val="TableGrid"/>
        <w:tblW w:w="9060" w:type="dxa"/>
        <w:tblLayout w:type="fixed"/>
        <w:tblLook w:val="04A0" w:firstRow="1" w:lastRow="0" w:firstColumn="1" w:lastColumn="0" w:noHBand="0" w:noVBand="1"/>
      </w:tblPr>
      <w:tblGrid>
        <w:gridCol w:w="1616"/>
        <w:gridCol w:w="1488"/>
        <w:gridCol w:w="1569"/>
        <w:gridCol w:w="1701"/>
        <w:gridCol w:w="1559"/>
        <w:gridCol w:w="1127"/>
      </w:tblGrid>
      <w:tr w:rsidR="0011235E" w:rsidRPr="00707120" w14:paraId="1182717C" w14:textId="1EA48176" w:rsidTr="0067693D">
        <w:trPr>
          <w:tblHeader/>
        </w:trPr>
        <w:tc>
          <w:tcPr>
            <w:tcW w:w="1616" w:type="dxa"/>
            <w:vMerge w:val="restart"/>
          </w:tcPr>
          <w:p w14:paraId="48491B53" w14:textId="4548AFED" w:rsidR="0011235E" w:rsidRPr="00B1121A" w:rsidRDefault="0011235E" w:rsidP="000D3469">
            <w:pPr>
              <w:jc w:val="center"/>
              <w:rPr>
                <w:rFonts w:eastAsia="PMingLiU"/>
                <w:b/>
                <w:bCs/>
              </w:rPr>
            </w:pPr>
            <w:bookmarkStart w:id="79" w:name="_Hlk87623357"/>
            <w:r w:rsidRPr="00707120">
              <w:rPr>
                <w:rFonts w:eastAsia="PMingLiU"/>
                <w:b/>
                <w:bCs/>
              </w:rPr>
              <w:t>MedDRA</w:t>
            </w:r>
            <w:r w:rsidRPr="00B1121A">
              <w:rPr>
                <w:rFonts w:eastAsia="PMingLiU"/>
                <w:b/>
                <w:bCs/>
              </w:rPr>
              <w:t xml:space="preserve"> </w:t>
            </w:r>
            <w:r w:rsidR="000D3469">
              <w:rPr>
                <w:rFonts w:eastAsia="PMingLiU"/>
                <w:b/>
                <w:bCs/>
              </w:rPr>
              <w:t>OSK</w:t>
            </w:r>
          </w:p>
        </w:tc>
        <w:tc>
          <w:tcPr>
            <w:tcW w:w="7444" w:type="dxa"/>
            <w:gridSpan w:val="5"/>
          </w:tcPr>
          <w:p w14:paraId="28075347" w14:textId="0498542C" w:rsidR="0011235E" w:rsidRPr="00846FA5" w:rsidRDefault="0011235E" w:rsidP="006952A3">
            <w:pPr>
              <w:jc w:val="center"/>
              <w:rPr>
                <w:rFonts w:eastAsia="PMingLiU"/>
                <w:lang w:val="pt-BR"/>
              </w:rPr>
            </w:pPr>
            <w:r w:rsidRPr="00846FA5">
              <w:rPr>
                <w:rFonts w:eastAsia="PMingLiU"/>
                <w:b/>
                <w:bCs/>
                <w:szCs w:val="22"/>
                <w:lang w:val="pt-BR"/>
              </w:rPr>
              <w:t>Sastopamības biežuma kategorijas ar ieteicamiem terminiem</w:t>
            </w:r>
          </w:p>
        </w:tc>
      </w:tr>
      <w:tr w:rsidR="0011235E" w14:paraId="26BC1621" w14:textId="3C12823E" w:rsidTr="00707120">
        <w:trPr>
          <w:tblHeader/>
        </w:trPr>
        <w:tc>
          <w:tcPr>
            <w:tcW w:w="1616" w:type="dxa"/>
            <w:vMerge/>
          </w:tcPr>
          <w:p w14:paraId="54486A34" w14:textId="77777777" w:rsidR="0011235E" w:rsidRPr="00846FA5" w:rsidRDefault="0011235E" w:rsidP="006952A3">
            <w:pPr>
              <w:rPr>
                <w:rFonts w:eastAsia="PMingLiU"/>
                <w:lang w:val="pt-BR"/>
              </w:rPr>
            </w:pPr>
          </w:p>
        </w:tc>
        <w:tc>
          <w:tcPr>
            <w:tcW w:w="1488" w:type="dxa"/>
          </w:tcPr>
          <w:p w14:paraId="791F23A8" w14:textId="77777777" w:rsidR="0011235E" w:rsidRPr="00B1121A" w:rsidRDefault="0011235E" w:rsidP="006952A3">
            <w:pPr>
              <w:widowControl w:val="0"/>
              <w:jc w:val="center"/>
              <w:rPr>
                <w:rFonts w:eastAsia="PMingLiU"/>
                <w:b/>
                <w:bCs/>
                <w:szCs w:val="22"/>
              </w:rPr>
            </w:pPr>
            <w:r>
              <w:rPr>
                <w:rFonts w:eastAsia="PMingLiU"/>
                <w:b/>
                <w:bCs/>
                <w:szCs w:val="22"/>
              </w:rPr>
              <w:t>Ļoti bieži</w:t>
            </w:r>
          </w:p>
        </w:tc>
        <w:tc>
          <w:tcPr>
            <w:tcW w:w="1569" w:type="dxa"/>
          </w:tcPr>
          <w:p w14:paraId="3AA7CAE9" w14:textId="77777777" w:rsidR="0011235E" w:rsidRPr="00B1121A" w:rsidRDefault="0011235E" w:rsidP="006952A3">
            <w:pPr>
              <w:widowControl w:val="0"/>
              <w:jc w:val="center"/>
              <w:rPr>
                <w:rFonts w:eastAsia="PMingLiU"/>
                <w:b/>
                <w:bCs/>
                <w:szCs w:val="22"/>
              </w:rPr>
            </w:pPr>
            <w:r>
              <w:rPr>
                <w:rFonts w:eastAsia="PMingLiU"/>
                <w:b/>
                <w:bCs/>
                <w:szCs w:val="22"/>
              </w:rPr>
              <w:t>Bieži</w:t>
            </w:r>
          </w:p>
        </w:tc>
        <w:tc>
          <w:tcPr>
            <w:tcW w:w="1701" w:type="dxa"/>
          </w:tcPr>
          <w:p w14:paraId="52200F41" w14:textId="77777777" w:rsidR="0011235E" w:rsidRPr="00B1121A" w:rsidRDefault="0011235E" w:rsidP="006952A3">
            <w:pPr>
              <w:widowControl w:val="0"/>
              <w:jc w:val="center"/>
              <w:rPr>
                <w:rFonts w:eastAsia="PMingLiU"/>
                <w:b/>
                <w:bCs/>
                <w:szCs w:val="22"/>
              </w:rPr>
            </w:pPr>
            <w:r>
              <w:rPr>
                <w:rFonts w:eastAsia="PMingLiU"/>
                <w:b/>
                <w:bCs/>
                <w:szCs w:val="22"/>
              </w:rPr>
              <w:t>Retāk</w:t>
            </w:r>
          </w:p>
        </w:tc>
        <w:tc>
          <w:tcPr>
            <w:tcW w:w="1559" w:type="dxa"/>
          </w:tcPr>
          <w:p w14:paraId="32F61CD0" w14:textId="77777777" w:rsidR="0011235E" w:rsidRDefault="0011235E" w:rsidP="006952A3">
            <w:pPr>
              <w:jc w:val="center"/>
              <w:rPr>
                <w:rFonts w:eastAsia="PMingLiU"/>
              </w:rPr>
            </w:pPr>
            <w:r>
              <w:rPr>
                <w:rFonts w:eastAsia="PMingLiU"/>
                <w:b/>
                <w:bCs/>
                <w:szCs w:val="22"/>
              </w:rPr>
              <w:t>Reti</w:t>
            </w:r>
          </w:p>
        </w:tc>
        <w:tc>
          <w:tcPr>
            <w:tcW w:w="1127" w:type="dxa"/>
          </w:tcPr>
          <w:p w14:paraId="2D1B47E3" w14:textId="64271CBF" w:rsidR="0011235E" w:rsidRDefault="0011235E" w:rsidP="006952A3">
            <w:pPr>
              <w:jc w:val="center"/>
              <w:rPr>
                <w:rFonts w:eastAsia="PMingLiU"/>
                <w:b/>
                <w:bCs/>
                <w:szCs w:val="22"/>
              </w:rPr>
            </w:pPr>
            <w:r>
              <w:rPr>
                <w:rFonts w:eastAsia="PMingLiU"/>
                <w:b/>
                <w:bCs/>
                <w:szCs w:val="22"/>
              </w:rPr>
              <w:t>Ļoti reti</w:t>
            </w:r>
          </w:p>
        </w:tc>
      </w:tr>
      <w:tr w:rsidR="0011235E" w14:paraId="195C32F5" w14:textId="0AA18E42" w:rsidTr="0011235E">
        <w:tc>
          <w:tcPr>
            <w:tcW w:w="1616" w:type="dxa"/>
          </w:tcPr>
          <w:p w14:paraId="18A9BD2B" w14:textId="77777777" w:rsidR="0011235E" w:rsidRDefault="0011235E" w:rsidP="006952A3">
            <w:pPr>
              <w:rPr>
                <w:rFonts w:eastAsia="PMingLiU"/>
              </w:rPr>
            </w:pPr>
            <w:r>
              <w:rPr>
                <w:szCs w:val="22"/>
              </w:rPr>
              <w:t>Infekcijas un infestācijas</w:t>
            </w:r>
          </w:p>
        </w:tc>
        <w:tc>
          <w:tcPr>
            <w:tcW w:w="1488" w:type="dxa"/>
          </w:tcPr>
          <w:p w14:paraId="42CAD18B" w14:textId="77777777" w:rsidR="0011235E" w:rsidRDefault="0011235E" w:rsidP="006952A3">
            <w:pPr>
              <w:widowControl w:val="0"/>
              <w:rPr>
                <w:rFonts w:eastAsia="PMingLiU"/>
                <w:b/>
                <w:bCs/>
                <w:szCs w:val="22"/>
              </w:rPr>
            </w:pPr>
            <w:r>
              <w:rPr>
                <w:rFonts w:eastAsia="PMingLiU"/>
                <w:szCs w:val="22"/>
              </w:rPr>
              <w:t>Augšējo elpceļu infekcijas</w:t>
            </w:r>
          </w:p>
        </w:tc>
        <w:tc>
          <w:tcPr>
            <w:tcW w:w="1569" w:type="dxa"/>
          </w:tcPr>
          <w:p w14:paraId="79D5A0CD" w14:textId="109201B9" w:rsidR="0011235E" w:rsidRPr="00707120" w:rsidRDefault="0011235E" w:rsidP="006952A3">
            <w:pPr>
              <w:widowControl w:val="0"/>
              <w:rPr>
                <w:rFonts w:eastAsia="PMingLiU"/>
                <w:b/>
                <w:bCs/>
                <w:szCs w:val="22"/>
                <w:lang w:val="es-ES"/>
              </w:rPr>
            </w:pPr>
            <w:r w:rsidRPr="00707120">
              <w:rPr>
                <w:szCs w:val="22"/>
                <w:lang w:val="es-ES"/>
              </w:rPr>
              <w:t xml:space="preserve">Celulīts, pneimonija, mutes dobuma </w:t>
            </w:r>
            <w:r w:rsidRPr="00707120">
              <w:rPr>
                <w:i/>
                <w:iCs/>
                <w:szCs w:val="22"/>
                <w:lang w:val="es-ES"/>
              </w:rPr>
              <w:t>herpes simplex</w:t>
            </w:r>
            <w:r w:rsidRPr="00707120">
              <w:rPr>
                <w:szCs w:val="22"/>
                <w:lang w:val="es-ES"/>
              </w:rPr>
              <w:t xml:space="preserve"> infekcija, </w:t>
            </w:r>
            <w:r w:rsidRPr="00707120">
              <w:rPr>
                <w:i/>
                <w:szCs w:val="22"/>
                <w:lang w:val="es-ES"/>
              </w:rPr>
              <w:t>herpes zoster</w:t>
            </w:r>
          </w:p>
        </w:tc>
        <w:tc>
          <w:tcPr>
            <w:tcW w:w="1701" w:type="dxa"/>
          </w:tcPr>
          <w:p w14:paraId="1386DA7A" w14:textId="77777777" w:rsidR="0011235E" w:rsidRDefault="0011235E" w:rsidP="006952A3">
            <w:pPr>
              <w:widowControl w:val="0"/>
              <w:rPr>
                <w:rFonts w:eastAsia="PMingLiU"/>
                <w:b/>
                <w:bCs/>
                <w:szCs w:val="22"/>
              </w:rPr>
            </w:pPr>
            <w:r>
              <w:rPr>
                <w:szCs w:val="22"/>
              </w:rPr>
              <w:t>Divertikulīts</w:t>
            </w:r>
          </w:p>
        </w:tc>
        <w:tc>
          <w:tcPr>
            <w:tcW w:w="1559" w:type="dxa"/>
          </w:tcPr>
          <w:p w14:paraId="3778337E" w14:textId="77777777" w:rsidR="0011235E" w:rsidRDefault="0011235E" w:rsidP="006952A3">
            <w:pPr>
              <w:rPr>
                <w:rFonts w:eastAsia="PMingLiU"/>
                <w:b/>
                <w:bCs/>
                <w:szCs w:val="22"/>
              </w:rPr>
            </w:pPr>
          </w:p>
        </w:tc>
        <w:tc>
          <w:tcPr>
            <w:tcW w:w="1127" w:type="dxa"/>
          </w:tcPr>
          <w:p w14:paraId="72DB35B1" w14:textId="77777777" w:rsidR="0011235E" w:rsidRDefault="0011235E" w:rsidP="006952A3">
            <w:pPr>
              <w:rPr>
                <w:rFonts w:eastAsia="PMingLiU"/>
                <w:b/>
                <w:bCs/>
                <w:szCs w:val="22"/>
              </w:rPr>
            </w:pPr>
          </w:p>
        </w:tc>
      </w:tr>
      <w:tr w:rsidR="0011235E" w14:paraId="28882BF1" w14:textId="5EA7BE96" w:rsidTr="0011235E">
        <w:tc>
          <w:tcPr>
            <w:tcW w:w="1616" w:type="dxa"/>
          </w:tcPr>
          <w:p w14:paraId="6DFEDF64" w14:textId="77777777" w:rsidR="0011235E" w:rsidRDefault="0011235E" w:rsidP="006952A3">
            <w:pPr>
              <w:rPr>
                <w:szCs w:val="22"/>
              </w:rPr>
            </w:pPr>
            <w:r>
              <w:rPr>
                <w:szCs w:val="22"/>
              </w:rPr>
              <w:t>Asins un limfātiskās sistēmas traucējumi</w:t>
            </w:r>
          </w:p>
        </w:tc>
        <w:tc>
          <w:tcPr>
            <w:tcW w:w="1488" w:type="dxa"/>
          </w:tcPr>
          <w:p w14:paraId="65CCE7A0" w14:textId="77777777" w:rsidR="0011235E" w:rsidRDefault="0011235E" w:rsidP="006952A3">
            <w:pPr>
              <w:widowControl w:val="0"/>
              <w:rPr>
                <w:rFonts w:eastAsia="PMingLiU"/>
                <w:szCs w:val="22"/>
              </w:rPr>
            </w:pPr>
          </w:p>
        </w:tc>
        <w:tc>
          <w:tcPr>
            <w:tcW w:w="1569" w:type="dxa"/>
          </w:tcPr>
          <w:p w14:paraId="012AA38A" w14:textId="4C58DBE4" w:rsidR="0011235E" w:rsidRDefault="0011235E" w:rsidP="006952A3">
            <w:pPr>
              <w:widowControl w:val="0"/>
              <w:rPr>
                <w:szCs w:val="22"/>
              </w:rPr>
            </w:pPr>
            <w:r>
              <w:rPr>
                <w:szCs w:val="22"/>
              </w:rPr>
              <w:t xml:space="preserve">Leikopēnija, neitropēnija, </w:t>
            </w:r>
            <w:r w:rsidRPr="00884F6C">
              <w:rPr>
                <w:szCs w:val="22"/>
              </w:rPr>
              <w:t>hipofibri</w:t>
            </w:r>
            <w:r>
              <w:rPr>
                <w:szCs w:val="22"/>
              </w:rPr>
              <w:t>no-ge</w:t>
            </w:r>
            <w:r w:rsidRPr="00884F6C">
              <w:rPr>
                <w:szCs w:val="22"/>
              </w:rPr>
              <w:t>nēmija</w:t>
            </w:r>
          </w:p>
        </w:tc>
        <w:tc>
          <w:tcPr>
            <w:tcW w:w="1701" w:type="dxa"/>
          </w:tcPr>
          <w:p w14:paraId="5BD08893" w14:textId="77777777" w:rsidR="0011235E" w:rsidRDefault="0011235E" w:rsidP="006952A3">
            <w:pPr>
              <w:widowControl w:val="0"/>
              <w:rPr>
                <w:szCs w:val="22"/>
              </w:rPr>
            </w:pPr>
          </w:p>
        </w:tc>
        <w:tc>
          <w:tcPr>
            <w:tcW w:w="1559" w:type="dxa"/>
          </w:tcPr>
          <w:p w14:paraId="6A145184" w14:textId="77777777" w:rsidR="0011235E" w:rsidRDefault="0011235E" w:rsidP="006952A3">
            <w:pPr>
              <w:rPr>
                <w:szCs w:val="22"/>
              </w:rPr>
            </w:pPr>
          </w:p>
        </w:tc>
        <w:tc>
          <w:tcPr>
            <w:tcW w:w="1127" w:type="dxa"/>
          </w:tcPr>
          <w:p w14:paraId="644760EC" w14:textId="77777777" w:rsidR="0011235E" w:rsidRDefault="0011235E" w:rsidP="006952A3">
            <w:pPr>
              <w:rPr>
                <w:szCs w:val="22"/>
              </w:rPr>
            </w:pPr>
          </w:p>
        </w:tc>
      </w:tr>
      <w:tr w:rsidR="0011235E" w14:paraId="27206628" w14:textId="215E352C" w:rsidTr="0011235E">
        <w:tc>
          <w:tcPr>
            <w:tcW w:w="1616" w:type="dxa"/>
          </w:tcPr>
          <w:p w14:paraId="0B0A811D" w14:textId="77777777" w:rsidR="0011235E" w:rsidRDefault="0011235E" w:rsidP="006952A3">
            <w:pPr>
              <w:rPr>
                <w:szCs w:val="22"/>
              </w:rPr>
            </w:pPr>
            <w:r>
              <w:rPr>
                <w:szCs w:val="22"/>
              </w:rPr>
              <w:t>Imūnās sistēmas traucējumi</w:t>
            </w:r>
          </w:p>
        </w:tc>
        <w:tc>
          <w:tcPr>
            <w:tcW w:w="1488" w:type="dxa"/>
          </w:tcPr>
          <w:p w14:paraId="2D07F0BB" w14:textId="77777777" w:rsidR="0011235E" w:rsidRDefault="0011235E" w:rsidP="006952A3">
            <w:pPr>
              <w:widowControl w:val="0"/>
              <w:rPr>
                <w:rFonts w:eastAsia="PMingLiU"/>
                <w:szCs w:val="22"/>
              </w:rPr>
            </w:pPr>
          </w:p>
        </w:tc>
        <w:tc>
          <w:tcPr>
            <w:tcW w:w="1569" w:type="dxa"/>
          </w:tcPr>
          <w:p w14:paraId="24AAFC71" w14:textId="77777777" w:rsidR="0011235E" w:rsidRDefault="0011235E" w:rsidP="006952A3">
            <w:pPr>
              <w:widowControl w:val="0"/>
              <w:rPr>
                <w:szCs w:val="22"/>
              </w:rPr>
            </w:pPr>
          </w:p>
        </w:tc>
        <w:tc>
          <w:tcPr>
            <w:tcW w:w="1701" w:type="dxa"/>
          </w:tcPr>
          <w:p w14:paraId="4EA351F8" w14:textId="77777777" w:rsidR="0011235E" w:rsidRDefault="0011235E" w:rsidP="006952A3">
            <w:pPr>
              <w:widowControl w:val="0"/>
              <w:rPr>
                <w:szCs w:val="22"/>
              </w:rPr>
            </w:pPr>
          </w:p>
        </w:tc>
        <w:tc>
          <w:tcPr>
            <w:tcW w:w="1559" w:type="dxa"/>
          </w:tcPr>
          <w:p w14:paraId="6A8C658B" w14:textId="77777777" w:rsidR="0011235E" w:rsidRDefault="0011235E" w:rsidP="006952A3">
            <w:pPr>
              <w:rPr>
                <w:szCs w:val="22"/>
              </w:rPr>
            </w:pPr>
            <w:r>
              <w:rPr>
                <w:szCs w:val="22"/>
              </w:rPr>
              <w:t>Anafilakse (letāla)</w:t>
            </w:r>
            <w:r w:rsidRPr="00AF2D5F">
              <w:rPr>
                <w:szCs w:val="22"/>
                <w:vertAlign w:val="superscript"/>
              </w:rPr>
              <w:t>1,2,3</w:t>
            </w:r>
          </w:p>
        </w:tc>
        <w:tc>
          <w:tcPr>
            <w:tcW w:w="1127" w:type="dxa"/>
          </w:tcPr>
          <w:p w14:paraId="362AA0FE" w14:textId="77777777" w:rsidR="0011235E" w:rsidRDefault="0011235E" w:rsidP="006952A3">
            <w:pPr>
              <w:rPr>
                <w:szCs w:val="22"/>
              </w:rPr>
            </w:pPr>
          </w:p>
        </w:tc>
      </w:tr>
      <w:tr w:rsidR="0011235E" w:rsidRPr="008F505F" w14:paraId="09C6EF98" w14:textId="1C6EF91B" w:rsidTr="0011235E">
        <w:tc>
          <w:tcPr>
            <w:tcW w:w="1616" w:type="dxa"/>
          </w:tcPr>
          <w:p w14:paraId="20FBCC26" w14:textId="77777777" w:rsidR="0011235E" w:rsidRPr="008F505F" w:rsidRDefault="0011235E" w:rsidP="006952A3">
            <w:pPr>
              <w:rPr>
                <w:szCs w:val="22"/>
              </w:rPr>
            </w:pPr>
            <w:r w:rsidRPr="008F505F">
              <w:rPr>
                <w:szCs w:val="22"/>
              </w:rPr>
              <w:t>Endokrīnās sistēmas traucējumi</w:t>
            </w:r>
          </w:p>
        </w:tc>
        <w:tc>
          <w:tcPr>
            <w:tcW w:w="1488" w:type="dxa"/>
          </w:tcPr>
          <w:p w14:paraId="76D38972" w14:textId="77777777" w:rsidR="0011235E" w:rsidRPr="008F505F" w:rsidRDefault="0011235E" w:rsidP="006952A3">
            <w:pPr>
              <w:rPr>
                <w:szCs w:val="22"/>
              </w:rPr>
            </w:pPr>
          </w:p>
        </w:tc>
        <w:tc>
          <w:tcPr>
            <w:tcW w:w="1569" w:type="dxa"/>
          </w:tcPr>
          <w:p w14:paraId="2C4CCABC" w14:textId="77777777" w:rsidR="0011235E" w:rsidRPr="008F505F" w:rsidRDefault="0011235E" w:rsidP="006952A3">
            <w:pPr>
              <w:rPr>
                <w:szCs w:val="22"/>
              </w:rPr>
            </w:pPr>
          </w:p>
        </w:tc>
        <w:tc>
          <w:tcPr>
            <w:tcW w:w="1701" w:type="dxa"/>
          </w:tcPr>
          <w:p w14:paraId="190A4C91" w14:textId="77777777" w:rsidR="0011235E" w:rsidRPr="008F505F" w:rsidRDefault="0011235E" w:rsidP="006952A3">
            <w:pPr>
              <w:rPr>
                <w:szCs w:val="22"/>
              </w:rPr>
            </w:pPr>
            <w:r w:rsidRPr="008F505F">
              <w:rPr>
                <w:szCs w:val="22"/>
                <w:lang w:val="en-GB"/>
              </w:rPr>
              <w:t>Hipotireoze</w:t>
            </w:r>
          </w:p>
        </w:tc>
        <w:tc>
          <w:tcPr>
            <w:tcW w:w="1559" w:type="dxa"/>
          </w:tcPr>
          <w:p w14:paraId="3B2807FB" w14:textId="77777777" w:rsidR="0011235E" w:rsidRPr="008F505F" w:rsidRDefault="0011235E" w:rsidP="006952A3">
            <w:pPr>
              <w:rPr>
                <w:szCs w:val="22"/>
              </w:rPr>
            </w:pPr>
          </w:p>
        </w:tc>
        <w:tc>
          <w:tcPr>
            <w:tcW w:w="1127" w:type="dxa"/>
          </w:tcPr>
          <w:p w14:paraId="68574990" w14:textId="77777777" w:rsidR="0011235E" w:rsidRPr="008F505F" w:rsidRDefault="0011235E" w:rsidP="006952A3">
            <w:pPr>
              <w:rPr>
                <w:szCs w:val="22"/>
              </w:rPr>
            </w:pPr>
          </w:p>
        </w:tc>
      </w:tr>
      <w:tr w:rsidR="0011235E" w14:paraId="611474D5" w14:textId="77AE0176" w:rsidTr="0011235E">
        <w:tc>
          <w:tcPr>
            <w:tcW w:w="1616" w:type="dxa"/>
          </w:tcPr>
          <w:p w14:paraId="2FE251AB" w14:textId="77777777" w:rsidR="0011235E" w:rsidRDefault="0011235E" w:rsidP="006952A3">
            <w:pPr>
              <w:rPr>
                <w:szCs w:val="22"/>
              </w:rPr>
            </w:pPr>
            <w:r>
              <w:rPr>
                <w:szCs w:val="22"/>
              </w:rPr>
              <w:t>Vielmaiņas un uztures traucējumi</w:t>
            </w:r>
          </w:p>
        </w:tc>
        <w:tc>
          <w:tcPr>
            <w:tcW w:w="1488" w:type="dxa"/>
          </w:tcPr>
          <w:p w14:paraId="1863D07C" w14:textId="77777777" w:rsidR="0011235E" w:rsidRDefault="0011235E" w:rsidP="006952A3">
            <w:pPr>
              <w:widowControl w:val="0"/>
              <w:rPr>
                <w:rFonts w:eastAsia="PMingLiU"/>
                <w:szCs w:val="22"/>
              </w:rPr>
            </w:pPr>
            <w:r>
              <w:rPr>
                <w:szCs w:val="22"/>
              </w:rPr>
              <w:t>Hiperholes-terinēmija*</w:t>
            </w:r>
          </w:p>
        </w:tc>
        <w:tc>
          <w:tcPr>
            <w:tcW w:w="1569" w:type="dxa"/>
          </w:tcPr>
          <w:p w14:paraId="4841E3D6" w14:textId="77777777" w:rsidR="0011235E" w:rsidRDefault="0011235E" w:rsidP="006952A3">
            <w:pPr>
              <w:widowControl w:val="0"/>
              <w:rPr>
                <w:szCs w:val="22"/>
              </w:rPr>
            </w:pPr>
          </w:p>
        </w:tc>
        <w:tc>
          <w:tcPr>
            <w:tcW w:w="1701" w:type="dxa"/>
          </w:tcPr>
          <w:p w14:paraId="22CE6AD3" w14:textId="77777777" w:rsidR="0011235E" w:rsidRDefault="0011235E" w:rsidP="006952A3">
            <w:pPr>
              <w:widowControl w:val="0"/>
              <w:rPr>
                <w:szCs w:val="22"/>
              </w:rPr>
            </w:pPr>
            <w:r>
              <w:rPr>
                <w:szCs w:val="22"/>
              </w:rPr>
              <w:t>Hipertriglice-ridēmija</w:t>
            </w:r>
          </w:p>
        </w:tc>
        <w:tc>
          <w:tcPr>
            <w:tcW w:w="1559" w:type="dxa"/>
          </w:tcPr>
          <w:p w14:paraId="63E4F193" w14:textId="77777777" w:rsidR="0011235E" w:rsidRDefault="0011235E" w:rsidP="006952A3">
            <w:pPr>
              <w:rPr>
                <w:szCs w:val="22"/>
              </w:rPr>
            </w:pPr>
          </w:p>
        </w:tc>
        <w:tc>
          <w:tcPr>
            <w:tcW w:w="1127" w:type="dxa"/>
          </w:tcPr>
          <w:p w14:paraId="697AF823" w14:textId="77777777" w:rsidR="0011235E" w:rsidRDefault="0011235E" w:rsidP="006952A3">
            <w:pPr>
              <w:rPr>
                <w:szCs w:val="22"/>
              </w:rPr>
            </w:pPr>
          </w:p>
        </w:tc>
      </w:tr>
      <w:tr w:rsidR="0011235E" w:rsidRPr="008F505F" w14:paraId="412EB231" w14:textId="2D8E42B0" w:rsidTr="0011235E">
        <w:tc>
          <w:tcPr>
            <w:tcW w:w="1616" w:type="dxa"/>
          </w:tcPr>
          <w:p w14:paraId="68D306D0" w14:textId="77777777" w:rsidR="0011235E" w:rsidRPr="008F505F" w:rsidRDefault="0011235E" w:rsidP="006952A3">
            <w:pPr>
              <w:rPr>
                <w:szCs w:val="22"/>
              </w:rPr>
            </w:pPr>
            <w:r w:rsidRPr="008F505F">
              <w:rPr>
                <w:szCs w:val="22"/>
              </w:rPr>
              <w:t>Nervu sistēmas traucējumi</w:t>
            </w:r>
          </w:p>
        </w:tc>
        <w:tc>
          <w:tcPr>
            <w:tcW w:w="1488" w:type="dxa"/>
          </w:tcPr>
          <w:p w14:paraId="02B947F0" w14:textId="77777777" w:rsidR="0011235E" w:rsidRPr="008F505F" w:rsidRDefault="0011235E" w:rsidP="006952A3">
            <w:pPr>
              <w:rPr>
                <w:szCs w:val="22"/>
              </w:rPr>
            </w:pPr>
          </w:p>
        </w:tc>
        <w:tc>
          <w:tcPr>
            <w:tcW w:w="1569" w:type="dxa"/>
          </w:tcPr>
          <w:p w14:paraId="190964A8" w14:textId="77777777" w:rsidR="0011235E" w:rsidRPr="008F505F" w:rsidRDefault="0011235E" w:rsidP="006952A3">
            <w:pPr>
              <w:rPr>
                <w:szCs w:val="22"/>
              </w:rPr>
            </w:pPr>
            <w:r w:rsidRPr="008F505F">
              <w:rPr>
                <w:szCs w:val="22"/>
              </w:rPr>
              <w:t>Galvassāpes, reibonis</w:t>
            </w:r>
          </w:p>
        </w:tc>
        <w:tc>
          <w:tcPr>
            <w:tcW w:w="1701" w:type="dxa"/>
          </w:tcPr>
          <w:p w14:paraId="186749CB" w14:textId="77777777" w:rsidR="0011235E" w:rsidRPr="008F505F" w:rsidRDefault="0011235E" w:rsidP="006952A3">
            <w:pPr>
              <w:rPr>
                <w:szCs w:val="22"/>
              </w:rPr>
            </w:pPr>
          </w:p>
        </w:tc>
        <w:tc>
          <w:tcPr>
            <w:tcW w:w="1559" w:type="dxa"/>
          </w:tcPr>
          <w:p w14:paraId="4D86A32C" w14:textId="77777777" w:rsidR="0011235E" w:rsidRPr="008F505F" w:rsidRDefault="0011235E" w:rsidP="006952A3">
            <w:pPr>
              <w:rPr>
                <w:szCs w:val="22"/>
              </w:rPr>
            </w:pPr>
          </w:p>
        </w:tc>
        <w:tc>
          <w:tcPr>
            <w:tcW w:w="1127" w:type="dxa"/>
          </w:tcPr>
          <w:p w14:paraId="45A129F6" w14:textId="77777777" w:rsidR="0011235E" w:rsidRPr="008F505F" w:rsidRDefault="0011235E" w:rsidP="006952A3">
            <w:pPr>
              <w:rPr>
                <w:szCs w:val="22"/>
              </w:rPr>
            </w:pPr>
          </w:p>
        </w:tc>
      </w:tr>
      <w:tr w:rsidR="0011235E" w14:paraId="15825175" w14:textId="52D39BE8" w:rsidTr="0011235E">
        <w:tc>
          <w:tcPr>
            <w:tcW w:w="1616" w:type="dxa"/>
          </w:tcPr>
          <w:p w14:paraId="74049319" w14:textId="77777777" w:rsidR="0011235E" w:rsidRDefault="0011235E" w:rsidP="006952A3">
            <w:pPr>
              <w:rPr>
                <w:szCs w:val="22"/>
              </w:rPr>
            </w:pPr>
            <w:r>
              <w:rPr>
                <w:szCs w:val="22"/>
              </w:rPr>
              <w:t>Acu bojājumi</w:t>
            </w:r>
          </w:p>
        </w:tc>
        <w:tc>
          <w:tcPr>
            <w:tcW w:w="1488" w:type="dxa"/>
          </w:tcPr>
          <w:p w14:paraId="6E8C2DD9" w14:textId="77777777" w:rsidR="0011235E" w:rsidRDefault="0011235E" w:rsidP="006952A3">
            <w:pPr>
              <w:widowControl w:val="0"/>
              <w:rPr>
                <w:szCs w:val="22"/>
              </w:rPr>
            </w:pPr>
          </w:p>
        </w:tc>
        <w:tc>
          <w:tcPr>
            <w:tcW w:w="1569" w:type="dxa"/>
          </w:tcPr>
          <w:p w14:paraId="12C7E322" w14:textId="77777777" w:rsidR="0011235E" w:rsidRDefault="0011235E" w:rsidP="006952A3">
            <w:pPr>
              <w:widowControl w:val="0"/>
              <w:rPr>
                <w:szCs w:val="22"/>
              </w:rPr>
            </w:pPr>
            <w:r>
              <w:rPr>
                <w:szCs w:val="22"/>
              </w:rPr>
              <w:t>Konjunktivīts</w:t>
            </w:r>
          </w:p>
        </w:tc>
        <w:tc>
          <w:tcPr>
            <w:tcW w:w="1701" w:type="dxa"/>
          </w:tcPr>
          <w:p w14:paraId="1961483A" w14:textId="77777777" w:rsidR="0011235E" w:rsidRDefault="0011235E" w:rsidP="006952A3">
            <w:pPr>
              <w:widowControl w:val="0"/>
              <w:rPr>
                <w:szCs w:val="22"/>
              </w:rPr>
            </w:pPr>
          </w:p>
        </w:tc>
        <w:tc>
          <w:tcPr>
            <w:tcW w:w="1559" w:type="dxa"/>
          </w:tcPr>
          <w:p w14:paraId="441C8760" w14:textId="77777777" w:rsidR="0011235E" w:rsidRDefault="0011235E" w:rsidP="006952A3">
            <w:pPr>
              <w:rPr>
                <w:szCs w:val="22"/>
              </w:rPr>
            </w:pPr>
          </w:p>
        </w:tc>
        <w:tc>
          <w:tcPr>
            <w:tcW w:w="1127" w:type="dxa"/>
          </w:tcPr>
          <w:p w14:paraId="1B10EF72" w14:textId="77777777" w:rsidR="0011235E" w:rsidRDefault="0011235E" w:rsidP="006952A3">
            <w:pPr>
              <w:rPr>
                <w:szCs w:val="22"/>
              </w:rPr>
            </w:pPr>
          </w:p>
        </w:tc>
      </w:tr>
      <w:tr w:rsidR="0011235E" w:rsidRPr="008F505F" w14:paraId="12FA2121" w14:textId="73BEABEC" w:rsidTr="0011235E">
        <w:tc>
          <w:tcPr>
            <w:tcW w:w="1616" w:type="dxa"/>
          </w:tcPr>
          <w:p w14:paraId="437BB857" w14:textId="77777777" w:rsidR="0011235E" w:rsidRPr="008F505F" w:rsidRDefault="0011235E" w:rsidP="006952A3">
            <w:pPr>
              <w:rPr>
                <w:szCs w:val="22"/>
              </w:rPr>
            </w:pPr>
            <w:r w:rsidRPr="008F505F">
              <w:rPr>
                <w:szCs w:val="22"/>
              </w:rPr>
              <w:t>Asinsvadu sistēmas traucējumi</w:t>
            </w:r>
          </w:p>
        </w:tc>
        <w:tc>
          <w:tcPr>
            <w:tcW w:w="1488" w:type="dxa"/>
          </w:tcPr>
          <w:p w14:paraId="7C5BBC57" w14:textId="77777777" w:rsidR="0011235E" w:rsidRPr="008F505F" w:rsidRDefault="0011235E" w:rsidP="006952A3">
            <w:pPr>
              <w:rPr>
                <w:szCs w:val="22"/>
              </w:rPr>
            </w:pPr>
          </w:p>
        </w:tc>
        <w:tc>
          <w:tcPr>
            <w:tcW w:w="1569" w:type="dxa"/>
          </w:tcPr>
          <w:p w14:paraId="66555488" w14:textId="77777777" w:rsidR="0011235E" w:rsidRPr="008F505F" w:rsidRDefault="0011235E" w:rsidP="006952A3">
            <w:pPr>
              <w:rPr>
                <w:szCs w:val="22"/>
              </w:rPr>
            </w:pPr>
            <w:r w:rsidRPr="008F505F">
              <w:rPr>
                <w:szCs w:val="22"/>
              </w:rPr>
              <w:t>Hipertensija</w:t>
            </w:r>
          </w:p>
        </w:tc>
        <w:tc>
          <w:tcPr>
            <w:tcW w:w="1701" w:type="dxa"/>
          </w:tcPr>
          <w:p w14:paraId="7298DA37" w14:textId="77777777" w:rsidR="0011235E" w:rsidRPr="008F505F" w:rsidRDefault="0011235E" w:rsidP="006952A3">
            <w:pPr>
              <w:rPr>
                <w:szCs w:val="22"/>
              </w:rPr>
            </w:pPr>
          </w:p>
        </w:tc>
        <w:tc>
          <w:tcPr>
            <w:tcW w:w="1559" w:type="dxa"/>
          </w:tcPr>
          <w:p w14:paraId="6CF87700" w14:textId="77777777" w:rsidR="0011235E" w:rsidRPr="008F505F" w:rsidRDefault="0011235E" w:rsidP="006952A3">
            <w:pPr>
              <w:rPr>
                <w:szCs w:val="22"/>
              </w:rPr>
            </w:pPr>
          </w:p>
        </w:tc>
        <w:tc>
          <w:tcPr>
            <w:tcW w:w="1127" w:type="dxa"/>
          </w:tcPr>
          <w:p w14:paraId="74D66FD2" w14:textId="77777777" w:rsidR="0011235E" w:rsidRPr="008F505F" w:rsidRDefault="0011235E" w:rsidP="006952A3">
            <w:pPr>
              <w:rPr>
                <w:szCs w:val="22"/>
              </w:rPr>
            </w:pPr>
          </w:p>
        </w:tc>
      </w:tr>
      <w:tr w:rsidR="0011235E" w14:paraId="00921D7C" w14:textId="618CCB7D" w:rsidTr="0011235E">
        <w:tc>
          <w:tcPr>
            <w:tcW w:w="1616" w:type="dxa"/>
          </w:tcPr>
          <w:p w14:paraId="20D5B8A5" w14:textId="77777777" w:rsidR="0011235E" w:rsidRPr="00707120" w:rsidRDefault="0011235E" w:rsidP="006952A3">
            <w:pPr>
              <w:rPr>
                <w:szCs w:val="22"/>
                <w:lang w:val="es-ES"/>
              </w:rPr>
            </w:pPr>
            <w:r w:rsidRPr="00707120">
              <w:rPr>
                <w:szCs w:val="22"/>
                <w:lang w:val="es-ES"/>
              </w:rPr>
              <w:t>Elpošanas sistēmas traucējumi, krūšu kurvja un videnes slimības</w:t>
            </w:r>
          </w:p>
        </w:tc>
        <w:tc>
          <w:tcPr>
            <w:tcW w:w="1488" w:type="dxa"/>
          </w:tcPr>
          <w:p w14:paraId="42195A9F" w14:textId="77777777" w:rsidR="0011235E" w:rsidRPr="00707120" w:rsidRDefault="0011235E" w:rsidP="006952A3">
            <w:pPr>
              <w:widowControl w:val="0"/>
              <w:rPr>
                <w:szCs w:val="22"/>
                <w:lang w:val="es-ES"/>
              </w:rPr>
            </w:pPr>
          </w:p>
        </w:tc>
        <w:tc>
          <w:tcPr>
            <w:tcW w:w="1569" w:type="dxa"/>
          </w:tcPr>
          <w:p w14:paraId="61B666F1" w14:textId="77777777" w:rsidR="0011235E" w:rsidRDefault="0011235E" w:rsidP="006952A3">
            <w:pPr>
              <w:widowControl w:val="0"/>
              <w:rPr>
                <w:szCs w:val="22"/>
              </w:rPr>
            </w:pPr>
            <w:r>
              <w:rPr>
                <w:szCs w:val="22"/>
              </w:rPr>
              <w:t>Klepus, aizdusa</w:t>
            </w:r>
          </w:p>
        </w:tc>
        <w:tc>
          <w:tcPr>
            <w:tcW w:w="1701" w:type="dxa"/>
          </w:tcPr>
          <w:p w14:paraId="2D981BF2" w14:textId="77777777" w:rsidR="0011235E" w:rsidRDefault="0011235E" w:rsidP="006952A3">
            <w:pPr>
              <w:widowControl w:val="0"/>
              <w:rPr>
                <w:szCs w:val="22"/>
              </w:rPr>
            </w:pPr>
          </w:p>
        </w:tc>
        <w:tc>
          <w:tcPr>
            <w:tcW w:w="1559" w:type="dxa"/>
          </w:tcPr>
          <w:p w14:paraId="3F74D813" w14:textId="77777777" w:rsidR="0011235E" w:rsidRDefault="0011235E" w:rsidP="006952A3">
            <w:pPr>
              <w:rPr>
                <w:szCs w:val="22"/>
              </w:rPr>
            </w:pPr>
          </w:p>
        </w:tc>
        <w:tc>
          <w:tcPr>
            <w:tcW w:w="1127" w:type="dxa"/>
          </w:tcPr>
          <w:p w14:paraId="71677284" w14:textId="77777777" w:rsidR="0011235E" w:rsidRDefault="0011235E" w:rsidP="006952A3">
            <w:pPr>
              <w:rPr>
                <w:szCs w:val="22"/>
              </w:rPr>
            </w:pPr>
          </w:p>
        </w:tc>
      </w:tr>
      <w:tr w:rsidR="0011235E" w:rsidRPr="008F505F" w14:paraId="09CA4569" w14:textId="28A138AD" w:rsidTr="0011235E">
        <w:tc>
          <w:tcPr>
            <w:tcW w:w="1616" w:type="dxa"/>
          </w:tcPr>
          <w:p w14:paraId="0081C397" w14:textId="07F890D3" w:rsidR="0011235E" w:rsidRPr="00707120" w:rsidRDefault="0011235E" w:rsidP="00BD246C">
            <w:pPr>
              <w:rPr>
                <w:szCs w:val="22"/>
                <w:lang w:val="es-ES"/>
              </w:rPr>
            </w:pPr>
            <w:r w:rsidRPr="00707120">
              <w:rPr>
                <w:szCs w:val="22"/>
                <w:lang w:val="es-ES"/>
              </w:rPr>
              <w:t>Kuņģa</w:t>
            </w:r>
            <w:r w:rsidR="00BD246C" w:rsidRPr="00707120">
              <w:rPr>
                <w:szCs w:val="22"/>
                <w:lang w:val="es-ES"/>
              </w:rPr>
              <w:t xml:space="preserve"> un </w:t>
            </w:r>
            <w:r w:rsidRPr="00707120">
              <w:rPr>
                <w:szCs w:val="22"/>
                <w:lang w:val="es-ES"/>
              </w:rPr>
              <w:t>zarnu trakta traucējumi</w:t>
            </w:r>
          </w:p>
        </w:tc>
        <w:tc>
          <w:tcPr>
            <w:tcW w:w="1488" w:type="dxa"/>
          </w:tcPr>
          <w:p w14:paraId="0D392B69" w14:textId="77777777" w:rsidR="0011235E" w:rsidRPr="00707120" w:rsidRDefault="0011235E" w:rsidP="006952A3">
            <w:pPr>
              <w:rPr>
                <w:szCs w:val="22"/>
                <w:lang w:val="es-ES"/>
              </w:rPr>
            </w:pPr>
          </w:p>
        </w:tc>
        <w:tc>
          <w:tcPr>
            <w:tcW w:w="1569" w:type="dxa"/>
          </w:tcPr>
          <w:p w14:paraId="654318EB" w14:textId="77777777" w:rsidR="0011235E" w:rsidRPr="00707120" w:rsidRDefault="0011235E" w:rsidP="006952A3">
            <w:pPr>
              <w:rPr>
                <w:szCs w:val="22"/>
                <w:lang w:val="es-ES"/>
              </w:rPr>
            </w:pPr>
            <w:r w:rsidRPr="00707120">
              <w:rPr>
                <w:szCs w:val="22"/>
                <w:lang w:val="es-ES"/>
              </w:rPr>
              <w:t>Sāpes vēderā, čūlas mutes dobumā, gastrīts</w:t>
            </w:r>
          </w:p>
        </w:tc>
        <w:tc>
          <w:tcPr>
            <w:tcW w:w="1701" w:type="dxa"/>
          </w:tcPr>
          <w:p w14:paraId="5A1FE2A8" w14:textId="77777777" w:rsidR="0011235E" w:rsidRPr="008F505F" w:rsidRDefault="0011235E" w:rsidP="006952A3">
            <w:pPr>
              <w:rPr>
                <w:szCs w:val="22"/>
              </w:rPr>
            </w:pPr>
            <w:r w:rsidRPr="008F505F">
              <w:rPr>
                <w:szCs w:val="22"/>
              </w:rPr>
              <w:t>Stomatīts, kuņģa čūla</w:t>
            </w:r>
          </w:p>
        </w:tc>
        <w:tc>
          <w:tcPr>
            <w:tcW w:w="1559" w:type="dxa"/>
          </w:tcPr>
          <w:p w14:paraId="14472E5C" w14:textId="77777777" w:rsidR="0011235E" w:rsidRPr="008F505F" w:rsidRDefault="0011235E" w:rsidP="006952A3">
            <w:pPr>
              <w:rPr>
                <w:b/>
                <w:bCs/>
                <w:szCs w:val="22"/>
              </w:rPr>
            </w:pPr>
          </w:p>
        </w:tc>
        <w:tc>
          <w:tcPr>
            <w:tcW w:w="1127" w:type="dxa"/>
          </w:tcPr>
          <w:p w14:paraId="4C080F1A" w14:textId="77777777" w:rsidR="0011235E" w:rsidRPr="008F505F" w:rsidRDefault="0011235E" w:rsidP="006952A3">
            <w:pPr>
              <w:rPr>
                <w:b/>
                <w:bCs/>
                <w:szCs w:val="22"/>
              </w:rPr>
            </w:pPr>
          </w:p>
        </w:tc>
      </w:tr>
      <w:tr w:rsidR="0011235E" w:rsidRPr="008F505F" w14:paraId="425B2C48" w14:textId="6C383282" w:rsidTr="0011235E">
        <w:tc>
          <w:tcPr>
            <w:tcW w:w="1616" w:type="dxa"/>
          </w:tcPr>
          <w:p w14:paraId="2FD57349" w14:textId="65D89DB5" w:rsidR="0011235E" w:rsidRPr="00707120" w:rsidRDefault="0011235E" w:rsidP="007F450A">
            <w:pPr>
              <w:rPr>
                <w:szCs w:val="22"/>
                <w:lang w:val="es-ES"/>
              </w:rPr>
            </w:pPr>
            <w:r w:rsidRPr="00707120">
              <w:rPr>
                <w:szCs w:val="22"/>
                <w:lang w:val="es-ES"/>
              </w:rPr>
              <w:t>Aknu un žults izvades sistēmas traucējumi</w:t>
            </w:r>
          </w:p>
        </w:tc>
        <w:tc>
          <w:tcPr>
            <w:tcW w:w="1488" w:type="dxa"/>
          </w:tcPr>
          <w:p w14:paraId="2AB47C75" w14:textId="77777777" w:rsidR="0011235E" w:rsidRPr="00707120" w:rsidRDefault="0011235E" w:rsidP="006952A3">
            <w:pPr>
              <w:rPr>
                <w:szCs w:val="22"/>
                <w:lang w:val="es-ES"/>
              </w:rPr>
            </w:pPr>
          </w:p>
        </w:tc>
        <w:tc>
          <w:tcPr>
            <w:tcW w:w="1569" w:type="dxa"/>
          </w:tcPr>
          <w:p w14:paraId="69174C2C" w14:textId="77777777" w:rsidR="0011235E" w:rsidRPr="00707120" w:rsidRDefault="0011235E" w:rsidP="006952A3">
            <w:pPr>
              <w:rPr>
                <w:szCs w:val="22"/>
                <w:lang w:val="es-ES"/>
              </w:rPr>
            </w:pPr>
          </w:p>
        </w:tc>
        <w:tc>
          <w:tcPr>
            <w:tcW w:w="1701" w:type="dxa"/>
          </w:tcPr>
          <w:p w14:paraId="3DD2329D" w14:textId="77777777" w:rsidR="0011235E" w:rsidRPr="00707120" w:rsidRDefault="0011235E" w:rsidP="006952A3">
            <w:pPr>
              <w:rPr>
                <w:szCs w:val="22"/>
                <w:lang w:val="es-ES"/>
              </w:rPr>
            </w:pPr>
          </w:p>
        </w:tc>
        <w:tc>
          <w:tcPr>
            <w:tcW w:w="1559" w:type="dxa"/>
          </w:tcPr>
          <w:p w14:paraId="647046DB" w14:textId="54FA4FF1" w:rsidR="0011235E" w:rsidRPr="00707120" w:rsidRDefault="0011235E" w:rsidP="0011235E">
            <w:pPr>
              <w:rPr>
                <w:szCs w:val="22"/>
                <w:lang w:val="es-ES"/>
              </w:rPr>
            </w:pPr>
            <w:r w:rsidRPr="00707120">
              <w:rPr>
                <w:szCs w:val="22"/>
                <w:lang w:val="es-ES"/>
              </w:rPr>
              <w:t>Zāļu izraisīts aknu bojājums, hepatīts, dzelte</w:t>
            </w:r>
          </w:p>
        </w:tc>
        <w:tc>
          <w:tcPr>
            <w:tcW w:w="1127" w:type="dxa"/>
          </w:tcPr>
          <w:p w14:paraId="42F68BCE" w14:textId="35D385EC" w:rsidR="0011235E" w:rsidRDefault="0011235E" w:rsidP="006952A3">
            <w:pPr>
              <w:rPr>
                <w:szCs w:val="22"/>
              </w:rPr>
            </w:pPr>
            <w:r>
              <w:rPr>
                <w:szCs w:val="22"/>
              </w:rPr>
              <w:t>Aknu mazspēja</w:t>
            </w:r>
          </w:p>
        </w:tc>
      </w:tr>
      <w:tr w:rsidR="0011235E" w:rsidRPr="008F505F" w14:paraId="4DC68A21" w14:textId="075E2AF1" w:rsidTr="0011235E">
        <w:tc>
          <w:tcPr>
            <w:tcW w:w="1616" w:type="dxa"/>
          </w:tcPr>
          <w:p w14:paraId="3EBE8F23" w14:textId="77777777" w:rsidR="0011235E" w:rsidRPr="00707120" w:rsidRDefault="0011235E" w:rsidP="006952A3">
            <w:pPr>
              <w:rPr>
                <w:szCs w:val="22"/>
                <w:lang w:val="es-ES"/>
              </w:rPr>
            </w:pPr>
            <w:r w:rsidRPr="00707120">
              <w:rPr>
                <w:szCs w:val="22"/>
                <w:lang w:val="es-ES"/>
              </w:rPr>
              <w:t>Ādas un zemādas audu bojājumi</w:t>
            </w:r>
          </w:p>
        </w:tc>
        <w:tc>
          <w:tcPr>
            <w:tcW w:w="1488" w:type="dxa"/>
          </w:tcPr>
          <w:p w14:paraId="2F860869" w14:textId="77777777" w:rsidR="0011235E" w:rsidRPr="00707120" w:rsidRDefault="0011235E" w:rsidP="006952A3">
            <w:pPr>
              <w:rPr>
                <w:szCs w:val="22"/>
                <w:lang w:val="es-ES"/>
              </w:rPr>
            </w:pPr>
          </w:p>
        </w:tc>
        <w:tc>
          <w:tcPr>
            <w:tcW w:w="1569" w:type="dxa"/>
          </w:tcPr>
          <w:p w14:paraId="43FD5DB1" w14:textId="77777777" w:rsidR="0011235E" w:rsidRPr="008F505F" w:rsidRDefault="0011235E" w:rsidP="006952A3">
            <w:pPr>
              <w:rPr>
                <w:szCs w:val="22"/>
              </w:rPr>
            </w:pPr>
            <w:r w:rsidRPr="008F505F">
              <w:rPr>
                <w:szCs w:val="22"/>
              </w:rPr>
              <w:t>Izsitumi, nieze, nātrene</w:t>
            </w:r>
          </w:p>
        </w:tc>
        <w:tc>
          <w:tcPr>
            <w:tcW w:w="1701" w:type="dxa"/>
          </w:tcPr>
          <w:p w14:paraId="6A0015F5" w14:textId="77777777" w:rsidR="0011235E" w:rsidRPr="008F505F" w:rsidRDefault="0011235E" w:rsidP="006952A3">
            <w:pPr>
              <w:rPr>
                <w:szCs w:val="22"/>
              </w:rPr>
            </w:pPr>
          </w:p>
        </w:tc>
        <w:tc>
          <w:tcPr>
            <w:tcW w:w="1559" w:type="dxa"/>
          </w:tcPr>
          <w:p w14:paraId="20573CDC" w14:textId="78B5D592" w:rsidR="0011235E" w:rsidRPr="008F505F" w:rsidRDefault="0011235E" w:rsidP="006952A3">
            <w:pPr>
              <w:rPr>
                <w:b/>
                <w:bCs/>
                <w:szCs w:val="22"/>
              </w:rPr>
            </w:pPr>
            <w:r w:rsidRPr="008F505F">
              <w:rPr>
                <w:szCs w:val="22"/>
              </w:rPr>
              <w:t>Stīven</w:t>
            </w:r>
            <w:r>
              <w:rPr>
                <w:szCs w:val="22"/>
              </w:rPr>
              <w:t>s</w:t>
            </w:r>
            <w:r w:rsidRPr="008F505F">
              <w:rPr>
                <w:szCs w:val="22"/>
              </w:rPr>
              <w:t>a-Džonsona</w:t>
            </w:r>
            <w:r>
              <w:rPr>
                <w:szCs w:val="22"/>
              </w:rPr>
              <w:t xml:space="preserve"> </w:t>
            </w:r>
            <w:r w:rsidRPr="008F505F">
              <w:rPr>
                <w:szCs w:val="22"/>
              </w:rPr>
              <w:t>sindroms</w:t>
            </w:r>
            <w:r w:rsidRPr="008F505F">
              <w:rPr>
                <w:szCs w:val="22"/>
                <w:vertAlign w:val="superscript"/>
              </w:rPr>
              <w:t>3</w:t>
            </w:r>
          </w:p>
        </w:tc>
        <w:tc>
          <w:tcPr>
            <w:tcW w:w="1127" w:type="dxa"/>
          </w:tcPr>
          <w:p w14:paraId="42A20F81" w14:textId="77777777" w:rsidR="0011235E" w:rsidRPr="008F505F" w:rsidRDefault="0011235E" w:rsidP="006952A3">
            <w:pPr>
              <w:rPr>
                <w:szCs w:val="22"/>
              </w:rPr>
            </w:pPr>
          </w:p>
        </w:tc>
      </w:tr>
      <w:tr w:rsidR="0011235E" w14:paraId="077937D3" w14:textId="5E39AB4B" w:rsidTr="0011235E">
        <w:tc>
          <w:tcPr>
            <w:tcW w:w="1616" w:type="dxa"/>
          </w:tcPr>
          <w:p w14:paraId="54ADF565" w14:textId="77777777" w:rsidR="0011235E" w:rsidRPr="00707120" w:rsidRDefault="0011235E" w:rsidP="006952A3">
            <w:pPr>
              <w:rPr>
                <w:szCs w:val="22"/>
                <w:lang w:val="es-ES"/>
              </w:rPr>
            </w:pPr>
            <w:r w:rsidRPr="00707120">
              <w:rPr>
                <w:szCs w:val="22"/>
                <w:lang w:val="es-ES"/>
              </w:rPr>
              <w:t>Nieru un urīnizvades sistēmas traucējumi</w:t>
            </w:r>
          </w:p>
        </w:tc>
        <w:tc>
          <w:tcPr>
            <w:tcW w:w="1488" w:type="dxa"/>
          </w:tcPr>
          <w:p w14:paraId="30AC02A0" w14:textId="77777777" w:rsidR="0011235E" w:rsidRPr="00707120" w:rsidRDefault="0011235E" w:rsidP="006952A3">
            <w:pPr>
              <w:widowControl w:val="0"/>
              <w:rPr>
                <w:szCs w:val="22"/>
                <w:lang w:val="es-ES"/>
              </w:rPr>
            </w:pPr>
          </w:p>
        </w:tc>
        <w:tc>
          <w:tcPr>
            <w:tcW w:w="1569" w:type="dxa"/>
          </w:tcPr>
          <w:p w14:paraId="51ED9348" w14:textId="77777777" w:rsidR="0011235E" w:rsidRPr="00707120" w:rsidRDefault="0011235E" w:rsidP="006952A3">
            <w:pPr>
              <w:widowControl w:val="0"/>
              <w:rPr>
                <w:szCs w:val="22"/>
                <w:lang w:val="es-ES"/>
              </w:rPr>
            </w:pPr>
          </w:p>
        </w:tc>
        <w:tc>
          <w:tcPr>
            <w:tcW w:w="1701" w:type="dxa"/>
          </w:tcPr>
          <w:p w14:paraId="22382539" w14:textId="77777777" w:rsidR="0011235E" w:rsidRDefault="0011235E" w:rsidP="006952A3">
            <w:pPr>
              <w:widowControl w:val="0"/>
              <w:rPr>
                <w:szCs w:val="22"/>
              </w:rPr>
            </w:pPr>
            <w:r>
              <w:rPr>
                <w:szCs w:val="22"/>
              </w:rPr>
              <w:t>Nierakmeņi</w:t>
            </w:r>
          </w:p>
        </w:tc>
        <w:tc>
          <w:tcPr>
            <w:tcW w:w="1559" w:type="dxa"/>
          </w:tcPr>
          <w:p w14:paraId="5EF8BD0B" w14:textId="77777777" w:rsidR="0011235E" w:rsidRDefault="0011235E" w:rsidP="006952A3">
            <w:pPr>
              <w:rPr>
                <w:szCs w:val="22"/>
              </w:rPr>
            </w:pPr>
          </w:p>
        </w:tc>
        <w:tc>
          <w:tcPr>
            <w:tcW w:w="1127" w:type="dxa"/>
          </w:tcPr>
          <w:p w14:paraId="656D3782" w14:textId="77777777" w:rsidR="0011235E" w:rsidRDefault="0011235E" w:rsidP="006952A3">
            <w:pPr>
              <w:rPr>
                <w:szCs w:val="22"/>
              </w:rPr>
            </w:pPr>
          </w:p>
        </w:tc>
      </w:tr>
      <w:tr w:rsidR="0011235E" w:rsidRPr="00707120" w14:paraId="526BFFA2" w14:textId="29F75935" w:rsidTr="0011235E">
        <w:tc>
          <w:tcPr>
            <w:tcW w:w="1616" w:type="dxa"/>
          </w:tcPr>
          <w:p w14:paraId="3E5DC044" w14:textId="77777777" w:rsidR="0011235E" w:rsidRPr="00707120" w:rsidRDefault="0011235E" w:rsidP="006952A3">
            <w:pPr>
              <w:rPr>
                <w:szCs w:val="22"/>
                <w:lang w:val="es-ES"/>
              </w:rPr>
            </w:pPr>
            <w:r w:rsidRPr="00707120">
              <w:rPr>
                <w:szCs w:val="22"/>
                <w:lang w:val="es-ES"/>
              </w:rPr>
              <w:t>Vispārēji traucējumi un reakcijas ievadīšanas vietā</w:t>
            </w:r>
          </w:p>
        </w:tc>
        <w:tc>
          <w:tcPr>
            <w:tcW w:w="1488" w:type="dxa"/>
          </w:tcPr>
          <w:p w14:paraId="2DA5B3B1" w14:textId="77777777" w:rsidR="0011235E" w:rsidRPr="00707120" w:rsidRDefault="0011235E" w:rsidP="006952A3">
            <w:pPr>
              <w:rPr>
                <w:szCs w:val="22"/>
                <w:lang w:val="es-ES"/>
              </w:rPr>
            </w:pPr>
          </w:p>
        </w:tc>
        <w:tc>
          <w:tcPr>
            <w:tcW w:w="1569" w:type="dxa"/>
          </w:tcPr>
          <w:p w14:paraId="48EB4F9D" w14:textId="77777777" w:rsidR="0011235E" w:rsidRPr="00707120" w:rsidRDefault="0011235E" w:rsidP="006952A3">
            <w:pPr>
              <w:rPr>
                <w:szCs w:val="22"/>
                <w:lang w:val="es-ES"/>
              </w:rPr>
            </w:pPr>
            <w:r w:rsidRPr="00707120">
              <w:rPr>
                <w:szCs w:val="22"/>
                <w:lang w:val="es-ES"/>
              </w:rPr>
              <w:t>Perifēriska tūska, paaugstinātas jutības reakcijas</w:t>
            </w:r>
          </w:p>
        </w:tc>
        <w:tc>
          <w:tcPr>
            <w:tcW w:w="1701" w:type="dxa"/>
          </w:tcPr>
          <w:p w14:paraId="065A0A5D" w14:textId="77777777" w:rsidR="0011235E" w:rsidRPr="00707120" w:rsidRDefault="0011235E" w:rsidP="006952A3">
            <w:pPr>
              <w:rPr>
                <w:szCs w:val="22"/>
                <w:lang w:val="es-ES"/>
              </w:rPr>
            </w:pPr>
          </w:p>
        </w:tc>
        <w:tc>
          <w:tcPr>
            <w:tcW w:w="1559" w:type="dxa"/>
          </w:tcPr>
          <w:p w14:paraId="474C3A79" w14:textId="77777777" w:rsidR="0011235E" w:rsidRPr="00707120" w:rsidRDefault="0011235E" w:rsidP="006952A3">
            <w:pPr>
              <w:rPr>
                <w:szCs w:val="22"/>
                <w:lang w:val="es-ES"/>
              </w:rPr>
            </w:pPr>
          </w:p>
        </w:tc>
        <w:tc>
          <w:tcPr>
            <w:tcW w:w="1127" w:type="dxa"/>
          </w:tcPr>
          <w:p w14:paraId="11261E13" w14:textId="77777777" w:rsidR="0011235E" w:rsidRPr="00707120" w:rsidRDefault="0011235E" w:rsidP="006952A3">
            <w:pPr>
              <w:rPr>
                <w:szCs w:val="22"/>
                <w:lang w:val="es-ES"/>
              </w:rPr>
            </w:pPr>
          </w:p>
        </w:tc>
      </w:tr>
      <w:tr w:rsidR="0011235E" w:rsidRPr="008F505F" w14:paraId="604043F9" w14:textId="7E5C6DE1" w:rsidTr="0011235E">
        <w:tc>
          <w:tcPr>
            <w:tcW w:w="1616" w:type="dxa"/>
          </w:tcPr>
          <w:p w14:paraId="143AD53A" w14:textId="77777777" w:rsidR="0011235E" w:rsidRPr="008F505F" w:rsidRDefault="0011235E" w:rsidP="006952A3">
            <w:pPr>
              <w:rPr>
                <w:szCs w:val="22"/>
              </w:rPr>
            </w:pPr>
            <w:r w:rsidRPr="008F505F">
              <w:rPr>
                <w:szCs w:val="22"/>
              </w:rPr>
              <w:t>Izmeklējumi</w:t>
            </w:r>
          </w:p>
        </w:tc>
        <w:tc>
          <w:tcPr>
            <w:tcW w:w="1488" w:type="dxa"/>
          </w:tcPr>
          <w:p w14:paraId="3012D0B6" w14:textId="77777777" w:rsidR="0011235E" w:rsidRPr="008F505F" w:rsidRDefault="0011235E" w:rsidP="006952A3">
            <w:pPr>
              <w:rPr>
                <w:szCs w:val="22"/>
              </w:rPr>
            </w:pPr>
          </w:p>
        </w:tc>
        <w:tc>
          <w:tcPr>
            <w:tcW w:w="1569" w:type="dxa"/>
          </w:tcPr>
          <w:p w14:paraId="5CDDAA43" w14:textId="77777777" w:rsidR="0011235E" w:rsidRPr="008F505F" w:rsidRDefault="0011235E" w:rsidP="006952A3">
            <w:pPr>
              <w:rPr>
                <w:szCs w:val="22"/>
              </w:rPr>
            </w:pPr>
            <w:r w:rsidRPr="008F505F">
              <w:rPr>
                <w:szCs w:val="22"/>
              </w:rPr>
              <w:t>Paaugstināts aknu transamināžu līmenis, ķermeņa masas palielināšanās, paaugstināts kopējā bilirubīna līmenis*</w:t>
            </w:r>
          </w:p>
        </w:tc>
        <w:tc>
          <w:tcPr>
            <w:tcW w:w="1701" w:type="dxa"/>
          </w:tcPr>
          <w:p w14:paraId="3ED9A581" w14:textId="77777777" w:rsidR="0011235E" w:rsidRPr="008F505F" w:rsidRDefault="0011235E" w:rsidP="006952A3">
            <w:pPr>
              <w:rPr>
                <w:szCs w:val="22"/>
              </w:rPr>
            </w:pPr>
          </w:p>
        </w:tc>
        <w:tc>
          <w:tcPr>
            <w:tcW w:w="1559" w:type="dxa"/>
          </w:tcPr>
          <w:p w14:paraId="3EAF258C" w14:textId="77777777" w:rsidR="0011235E" w:rsidRPr="008F505F" w:rsidRDefault="0011235E" w:rsidP="006952A3">
            <w:pPr>
              <w:rPr>
                <w:szCs w:val="22"/>
              </w:rPr>
            </w:pPr>
          </w:p>
        </w:tc>
        <w:tc>
          <w:tcPr>
            <w:tcW w:w="1127" w:type="dxa"/>
          </w:tcPr>
          <w:p w14:paraId="3AF04CAC" w14:textId="77777777" w:rsidR="0011235E" w:rsidRPr="008F505F" w:rsidRDefault="0011235E" w:rsidP="006952A3">
            <w:pPr>
              <w:rPr>
                <w:szCs w:val="22"/>
              </w:rPr>
            </w:pPr>
          </w:p>
        </w:tc>
      </w:tr>
    </w:tbl>
    <w:bookmarkEnd w:id="79"/>
    <w:p w14:paraId="4CECCE37" w14:textId="77777777" w:rsidR="00784D05" w:rsidRDefault="00784D05" w:rsidP="007D6CFA">
      <w:pPr>
        <w:keepNext/>
        <w:keepLines/>
        <w:ind w:left="182" w:hanging="182"/>
        <w:rPr>
          <w:sz w:val="18"/>
          <w:szCs w:val="18"/>
          <w:lang w:val="lv-LV"/>
        </w:rPr>
      </w:pPr>
      <w:r>
        <w:rPr>
          <w:sz w:val="18"/>
          <w:szCs w:val="18"/>
          <w:lang w:val="lv-LV"/>
        </w:rPr>
        <w:t>* Tajā skaitā arī paaugstināšanās, kas konstatēta parasto laboratorisko kontroles pasākumu laikā (skatīt turpmāko tekstu).</w:t>
      </w:r>
    </w:p>
    <w:p w14:paraId="33AFFD7B" w14:textId="21D9BE06" w:rsidR="00D444D3" w:rsidRDefault="00D444D3" w:rsidP="007D6CFA">
      <w:pPr>
        <w:keepNext/>
        <w:keepLines/>
        <w:ind w:left="182" w:hanging="182"/>
        <w:rPr>
          <w:sz w:val="18"/>
          <w:szCs w:val="18"/>
          <w:lang w:val="lv-LV"/>
        </w:rPr>
      </w:pPr>
      <w:r w:rsidRPr="00925E27">
        <w:rPr>
          <w:sz w:val="18"/>
          <w:szCs w:val="18"/>
          <w:vertAlign w:val="superscript"/>
          <w:lang w:val="lv-LV"/>
        </w:rPr>
        <w:t>1</w:t>
      </w:r>
      <w:r>
        <w:rPr>
          <w:sz w:val="18"/>
          <w:szCs w:val="18"/>
          <w:lang w:val="lv-LV"/>
        </w:rPr>
        <w:t xml:space="preserve"> Skatīt 4.3.</w:t>
      </w:r>
      <w:r w:rsidR="0011235E">
        <w:rPr>
          <w:sz w:val="18"/>
          <w:szCs w:val="18"/>
          <w:lang w:val="lv-LV"/>
        </w:rPr>
        <w:t> </w:t>
      </w:r>
      <w:r>
        <w:rPr>
          <w:sz w:val="18"/>
          <w:szCs w:val="18"/>
          <w:lang w:val="lv-LV"/>
        </w:rPr>
        <w:t>apakšpunktu.</w:t>
      </w:r>
    </w:p>
    <w:p w14:paraId="019C27F0" w14:textId="395BAE1E" w:rsidR="00D444D3" w:rsidRDefault="00D444D3">
      <w:pPr>
        <w:ind w:left="182" w:hanging="182"/>
        <w:rPr>
          <w:sz w:val="18"/>
          <w:szCs w:val="18"/>
          <w:lang w:val="lv-LV"/>
        </w:rPr>
      </w:pPr>
      <w:r w:rsidRPr="00925E27">
        <w:rPr>
          <w:sz w:val="18"/>
          <w:szCs w:val="18"/>
          <w:vertAlign w:val="superscript"/>
          <w:lang w:val="lv-LV"/>
        </w:rPr>
        <w:t>2</w:t>
      </w:r>
      <w:r>
        <w:rPr>
          <w:sz w:val="18"/>
          <w:szCs w:val="18"/>
          <w:lang w:val="lv-LV"/>
        </w:rPr>
        <w:t xml:space="preserve"> Skatīt 4.4.</w:t>
      </w:r>
      <w:r w:rsidR="0011235E">
        <w:rPr>
          <w:sz w:val="18"/>
          <w:szCs w:val="18"/>
          <w:lang w:val="lv-LV"/>
        </w:rPr>
        <w:t> </w:t>
      </w:r>
      <w:r>
        <w:rPr>
          <w:sz w:val="18"/>
          <w:szCs w:val="18"/>
          <w:lang w:val="lv-LV"/>
        </w:rPr>
        <w:t>apakšpunktu.</w:t>
      </w:r>
    </w:p>
    <w:p w14:paraId="5EB4C3E7" w14:textId="5FFBB566" w:rsidR="00725446" w:rsidRDefault="00833FA0" w:rsidP="0086469C">
      <w:pPr>
        <w:ind w:left="142" w:hanging="142"/>
        <w:rPr>
          <w:sz w:val="18"/>
          <w:szCs w:val="18"/>
          <w:lang w:val="lv-LV"/>
        </w:rPr>
      </w:pPr>
      <w:r w:rsidRPr="00833FA0">
        <w:rPr>
          <w:sz w:val="18"/>
          <w:szCs w:val="18"/>
          <w:vertAlign w:val="superscript"/>
          <w:lang w:val="lv-LV"/>
        </w:rPr>
        <w:t>3</w:t>
      </w:r>
      <w:r w:rsidRPr="00833FA0">
        <w:rPr>
          <w:sz w:val="18"/>
          <w:szCs w:val="18"/>
          <w:lang w:val="lv-LV"/>
        </w:rPr>
        <w:t xml:space="preserve"> </w:t>
      </w:r>
      <w:del w:id="80" w:author="Author">
        <w:r w:rsidR="00D444D3" w:rsidDel="00CE6B8D">
          <w:rPr>
            <w:sz w:val="18"/>
            <w:szCs w:val="18"/>
            <w:lang w:val="lv-LV"/>
          </w:rPr>
          <w:delText xml:space="preserve"> </w:delText>
        </w:r>
      </w:del>
      <w:r w:rsidR="00925E27">
        <w:rPr>
          <w:sz w:val="18"/>
          <w:szCs w:val="18"/>
          <w:lang w:val="lv-LV"/>
        </w:rPr>
        <w:t xml:space="preserve">Nevēlamā blakusparādība </w:t>
      </w:r>
      <w:r w:rsidR="00220EFD">
        <w:rPr>
          <w:sz w:val="18"/>
          <w:szCs w:val="18"/>
          <w:lang w:val="lv-LV"/>
        </w:rPr>
        <w:t>identificēta pēcreģistrācijas uzraudzībā, bet nav novērota kon</w:t>
      </w:r>
      <w:r>
        <w:rPr>
          <w:sz w:val="18"/>
          <w:szCs w:val="18"/>
          <w:lang w:val="lv-LV"/>
        </w:rPr>
        <w:t>t</w:t>
      </w:r>
      <w:r w:rsidR="00220EFD">
        <w:rPr>
          <w:sz w:val="18"/>
          <w:szCs w:val="18"/>
          <w:lang w:val="lv-LV"/>
        </w:rPr>
        <w:t>rolētos klīniskajos pētījumos. Sastopamības bie</w:t>
      </w:r>
      <w:r w:rsidR="00366022">
        <w:rPr>
          <w:sz w:val="18"/>
          <w:szCs w:val="18"/>
          <w:lang w:val="lv-LV"/>
        </w:rPr>
        <w:t xml:space="preserve">žums </w:t>
      </w:r>
      <w:r w:rsidR="00745DDC">
        <w:rPr>
          <w:sz w:val="18"/>
          <w:szCs w:val="18"/>
          <w:lang w:val="lv-LV"/>
        </w:rPr>
        <w:t>noteikts</w:t>
      </w:r>
      <w:r w:rsidR="00725446">
        <w:rPr>
          <w:sz w:val="18"/>
          <w:szCs w:val="18"/>
          <w:lang w:val="lv-LV"/>
        </w:rPr>
        <w:t xml:space="preserve">, </w:t>
      </w:r>
      <w:r w:rsidR="00745DDC">
        <w:rPr>
          <w:sz w:val="18"/>
          <w:szCs w:val="18"/>
          <w:lang w:val="lv-LV"/>
        </w:rPr>
        <w:t>aprēķinot</w:t>
      </w:r>
      <w:r w:rsidR="00220EFD">
        <w:rPr>
          <w:sz w:val="18"/>
          <w:szCs w:val="18"/>
          <w:lang w:val="lv-LV"/>
        </w:rPr>
        <w:t xml:space="preserve"> </w:t>
      </w:r>
      <w:r w:rsidR="0088128F">
        <w:rPr>
          <w:sz w:val="18"/>
          <w:szCs w:val="18"/>
          <w:lang w:val="lv-LV"/>
        </w:rPr>
        <w:t xml:space="preserve">95% </w:t>
      </w:r>
      <w:r w:rsidR="00D6623A">
        <w:rPr>
          <w:sz w:val="18"/>
          <w:szCs w:val="18"/>
          <w:lang w:val="lv-LV"/>
        </w:rPr>
        <w:t>ticamības intervāl</w:t>
      </w:r>
      <w:r w:rsidR="0088128F">
        <w:rPr>
          <w:sz w:val="18"/>
          <w:szCs w:val="18"/>
          <w:lang w:val="lv-LV"/>
        </w:rPr>
        <w:t>a augšēj</w:t>
      </w:r>
      <w:r>
        <w:rPr>
          <w:sz w:val="18"/>
          <w:szCs w:val="18"/>
          <w:lang w:val="lv-LV"/>
        </w:rPr>
        <w:t>o</w:t>
      </w:r>
      <w:r w:rsidR="0088128F">
        <w:rPr>
          <w:sz w:val="18"/>
          <w:szCs w:val="18"/>
          <w:lang w:val="lv-LV"/>
        </w:rPr>
        <w:t xml:space="preserve"> robe</w:t>
      </w:r>
      <w:r w:rsidR="00745DDC">
        <w:rPr>
          <w:sz w:val="18"/>
          <w:szCs w:val="18"/>
          <w:lang w:val="lv-LV"/>
        </w:rPr>
        <w:t xml:space="preserve">žu, pamatojoties uz kopējo pacienta skaitu, kuri klīniskajos pētījumos lietoja </w:t>
      </w:r>
      <w:r w:rsidR="0011235E">
        <w:rPr>
          <w:sz w:val="18"/>
          <w:szCs w:val="18"/>
          <w:lang w:val="lv-LV"/>
        </w:rPr>
        <w:t>tocilizumabu</w:t>
      </w:r>
      <w:r w:rsidR="00745DDC">
        <w:rPr>
          <w:sz w:val="18"/>
          <w:szCs w:val="18"/>
          <w:lang w:val="lv-LV"/>
        </w:rPr>
        <w:t>.</w:t>
      </w:r>
    </w:p>
    <w:p w14:paraId="6A648C76" w14:textId="77777777" w:rsidR="0011235E" w:rsidRDefault="0011235E" w:rsidP="0011235E">
      <w:pPr>
        <w:autoSpaceDE w:val="0"/>
        <w:rPr>
          <w:szCs w:val="22"/>
          <w:lang w:val="lv-LV" w:eastAsia="en-US" w:bidi="ne-NP"/>
        </w:rPr>
      </w:pPr>
    </w:p>
    <w:p w14:paraId="2E6D72CB" w14:textId="01B6947C" w:rsidR="0011235E" w:rsidRPr="00707120" w:rsidRDefault="0011235E" w:rsidP="0011235E">
      <w:pPr>
        <w:keepNext/>
        <w:keepLines/>
        <w:autoSpaceDE w:val="0"/>
        <w:autoSpaceDN w:val="0"/>
        <w:adjustRightInd w:val="0"/>
        <w:rPr>
          <w:i/>
          <w:iCs/>
          <w:szCs w:val="22"/>
          <w:lang w:val="lv-LV"/>
        </w:rPr>
      </w:pPr>
      <w:r w:rsidRPr="00707120">
        <w:rPr>
          <w:i/>
          <w:iCs/>
          <w:szCs w:val="22"/>
          <w:lang w:val="lv-LV"/>
        </w:rPr>
        <w:t>Pacienti ar COVID</w:t>
      </w:r>
      <w:r>
        <w:rPr>
          <w:i/>
          <w:iCs/>
          <w:szCs w:val="22"/>
          <w:lang w:val="lv-LV"/>
        </w:rPr>
        <w:noBreakHyphen/>
      </w:r>
      <w:r w:rsidRPr="00707120">
        <w:rPr>
          <w:i/>
          <w:iCs/>
          <w:szCs w:val="22"/>
          <w:lang w:val="lv-LV"/>
        </w:rPr>
        <w:t xml:space="preserve">19 </w:t>
      </w:r>
    </w:p>
    <w:p w14:paraId="37D9AD1D" w14:textId="3D80F3BF" w:rsidR="0011235E" w:rsidRPr="008364C5" w:rsidRDefault="0011235E" w:rsidP="0011235E">
      <w:pPr>
        <w:autoSpaceDE w:val="0"/>
        <w:autoSpaceDN w:val="0"/>
        <w:adjustRightInd w:val="0"/>
        <w:rPr>
          <w:rFonts w:eastAsiaTheme="minorHAnsi"/>
          <w:szCs w:val="22"/>
          <w:lang w:val="lv-LV"/>
        </w:rPr>
      </w:pPr>
      <w:r>
        <w:rPr>
          <w:lang w:val="lv-LV"/>
        </w:rPr>
        <w:t>Novērtējums par šo zāļu</w:t>
      </w:r>
      <w:r w:rsidRPr="008364C5">
        <w:rPr>
          <w:lang w:val="lv-LV"/>
        </w:rPr>
        <w:t xml:space="preserve"> drošum</w:t>
      </w:r>
      <w:r>
        <w:rPr>
          <w:lang w:val="lv-LV"/>
        </w:rPr>
        <w:t>u</w:t>
      </w:r>
      <w:r w:rsidRPr="008364C5">
        <w:rPr>
          <w:lang w:val="lv-LV"/>
        </w:rPr>
        <w:t xml:space="preserve"> COVID</w:t>
      </w:r>
      <w:r>
        <w:rPr>
          <w:lang w:val="lv-LV"/>
        </w:rPr>
        <w:noBreakHyphen/>
      </w:r>
      <w:r w:rsidRPr="008364C5">
        <w:rPr>
          <w:lang w:val="lv-LV"/>
        </w:rPr>
        <w:t xml:space="preserve">19 ārstēšanā ir balstīts uz trīs randomizētiem, dubultmaskētiem, </w:t>
      </w:r>
      <w:del w:id="81" w:author="Regulatory LV" w:date="2026-03-17T11:36:00Z">
        <w:r w:rsidRPr="008364C5" w:rsidDel="0089110E">
          <w:rPr>
            <w:lang w:val="lv-LV"/>
          </w:rPr>
          <w:delText xml:space="preserve">ar </w:delText>
        </w:r>
      </w:del>
      <w:r w:rsidRPr="008364C5">
        <w:rPr>
          <w:lang w:val="lv-LV"/>
        </w:rPr>
        <w:t xml:space="preserve">placebo kontrolētiem pētījumiem (pētījumi ML42528, WA42380 un WA42511). Šajos pētījumos </w:t>
      </w:r>
      <w:r>
        <w:rPr>
          <w:lang w:val="lv-LV"/>
        </w:rPr>
        <w:t>tocilizumaba</w:t>
      </w:r>
      <w:r w:rsidRPr="008364C5">
        <w:rPr>
          <w:lang w:val="lv-LV"/>
        </w:rPr>
        <w:t xml:space="preserve"> iedarbībai bija pakļauti pavisam 974 pacienti. Pētījumā RECOVERY drošuma datu apkopošana bija ierobežota, un šeit tie nav aprakstīti.</w:t>
      </w:r>
    </w:p>
    <w:p w14:paraId="34D3036F" w14:textId="77777777" w:rsidR="0011235E" w:rsidRPr="008364C5" w:rsidRDefault="0011235E" w:rsidP="0011235E">
      <w:pPr>
        <w:autoSpaceDE w:val="0"/>
        <w:autoSpaceDN w:val="0"/>
        <w:adjustRightInd w:val="0"/>
        <w:rPr>
          <w:rFonts w:eastAsiaTheme="minorHAnsi"/>
          <w:szCs w:val="22"/>
          <w:lang w:val="lv-LV"/>
        </w:rPr>
      </w:pPr>
    </w:p>
    <w:p w14:paraId="1E378142" w14:textId="0BAB555D" w:rsidR="0011235E" w:rsidRPr="008364C5" w:rsidRDefault="0011235E" w:rsidP="0011235E">
      <w:pPr>
        <w:pStyle w:val="Paragraph"/>
        <w:spacing w:after="0" w:line="240" w:lineRule="auto"/>
        <w:rPr>
          <w:rFonts w:ascii="Times New Roman" w:eastAsiaTheme="minorHAnsi" w:hAnsi="Times New Roman"/>
          <w:sz w:val="22"/>
          <w:szCs w:val="22"/>
          <w:lang w:val="lv-LV"/>
        </w:rPr>
      </w:pPr>
      <w:r w:rsidRPr="008364C5">
        <w:rPr>
          <w:rFonts w:ascii="Times New Roman" w:hAnsi="Times New Roman"/>
          <w:sz w:val="22"/>
          <w:szCs w:val="22"/>
          <w:lang w:val="lv-LV"/>
        </w:rPr>
        <w:t xml:space="preserve">Balstoties uz nevēlamajiem notikumiem, kas klīnisko pētījumu ML42528, WA42380 un WA42511 apvienotajā drošuma populācijā </w:t>
      </w:r>
      <w:r>
        <w:rPr>
          <w:rFonts w:ascii="Times New Roman" w:hAnsi="Times New Roman"/>
          <w:sz w:val="22"/>
          <w:szCs w:val="22"/>
          <w:lang w:val="lv-LV"/>
        </w:rPr>
        <w:t>tocilizumaba</w:t>
      </w:r>
      <w:r w:rsidRPr="008364C5">
        <w:rPr>
          <w:rFonts w:ascii="Times New Roman" w:hAnsi="Times New Roman"/>
          <w:sz w:val="22"/>
          <w:szCs w:val="22"/>
          <w:lang w:val="lv-LV"/>
        </w:rPr>
        <w:t xml:space="preserve"> terapijas grupā radās vismaz 3% pacientu un biežāk nekā placebo grupā, tika izspriestas nevēlamās blakusparādības, kas 2. tabulā ir uzskaitītas atbilstoši </w:t>
      </w:r>
      <w:r w:rsidRPr="00FE214A">
        <w:rPr>
          <w:rFonts w:ascii="Times New Roman" w:hAnsi="Times New Roman"/>
          <w:iCs/>
          <w:sz w:val="22"/>
          <w:szCs w:val="22"/>
          <w:lang w:val="lv-LV"/>
        </w:rPr>
        <w:t>MedDRA</w:t>
      </w:r>
      <w:r w:rsidRPr="0049731E">
        <w:rPr>
          <w:rFonts w:ascii="Times New Roman" w:hAnsi="Times New Roman"/>
          <w:sz w:val="22"/>
          <w:szCs w:val="22"/>
          <w:lang w:val="lv-LV"/>
        </w:rPr>
        <w:t xml:space="preserve"> </w:t>
      </w:r>
      <w:r w:rsidR="000D3469">
        <w:rPr>
          <w:rFonts w:ascii="Times New Roman" w:hAnsi="Times New Roman"/>
          <w:sz w:val="22"/>
          <w:szCs w:val="22"/>
          <w:lang w:val="lv-LV"/>
        </w:rPr>
        <w:t>OSK</w:t>
      </w:r>
      <w:r w:rsidRPr="008364C5">
        <w:rPr>
          <w:rFonts w:ascii="Times New Roman" w:hAnsi="Times New Roman"/>
          <w:sz w:val="22"/>
          <w:szCs w:val="22"/>
          <w:lang w:val="lv-LV"/>
        </w:rPr>
        <w:t>.</w:t>
      </w:r>
    </w:p>
    <w:p w14:paraId="526682D6" w14:textId="77777777" w:rsidR="0011235E" w:rsidRPr="008364C5" w:rsidRDefault="0011235E" w:rsidP="0011235E">
      <w:pPr>
        <w:pStyle w:val="Paragraph"/>
        <w:spacing w:after="0" w:line="240" w:lineRule="auto"/>
        <w:rPr>
          <w:rFonts w:ascii="Times New Roman" w:eastAsiaTheme="minorHAnsi" w:hAnsi="Times New Roman"/>
          <w:sz w:val="22"/>
          <w:szCs w:val="22"/>
          <w:lang w:val="lv-LV" w:eastAsia="en-US"/>
        </w:rPr>
      </w:pPr>
    </w:p>
    <w:p w14:paraId="41B63EFB" w14:textId="6BE90521" w:rsidR="0011235E" w:rsidRDefault="0011235E" w:rsidP="0011235E">
      <w:pPr>
        <w:pStyle w:val="Standard1"/>
        <w:keepNext/>
        <w:keepLines/>
        <w:rPr>
          <w:i/>
          <w:szCs w:val="22"/>
        </w:rPr>
      </w:pPr>
      <w:r>
        <w:rPr>
          <w:i/>
          <w:szCs w:val="22"/>
        </w:rPr>
        <w:t>2.</w:t>
      </w:r>
      <w:r w:rsidR="00C61FD9">
        <w:rPr>
          <w:i/>
          <w:szCs w:val="22"/>
        </w:rPr>
        <w:t> </w:t>
      </w:r>
      <w:r>
        <w:rPr>
          <w:i/>
          <w:szCs w:val="22"/>
        </w:rPr>
        <w:t>tabula.</w:t>
      </w:r>
      <w:r>
        <w:rPr>
          <w:i/>
          <w:szCs w:val="22"/>
          <w:vertAlign w:val="superscript"/>
        </w:rPr>
        <w:t xml:space="preserve"> </w:t>
      </w:r>
      <w:r>
        <w:rPr>
          <w:i/>
          <w:szCs w:val="22"/>
        </w:rPr>
        <w:t>Nevēlamo blakusparādību</w:t>
      </w:r>
      <w:r>
        <w:rPr>
          <w:i/>
          <w:szCs w:val="22"/>
          <w:vertAlign w:val="superscript"/>
        </w:rPr>
        <w:t>1</w:t>
      </w:r>
      <w:r>
        <w:rPr>
          <w:i/>
          <w:szCs w:val="22"/>
        </w:rPr>
        <w:t xml:space="preserve"> saraksts, kas tocilizumaba klīniskajos pētījumos tika atklātas apvienotajā COVID</w:t>
      </w:r>
      <w:r>
        <w:rPr>
          <w:i/>
          <w:szCs w:val="22"/>
        </w:rPr>
        <w:noBreakHyphen/>
        <w:t>19 pacientu populācijā</w:t>
      </w:r>
      <w:r>
        <w:rPr>
          <w:i/>
          <w:szCs w:val="22"/>
          <w:vertAlign w:val="superscript"/>
        </w:rPr>
        <w:t>2</w:t>
      </w:r>
      <w:r>
        <w:rPr>
          <w:i/>
          <w:szCs w:val="22"/>
        </w:rPr>
        <w:t xml:space="preserve">, kuriem varēja novērtēt drošumu </w:t>
      </w:r>
    </w:p>
    <w:p w14:paraId="079B0AF7" w14:textId="77777777" w:rsidR="0011235E" w:rsidRPr="0018021A" w:rsidRDefault="0011235E" w:rsidP="0011235E">
      <w:pPr>
        <w:pStyle w:val="Standard1"/>
        <w:keepNext/>
        <w:keepLines/>
        <w:rPr>
          <w:i/>
          <w:szCs w:val="22"/>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5670"/>
      </w:tblGrid>
      <w:tr w:rsidR="0011235E" w:rsidRPr="00707120" w14:paraId="3646C53B" w14:textId="77777777" w:rsidTr="00707120">
        <w:tc>
          <w:tcPr>
            <w:tcW w:w="3402" w:type="dxa"/>
          </w:tcPr>
          <w:p w14:paraId="620048CC" w14:textId="6576B6E7" w:rsidR="0011235E" w:rsidRPr="0018021A" w:rsidRDefault="0011235E" w:rsidP="000D3469">
            <w:pPr>
              <w:keepNext/>
              <w:keepLines/>
              <w:widowControl w:val="0"/>
              <w:rPr>
                <w:rFonts w:eastAsia="SimSun"/>
                <w:color w:val="000000" w:themeColor="text1"/>
                <w:szCs w:val="22"/>
              </w:rPr>
            </w:pPr>
            <w:r w:rsidRPr="00FE214A">
              <w:rPr>
                <w:b/>
                <w:iCs/>
                <w:color w:val="000000" w:themeColor="text1"/>
                <w:szCs w:val="22"/>
              </w:rPr>
              <w:t>MedDRA</w:t>
            </w:r>
            <w:r>
              <w:rPr>
                <w:b/>
                <w:i/>
                <w:iCs/>
                <w:color w:val="000000" w:themeColor="text1"/>
                <w:szCs w:val="22"/>
              </w:rPr>
              <w:t xml:space="preserve"> </w:t>
            </w:r>
            <w:r w:rsidR="000D3469" w:rsidRPr="000D3469">
              <w:rPr>
                <w:b/>
                <w:iCs/>
                <w:color w:val="000000" w:themeColor="text1"/>
                <w:szCs w:val="22"/>
              </w:rPr>
              <w:t>OSK</w:t>
            </w:r>
          </w:p>
        </w:tc>
        <w:tc>
          <w:tcPr>
            <w:tcW w:w="5670" w:type="dxa"/>
          </w:tcPr>
          <w:p w14:paraId="173384EC" w14:textId="77777777" w:rsidR="000D3469" w:rsidRPr="00707120" w:rsidRDefault="000D3469" w:rsidP="0067693D">
            <w:pPr>
              <w:keepNext/>
              <w:keepLines/>
              <w:widowControl w:val="0"/>
              <w:jc w:val="center"/>
              <w:rPr>
                <w:b/>
                <w:color w:val="000000" w:themeColor="text1"/>
                <w:szCs w:val="22"/>
                <w:lang w:val="es-ES"/>
              </w:rPr>
            </w:pPr>
            <w:r w:rsidRPr="00707120">
              <w:rPr>
                <w:b/>
                <w:color w:val="000000" w:themeColor="text1"/>
                <w:szCs w:val="22"/>
                <w:lang w:val="es-ES"/>
              </w:rPr>
              <w:t>Ieteicamie termini un biežums</w:t>
            </w:r>
          </w:p>
          <w:p w14:paraId="4B45226E" w14:textId="7FB328DC" w:rsidR="0011235E" w:rsidRPr="00707120" w:rsidRDefault="0011235E" w:rsidP="0067693D">
            <w:pPr>
              <w:keepNext/>
              <w:keepLines/>
              <w:widowControl w:val="0"/>
              <w:jc w:val="center"/>
              <w:rPr>
                <w:rFonts w:eastAsia="SimSun"/>
                <w:b/>
                <w:color w:val="000000" w:themeColor="text1"/>
                <w:szCs w:val="22"/>
                <w:lang w:val="es-ES"/>
              </w:rPr>
            </w:pPr>
            <w:r w:rsidRPr="00707120">
              <w:rPr>
                <w:b/>
                <w:color w:val="000000" w:themeColor="text1"/>
                <w:szCs w:val="22"/>
                <w:lang w:val="es-ES"/>
              </w:rPr>
              <w:t>Bieži</w:t>
            </w:r>
          </w:p>
        </w:tc>
      </w:tr>
      <w:tr w:rsidR="0011235E" w:rsidRPr="0018021A" w14:paraId="6095EB98" w14:textId="77777777" w:rsidTr="00707120">
        <w:tc>
          <w:tcPr>
            <w:tcW w:w="3402" w:type="dxa"/>
          </w:tcPr>
          <w:p w14:paraId="54093828" w14:textId="77777777" w:rsidR="0011235E" w:rsidRPr="0018021A" w:rsidRDefault="0011235E" w:rsidP="0067693D">
            <w:pPr>
              <w:keepNext/>
              <w:keepLines/>
              <w:widowControl w:val="0"/>
              <w:rPr>
                <w:rFonts w:eastAsia="SimSun"/>
                <w:b/>
                <w:color w:val="000000" w:themeColor="text1"/>
                <w:szCs w:val="22"/>
              </w:rPr>
            </w:pPr>
            <w:r>
              <w:t>Infekcijas un infestācijas</w:t>
            </w:r>
          </w:p>
        </w:tc>
        <w:tc>
          <w:tcPr>
            <w:tcW w:w="5670" w:type="dxa"/>
          </w:tcPr>
          <w:p w14:paraId="501F6C98" w14:textId="1C612B65" w:rsidR="00717152" w:rsidRPr="0018021A" w:rsidRDefault="0011235E" w:rsidP="0067693D">
            <w:pPr>
              <w:keepNext/>
              <w:keepLines/>
              <w:widowControl w:val="0"/>
              <w:rPr>
                <w:rFonts w:eastAsia="SimSun"/>
                <w:color w:val="000000" w:themeColor="text1"/>
                <w:szCs w:val="22"/>
              </w:rPr>
            </w:pPr>
            <w:r>
              <w:t>Urīnceļu infekcija</w:t>
            </w:r>
          </w:p>
        </w:tc>
      </w:tr>
      <w:tr w:rsidR="0011235E" w:rsidRPr="0018021A" w14:paraId="567DF58D" w14:textId="77777777" w:rsidTr="00707120">
        <w:tc>
          <w:tcPr>
            <w:tcW w:w="3402" w:type="dxa"/>
          </w:tcPr>
          <w:p w14:paraId="727C0C7E" w14:textId="77777777" w:rsidR="0011235E" w:rsidRPr="0018021A" w:rsidRDefault="0011235E" w:rsidP="0067693D">
            <w:pPr>
              <w:keepNext/>
              <w:keepLines/>
              <w:widowControl w:val="0"/>
              <w:rPr>
                <w:rFonts w:eastAsia="SimSun"/>
                <w:b/>
                <w:color w:val="000000" w:themeColor="text1"/>
                <w:szCs w:val="22"/>
              </w:rPr>
            </w:pPr>
            <w:r>
              <w:t>Vielmaiņas un uztures traucējumi</w:t>
            </w:r>
          </w:p>
        </w:tc>
        <w:tc>
          <w:tcPr>
            <w:tcW w:w="5670" w:type="dxa"/>
          </w:tcPr>
          <w:p w14:paraId="1D155581" w14:textId="6F262491" w:rsidR="00717152" w:rsidRPr="0018021A" w:rsidRDefault="0011235E" w:rsidP="0067693D">
            <w:pPr>
              <w:keepNext/>
              <w:keepLines/>
              <w:widowControl w:val="0"/>
              <w:rPr>
                <w:rFonts w:eastAsia="SimSun"/>
                <w:color w:val="000000" w:themeColor="text1"/>
                <w:szCs w:val="22"/>
              </w:rPr>
            </w:pPr>
            <w:r>
              <w:t>Hipokal</w:t>
            </w:r>
            <w:r w:rsidR="00CB48E5">
              <w:t>i</w:t>
            </w:r>
            <w:r>
              <w:t>ēmija</w:t>
            </w:r>
          </w:p>
        </w:tc>
      </w:tr>
      <w:tr w:rsidR="0011235E" w:rsidRPr="0018021A" w14:paraId="1CCAF0E0" w14:textId="77777777" w:rsidTr="00707120">
        <w:tc>
          <w:tcPr>
            <w:tcW w:w="3402" w:type="dxa"/>
          </w:tcPr>
          <w:p w14:paraId="39420B33" w14:textId="77777777" w:rsidR="0011235E" w:rsidRPr="0018021A" w:rsidRDefault="0011235E" w:rsidP="0067693D">
            <w:pPr>
              <w:keepNext/>
              <w:keepLines/>
              <w:widowControl w:val="0"/>
              <w:rPr>
                <w:rFonts w:eastAsia="SimSun"/>
                <w:b/>
                <w:color w:val="000000" w:themeColor="text1"/>
                <w:szCs w:val="22"/>
              </w:rPr>
            </w:pPr>
            <w:r>
              <w:t>Psihiskie traucējumi</w:t>
            </w:r>
          </w:p>
        </w:tc>
        <w:tc>
          <w:tcPr>
            <w:tcW w:w="5670" w:type="dxa"/>
          </w:tcPr>
          <w:p w14:paraId="653AD359" w14:textId="056E5298" w:rsidR="00717152" w:rsidRPr="0018021A" w:rsidRDefault="0011235E" w:rsidP="0067693D">
            <w:pPr>
              <w:keepNext/>
              <w:keepLines/>
              <w:widowControl w:val="0"/>
              <w:rPr>
                <w:rFonts w:eastAsia="SimSun"/>
                <w:color w:val="000000" w:themeColor="text1"/>
                <w:szCs w:val="22"/>
              </w:rPr>
            </w:pPr>
            <w:r>
              <w:t>Trauksme, bezmiegs</w:t>
            </w:r>
          </w:p>
        </w:tc>
      </w:tr>
      <w:tr w:rsidR="0011235E" w:rsidRPr="0018021A" w14:paraId="3B813D30" w14:textId="77777777" w:rsidTr="00707120">
        <w:tc>
          <w:tcPr>
            <w:tcW w:w="3402" w:type="dxa"/>
          </w:tcPr>
          <w:p w14:paraId="3087784C" w14:textId="77777777" w:rsidR="0011235E" w:rsidRPr="0018021A" w:rsidRDefault="0011235E" w:rsidP="0067693D">
            <w:pPr>
              <w:keepNext/>
              <w:keepLines/>
              <w:widowControl w:val="0"/>
              <w:rPr>
                <w:rFonts w:eastAsia="SimSun"/>
                <w:b/>
                <w:color w:val="000000" w:themeColor="text1"/>
                <w:szCs w:val="22"/>
              </w:rPr>
            </w:pPr>
            <w:r>
              <w:t>Asinsvadu sistēmas traucējumi</w:t>
            </w:r>
          </w:p>
        </w:tc>
        <w:tc>
          <w:tcPr>
            <w:tcW w:w="5670" w:type="dxa"/>
          </w:tcPr>
          <w:p w14:paraId="32C14502" w14:textId="5482C6EC" w:rsidR="00717152" w:rsidRPr="0018021A" w:rsidRDefault="0011235E" w:rsidP="0067693D">
            <w:pPr>
              <w:keepNext/>
              <w:keepLines/>
              <w:widowControl w:val="0"/>
              <w:rPr>
                <w:szCs w:val="22"/>
              </w:rPr>
            </w:pPr>
            <w:r>
              <w:t>Hipertensija</w:t>
            </w:r>
          </w:p>
        </w:tc>
      </w:tr>
      <w:tr w:rsidR="0011235E" w:rsidRPr="0018021A" w14:paraId="75ED1BC0" w14:textId="77777777" w:rsidTr="00707120">
        <w:tc>
          <w:tcPr>
            <w:tcW w:w="3402" w:type="dxa"/>
          </w:tcPr>
          <w:p w14:paraId="68151DA5" w14:textId="165395C3" w:rsidR="0011235E" w:rsidRPr="00707120" w:rsidRDefault="0011235E" w:rsidP="00BD246C">
            <w:pPr>
              <w:keepNext/>
              <w:keepLines/>
              <w:widowControl w:val="0"/>
              <w:rPr>
                <w:szCs w:val="22"/>
                <w:lang w:val="es-ES"/>
              </w:rPr>
            </w:pPr>
            <w:r w:rsidRPr="00707120">
              <w:rPr>
                <w:lang w:val="es-ES"/>
              </w:rPr>
              <w:t>Kuņģa</w:t>
            </w:r>
            <w:r w:rsidR="00BD246C" w:rsidRPr="00707120">
              <w:rPr>
                <w:lang w:val="es-ES"/>
              </w:rPr>
              <w:t xml:space="preserve"> un </w:t>
            </w:r>
            <w:r w:rsidRPr="00707120">
              <w:rPr>
                <w:lang w:val="es-ES"/>
              </w:rPr>
              <w:t>zarnu trakta traucējumi</w:t>
            </w:r>
          </w:p>
        </w:tc>
        <w:tc>
          <w:tcPr>
            <w:tcW w:w="5670" w:type="dxa"/>
          </w:tcPr>
          <w:p w14:paraId="02FB18A5" w14:textId="5A9C20DB" w:rsidR="00717152" w:rsidRPr="0018021A" w:rsidRDefault="0011235E" w:rsidP="0067693D">
            <w:pPr>
              <w:keepNext/>
              <w:keepLines/>
              <w:widowControl w:val="0"/>
              <w:rPr>
                <w:szCs w:val="22"/>
              </w:rPr>
            </w:pPr>
            <w:r>
              <w:t>Aizcietējums, caureja, slikta dūša</w:t>
            </w:r>
          </w:p>
        </w:tc>
      </w:tr>
      <w:tr w:rsidR="0011235E" w:rsidRPr="0018021A" w14:paraId="23425E0A" w14:textId="77777777" w:rsidTr="00707120">
        <w:tc>
          <w:tcPr>
            <w:tcW w:w="3402" w:type="dxa"/>
          </w:tcPr>
          <w:p w14:paraId="244E7C3B" w14:textId="1FA50527" w:rsidR="0011235E" w:rsidRPr="00707120" w:rsidRDefault="0011235E" w:rsidP="00272878">
            <w:pPr>
              <w:keepLines/>
              <w:widowControl w:val="0"/>
              <w:rPr>
                <w:szCs w:val="22"/>
                <w:lang w:val="es-ES"/>
              </w:rPr>
            </w:pPr>
            <w:r w:rsidRPr="00707120">
              <w:rPr>
                <w:lang w:val="es-ES"/>
              </w:rPr>
              <w:t>Aknu un žults izvades sistēmas traucējumi</w:t>
            </w:r>
          </w:p>
        </w:tc>
        <w:tc>
          <w:tcPr>
            <w:tcW w:w="5670" w:type="dxa"/>
          </w:tcPr>
          <w:p w14:paraId="1E399CD5" w14:textId="77777777" w:rsidR="0011235E" w:rsidRPr="0018021A" w:rsidRDefault="0011235E" w:rsidP="0067693D">
            <w:pPr>
              <w:keepLines/>
              <w:widowControl w:val="0"/>
              <w:rPr>
                <w:szCs w:val="22"/>
              </w:rPr>
            </w:pPr>
            <w:r>
              <w:t>Paaugstināts aknu transamināžu līmenis</w:t>
            </w:r>
          </w:p>
        </w:tc>
      </w:tr>
    </w:tbl>
    <w:p w14:paraId="441E6420" w14:textId="77777777" w:rsidR="0011235E" w:rsidRPr="008364C5" w:rsidRDefault="0011235E" w:rsidP="0011235E">
      <w:pPr>
        <w:rPr>
          <w:sz w:val="20"/>
        </w:rPr>
      </w:pPr>
      <w:r w:rsidRPr="008364C5">
        <w:rPr>
          <w:sz w:val="20"/>
          <w:vertAlign w:val="superscript"/>
        </w:rPr>
        <w:t>1</w:t>
      </w:r>
      <w:r w:rsidRPr="008364C5">
        <w:rPr>
          <w:sz w:val="20"/>
          <w:szCs w:val="18"/>
        </w:rPr>
        <w:t xml:space="preserve"> Katrā kategorijā pacients ir ieskaitīts tikai vienu reizi neatkarīgi no blakusparādības epizožu skaita.</w:t>
      </w:r>
    </w:p>
    <w:p w14:paraId="5CF3E5D5" w14:textId="335D4776" w:rsidR="0011235E" w:rsidRPr="008364C5" w:rsidRDefault="0011235E" w:rsidP="0011235E">
      <w:pPr>
        <w:rPr>
          <w:sz w:val="20"/>
        </w:rPr>
      </w:pPr>
      <w:r w:rsidRPr="008364C5">
        <w:rPr>
          <w:sz w:val="20"/>
          <w:vertAlign w:val="superscript"/>
        </w:rPr>
        <w:t xml:space="preserve">2 </w:t>
      </w:r>
      <w:r w:rsidRPr="008364C5">
        <w:rPr>
          <w:sz w:val="20"/>
          <w:szCs w:val="18"/>
        </w:rPr>
        <w:t xml:space="preserve">Ietver izspriestās blakusparādības, par kurām tika ziņots pētījumos WA42511, WA42380 un ML42528. </w:t>
      </w:r>
    </w:p>
    <w:p w14:paraId="125CACF9" w14:textId="77777777" w:rsidR="0011235E" w:rsidRPr="002007A3" w:rsidRDefault="0011235E" w:rsidP="0011235E">
      <w:pPr>
        <w:autoSpaceDE w:val="0"/>
        <w:rPr>
          <w:szCs w:val="22"/>
          <w:lang w:val="lv-LV"/>
          <w:rPrChange w:id="82" w:author="Author">
            <w:rPr>
              <w:b/>
              <w:bCs/>
              <w:szCs w:val="22"/>
              <w:u w:val="single"/>
              <w:lang w:val="lv-LV"/>
            </w:rPr>
          </w:rPrChange>
        </w:rPr>
      </w:pPr>
    </w:p>
    <w:p w14:paraId="08647B24" w14:textId="77777777" w:rsidR="0011235E" w:rsidRPr="00707120" w:rsidRDefault="0011235E" w:rsidP="0011235E">
      <w:pPr>
        <w:keepNext/>
        <w:keepLines/>
        <w:autoSpaceDE w:val="0"/>
        <w:rPr>
          <w:i/>
          <w:iCs/>
          <w:szCs w:val="22"/>
          <w:lang w:val="lv-LV"/>
        </w:rPr>
      </w:pPr>
      <w:r w:rsidRPr="00707120">
        <w:rPr>
          <w:i/>
          <w:iCs/>
          <w:szCs w:val="22"/>
          <w:lang w:val="lv-LV"/>
        </w:rPr>
        <w:t>Pacienti ar sJIA vai pJIA</w:t>
      </w:r>
    </w:p>
    <w:p w14:paraId="1F041235" w14:textId="536CBE95" w:rsidR="0011235E" w:rsidRDefault="0011235E" w:rsidP="0011235E">
      <w:pPr>
        <w:keepNext/>
        <w:keepLines/>
        <w:autoSpaceDE w:val="0"/>
        <w:rPr>
          <w:lang w:val="lv-LV"/>
        </w:rPr>
      </w:pPr>
      <w:r>
        <w:rPr>
          <w:lang w:val="lv-LV"/>
        </w:rPr>
        <w:t xml:space="preserve">Nevēlamās blakusparādības ar tocilizumabu ārstētajiem sJIA un pJIA pacientiem ir uzskaitītas 3. tabulā un norādītas atbilstoši </w:t>
      </w:r>
      <w:r w:rsidRPr="00FE214A">
        <w:rPr>
          <w:lang w:val="lv-LV"/>
        </w:rPr>
        <w:t>MedDRA</w:t>
      </w:r>
      <w:r>
        <w:rPr>
          <w:lang w:val="lv-LV"/>
        </w:rPr>
        <w:t xml:space="preserve"> </w:t>
      </w:r>
      <w:r w:rsidR="000D3469">
        <w:rPr>
          <w:lang w:val="lv-LV"/>
        </w:rPr>
        <w:t>OSK</w:t>
      </w:r>
      <w:r>
        <w:rPr>
          <w:lang w:val="lv-LV"/>
        </w:rPr>
        <w:t>. Katrai nevēlamajai blakusparādībai atbilstošā biežuma kategorija ir noteikta atbilstoši šādai klasifikācijai: ļoti bieži (</w:t>
      </w:r>
      <w:r w:rsidRPr="00747C81">
        <w:rPr>
          <w:szCs w:val="22"/>
          <w:lang w:val="lv-LV"/>
        </w:rPr>
        <w:t>≥ </w:t>
      </w:r>
      <w:r>
        <w:rPr>
          <w:lang w:val="lv-LV"/>
        </w:rPr>
        <w:t>1/10); bieži (</w:t>
      </w:r>
      <w:r w:rsidRPr="00707120">
        <w:rPr>
          <w:szCs w:val="22"/>
          <w:lang w:val="lv-LV"/>
        </w:rPr>
        <w:t>≥ </w:t>
      </w:r>
      <w:r>
        <w:rPr>
          <w:lang w:val="lv-LV"/>
        </w:rPr>
        <w:t>1/100 līdz ˂ 1/10) un retāk (</w:t>
      </w:r>
      <w:r w:rsidRPr="00707120">
        <w:rPr>
          <w:szCs w:val="22"/>
          <w:lang w:val="lv-LV"/>
        </w:rPr>
        <w:t>≥ </w:t>
      </w:r>
      <w:r>
        <w:rPr>
          <w:lang w:val="lv-LV"/>
        </w:rPr>
        <w:t>1/1000 līdz ˂ 1/100).</w:t>
      </w:r>
    </w:p>
    <w:p w14:paraId="7A3B2F40" w14:textId="77777777" w:rsidR="0011235E" w:rsidRDefault="0011235E" w:rsidP="0011235E">
      <w:pPr>
        <w:autoSpaceDE w:val="0"/>
        <w:rPr>
          <w:shd w:val="clear" w:color="auto" w:fill="FFFF00"/>
          <w:lang w:val="lv-LV"/>
        </w:rPr>
      </w:pPr>
    </w:p>
    <w:p w14:paraId="4B90ACB3" w14:textId="57CCA582" w:rsidR="0011235E" w:rsidRDefault="0011235E" w:rsidP="0011235E">
      <w:pPr>
        <w:keepNext/>
        <w:keepLines/>
        <w:autoSpaceDE w:val="0"/>
        <w:rPr>
          <w:i/>
          <w:lang w:val="lv-LV"/>
        </w:rPr>
      </w:pPr>
      <w:r>
        <w:rPr>
          <w:i/>
          <w:lang w:val="lv-LV"/>
        </w:rPr>
        <w:t>3</w:t>
      </w:r>
      <w:r w:rsidRPr="00382C63">
        <w:rPr>
          <w:i/>
          <w:lang w:val="lv-LV"/>
        </w:rPr>
        <w:t>. tabula</w:t>
      </w:r>
      <w:r>
        <w:rPr>
          <w:i/>
          <w:lang w:val="lv-LV"/>
        </w:rPr>
        <w:t>. Nevēlamo blakusparādību saraksts, kas klīniskajos pētījumos radās</w:t>
      </w:r>
      <w:r w:rsidRPr="00382C63">
        <w:rPr>
          <w:i/>
          <w:lang w:val="lv-LV"/>
        </w:rPr>
        <w:t xml:space="preserve"> pacientiem ar sJIA vai pJIA, k</w:t>
      </w:r>
      <w:r>
        <w:rPr>
          <w:i/>
          <w:lang w:val="lv-LV"/>
        </w:rPr>
        <w:t>uri</w:t>
      </w:r>
      <w:r w:rsidRPr="00382C63">
        <w:rPr>
          <w:i/>
          <w:lang w:val="lv-LV"/>
        </w:rPr>
        <w:t xml:space="preserve"> </w:t>
      </w:r>
      <w:r>
        <w:rPr>
          <w:i/>
          <w:lang w:val="lv-LV"/>
        </w:rPr>
        <w:t>saņēma</w:t>
      </w:r>
      <w:r w:rsidRPr="00382C63">
        <w:rPr>
          <w:i/>
          <w:lang w:val="lv-LV"/>
        </w:rPr>
        <w:t xml:space="preserve"> tocilizumabu monoterapijas veidā vai kombinācijā ar MTX</w:t>
      </w:r>
    </w:p>
    <w:p w14:paraId="083E3203" w14:textId="77777777" w:rsidR="0011235E" w:rsidRPr="00382C63" w:rsidRDefault="0011235E" w:rsidP="0011235E">
      <w:pPr>
        <w:keepNext/>
        <w:keepLines/>
        <w:autoSpaceDE w:val="0"/>
        <w:rPr>
          <w:i/>
          <w:sz w:val="20"/>
          <w:lang w:val="lv-LV"/>
        </w:rPr>
      </w:pPr>
    </w:p>
    <w:tbl>
      <w:tblPr>
        <w:tblW w:w="9072" w:type="dxa"/>
        <w:tblInd w:w="-5" w:type="dxa"/>
        <w:tblLayout w:type="fixed"/>
        <w:tblLook w:val="0000" w:firstRow="0" w:lastRow="0" w:firstColumn="0" w:lastColumn="0" w:noHBand="0" w:noVBand="0"/>
      </w:tblPr>
      <w:tblGrid>
        <w:gridCol w:w="1560"/>
        <w:gridCol w:w="2381"/>
        <w:gridCol w:w="1710"/>
        <w:gridCol w:w="1710"/>
        <w:gridCol w:w="1711"/>
      </w:tblGrid>
      <w:tr w:rsidR="0011235E" w:rsidRPr="008364C5" w14:paraId="60EBA0F5" w14:textId="77777777" w:rsidTr="00707120">
        <w:tc>
          <w:tcPr>
            <w:tcW w:w="1560" w:type="dxa"/>
            <w:tcBorders>
              <w:top w:val="single" w:sz="4" w:space="0" w:color="000000"/>
              <w:left w:val="single" w:sz="4" w:space="0" w:color="000000"/>
              <w:bottom w:val="single" w:sz="4" w:space="0" w:color="000000"/>
            </w:tcBorders>
          </w:tcPr>
          <w:p w14:paraId="55114E8B" w14:textId="63AB632E" w:rsidR="0011235E" w:rsidRPr="00846FA5" w:rsidRDefault="0011235E" w:rsidP="000D3469">
            <w:pPr>
              <w:keepNext/>
              <w:keepLines/>
              <w:autoSpaceDE w:val="0"/>
              <w:rPr>
                <w:b/>
                <w:szCs w:val="22"/>
                <w:lang w:val="lv-LV"/>
              </w:rPr>
            </w:pPr>
            <w:r w:rsidRPr="00846FA5">
              <w:rPr>
                <w:b/>
                <w:szCs w:val="22"/>
                <w:lang w:val="lv-LV"/>
              </w:rPr>
              <w:t xml:space="preserve">MedDRA </w:t>
            </w:r>
            <w:r w:rsidR="000D3469">
              <w:rPr>
                <w:b/>
                <w:szCs w:val="22"/>
                <w:lang w:val="lv-LV"/>
              </w:rPr>
              <w:t>OSK</w:t>
            </w:r>
          </w:p>
        </w:tc>
        <w:tc>
          <w:tcPr>
            <w:tcW w:w="2381" w:type="dxa"/>
            <w:tcBorders>
              <w:top w:val="single" w:sz="4" w:space="0" w:color="000000"/>
              <w:left w:val="single" w:sz="4" w:space="0" w:color="000000"/>
              <w:bottom w:val="single" w:sz="4" w:space="0" w:color="000000"/>
            </w:tcBorders>
          </w:tcPr>
          <w:p w14:paraId="13FEFFD8" w14:textId="20D2BAF4" w:rsidR="0011235E" w:rsidRPr="00846FA5" w:rsidRDefault="0011235E" w:rsidP="0067693D">
            <w:pPr>
              <w:keepNext/>
              <w:keepLines/>
              <w:autoSpaceDE w:val="0"/>
              <w:rPr>
                <w:b/>
                <w:szCs w:val="22"/>
                <w:lang w:val="lv-LV"/>
              </w:rPr>
            </w:pPr>
            <w:r w:rsidRPr="00846FA5">
              <w:rPr>
                <w:b/>
                <w:szCs w:val="22"/>
                <w:lang w:val="lv-LV"/>
              </w:rPr>
              <w:t>Ieteicamais termins</w:t>
            </w:r>
            <w:r w:rsidR="000D3469">
              <w:rPr>
                <w:b/>
                <w:szCs w:val="22"/>
                <w:lang w:val="lv-LV"/>
              </w:rPr>
              <w:t xml:space="preserve"> (IT)</w:t>
            </w:r>
          </w:p>
        </w:tc>
        <w:tc>
          <w:tcPr>
            <w:tcW w:w="5131" w:type="dxa"/>
            <w:gridSpan w:val="3"/>
            <w:tcBorders>
              <w:top w:val="single" w:sz="4" w:space="0" w:color="000000"/>
              <w:left w:val="single" w:sz="4" w:space="0" w:color="000000"/>
              <w:bottom w:val="single" w:sz="4" w:space="0" w:color="000000"/>
              <w:right w:val="single" w:sz="4" w:space="0" w:color="000000"/>
            </w:tcBorders>
          </w:tcPr>
          <w:p w14:paraId="38A9B0AD" w14:textId="77777777" w:rsidR="0011235E" w:rsidRPr="00846FA5" w:rsidRDefault="0011235E" w:rsidP="0067693D">
            <w:pPr>
              <w:keepNext/>
              <w:keepLines/>
              <w:autoSpaceDE w:val="0"/>
              <w:jc w:val="center"/>
              <w:rPr>
                <w:szCs w:val="22"/>
                <w:lang w:val="lv-LV"/>
              </w:rPr>
            </w:pPr>
            <w:r w:rsidRPr="00846FA5">
              <w:rPr>
                <w:b/>
                <w:szCs w:val="22"/>
                <w:lang w:val="lv-LV"/>
              </w:rPr>
              <w:t>Biežums</w:t>
            </w:r>
          </w:p>
        </w:tc>
      </w:tr>
      <w:tr w:rsidR="0011235E" w:rsidRPr="008364C5" w14:paraId="09858B27" w14:textId="77777777" w:rsidTr="00707120">
        <w:tc>
          <w:tcPr>
            <w:tcW w:w="3941" w:type="dxa"/>
            <w:gridSpan w:val="2"/>
            <w:tcBorders>
              <w:top w:val="single" w:sz="4" w:space="0" w:color="000000"/>
              <w:left w:val="single" w:sz="4" w:space="0" w:color="000000"/>
              <w:bottom w:val="single" w:sz="4" w:space="0" w:color="000000"/>
            </w:tcBorders>
          </w:tcPr>
          <w:p w14:paraId="4A8AB51D" w14:textId="77777777" w:rsidR="0011235E" w:rsidRPr="00846FA5" w:rsidRDefault="0011235E" w:rsidP="0067693D">
            <w:pPr>
              <w:keepNext/>
              <w:keepLines/>
              <w:autoSpaceDE w:val="0"/>
              <w:rPr>
                <w:szCs w:val="22"/>
                <w:lang w:val="lv-LV"/>
              </w:rPr>
            </w:pPr>
            <w:r w:rsidRPr="00846FA5">
              <w:rPr>
                <w:szCs w:val="22"/>
                <w:lang w:val="lv-LV"/>
              </w:rPr>
              <w:t>Infekcijas un infestācijas</w:t>
            </w:r>
          </w:p>
        </w:tc>
        <w:tc>
          <w:tcPr>
            <w:tcW w:w="1710" w:type="dxa"/>
            <w:tcBorders>
              <w:top w:val="single" w:sz="4" w:space="0" w:color="000000"/>
              <w:left w:val="single" w:sz="4" w:space="0" w:color="000000"/>
              <w:bottom w:val="single" w:sz="4" w:space="0" w:color="000000"/>
            </w:tcBorders>
          </w:tcPr>
          <w:p w14:paraId="4652F8C5" w14:textId="77777777" w:rsidR="0011235E" w:rsidRPr="00846FA5" w:rsidRDefault="0011235E" w:rsidP="0067693D">
            <w:pPr>
              <w:keepNext/>
              <w:keepLines/>
              <w:autoSpaceDE w:val="0"/>
              <w:rPr>
                <w:szCs w:val="22"/>
                <w:lang w:val="lv-LV"/>
              </w:rPr>
            </w:pPr>
            <w:r w:rsidRPr="00846FA5">
              <w:rPr>
                <w:szCs w:val="22"/>
                <w:lang w:val="lv-LV"/>
              </w:rPr>
              <w:t>Ļoti bieži</w:t>
            </w:r>
          </w:p>
        </w:tc>
        <w:tc>
          <w:tcPr>
            <w:tcW w:w="1710" w:type="dxa"/>
            <w:tcBorders>
              <w:top w:val="single" w:sz="4" w:space="0" w:color="000000"/>
              <w:left w:val="single" w:sz="4" w:space="0" w:color="000000"/>
              <w:bottom w:val="single" w:sz="4" w:space="0" w:color="000000"/>
            </w:tcBorders>
          </w:tcPr>
          <w:p w14:paraId="781E723B" w14:textId="77777777" w:rsidR="0011235E" w:rsidRPr="00846FA5" w:rsidRDefault="0011235E" w:rsidP="0067693D">
            <w:pPr>
              <w:keepNext/>
              <w:keepLines/>
              <w:autoSpaceDE w:val="0"/>
              <w:rPr>
                <w:szCs w:val="22"/>
                <w:lang w:val="lv-LV"/>
              </w:rPr>
            </w:pPr>
            <w:r w:rsidRPr="00846FA5">
              <w:rPr>
                <w:szCs w:val="22"/>
                <w:lang w:val="lv-LV"/>
              </w:rPr>
              <w:t>Bieži</w:t>
            </w:r>
          </w:p>
        </w:tc>
        <w:tc>
          <w:tcPr>
            <w:tcW w:w="1711" w:type="dxa"/>
            <w:tcBorders>
              <w:top w:val="single" w:sz="4" w:space="0" w:color="000000"/>
              <w:left w:val="single" w:sz="4" w:space="0" w:color="000000"/>
              <w:bottom w:val="single" w:sz="4" w:space="0" w:color="000000"/>
              <w:right w:val="single" w:sz="4" w:space="0" w:color="000000"/>
            </w:tcBorders>
          </w:tcPr>
          <w:p w14:paraId="43114B60" w14:textId="77777777" w:rsidR="0011235E" w:rsidRPr="00846FA5" w:rsidRDefault="0011235E" w:rsidP="0067693D">
            <w:pPr>
              <w:keepNext/>
              <w:keepLines/>
              <w:autoSpaceDE w:val="0"/>
              <w:rPr>
                <w:szCs w:val="22"/>
                <w:lang w:val="lv-LV"/>
              </w:rPr>
            </w:pPr>
            <w:r w:rsidRPr="00846FA5">
              <w:rPr>
                <w:szCs w:val="22"/>
                <w:lang w:val="lv-LV"/>
              </w:rPr>
              <w:t>Retāk</w:t>
            </w:r>
          </w:p>
        </w:tc>
      </w:tr>
      <w:tr w:rsidR="0011235E" w:rsidRPr="008364C5" w14:paraId="0FB357CC" w14:textId="77777777" w:rsidTr="00707120">
        <w:tc>
          <w:tcPr>
            <w:tcW w:w="1560" w:type="dxa"/>
            <w:tcBorders>
              <w:top w:val="single" w:sz="4" w:space="0" w:color="000000"/>
              <w:left w:val="single" w:sz="4" w:space="0" w:color="000000"/>
              <w:bottom w:val="single" w:sz="4" w:space="0" w:color="000000"/>
            </w:tcBorders>
          </w:tcPr>
          <w:p w14:paraId="63381282" w14:textId="77777777" w:rsidR="0011235E" w:rsidRPr="00846FA5" w:rsidRDefault="0011235E" w:rsidP="0067693D">
            <w:pPr>
              <w:keepNext/>
              <w:keepLines/>
              <w:autoSpaceDE w:val="0"/>
              <w:snapToGrid w:val="0"/>
              <w:rPr>
                <w:szCs w:val="22"/>
                <w:lang w:val="lv-LV"/>
              </w:rPr>
            </w:pPr>
          </w:p>
        </w:tc>
        <w:tc>
          <w:tcPr>
            <w:tcW w:w="2381" w:type="dxa"/>
            <w:tcBorders>
              <w:top w:val="single" w:sz="4" w:space="0" w:color="000000"/>
              <w:left w:val="single" w:sz="4" w:space="0" w:color="000000"/>
              <w:bottom w:val="single" w:sz="4" w:space="0" w:color="000000"/>
            </w:tcBorders>
          </w:tcPr>
          <w:p w14:paraId="792B0008" w14:textId="77777777" w:rsidR="0011235E" w:rsidRPr="00846FA5" w:rsidRDefault="0011235E" w:rsidP="0067693D">
            <w:pPr>
              <w:keepNext/>
              <w:keepLines/>
              <w:autoSpaceDE w:val="0"/>
              <w:rPr>
                <w:szCs w:val="22"/>
                <w:lang w:val="lv-LV"/>
              </w:rPr>
            </w:pPr>
            <w:r w:rsidRPr="00846FA5">
              <w:rPr>
                <w:szCs w:val="22"/>
                <w:lang w:val="lv-LV"/>
              </w:rPr>
              <w:t xml:space="preserve">Augšējo elpceļu infekcijas </w:t>
            </w:r>
          </w:p>
        </w:tc>
        <w:tc>
          <w:tcPr>
            <w:tcW w:w="1710" w:type="dxa"/>
            <w:tcBorders>
              <w:top w:val="single" w:sz="4" w:space="0" w:color="000000"/>
              <w:left w:val="single" w:sz="4" w:space="0" w:color="000000"/>
              <w:bottom w:val="single" w:sz="4" w:space="0" w:color="000000"/>
            </w:tcBorders>
          </w:tcPr>
          <w:p w14:paraId="01AD27F3" w14:textId="77777777" w:rsidR="0011235E" w:rsidRPr="00846FA5" w:rsidRDefault="0011235E" w:rsidP="0067693D">
            <w:pPr>
              <w:keepNext/>
              <w:keepLines/>
              <w:autoSpaceDE w:val="0"/>
              <w:rPr>
                <w:szCs w:val="22"/>
              </w:rPr>
            </w:pPr>
            <w:r w:rsidRPr="00846FA5">
              <w:rPr>
                <w:szCs w:val="22"/>
                <w:lang w:val="lv-LV"/>
              </w:rPr>
              <w:t>pJIA, s</w:t>
            </w:r>
            <w:r w:rsidRPr="00846FA5">
              <w:rPr>
                <w:szCs w:val="22"/>
              </w:rPr>
              <w:t>JIA</w:t>
            </w:r>
          </w:p>
        </w:tc>
        <w:tc>
          <w:tcPr>
            <w:tcW w:w="1710" w:type="dxa"/>
            <w:tcBorders>
              <w:top w:val="single" w:sz="4" w:space="0" w:color="000000"/>
              <w:left w:val="single" w:sz="4" w:space="0" w:color="000000"/>
              <w:bottom w:val="single" w:sz="4" w:space="0" w:color="000000"/>
            </w:tcBorders>
          </w:tcPr>
          <w:p w14:paraId="6AE23E43" w14:textId="77777777" w:rsidR="0011235E" w:rsidRPr="00846FA5" w:rsidRDefault="0011235E" w:rsidP="0067693D">
            <w:pPr>
              <w:keepNext/>
              <w:keepLines/>
              <w:autoSpaceDE w:val="0"/>
              <w:snapToGrid w:val="0"/>
              <w:rPr>
                <w:szCs w:val="22"/>
              </w:rPr>
            </w:pPr>
          </w:p>
        </w:tc>
        <w:tc>
          <w:tcPr>
            <w:tcW w:w="1711" w:type="dxa"/>
            <w:tcBorders>
              <w:top w:val="single" w:sz="4" w:space="0" w:color="000000"/>
              <w:left w:val="single" w:sz="4" w:space="0" w:color="000000"/>
              <w:bottom w:val="single" w:sz="4" w:space="0" w:color="000000"/>
              <w:right w:val="single" w:sz="4" w:space="0" w:color="000000"/>
            </w:tcBorders>
          </w:tcPr>
          <w:p w14:paraId="047B77E6" w14:textId="77777777" w:rsidR="0011235E" w:rsidRPr="00846FA5" w:rsidRDefault="0011235E" w:rsidP="0067693D">
            <w:pPr>
              <w:keepNext/>
              <w:keepLines/>
              <w:autoSpaceDE w:val="0"/>
              <w:snapToGrid w:val="0"/>
              <w:rPr>
                <w:szCs w:val="22"/>
              </w:rPr>
            </w:pPr>
          </w:p>
        </w:tc>
      </w:tr>
      <w:tr w:rsidR="0011235E" w:rsidRPr="008364C5" w14:paraId="034C31E3" w14:textId="77777777" w:rsidTr="00707120">
        <w:tc>
          <w:tcPr>
            <w:tcW w:w="1560" w:type="dxa"/>
            <w:tcBorders>
              <w:top w:val="single" w:sz="4" w:space="0" w:color="000000"/>
              <w:left w:val="single" w:sz="4" w:space="0" w:color="000000"/>
              <w:bottom w:val="single" w:sz="4" w:space="0" w:color="000000"/>
            </w:tcBorders>
          </w:tcPr>
          <w:p w14:paraId="6E3BEB26" w14:textId="77777777" w:rsidR="0011235E" w:rsidRPr="00846FA5" w:rsidRDefault="0011235E" w:rsidP="0067693D">
            <w:pPr>
              <w:keepNext/>
              <w:keepLines/>
              <w:autoSpaceDE w:val="0"/>
              <w:snapToGrid w:val="0"/>
              <w:rPr>
                <w:szCs w:val="22"/>
              </w:rPr>
            </w:pPr>
          </w:p>
        </w:tc>
        <w:tc>
          <w:tcPr>
            <w:tcW w:w="2381" w:type="dxa"/>
            <w:tcBorders>
              <w:top w:val="single" w:sz="4" w:space="0" w:color="000000"/>
              <w:left w:val="single" w:sz="4" w:space="0" w:color="000000"/>
              <w:bottom w:val="single" w:sz="4" w:space="0" w:color="000000"/>
            </w:tcBorders>
          </w:tcPr>
          <w:p w14:paraId="0BB8F9EF" w14:textId="77777777" w:rsidR="0011235E" w:rsidRPr="00846FA5" w:rsidRDefault="0011235E" w:rsidP="0067693D">
            <w:pPr>
              <w:keepNext/>
              <w:keepLines/>
              <w:autoSpaceDE w:val="0"/>
              <w:rPr>
                <w:szCs w:val="22"/>
              </w:rPr>
            </w:pPr>
            <w:r w:rsidRPr="00846FA5">
              <w:rPr>
                <w:szCs w:val="22"/>
              </w:rPr>
              <w:t>Nazofaringīts</w:t>
            </w:r>
          </w:p>
        </w:tc>
        <w:tc>
          <w:tcPr>
            <w:tcW w:w="1710" w:type="dxa"/>
            <w:tcBorders>
              <w:top w:val="single" w:sz="4" w:space="0" w:color="000000"/>
              <w:left w:val="single" w:sz="4" w:space="0" w:color="000000"/>
              <w:bottom w:val="single" w:sz="4" w:space="0" w:color="000000"/>
            </w:tcBorders>
          </w:tcPr>
          <w:p w14:paraId="5258F34E" w14:textId="77777777" w:rsidR="0011235E" w:rsidRPr="00846FA5" w:rsidRDefault="0011235E" w:rsidP="0067693D">
            <w:pPr>
              <w:keepNext/>
              <w:keepLines/>
              <w:autoSpaceDE w:val="0"/>
              <w:rPr>
                <w:szCs w:val="22"/>
              </w:rPr>
            </w:pPr>
            <w:r w:rsidRPr="00846FA5">
              <w:rPr>
                <w:szCs w:val="22"/>
              </w:rPr>
              <w:t>pJIA, sJIA</w:t>
            </w:r>
          </w:p>
        </w:tc>
        <w:tc>
          <w:tcPr>
            <w:tcW w:w="1710" w:type="dxa"/>
            <w:tcBorders>
              <w:top w:val="single" w:sz="4" w:space="0" w:color="000000"/>
              <w:left w:val="single" w:sz="4" w:space="0" w:color="000000"/>
              <w:bottom w:val="single" w:sz="4" w:space="0" w:color="000000"/>
            </w:tcBorders>
          </w:tcPr>
          <w:p w14:paraId="397ADAFE" w14:textId="77777777" w:rsidR="0011235E" w:rsidRPr="00846FA5" w:rsidRDefault="0011235E" w:rsidP="0067693D">
            <w:pPr>
              <w:keepNext/>
              <w:keepLines/>
              <w:autoSpaceDE w:val="0"/>
              <w:snapToGrid w:val="0"/>
              <w:rPr>
                <w:szCs w:val="22"/>
              </w:rPr>
            </w:pPr>
          </w:p>
        </w:tc>
        <w:tc>
          <w:tcPr>
            <w:tcW w:w="1711" w:type="dxa"/>
            <w:tcBorders>
              <w:top w:val="single" w:sz="4" w:space="0" w:color="000000"/>
              <w:left w:val="single" w:sz="4" w:space="0" w:color="000000"/>
              <w:bottom w:val="single" w:sz="4" w:space="0" w:color="000000"/>
              <w:right w:val="single" w:sz="4" w:space="0" w:color="000000"/>
            </w:tcBorders>
          </w:tcPr>
          <w:p w14:paraId="39300C14" w14:textId="77777777" w:rsidR="0011235E" w:rsidRPr="00846FA5" w:rsidRDefault="0011235E" w:rsidP="0067693D">
            <w:pPr>
              <w:keepNext/>
              <w:keepLines/>
              <w:autoSpaceDE w:val="0"/>
              <w:snapToGrid w:val="0"/>
              <w:rPr>
                <w:szCs w:val="22"/>
              </w:rPr>
            </w:pPr>
          </w:p>
        </w:tc>
      </w:tr>
      <w:tr w:rsidR="0011235E" w:rsidRPr="008364C5" w14:paraId="6A86B288" w14:textId="77777777" w:rsidTr="007071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941" w:type="dxa"/>
            <w:gridSpan w:val="2"/>
          </w:tcPr>
          <w:p w14:paraId="1D22840B" w14:textId="77777777" w:rsidR="0011235E" w:rsidRPr="008364C5" w:rsidRDefault="0011235E" w:rsidP="0067693D">
            <w:pPr>
              <w:pStyle w:val="Standard1"/>
              <w:keepNext/>
              <w:keepLines/>
              <w:autoSpaceDE w:val="0"/>
              <w:autoSpaceDN w:val="0"/>
              <w:adjustRightInd w:val="0"/>
              <w:rPr>
                <w:szCs w:val="22"/>
              </w:rPr>
            </w:pPr>
            <w:r w:rsidRPr="008364C5">
              <w:rPr>
                <w:szCs w:val="22"/>
              </w:rPr>
              <w:t>Nervu sistēmas traucējumi</w:t>
            </w:r>
          </w:p>
        </w:tc>
        <w:tc>
          <w:tcPr>
            <w:tcW w:w="1710" w:type="dxa"/>
          </w:tcPr>
          <w:p w14:paraId="503064C7" w14:textId="77777777" w:rsidR="0011235E" w:rsidRPr="008364C5" w:rsidRDefault="0011235E" w:rsidP="0067693D">
            <w:pPr>
              <w:pStyle w:val="Standard1"/>
              <w:keepNext/>
              <w:keepLines/>
              <w:autoSpaceDE w:val="0"/>
              <w:autoSpaceDN w:val="0"/>
              <w:adjustRightInd w:val="0"/>
              <w:rPr>
                <w:szCs w:val="22"/>
              </w:rPr>
            </w:pPr>
          </w:p>
        </w:tc>
        <w:tc>
          <w:tcPr>
            <w:tcW w:w="1710" w:type="dxa"/>
          </w:tcPr>
          <w:p w14:paraId="6B96FB69" w14:textId="77777777" w:rsidR="0011235E" w:rsidRPr="008364C5" w:rsidRDefault="0011235E" w:rsidP="0067693D">
            <w:pPr>
              <w:pStyle w:val="Standard1"/>
              <w:keepNext/>
              <w:keepLines/>
              <w:autoSpaceDE w:val="0"/>
              <w:autoSpaceDN w:val="0"/>
              <w:adjustRightInd w:val="0"/>
              <w:rPr>
                <w:szCs w:val="22"/>
              </w:rPr>
            </w:pPr>
          </w:p>
        </w:tc>
        <w:tc>
          <w:tcPr>
            <w:tcW w:w="1711" w:type="dxa"/>
          </w:tcPr>
          <w:p w14:paraId="1A37D22C" w14:textId="77777777" w:rsidR="0011235E" w:rsidRPr="008364C5" w:rsidRDefault="0011235E" w:rsidP="0067693D">
            <w:pPr>
              <w:pStyle w:val="Standard1"/>
              <w:keepNext/>
              <w:keepLines/>
              <w:autoSpaceDE w:val="0"/>
              <w:autoSpaceDN w:val="0"/>
              <w:adjustRightInd w:val="0"/>
              <w:rPr>
                <w:szCs w:val="22"/>
              </w:rPr>
            </w:pPr>
          </w:p>
        </w:tc>
      </w:tr>
      <w:tr w:rsidR="0011235E" w:rsidRPr="008364C5" w14:paraId="2628BCB3" w14:textId="77777777" w:rsidTr="007071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560" w:type="dxa"/>
          </w:tcPr>
          <w:p w14:paraId="4C7BEF5C" w14:textId="77777777" w:rsidR="0011235E" w:rsidRPr="008364C5" w:rsidRDefault="0011235E" w:rsidP="0067693D">
            <w:pPr>
              <w:pStyle w:val="Standard1"/>
              <w:keepNext/>
              <w:keepLines/>
              <w:autoSpaceDE w:val="0"/>
              <w:autoSpaceDN w:val="0"/>
              <w:adjustRightInd w:val="0"/>
              <w:rPr>
                <w:szCs w:val="22"/>
              </w:rPr>
            </w:pPr>
          </w:p>
        </w:tc>
        <w:tc>
          <w:tcPr>
            <w:tcW w:w="2381" w:type="dxa"/>
          </w:tcPr>
          <w:p w14:paraId="499A8219" w14:textId="77777777" w:rsidR="0011235E" w:rsidRPr="008364C5" w:rsidRDefault="0011235E" w:rsidP="0067693D">
            <w:pPr>
              <w:pStyle w:val="Standard1"/>
              <w:keepNext/>
              <w:keepLines/>
              <w:autoSpaceDE w:val="0"/>
              <w:autoSpaceDN w:val="0"/>
              <w:adjustRightInd w:val="0"/>
              <w:rPr>
                <w:szCs w:val="22"/>
              </w:rPr>
            </w:pPr>
            <w:r w:rsidRPr="008364C5">
              <w:rPr>
                <w:szCs w:val="22"/>
              </w:rPr>
              <w:t>Galvassāpes</w:t>
            </w:r>
          </w:p>
        </w:tc>
        <w:tc>
          <w:tcPr>
            <w:tcW w:w="1710" w:type="dxa"/>
          </w:tcPr>
          <w:p w14:paraId="477DE594" w14:textId="77777777" w:rsidR="0011235E" w:rsidRPr="008364C5" w:rsidRDefault="0011235E" w:rsidP="0067693D">
            <w:pPr>
              <w:pStyle w:val="Standard1"/>
              <w:keepNext/>
              <w:keepLines/>
              <w:autoSpaceDE w:val="0"/>
              <w:autoSpaceDN w:val="0"/>
              <w:adjustRightInd w:val="0"/>
              <w:rPr>
                <w:szCs w:val="22"/>
              </w:rPr>
            </w:pPr>
            <w:r w:rsidRPr="008364C5">
              <w:rPr>
                <w:szCs w:val="22"/>
              </w:rPr>
              <w:t>pJIA</w:t>
            </w:r>
          </w:p>
        </w:tc>
        <w:tc>
          <w:tcPr>
            <w:tcW w:w="1710" w:type="dxa"/>
          </w:tcPr>
          <w:p w14:paraId="43DD3934" w14:textId="77777777" w:rsidR="0011235E" w:rsidRPr="008364C5" w:rsidRDefault="0011235E" w:rsidP="0067693D">
            <w:pPr>
              <w:pStyle w:val="Standard1"/>
              <w:keepNext/>
              <w:keepLines/>
              <w:autoSpaceDE w:val="0"/>
              <w:autoSpaceDN w:val="0"/>
              <w:adjustRightInd w:val="0"/>
              <w:rPr>
                <w:szCs w:val="22"/>
              </w:rPr>
            </w:pPr>
            <w:r w:rsidRPr="008364C5">
              <w:rPr>
                <w:szCs w:val="22"/>
              </w:rPr>
              <w:t>sJIA</w:t>
            </w:r>
          </w:p>
        </w:tc>
        <w:tc>
          <w:tcPr>
            <w:tcW w:w="1711" w:type="dxa"/>
          </w:tcPr>
          <w:p w14:paraId="18E862F3" w14:textId="77777777" w:rsidR="0011235E" w:rsidRPr="008364C5" w:rsidRDefault="0011235E" w:rsidP="0067693D">
            <w:pPr>
              <w:pStyle w:val="Standard1"/>
              <w:keepNext/>
              <w:keepLines/>
              <w:autoSpaceDE w:val="0"/>
              <w:autoSpaceDN w:val="0"/>
              <w:adjustRightInd w:val="0"/>
              <w:rPr>
                <w:szCs w:val="22"/>
              </w:rPr>
            </w:pPr>
          </w:p>
        </w:tc>
      </w:tr>
      <w:tr w:rsidR="0011235E" w:rsidRPr="004464CC" w14:paraId="288B0E82" w14:textId="77777777" w:rsidTr="007071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941" w:type="dxa"/>
            <w:gridSpan w:val="2"/>
          </w:tcPr>
          <w:p w14:paraId="03DBF041" w14:textId="4108D3E5" w:rsidR="0011235E" w:rsidRPr="008364C5" w:rsidRDefault="0011235E" w:rsidP="00BD246C">
            <w:pPr>
              <w:pStyle w:val="Standard1"/>
              <w:keepNext/>
              <w:keepLines/>
              <w:autoSpaceDE w:val="0"/>
              <w:autoSpaceDN w:val="0"/>
              <w:adjustRightInd w:val="0"/>
              <w:rPr>
                <w:szCs w:val="22"/>
              </w:rPr>
            </w:pPr>
            <w:r w:rsidRPr="0088580D">
              <w:rPr>
                <w:szCs w:val="22"/>
              </w:rPr>
              <w:t>Kuņģa</w:t>
            </w:r>
            <w:r w:rsidR="00BD246C">
              <w:rPr>
                <w:szCs w:val="22"/>
              </w:rPr>
              <w:t xml:space="preserve"> un </w:t>
            </w:r>
            <w:r w:rsidRPr="0088580D">
              <w:rPr>
                <w:szCs w:val="22"/>
              </w:rPr>
              <w:t>zarnu trakta traucējumi</w:t>
            </w:r>
          </w:p>
        </w:tc>
        <w:tc>
          <w:tcPr>
            <w:tcW w:w="1710" w:type="dxa"/>
          </w:tcPr>
          <w:p w14:paraId="279C9D32" w14:textId="77777777" w:rsidR="0011235E" w:rsidRPr="008364C5" w:rsidRDefault="0011235E" w:rsidP="0067693D">
            <w:pPr>
              <w:pStyle w:val="Standard1"/>
              <w:keepNext/>
              <w:keepLines/>
              <w:autoSpaceDE w:val="0"/>
              <w:autoSpaceDN w:val="0"/>
              <w:adjustRightInd w:val="0"/>
              <w:rPr>
                <w:szCs w:val="22"/>
              </w:rPr>
            </w:pPr>
          </w:p>
        </w:tc>
        <w:tc>
          <w:tcPr>
            <w:tcW w:w="1710" w:type="dxa"/>
          </w:tcPr>
          <w:p w14:paraId="3E4747C1" w14:textId="77777777" w:rsidR="0011235E" w:rsidRPr="008364C5" w:rsidRDefault="0011235E" w:rsidP="0067693D">
            <w:pPr>
              <w:pStyle w:val="Standard1"/>
              <w:keepNext/>
              <w:keepLines/>
              <w:autoSpaceDE w:val="0"/>
              <w:autoSpaceDN w:val="0"/>
              <w:adjustRightInd w:val="0"/>
              <w:rPr>
                <w:szCs w:val="22"/>
              </w:rPr>
            </w:pPr>
          </w:p>
        </w:tc>
        <w:tc>
          <w:tcPr>
            <w:tcW w:w="1711" w:type="dxa"/>
          </w:tcPr>
          <w:p w14:paraId="4F98809E" w14:textId="77777777" w:rsidR="0011235E" w:rsidRPr="008364C5" w:rsidRDefault="0011235E" w:rsidP="0067693D">
            <w:pPr>
              <w:pStyle w:val="Standard1"/>
              <w:keepNext/>
              <w:keepLines/>
              <w:autoSpaceDE w:val="0"/>
              <w:autoSpaceDN w:val="0"/>
              <w:adjustRightInd w:val="0"/>
              <w:rPr>
                <w:szCs w:val="22"/>
              </w:rPr>
            </w:pPr>
          </w:p>
        </w:tc>
      </w:tr>
      <w:tr w:rsidR="0011235E" w:rsidRPr="008364C5" w14:paraId="1F6EBCAB" w14:textId="77777777" w:rsidTr="00707120">
        <w:tc>
          <w:tcPr>
            <w:tcW w:w="1560" w:type="dxa"/>
            <w:tcBorders>
              <w:top w:val="single" w:sz="4" w:space="0" w:color="000000"/>
              <w:left w:val="single" w:sz="4" w:space="0" w:color="000000"/>
              <w:bottom w:val="single" w:sz="4" w:space="0" w:color="000000"/>
            </w:tcBorders>
          </w:tcPr>
          <w:p w14:paraId="79B85449" w14:textId="77777777" w:rsidR="0011235E" w:rsidRPr="00707120" w:rsidRDefault="0011235E" w:rsidP="0067693D">
            <w:pPr>
              <w:keepNext/>
              <w:keepLines/>
              <w:autoSpaceDE w:val="0"/>
              <w:snapToGrid w:val="0"/>
              <w:rPr>
                <w:szCs w:val="22"/>
                <w:lang w:val="es-ES"/>
              </w:rPr>
            </w:pPr>
          </w:p>
        </w:tc>
        <w:tc>
          <w:tcPr>
            <w:tcW w:w="2381" w:type="dxa"/>
            <w:tcBorders>
              <w:top w:val="single" w:sz="4" w:space="0" w:color="000000"/>
              <w:left w:val="single" w:sz="4" w:space="0" w:color="000000"/>
              <w:bottom w:val="single" w:sz="4" w:space="0" w:color="000000"/>
            </w:tcBorders>
          </w:tcPr>
          <w:p w14:paraId="2F86642A" w14:textId="77777777" w:rsidR="0011235E" w:rsidRPr="00846FA5" w:rsidRDefault="0011235E" w:rsidP="0067693D">
            <w:pPr>
              <w:keepNext/>
              <w:keepLines/>
              <w:autoSpaceDE w:val="0"/>
              <w:rPr>
                <w:szCs w:val="22"/>
              </w:rPr>
            </w:pPr>
            <w:r w:rsidRPr="00846FA5">
              <w:rPr>
                <w:szCs w:val="22"/>
              </w:rPr>
              <w:t>Slikta dūša</w:t>
            </w:r>
          </w:p>
        </w:tc>
        <w:tc>
          <w:tcPr>
            <w:tcW w:w="1710" w:type="dxa"/>
            <w:tcBorders>
              <w:top w:val="single" w:sz="4" w:space="0" w:color="000000"/>
              <w:left w:val="single" w:sz="4" w:space="0" w:color="000000"/>
              <w:bottom w:val="single" w:sz="4" w:space="0" w:color="000000"/>
            </w:tcBorders>
          </w:tcPr>
          <w:p w14:paraId="51BD6B9C" w14:textId="77777777" w:rsidR="0011235E" w:rsidRPr="00846FA5" w:rsidRDefault="0011235E" w:rsidP="0067693D">
            <w:pPr>
              <w:keepNext/>
              <w:keepLines/>
              <w:autoSpaceDE w:val="0"/>
              <w:snapToGrid w:val="0"/>
              <w:rPr>
                <w:szCs w:val="22"/>
              </w:rPr>
            </w:pPr>
          </w:p>
        </w:tc>
        <w:tc>
          <w:tcPr>
            <w:tcW w:w="1710" w:type="dxa"/>
            <w:tcBorders>
              <w:top w:val="single" w:sz="4" w:space="0" w:color="000000"/>
              <w:left w:val="single" w:sz="4" w:space="0" w:color="000000"/>
              <w:bottom w:val="single" w:sz="4" w:space="0" w:color="000000"/>
            </w:tcBorders>
          </w:tcPr>
          <w:p w14:paraId="6AD61D08" w14:textId="77777777" w:rsidR="0011235E" w:rsidRPr="00846FA5" w:rsidRDefault="0011235E" w:rsidP="0067693D">
            <w:pPr>
              <w:keepNext/>
              <w:keepLines/>
              <w:autoSpaceDE w:val="0"/>
              <w:rPr>
                <w:szCs w:val="22"/>
              </w:rPr>
            </w:pPr>
            <w:r w:rsidRPr="00846FA5">
              <w:rPr>
                <w:szCs w:val="22"/>
              </w:rPr>
              <w:t>pJIA</w:t>
            </w:r>
          </w:p>
        </w:tc>
        <w:tc>
          <w:tcPr>
            <w:tcW w:w="1711" w:type="dxa"/>
            <w:tcBorders>
              <w:top w:val="single" w:sz="4" w:space="0" w:color="000000"/>
              <w:left w:val="single" w:sz="4" w:space="0" w:color="000000"/>
              <w:bottom w:val="single" w:sz="4" w:space="0" w:color="000000"/>
              <w:right w:val="single" w:sz="4" w:space="0" w:color="000000"/>
            </w:tcBorders>
          </w:tcPr>
          <w:p w14:paraId="3324A22F" w14:textId="77777777" w:rsidR="0011235E" w:rsidRPr="00846FA5" w:rsidRDefault="0011235E" w:rsidP="0067693D">
            <w:pPr>
              <w:keepNext/>
              <w:keepLines/>
              <w:autoSpaceDE w:val="0"/>
              <w:snapToGrid w:val="0"/>
              <w:rPr>
                <w:szCs w:val="22"/>
              </w:rPr>
            </w:pPr>
          </w:p>
        </w:tc>
      </w:tr>
      <w:tr w:rsidR="0011235E" w:rsidRPr="008364C5" w14:paraId="773198AA" w14:textId="77777777" w:rsidTr="00707120">
        <w:tc>
          <w:tcPr>
            <w:tcW w:w="1560" w:type="dxa"/>
            <w:tcBorders>
              <w:top w:val="single" w:sz="4" w:space="0" w:color="000000"/>
              <w:left w:val="single" w:sz="4" w:space="0" w:color="000000"/>
              <w:bottom w:val="single" w:sz="4" w:space="0" w:color="000000"/>
            </w:tcBorders>
          </w:tcPr>
          <w:p w14:paraId="7648AC8E" w14:textId="77777777" w:rsidR="0011235E" w:rsidRPr="00846FA5" w:rsidRDefault="0011235E" w:rsidP="0067693D">
            <w:pPr>
              <w:keepNext/>
              <w:keepLines/>
              <w:autoSpaceDE w:val="0"/>
              <w:snapToGrid w:val="0"/>
              <w:rPr>
                <w:szCs w:val="22"/>
              </w:rPr>
            </w:pPr>
          </w:p>
        </w:tc>
        <w:tc>
          <w:tcPr>
            <w:tcW w:w="2381" w:type="dxa"/>
            <w:tcBorders>
              <w:top w:val="single" w:sz="4" w:space="0" w:color="000000"/>
              <w:left w:val="single" w:sz="4" w:space="0" w:color="000000"/>
              <w:bottom w:val="single" w:sz="4" w:space="0" w:color="000000"/>
            </w:tcBorders>
          </w:tcPr>
          <w:p w14:paraId="5D10CBE1" w14:textId="77777777" w:rsidR="0011235E" w:rsidRPr="00846FA5" w:rsidRDefault="0011235E" w:rsidP="0067693D">
            <w:pPr>
              <w:keepNext/>
              <w:keepLines/>
              <w:autoSpaceDE w:val="0"/>
              <w:rPr>
                <w:szCs w:val="22"/>
              </w:rPr>
            </w:pPr>
            <w:r w:rsidRPr="00846FA5">
              <w:rPr>
                <w:szCs w:val="22"/>
              </w:rPr>
              <w:t>Caureja</w:t>
            </w:r>
          </w:p>
        </w:tc>
        <w:tc>
          <w:tcPr>
            <w:tcW w:w="1710" w:type="dxa"/>
            <w:tcBorders>
              <w:top w:val="single" w:sz="4" w:space="0" w:color="000000"/>
              <w:left w:val="single" w:sz="4" w:space="0" w:color="000000"/>
              <w:bottom w:val="single" w:sz="4" w:space="0" w:color="000000"/>
            </w:tcBorders>
          </w:tcPr>
          <w:p w14:paraId="686A6029" w14:textId="77777777" w:rsidR="0011235E" w:rsidRPr="00846FA5" w:rsidRDefault="0011235E" w:rsidP="0067693D">
            <w:pPr>
              <w:keepNext/>
              <w:keepLines/>
              <w:autoSpaceDE w:val="0"/>
              <w:snapToGrid w:val="0"/>
              <w:rPr>
                <w:szCs w:val="22"/>
              </w:rPr>
            </w:pPr>
          </w:p>
        </w:tc>
        <w:tc>
          <w:tcPr>
            <w:tcW w:w="1710" w:type="dxa"/>
            <w:tcBorders>
              <w:top w:val="single" w:sz="4" w:space="0" w:color="000000"/>
              <w:left w:val="single" w:sz="4" w:space="0" w:color="000000"/>
              <w:bottom w:val="single" w:sz="4" w:space="0" w:color="000000"/>
            </w:tcBorders>
          </w:tcPr>
          <w:p w14:paraId="53F7F489" w14:textId="77777777" w:rsidR="0011235E" w:rsidRPr="00846FA5" w:rsidRDefault="0011235E" w:rsidP="0067693D">
            <w:pPr>
              <w:keepNext/>
              <w:keepLines/>
              <w:autoSpaceDE w:val="0"/>
              <w:rPr>
                <w:szCs w:val="22"/>
              </w:rPr>
            </w:pPr>
            <w:r w:rsidRPr="00846FA5">
              <w:rPr>
                <w:szCs w:val="22"/>
              </w:rPr>
              <w:t>pJIA, sJIA</w:t>
            </w:r>
          </w:p>
        </w:tc>
        <w:tc>
          <w:tcPr>
            <w:tcW w:w="1711" w:type="dxa"/>
            <w:tcBorders>
              <w:top w:val="single" w:sz="4" w:space="0" w:color="000000"/>
              <w:left w:val="single" w:sz="4" w:space="0" w:color="000000"/>
              <w:bottom w:val="single" w:sz="4" w:space="0" w:color="000000"/>
              <w:right w:val="single" w:sz="4" w:space="0" w:color="000000"/>
            </w:tcBorders>
          </w:tcPr>
          <w:p w14:paraId="6A6D1E55" w14:textId="77777777" w:rsidR="0011235E" w:rsidRPr="00846FA5" w:rsidRDefault="0011235E" w:rsidP="0067693D">
            <w:pPr>
              <w:keepNext/>
              <w:keepLines/>
              <w:autoSpaceDE w:val="0"/>
              <w:snapToGrid w:val="0"/>
              <w:rPr>
                <w:szCs w:val="22"/>
              </w:rPr>
            </w:pPr>
          </w:p>
        </w:tc>
      </w:tr>
      <w:tr w:rsidR="0011235E" w:rsidRPr="004464CC" w14:paraId="0B1F57A8" w14:textId="77777777" w:rsidTr="00707120">
        <w:tc>
          <w:tcPr>
            <w:tcW w:w="3941" w:type="dxa"/>
            <w:gridSpan w:val="2"/>
            <w:tcBorders>
              <w:top w:val="single" w:sz="4" w:space="0" w:color="000000"/>
              <w:left w:val="single" w:sz="4" w:space="0" w:color="000000"/>
              <w:bottom w:val="single" w:sz="4" w:space="0" w:color="000000"/>
            </w:tcBorders>
          </w:tcPr>
          <w:p w14:paraId="44BAA047" w14:textId="77777777" w:rsidR="0011235E" w:rsidRPr="00707120" w:rsidRDefault="0011235E" w:rsidP="0067693D">
            <w:pPr>
              <w:keepNext/>
              <w:keepLines/>
              <w:autoSpaceDE w:val="0"/>
              <w:rPr>
                <w:szCs w:val="22"/>
                <w:lang w:val="es-ES"/>
              </w:rPr>
            </w:pPr>
            <w:r w:rsidRPr="00707120">
              <w:rPr>
                <w:szCs w:val="22"/>
                <w:lang w:val="es-ES"/>
              </w:rPr>
              <w:t>Vispārēji traucējumi un reakcijas ievadīšanas vietā</w:t>
            </w:r>
          </w:p>
        </w:tc>
        <w:tc>
          <w:tcPr>
            <w:tcW w:w="1710" w:type="dxa"/>
            <w:tcBorders>
              <w:top w:val="single" w:sz="4" w:space="0" w:color="000000"/>
              <w:left w:val="single" w:sz="4" w:space="0" w:color="000000"/>
              <w:bottom w:val="single" w:sz="4" w:space="0" w:color="000000"/>
            </w:tcBorders>
          </w:tcPr>
          <w:p w14:paraId="46A39AA3" w14:textId="77777777" w:rsidR="0011235E" w:rsidRPr="00707120" w:rsidRDefault="0011235E" w:rsidP="0067693D">
            <w:pPr>
              <w:keepNext/>
              <w:keepLines/>
              <w:autoSpaceDE w:val="0"/>
              <w:snapToGrid w:val="0"/>
              <w:rPr>
                <w:szCs w:val="22"/>
                <w:lang w:val="es-ES"/>
              </w:rPr>
            </w:pPr>
          </w:p>
        </w:tc>
        <w:tc>
          <w:tcPr>
            <w:tcW w:w="1710" w:type="dxa"/>
            <w:tcBorders>
              <w:top w:val="single" w:sz="4" w:space="0" w:color="000000"/>
              <w:left w:val="single" w:sz="4" w:space="0" w:color="000000"/>
              <w:bottom w:val="single" w:sz="4" w:space="0" w:color="000000"/>
            </w:tcBorders>
          </w:tcPr>
          <w:p w14:paraId="0D7026B3" w14:textId="77777777" w:rsidR="0011235E" w:rsidRPr="00707120" w:rsidRDefault="0011235E" w:rsidP="0067693D">
            <w:pPr>
              <w:keepNext/>
              <w:keepLines/>
              <w:autoSpaceDE w:val="0"/>
              <w:snapToGrid w:val="0"/>
              <w:rPr>
                <w:szCs w:val="22"/>
                <w:lang w:val="es-ES"/>
              </w:rPr>
            </w:pPr>
          </w:p>
        </w:tc>
        <w:tc>
          <w:tcPr>
            <w:tcW w:w="1711" w:type="dxa"/>
            <w:tcBorders>
              <w:top w:val="single" w:sz="4" w:space="0" w:color="000000"/>
              <w:left w:val="single" w:sz="4" w:space="0" w:color="000000"/>
              <w:bottom w:val="single" w:sz="4" w:space="0" w:color="000000"/>
              <w:right w:val="single" w:sz="4" w:space="0" w:color="000000"/>
            </w:tcBorders>
          </w:tcPr>
          <w:p w14:paraId="22895F72" w14:textId="77777777" w:rsidR="0011235E" w:rsidRPr="00707120" w:rsidRDefault="0011235E" w:rsidP="0067693D">
            <w:pPr>
              <w:keepNext/>
              <w:keepLines/>
              <w:autoSpaceDE w:val="0"/>
              <w:snapToGrid w:val="0"/>
              <w:rPr>
                <w:szCs w:val="22"/>
                <w:lang w:val="es-ES"/>
              </w:rPr>
            </w:pPr>
          </w:p>
        </w:tc>
      </w:tr>
      <w:tr w:rsidR="0011235E" w:rsidRPr="008364C5" w14:paraId="48B889C3" w14:textId="77777777" w:rsidTr="00707120">
        <w:tc>
          <w:tcPr>
            <w:tcW w:w="1560" w:type="dxa"/>
            <w:tcBorders>
              <w:top w:val="single" w:sz="4" w:space="0" w:color="000000"/>
              <w:left w:val="single" w:sz="4" w:space="0" w:color="000000"/>
              <w:bottom w:val="single" w:sz="4" w:space="0" w:color="000000"/>
            </w:tcBorders>
          </w:tcPr>
          <w:p w14:paraId="4C728732" w14:textId="77777777" w:rsidR="0011235E" w:rsidRPr="00707120" w:rsidRDefault="0011235E" w:rsidP="0067693D">
            <w:pPr>
              <w:keepNext/>
              <w:keepLines/>
              <w:autoSpaceDE w:val="0"/>
              <w:snapToGrid w:val="0"/>
              <w:rPr>
                <w:szCs w:val="22"/>
                <w:lang w:val="es-ES"/>
              </w:rPr>
            </w:pPr>
          </w:p>
        </w:tc>
        <w:tc>
          <w:tcPr>
            <w:tcW w:w="2381" w:type="dxa"/>
            <w:tcBorders>
              <w:top w:val="single" w:sz="4" w:space="0" w:color="000000"/>
              <w:left w:val="single" w:sz="4" w:space="0" w:color="000000"/>
              <w:bottom w:val="single" w:sz="4" w:space="0" w:color="000000"/>
            </w:tcBorders>
          </w:tcPr>
          <w:p w14:paraId="60B967B9" w14:textId="77777777" w:rsidR="0011235E" w:rsidRPr="00846FA5" w:rsidRDefault="0011235E" w:rsidP="0067693D">
            <w:pPr>
              <w:keepNext/>
              <w:keepLines/>
              <w:autoSpaceDE w:val="0"/>
              <w:rPr>
                <w:szCs w:val="22"/>
              </w:rPr>
            </w:pPr>
            <w:r w:rsidRPr="00846FA5">
              <w:rPr>
                <w:szCs w:val="22"/>
              </w:rPr>
              <w:t>Ar infūziju saistītas reakcijas</w:t>
            </w:r>
          </w:p>
        </w:tc>
        <w:tc>
          <w:tcPr>
            <w:tcW w:w="1710" w:type="dxa"/>
            <w:tcBorders>
              <w:top w:val="single" w:sz="4" w:space="0" w:color="000000"/>
              <w:left w:val="single" w:sz="4" w:space="0" w:color="000000"/>
              <w:bottom w:val="single" w:sz="4" w:space="0" w:color="000000"/>
            </w:tcBorders>
          </w:tcPr>
          <w:p w14:paraId="43CD06E3" w14:textId="77777777" w:rsidR="0011235E" w:rsidRPr="00846FA5" w:rsidRDefault="0011235E" w:rsidP="0067693D">
            <w:pPr>
              <w:keepNext/>
              <w:keepLines/>
              <w:autoSpaceDE w:val="0"/>
              <w:snapToGrid w:val="0"/>
              <w:rPr>
                <w:szCs w:val="22"/>
              </w:rPr>
            </w:pPr>
          </w:p>
        </w:tc>
        <w:tc>
          <w:tcPr>
            <w:tcW w:w="1710" w:type="dxa"/>
            <w:tcBorders>
              <w:top w:val="single" w:sz="4" w:space="0" w:color="000000"/>
              <w:left w:val="single" w:sz="4" w:space="0" w:color="000000"/>
              <w:bottom w:val="single" w:sz="4" w:space="0" w:color="000000"/>
            </w:tcBorders>
          </w:tcPr>
          <w:p w14:paraId="2B8E14C6" w14:textId="77777777" w:rsidR="0011235E" w:rsidRPr="00846FA5" w:rsidRDefault="0011235E" w:rsidP="0067693D">
            <w:pPr>
              <w:keepNext/>
              <w:keepLines/>
              <w:autoSpaceDE w:val="0"/>
              <w:rPr>
                <w:szCs w:val="22"/>
              </w:rPr>
            </w:pPr>
            <w:r w:rsidRPr="00846FA5">
              <w:rPr>
                <w:szCs w:val="22"/>
              </w:rPr>
              <w:t>pJIA</w:t>
            </w:r>
            <w:r w:rsidRPr="00846FA5">
              <w:rPr>
                <w:szCs w:val="22"/>
                <w:vertAlign w:val="superscript"/>
              </w:rPr>
              <w:t>1</w:t>
            </w:r>
            <w:r w:rsidRPr="00846FA5">
              <w:rPr>
                <w:szCs w:val="22"/>
              </w:rPr>
              <w:t>, sJIA</w:t>
            </w:r>
            <w:r w:rsidRPr="00846FA5">
              <w:rPr>
                <w:szCs w:val="22"/>
                <w:vertAlign w:val="superscript"/>
              </w:rPr>
              <w:t>2</w:t>
            </w:r>
          </w:p>
        </w:tc>
        <w:tc>
          <w:tcPr>
            <w:tcW w:w="1711" w:type="dxa"/>
            <w:tcBorders>
              <w:top w:val="single" w:sz="4" w:space="0" w:color="000000"/>
              <w:left w:val="single" w:sz="4" w:space="0" w:color="000000"/>
              <w:bottom w:val="single" w:sz="4" w:space="0" w:color="000000"/>
              <w:right w:val="single" w:sz="4" w:space="0" w:color="000000"/>
            </w:tcBorders>
          </w:tcPr>
          <w:p w14:paraId="04BFAF66" w14:textId="77777777" w:rsidR="0011235E" w:rsidRPr="00846FA5" w:rsidRDefault="0011235E" w:rsidP="0067693D">
            <w:pPr>
              <w:keepNext/>
              <w:keepLines/>
              <w:autoSpaceDE w:val="0"/>
              <w:snapToGrid w:val="0"/>
              <w:rPr>
                <w:szCs w:val="22"/>
              </w:rPr>
            </w:pPr>
          </w:p>
        </w:tc>
      </w:tr>
      <w:tr w:rsidR="0011235E" w:rsidRPr="008364C5" w14:paraId="094E961E" w14:textId="77777777" w:rsidTr="00707120">
        <w:tc>
          <w:tcPr>
            <w:tcW w:w="3941" w:type="dxa"/>
            <w:gridSpan w:val="2"/>
            <w:tcBorders>
              <w:top w:val="single" w:sz="4" w:space="0" w:color="000000"/>
              <w:left w:val="single" w:sz="4" w:space="0" w:color="000000"/>
              <w:bottom w:val="single" w:sz="4" w:space="0" w:color="000000"/>
            </w:tcBorders>
          </w:tcPr>
          <w:p w14:paraId="6A89D009" w14:textId="77777777" w:rsidR="0011235E" w:rsidRPr="00846FA5" w:rsidRDefault="0011235E" w:rsidP="0067693D">
            <w:pPr>
              <w:keepNext/>
              <w:keepLines/>
              <w:autoSpaceDE w:val="0"/>
              <w:rPr>
                <w:szCs w:val="22"/>
              </w:rPr>
            </w:pPr>
            <w:r w:rsidRPr="00846FA5">
              <w:rPr>
                <w:szCs w:val="22"/>
              </w:rPr>
              <w:t>Izmeklējumi</w:t>
            </w:r>
          </w:p>
        </w:tc>
        <w:tc>
          <w:tcPr>
            <w:tcW w:w="1710" w:type="dxa"/>
            <w:tcBorders>
              <w:top w:val="single" w:sz="4" w:space="0" w:color="000000"/>
              <w:left w:val="single" w:sz="4" w:space="0" w:color="000000"/>
              <w:bottom w:val="single" w:sz="4" w:space="0" w:color="000000"/>
            </w:tcBorders>
          </w:tcPr>
          <w:p w14:paraId="43FECD13" w14:textId="77777777" w:rsidR="0011235E" w:rsidRPr="00846FA5" w:rsidRDefault="0011235E" w:rsidP="0067693D">
            <w:pPr>
              <w:keepNext/>
              <w:keepLines/>
              <w:autoSpaceDE w:val="0"/>
              <w:snapToGrid w:val="0"/>
              <w:rPr>
                <w:szCs w:val="22"/>
              </w:rPr>
            </w:pPr>
          </w:p>
        </w:tc>
        <w:tc>
          <w:tcPr>
            <w:tcW w:w="1710" w:type="dxa"/>
            <w:tcBorders>
              <w:top w:val="single" w:sz="4" w:space="0" w:color="000000"/>
              <w:left w:val="single" w:sz="4" w:space="0" w:color="000000"/>
              <w:bottom w:val="single" w:sz="4" w:space="0" w:color="000000"/>
            </w:tcBorders>
          </w:tcPr>
          <w:p w14:paraId="210E29A5" w14:textId="77777777" w:rsidR="0011235E" w:rsidRPr="00846FA5" w:rsidRDefault="0011235E" w:rsidP="0067693D">
            <w:pPr>
              <w:keepNext/>
              <w:keepLines/>
              <w:autoSpaceDE w:val="0"/>
              <w:snapToGrid w:val="0"/>
              <w:rPr>
                <w:szCs w:val="22"/>
              </w:rPr>
            </w:pPr>
          </w:p>
        </w:tc>
        <w:tc>
          <w:tcPr>
            <w:tcW w:w="1711" w:type="dxa"/>
            <w:tcBorders>
              <w:top w:val="single" w:sz="4" w:space="0" w:color="000000"/>
              <w:left w:val="single" w:sz="4" w:space="0" w:color="000000"/>
              <w:bottom w:val="single" w:sz="4" w:space="0" w:color="000000"/>
              <w:right w:val="single" w:sz="4" w:space="0" w:color="000000"/>
            </w:tcBorders>
          </w:tcPr>
          <w:p w14:paraId="37606D51" w14:textId="77777777" w:rsidR="0011235E" w:rsidRPr="00846FA5" w:rsidRDefault="0011235E" w:rsidP="0067693D">
            <w:pPr>
              <w:keepNext/>
              <w:keepLines/>
              <w:autoSpaceDE w:val="0"/>
              <w:snapToGrid w:val="0"/>
              <w:rPr>
                <w:szCs w:val="22"/>
              </w:rPr>
            </w:pPr>
          </w:p>
        </w:tc>
      </w:tr>
      <w:tr w:rsidR="0011235E" w:rsidRPr="008364C5" w14:paraId="39C45473" w14:textId="77777777" w:rsidTr="00707120">
        <w:tc>
          <w:tcPr>
            <w:tcW w:w="1560" w:type="dxa"/>
            <w:tcBorders>
              <w:top w:val="single" w:sz="4" w:space="0" w:color="000000"/>
              <w:left w:val="single" w:sz="4" w:space="0" w:color="000000"/>
              <w:bottom w:val="single" w:sz="4" w:space="0" w:color="000000"/>
            </w:tcBorders>
          </w:tcPr>
          <w:p w14:paraId="26E1C0A3" w14:textId="77777777" w:rsidR="0011235E" w:rsidRPr="008364C5" w:rsidRDefault="0011235E" w:rsidP="0067693D">
            <w:pPr>
              <w:keepNext/>
              <w:keepLines/>
              <w:autoSpaceDE w:val="0"/>
              <w:snapToGrid w:val="0"/>
              <w:rPr>
                <w:szCs w:val="22"/>
              </w:rPr>
            </w:pPr>
          </w:p>
        </w:tc>
        <w:tc>
          <w:tcPr>
            <w:tcW w:w="2381" w:type="dxa"/>
            <w:tcBorders>
              <w:top w:val="single" w:sz="4" w:space="0" w:color="000000"/>
              <w:left w:val="single" w:sz="4" w:space="0" w:color="000000"/>
              <w:bottom w:val="single" w:sz="4" w:space="0" w:color="000000"/>
            </w:tcBorders>
          </w:tcPr>
          <w:p w14:paraId="3DA7E87C" w14:textId="77777777" w:rsidR="0011235E" w:rsidRPr="008364C5" w:rsidRDefault="0011235E" w:rsidP="0067693D">
            <w:pPr>
              <w:keepNext/>
              <w:keepLines/>
              <w:autoSpaceDE w:val="0"/>
              <w:rPr>
                <w:szCs w:val="22"/>
              </w:rPr>
            </w:pPr>
            <w:r w:rsidRPr="008364C5">
              <w:rPr>
                <w:szCs w:val="22"/>
              </w:rPr>
              <w:t>Paaugstināts aknu transamināžu līmenis</w:t>
            </w:r>
          </w:p>
        </w:tc>
        <w:tc>
          <w:tcPr>
            <w:tcW w:w="1710" w:type="dxa"/>
            <w:tcBorders>
              <w:top w:val="single" w:sz="4" w:space="0" w:color="000000"/>
              <w:left w:val="single" w:sz="4" w:space="0" w:color="000000"/>
              <w:bottom w:val="single" w:sz="4" w:space="0" w:color="000000"/>
            </w:tcBorders>
          </w:tcPr>
          <w:p w14:paraId="6D8EAA85" w14:textId="77777777" w:rsidR="0011235E" w:rsidRPr="008364C5" w:rsidRDefault="0011235E" w:rsidP="0067693D">
            <w:pPr>
              <w:keepNext/>
              <w:keepLines/>
              <w:autoSpaceDE w:val="0"/>
              <w:snapToGrid w:val="0"/>
              <w:rPr>
                <w:szCs w:val="22"/>
              </w:rPr>
            </w:pPr>
          </w:p>
        </w:tc>
        <w:tc>
          <w:tcPr>
            <w:tcW w:w="1710" w:type="dxa"/>
            <w:tcBorders>
              <w:top w:val="single" w:sz="4" w:space="0" w:color="000000"/>
              <w:left w:val="single" w:sz="4" w:space="0" w:color="000000"/>
              <w:bottom w:val="single" w:sz="4" w:space="0" w:color="000000"/>
            </w:tcBorders>
          </w:tcPr>
          <w:p w14:paraId="1530A97A" w14:textId="77777777" w:rsidR="0011235E" w:rsidRPr="008364C5" w:rsidRDefault="0011235E" w:rsidP="0067693D">
            <w:pPr>
              <w:keepNext/>
              <w:keepLines/>
              <w:autoSpaceDE w:val="0"/>
              <w:rPr>
                <w:szCs w:val="22"/>
              </w:rPr>
            </w:pPr>
            <w:r w:rsidRPr="008364C5">
              <w:rPr>
                <w:szCs w:val="22"/>
              </w:rPr>
              <w:t>pJIA</w:t>
            </w:r>
          </w:p>
        </w:tc>
        <w:tc>
          <w:tcPr>
            <w:tcW w:w="1711" w:type="dxa"/>
            <w:tcBorders>
              <w:top w:val="single" w:sz="4" w:space="0" w:color="000000"/>
              <w:left w:val="single" w:sz="4" w:space="0" w:color="000000"/>
              <w:bottom w:val="single" w:sz="4" w:space="0" w:color="000000"/>
              <w:right w:val="single" w:sz="4" w:space="0" w:color="000000"/>
            </w:tcBorders>
          </w:tcPr>
          <w:p w14:paraId="06E27C39" w14:textId="77777777" w:rsidR="0011235E" w:rsidRPr="008364C5" w:rsidRDefault="0011235E" w:rsidP="0067693D">
            <w:pPr>
              <w:keepNext/>
              <w:keepLines/>
              <w:autoSpaceDE w:val="0"/>
              <w:snapToGrid w:val="0"/>
              <w:rPr>
                <w:szCs w:val="22"/>
              </w:rPr>
            </w:pPr>
          </w:p>
        </w:tc>
      </w:tr>
      <w:tr w:rsidR="0011235E" w:rsidRPr="008364C5" w14:paraId="28CA4BFF" w14:textId="77777777" w:rsidTr="00707120">
        <w:tc>
          <w:tcPr>
            <w:tcW w:w="1560" w:type="dxa"/>
            <w:tcBorders>
              <w:top w:val="single" w:sz="4" w:space="0" w:color="000000"/>
              <w:left w:val="single" w:sz="4" w:space="0" w:color="000000"/>
              <w:bottom w:val="single" w:sz="4" w:space="0" w:color="000000"/>
            </w:tcBorders>
          </w:tcPr>
          <w:p w14:paraId="3BE88D07" w14:textId="77777777" w:rsidR="0011235E" w:rsidRPr="00846FA5" w:rsidRDefault="0011235E" w:rsidP="0067693D">
            <w:pPr>
              <w:keepNext/>
              <w:keepLines/>
              <w:autoSpaceDE w:val="0"/>
              <w:snapToGrid w:val="0"/>
              <w:rPr>
                <w:szCs w:val="22"/>
              </w:rPr>
            </w:pPr>
          </w:p>
        </w:tc>
        <w:tc>
          <w:tcPr>
            <w:tcW w:w="2381" w:type="dxa"/>
            <w:tcBorders>
              <w:top w:val="single" w:sz="4" w:space="0" w:color="000000"/>
              <w:left w:val="single" w:sz="4" w:space="0" w:color="000000"/>
              <w:bottom w:val="single" w:sz="4" w:space="0" w:color="000000"/>
            </w:tcBorders>
          </w:tcPr>
          <w:p w14:paraId="637729CC" w14:textId="77777777" w:rsidR="0011235E" w:rsidRPr="00846FA5" w:rsidRDefault="0011235E" w:rsidP="0067693D">
            <w:pPr>
              <w:keepNext/>
              <w:keepLines/>
              <w:autoSpaceDE w:val="0"/>
              <w:rPr>
                <w:szCs w:val="22"/>
              </w:rPr>
            </w:pPr>
            <w:r w:rsidRPr="00846FA5">
              <w:rPr>
                <w:szCs w:val="22"/>
              </w:rPr>
              <w:t>Samazināts neitrofilo leikocītu skaits</w:t>
            </w:r>
          </w:p>
        </w:tc>
        <w:tc>
          <w:tcPr>
            <w:tcW w:w="1710" w:type="dxa"/>
            <w:tcBorders>
              <w:top w:val="single" w:sz="4" w:space="0" w:color="000000"/>
              <w:left w:val="single" w:sz="4" w:space="0" w:color="000000"/>
              <w:bottom w:val="single" w:sz="4" w:space="0" w:color="000000"/>
            </w:tcBorders>
          </w:tcPr>
          <w:p w14:paraId="6D8B524B" w14:textId="77777777" w:rsidR="0011235E" w:rsidRPr="00846FA5" w:rsidRDefault="0011235E" w:rsidP="0067693D">
            <w:pPr>
              <w:keepNext/>
              <w:keepLines/>
              <w:autoSpaceDE w:val="0"/>
              <w:rPr>
                <w:szCs w:val="22"/>
              </w:rPr>
            </w:pPr>
            <w:r w:rsidRPr="00846FA5">
              <w:rPr>
                <w:szCs w:val="22"/>
              </w:rPr>
              <w:t>sJIA</w:t>
            </w:r>
          </w:p>
        </w:tc>
        <w:tc>
          <w:tcPr>
            <w:tcW w:w="1710" w:type="dxa"/>
            <w:tcBorders>
              <w:top w:val="single" w:sz="4" w:space="0" w:color="000000"/>
              <w:left w:val="single" w:sz="4" w:space="0" w:color="000000"/>
              <w:bottom w:val="single" w:sz="4" w:space="0" w:color="000000"/>
            </w:tcBorders>
          </w:tcPr>
          <w:p w14:paraId="14E109A0" w14:textId="77777777" w:rsidR="0011235E" w:rsidRPr="00846FA5" w:rsidRDefault="0011235E" w:rsidP="0067693D">
            <w:pPr>
              <w:keepNext/>
              <w:keepLines/>
              <w:autoSpaceDE w:val="0"/>
              <w:rPr>
                <w:szCs w:val="22"/>
              </w:rPr>
            </w:pPr>
            <w:r w:rsidRPr="00846FA5">
              <w:rPr>
                <w:szCs w:val="22"/>
              </w:rPr>
              <w:t>pJIA</w:t>
            </w:r>
          </w:p>
        </w:tc>
        <w:tc>
          <w:tcPr>
            <w:tcW w:w="1711" w:type="dxa"/>
            <w:tcBorders>
              <w:top w:val="single" w:sz="4" w:space="0" w:color="000000"/>
              <w:left w:val="single" w:sz="4" w:space="0" w:color="000000"/>
              <w:bottom w:val="single" w:sz="4" w:space="0" w:color="000000"/>
              <w:right w:val="single" w:sz="4" w:space="0" w:color="000000"/>
            </w:tcBorders>
          </w:tcPr>
          <w:p w14:paraId="183AF4B4" w14:textId="77777777" w:rsidR="0011235E" w:rsidRPr="00846FA5" w:rsidRDefault="0011235E" w:rsidP="0067693D">
            <w:pPr>
              <w:keepNext/>
              <w:keepLines/>
              <w:autoSpaceDE w:val="0"/>
              <w:snapToGrid w:val="0"/>
              <w:rPr>
                <w:szCs w:val="22"/>
              </w:rPr>
            </w:pPr>
          </w:p>
        </w:tc>
      </w:tr>
      <w:tr w:rsidR="0011235E" w:rsidRPr="008364C5" w14:paraId="345A83F6" w14:textId="77777777" w:rsidTr="00707120">
        <w:tc>
          <w:tcPr>
            <w:tcW w:w="1560" w:type="dxa"/>
            <w:tcBorders>
              <w:top w:val="single" w:sz="4" w:space="0" w:color="000000"/>
              <w:left w:val="single" w:sz="4" w:space="0" w:color="000000"/>
              <w:bottom w:val="single" w:sz="4" w:space="0" w:color="000000"/>
            </w:tcBorders>
          </w:tcPr>
          <w:p w14:paraId="73D24EB9" w14:textId="77777777" w:rsidR="0011235E" w:rsidRPr="00846FA5" w:rsidRDefault="0011235E" w:rsidP="0067693D">
            <w:pPr>
              <w:keepNext/>
              <w:keepLines/>
              <w:autoSpaceDE w:val="0"/>
              <w:snapToGrid w:val="0"/>
              <w:rPr>
                <w:szCs w:val="22"/>
              </w:rPr>
            </w:pPr>
          </w:p>
        </w:tc>
        <w:tc>
          <w:tcPr>
            <w:tcW w:w="2381" w:type="dxa"/>
            <w:tcBorders>
              <w:top w:val="single" w:sz="4" w:space="0" w:color="000000"/>
              <w:left w:val="single" w:sz="4" w:space="0" w:color="000000"/>
              <w:bottom w:val="single" w:sz="4" w:space="0" w:color="000000"/>
            </w:tcBorders>
          </w:tcPr>
          <w:p w14:paraId="66230E49" w14:textId="77777777" w:rsidR="0011235E" w:rsidRPr="00846FA5" w:rsidRDefault="0011235E" w:rsidP="0067693D">
            <w:pPr>
              <w:keepNext/>
              <w:keepLines/>
              <w:autoSpaceDE w:val="0"/>
              <w:rPr>
                <w:szCs w:val="22"/>
              </w:rPr>
            </w:pPr>
            <w:r w:rsidRPr="00846FA5">
              <w:rPr>
                <w:szCs w:val="22"/>
              </w:rPr>
              <w:t>Samazināts trombocītu skaits</w:t>
            </w:r>
          </w:p>
        </w:tc>
        <w:tc>
          <w:tcPr>
            <w:tcW w:w="1710" w:type="dxa"/>
            <w:tcBorders>
              <w:top w:val="single" w:sz="4" w:space="0" w:color="000000"/>
              <w:left w:val="single" w:sz="4" w:space="0" w:color="000000"/>
              <w:bottom w:val="single" w:sz="4" w:space="0" w:color="000000"/>
            </w:tcBorders>
          </w:tcPr>
          <w:p w14:paraId="69E7E2C1" w14:textId="77777777" w:rsidR="0011235E" w:rsidRPr="00846FA5" w:rsidRDefault="0011235E" w:rsidP="0067693D">
            <w:pPr>
              <w:keepNext/>
              <w:keepLines/>
              <w:autoSpaceDE w:val="0"/>
              <w:snapToGrid w:val="0"/>
              <w:rPr>
                <w:szCs w:val="22"/>
              </w:rPr>
            </w:pPr>
          </w:p>
        </w:tc>
        <w:tc>
          <w:tcPr>
            <w:tcW w:w="1710" w:type="dxa"/>
            <w:tcBorders>
              <w:top w:val="single" w:sz="4" w:space="0" w:color="000000"/>
              <w:left w:val="single" w:sz="4" w:space="0" w:color="000000"/>
              <w:bottom w:val="single" w:sz="4" w:space="0" w:color="000000"/>
            </w:tcBorders>
          </w:tcPr>
          <w:p w14:paraId="7FF2F6F4" w14:textId="77777777" w:rsidR="0011235E" w:rsidRPr="00846FA5" w:rsidRDefault="0011235E" w:rsidP="0067693D">
            <w:pPr>
              <w:keepNext/>
              <w:keepLines/>
              <w:autoSpaceDE w:val="0"/>
              <w:rPr>
                <w:szCs w:val="22"/>
              </w:rPr>
            </w:pPr>
            <w:r w:rsidRPr="00846FA5">
              <w:rPr>
                <w:szCs w:val="22"/>
              </w:rPr>
              <w:t>sJIA</w:t>
            </w:r>
          </w:p>
        </w:tc>
        <w:tc>
          <w:tcPr>
            <w:tcW w:w="1711" w:type="dxa"/>
            <w:tcBorders>
              <w:top w:val="single" w:sz="4" w:space="0" w:color="000000"/>
              <w:left w:val="single" w:sz="4" w:space="0" w:color="000000"/>
              <w:bottom w:val="single" w:sz="4" w:space="0" w:color="000000"/>
              <w:right w:val="single" w:sz="4" w:space="0" w:color="000000"/>
            </w:tcBorders>
          </w:tcPr>
          <w:p w14:paraId="26F8DD9C" w14:textId="77777777" w:rsidR="0011235E" w:rsidRPr="00846FA5" w:rsidRDefault="0011235E" w:rsidP="0067693D">
            <w:pPr>
              <w:keepNext/>
              <w:keepLines/>
              <w:autoSpaceDE w:val="0"/>
              <w:rPr>
                <w:szCs w:val="22"/>
              </w:rPr>
            </w:pPr>
            <w:r w:rsidRPr="00846FA5">
              <w:rPr>
                <w:szCs w:val="22"/>
              </w:rPr>
              <w:t>pJIA</w:t>
            </w:r>
          </w:p>
        </w:tc>
      </w:tr>
      <w:tr w:rsidR="0011235E" w:rsidRPr="008364C5" w14:paraId="6D0FD0F6" w14:textId="77777777" w:rsidTr="00707120">
        <w:tc>
          <w:tcPr>
            <w:tcW w:w="1560" w:type="dxa"/>
            <w:tcBorders>
              <w:top w:val="single" w:sz="4" w:space="0" w:color="000000"/>
              <w:left w:val="single" w:sz="4" w:space="0" w:color="000000"/>
              <w:bottom w:val="single" w:sz="4" w:space="0" w:color="000000"/>
            </w:tcBorders>
          </w:tcPr>
          <w:p w14:paraId="0F85497D" w14:textId="77777777" w:rsidR="0011235E" w:rsidRPr="00846FA5" w:rsidRDefault="0011235E" w:rsidP="0067693D">
            <w:pPr>
              <w:keepNext/>
              <w:keepLines/>
              <w:autoSpaceDE w:val="0"/>
              <w:snapToGrid w:val="0"/>
              <w:rPr>
                <w:szCs w:val="22"/>
              </w:rPr>
            </w:pPr>
          </w:p>
        </w:tc>
        <w:tc>
          <w:tcPr>
            <w:tcW w:w="2381" w:type="dxa"/>
            <w:tcBorders>
              <w:top w:val="single" w:sz="4" w:space="0" w:color="000000"/>
              <w:left w:val="single" w:sz="4" w:space="0" w:color="000000"/>
              <w:bottom w:val="single" w:sz="4" w:space="0" w:color="000000"/>
            </w:tcBorders>
          </w:tcPr>
          <w:p w14:paraId="07610114" w14:textId="77777777" w:rsidR="0011235E" w:rsidRPr="00846FA5" w:rsidRDefault="0011235E" w:rsidP="0067693D">
            <w:pPr>
              <w:keepNext/>
              <w:keepLines/>
              <w:autoSpaceDE w:val="0"/>
              <w:rPr>
                <w:szCs w:val="22"/>
              </w:rPr>
            </w:pPr>
            <w:r w:rsidRPr="00846FA5">
              <w:rPr>
                <w:szCs w:val="22"/>
              </w:rPr>
              <w:t>Paaugstināts holesterīna līmenis</w:t>
            </w:r>
          </w:p>
        </w:tc>
        <w:tc>
          <w:tcPr>
            <w:tcW w:w="1710" w:type="dxa"/>
            <w:tcBorders>
              <w:top w:val="single" w:sz="4" w:space="0" w:color="000000"/>
              <w:left w:val="single" w:sz="4" w:space="0" w:color="000000"/>
              <w:bottom w:val="single" w:sz="4" w:space="0" w:color="000000"/>
            </w:tcBorders>
          </w:tcPr>
          <w:p w14:paraId="2F730660" w14:textId="77777777" w:rsidR="0011235E" w:rsidRPr="00846FA5" w:rsidRDefault="0011235E" w:rsidP="0067693D">
            <w:pPr>
              <w:keepNext/>
              <w:keepLines/>
              <w:autoSpaceDE w:val="0"/>
              <w:snapToGrid w:val="0"/>
              <w:rPr>
                <w:szCs w:val="22"/>
              </w:rPr>
            </w:pPr>
          </w:p>
        </w:tc>
        <w:tc>
          <w:tcPr>
            <w:tcW w:w="1710" w:type="dxa"/>
            <w:tcBorders>
              <w:top w:val="single" w:sz="4" w:space="0" w:color="000000"/>
              <w:left w:val="single" w:sz="4" w:space="0" w:color="000000"/>
              <w:bottom w:val="single" w:sz="4" w:space="0" w:color="000000"/>
            </w:tcBorders>
          </w:tcPr>
          <w:p w14:paraId="6AC86DDC" w14:textId="77777777" w:rsidR="0011235E" w:rsidRPr="00846FA5" w:rsidRDefault="0011235E" w:rsidP="0067693D">
            <w:pPr>
              <w:keepNext/>
              <w:keepLines/>
              <w:autoSpaceDE w:val="0"/>
              <w:rPr>
                <w:szCs w:val="22"/>
              </w:rPr>
            </w:pPr>
            <w:r w:rsidRPr="00846FA5">
              <w:rPr>
                <w:szCs w:val="22"/>
              </w:rPr>
              <w:t>sJIA</w:t>
            </w:r>
          </w:p>
        </w:tc>
        <w:tc>
          <w:tcPr>
            <w:tcW w:w="1711" w:type="dxa"/>
            <w:tcBorders>
              <w:top w:val="single" w:sz="4" w:space="0" w:color="000000"/>
              <w:left w:val="single" w:sz="4" w:space="0" w:color="000000"/>
              <w:bottom w:val="single" w:sz="4" w:space="0" w:color="000000"/>
              <w:right w:val="single" w:sz="4" w:space="0" w:color="000000"/>
            </w:tcBorders>
          </w:tcPr>
          <w:p w14:paraId="262B7AB9" w14:textId="77777777" w:rsidR="0011235E" w:rsidRPr="00846FA5" w:rsidRDefault="0011235E" w:rsidP="0067693D">
            <w:pPr>
              <w:keepNext/>
              <w:keepLines/>
              <w:autoSpaceDE w:val="0"/>
              <w:rPr>
                <w:szCs w:val="22"/>
              </w:rPr>
            </w:pPr>
            <w:r w:rsidRPr="00846FA5">
              <w:rPr>
                <w:szCs w:val="22"/>
              </w:rPr>
              <w:t>pJIA</w:t>
            </w:r>
          </w:p>
        </w:tc>
      </w:tr>
    </w:tbl>
    <w:p w14:paraId="12D071B2" w14:textId="0AB5DF85" w:rsidR="0011235E" w:rsidRDefault="0011235E" w:rsidP="00707120">
      <w:pPr>
        <w:keepNext/>
        <w:keepLines/>
        <w:autoSpaceDE w:val="0"/>
        <w:ind w:left="284" w:hanging="284"/>
        <w:rPr>
          <w:sz w:val="18"/>
          <w:szCs w:val="18"/>
        </w:rPr>
      </w:pPr>
      <w:r w:rsidRPr="00707120">
        <w:rPr>
          <w:sz w:val="18"/>
          <w:szCs w:val="18"/>
          <w:vertAlign w:val="superscript"/>
        </w:rPr>
        <w:t>1</w:t>
      </w:r>
      <w:r>
        <w:rPr>
          <w:sz w:val="18"/>
          <w:szCs w:val="18"/>
        </w:rPr>
        <w:t xml:space="preserve"> </w:t>
      </w:r>
      <w:r>
        <w:rPr>
          <w:sz w:val="18"/>
          <w:szCs w:val="18"/>
        </w:rPr>
        <w:tab/>
        <w:t>Ar infūziju saistītas reakcijas gadījumi pacientiem ar pJIA ietvēra galvassāpes, sliktu dūšu un hipotensiju, bet ne tikai.</w:t>
      </w:r>
    </w:p>
    <w:p w14:paraId="61A664BF" w14:textId="7E4CB74C" w:rsidR="0011235E" w:rsidRDefault="0011235E" w:rsidP="00707120">
      <w:pPr>
        <w:keepLines/>
        <w:autoSpaceDE w:val="0"/>
        <w:ind w:left="284" w:hanging="284"/>
        <w:rPr>
          <w:b/>
          <w:bCs/>
          <w:szCs w:val="22"/>
          <w:u w:val="single"/>
        </w:rPr>
      </w:pPr>
      <w:r w:rsidRPr="00707120">
        <w:rPr>
          <w:sz w:val="18"/>
          <w:szCs w:val="18"/>
          <w:vertAlign w:val="superscript"/>
        </w:rPr>
        <w:t>2</w:t>
      </w:r>
      <w:r>
        <w:rPr>
          <w:sz w:val="18"/>
          <w:szCs w:val="18"/>
        </w:rPr>
        <w:t xml:space="preserve"> </w:t>
      </w:r>
      <w:r>
        <w:rPr>
          <w:sz w:val="18"/>
          <w:szCs w:val="18"/>
        </w:rPr>
        <w:tab/>
        <w:t>Ar infūziju saistītas reakcijas gadījumi pacientiem ar sJIA ietvēra izsitumus, nātreni, caureju, epigastrālu diskomfortu, artralģiju un galvassāpes, bet ne tikai.</w:t>
      </w:r>
    </w:p>
    <w:p w14:paraId="57CC6B14" w14:textId="77777777" w:rsidR="00745DDC" w:rsidRDefault="00745DDC">
      <w:pPr>
        <w:ind w:left="182" w:hanging="182"/>
        <w:rPr>
          <w:szCs w:val="22"/>
          <w:lang w:val="lv-LV"/>
        </w:rPr>
      </w:pPr>
    </w:p>
    <w:p w14:paraId="76E08B57" w14:textId="7C4E11F4" w:rsidR="0011235E" w:rsidRDefault="0011235E" w:rsidP="00707120">
      <w:pPr>
        <w:keepNext/>
        <w:ind w:left="182" w:hanging="182"/>
        <w:rPr>
          <w:szCs w:val="22"/>
          <w:lang w:val="lv-LV"/>
        </w:rPr>
      </w:pPr>
      <w:r>
        <w:rPr>
          <w:szCs w:val="22"/>
          <w:u w:val="single"/>
          <w:lang w:val="lv-LV"/>
        </w:rPr>
        <w:t>Atsevišķu nevēlamo blakusparādību apraksts</w:t>
      </w:r>
    </w:p>
    <w:p w14:paraId="1847DA51" w14:textId="56D8BC34" w:rsidR="0011235E" w:rsidRPr="00707120" w:rsidRDefault="0011235E" w:rsidP="00707120">
      <w:pPr>
        <w:keepNext/>
        <w:ind w:left="182" w:hanging="182"/>
        <w:rPr>
          <w:szCs w:val="22"/>
          <w:lang w:val="lv-LV"/>
        </w:rPr>
      </w:pPr>
      <w:r>
        <w:rPr>
          <w:i/>
          <w:iCs/>
          <w:szCs w:val="22"/>
          <w:lang w:val="lv-LV"/>
        </w:rPr>
        <w:t>Pacienti ar RA</w:t>
      </w:r>
    </w:p>
    <w:p w14:paraId="5834D4BA" w14:textId="77777777" w:rsidR="00784D05" w:rsidRPr="00707120" w:rsidRDefault="00784D05" w:rsidP="000E4AF1">
      <w:pPr>
        <w:keepNext/>
        <w:keepLines/>
        <w:rPr>
          <w:szCs w:val="22"/>
          <w:u w:val="single"/>
          <w:lang w:val="lv-LV"/>
        </w:rPr>
      </w:pPr>
      <w:r w:rsidRPr="00707120">
        <w:rPr>
          <w:i/>
          <w:u w:val="single"/>
          <w:lang w:val="lv-LV"/>
        </w:rPr>
        <w:t>Infekcijas</w:t>
      </w:r>
    </w:p>
    <w:p w14:paraId="7DD1C413" w14:textId="4022DC0A" w:rsidR="00784D05" w:rsidRDefault="00784D05" w:rsidP="000E4AF1">
      <w:pPr>
        <w:keepNext/>
        <w:keepLines/>
        <w:rPr>
          <w:szCs w:val="22"/>
          <w:lang w:val="lv-LV"/>
        </w:rPr>
      </w:pPr>
      <w:r>
        <w:rPr>
          <w:szCs w:val="22"/>
          <w:lang w:val="lv-LV"/>
        </w:rPr>
        <w:t xml:space="preserve">6 mēnešus ilgos kontrolētos pētījumos visu infekciju rādītājs, kas novērotas, lietojot </w:t>
      </w:r>
      <w:r>
        <w:rPr>
          <w:iCs/>
          <w:szCs w:val="22"/>
          <w:lang w:val="lv-LV"/>
        </w:rPr>
        <w:t>tocilizumabu 8 mg/kg un DMARD, bija 127</w:t>
      </w:r>
      <w:r w:rsidR="00AD4E27">
        <w:rPr>
          <w:iCs/>
          <w:szCs w:val="22"/>
          <w:lang w:val="lv-LV"/>
        </w:rPr>
        <w:t> </w:t>
      </w:r>
      <w:r>
        <w:rPr>
          <w:iCs/>
          <w:szCs w:val="22"/>
          <w:lang w:val="lv-LV"/>
        </w:rPr>
        <w:t>gadījumi uz 100</w:t>
      </w:r>
      <w:r w:rsidR="00AD4E27">
        <w:rPr>
          <w:iCs/>
          <w:szCs w:val="22"/>
          <w:lang w:val="lv-LV"/>
        </w:rPr>
        <w:t> </w:t>
      </w:r>
      <w:r>
        <w:rPr>
          <w:iCs/>
          <w:szCs w:val="22"/>
          <w:lang w:val="lv-LV"/>
        </w:rPr>
        <w:t>pacientgadiem, salīdzinot ar 112</w:t>
      </w:r>
      <w:r w:rsidR="00AD4E27">
        <w:rPr>
          <w:iCs/>
          <w:szCs w:val="22"/>
          <w:lang w:val="lv-LV"/>
        </w:rPr>
        <w:t> </w:t>
      </w:r>
      <w:r>
        <w:rPr>
          <w:iCs/>
          <w:szCs w:val="22"/>
          <w:lang w:val="lv-LV"/>
        </w:rPr>
        <w:t>gadījumiem uz 100</w:t>
      </w:r>
      <w:r w:rsidR="00AD4E27">
        <w:rPr>
          <w:iCs/>
          <w:szCs w:val="22"/>
          <w:lang w:val="lv-LV"/>
        </w:rPr>
        <w:t> </w:t>
      </w:r>
      <w:r>
        <w:rPr>
          <w:iCs/>
          <w:szCs w:val="22"/>
          <w:lang w:val="lv-LV"/>
        </w:rPr>
        <w:t xml:space="preserve">pacientgadiem placebo un DMARD grupā. Ilgstošai iedarbībai pakļautā populācijā kopējais infekciju rādītājs, lietojot </w:t>
      </w:r>
      <w:r w:rsidR="00AD4E27">
        <w:rPr>
          <w:iCs/>
          <w:szCs w:val="22"/>
          <w:lang w:val="lv-LV"/>
        </w:rPr>
        <w:t>tocilizumabu</w:t>
      </w:r>
      <w:r>
        <w:rPr>
          <w:iCs/>
          <w:szCs w:val="22"/>
          <w:lang w:val="lv-LV"/>
        </w:rPr>
        <w:t>, bija 108</w:t>
      </w:r>
      <w:r w:rsidR="00AD4E27">
        <w:rPr>
          <w:iCs/>
          <w:szCs w:val="22"/>
          <w:lang w:val="lv-LV"/>
        </w:rPr>
        <w:t> </w:t>
      </w:r>
      <w:r w:rsidR="00B31047">
        <w:rPr>
          <w:iCs/>
          <w:szCs w:val="22"/>
          <w:lang w:val="lv-LV"/>
        </w:rPr>
        <w:t xml:space="preserve">notikumi </w:t>
      </w:r>
      <w:r>
        <w:rPr>
          <w:iCs/>
          <w:szCs w:val="22"/>
          <w:lang w:val="lv-LV"/>
        </w:rPr>
        <w:t>uz 100</w:t>
      </w:r>
      <w:r w:rsidR="00AD4E27">
        <w:rPr>
          <w:iCs/>
          <w:szCs w:val="22"/>
          <w:lang w:val="lv-LV"/>
        </w:rPr>
        <w:t> </w:t>
      </w:r>
      <w:r>
        <w:rPr>
          <w:iCs/>
          <w:szCs w:val="22"/>
          <w:lang w:val="lv-LV"/>
        </w:rPr>
        <w:t>pacientgadu ilgu lietošanu</w:t>
      </w:r>
      <w:r>
        <w:rPr>
          <w:szCs w:val="22"/>
          <w:lang w:val="lv-LV"/>
        </w:rPr>
        <w:t>.</w:t>
      </w:r>
    </w:p>
    <w:p w14:paraId="735C0B4E" w14:textId="77777777" w:rsidR="00784D05" w:rsidRDefault="00784D05">
      <w:pPr>
        <w:rPr>
          <w:szCs w:val="22"/>
          <w:lang w:val="lv-LV"/>
        </w:rPr>
      </w:pPr>
    </w:p>
    <w:p w14:paraId="2D2A99A9" w14:textId="6D169EC1" w:rsidR="00784D05" w:rsidRDefault="00784D05">
      <w:pPr>
        <w:rPr>
          <w:szCs w:val="22"/>
          <w:lang w:val="lv-LV"/>
        </w:rPr>
      </w:pPr>
      <w:r>
        <w:rPr>
          <w:szCs w:val="22"/>
          <w:lang w:val="lv-LV"/>
        </w:rPr>
        <w:t xml:space="preserve">6 mēnešus ilgos kontrolētos klīniskos pētījumos nopietnu infekciju rādītājs, lietojot </w:t>
      </w:r>
      <w:r>
        <w:rPr>
          <w:iCs/>
          <w:szCs w:val="22"/>
          <w:lang w:val="lv-LV"/>
        </w:rPr>
        <w:t>tocilizumabu 8 mg/kg un DMARD, bija 5,3</w:t>
      </w:r>
      <w:r w:rsidR="00AD4E27">
        <w:rPr>
          <w:iCs/>
          <w:szCs w:val="22"/>
          <w:lang w:val="lv-LV"/>
        </w:rPr>
        <w:t> </w:t>
      </w:r>
      <w:r>
        <w:rPr>
          <w:iCs/>
          <w:szCs w:val="22"/>
          <w:lang w:val="lv-LV"/>
        </w:rPr>
        <w:t>gadījumi uz 100</w:t>
      </w:r>
      <w:r w:rsidR="00AD4E27">
        <w:rPr>
          <w:iCs/>
          <w:szCs w:val="22"/>
          <w:lang w:val="lv-LV"/>
        </w:rPr>
        <w:t> </w:t>
      </w:r>
      <w:r>
        <w:rPr>
          <w:iCs/>
          <w:szCs w:val="22"/>
          <w:lang w:val="lv-LV"/>
        </w:rPr>
        <w:t>pacientgadiem, salīdzinot ar 3,9</w:t>
      </w:r>
      <w:r w:rsidR="00AD4E27">
        <w:rPr>
          <w:iCs/>
          <w:szCs w:val="22"/>
          <w:lang w:val="lv-LV"/>
        </w:rPr>
        <w:t> </w:t>
      </w:r>
      <w:r>
        <w:rPr>
          <w:iCs/>
          <w:szCs w:val="22"/>
          <w:lang w:val="lv-LV"/>
        </w:rPr>
        <w:t>gadījumiem uz 100</w:t>
      </w:r>
      <w:r w:rsidR="00AD4E27">
        <w:rPr>
          <w:iCs/>
          <w:szCs w:val="22"/>
          <w:lang w:val="lv-LV"/>
        </w:rPr>
        <w:t> </w:t>
      </w:r>
      <w:r>
        <w:rPr>
          <w:iCs/>
          <w:szCs w:val="22"/>
          <w:lang w:val="lv-LV"/>
        </w:rPr>
        <w:t>pacientgadiem placebo un DMARD grupā. Monoterapijas pētījumā nopietnu infekciju rādītājs bija 3,6</w:t>
      </w:r>
      <w:r w:rsidR="00AD4E27">
        <w:rPr>
          <w:iCs/>
          <w:szCs w:val="22"/>
          <w:lang w:val="lv-LV"/>
        </w:rPr>
        <w:t> </w:t>
      </w:r>
      <w:r>
        <w:rPr>
          <w:iCs/>
          <w:szCs w:val="22"/>
          <w:lang w:val="lv-LV"/>
        </w:rPr>
        <w:t>gadījumi uz 100</w:t>
      </w:r>
      <w:r w:rsidR="00AD4E27">
        <w:rPr>
          <w:iCs/>
          <w:szCs w:val="22"/>
          <w:lang w:val="lv-LV"/>
        </w:rPr>
        <w:t> </w:t>
      </w:r>
      <w:r>
        <w:rPr>
          <w:iCs/>
          <w:szCs w:val="22"/>
          <w:lang w:val="lv-LV"/>
        </w:rPr>
        <w:t>pacientgadiem tocilizumaba grupā un 1,5</w:t>
      </w:r>
      <w:r w:rsidR="00AD4E27">
        <w:rPr>
          <w:iCs/>
          <w:szCs w:val="22"/>
          <w:lang w:val="lv-LV"/>
        </w:rPr>
        <w:t> </w:t>
      </w:r>
      <w:r>
        <w:rPr>
          <w:iCs/>
          <w:szCs w:val="22"/>
          <w:lang w:val="lv-LV"/>
        </w:rPr>
        <w:t>gadījumi uz 100</w:t>
      </w:r>
      <w:r w:rsidR="00AD4E27">
        <w:rPr>
          <w:iCs/>
          <w:szCs w:val="22"/>
          <w:lang w:val="lv-LV"/>
        </w:rPr>
        <w:t> </w:t>
      </w:r>
      <w:r>
        <w:rPr>
          <w:iCs/>
          <w:szCs w:val="22"/>
          <w:lang w:val="lv-LV"/>
        </w:rPr>
        <w:t>pacientgadiem MTX grupā</w:t>
      </w:r>
      <w:r>
        <w:rPr>
          <w:szCs w:val="22"/>
          <w:lang w:val="lv-LV"/>
        </w:rPr>
        <w:t xml:space="preserve">. </w:t>
      </w:r>
    </w:p>
    <w:p w14:paraId="5655B8A4" w14:textId="77777777" w:rsidR="00784D05" w:rsidRDefault="00784D05">
      <w:pPr>
        <w:rPr>
          <w:szCs w:val="22"/>
          <w:lang w:val="lv-LV"/>
        </w:rPr>
      </w:pPr>
    </w:p>
    <w:p w14:paraId="31995A06" w14:textId="76E7388F" w:rsidR="00784D05" w:rsidRDefault="00784D05">
      <w:pPr>
        <w:rPr>
          <w:szCs w:val="22"/>
          <w:lang w:val="lv-LV"/>
        </w:rPr>
      </w:pPr>
      <w:r>
        <w:rPr>
          <w:iCs/>
          <w:szCs w:val="22"/>
          <w:lang w:val="lv-LV"/>
        </w:rPr>
        <w:t xml:space="preserve">Ilgstošai iedarbībai pakļautā populācijā kopējais </w:t>
      </w:r>
      <w:ins w:id="83" w:author="Author">
        <w:r w:rsidR="003428EC">
          <w:rPr>
            <w:iCs/>
            <w:szCs w:val="22"/>
            <w:lang w:val="lv-LV"/>
          </w:rPr>
          <w:t>nopietnu infekciju (</w:t>
        </w:r>
      </w:ins>
      <w:r>
        <w:rPr>
          <w:iCs/>
          <w:szCs w:val="22"/>
          <w:lang w:val="lv-LV"/>
        </w:rPr>
        <w:t>baktēriju, vīrusu un sēnīšu izraisītu</w:t>
      </w:r>
      <w:ins w:id="84" w:author="Author">
        <w:r w:rsidR="003428EC">
          <w:rPr>
            <w:iCs/>
            <w:szCs w:val="22"/>
            <w:lang w:val="lv-LV"/>
          </w:rPr>
          <w:t>)</w:t>
        </w:r>
      </w:ins>
      <w:del w:id="85" w:author="Author">
        <w:r w:rsidDel="003428EC">
          <w:rPr>
            <w:iCs/>
            <w:szCs w:val="22"/>
            <w:lang w:val="lv-LV"/>
          </w:rPr>
          <w:delText xml:space="preserve"> </w:delText>
        </w:r>
        <w:r w:rsidR="00FE214A" w:rsidDel="003428EC">
          <w:rPr>
            <w:iCs/>
            <w:szCs w:val="22"/>
            <w:lang w:val="lv-LV"/>
          </w:rPr>
          <w:delText xml:space="preserve">nopietnu </w:delText>
        </w:r>
        <w:r w:rsidDel="003428EC">
          <w:rPr>
            <w:iCs/>
            <w:szCs w:val="22"/>
            <w:lang w:val="lv-LV"/>
          </w:rPr>
          <w:delText>infekciju</w:delText>
        </w:r>
      </w:del>
      <w:r>
        <w:rPr>
          <w:iCs/>
          <w:szCs w:val="22"/>
          <w:lang w:val="lv-LV"/>
        </w:rPr>
        <w:t xml:space="preserve"> rādītājs bija 4,7</w:t>
      </w:r>
      <w:r w:rsidR="00AD4E27">
        <w:rPr>
          <w:iCs/>
          <w:szCs w:val="22"/>
          <w:lang w:val="lv-LV"/>
        </w:rPr>
        <w:t> </w:t>
      </w:r>
      <w:r>
        <w:rPr>
          <w:iCs/>
          <w:szCs w:val="22"/>
          <w:lang w:val="lv-LV"/>
        </w:rPr>
        <w:t>gadījumi uz 100</w:t>
      </w:r>
      <w:r w:rsidR="00AD4E27">
        <w:rPr>
          <w:iCs/>
          <w:szCs w:val="22"/>
          <w:lang w:val="lv-LV"/>
        </w:rPr>
        <w:t> </w:t>
      </w:r>
      <w:r>
        <w:rPr>
          <w:iCs/>
          <w:szCs w:val="22"/>
          <w:lang w:val="lv-LV"/>
        </w:rPr>
        <w:t xml:space="preserve">pacientgadiem. Novērotās nopietnās infekcijas, dažas no kurām bija ar letālu iznākumu, ietvēra </w:t>
      </w:r>
      <w:r>
        <w:rPr>
          <w:szCs w:val="22"/>
          <w:lang w:val="lv-LV"/>
        </w:rPr>
        <w:t>aktīvu tuberkulozi, kas var izpausties kā intra</w:t>
      </w:r>
      <w:ins w:id="86" w:author="Author">
        <w:r w:rsidR="003428EC">
          <w:rPr>
            <w:szCs w:val="22"/>
            <w:lang w:val="lv-LV"/>
          </w:rPr>
          <w:t>pulmonāla</w:t>
        </w:r>
      </w:ins>
      <w:del w:id="87" w:author="Author">
        <w:r w:rsidDel="003428EC">
          <w:rPr>
            <w:szCs w:val="22"/>
            <w:lang w:val="lv-LV"/>
          </w:rPr>
          <w:delText>-</w:delText>
        </w:r>
      </w:del>
      <w:r>
        <w:rPr>
          <w:szCs w:val="22"/>
          <w:lang w:val="lv-LV"/>
        </w:rPr>
        <w:t xml:space="preserve"> vai ekstrapulmonā</w:t>
      </w:r>
      <w:r w:rsidR="00FE214A">
        <w:rPr>
          <w:szCs w:val="22"/>
          <w:lang w:val="lv-LV"/>
        </w:rPr>
        <w:t>l</w:t>
      </w:r>
      <w:r>
        <w:rPr>
          <w:szCs w:val="22"/>
          <w:lang w:val="lv-LV"/>
        </w:rPr>
        <w:t>a slimība, invazīvas plaušu infekcijas</w:t>
      </w:r>
      <w:ins w:id="88" w:author="Author">
        <w:r w:rsidR="003428EC">
          <w:rPr>
            <w:szCs w:val="22"/>
            <w:lang w:val="lv-LV"/>
          </w:rPr>
          <w:t>,</w:t>
        </w:r>
      </w:ins>
      <w:r>
        <w:rPr>
          <w:szCs w:val="22"/>
          <w:lang w:val="lv-LV"/>
        </w:rPr>
        <w:t xml:space="preserve"> </w:t>
      </w:r>
      <w:del w:id="89" w:author="Author">
        <w:r w:rsidDel="003428EC">
          <w:rPr>
            <w:szCs w:val="22"/>
            <w:lang w:val="lv-LV"/>
          </w:rPr>
          <w:delText>(</w:delText>
        </w:r>
      </w:del>
      <w:r>
        <w:rPr>
          <w:szCs w:val="22"/>
          <w:lang w:val="lv-LV"/>
        </w:rPr>
        <w:t>ta</w:t>
      </w:r>
      <w:ins w:id="90" w:author="Author">
        <w:r w:rsidR="003428EC">
          <w:rPr>
            <w:szCs w:val="22"/>
            <w:lang w:val="lv-LV"/>
          </w:rPr>
          <w:t>i</w:t>
        </w:r>
      </w:ins>
      <w:del w:id="91" w:author="Author">
        <w:r w:rsidDel="003428EC">
          <w:rPr>
            <w:szCs w:val="22"/>
            <w:lang w:val="lv-LV"/>
          </w:rPr>
          <w:delText>jā</w:delText>
        </w:r>
      </w:del>
      <w:r>
        <w:rPr>
          <w:szCs w:val="22"/>
          <w:lang w:val="lv-LV"/>
        </w:rPr>
        <w:t xml:space="preserve"> skaitā </w:t>
      </w:r>
      <w:del w:id="92" w:author="Author">
        <w:r w:rsidDel="003428EC">
          <w:rPr>
            <w:szCs w:val="22"/>
            <w:lang w:val="lv-LV"/>
          </w:rPr>
          <w:delText xml:space="preserve">arī </w:delText>
        </w:r>
      </w:del>
      <w:r>
        <w:rPr>
          <w:szCs w:val="22"/>
          <w:lang w:val="lv-LV"/>
        </w:rPr>
        <w:t xml:space="preserve">kandidozi, aspergilozi, kokcidiomikozi un </w:t>
      </w:r>
      <w:r>
        <w:rPr>
          <w:i/>
          <w:iCs/>
          <w:szCs w:val="22"/>
          <w:lang w:val="lv-LV"/>
        </w:rPr>
        <w:t>Pneumocystis jirovecii</w:t>
      </w:r>
      <w:r>
        <w:rPr>
          <w:szCs w:val="22"/>
          <w:lang w:val="lv-LV"/>
        </w:rPr>
        <w:t xml:space="preserve"> izraisītas infekcijas</w:t>
      </w:r>
      <w:del w:id="93" w:author="Author">
        <w:r w:rsidDel="009664A6">
          <w:rPr>
            <w:szCs w:val="22"/>
            <w:lang w:val="lv-LV"/>
          </w:rPr>
          <w:delText>)</w:delText>
        </w:r>
      </w:del>
      <w:r>
        <w:rPr>
          <w:lang w:val="lv-LV"/>
        </w:rPr>
        <w:t xml:space="preserve">, </w:t>
      </w:r>
      <w:r>
        <w:rPr>
          <w:iCs/>
          <w:szCs w:val="22"/>
          <w:lang w:val="lv-LV"/>
        </w:rPr>
        <w:t xml:space="preserve">pneimoniju, celulītu, </w:t>
      </w:r>
      <w:r>
        <w:rPr>
          <w:i/>
          <w:iCs/>
          <w:szCs w:val="22"/>
          <w:lang w:val="lv-LV"/>
        </w:rPr>
        <w:t>herpes zoster</w:t>
      </w:r>
      <w:r>
        <w:rPr>
          <w:iCs/>
          <w:szCs w:val="22"/>
          <w:lang w:val="lv-LV"/>
        </w:rPr>
        <w:t>, gastroenterītu, divertikulītu, sepsi un bakteriālu artrītu. Ziņots par oportūnistiskām infekcijām</w:t>
      </w:r>
      <w:r>
        <w:rPr>
          <w:szCs w:val="22"/>
          <w:lang w:val="lv-LV"/>
        </w:rPr>
        <w:t xml:space="preserve">. </w:t>
      </w:r>
    </w:p>
    <w:p w14:paraId="631F67FA" w14:textId="13B089C1" w:rsidR="00784D05" w:rsidRDefault="00784D05">
      <w:pPr>
        <w:rPr>
          <w:szCs w:val="22"/>
          <w:lang w:val="lv-LV"/>
        </w:rPr>
      </w:pPr>
    </w:p>
    <w:p w14:paraId="46E4CCD1" w14:textId="77777777" w:rsidR="00784D05" w:rsidRPr="00707120" w:rsidRDefault="00784D05">
      <w:pPr>
        <w:keepNext/>
        <w:rPr>
          <w:szCs w:val="24"/>
          <w:u w:val="single"/>
          <w:lang w:val="lv-LV"/>
        </w:rPr>
      </w:pPr>
      <w:r w:rsidRPr="00707120">
        <w:rPr>
          <w:i/>
          <w:szCs w:val="24"/>
          <w:u w:val="single"/>
          <w:lang w:val="lv-LV"/>
        </w:rPr>
        <w:t>Intersticiāla plaušu slimība</w:t>
      </w:r>
    </w:p>
    <w:p w14:paraId="52925673" w14:textId="1B525799" w:rsidR="00784D05" w:rsidRDefault="00784D05">
      <w:pPr>
        <w:rPr>
          <w:szCs w:val="22"/>
          <w:lang w:val="lv-LV"/>
        </w:rPr>
      </w:pPr>
      <w:r>
        <w:rPr>
          <w:szCs w:val="24"/>
          <w:lang w:val="lv-LV"/>
        </w:rPr>
        <w:t>Plaušu darbības traucējumi var paaugstināt infekciju attīstības risku. Pēcreģistrācijas periodā ir aprakstīta intersticiāla plaušu slimība (tajā skaitā pneimonīts un plaušu fibroze), dažkārt ar letālu iznākumu.</w:t>
      </w:r>
    </w:p>
    <w:p w14:paraId="530B6287" w14:textId="77777777" w:rsidR="00784D05" w:rsidRDefault="00784D05">
      <w:pPr>
        <w:rPr>
          <w:szCs w:val="22"/>
          <w:lang w:val="lv-LV"/>
        </w:rPr>
      </w:pPr>
    </w:p>
    <w:p w14:paraId="76CFAC55" w14:textId="6A84B2A5" w:rsidR="00784D05" w:rsidRPr="00707120" w:rsidRDefault="00784D05">
      <w:pPr>
        <w:rPr>
          <w:szCs w:val="22"/>
          <w:u w:val="single"/>
          <w:lang w:val="lv-LV"/>
        </w:rPr>
      </w:pPr>
      <w:r w:rsidRPr="00707120">
        <w:rPr>
          <w:i/>
          <w:szCs w:val="22"/>
          <w:u w:val="single"/>
          <w:lang w:val="lv-LV"/>
        </w:rPr>
        <w:t>Kuņģa</w:t>
      </w:r>
      <w:r w:rsidR="00BD246C">
        <w:rPr>
          <w:i/>
          <w:szCs w:val="22"/>
          <w:u w:val="single"/>
          <w:lang w:val="lv-LV"/>
        </w:rPr>
        <w:t xml:space="preserve"> un </w:t>
      </w:r>
      <w:r w:rsidRPr="00707120">
        <w:rPr>
          <w:i/>
          <w:szCs w:val="22"/>
          <w:u w:val="single"/>
          <w:lang w:val="lv-LV"/>
        </w:rPr>
        <w:t>zarnu trakta perforācija</w:t>
      </w:r>
    </w:p>
    <w:p w14:paraId="18132A2C" w14:textId="23803C77" w:rsidR="00784D05" w:rsidRDefault="00784D05">
      <w:pPr>
        <w:rPr>
          <w:rFonts w:eastAsia="PMingLiU"/>
          <w:szCs w:val="22"/>
          <w:lang w:val="lv-LV"/>
        </w:rPr>
      </w:pPr>
      <w:r>
        <w:rPr>
          <w:szCs w:val="22"/>
          <w:lang w:val="lv-LV"/>
        </w:rPr>
        <w:t xml:space="preserve">Sešus mēnešus ilgos kontrolētos pētījumos lietojot </w:t>
      </w:r>
      <w:r>
        <w:rPr>
          <w:iCs/>
          <w:szCs w:val="22"/>
          <w:lang w:val="lv-LV"/>
        </w:rPr>
        <w:t>tocilizumabu</w:t>
      </w:r>
      <w:r>
        <w:rPr>
          <w:szCs w:val="22"/>
          <w:lang w:val="lv-LV"/>
        </w:rPr>
        <w:t>, kopējais kuņģa</w:t>
      </w:r>
      <w:r w:rsidR="00BD246C">
        <w:rPr>
          <w:szCs w:val="22"/>
          <w:lang w:val="lv-LV"/>
        </w:rPr>
        <w:t xml:space="preserve"> un</w:t>
      </w:r>
      <w:r>
        <w:rPr>
          <w:szCs w:val="22"/>
          <w:lang w:val="lv-LV"/>
        </w:rPr>
        <w:t xml:space="preserve"> zarnu trakta perforācijas rādītājs bija 0,26 gadījumi uz 100 pacientgadiem. Ilgstošai iedarbībai pakļautajā populācijā kopējais kuņģa </w:t>
      </w:r>
      <w:r w:rsidR="00BD246C">
        <w:rPr>
          <w:szCs w:val="22"/>
          <w:lang w:val="lv-LV"/>
        </w:rPr>
        <w:t>un</w:t>
      </w:r>
      <w:r>
        <w:rPr>
          <w:szCs w:val="22"/>
          <w:lang w:val="lv-LV"/>
        </w:rPr>
        <w:t xml:space="preserve"> zarnu trakta perforācijas rādītājs bija 0,28 gadījumi uz 100 pacientgadiem. Kuņģa </w:t>
      </w:r>
      <w:r w:rsidR="00BD246C">
        <w:rPr>
          <w:szCs w:val="22"/>
          <w:lang w:val="lv-LV"/>
        </w:rPr>
        <w:t>un</w:t>
      </w:r>
      <w:r>
        <w:rPr>
          <w:szCs w:val="22"/>
          <w:lang w:val="lv-LV"/>
        </w:rPr>
        <w:t xml:space="preserve"> zarnu trakta perforācija </w:t>
      </w:r>
      <w:r w:rsidR="00AD4E27">
        <w:rPr>
          <w:szCs w:val="22"/>
          <w:lang w:val="lv-LV"/>
        </w:rPr>
        <w:t>terapijas</w:t>
      </w:r>
      <w:r>
        <w:rPr>
          <w:szCs w:val="22"/>
          <w:lang w:val="lv-LV"/>
        </w:rPr>
        <w:t xml:space="preserve"> laikā galvenokārt aprakstīta kā divertikulīta komplikācijas, ietverot ģeneralizētu strutainu peritonītu, kuņģa</w:t>
      </w:r>
      <w:r w:rsidR="00BD246C">
        <w:rPr>
          <w:szCs w:val="22"/>
          <w:lang w:val="lv-LV"/>
        </w:rPr>
        <w:t xml:space="preserve"> un </w:t>
      </w:r>
      <w:r>
        <w:rPr>
          <w:szCs w:val="22"/>
          <w:lang w:val="lv-LV"/>
        </w:rPr>
        <w:t>zarnu trakta apakšējās daļas perforāciju, fistulu un abscesu.</w:t>
      </w:r>
    </w:p>
    <w:p w14:paraId="3245A60A" w14:textId="77777777" w:rsidR="00784D05" w:rsidRDefault="00784D05">
      <w:pPr>
        <w:autoSpaceDE w:val="0"/>
        <w:rPr>
          <w:rFonts w:eastAsia="PMingLiU"/>
          <w:szCs w:val="22"/>
          <w:lang w:val="lv-LV"/>
        </w:rPr>
      </w:pPr>
    </w:p>
    <w:p w14:paraId="34FF8F1F" w14:textId="63D16B1F" w:rsidR="00784D05" w:rsidRPr="00707120" w:rsidRDefault="00CE653F">
      <w:pPr>
        <w:rPr>
          <w:szCs w:val="22"/>
          <w:u w:val="single"/>
          <w:lang w:val="lv-LV"/>
        </w:rPr>
      </w:pPr>
      <w:r w:rsidRPr="00707120">
        <w:rPr>
          <w:rFonts w:eastAsia="PMingLiU"/>
          <w:i/>
          <w:u w:val="single"/>
          <w:lang w:val="lv-LV"/>
        </w:rPr>
        <w:t>Ar i</w:t>
      </w:r>
      <w:r w:rsidR="00784D05" w:rsidRPr="00707120">
        <w:rPr>
          <w:rFonts w:eastAsia="PMingLiU"/>
          <w:i/>
          <w:u w:val="single"/>
          <w:lang w:val="lv-LV"/>
        </w:rPr>
        <w:t>nfūzij</w:t>
      </w:r>
      <w:r w:rsidRPr="00707120">
        <w:rPr>
          <w:rFonts w:eastAsia="PMingLiU"/>
          <w:i/>
          <w:u w:val="single"/>
          <w:lang w:val="lv-LV"/>
        </w:rPr>
        <w:t>u saistītas</w:t>
      </w:r>
      <w:r w:rsidR="00784D05" w:rsidRPr="00707120">
        <w:rPr>
          <w:rFonts w:eastAsia="PMingLiU"/>
          <w:i/>
          <w:u w:val="single"/>
          <w:lang w:val="lv-LV"/>
        </w:rPr>
        <w:t xml:space="preserve"> reakcijas</w:t>
      </w:r>
    </w:p>
    <w:p w14:paraId="4B2268A9" w14:textId="099C59BB" w:rsidR="00784D05" w:rsidRDefault="00784D05">
      <w:pPr>
        <w:rPr>
          <w:szCs w:val="22"/>
          <w:lang w:val="lv-LV"/>
        </w:rPr>
      </w:pPr>
      <w:r>
        <w:rPr>
          <w:szCs w:val="22"/>
          <w:lang w:val="lv-LV"/>
        </w:rPr>
        <w:t>Sešus</w:t>
      </w:r>
      <w:r w:rsidR="00AD4E27">
        <w:rPr>
          <w:szCs w:val="22"/>
          <w:lang w:val="lv-LV"/>
        </w:rPr>
        <w:t xml:space="preserve"> </w:t>
      </w:r>
      <w:r>
        <w:rPr>
          <w:szCs w:val="22"/>
          <w:lang w:val="lv-LV"/>
        </w:rPr>
        <w:t xml:space="preserve">mēnešus ilgos kontrolētos pētījumos ar infūziju saistītas blakusparādības (atsevišķi traucējumi, kas rodas infūzijas laikā vai 24 stundu laikā pēc tās), novērotas 6,9% pacientu </w:t>
      </w:r>
      <w:r>
        <w:rPr>
          <w:iCs/>
          <w:szCs w:val="22"/>
          <w:lang w:val="lv-LV"/>
        </w:rPr>
        <w:t>tocilizumaba 8 mg/kg un DMARD grupā un 5,1% pacientu placebo un DMARD grupā. Galvenais infūzijas laikā novērotais traucējums bija hipertensija; traucējumi, par kuriem ziņots 24 </w:t>
      </w:r>
      <w:r>
        <w:rPr>
          <w:szCs w:val="22"/>
          <w:lang w:val="lv-LV"/>
        </w:rPr>
        <w:t xml:space="preserve">stundu laikā pēc infūzijas pabeigšanas, bija </w:t>
      </w:r>
      <w:r w:rsidR="009F68CC">
        <w:rPr>
          <w:szCs w:val="22"/>
          <w:lang w:val="lv-LV"/>
        </w:rPr>
        <w:t xml:space="preserve">galvassāpes un </w:t>
      </w:r>
      <w:r>
        <w:rPr>
          <w:szCs w:val="22"/>
          <w:lang w:val="lv-LV"/>
        </w:rPr>
        <w:t>ādas reakcijas (izsitumi, nātrene). Šie traucējumi neierobežoja ārstēšanu.</w:t>
      </w:r>
    </w:p>
    <w:p w14:paraId="0215F16B" w14:textId="77777777" w:rsidR="00784D05" w:rsidRDefault="00784D05">
      <w:pPr>
        <w:rPr>
          <w:szCs w:val="22"/>
          <w:lang w:val="lv-LV"/>
        </w:rPr>
      </w:pPr>
    </w:p>
    <w:p w14:paraId="1EDB3711" w14:textId="0C14CF4E" w:rsidR="00784D05" w:rsidRDefault="00784D05">
      <w:pPr>
        <w:rPr>
          <w:szCs w:val="22"/>
          <w:lang w:val="lv-LV"/>
        </w:rPr>
      </w:pPr>
      <w:r>
        <w:rPr>
          <w:szCs w:val="22"/>
          <w:lang w:val="lv-LV"/>
        </w:rPr>
        <w:t>Anafilaktisko reakciju rādītājs (</w:t>
      </w:r>
      <w:r w:rsidR="00AD4E27">
        <w:rPr>
          <w:szCs w:val="22"/>
          <w:lang w:val="lv-LV"/>
        </w:rPr>
        <w:t xml:space="preserve">radās </w:t>
      </w:r>
      <w:r>
        <w:rPr>
          <w:szCs w:val="22"/>
          <w:lang w:val="lv-LV"/>
        </w:rPr>
        <w:t>kopumā 8/4</w:t>
      </w:r>
      <w:r w:rsidR="0066410C">
        <w:rPr>
          <w:szCs w:val="22"/>
          <w:lang w:val="lv-LV"/>
        </w:rPr>
        <w:t> </w:t>
      </w:r>
      <w:r>
        <w:rPr>
          <w:szCs w:val="22"/>
          <w:lang w:val="lv-LV"/>
        </w:rPr>
        <w:t>009</w:t>
      </w:r>
      <w:r w:rsidR="00AD4E27">
        <w:rPr>
          <w:szCs w:val="22"/>
          <w:lang w:val="lv-LV"/>
        </w:rPr>
        <w:t> </w:t>
      </w:r>
      <w:r>
        <w:rPr>
          <w:szCs w:val="22"/>
          <w:lang w:val="lv-LV"/>
        </w:rPr>
        <w:t>pacientiem, 0,2%), lietojot 4 mg/kg devu, bija vairākas reizes lielāks</w:t>
      </w:r>
      <w:r w:rsidR="00FE214A">
        <w:rPr>
          <w:szCs w:val="22"/>
          <w:lang w:val="lv-LV"/>
        </w:rPr>
        <w:t>,</w:t>
      </w:r>
      <w:r>
        <w:rPr>
          <w:szCs w:val="22"/>
          <w:lang w:val="lv-LV"/>
        </w:rPr>
        <w:t xml:space="preserve"> nekā lietojot 8 mg/kg devu. Par klīniski nozīmīgām paaugstinātas jutības reakcijām saistībā ar </w:t>
      </w:r>
      <w:r>
        <w:rPr>
          <w:iCs/>
          <w:szCs w:val="22"/>
          <w:lang w:val="lv-LV"/>
        </w:rPr>
        <w:t>tocilizumaba lietošanu</w:t>
      </w:r>
      <w:r w:rsidR="00FE214A">
        <w:rPr>
          <w:iCs/>
          <w:szCs w:val="22"/>
          <w:lang w:val="lv-LV"/>
        </w:rPr>
        <w:t>,</w:t>
      </w:r>
      <w:r>
        <w:rPr>
          <w:iCs/>
          <w:szCs w:val="22"/>
          <w:lang w:val="lv-LV"/>
        </w:rPr>
        <w:t xml:space="preserve"> kuru dēļ nepieciešama terapijas pārtraukšana, ziņots kopumā 56</w:t>
      </w:r>
      <w:r w:rsidR="00AD4E27">
        <w:rPr>
          <w:iCs/>
          <w:szCs w:val="22"/>
          <w:lang w:val="lv-LV"/>
        </w:rPr>
        <w:t> </w:t>
      </w:r>
      <w:r>
        <w:rPr>
          <w:iCs/>
          <w:szCs w:val="22"/>
          <w:lang w:val="lv-LV"/>
        </w:rPr>
        <w:t>no 4</w:t>
      </w:r>
      <w:r w:rsidR="0066410C">
        <w:rPr>
          <w:iCs/>
          <w:szCs w:val="22"/>
          <w:lang w:val="lv-LV"/>
        </w:rPr>
        <w:t> </w:t>
      </w:r>
      <w:r>
        <w:rPr>
          <w:iCs/>
          <w:szCs w:val="22"/>
          <w:lang w:val="lv-LV"/>
        </w:rPr>
        <w:t xml:space="preserve">009 (1,4%) kontrolētos un atklātos klīniskos pētījumos </w:t>
      </w:r>
      <w:r w:rsidR="00AD4E27">
        <w:rPr>
          <w:iCs/>
          <w:szCs w:val="22"/>
          <w:lang w:val="lv-LV"/>
        </w:rPr>
        <w:t>terapiju saņēmušiem</w:t>
      </w:r>
      <w:r>
        <w:rPr>
          <w:iCs/>
          <w:szCs w:val="22"/>
          <w:lang w:val="lv-LV"/>
        </w:rPr>
        <w:t xml:space="preserve"> pacientiem. Šīs reakcijas parasti tika novērotas 2. – 5. tocilizumaba infūzijas laikā (skatīt 4.4. apakšpunktu)</w:t>
      </w:r>
      <w:r>
        <w:rPr>
          <w:szCs w:val="22"/>
          <w:lang w:val="lv-LV"/>
        </w:rPr>
        <w:t>.</w:t>
      </w:r>
      <w:r>
        <w:rPr>
          <w:lang w:val="lv-LV"/>
        </w:rPr>
        <w:t xml:space="preserve"> Pēcreģistrācijas periodā ziņots par letālu anafilakses gadījumu tocilizumaba terapijas laikā (skatīt 4.4. apakšpunktu).</w:t>
      </w:r>
    </w:p>
    <w:p w14:paraId="5ADC4C8F" w14:textId="77777777" w:rsidR="00784D05" w:rsidRDefault="00784D05">
      <w:pPr>
        <w:rPr>
          <w:szCs w:val="22"/>
          <w:lang w:val="lv-LV"/>
        </w:rPr>
      </w:pPr>
    </w:p>
    <w:p w14:paraId="5072026F" w14:textId="77777777" w:rsidR="00260CAB" w:rsidRPr="00707120" w:rsidRDefault="00390A69">
      <w:pPr>
        <w:keepNext/>
        <w:rPr>
          <w:i/>
          <w:u w:val="single"/>
          <w:lang w:val="lv-LV"/>
        </w:rPr>
        <w:pPrChange w:id="94" w:author="Author">
          <w:pPr/>
        </w:pPrChange>
      </w:pPr>
      <w:r w:rsidRPr="00707120">
        <w:rPr>
          <w:i/>
          <w:u w:val="single"/>
          <w:lang w:val="lv-LV"/>
        </w:rPr>
        <w:t>Imūngenitāte</w:t>
      </w:r>
    </w:p>
    <w:p w14:paraId="40D43929" w14:textId="2312237D" w:rsidR="00784D05" w:rsidRDefault="00784D05">
      <w:pPr>
        <w:rPr>
          <w:szCs w:val="22"/>
          <w:lang w:val="lv-LV"/>
        </w:rPr>
      </w:pPr>
      <w:r>
        <w:rPr>
          <w:szCs w:val="22"/>
          <w:lang w:val="lv-LV"/>
        </w:rPr>
        <w:t>Sešus mēnešus ilgos k</w:t>
      </w:r>
      <w:r>
        <w:rPr>
          <w:iCs/>
          <w:szCs w:val="22"/>
          <w:lang w:val="lv-LV"/>
        </w:rPr>
        <w:t>ontrolētos klīniskos pētījumos anti-tocilizumaba antivielas tika noteiktas kopumā 2</w:t>
      </w:r>
      <w:r w:rsidR="00236CD1">
        <w:rPr>
          <w:iCs/>
          <w:szCs w:val="22"/>
          <w:lang w:val="lv-LV"/>
        </w:rPr>
        <w:t> </w:t>
      </w:r>
      <w:r>
        <w:rPr>
          <w:iCs/>
          <w:szCs w:val="22"/>
          <w:lang w:val="lv-LV"/>
        </w:rPr>
        <w:t>876</w:t>
      </w:r>
      <w:r w:rsidR="00AD4E27">
        <w:rPr>
          <w:iCs/>
          <w:szCs w:val="22"/>
          <w:lang w:val="lv-LV"/>
        </w:rPr>
        <w:t> </w:t>
      </w:r>
      <w:r>
        <w:rPr>
          <w:iCs/>
          <w:szCs w:val="22"/>
          <w:lang w:val="lv-LV"/>
        </w:rPr>
        <w:t>pacientiem. No 46</w:t>
      </w:r>
      <w:r w:rsidR="00AD4E27">
        <w:rPr>
          <w:iCs/>
          <w:szCs w:val="22"/>
          <w:lang w:val="lv-LV"/>
        </w:rPr>
        <w:t> </w:t>
      </w:r>
      <w:r>
        <w:rPr>
          <w:iCs/>
          <w:szCs w:val="22"/>
          <w:lang w:val="lv-LV"/>
        </w:rPr>
        <w:t>pacientiem (1,6%), kuriem attīstījās anti</w:t>
      </w:r>
      <w:r w:rsidR="005526A7">
        <w:rPr>
          <w:iCs/>
          <w:szCs w:val="22"/>
          <w:lang w:val="lv-LV"/>
        </w:rPr>
        <w:noBreakHyphen/>
      </w:r>
      <w:r>
        <w:rPr>
          <w:iCs/>
          <w:szCs w:val="22"/>
          <w:lang w:val="lv-LV"/>
        </w:rPr>
        <w:t>tocilizumaba antivielas, 6</w:t>
      </w:r>
      <w:r w:rsidR="00AD4E27">
        <w:rPr>
          <w:iCs/>
          <w:szCs w:val="22"/>
          <w:lang w:val="lv-LV"/>
        </w:rPr>
        <w:t xml:space="preserve"> pacientiem </w:t>
      </w:r>
      <w:r>
        <w:rPr>
          <w:iCs/>
          <w:szCs w:val="22"/>
          <w:lang w:val="lv-LV"/>
        </w:rPr>
        <w:t>vienlaikus bija arī klīniski nozīmīga paaugstinātas jutības reakcija, kuras dēļ 5</w:t>
      </w:r>
      <w:r w:rsidR="00AD4E27">
        <w:rPr>
          <w:iCs/>
          <w:szCs w:val="22"/>
          <w:lang w:val="lv-LV"/>
        </w:rPr>
        <w:t> </w:t>
      </w:r>
      <w:r>
        <w:rPr>
          <w:iCs/>
          <w:szCs w:val="22"/>
          <w:lang w:val="lv-LV"/>
        </w:rPr>
        <w:t>pacientiem terapija bija pilnīgi jāpārtrauc. Trīsdesmit pacientiem (1,1%) attīstījās neitralizējošas antivielas.</w:t>
      </w:r>
      <w:r>
        <w:rPr>
          <w:szCs w:val="22"/>
          <w:lang w:val="lv-LV"/>
        </w:rPr>
        <w:t xml:space="preserve"> </w:t>
      </w:r>
    </w:p>
    <w:p w14:paraId="28A1B5C2" w14:textId="77777777" w:rsidR="00784D05" w:rsidRDefault="00784D05">
      <w:pPr>
        <w:rPr>
          <w:szCs w:val="22"/>
          <w:lang w:val="lv-LV"/>
        </w:rPr>
      </w:pPr>
    </w:p>
    <w:p w14:paraId="052DA289" w14:textId="77777777" w:rsidR="00784D05" w:rsidRPr="00707120" w:rsidRDefault="00784D05" w:rsidP="00382C63">
      <w:pPr>
        <w:keepNext/>
        <w:rPr>
          <w:szCs w:val="22"/>
          <w:u w:val="single"/>
          <w:lang w:val="lv-LV"/>
        </w:rPr>
      </w:pPr>
      <w:r w:rsidRPr="00707120">
        <w:rPr>
          <w:i/>
          <w:u w:val="single"/>
          <w:lang w:val="lv-LV"/>
        </w:rPr>
        <w:t>Neitrofilie leikocīti</w:t>
      </w:r>
    </w:p>
    <w:p w14:paraId="42C113BF" w14:textId="26809D5B" w:rsidR="00784D05" w:rsidRDefault="00784D05">
      <w:pPr>
        <w:rPr>
          <w:szCs w:val="22"/>
          <w:lang w:val="lv-LV"/>
        </w:rPr>
      </w:pPr>
      <w:r>
        <w:rPr>
          <w:szCs w:val="22"/>
          <w:lang w:val="lv-LV"/>
        </w:rPr>
        <w:t>Sešus</w:t>
      </w:r>
      <w:r w:rsidR="00AD4E27">
        <w:rPr>
          <w:szCs w:val="22"/>
          <w:lang w:val="lv-LV"/>
        </w:rPr>
        <w:t xml:space="preserve"> </w:t>
      </w:r>
      <w:r>
        <w:rPr>
          <w:szCs w:val="22"/>
          <w:lang w:val="lv-LV"/>
        </w:rPr>
        <w:t>mēnešus ilgos k</w:t>
      </w:r>
      <w:r>
        <w:rPr>
          <w:iCs/>
          <w:szCs w:val="22"/>
          <w:lang w:val="lv-LV"/>
        </w:rPr>
        <w:t>ontrolētos pētījumos n</w:t>
      </w:r>
      <w:r>
        <w:rPr>
          <w:szCs w:val="22"/>
          <w:lang w:val="lv-LV"/>
        </w:rPr>
        <w:t>eitrofilo leikocītu skaita samazināšanos zem</w:t>
      </w:r>
      <w:r w:rsidR="00FE214A">
        <w:rPr>
          <w:szCs w:val="22"/>
          <w:lang w:val="lv-LV"/>
        </w:rPr>
        <w:t> </w:t>
      </w:r>
      <w:r>
        <w:rPr>
          <w:szCs w:val="22"/>
          <w:lang w:val="lv-LV"/>
        </w:rPr>
        <w:t>1</w:t>
      </w:r>
      <w:r w:rsidR="00AD4E27">
        <w:rPr>
          <w:szCs w:val="22"/>
          <w:lang w:val="lv-LV"/>
        </w:rPr>
        <w:t> × </w:t>
      </w:r>
      <w:r>
        <w:rPr>
          <w:szCs w:val="22"/>
          <w:lang w:val="lv-LV"/>
        </w:rPr>
        <w:t>10</w:t>
      </w:r>
      <w:r>
        <w:rPr>
          <w:szCs w:val="22"/>
          <w:vertAlign w:val="superscript"/>
          <w:lang w:val="lv-LV"/>
        </w:rPr>
        <w:t>9</w:t>
      </w:r>
      <w:r>
        <w:rPr>
          <w:rFonts w:eastAsia="MS Mincho"/>
          <w:szCs w:val="22"/>
          <w:lang w:val="lv-LV"/>
        </w:rPr>
        <w:t>/l</w:t>
      </w:r>
      <w:r w:rsidR="00AD4E27">
        <w:rPr>
          <w:szCs w:val="22"/>
          <w:lang w:val="lv-LV"/>
        </w:rPr>
        <w:t xml:space="preserve"> </w:t>
      </w:r>
      <w:r>
        <w:rPr>
          <w:szCs w:val="22"/>
          <w:lang w:val="lv-LV"/>
        </w:rPr>
        <w:t>konstatēja 3,4% pacientu, kas saņēma tocilizumab</w:t>
      </w:r>
      <w:r w:rsidR="00FE214A">
        <w:rPr>
          <w:szCs w:val="22"/>
          <w:lang w:val="lv-LV"/>
        </w:rPr>
        <w:t>a</w:t>
      </w:r>
      <w:r>
        <w:rPr>
          <w:szCs w:val="22"/>
          <w:lang w:val="lv-LV"/>
        </w:rPr>
        <w:t xml:space="preserve"> 8 mg/kg </w:t>
      </w:r>
      <w:r w:rsidR="00FE214A">
        <w:rPr>
          <w:szCs w:val="22"/>
          <w:lang w:val="lv-LV"/>
        </w:rPr>
        <w:t xml:space="preserve">devu </w:t>
      </w:r>
      <w:r>
        <w:rPr>
          <w:szCs w:val="22"/>
          <w:lang w:val="lv-LV"/>
        </w:rPr>
        <w:t xml:space="preserve">un DMARD, salīdzinot ar </w:t>
      </w:r>
      <w:r w:rsidR="00AD4E27">
        <w:rPr>
          <w:szCs w:val="22"/>
          <w:lang w:val="lv-LV"/>
        </w:rPr>
        <w:t>˂ </w:t>
      </w:r>
      <w:r>
        <w:rPr>
          <w:szCs w:val="22"/>
          <w:lang w:val="lv-LV"/>
        </w:rPr>
        <w:t>0,1% pacientu, kas saņēma placebo un DMARD. Aptuveni pusei pacientu, kuriem ANS samazinājās</w:t>
      </w:r>
      <w:r w:rsidR="00FE214A">
        <w:rPr>
          <w:szCs w:val="22"/>
          <w:lang w:val="lv-LV"/>
        </w:rPr>
        <w:t xml:space="preserve"> līdz </w:t>
      </w:r>
      <w:del w:id="95" w:author="Author">
        <w:r w:rsidDel="00CE6B8D">
          <w:rPr>
            <w:szCs w:val="22"/>
            <w:lang w:val="lv-LV"/>
          </w:rPr>
          <w:delText xml:space="preserve"> </w:delText>
        </w:r>
      </w:del>
      <w:r w:rsidR="00AD4E27">
        <w:rPr>
          <w:szCs w:val="22"/>
          <w:lang w:val="lv-LV"/>
        </w:rPr>
        <w:t>˂ </w:t>
      </w:r>
      <w:r>
        <w:rPr>
          <w:szCs w:val="22"/>
          <w:lang w:val="lv-LV"/>
        </w:rPr>
        <w:t>1 </w:t>
      </w:r>
      <w:r w:rsidR="00AD4E27">
        <w:rPr>
          <w:szCs w:val="22"/>
          <w:lang w:val="lv-LV"/>
        </w:rPr>
        <w:t>˃</w:t>
      </w:r>
      <w:r>
        <w:rPr>
          <w:szCs w:val="22"/>
          <w:lang w:val="lv-LV"/>
        </w:rPr>
        <w:t> 10</w:t>
      </w:r>
      <w:r>
        <w:rPr>
          <w:szCs w:val="22"/>
          <w:vertAlign w:val="superscript"/>
          <w:lang w:val="lv-LV"/>
        </w:rPr>
        <w:t>9</w:t>
      </w:r>
      <w:r>
        <w:rPr>
          <w:szCs w:val="22"/>
          <w:lang w:val="lv-LV"/>
        </w:rPr>
        <w:t>/l, tas notika 8</w:t>
      </w:r>
      <w:r w:rsidR="00FE214A">
        <w:rPr>
          <w:szCs w:val="22"/>
          <w:lang w:val="lv-LV"/>
        </w:rPr>
        <w:t> </w:t>
      </w:r>
      <w:r>
        <w:rPr>
          <w:szCs w:val="22"/>
          <w:lang w:val="lv-LV"/>
        </w:rPr>
        <w:t>nedēļu laikā pēc ārstēšanas uzsākšanas.</w:t>
      </w:r>
      <w:r>
        <w:rPr>
          <w:szCs w:val="22"/>
          <w:vertAlign w:val="superscript"/>
          <w:lang w:val="lv-LV"/>
        </w:rPr>
        <w:t xml:space="preserve"> </w:t>
      </w:r>
      <w:r>
        <w:rPr>
          <w:szCs w:val="22"/>
          <w:lang w:val="lv-LV"/>
        </w:rPr>
        <w:t>Par samazināšanos zem 0,5</w:t>
      </w:r>
      <w:r w:rsidR="00FE214A">
        <w:rPr>
          <w:szCs w:val="22"/>
          <w:lang w:val="lv-LV"/>
        </w:rPr>
        <w:t> </w:t>
      </w:r>
      <w:r w:rsidR="00AD4E27">
        <w:rPr>
          <w:szCs w:val="22"/>
          <w:lang w:val="lv-LV"/>
        </w:rPr>
        <w:t>× </w:t>
      </w:r>
      <w:r>
        <w:rPr>
          <w:szCs w:val="22"/>
          <w:lang w:val="lv-LV"/>
        </w:rPr>
        <w:t>10</w:t>
      </w:r>
      <w:r>
        <w:rPr>
          <w:szCs w:val="22"/>
          <w:vertAlign w:val="superscript"/>
          <w:lang w:val="lv-LV"/>
        </w:rPr>
        <w:t>9</w:t>
      </w:r>
      <w:r>
        <w:rPr>
          <w:rFonts w:eastAsia="MS Mincho"/>
          <w:szCs w:val="22"/>
          <w:lang w:val="lv-LV"/>
        </w:rPr>
        <w:t>/l</w:t>
      </w:r>
      <w:r>
        <w:rPr>
          <w:szCs w:val="22"/>
          <w:lang w:val="lv-LV"/>
        </w:rPr>
        <w:t xml:space="preserve"> tika ziņots 0,3% pacientu, kas saņēma tocilizumab</w:t>
      </w:r>
      <w:r w:rsidR="00FE214A">
        <w:rPr>
          <w:szCs w:val="22"/>
          <w:lang w:val="lv-LV"/>
        </w:rPr>
        <w:t>a</w:t>
      </w:r>
      <w:r>
        <w:rPr>
          <w:szCs w:val="22"/>
          <w:lang w:val="lv-LV"/>
        </w:rPr>
        <w:t xml:space="preserve"> 8 mg/kg </w:t>
      </w:r>
      <w:r w:rsidR="00FE214A">
        <w:rPr>
          <w:szCs w:val="22"/>
          <w:lang w:val="lv-LV"/>
        </w:rPr>
        <w:t xml:space="preserve">devu </w:t>
      </w:r>
      <w:r>
        <w:rPr>
          <w:szCs w:val="22"/>
          <w:lang w:val="lv-LV"/>
        </w:rPr>
        <w:t xml:space="preserve">un DMARD. Neitropēnijas gadījumos ir aprakstītas infekcijas. </w:t>
      </w:r>
    </w:p>
    <w:p w14:paraId="041F6626" w14:textId="77777777" w:rsidR="00784D05" w:rsidRDefault="00784D05">
      <w:pPr>
        <w:autoSpaceDE w:val="0"/>
        <w:rPr>
          <w:szCs w:val="22"/>
          <w:lang w:val="lv-LV"/>
        </w:rPr>
      </w:pPr>
    </w:p>
    <w:p w14:paraId="439E7887" w14:textId="77777777" w:rsidR="00784D05" w:rsidRDefault="00784D05">
      <w:pPr>
        <w:autoSpaceDE w:val="0"/>
        <w:rPr>
          <w:szCs w:val="22"/>
          <w:lang w:val="lv-LV"/>
        </w:rPr>
      </w:pPr>
      <w:r>
        <w:rPr>
          <w:szCs w:val="22"/>
          <w:lang w:val="lv-LV"/>
        </w:rPr>
        <w:t>Dubultmaskētā kontroles periodā pakļaujot pacientus ilgstošai zāļu iedarbībai, neitrofilo leikocītu skaita samazināšanās veids un sastopamība saglabājās atbilstoši tam, kāds tika novērots 6 mēnešus ilgo kontrolēto klīnisko pētījumu laikā.</w:t>
      </w:r>
    </w:p>
    <w:p w14:paraId="318299C7" w14:textId="77777777" w:rsidR="00784D05" w:rsidRDefault="00784D05">
      <w:pPr>
        <w:autoSpaceDE w:val="0"/>
        <w:rPr>
          <w:szCs w:val="22"/>
          <w:lang w:val="lv-LV"/>
        </w:rPr>
      </w:pPr>
    </w:p>
    <w:p w14:paraId="7A522CC0" w14:textId="77777777" w:rsidR="00784D05" w:rsidRPr="00707120" w:rsidRDefault="00784D05">
      <w:pPr>
        <w:keepNext/>
        <w:keepLines/>
        <w:autoSpaceDE w:val="0"/>
        <w:rPr>
          <w:szCs w:val="22"/>
          <w:u w:val="single"/>
          <w:lang w:val="lv-LV"/>
        </w:rPr>
      </w:pPr>
      <w:r w:rsidRPr="00707120">
        <w:rPr>
          <w:i/>
          <w:szCs w:val="22"/>
          <w:u w:val="single"/>
          <w:lang w:val="lv-LV"/>
        </w:rPr>
        <w:t>Trombocīti</w:t>
      </w:r>
    </w:p>
    <w:p w14:paraId="3D8BAA33" w14:textId="7CDED638" w:rsidR="00784D05" w:rsidRDefault="00784D05">
      <w:pPr>
        <w:autoSpaceDE w:val="0"/>
        <w:rPr>
          <w:szCs w:val="22"/>
          <w:lang w:val="lv-LV"/>
        </w:rPr>
      </w:pPr>
      <w:r>
        <w:rPr>
          <w:szCs w:val="22"/>
          <w:lang w:val="lv-LV"/>
        </w:rPr>
        <w:t>Sešus</w:t>
      </w:r>
      <w:r w:rsidR="00AD4E27">
        <w:rPr>
          <w:szCs w:val="22"/>
          <w:lang w:val="lv-LV"/>
        </w:rPr>
        <w:t xml:space="preserve"> </w:t>
      </w:r>
      <w:r>
        <w:rPr>
          <w:szCs w:val="22"/>
          <w:lang w:val="lv-LV"/>
        </w:rPr>
        <w:t>mēnešus ilgos k</w:t>
      </w:r>
      <w:r>
        <w:rPr>
          <w:iCs/>
          <w:szCs w:val="22"/>
          <w:lang w:val="lv-LV"/>
        </w:rPr>
        <w:t xml:space="preserve">ontrolētos pētījumos </w:t>
      </w:r>
      <w:r>
        <w:rPr>
          <w:szCs w:val="22"/>
          <w:lang w:val="lv-LV"/>
        </w:rPr>
        <w:t>trombocītu skaita samazināšanos zem</w:t>
      </w:r>
      <w:r w:rsidR="00FE214A">
        <w:rPr>
          <w:szCs w:val="22"/>
          <w:lang w:val="lv-LV"/>
        </w:rPr>
        <w:t> </w:t>
      </w:r>
      <w:r>
        <w:rPr>
          <w:szCs w:val="22"/>
          <w:lang w:val="lv-LV"/>
        </w:rPr>
        <w:t>100</w:t>
      </w:r>
      <w:r w:rsidR="00AD4E27">
        <w:rPr>
          <w:szCs w:val="22"/>
          <w:lang w:val="lv-LV"/>
        </w:rPr>
        <w:t> × </w:t>
      </w:r>
      <w:r>
        <w:rPr>
          <w:szCs w:val="22"/>
          <w:lang w:val="lv-LV"/>
        </w:rPr>
        <w:t>10</w:t>
      </w:r>
      <w:r>
        <w:rPr>
          <w:szCs w:val="22"/>
          <w:vertAlign w:val="superscript"/>
          <w:lang w:val="lv-LV"/>
        </w:rPr>
        <w:t>3</w:t>
      </w:r>
      <w:r>
        <w:rPr>
          <w:rFonts w:eastAsia="MS Mincho"/>
          <w:szCs w:val="22"/>
          <w:lang w:val="lv-LV"/>
        </w:rPr>
        <w:t>/</w:t>
      </w:r>
      <w:r w:rsidR="00236CD1" w:rsidRPr="00707120">
        <w:rPr>
          <w:rFonts w:eastAsia="SimSun"/>
          <w:bCs/>
          <w:szCs w:val="22"/>
          <w:lang w:val="lv-LV" w:eastAsia="ja-JP"/>
        </w:rPr>
        <w:t>µ</w:t>
      </w:r>
      <w:r>
        <w:rPr>
          <w:rFonts w:eastAsia="MS Mincho"/>
          <w:szCs w:val="22"/>
          <w:lang w:val="lv-LV"/>
        </w:rPr>
        <w:t>l</w:t>
      </w:r>
      <w:r>
        <w:rPr>
          <w:szCs w:val="22"/>
          <w:lang w:val="lv-LV"/>
        </w:rPr>
        <w:t xml:space="preserve"> konstatēja 1,7% pacientu, kas saņēma tocilizumab</w:t>
      </w:r>
      <w:r w:rsidR="00FE214A">
        <w:rPr>
          <w:szCs w:val="22"/>
          <w:lang w:val="lv-LV"/>
        </w:rPr>
        <w:t>a</w:t>
      </w:r>
      <w:r>
        <w:rPr>
          <w:szCs w:val="22"/>
          <w:lang w:val="lv-LV"/>
        </w:rPr>
        <w:t xml:space="preserve"> 8 mg/kg </w:t>
      </w:r>
      <w:r w:rsidR="00FE214A">
        <w:rPr>
          <w:szCs w:val="22"/>
          <w:lang w:val="lv-LV"/>
        </w:rPr>
        <w:t xml:space="preserve">devu </w:t>
      </w:r>
      <w:r>
        <w:rPr>
          <w:szCs w:val="22"/>
          <w:lang w:val="lv-LV"/>
        </w:rPr>
        <w:t xml:space="preserve">un DMARD, salīdzinot ar </w:t>
      </w:r>
      <w:r w:rsidR="00AD4E27">
        <w:rPr>
          <w:szCs w:val="22"/>
          <w:lang w:val="lv-LV"/>
        </w:rPr>
        <w:t>˂ </w:t>
      </w:r>
      <w:r>
        <w:rPr>
          <w:szCs w:val="22"/>
          <w:lang w:val="lv-LV"/>
        </w:rPr>
        <w:t>1% pacientu, kas saņēma placebo un DMARD. Šī samazināšanās nebija saistīta ar asiņošanu.</w:t>
      </w:r>
    </w:p>
    <w:p w14:paraId="320D4876" w14:textId="77777777" w:rsidR="00784D05" w:rsidRDefault="00784D05">
      <w:pPr>
        <w:autoSpaceDE w:val="0"/>
        <w:rPr>
          <w:szCs w:val="22"/>
          <w:lang w:val="lv-LV"/>
        </w:rPr>
      </w:pPr>
    </w:p>
    <w:p w14:paraId="42A199DA" w14:textId="77777777" w:rsidR="00784D05" w:rsidRDefault="00784D05">
      <w:pPr>
        <w:autoSpaceDE w:val="0"/>
        <w:rPr>
          <w:szCs w:val="22"/>
          <w:lang w:val="lv-LV"/>
        </w:rPr>
      </w:pPr>
      <w:r>
        <w:rPr>
          <w:szCs w:val="22"/>
          <w:lang w:val="lv-LV"/>
        </w:rPr>
        <w:t>Dubultmaskētā kontroles periodā pakļaujot pacientus ilgstošai zāļu iedarbībai, trombocītu skaita samazināšanās veids un sastopamība saglabājās tāda pati, kāda tika novērota 6 mēnešus ilgo kontrolēto klīnisko pētījumu laikā.</w:t>
      </w:r>
    </w:p>
    <w:p w14:paraId="4C9828DF" w14:textId="77777777" w:rsidR="00784D05" w:rsidRDefault="00784D05">
      <w:pPr>
        <w:autoSpaceDE w:val="0"/>
        <w:rPr>
          <w:szCs w:val="22"/>
          <w:lang w:val="lv-LV"/>
        </w:rPr>
      </w:pPr>
    </w:p>
    <w:p w14:paraId="0464C357" w14:textId="77777777" w:rsidR="00784D05" w:rsidRDefault="00784D05">
      <w:pPr>
        <w:autoSpaceDE w:val="0"/>
        <w:rPr>
          <w:szCs w:val="22"/>
          <w:lang w:val="lv-LV"/>
        </w:rPr>
      </w:pPr>
      <w:r>
        <w:rPr>
          <w:szCs w:val="22"/>
          <w:lang w:val="lv-LV"/>
        </w:rPr>
        <w:t>Pēcreģistrācijas periodā ļoti retos gadījumos novērota pancitopēnija.</w:t>
      </w:r>
    </w:p>
    <w:p w14:paraId="28A6894B" w14:textId="77777777" w:rsidR="00784D05" w:rsidRDefault="00784D05">
      <w:pPr>
        <w:autoSpaceDE w:val="0"/>
        <w:rPr>
          <w:szCs w:val="22"/>
          <w:lang w:val="lv-LV"/>
        </w:rPr>
      </w:pPr>
    </w:p>
    <w:p w14:paraId="17EDCDED" w14:textId="77777777" w:rsidR="00784D05" w:rsidRPr="00707120" w:rsidRDefault="00784D05">
      <w:pPr>
        <w:keepNext/>
        <w:rPr>
          <w:szCs w:val="22"/>
          <w:u w:val="single"/>
          <w:lang w:val="lv-LV"/>
        </w:rPr>
      </w:pPr>
      <w:r w:rsidRPr="00707120">
        <w:rPr>
          <w:i/>
          <w:u w:val="single"/>
          <w:lang w:val="lv-LV"/>
        </w:rPr>
        <w:t>Paaugstināts aknu transamināžu līmenis</w:t>
      </w:r>
    </w:p>
    <w:p w14:paraId="1901C21C" w14:textId="7EB0E2A4" w:rsidR="00784D05" w:rsidRDefault="00784D05">
      <w:pPr>
        <w:rPr>
          <w:szCs w:val="22"/>
          <w:lang w:val="lv-LV"/>
        </w:rPr>
      </w:pPr>
      <w:r>
        <w:rPr>
          <w:szCs w:val="22"/>
          <w:lang w:val="lv-LV"/>
        </w:rPr>
        <w:t>Sešus</w:t>
      </w:r>
      <w:r w:rsidR="00AD4E27">
        <w:rPr>
          <w:szCs w:val="22"/>
          <w:lang w:val="lv-LV"/>
        </w:rPr>
        <w:t xml:space="preserve"> </w:t>
      </w:r>
      <w:r>
        <w:rPr>
          <w:szCs w:val="22"/>
          <w:lang w:val="lv-LV"/>
        </w:rPr>
        <w:t>mēnešus ilgos k</w:t>
      </w:r>
      <w:r>
        <w:rPr>
          <w:iCs/>
          <w:szCs w:val="22"/>
          <w:lang w:val="lv-LV"/>
        </w:rPr>
        <w:t>ontrolētos pētījumos ī</w:t>
      </w:r>
      <w:r>
        <w:rPr>
          <w:szCs w:val="22"/>
          <w:lang w:val="lv-LV"/>
        </w:rPr>
        <w:t>slaicīga ALAT/ASAT līmeņa paaugstināšanās</w:t>
      </w:r>
      <w:r w:rsidR="00FE214A">
        <w:rPr>
          <w:szCs w:val="22"/>
          <w:lang w:val="lv-LV"/>
        </w:rPr>
        <w:t> </w:t>
      </w:r>
      <w:r w:rsidR="00AD4E27">
        <w:rPr>
          <w:szCs w:val="22"/>
          <w:lang w:val="lv-LV"/>
        </w:rPr>
        <w:t>˃ </w:t>
      </w:r>
      <w:r>
        <w:rPr>
          <w:szCs w:val="22"/>
          <w:lang w:val="lv-LV"/>
        </w:rPr>
        <w:t>3</w:t>
      </w:r>
      <w:r w:rsidR="00AD4E27">
        <w:rPr>
          <w:szCs w:val="22"/>
          <w:lang w:val="lv-LV"/>
        </w:rPr>
        <w:t> × </w:t>
      </w:r>
      <w:r>
        <w:rPr>
          <w:szCs w:val="22"/>
          <w:lang w:val="lv-LV"/>
        </w:rPr>
        <w:t>NAR tika novērota 2,1% pacientu, kas lietoja tocilizumab</w:t>
      </w:r>
      <w:r w:rsidR="00FE214A">
        <w:rPr>
          <w:szCs w:val="22"/>
          <w:lang w:val="lv-LV"/>
        </w:rPr>
        <w:t>a</w:t>
      </w:r>
      <w:r>
        <w:rPr>
          <w:szCs w:val="22"/>
          <w:lang w:val="lv-LV"/>
        </w:rPr>
        <w:t xml:space="preserve"> 8 mg/kg</w:t>
      </w:r>
      <w:r w:rsidR="00FE214A">
        <w:rPr>
          <w:szCs w:val="22"/>
          <w:lang w:val="lv-LV"/>
        </w:rPr>
        <w:t xml:space="preserve"> devu</w:t>
      </w:r>
      <w:r>
        <w:rPr>
          <w:szCs w:val="22"/>
          <w:lang w:val="lv-LV"/>
        </w:rPr>
        <w:t>, salīdzinot ar 4,9% pacientu, kas saņēma MTX, un 6,5% pacientu, kas saņēma 8 mg/kg tocilizumaba un DMARD, salīdzinot ar 1,5% pacientu, kas saņēma placebo un DMARD.</w:t>
      </w:r>
    </w:p>
    <w:p w14:paraId="73806ACF" w14:textId="77777777" w:rsidR="00784D05" w:rsidRDefault="00784D05">
      <w:pPr>
        <w:rPr>
          <w:szCs w:val="22"/>
          <w:lang w:val="lv-LV"/>
        </w:rPr>
      </w:pPr>
    </w:p>
    <w:p w14:paraId="208E81B6" w14:textId="17B2D50C" w:rsidR="00784D05" w:rsidRDefault="00784D05">
      <w:pPr>
        <w:rPr>
          <w:szCs w:val="22"/>
          <w:lang w:val="lv-LV"/>
        </w:rPr>
      </w:pPr>
      <w:r>
        <w:rPr>
          <w:szCs w:val="22"/>
          <w:lang w:val="lv-LV"/>
        </w:rPr>
        <w:t>Pievienojot tocilizumaba monoterapijai potenciāli hepatotoksisk</w:t>
      </w:r>
      <w:r w:rsidR="008A589E">
        <w:rPr>
          <w:szCs w:val="22"/>
          <w:lang w:val="lv-LV"/>
        </w:rPr>
        <w:t>a</w:t>
      </w:r>
      <w:r>
        <w:rPr>
          <w:szCs w:val="22"/>
          <w:lang w:val="lv-LV"/>
        </w:rPr>
        <w:t xml:space="preserve">s </w:t>
      </w:r>
      <w:r w:rsidR="008A589E">
        <w:rPr>
          <w:szCs w:val="22"/>
          <w:lang w:val="lv-LV"/>
        </w:rPr>
        <w:t xml:space="preserve">zāles </w:t>
      </w:r>
      <w:r>
        <w:rPr>
          <w:szCs w:val="22"/>
          <w:lang w:val="lv-LV"/>
        </w:rPr>
        <w:t>(piemēram, MTX), šādu enzīmu koncentrācijas paaugstināšanos novēroja biežāk. ALAT/ASAT līmeņa paaugstināšanos</w:t>
      </w:r>
      <w:r w:rsidR="00FE214A">
        <w:rPr>
          <w:szCs w:val="22"/>
          <w:lang w:val="lv-LV"/>
        </w:rPr>
        <w:t> </w:t>
      </w:r>
      <w:r w:rsidR="00AD4E27">
        <w:rPr>
          <w:szCs w:val="22"/>
          <w:lang w:val="lv-LV"/>
        </w:rPr>
        <w:t>˃ </w:t>
      </w:r>
      <w:r>
        <w:rPr>
          <w:szCs w:val="22"/>
          <w:lang w:val="lv-LV"/>
        </w:rPr>
        <w:t>5</w:t>
      </w:r>
      <w:r w:rsidR="00AD4E27">
        <w:rPr>
          <w:szCs w:val="22"/>
          <w:lang w:val="lv-LV"/>
        </w:rPr>
        <w:t> × </w:t>
      </w:r>
      <w:r>
        <w:rPr>
          <w:szCs w:val="22"/>
          <w:lang w:val="lv-LV"/>
        </w:rPr>
        <w:t xml:space="preserve">NAR novēroja 0,7% pacientu, kas saņēma tocilizumaba monoterapiju, un 1,4% pacientu, kas saņēma tocilizumabu un DMARD, no kuriem lielākai daļai tocilizumaba terapija tika pilnīgi pārtraukta. Dubultmaskētā kontrolētā perioda laikā 6,2% pacientu, kurus ārstēja ar tocilizumaba </w:t>
      </w:r>
      <w:r w:rsidR="00AD4E27">
        <w:rPr>
          <w:szCs w:val="22"/>
          <w:lang w:val="lv-LV"/>
        </w:rPr>
        <w:t xml:space="preserve">8 mg/kg </w:t>
      </w:r>
      <w:r>
        <w:rPr>
          <w:szCs w:val="22"/>
          <w:lang w:val="lv-LV"/>
        </w:rPr>
        <w:t>devām + DMARD, parasto laboratorisko rādītāju kontroles laikā tika konstatēta netiešā bilirubīna koncentrācija, kas pārsniedz normas augstāko robežu. Pavisam 5,8% pacientu paaugstinātā netiešā bilirubīna koncentrācija NAR pārsniedza</w:t>
      </w:r>
      <w:r w:rsidR="00FE214A">
        <w:rPr>
          <w:szCs w:val="22"/>
          <w:lang w:val="lv-LV"/>
        </w:rPr>
        <w:t> </w:t>
      </w:r>
      <w:r w:rsidR="00AD4E27">
        <w:rPr>
          <w:szCs w:val="22"/>
          <w:lang w:val="lv-LV"/>
        </w:rPr>
        <w:t>˃ </w:t>
      </w:r>
      <w:r>
        <w:rPr>
          <w:szCs w:val="22"/>
          <w:lang w:val="lv-LV"/>
        </w:rPr>
        <w:t>1 līdz 2 reizes, bet 0,4% pacientu paaugstinātā koncentrācija NAR pārsniedza</w:t>
      </w:r>
      <w:r w:rsidR="00FE214A">
        <w:rPr>
          <w:szCs w:val="22"/>
          <w:lang w:val="lv-LV"/>
        </w:rPr>
        <w:t> </w:t>
      </w:r>
      <w:r w:rsidR="00AD4E27">
        <w:rPr>
          <w:szCs w:val="22"/>
          <w:lang w:val="lv-LV"/>
        </w:rPr>
        <w:t>˃ </w:t>
      </w:r>
      <w:r>
        <w:rPr>
          <w:szCs w:val="22"/>
          <w:lang w:val="lv-LV"/>
        </w:rPr>
        <w:t>2 reizes.</w:t>
      </w:r>
    </w:p>
    <w:p w14:paraId="1612D5FF" w14:textId="77777777" w:rsidR="00784D05" w:rsidRDefault="00784D05">
      <w:pPr>
        <w:rPr>
          <w:szCs w:val="22"/>
          <w:lang w:val="lv-LV"/>
        </w:rPr>
      </w:pPr>
    </w:p>
    <w:p w14:paraId="6BA857EC" w14:textId="77777777" w:rsidR="00784D05" w:rsidRDefault="00784D05">
      <w:pPr>
        <w:rPr>
          <w:szCs w:val="22"/>
          <w:lang w:val="lv-LV"/>
        </w:rPr>
      </w:pPr>
      <w:bookmarkStart w:id="96" w:name="OLE_LINK4"/>
      <w:bookmarkStart w:id="97" w:name="OLE_LINK3"/>
      <w:r>
        <w:rPr>
          <w:szCs w:val="22"/>
          <w:lang w:val="lv-LV"/>
        </w:rPr>
        <w:t>Dubultmaskētā kontroles periodā pakļaujot pacientus ilgstošai zāļu iedarbībai, ASAT/ALAT paaugstināšanās veids un sastopamība saglabājās atbilstoši tam, kāds novērots 6 mēnešus ilgo kontrolēto klīnisko pētījumu laikā.</w:t>
      </w:r>
      <w:bookmarkEnd w:id="96"/>
      <w:bookmarkEnd w:id="97"/>
    </w:p>
    <w:p w14:paraId="3441F318" w14:textId="77777777" w:rsidR="00784D05" w:rsidRDefault="00784D05">
      <w:pPr>
        <w:rPr>
          <w:szCs w:val="22"/>
          <w:lang w:val="lv-LV"/>
        </w:rPr>
      </w:pPr>
    </w:p>
    <w:p w14:paraId="6117AB05" w14:textId="77777777" w:rsidR="00784D05" w:rsidRPr="00707120" w:rsidRDefault="00784D05" w:rsidP="007D6CFA">
      <w:pPr>
        <w:keepNext/>
        <w:keepLines/>
        <w:rPr>
          <w:rFonts w:eastAsia="PMingLiU"/>
          <w:szCs w:val="22"/>
          <w:u w:val="single"/>
          <w:lang w:val="lv-LV"/>
        </w:rPr>
      </w:pPr>
      <w:r w:rsidRPr="00707120">
        <w:rPr>
          <w:i/>
          <w:u w:val="single"/>
          <w:lang w:val="lv-LV"/>
        </w:rPr>
        <w:t>Lipīdu rādītāji</w:t>
      </w:r>
    </w:p>
    <w:p w14:paraId="6408CDB5" w14:textId="26AFC3FD" w:rsidR="00784D05" w:rsidRDefault="00784D05" w:rsidP="007D6CFA">
      <w:pPr>
        <w:keepNext/>
        <w:keepLines/>
        <w:rPr>
          <w:rFonts w:eastAsia="PMingLiU"/>
          <w:szCs w:val="22"/>
          <w:lang w:val="lv-LV"/>
        </w:rPr>
      </w:pPr>
      <w:r>
        <w:rPr>
          <w:rFonts w:eastAsia="PMingLiU"/>
          <w:szCs w:val="22"/>
          <w:lang w:val="lv-LV"/>
        </w:rPr>
        <w:t>6</w:t>
      </w:r>
      <w:r w:rsidR="00236CD1">
        <w:rPr>
          <w:rFonts w:eastAsia="PMingLiU"/>
          <w:szCs w:val="22"/>
          <w:lang w:val="lv-LV"/>
        </w:rPr>
        <w:t> </w:t>
      </w:r>
      <w:r>
        <w:rPr>
          <w:rFonts w:eastAsia="PMingLiU"/>
          <w:szCs w:val="22"/>
          <w:lang w:val="lv-LV"/>
        </w:rPr>
        <w:t>mēnešus ilgu kontrolētu klīnisko pētījumu laikā bieži ir novērots lipīdu rādītāju, piemēram, kopējā holesterīna, triglicerīdu, ZBL holesterīna un/vai ABL holesterīna koncentrāciju raksturojošo vērtību</w:t>
      </w:r>
      <w:r w:rsidR="00FE214A">
        <w:rPr>
          <w:rFonts w:eastAsia="PMingLiU"/>
          <w:szCs w:val="22"/>
          <w:lang w:val="lv-LV"/>
        </w:rPr>
        <w:t>,</w:t>
      </w:r>
      <w:r>
        <w:rPr>
          <w:rFonts w:eastAsia="PMingLiU"/>
          <w:szCs w:val="22"/>
          <w:lang w:val="lv-LV"/>
        </w:rPr>
        <w:t xml:space="preserve"> pieaugums. </w:t>
      </w:r>
      <w:r>
        <w:rPr>
          <w:szCs w:val="22"/>
          <w:lang w:val="lv-LV"/>
        </w:rPr>
        <w:t>Veicot parasto laboratorisko kontroli, tika konstatēts, ka aptuveni</w:t>
      </w:r>
      <w:r>
        <w:rPr>
          <w:rFonts w:eastAsia="PMingLiU"/>
          <w:szCs w:val="22"/>
          <w:lang w:val="lv-LV"/>
        </w:rPr>
        <w:t xml:space="preserve"> 24% pacientu, kuri klīnisko pētījumu laikā saņēma </w:t>
      </w:r>
      <w:r w:rsidR="00AD4E27">
        <w:rPr>
          <w:rFonts w:eastAsia="PMingLiU"/>
          <w:szCs w:val="22"/>
          <w:lang w:val="lv-LV"/>
        </w:rPr>
        <w:t>tocilizumabu</w:t>
      </w:r>
      <w:r>
        <w:rPr>
          <w:rFonts w:eastAsia="PMingLiU"/>
          <w:szCs w:val="22"/>
          <w:lang w:val="lv-LV"/>
        </w:rPr>
        <w:t>, novēroja ilgstoši paaugstinātu kopējā holesterīna līmeni, kas pārsniedza 6,2 mmol/l, bet 15% pacientu novēroja ilgstoši paaugstinātu ZBL līmeni, kas pārsniedza 4,1 mmol/l. Lipīdu līmeni raksturojošo rādītāju paaugstināšanās reaģēja uz terapiju ar lipīdu koncentrāciju pazeminošajiem līdzekļiem.</w:t>
      </w:r>
    </w:p>
    <w:p w14:paraId="40C8925D" w14:textId="77777777" w:rsidR="00784D05" w:rsidRDefault="00784D05">
      <w:pPr>
        <w:rPr>
          <w:rFonts w:eastAsia="PMingLiU"/>
          <w:szCs w:val="22"/>
          <w:lang w:val="lv-LV"/>
        </w:rPr>
      </w:pPr>
    </w:p>
    <w:p w14:paraId="69A3CC0E" w14:textId="77777777" w:rsidR="00784D05" w:rsidRDefault="00784D05">
      <w:pPr>
        <w:rPr>
          <w:rFonts w:eastAsia="PMingLiU"/>
          <w:szCs w:val="22"/>
          <w:lang w:val="lv-LV"/>
        </w:rPr>
      </w:pPr>
      <w:r>
        <w:rPr>
          <w:szCs w:val="22"/>
          <w:lang w:val="lv-LV"/>
        </w:rPr>
        <w:t>Dubultmaskētā kontroles periodā pakļaujot pacientus ilgstošai zāļu iedarbībai, lipīdu rādītāju paaugstināšanās veids un sastopamība saglabājās atbilstoši tam, kāds novērots 6 mēnešus ilgo kontrolēto klīnisko pētījumu laikā.</w:t>
      </w:r>
    </w:p>
    <w:p w14:paraId="6FC47C0D" w14:textId="77777777" w:rsidR="00784D05" w:rsidRDefault="00784D05">
      <w:pPr>
        <w:rPr>
          <w:i/>
          <w:iCs/>
          <w:szCs w:val="22"/>
          <w:lang w:val="lv-LV"/>
        </w:rPr>
        <w:pPrChange w:id="98" w:author="Author">
          <w:pPr>
            <w:keepNext/>
            <w:keepLines/>
          </w:pPr>
        </w:pPrChange>
      </w:pPr>
    </w:p>
    <w:p w14:paraId="5FD7FA94" w14:textId="77777777" w:rsidR="00784D05" w:rsidRPr="00707120" w:rsidRDefault="00784D05">
      <w:pPr>
        <w:keepNext/>
        <w:autoSpaceDE w:val="0"/>
        <w:rPr>
          <w:i/>
          <w:iCs/>
          <w:szCs w:val="22"/>
          <w:u w:val="single"/>
          <w:lang w:val="lv-LV"/>
        </w:rPr>
        <w:pPrChange w:id="99" w:author="Author">
          <w:pPr>
            <w:autoSpaceDE w:val="0"/>
          </w:pPr>
        </w:pPrChange>
      </w:pPr>
      <w:r w:rsidRPr="00707120">
        <w:rPr>
          <w:i/>
          <w:iCs/>
          <w:szCs w:val="22"/>
          <w:u w:val="single"/>
          <w:lang w:val="lv-LV"/>
        </w:rPr>
        <w:t>Ādas reakcijas</w:t>
      </w:r>
    </w:p>
    <w:p w14:paraId="53030EDD" w14:textId="315D1570" w:rsidR="0043103B" w:rsidRDefault="00784D05">
      <w:pPr>
        <w:autoSpaceDE w:val="0"/>
        <w:rPr>
          <w:ins w:id="100" w:author="Author"/>
          <w:szCs w:val="22"/>
          <w:lang w:val="lv-LV"/>
        </w:rPr>
      </w:pPr>
      <w:r>
        <w:rPr>
          <w:szCs w:val="22"/>
          <w:lang w:val="lv-LV"/>
        </w:rPr>
        <w:t xml:space="preserve">Pēcreģistrācijas periodā retos gadījumos novērots </w:t>
      </w:r>
      <w:r w:rsidR="00833FA0" w:rsidRPr="00833FA0">
        <w:rPr>
          <w:szCs w:val="22"/>
          <w:lang w:val="lv-LV" w:eastAsia="en-US" w:bidi="ne-NP"/>
        </w:rPr>
        <w:t>Stīvensa</w:t>
      </w:r>
      <w:r>
        <w:rPr>
          <w:szCs w:val="22"/>
          <w:lang w:val="lv-LV" w:eastAsia="en-US" w:bidi="ne-NP"/>
        </w:rPr>
        <w:t>-Džonsona sindroms</w:t>
      </w:r>
      <w:r>
        <w:rPr>
          <w:szCs w:val="22"/>
          <w:lang w:val="lv-LV"/>
        </w:rPr>
        <w:t>.</w:t>
      </w:r>
    </w:p>
    <w:p w14:paraId="6925BF8C" w14:textId="77777777" w:rsidR="00DD58C9" w:rsidRDefault="00DD58C9">
      <w:pPr>
        <w:autoSpaceDE w:val="0"/>
        <w:rPr>
          <w:szCs w:val="22"/>
          <w:lang w:val="lv-LV"/>
        </w:rPr>
      </w:pPr>
    </w:p>
    <w:p w14:paraId="00010F90" w14:textId="2018FB52" w:rsidR="008364C5" w:rsidRPr="00707120" w:rsidRDefault="00AD4E27" w:rsidP="008364C5">
      <w:pPr>
        <w:keepNext/>
        <w:keepLines/>
        <w:autoSpaceDE w:val="0"/>
        <w:autoSpaceDN w:val="0"/>
        <w:adjustRightInd w:val="0"/>
        <w:rPr>
          <w:i/>
          <w:iCs/>
          <w:szCs w:val="22"/>
          <w:lang w:val="lv-LV" w:eastAsia="ja-JP"/>
        </w:rPr>
      </w:pPr>
      <w:r w:rsidRPr="00707120">
        <w:rPr>
          <w:i/>
          <w:iCs/>
          <w:szCs w:val="22"/>
          <w:lang w:val="lv-LV" w:eastAsia="ja-JP"/>
        </w:rPr>
        <w:t>Pacienti ar COVID</w:t>
      </w:r>
      <w:r w:rsidRPr="00707120">
        <w:rPr>
          <w:i/>
          <w:iCs/>
          <w:szCs w:val="22"/>
          <w:lang w:val="lv-LV" w:eastAsia="ja-JP"/>
        </w:rPr>
        <w:noBreakHyphen/>
        <w:t>19</w:t>
      </w:r>
    </w:p>
    <w:p w14:paraId="43BEC26E" w14:textId="77777777" w:rsidR="008364C5" w:rsidRPr="00707120" w:rsidRDefault="008364C5" w:rsidP="008364C5">
      <w:pPr>
        <w:keepNext/>
        <w:keepLines/>
        <w:autoSpaceDE w:val="0"/>
        <w:autoSpaceDN w:val="0"/>
        <w:adjustRightInd w:val="0"/>
        <w:rPr>
          <w:i/>
          <w:szCs w:val="22"/>
          <w:u w:val="single"/>
          <w:lang w:val="lv-LV"/>
        </w:rPr>
      </w:pPr>
      <w:r w:rsidRPr="00707120">
        <w:rPr>
          <w:i/>
          <w:szCs w:val="22"/>
          <w:u w:val="single"/>
          <w:lang w:val="lv-LV"/>
        </w:rPr>
        <w:t>Infekcijas</w:t>
      </w:r>
    </w:p>
    <w:p w14:paraId="0835DBDE" w14:textId="58016613" w:rsidR="008364C5" w:rsidRPr="00707120" w:rsidRDefault="008364C5" w:rsidP="008364C5">
      <w:pPr>
        <w:keepNext/>
        <w:keepLines/>
        <w:autoSpaceDE w:val="0"/>
        <w:autoSpaceDN w:val="0"/>
        <w:adjustRightInd w:val="0"/>
        <w:rPr>
          <w:szCs w:val="22"/>
          <w:lang w:val="lv-LV"/>
        </w:rPr>
      </w:pPr>
      <w:r w:rsidRPr="00707120">
        <w:rPr>
          <w:lang w:val="lv-LV"/>
        </w:rPr>
        <w:t xml:space="preserve">Pētījumu ML42528, WA42380 un WA42511 apvienotajā populācijā, kurā bija iespējams drošuma novērtējums, infekcijas/būtiskas infekcijas </w:t>
      </w:r>
      <w:r w:rsidR="00C11690" w:rsidRPr="00707120">
        <w:rPr>
          <w:lang w:val="lv-LV"/>
        </w:rPr>
        <w:t>gadījumu biežums</w:t>
      </w:r>
      <w:r w:rsidRPr="00707120">
        <w:rPr>
          <w:lang w:val="lv-LV"/>
        </w:rPr>
        <w:t xml:space="preserve"> COVID</w:t>
      </w:r>
      <w:r w:rsidR="00AD4E27" w:rsidRPr="00707120">
        <w:rPr>
          <w:lang w:val="lv-LV"/>
        </w:rPr>
        <w:noBreakHyphen/>
      </w:r>
      <w:r w:rsidRPr="00707120">
        <w:rPr>
          <w:lang w:val="lv-LV"/>
        </w:rPr>
        <w:t xml:space="preserve">19 </w:t>
      </w:r>
      <w:r w:rsidR="0049731E" w:rsidRPr="00707120">
        <w:rPr>
          <w:lang w:val="lv-LV"/>
        </w:rPr>
        <w:t>pacientiem</w:t>
      </w:r>
      <w:r w:rsidRPr="00707120">
        <w:rPr>
          <w:lang w:val="lv-LV"/>
        </w:rPr>
        <w:t xml:space="preserve"> tocilizumaba grupā (30,3%/18,6%, n=974) un placebo grupā (32,1%/22,8%, n=483) bija līdzīgs. </w:t>
      </w:r>
    </w:p>
    <w:p w14:paraId="15409630" w14:textId="77777777" w:rsidR="008364C5" w:rsidRPr="00707120" w:rsidRDefault="008364C5" w:rsidP="008364C5">
      <w:pPr>
        <w:keepNext/>
        <w:keepLines/>
        <w:autoSpaceDE w:val="0"/>
        <w:autoSpaceDN w:val="0"/>
        <w:adjustRightInd w:val="0"/>
        <w:rPr>
          <w:szCs w:val="22"/>
          <w:u w:val="single"/>
          <w:lang w:val="lv-LV" w:eastAsia="ja-JP"/>
        </w:rPr>
      </w:pPr>
    </w:p>
    <w:p w14:paraId="69CE6E4D" w14:textId="48B5C563" w:rsidR="008364C5" w:rsidRPr="00707120" w:rsidRDefault="008364C5" w:rsidP="008364C5">
      <w:pPr>
        <w:rPr>
          <w:szCs w:val="22"/>
          <w:lang w:val="es-ES"/>
        </w:rPr>
      </w:pPr>
      <w:r w:rsidRPr="00707120">
        <w:rPr>
          <w:lang w:val="lv-LV"/>
        </w:rPr>
        <w:t xml:space="preserve">Drošuma profils pacientiem, kuri jau pirms ārstēšanas saņēma terapiju ar sistēmiski lietojamiem kortikosteroīdiem, atbilda 2. tabulā raksturotajam tocilizumaba drošuma profilam vispārējā pacientu populācijā. </w:t>
      </w:r>
      <w:r w:rsidRPr="00707120">
        <w:rPr>
          <w:lang w:val="es-ES"/>
        </w:rPr>
        <w:t xml:space="preserve">Šajā pacientu apakšgrupā infekcijas un būtiskas infekcijas radās attiecīgi 27,8% un 18,1% pacientu </w:t>
      </w:r>
      <w:r w:rsidR="00AD4E27" w:rsidRPr="00707120">
        <w:rPr>
          <w:lang w:val="es-ES"/>
        </w:rPr>
        <w:t>intravenozi lietojamā</w:t>
      </w:r>
      <w:r w:rsidRPr="00707120">
        <w:rPr>
          <w:lang w:val="es-ES"/>
        </w:rPr>
        <w:t xml:space="preserve"> tocilizumaba grupā un 30,5% un 22,9% pacientu placebo grupā. </w:t>
      </w:r>
    </w:p>
    <w:p w14:paraId="2F6A6906" w14:textId="77777777" w:rsidR="008364C5" w:rsidRPr="00707120" w:rsidRDefault="008364C5" w:rsidP="008364C5">
      <w:pPr>
        <w:rPr>
          <w:szCs w:val="22"/>
          <w:lang w:val="es-ES" w:eastAsia="ja-JP"/>
        </w:rPr>
      </w:pPr>
    </w:p>
    <w:p w14:paraId="204BD7FC" w14:textId="77777777" w:rsidR="008364C5" w:rsidRPr="00707120" w:rsidRDefault="008364C5" w:rsidP="008364C5">
      <w:pPr>
        <w:keepNext/>
        <w:keepLines/>
        <w:rPr>
          <w:i/>
          <w:szCs w:val="22"/>
          <w:u w:val="single"/>
          <w:lang w:val="es-ES"/>
        </w:rPr>
      </w:pPr>
      <w:r w:rsidRPr="00707120">
        <w:rPr>
          <w:i/>
          <w:szCs w:val="22"/>
          <w:u w:val="single"/>
          <w:lang w:val="es-ES"/>
        </w:rPr>
        <w:t>Novirzes laboratorisko izmeklējumu rezultātos</w:t>
      </w:r>
    </w:p>
    <w:p w14:paraId="18A998FE" w14:textId="1D540C3D" w:rsidR="008364C5" w:rsidRPr="00707120" w:rsidRDefault="008364C5" w:rsidP="008364C5">
      <w:pPr>
        <w:keepNext/>
        <w:keepLines/>
        <w:rPr>
          <w:lang w:val="es-ES"/>
        </w:rPr>
      </w:pPr>
      <w:r w:rsidRPr="00707120">
        <w:rPr>
          <w:lang w:val="es-ES"/>
        </w:rPr>
        <w:t xml:space="preserve">Randomizētos, dubultmaskētos, </w:t>
      </w:r>
      <w:del w:id="101" w:author="Regulatory LV" w:date="2026-03-17T11:13:00Z">
        <w:r w:rsidRPr="00707120" w:rsidDel="00514E28">
          <w:rPr>
            <w:lang w:val="es-ES"/>
          </w:rPr>
          <w:delText xml:space="preserve">ar </w:delText>
        </w:r>
      </w:del>
      <w:r w:rsidRPr="00707120">
        <w:rPr>
          <w:lang w:val="es-ES"/>
        </w:rPr>
        <w:t>placebo kontrolētos pētījumos laboratorisko izmeklējumu rezultātu noviržu rašanās biežums COVID</w:t>
      </w:r>
      <w:r w:rsidR="00AD4E27" w:rsidRPr="00707120">
        <w:rPr>
          <w:lang w:val="es-ES"/>
        </w:rPr>
        <w:noBreakHyphen/>
      </w:r>
      <w:r w:rsidRPr="00707120">
        <w:rPr>
          <w:lang w:val="es-ES"/>
        </w:rPr>
        <w:t xml:space="preserve">19 </w:t>
      </w:r>
      <w:r w:rsidR="0044037B" w:rsidRPr="00707120">
        <w:rPr>
          <w:lang w:val="es-ES"/>
        </w:rPr>
        <w:t>pacientiem</w:t>
      </w:r>
      <w:r w:rsidRPr="00707120">
        <w:rPr>
          <w:lang w:val="es-ES"/>
        </w:rPr>
        <w:t xml:space="preserve">, kuriem </w:t>
      </w:r>
      <w:r w:rsidR="00AD4E27" w:rsidRPr="00707120">
        <w:rPr>
          <w:lang w:val="es-ES"/>
        </w:rPr>
        <w:t>intravenozi</w:t>
      </w:r>
      <w:r w:rsidRPr="00707120">
        <w:rPr>
          <w:lang w:val="es-ES"/>
        </w:rPr>
        <w:t xml:space="preserve"> tika ievadīta viena vai divas </w:t>
      </w:r>
      <w:r w:rsidR="00AD4E27" w:rsidRPr="00707120">
        <w:rPr>
          <w:lang w:val="es-ES"/>
        </w:rPr>
        <w:t xml:space="preserve">tocilizumaba </w:t>
      </w:r>
      <w:r w:rsidRPr="00707120">
        <w:rPr>
          <w:lang w:val="es-ES"/>
        </w:rPr>
        <w:t>devas, un COVID</w:t>
      </w:r>
      <w:r w:rsidR="00AD4E27" w:rsidRPr="00707120">
        <w:rPr>
          <w:lang w:val="es-ES"/>
        </w:rPr>
        <w:noBreakHyphen/>
      </w:r>
      <w:r w:rsidRPr="00707120">
        <w:rPr>
          <w:lang w:val="es-ES"/>
        </w:rPr>
        <w:t xml:space="preserve">19 </w:t>
      </w:r>
      <w:r w:rsidR="0044037B" w:rsidRPr="00707120">
        <w:rPr>
          <w:lang w:val="es-ES"/>
        </w:rPr>
        <w:t>pacientiem</w:t>
      </w:r>
      <w:r w:rsidRPr="00707120">
        <w:rPr>
          <w:lang w:val="es-ES"/>
        </w:rPr>
        <w:t xml:space="preserve"> placebo grupā kopumā bija līdzīgs, taču bija daži izņēmumi. Trombocītu un neitrofilo leikocītu skaita samazinājumu un paaugstinātu ALAT un ASAT līmeni pacientiem, kuriem </w:t>
      </w:r>
      <w:r w:rsidR="00AD4E27" w:rsidRPr="00707120">
        <w:rPr>
          <w:lang w:val="es-ES"/>
        </w:rPr>
        <w:t>intravenozi</w:t>
      </w:r>
      <w:r w:rsidRPr="00707120">
        <w:rPr>
          <w:lang w:val="es-ES"/>
        </w:rPr>
        <w:t xml:space="preserve"> tika ievadīts </w:t>
      </w:r>
      <w:r w:rsidR="00AD4E27" w:rsidRPr="00707120">
        <w:rPr>
          <w:lang w:val="es-ES"/>
        </w:rPr>
        <w:t>tocilizumabs</w:t>
      </w:r>
      <w:r w:rsidRPr="00707120">
        <w:rPr>
          <w:lang w:val="es-ES"/>
        </w:rPr>
        <w:t>, novēroja biežāk nekā placebo grupā (skatīt 4.2.</w:t>
      </w:r>
      <w:r w:rsidR="00AD4E27" w:rsidRPr="00707120">
        <w:rPr>
          <w:lang w:val="es-ES"/>
        </w:rPr>
        <w:t> </w:t>
      </w:r>
      <w:r w:rsidRPr="00707120">
        <w:rPr>
          <w:lang w:val="es-ES"/>
        </w:rPr>
        <w:t xml:space="preserve">un 4.4. apakšpunktu). </w:t>
      </w:r>
    </w:p>
    <w:p w14:paraId="6EAB32AC" w14:textId="77777777" w:rsidR="00784D05" w:rsidRPr="00707120" w:rsidRDefault="00784D05" w:rsidP="005266F5">
      <w:pPr>
        <w:keepNext/>
        <w:keepLines/>
        <w:autoSpaceDE w:val="0"/>
        <w:rPr>
          <w:szCs w:val="22"/>
          <w:lang w:val="es-ES"/>
        </w:rPr>
      </w:pPr>
    </w:p>
    <w:p w14:paraId="05906A5D" w14:textId="445595DE" w:rsidR="00AD4E27" w:rsidRPr="00707120" w:rsidRDefault="00AD4E27" w:rsidP="005266F5">
      <w:pPr>
        <w:keepNext/>
        <w:keepLines/>
        <w:autoSpaceDE w:val="0"/>
        <w:rPr>
          <w:szCs w:val="22"/>
          <w:lang w:val="es-ES"/>
        </w:rPr>
      </w:pPr>
      <w:r w:rsidRPr="00707120">
        <w:rPr>
          <w:szCs w:val="22"/>
          <w:u w:val="single"/>
          <w:lang w:val="es-ES"/>
        </w:rPr>
        <w:t>Pediatriskā populācija</w:t>
      </w:r>
    </w:p>
    <w:p w14:paraId="768CA500" w14:textId="2D7E8345" w:rsidR="00AD4E27" w:rsidRPr="00707120" w:rsidRDefault="00AD4E27" w:rsidP="00C61FD9">
      <w:pPr>
        <w:keepLines/>
        <w:autoSpaceDE w:val="0"/>
        <w:rPr>
          <w:szCs w:val="22"/>
          <w:lang w:val="es-ES"/>
        </w:rPr>
      </w:pPr>
      <w:r w:rsidRPr="00707120">
        <w:rPr>
          <w:szCs w:val="22"/>
          <w:lang w:val="es-ES"/>
        </w:rPr>
        <w:t>Kopumā nevēlam</w:t>
      </w:r>
      <w:r w:rsidR="00C61FD9" w:rsidRPr="00707120">
        <w:rPr>
          <w:szCs w:val="22"/>
          <w:lang w:val="es-ES"/>
        </w:rPr>
        <w:t>ās</w:t>
      </w:r>
      <w:r w:rsidRPr="00707120">
        <w:rPr>
          <w:szCs w:val="22"/>
          <w:lang w:val="es-ES"/>
        </w:rPr>
        <w:t xml:space="preserve"> blakusparādīb</w:t>
      </w:r>
      <w:r w:rsidR="00C61FD9" w:rsidRPr="00707120">
        <w:rPr>
          <w:szCs w:val="22"/>
          <w:lang w:val="es-ES"/>
        </w:rPr>
        <w:t>as</w:t>
      </w:r>
      <w:r w:rsidRPr="00707120">
        <w:rPr>
          <w:szCs w:val="22"/>
          <w:lang w:val="es-ES"/>
        </w:rPr>
        <w:t xml:space="preserve"> pacientiem ar pJIA un sJIA bija līdzīg</w:t>
      </w:r>
      <w:r w:rsidR="00C61FD9" w:rsidRPr="00707120">
        <w:rPr>
          <w:szCs w:val="22"/>
          <w:lang w:val="es-ES"/>
        </w:rPr>
        <w:t>a</w:t>
      </w:r>
      <w:r w:rsidRPr="00707120">
        <w:rPr>
          <w:szCs w:val="22"/>
          <w:lang w:val="es-ES"/>
        </w:rPr>
        <w:t>s tām, kādas novērotas pacientiem ar RA (skatīt 4.8. apakšpunktu).</w:t>
      </w:r>
    </w:p>
    <w:p w14:paraId="0BC125B7" w14:textId="77777777" w:rsidR="0012757C" w:rsidRPr="00707120" w:rsidRDefault="0012757C" w:rsidP="00C61FD9">
      <w:pPr>
        <w:keepLines/>
        <w:autoSpaceDE w:val="0"/>
        <w:rPr>
          <w:szCs w:val="22"/>
          <w:lang w:val="es-ES"/>
        </w:rPr>
      </w:pPr>
    </w:p>
    <w:p w14:paraId="38C3F076" w14:textId="6FFE572B" w:rsidR="00784D05" w:rsidRPr="000C6C88" w:rsidRDefault="00AD4E27" w:rsidP="00707120">
      <w:pPr>
        <w:keepNext/>
        <w:autoSpaceDE w:val="0"/>
        <w:rPr>
          <w:szCs w:val="22"/>
          <w:lang w:val="lv-LV"/>
        </w:rPr>
      </w:pPr>
      <w:r w:rsidRPr="000C6C88">
        <w:rPr>
          <w:rFonts w:eastAsia="SimSun"/>
          <w:i/>
          <w:szCs w:val="22"/>
          <w:lang w:val="lv-LV"/>
        </w:rPr>
        <w:t>Atsevišķu nevēlamo blakusparādību apraksts p</w:t>
      </w:r>
      <w:r w:rsidR="00784D05" w:rsidRPr="000C6C88">
        <w:rPr>
          <w:rFonts w:eastAsia="SimSun"/>
          <w:i/>
          <w:szCs w:val="22"/>
          <w:lang w:val="lv-LV"/>
        </w:rPr>
        <w:t>acienti</w:t>
      </w:r>
      <w:r w:rsidRPr="000C6C88">
        <w:rPr>
          <w:rFonts w:eastAsia="SimSun"/>
          <w:i/>
          <w:szCs w:val="22"/>
          <w:lang w:val="lv-LV"/>
        </w:rPr>
        <w:t>em</w:t>
      </w:r>
      <w:r w:rsidR="00784D05" w:rsidRPr="000C6C88">
        <w:rPr>
          <w:rFonts w:eastAsia="SimSun"/>
          <w:i/>
          <w:szCs w:val="22"/>
          <w:lang w:val="lv-LV"/>
        </w:rPr>
        <w:t xml:space="preserve"> ar pJIA</w:t>
      </w:r>
    </w:p>
    <w:p w14:paraId="4FECC1FF" w14:textId="74EA7271" w:rsidR="00784D05" w:rsidRDefault="00066C7F">
      <w:pPr>
        <w:autoSpaceDE w:val="0"/>
        <w:rPr>
          <w:rFonts w:eastAsia="SimSun"/>
          <w:szCs w:val="22"/>
          <w:lang w:val="lv-LV"/>
        </w:rPr>
      </w:pPr>
      <w:r>
        <w:rPr>
          <w:szCs w:val="22"/>
          <w:lang w:val="lv-LV"/>
        </w:rPr>
        <w:t xml:space="preserve">Intravenozi ievadīta </w:t>
      </w:r>
      <w:r w:rsidR="00AD4E27">
        <w:rPr>
          <w:szCs w:val="22"/>
          <w:lang w:val="lv-LV"/>
        </w:rPr>
        <w:t xml:space="preserve">tocilizumaba </w:t>
      </w:r>
      <w:r w:rsidR="00784D05">
        <w:rPr>
          <w:szCs w:val="22"/>
          <w:lang w:val="lv-LV"/>
        </w:rPr>
        <w:t>drošum</w:t>
      </w:r>
      <w:r>
        <w:rPr>
          <w:szCs w:val="22"/>
          <w:lang w:val="lv-LV"/>
        </w:rPr>
        <w:t>a profil</w:t>
      </w:r>
      <w:r w:rsidR="00784D05">
        <w:rPr>
          <w:szCs w:val="22"/>
          <w:lang w:val="lv-LV"/>
        </w:rPr>
        <w:t xml:space="preserve">s pJIA gadījumā pētīts 188 pacientiem vecumā no 2 līdz 17 gadiem. Kopējās iedarbības ilgums </w:t>
      </w:r>
      <w:r w:rsidR="00784D05">
        <w:rPr>
          <w:rFonts w:eastAsia="SimSun"/>
          <w:lang w:val="lv-LV"/>
        </w:rPr>
        <w:t>pacientiem bija 184,4</w:t>
      </w:r>
      <w:r w:rsidR="00AD4E27">
        <w:rPr>
          <w:rFonts w:eastAsia="SimSun"/>
          <w:lang w:val="lv-LV"/>
        </w:rPr>
        <w:t> </w:t>
      </w:r>
      <w:r w:rsidR="00784D05">
        <w:rPr>
          <w:rFonts w:eastAsia="SimSun"/>
          <w:lang w:val="lv-LV"/>
        </w:rPr>
        <w:t xml:space="preserve">pacientgadi. Nevēlamo blakusparādību biežums pacientiem ar pJIA ir norādīts </w:t>
      </w:r>
      <w:r w:rsidR="008364C5">
        <w:rPr>
          <w:rFonts w:eastAsia="SimSun"/>
          <w:lang w:val="lv-LV"/>
        </w:rPr>
        <w:t>3</w:t>
      </w:r>
      <w:r w:rsidR="00784D05">
        <w:rPr>
          <w:rFonts w:eastAsia="SimSun"/>
          <w:lang w:val="lv-LV"/>
        </w:rPr>
        <w:t>.</w:t>
      </w:r>
      <w:r w:rsidR="00AD4E27">
        <w:rPr>
          <w:rFonts w:eastAsia="SimSun"/>
          <w:lang w:val="lv-LV"/>
        </w:rPr>
        <w:t> </w:t>
      </w:r>
      <w:r w:rsidR="00784D05">
        <w:rPr>
          <w:rFonts w:eastAsia="SimSun"/>
          <w:lang w:val="lv-LV"/>
        </w:rPr>
        <w:t xml:space="preserve">tabulā. </w:t>
      </w:r>
      <w:r w:rsidR="00784D05">
        <w:rPr>
          <w:szCs w:val="22"/>
          <w:lang w:val="lv-LV"/>
        </w:rPr>
        <w:t xml:space="preserve">Pacientiem ar pJIA nevēlamās blakusparādības bija līdzīgas tām, kādas novērotas pacientiem ar RA un sJIA. </w:t>
      </w:r>
      <w:r w:rsidR="00784D05">
        <w:rPr>
          <w:lang w:val="lv-LV"/>
        </w:rPr>
        <w:t>Salīdzinot ar pieaugušo RA populāciju, pJIA populācijā biežāk ziņots par nazofaringītu, galvassāpēm, sliktu dūšu un samazinātu neitrofilo leikocītu skaitu. pJIA populācijā retāk nekā pieaugušo RA pacientu populācijā ziņots par paaugstinātu holesterīna līmeni.</w:t>
      </w:r>
    </w:p>
    <w:p w14:paraId="48DB3964" w14:textId="77777777" w:rsidR="00784D05" w:rsidRDefault="00784D05">
      <w:pPr>
        <w:autoSpaceDE w:val="0"/>
        <w:rPr>
          <w:rFonts w:eastAsia="SimSun"/>
          <w:szCs w:val="22"/>
          <w:lang w:val="lv-LV"/>
        </w:rPr>
      </w:pPr>
    </w:p>
    <w:p w14:paraId="1D357E6F" w14:textId="77777777" w:rsidR="00784D05" w:rsidRPr="00707120" w:rsidRDefault="00784D05">
      <w:pPr>
        <w:keepNext/>
        <w:autoSpaceDE w:val="0"/>
        <w:rPr>
          <w:bCs/>
          <w:iCs/>
          <w:szCs w:val="22"/>
          <w:u w:val="single"/>
          <w:lang w:val="lv-LV"/>
        </w:rPr>
      </w:pPr>
      <w:r w:rsidRPr="00707120">
        <w:rPr>
          <w:rFonts w:eastAsia="SimSun"/>
          <w:i/>
          <w:szCs w:val="22"/>
          <w:u w:val="single"/>
          <w:lang w:val="lv-LV"/>
        </w:rPr>
        <w:t>Infekcijas</w:t>
      </w:r>
    </w:p>
    <w:p w14:paraId="28401848" w14:textId="6AFB10A7" w:rsidR="00784D05" w:rsidRDefault="00784D05">
      <w:pPr>
        <w:rPr>
          <w:lang w:val="lv-LV"/>
        </w:rPr>
      </w:pPr>
      <w:r>
        <w:rPr>
          <w:bCs/>
          <w:iCs/>
          <w:szCs w:val="22"/>
          <w:lang w:val="lv-LV"/>
        </w:rPr>
        <w:t>Infekciju rādītājs visās ar tocilizumabu ārstēto pacientu grupās bija 163,7 uz 100</w:t>
      </w:r>
      <w:r w:rsidR="000C6C88">
        <w:rPr>
          <w:bCs/>
          <w:iCs/>
          <w:szCs w:val="22"/>
          <w:lang w:val="lv-LV"/>
        </w:rPr>
        <w:t> </w:t>
      </w:r>
      <w:r>
        <w:rPr>
          <w:bCs/>
          <w:iCs/>
          <w:szCs w:val="22"/>
          <w:lang w:val="lv-LV"/>
        </w:rPr>
        <w:t xml:space="preserve">pacientgadiem. Biežāk novērotās blakusparādības bija nazofaringīts un augšējo elpceļu infekcijas. Nopietnu infekciju rādītājs skaitliski bija lielāks pacientiem ar ķermeņa masu </w:t>
      </w:r>
      <w:r w:rsidR="000C6C88">
        <w:rPr>
          <w:bCs/>
          <w:iCs/>
          <w:szCs w:val="22"/>
          <w:lang w:val="lv-LV"/>
        </w:rPr>
        <w:t>˂ </w:t>
      </w:r>
      <w:r>
        <w:rPr>
          <w:bCs/>
          <w:iCs/>
          <w:szCs w:val="22"/>
          <w:lang w:val="lv-LV"/>
        </w:rPr>
        <w:t>30</w:t>
      </w:r>
      <w:r w:rsidR="000C6C88">
        <w:rPr>
          <w:bCs/>
          <w:iCs/>
          <w:szCs w:val="22"/>
          <w:lang w:val="lv-LV"/>
        </w:rPr>
        <w:t> </w:t>
      </w:r>
      <w:r>
        <w:rPr>
          <w:bCs/>
          <w:iCs/>
          <w:szCs w:val="22"/>
          <w:lang w:val="lv-LV"/>
        </w:rPr>
        <w:t>kg, kuri tika ārstēti ar 10 mg/kg tocilizumaba (12,2 uz 100</w:t>
      </w:r>
      <w:r w:rsidR="000C6C88">
        <w:rPr>
          <w:bCs/>
          <w:iCs/>
          <w:szCs w:val="22"/>
          <w:lang w:val="lv-LV"/>
        </w:rPr>
        <w:t> </w:t>
      </w:r>
      <w:r>
        <w:rPr>
          <w:bCs/>
          <w:iCs/>
          <w:szCs w:val="22"/>
          <w:lang w:val="lv-LV"/>
        </w:rPr>
        <w:t xml:space="preserve">pacientgadiem), salīdzinot ar pacientiem ar ķermeņa masu </w:t>
      </w:r>
      <w:r w:rsidR="000C6C88" w:rsidRPr="00707120">
        <w:rPr>
          <w:szCs w:val="22"/>
          <w:lang w:val="lv-LV"/>
        </w:rPr>
        <w:t>≥</w:t>
      </w:r>
      <w:r w:rsidR="000C6C88">
        <w:rPr>
          <w:bCs/>
          <w:iCs/>
          <w:szCs w:val="22"/>
          <w:lang w:val="lv-LV"/>
        </w:rPr>
        <w:t> </w:t>
      </w:r>
      <w:r>
        <w:rPr>
          <w:bCs/>
          <w:iCs/>
          <w:szCs w:val="22"/>
          <w:lang w:val="lv-LV"/>
        </w:rPr>
        <w:t>30 kg, kas tika ārstēti ar 8</w:t>
      </w:r>
      <w:r>
        <w:rPr>
          <w:lang w:val="lv-LV"/>
        </w:rPr>
        <w:t> </w:t>
      </w:r>
      <w:r>
        <w:rPr>
          <w:bCs/>
          <w:iCs/>
          <w:szCs w:val="22"/>
          <w:lang w:val="lv-LV"/>
        </w:rPr>
        <w:t>mg/kg tocilizumaba (4,0</w:t>
      </w:r>
      <w:r w:rsidR="000C6C88">
        <w:rPr>
          <w:bCs/>
          <w:iCs/>
          <w:szCs w:val="22"/>
          <w:lang w:val="lv-LV"/>
        </w:rPr>
        <w:t xml:space="preserve"> gadījumi </w:t>
      </w:r>
      <w:r>
        <w:rPr>
          <w:bCs/>
          <w:iCs/>
          <w:szCs w:val="22"/>
          <w:lang w:val="lv-LV"/>
        </w:rPr>
        <w:t>uz 100</w:t>
      </w:r>
      <w:r w:rsidR="000C6C88">
        <w:rPr>
          <w:bCs/>
          <w:iCs/>
          <w:szCs w:val="22"/>
          <w:lang w:val="lv-LV"/>
        </w:rPr>
        <w:t> </w:t>
      </w:r>
      <w:r>
        <w:rPr>
          <w:bCs/>
          <w:iCs/>
          <w:szCs w:val="22"/>
          <w:lang w:val="lv-LV"/>
        </w:rPr>
        <w:t xml:space="preserve">pacientgadiem). Arī tādu infekciju rādītājs, kuru dēļ bija jāpārtrauc zāļu lietošana, pacientiem ar ķermeņa masu </w:t>
      </w:r>
      <w:r w:rsidR="000C6C88">
        <w:rPr>
          <w:bCs/>
          <w:iCs/>
          <w:szCs w:val="22"/>
          <w:lang w:val="lv-LV"/>
        </w:rPr>
        <w:t>˂ </w:t>
      </w:r>
      <w:r>
        <w:rPr>
          <w:bCs/>
          <w:iCs/>
          <w:szCs w:val="22"/>
          <w:lang w:val="lv-LV"/>
        </w:rPr>
        <w:t>30 kg, kuri tika ārstēti ar 10</w:t>
      </w:r>
      <w:r w:rsidR="0066410C">
        <w:rPr>
          <w:bCs/>
          <w:iCs/>
          <w:szCs w:val="22"/>
          <w:lang w:val="lv-LV"/>
        </w:rPr>
        <w:t> </w:t>
      </w:r>
      <w:r>
        <w:rPr>
          <w:bCs/>
          <w:iCs/>
          <w:szCs w:val="22"/>
          <w:lang w:val="lv-LV"/>
        </w:rPr>
        <w:t xml:space="preserve">mg/kg tocilizumaba, bija lielāks (21,4%) nekā pacientiem ar ķermeņa masu </w:t>
      </w:r>
      <w:r w:rsidR="000C6C88" w:rsidRPr="00707120">
        <w:rPr>
          <w:szCs w:val="22"/>
          <w:lang w:val="lv-LV"/>
        </w:rPr>
        <w:t>≥ </w:t>
      </w:r>
      <w:r>
        <w:rPr>
          <w:bCs/>
          <w:iCs/>
          <w:szCs w:val="22"/>
          <w:lang w:val="lv-LV"/>
        </w:rPr>
        <w:t>30 kg, kuri tika ārstēti ar 8</w:t>
      </w:r>
      <w:r w:rsidR="0066410C">
        <w:rPr>
          <w:bCs/>
          <w:iCs/>
          <w:szCs w:val="22"/>
          <w:lang w:val="lv-LV"/>
        </w:rPr>
        <w:t> </w:t>
      </w:r>
      <w:r>
        <w:rPr>
          <w:bCs/>
          <w:iCs/>
          <w:szCs w:val="22"/>
          <w:lang w:val="lv-LV"/>
        </w:rPr>
        <w:t>mg/kg tocilizumaba (7,6%).</w:t>
      </w:r>
    </w:p>
    <w:p w14:paraId="3DF03F39" w14:textId="77777777" w:rsidR="00784D05" w:rsidRDefault="00784D05">
      <w:pPr>
        <w:rPr>
          <w:lang w:val="lv-LV"/>
        </w:rPr>
      </w:pPr>
    </w:p>
    <w:p w14:paraId="44B648F8" w14:textId="063B0D9D" w:rsidR="00784D05" w:rsidRPr="00707120" w:rsidRDefault="008364C5">
      <w:pPr>
        <w:keepNext/>
        <w:keepLines/>
        <w:autoSpaceDE w:val="0"/>
        <w:rPr>
          <w:szCs w:val="22"/>
          <w:u w:val="single"/>
          <w:lang w:val="lv-LV"/>
        </w:rPr>
      </w:pPr>
      <w:r w:rsidRPr="00707120">
        <w:rPr>
          <w:i/>
          <w:iCs/>
          <w:szCs w:val="22"/>
          <w:u w:val="single"/>
          <w:lang w:val="lv-LV"/>
        </w:rPr>
        <w:t>Ar i</w:t>
      </w:r>
      <w:r w:rsidR="00784D05" w:rsidRPr="00707120">
        <w:rPr>
          <w:i/>
          <w:iCs/>
          <w:szCs w:val="22"/>
          <w:u w:val="single"/>
          <w:lang w:val="lv-LV"/>
        </w:rPr>
        <w:t>nfūzij</w:t>
      </w:r>
      <w:r w:rsidRPr="00707120">
        <w:rPr>
          <w:i/>
          <w:iCs/>
          <w:szCs w:val="22"/>
          <w:u w:val="single"/>
          <w:lang w:val="lv-LV"/>
        </w:rPr>
        <w:t>u saistīt</w:t>
      </w:r>
      <w:r w:rsidR="00784D05" w:rsidRPr="00707120">
        <w:rPr>
          <w:i/>
          <w:iCs/>
          <w:szCs w:val="22"/>
          <w:u w:val="single"/>
          <w:lang w:val="lv-LV"/>
        </w:rPr>
        <w:t>as reakcijas</w:t>
      </w:r>
    </w:p>
    <w:p w14:paraId="201A3514" w14:textId="3A404285" w:rsidR="00784D05" w:rsidRDefault="00784D05">
      <w:pPr>
        <w:rPr>
          <w:lang w:val="lv-LV"/>
        </w:rPr>
      </w:pPr>
      <w:r>
        <w:rPr>
          <w:szCs w:val="22"/>
          <w:lang w:val="lv-LV"/>
        </w:rPr>
        <w:t xml:space="preserve">Ar infūziju saistītās reakcijas pacientiem ar pJIA </w:t>
      </w:r>
      <w:r w:rsidR="008364C5">
        <w:rPr>
          <w:szCs w:val="22"/>
          <w:lang w:val="lv-LV"/>
        </w:rPr>
        <w:t xml:space="preserve">ir </w:t>
      </w:r>
      <w:r>
        <w:rPr>
          <w:szCs w:val="22"/>
          <w:lang w:val="lv-LV"/>
        </w:rPr>
        <w:t xml:space="preserve">definētas kā visi traucējumi, kas bijuši infūzijas laikā vai 24 stundu laikā pēc infūzijas beigām. </w:t>
      </w:r>
      <w:r>
        <w:rPr>
          <w:lang w:val="lv-LV"/>
        </w:rPr>
        <w:t>Tocilizumabu lietojušo pacientu populācijā 11</w:t>
      </w:r>
      <w:r w:rsidR="000C6C88">
        <w:rPr>
          <w:lang w:val="lv-LV"/>
        </w:rPr>
        <w:t> </w:t>
      </w:r>
      <w:r>
        <w:rPr>
          <w:lang w:val="lv-LV"/>
        </w:rPr>
        <w:t>pacientiem (5,9%) infūzijas laikā radās ar infūziju saistītas reakcijas un 38</w:t>
      </w:r>
      <w:r w:rsidR="000C6C88">
        <w:rPr>
          <w:lang w:val="lv-LV"/>
        </w:rPr>
        <w:t> </w:t>
      </w:r>
      <w:r>
        <w:rPr>
          <w:lang w:val="lv-LV"/>
        </w:rPr>
        <w:t xml:space="preserve">pacientiem (20,2%) bija traucējumi </w:t>
      </w:r>
      <w:r>
        <w:rPr>
          <w:szCs w:val="22"/>
          <w:lang w:val="lv-LV"/>
        </w:rPr>
        <w:t>24 stundu laikā pēc infūzijas beigām</w:t>
      </w:r>
      <w:r>
        <w:rPr>
          <w:lang w:val="lv-LV"/>
        </w:rPr>
        <w:t xml:space="preserve">. Biežākās blakusparādības infūzijas laikā bija galvassāpes, slikta dūša un hipotensija un 24 stundu laikā pēc infūzijas – reibonis un hipotensija. Kopumā </w:t>
      </w:r>
      <w:r>
        <w:rPr>
          <w:szCs w:val="22"/>
          <w:lang w:val="lv-LV"/>
        </w:rPr>
        <w:t>infūzijas laikā vai 24 stundu laikā pēc infūzijas beigām</w:t>
      </w:r>
      <w:r>
        <w:rPr>
          <w:lang w:val="lv-LV"/>
        </w:rPr>
        <w:t xml:space="preserve"> novērotās blakusparādības pēc būtības bija līdzīgas tām, kas novērotas pacientiem ar RA un sJIA, skatīt 4.8.</w:t>
      </w:r>
      <w:r w:rsidR="000C6C88">
        <w:rPr>
          <w:lang w:val="lv-LV"/>
        </w:rPr>
        <w:t> </w:t>
      </w:r>
      <w:r>
        <w:rPr>
          <w:lang w:val="lv-LV"/>
        </w:rPr>
        <w:t xml:space="preserve">apakšpunktu. </w:t>
      </w:r>
    </w:p>
    <w:p w14:paraId="2872F1B8" w14:textId="77777777" w:rsidR="00784D05" w:rsidRDefault="00784D05">
      <w:pPr>
        <w:rPr>
          <w:lang w:val="lv-LV"/>
        </w:rPr>
      </w:pPr>
    </w:p>
    <w:p w14:paraId="5CAFF530" w14:textId="115337E7" w:rsidR="00784D05" w:rsidRDefault="00784D05">
      <w:pPr>
        <w:rPr>
          <w:rFonts w:eastAsia="SimSun"/>
          <w:i/>
          <w:lang w:val="lv-LV"/>
        </w:rPr>
      </w:pPr>
      <w:r>
        <w:rPr>
          <w:bCs/>
          <w:iCs/>
          <w:szCs w:val="22"/>
          <w:lang w:val="lv-LV"/>
        </w:rPr>
        <w:t>Par klīniski nozīmīgām paaugstinātas jutības reakcijām, kas būtu saistītas ar tocilizumaba lietošanu un kuru dēļ būtu jāpārtrauc zāļu lietošana</w:t>
      </w:r>
      <w:r w:rsidR="000C6C88">
        <w:rPr>
          <w:bCs/>
          <w:iCs/>
          <w:szCs w:val="22"/>
          <w:lang w:val="lv-LV"/>
        </w:rPr>
        <w:t>,</w:t>
      </w:r>
      <w:r>
        <w:rPr>
          <w:bCs/>
          <w:iCs/>
          <w:szCs w:val="22"/>
          <w:lang w:val="lv-LV"/>
        </w:rPr>
        <w:t xml:space="preserve"> ziņots netika.</w:t>
      </w:r>
    </w:p>
    <w:p w14:paraId="655E0801" w14:textId="77777777" w:rsidR="00784D05" w:rsidRDefault="00784D05">
      <w:pPr>
        <w:rPr>
          <w:rFonts w:eastAsia="SimSun"/>
          <w:i/>
          <w:lang w:val="lv-LV"/>
        </w:rPr>
      </w:pPr>
    </w:p>
    <w:p w14:paraId="6365F8D6" w14:textId="77777777" w:rsidR="00260CAB" w:rsidRPr="00707120" w:rsidRDefault="00390A69">
      <w:pPr>
        <w:rPr>
          <w:i/>
          <w:iCs/>
          <w:szCs w:val="22"/>
          <w:u w:val="single"/>
          <w:lang w:val="lv-LV"/>
        </w:rPr>
      </w:pPr>
      <w:r w:rsidRPr="00707120">
        <w:rPr>
          <w:i/>
          <w:iCs/>
          <w:szCs w:val="22"/>
          <w:u w:val="single"/>
          <w:lang w:val="lv-LV"/>
        </w:rPr>
        <w:t>Imūngenitāte</w:t>
      </w:r>
    </w:p>
    <w:p w14:paraId="5A0807DA" w14:textId="4E44C54D" w:rsidR="00784D05" w:rsidRDefault="00784D05">
      <w:pPr>
        <w:rPr>
          <w:szCs w:val="22"/>
          <w:lang w:val="lv-LV"/>
        </w:rPr>
      </w:pPr>
      <w:r>
        <w:rPr>
          <w:lang w:val="lv-LV"/>
        </w:rPr>
        <w:t>Vienam pacientam 10 mg/kg</w:t>
      </w:r>
      <w:r w:rsidR="000C6C88">
        <w:rPr>
          <w:lang w:val="lv-LV"/>
        </w:rPr>
        <w:t xml:space="preserve"> </w:t>
      </w:r>
      <w:del w:id="102" w:author="Author">
        <w:r w:rsidDel="00CE6B8D">
          <w:rPr>
            <w:lang w:val="lv-LV"/>
          </w:rPr>
          <w:delText xml:space="preserve"> </w:delText>
        </w:r>
      </w:del>
      <w:r w:rsidR="000C6C88">
        <w:rPr>
          <w:lang w:val="lv-LV"/>
        </w:rPr>
        <w:t>˂ </w:t>
      </w:r>
      <w:r>
        <w:rPr>
          <w:lang w:val="lv-LV"/>
        </w:rPr>
        <w:t>30 kg grupā izveidojās antivielas pret tocilizumabu bez paaugstinātas jutības reakcijas rašanās. Šis pacients pēc tam pārtrauca dalību pētījumā.</w:t>
      </w:r>
    </w:p>
    <w:p w14:paraId="0122156F" w14:textId="77777777" w:rsidR="00784D05" w:rsidRDefault="00784D05">
      <w:pPr>
        <w:autoSpaceDE w:val="0"/>
        <w:rPr>
          <w:szCs w:val="22"/>
          <w:lang w:val="lv-LV"/>
        </w:rPr>
      </w:pPr>
    </w:p>
    <w:p w14:paraId="139CF1A2" w14:textId="77777777" w:rsidR="00784D05" w:rsidRPr="00707120" w:rsidRDefault="00784D05">
      <w:pPr>
        <w:autoSpaceDE w:val="0"/>
        <w:rPr>
          <w:szCs w:val="22"/>
          <w:u w:val="single"/>
          <w:lang w:val="lv-LV"/>
        </w:rPr>
      </w:pPr>
      <w:r w:rsidRPr="00707120">
        <w:rPr>
          <w:i/>
          <w:iCs/>
          <w:szCs w:val="22"/>
          <w:u w:val="single"/>
          <w:lang w:val="lv-LV"/>
        </w:rPr>
        <w:t>Neitrofilie leikocīti</w:t>
      </w:r>
    </w:p>
    <w:p w14:paraId="06EE9113" w14:textId="488DE5B0" w:rsidR="00784D05" w:rsidRDefault="00784D05">
      <w:pPr>
        <w:tabs>
          <w:tab w:val="left" w:pos="5850"/>
        </w:tabs>
        <w:autoSpaceDE w:val="0"/>
        <w:rPr>
          <w:rFonts w:eastAsia="SimSun"/>
          <w:lang w:val="lv-LV"/>
        </w:rPr>
      </w:pPr>
      <w:r>
        <w:rPr>
          <w:szCs w:val="22"/>
          <w:lang w:val="lv-LV"/>
        </w:rPr>
        <w:t>Standarta laboratorisko rādītāju kontroles laikā tika konstatēts, ka 3,7% tocilizumabu lietojušo pacientu neitrofilo leikocītu skaits samazinājās līdz vērtībai, kas mazāka par</w:t>
      </w:r>
      <w:r w:rsidR="00FE214A">
        <w:rPr>
          <w:szCs w:val="22"/>
          <w:lang w:val="lv-LV"/>
        </w:rPr>
        <w:t> </w:t>
      </w:r>
      <w:r>
        <w:rPr>
          <w:szCs w:val="22"/>
          <w:lang w:val="lv-LV"/>
        </w:rPr>
        <w:t>1</w:t>
      </w:r>
      <w:r w:rsidR="000C6C88">
        <w:rPr>
          <w:szCs w:val="22"/>
          <w:lang w:val="lv-LV"/>
        </w:rPr>
        <w:t> × </w:t>
      </w:r>
      <w:r>
        <w:rPr>
          <w:szCs w:val="22"/>
          <w:lang w:val="lv-LV"/>
        </w:rPr>
        <w:t>10</w:t>
      </w:r>
      <w:r>
        <w:rPr>
          <w:szCs w:val="22"/>
          <w:vertAlign w:val="superscript"/>
          <w:lang w:val="lv-LV"/>
        </w:rPr>
        <w:t>9</w:t>
      </w:r>
      <w:r>
        <w:rPr>
          <w:szCs w:val="22"/>
          <w:lang w:val="lv-LV"/>
        </w:rPr>
        <w:t>/l.</w:t>
      </w:r>
    </w:p>
    <w:p w14:paraId="09402DE1" w14:textId="77777777" w:rsidR="00784D05" w:rsidRDefault="00784D05">
      <w:pPr>
        <w:rPr>
          <w:rFonts w:eastAsia="SimSun"/>
          <w:lang w:val="lv-LV"/>
        </w:rPr>
      </w:pPr>
    </w:p>
    <w:p w14:paraId="7E2CD3C2" w14:textId="77777777" w:rsidR="00784D05" w:rsidRPr="00707120" w:rsidRDefault="00784D05">
      <w:pPr>
        <w:autoSpaceDE w:val="0"/>
        <w:rPr>
          <w:szCs w:val="22"/>
          <w:u w:val="single"/>
          <w:lang w:val="lv-LV"/>
        </w:rPr>
      </w:pPr>
      <w:r w:rsidRPr="00707120">
        <w:rPr>
          <w:rFonts w:eastAsia="SimSun"/>
          <w:i/>
          <w:szCs w:val="22"/>
          <w:u w:val="single"/>
          <w:lang w:val="lv-LV"/>
        </w:rPr>
        <w:t>Trombocīti</w:t>
      </w:r>
    </w:p>
    <w:p w14:paraId="18C4B8D2" w14:textId="4A10D175" w:rsidR="00784D05" w:rsidRDefault="00784D05">
      <w:pPr>
        <w:autoSpaceDE w:val="0"/>
        <w:rPr>
          <w:szCs w:val="22"/>
          <w:lang w:val="lv-LV"/>
        </w:rPr>
      </w:pPr>
      <w:r>
        <w:rPr>
          <w:szCs w:val="22"/>
          <w:lang w:val="lv-LV"/>
        </w:rPr>
        <w:t>Standarta laboratorisko rādītāju kontroles laikā tika konstatēts, ka 1% tocilizumabu lietojušo pacientu trombocītu skaits samazinājās līdz</w:t>
      </w:r>
      <w:r w:rsidR="00FE214A">
        <w:rPr>
          <w:szCs w:val="22"/>
          <w:lang w:val="lv-LV"/>
        </w:rPr>
        <w:t> </w:t>
      </w:r>
      <w:r w:rsidR="000C6C88" w:rsidRPr="00707120">
        <w:rPr>
          <w:szCs w:val="22"/>
          <w:lang w:val="lv-LV"/>
        </w:rPr>
        <w:t>≤</w:t>
      </w:r>
      <w:r w:rsidR="000C6C88">
        <w:rPr>
          <w:szCs w:val="22"/>
          <w:lang w:val="lv-LV"/>
        </w:rPr>
        <w:t> </w:t>
      </w:r>
      <w:r>
        <w:rPr>
          <w:rFonts w:eastAsia="SimSun"/>
          <w:szCs w:val="22"/>
          <w:lang w:val="lv-LV"/>
        </w:rPr>
        <w:t>50</w:t>
      </w:r>
      <w:r w:rsidR="000C6C88">
        <w:rPr>
          <w:rFonts w:eastAsia="SimSun"/>
          <w:szCs w:val="22"/>
          <w:lang w:val="lv-LV"/>
        </w:rPr>
        <w:t> </w:t>
      </w:r>
      <w:r>
        <w:rPr>
          <w:rFonts w:eastAsia="SimSun"/>
          <w:szCs w:val="22"/>
          <w:lang w:val="lv-LV"/>
        </w:rPr>
        <w:t>×</w:t>
      </w:r>
      <w:r w:rsidR="000C6C88">
        <w:rPr>
          <w:rFonts w:eastAsia="SimSun"/>
          <w:szCs w:val="22"/>
          <w:lang w:val="lv-LV"/>
        </w:rPr>
        <w:t> </w:t>
      </w:r>
      <w:r>
        <w:rPr>
          <w:rFonts w:eastAsia="SimSun"/>
          <w:szCs w:val="22"/>
          <w:lang w:val="lv-LV"/>
        </w:rPr>
        <w:t>10</w:t>
      </w:r>
      <w:r>
        <w:rPr>
          <w:rFonts w:eastAsia="SimSun"/>
          <w:szCs w:val="22"/>
          <w:vertAlign w:val="superscript"/>
          <w:lang w:val="lv-LV"/>
        </w:rPr>
        <w:t>3</w:t>
      </w:r>
      <w:r>
        <w:rPr>
          <w:rFonts w:eastAsia="SimSun"/>
          <w:szCs w:val="22"/>
          <w:lang w:val="lv-LV"/>
        </w:rPr>
        <w:t>/µl, tomēr ar to saistītu asiņošanas gadījumu nebija.</w:t>
      </w:r>
    </w:p>
    <w:p w14:paraId="4DF30B68" w14:textId="77777777" w:rsidR="00784D05" w:rsidRDefault="00784D05">
      <w:pPr>
        <w:autoSpaceDE w:val="0"/>
        <w:rPr>
          <w:szCs w:val="22"/>
          <w:lang w:val="lv-LV"/>
        </w:rPr>
      </w:pPr>
    </w:p>
    <w:p w14:paraId="00097AB0" w14:textId="77777777" w:rsidR="00784D05" w:rsidRPr="00707120" w:rsidRDefault="00784D05">
      <w:pPr>
        <w:keepNext/>
        <w:autoSpaceDE w:val="0"/>
        <w:rPr>
          <w:szCs w:val="22"/>
          <w:u w:val="single"/>
          <w:lang w:val="lv-LV"/>
        </w:rPr>
      </w:pPr>
      <w:r w:rsidRPr="00707120">
        <w:rPr>
          <w:i/>
          <w:iCs/>
          <w:szCs w:val="22"/>
          <w:u w:val="single"/>
          <w:lang w:val="lv-LV"/>
        </w:rPr>
        <w:t>Paaugstināts aknu transamināžu līmenis</w:t>
      </w:r>
    </w:p>
    <w:p w14:paraId="06B4669E" w14:textId="7C9E0649" w:rsidR="00784D05" w:rsidRDefault="00784D05">
      <w:pPr>
        <w:autoSpaceDE w:val="0"/>
        <w:rPr>
          <w:rFonts w:eastAsia="SimSun"/>
          <w:i/>
          <w:szCs w:val="22"/>
          <w:lang w:val="lv-LV"/>
        </w:rPr>
      </w:pPr>
      <w:r>
        <w:rPr>
          <w:szCs w:val="22"/>
          <w:lang w:val="lv-LV"/>
        </w:rPr>
        <w:t xml:space="preserve">Standarta laboratorisko rādītāju kontroles laikā tika konstatēts, ka attiecīgi 3,7% un </w:t>
      </w:r>
      <w:r w:rsidR="000C6C88">
        <w:rPr>
          <w:szCs w:val="22"/>
          <w:lang w:val="lv-LV"/>
        </w:rPr>
        <w:t>˂ </w:t>
      </w:r>
      <w:r>
        <w:rPr>
          <w:szCs w:val="22"/>
          <w:lang w:val="lv-LV"/>
        </w:rPr>
        <w:t>1% tocilizumabu lietojušo pacientu ALAT vai ASAT līmenis paaugstinājās</w:t>
      </w:r>
      <w:r w:rsidR="00FE214A">
        <w:rPr>
          <w:szCs w:val="22"/>
          <w:lang w:val="lv-LV"/>
        </w:rPr>
        <w:t> </w:t>
      </w:r>
      <w:r w:rsidR="000C6C88" w:rsidRPr="00707120">
        <w:rPr>
          <w:szCs w:val="22"/>
          <w:lang w:val="lv-LV"/>
        </w:rPr>
        <w:t>≥</w:t>
      </w:r>
      <w:r>
        <w:rPr>
          <w:szCs w:val="22"/>
          <w:lang w:val="lv-LV"/>
        </w:rPr>
        <w:t> 3 </w:t>
      </w:r>
      <w:r w:rsidR="000C6C88">
        <w:rPr>
          <w:szCs w:val="22"/>
          <w:lang w:val="lv-LV"/>
        </w:rPr>
        <w:t>×</w:t>
      </w:r>
      <w:r>
        <w:rPr>
          <w:szCs w:val="22"/>
          <w:lang w:val="lv-LV"/>
        </w:rPr>
        <w:t> NAR.</w:t>
      </w:r>
    </w:p>
    <w:p w14:paraId="51D1631C" w14:textId="77777777" w:rsidR="00784D05" w:rsidRDefault="00784D05">
      <w:pPr>
        <w:autoSpaceDE w:val="0"/>
        <w:rPr>
          <w:rFonts w:eastAsia="SimSun"/>
          <w:i/>
          <w:szCs w:val="22"/>
          <w:lang w:val="lv-LV"/>
        </w:rPr>
      </w:pPr>
    </w:p>
    <w:p w14:paraId="68D41B01" w14:textId="77777777" w:rsidR="00784D05" w:rsidRPr="00707120" w:rsidRDefault="00784D05">
      <w:pPr>
        <w:keepNext/>
        <w:autoSpaceDE w:val="0"/>
        <w:rPr>
          <w:szCs w:val="22"/>
          <w:u w:val="single"/>
          <w:lang w:val="lv-LV"/>
        </w:rPr>
      </w:pPr>
      <w:r w:rsidRPr="00707120">
        <w:rPr>
          <w:i/>
          <w:iCs/>
          <w:szCs w:val="22"/>
          <w:u w:val="single"/>
          <w:lang w:val="lv-LV"/>
        </w:rPr>
        <w:t>Lipīdu rādītāji</w:t>
      </w:r>
    </w:p>
    <w:p w14:paraId="2C1CEA54" w14:textId="26F1E59E" w:rsidR="00784D05" w:rsidRDefault="00784D05">
      <w:pPr>
        <w:autoSpaceDE w:val="0"/>
        <w:rPr>
          <w:szCs w:val="22"/>
          <w:lang w:val="lv-LV"/>
        </w:rPr>
      </w:pPr>
      <w:r>
        <w:rPr>
          <w:szCs w:val="22"/>
          <w:lang w:val="lv-LV"/>
        </w:rPr>
        <w:t xml:space="preserve">Standarta laboratorisko rādītāju kontroles laikā </w:t>
      </w:r>
      <w:r w:rsidR="00066C7F" w:rsidRPr="00382C63">
        <w:rPr>
          <w:lang w:val="lv-LV"/>
        </w:rPr>
        <w:t xml:space="preserve">intravenozi ievadīta </w:t>
      </w:r>
      <w:r w:rsidR="000C6C88">
        <w:rPr>
          <w:lang w:val="lv-LV"/>
        </w:rPr>
        <w:t>tocilizumaba</w:t>
      </w:r>
      <w:r w:rsidR="000C6C88" w:rsidRPr="00382C63">
        <w:rPr>
          <w:lang w:val="lv-LV"/>
        </w:rPr>
        <w:t xml:space="preserve"> </w:t>
      </w:r>
      <w:r w:rsidR="00066C7F" w:rsidRPr="00382C63">
        <w:rPr>
          <w:lang w:val="lv-LV"/>
        </w:rPr>
        <w:t xml:space="preserve">pētījumā WA19977 attiecīgi 3,4% un 10,4% pacientu ZBL holesterīna vērtība jebkurā brīdī pētījuma zāļu </w:t>
      </w:r>
      <w:r w:rsidR="00FA5179">
        <w:rPr>
          <w:lang w:val="lv-LV"/>
        </w:rPr>
        <w:t>lietošanas</w:t>
      </w:r>
      <w:r w:rsidR="00066C7F" w:rsidRPr="00382C63">
        <w:rPr>
          <w:lang w:val="lv-LV"/>
        </w:rPr>
        <w:t xml:space="preserve"> laikā palielinājās līdz</w:t>
      </w:r>
      <w:r w:rsidR="00FE214A">
        <w:rPr>
          <w:lang w:val="lv-LV"/>
        </w:rPr>
        <w:t> </w:t>
      </w:r>
      <w:r w:rsidR="000C6C88" w:rsidRPr="00707120">
        <w:rPr>
          <w:szCs w:val="22"/>
          <w:lang w:val="lv-LV"/>
        </w:rPr>
        <w:t>≥</w:t>
      </w:r>
      <w:r w:rsidR="00066C7F" w:rsidRPr="00382C63">
        <w:rPr>
          <w:lang w:val="lv-LV"/>
        </w:rPr>
        <w:t> 130 mg/dl un kopējā holesterīna vērtība palielinājās līdz</w:t>
      </w:r>
      <w:r w:rsidR="00FE214A">
        <w:rPr>
          <w:lang w:val="lv-LV"/>
        </w:rPr>
        <w:t> </w:t>
      </w:r>
      <w:r w:rsidR="000C6C88" w:rsidRPr="00707120">
        <w:rPr>
          <w:szCs w:val="22"/>
          <w:lang w:val="lv-LV"/>
        </w:rPr>
        <w:t>≥</w:t>
      </w:r>
      <w:r w:rsidR="00066C7F" w:rsidRPr="00382C63">
        <w:rPr>
          <w:lang w:val="lv-LV"/>
        </w:rPr>
        <w:t> 200 mg/dl</w:t>
      </w:r>
      <w:r>
        <w:rPr>
          <w:szCs w:val="22"/>
          <w:lang w:val="lv-LV"/>
        </w:rPr>
        <w:t>.</w:t>
      </w:r>
    </w:p>
    <w:p w14:paraId="6C5660BE" w14:textId="77777777" w:rsidR="00784D05" w:rsidRDefault="00784D05">
      <w:pPr>
        <w:rPr>
          <w:szCs w:val="22"/>
          <w:lang w:val="lv-LV"/>
        </w:rPr>
      </w:pPr>
    </w:p>
    <w:p w14:paraId="48CA5D1F" w14:textId="78912C2D" w:rsidR="00784D05" w:rsidRDefault="000C6C88">
      <w:pPr>
        <w:keepNext/>
        <w:autoSpaceDE w:val="0"/>
        <w:rPr>
          <w:lang w:val="lv-LV"/>
        </w:rPr>
      </w:pPr>
      <w:r w:rsidRPr="000C6C88">
        <w:rPr>
          <w:rFonts w:eastAsia="SimSun"/>
          <w:i/>
          <w:szCs w:val="22"/>
          <w:lang w:val="lv-LV"/>
        </w:rPr>
        <w:t xml:space="preserve">Atsevišķu nevēlamo blakusparādību apraksts </w:t>
      </w:r>
      <w:r>
        <w:rPr>
          <w:bCs/>
          <w:i/>
          <w:lang w:val="lv-LV"/>
        </w:rPr>
        <w:t>p</w:t>
      </w:r>
      <w:r w:rsidR="00784D05">
        <w:rPr>
          <w:bCs/>
          <w:i/>
          <w:lang w:val="lv-LV"/>
        </w:rPr>
        <w:t>acienti</w:t>
      </w:r>
      <w:r>
        <w:rPr>
          <w:bCs/>
          <w:i/>
          <w:lang w:val="lv-LV"/>
        </w:rPr>
        <w:t>em</w:t>
      </w:r>
      <w:r w:rsidR="00784D05">
        <w:rPr>
          <w:bCs/>
          <w:i/>
          <w:lang w:val="lv-LV"/>
        </w:rPr>
        <w:t xml:space="preserve"> ar sJIA</w:t>
      </w:r>
    </w:p>
    <w:p w14:paraId="16635118" w14:textId="40EB2B2F" w:rsidR="00784D05" w:rsidRDefault="00066C7F">
      <w:pPr>
        <w:autoSpaceDE w:val="0"/>
        <w:rPr>
          <w:lang w:val="lv-LV"/>
        </w:rPr>
      </w:pPr>
      <w:r>
        <w:rPr>
          <w:lang w:val="lv-LV"/>
        </w:rPr>
        <w:t xml:space="preserve">Intravenozi ievadīta </w:t>
      </w:r>
      <w:r w:rsidR="000C6C88">
        <w:rPr>
          <w:lang w:val="lv-LV"/>
        </w:rPr>
        <w:t xml:space="preserve">tocilizumaba </w:t>
      </w:r>
      <w:r w:rsidR="00784D05">
        <w:rPr>
          <w:lang w:val="lv-LV"/>
        </w:rPr>
        <w:t>drošum</w:t>
      </w:r>
      <w:r>
        <w:rPr>
          <w:lang w:val="lv-LV"/>
        </w:rPr>
        <w:t>a profil</w:t>
      </w:r>
      <w:r w:rsidR="00784D05">
        <w:rPr>
          <w:lang w:val="lv-LV"/>
        </w:rPr>
        <w:t xml:space="preserve">s sJIA gadījumā ir pētīts 112 pacientiem vecumā no 2 līdz 17 gadiem. 12 nedēļas ilgā dubultmaskētā, kontrolētā fāzē ar tocilizumabu tika ārstēti 75 pacienti (atkarībā no ķermeņa masas viņi saņēma 8 mg/kg vai 12 mg/kg devas). Pēc 12 nedēļām vai tad, kad slimības paasināšanās dēļ </w:t>
      </w:r>
      <w:r w:rsidR="000C6C88">
        <w:rPr>
          <w:lang w:val="lv-LV"/>
        </w:rPr>
        <w:t>placebo tika aizstāts ar tocilizumabu</w:t>
      </w:r>
      <w:r w:rsidR="00784D05">
        <w:rPr>
          <w:lang w:val="lv-LV"/>
        </w:rPr>
        <w:t>, pacienti tika ārstēti nemaskētā pagarinājuma ietvaros.</w:t>
      </w:r>
    </w:p>
    <w:p w14:paraId="7B2ACF98" w14:textId="77777777" w:rsidR="00784D05" w:rsidRDefault="00784D05">
      <w:pPr>
        <w:autoSpaceDE w:val="0"/>
        <w:rPr>
          <w:lang w:val="lv-LV"/>
        </w:rPr>
      </w:pPr>
    </w:p>
    <w:p w14:paraId="346AFE2B" w14:textId="18E48A36" w:rsidR="00784D05" w:rsidRDefault="00784D05">
      <w:pPr>
        <w:autoSpaceDE w:val="0"/>
        <w:rPr>
          <w:lang w:val="lv-LV"/>
        </w:rPr>
      </w:pPr>
      <w:r>
        <w:rPr>
          <w:lang w:val="lv-LV"/>
        </w:rPr>
        <w:t>Kopumā pacientiem ar sJIA nevēlamās blakusparādības bija līdzīgas tām, kādas novērotas pacientiem ar RA</w:t>
      </w:r>
      <w:r w:rsidR="000C6C88">
        <w:rPr>
          <w:lang w:val="lv-LV"/>
        </w:rPr>
        <w:t>.</w:t>
      </w:r>
      <w:r>
        <w:rPr>
          <w:lang w:val="lv-LV"/>
        </w:rPr>
        <w:t xml:space="preserve"> Informācija par nevēlamo blakusparādību biežumu pacientiem ar sJIA ir sniegta </w:t>
      </w:r>
      <w:r w:rsidR="008364C5">
        <w:rPr>
          <w:lang w:val="lv-LV"/>
        </w:rPr>
        <w:t>3</w:t>
      </w:r>
      <w:r>
        <w:rPr>
          <w:lang w:val="lv-LV"/>
        </w:rPr>
        <w:t xml:space="preserve">. tabulā. </w:t>
      </w:r>
      <w:r>
        <w:rPr>
          <w:szCs w:val="22"/>
          <w:lang w:val="lv-LV"/>
        </w:rPr>
        <w:t xml:space="preserve">Salīdzinot ar pieaugušo RA pacientu populāciju, pacientiem ar sJIA biežāk radās nazofaringīts, samazināts neitrofilo leikocītu skaits, paaugstināts aknu transamināžu līmenis un caureja. </w:t>
      </w:r>
      <w:r>
        <w:rPr>
          <w:lang w:val="lv-LV"/>
        </w:rPr>
        <w:t>sJIA populācijā salīdzinājumā ar pieaugušu RA pacientu populāciju paaugstināta holesterīna līmeņa gadījumi bija retāki.</w:t>
      </w:r>
    </w:p>
    <w:p w14:paraId="07A58C85" w14:textId="77777777" w:rsidR="00784D05" w:rsidRDefault="00784D05">
      <w:pPr>
        <w:autoSpaceDE w:val="0"/>
        <w:rPr>
          <w:lang w:val="lv-LV"/>
        </w:rPr>
      </w:pPr>
    </w:p>
    <w:p w14:paraId="750C7612" w14:textId="77777777" w:rsidR="00784D05" w:rsidRPr="00707120" w:rsidRDefault="00784D05">
      <w:pPr>
        <w:keepNext/>
        <w:autoSpaceDE w:val="0"/>
        <w:rPr>
          <w:u w:val="single"/>
          <w:lang w:val="lv-LV"/>
        </w:rPr>
      </w:pPr>
      <w:r w:rsidRPr="00707120">
        <w:rPr>
          <w:i/>
          <w:u w:val="single"/>
          <w:lang w:val="lv-LV"/>
        </w:rPr>
        <w:t>Infekcijas</w:t>
      </w:r>
    </w:p>
    <w:p w14:paraId="7A1A93BC" w14:textId="4354A06B" w:rsidR="00784D05" w:rsidRDefault="00784D05">
      <w:pPr>
        <w:autoSpaceDE w:val="0"/>
        <w:rPr>
          <w:lang w:val="lv-LV"/>
        </w:rPr>
      </w:pPr>
      <w:r>
        <w:rPr>
          <w:lang w:val="lv-LV"/>
        </w:rPr>
        <w:t xml:space="preserve">12 nedēļas ilgās kontrolētās fāzes laikā </w:t>
      </w:r>
      <w:r w:rsidR="00066C7F">
        <w:rPr>
          <w:lang w:val="lv-LV"/>
        </w:rPr>
        <w:t xml:space="preserve">intravenozi ievadīta </w:t>
      </w:r>
      <w:r w:rsidR="000C6C88">
        <w:rPr>
          <w:lang w:val="lv-LV"/>
        </w:rPr>
        <w:t xml:space="preserve">tocilizumaba </w:t>
      </w:r>
      <w:r>
        <w:rPr>
          <w:lang w:val="lv-LV"/>
        </w:rPr>
        <w:t>grupā visu infekciju rādītājs bija 344,7 gadījumi uz 100 pacientgadiem, bet placebo grupā t</w:t>
      </w:r>
      <w:r w:rsidR="000C6C88">
        <w:rPr>
          <w:lang w:val="lv-LV"/>
        </w:rPr>
        <w:t>as</w:t>
      </w:r>
      <w:r>
        <w:rPr>
          <w:lang w:val="lv-LV"/>
        </w:rPr>
        <w:t xml:space="preserve"> bija 287,0 gadījumi uz 100 pacientgadiem. </w:t>
      </w:r>
      <w:r w:rsidR="00066C7F">
        <w:rPr>
          <w:lang w:val="lv-LV"/>
        </w:rPr>
        <w:t>N</w:t>
      </w:r>
      <w:r>
        <w:rPr>
          <w:lang w:val="lv-LV"/>
        </w:rPr>
        <w:t>emaskētajā pagarinājumā (II daļā) saglabājās līdzīgs kopējais infekciju rādītājs – 306,6 gadījumi uz 100 pacientgadiem.</w:t>
      </w:r>
    </w:p>
    <w:p w14:paraId="68A29598" w14:textId="77777777" w:rsidR="00784D05" w:rsidRDefault="00784D05">
      <w:pPr>
        <w:autoSpaceDE w:val="0"/>
        <w:rPr>
          <w:lang w:val="lv-LV"/>
        </w:rPr>
      </w:pPr>
    </w:p>
    <w:p w14:paraId="4051E3A0" w14:textId="209AF034" w:rsidR="00784D05" w:rsidRDefault="00784D05">
      <w:pPr>
        <w:autoSpaceDE w:val="0"/>
        <w:rPr>
          <w:lang w:val="lv-LV"/>
        </w:rPr>
      </w:pPr>
      <w:r>
        <w:rPr>
          <w:lang w:val="lv-LV"/>
        </w:rPr>
        <w:t xml:space="preserve">12 nedēļas ilgajā kontrolētajā fāzē </w:t>
      </w:r>
      <w:r w:rsidR="00066C7F">
        <w:rPr>
          <w:lang w:val="lv-LV"/>
        </w:rPr>
        <w:t xml:space="preserve">intravenozi ievadīta </w:t>
      </w:r>
      <w:r w:rsidR="000C6C88">
        <w:rPr>
          <w:lang w:val="lv-LV"/>
        </w:rPr>
        <w:t xml:space="preserve">tocilizumaba </w:t>
      </w:r>
      <w:r>
        <w:rPr>
          <w:lang w:val="lv-LV"/>
        </w:rPr>
        <w:t xml:space="preserve">grupā nopietnu infekciju rādītājs bija 11,5 gadījumi uz 100 pacientgadiem. </w:t>
      </w:r>
      <w:r w:rsidR="00066C7F">
        <w:rPr>
          <w:lang w:val="lv-LV"/>
        </w:rPr>
        <w:t>N</w:t>
      </w:r>
      <w:r>
        <w:rPr>
          <w:lang w:val="lv-LV"/>
        </w:rPr>
        <w:t>emaskētajā pagarinājumā pēc viena gada nopietnu infekciju kopējais rādītājs saglabājās stabils – 11,3 gadījumi uz 100 pacientgadiem. Aprakstītās nopietnās infekcijas bija līdzīgas tām, kādas aprakstītas pacientiem ar RA, tomēr tika novērotas arī vējbakas un vidusauss iekaisums.</w:t>
      </w:r>
    </w:p>
    <w:p w14:paraId="2096512F" w14:textId="77777777" w:rsidR="00784D05" w:rsidRDefault="00784D05">
      <w:pPr>
        <w:autoSpaceDE w:val="0"/>
        <w:rPr>
          <w:lang w:val="lv-LV"/>
        </w:rPr>
      </w:pPr>
    </w:p>
    <w:p w14:paraId="41B54CAB" w14:textId="073AC182" w:rsidR="00784D05" w:rsidRPr="00707120" w:rsidRDefault="008364C5" w:rsidP="00707120">
      <w:pPr>
        <w:keepNext/>
        <w:autoSpaceDE w:val="0"/>
        <w:rPr>
          <w:u w:val="single"/>
          <w:lang w:val="lv-LV"/>
        </w:rPr>
      </w:pPr>
      <w:r w:rsidRPr="00707120">
        <w:rPr>
          <w:i/>
          <w:u w:val="single"/>
          <w:lang w:val="lv-LV"/>
        </w:rPr>
        <w:t>Ar i</w:t>
      </w:r>
      <w:r w:rsidR="00784D05" w:rsidRPr="00707120">
        <w:rPr>
          <w:i/>
          <w:u w:val="single"/>
          <w:lang w:val="lv-LV"/>
        </w:rPr>
        <w:t>nfūzij</w:t>
      </w:r>
      <w:r w:rsidRPr="00707120">
        <w:rPr>
          <w:i/>
          <w:u w:val="single"/>
          <w:lang w:val="lv-LV"/>
        </w:rPr>
        <w:t>u saistīt</w:t>
      </w:r>
      <w:r w:rsidR="00784D05" w:rsidRPr="00707120">
        <w:rPr>
          <w:i/>
          <w:u w:val="single"/>
          <w:lang w:val="lv-LV"/>
        </w:rPr>
        <w:t>as reakcijas</w:t>
      </w:r>
    </w:p>
    <w:p w14:paraId="634B18BB" w14:textId="1D6810A7" w:rsidR="00784D05" w:rsidRDefault="00784D05">
      <w:pPr>
        <w:autoSpaceDE w:val="0"/>
        <w:rPr>
          <w:lang w:val="lv-LV"/>
        </w:rPr>
      </w:pPr>
      <w:r>
        <w:rPr>
          <w:lang w:val="lv-LV"/>
        </w:rPr>
        <w:t xml:space="preserve">Ar infūziju saistītās reakcijas </w:t>
      </w:r>
      <w:r w:rsidR="000C6C88">
        <w:rPr>
          <w:lang w:val="lv-LV"/>
        </w:rPr>
        <w:t xml:space="preserve">ir </w:t>
      </w:r>
      <w:r>
        <w:rPr>
          <w:lang w:val="lv-LV"/>
        </w:rPr>
        <w:t>definētas kā visi traucējumi, kas bijuši infūzijas laikā vai 24 stundu laikā pēc infūzijas beigām. 12 nedēļas ilgajā kontrolētajā fāzē 4% tocilizumaba grupas pacientu bija traucējumi, kas radās infūzijas laikā. Viens gadījums (angioedēma) tika uzskatīts par nopietnu un bīstamu dzīvībai, un pacientam pētījuma zāļu lietošana tika pārtraukta.</w:t>
      </w:r>
    </w:p>
    <w:p w14:paraId="5300AB41" w14:textId="77777777" w:rsidR="00784D05" w:rsidRDefault="00784D05">
      <w:pPr>
        <w:autoSpaceDE w:val="0"/>
        <w:rPr>
          <w:lang w:val="lv-LV"/>
        </w:rPr>
      </w:pPr>
    </w:p>
    <w:p w14:paraId="5BB6B6FA" w14:textId="77777777" w:rsidR="00784D05" w:rsidRDefault="00784D05">
      <w:pPr>
        <w:autoSpaceDE w:val="0"/>
        <w:rPr>
          <w:lang w:val="lv-LV"/>
        </w:rPr>
      </w:pPr>
      <w:r>
        <w:rPr>
          <w:lang w:val="lv-LV"/>
        </w:rPr>
        <w:t>12 nedēļas ilgajā kontrolētajā fāzē 24 stundu laikā pēc infūzijas beigām traucējumi bija 16% tocilizumaba grupas pacientu un 5,4% placebo grupas pacientu. Tocilizumaba grupā šie traucējumi izpaudās kā (bet ne tikai) izsitumi, nātrene, caureja, diskomforta sajūta epigastrijā, locītavu sāpes un galvassāpes. Viens gadījums (nātrene) tika uzskatīts par nopietnu.</w:t>
      </w:r>
    </w:p>
    <w:p w14:paraId="0B9670E9" w14:textId="77777777" w:rsidR="00784D05" w:rsidRDefault="00784D05">
      <w:pPr>
        <w:autoSpaceDE w:val="0"/>
        <w:rPr>
          <w:lang w:val="lv-LV"/>
        </w:rPr>
      </w:pPr>
    </w:p>
    <w:p w14:paraId="25765730" w14:textId="72FDD1BB" w:rsidR="00784D05" w:rsidRDefault="00784D05">
      <w:pPr>
        <w:autoSpaceDE w:val="0"/>
        <w:rPr>
          <w:lang w:val="lv-LV"/>
        </w:rPr>
      </w:pPr>
      <w:r>
        <w:rPr>
          <w:lang w:val="lv-LV"/>
        </w:rPr>
        <w:t>Ar tocilizumabu saistītas, klīniski nozīmīgas paaugstinātas jutības reakcijas, kuru dēļ jāpārtrauc ārstēšana, kontrolētajā fāzē līdz iekļaušanai nemaskētajā klīniskajā pētījumā un arī tā laikā tika aprakstītas 1 pacientam (</w:t>
      </w:r>
      <w:r w:rsidR="000C6C88">
        <w:rPr>
          <w:lang w:val="lv-LV"/>
        </w:rPr>
        <w:t>˂ </w:t>
      </w:r>
      <w:r>
        <w:rPr>
          <w:lang w:val="lv-LV"/>
        </w:rPr>
        <w:t>1%) no 112 pacientiem, kuri tika ārstēti ar tocilizumabu.</w:t>
      </w:r>
    </w:p>
    <w:p w14:paraId="47FB9D49" w14:textId="77777777" w:rsidR="00784D05" w:rsidRDefault="00784D05">
      <w:pPr>
        <w:autoSpaceDE w:val="0"/>
        <w:rPr>
          <w:lang w:val="lv-LV"/>
        </w:rPr>
      </w:pPr>
    </w:p>
    <w:p w14:paraId="1ACDD2FD" w14:textId="77777777" w:rsidR="00784D05" w:rsidRPr="00707120" w:rsidRDefault="00833FA0">
      <w:pPr>
        <w:autoSpaceDE w:val="0"/>
        <w:rPr>
          <w:u w:val="single"/>
          <w:lang w:val="lv-LV"/>
        </w:rPr>
      </w:pPr>
      <w:r w:rsidRPr="00707120">
        <w:rPr>
          <w:i/>
          <w:u w:val="single"/>
          <w:lang w:val="lv-LV"/>
        </w:rPr>
        <w:t>Imūngenitāte</w:t>
      </w:r>
    </w:p>
    <w:p w14:paraId="6523E2BD" w14:textId="0E63E0C8" w:rsidR="00784D05" w:rsidRDefault="00784D05">
      <w:pPr>
        <w:autoSpaceDE w:val="0"/>
        <w:rPr>
          <w:lang w:val="lv-LV"/>
        </w:rPr>
      </w:pPr>
      <w:r>
        <w:rPr>
          <w:lang w:val="lv-LV"/>
        </w:rPr>
        <w:t xml:space="preserve">Visi 112 pacienti pirms ārstēšanas sākuma tika pārbaudīti attiecībā uz antivielām pret tocilizumabu. Antivielas pret tocilizumabu veidojās diviem pacientiem, turklāt vienam no šiem pacientiem bija paaugstinātas jutības reakcija, kuras dēļ zāļu lietošana bija jāpārtrauc. Antivielu pret tocilizumabu veidošanās sastopamība var būt nepietiekami novērtēta, jo tocilizumabs ietekmē pārbaužu rezultātus, un bērniem, salīdzinājumā ar pieaugušajiem, novērota lielāka </w:t>
      </w:r>
      <w:r w:rsidR="000C6C88">
        <w:rPr>
          <w:lang w:val="lv-LV"/>
        </w:rPr>
        <w:t xml:space="preserve">tocilizumaba </w:t>
      </w:r>
      <w:r>
        <w:rPr>
          <w:lang w:val="lv-LV"/>
        </w:rPr>
        <w:t>koncentrācija.</w:t>
      </w:r>
    </w:p>
    <w:p w14:paraId="2CBE5AA8" w14:textId="77777777" w:rsidR="00784D05" w:rsidRDefault="00784D05">
      <w:pPr>
        <w:autoSpaceDE w:val="0"/>
        <w:rPr>
          <w:lang w:val="lv-LV"/>
        </w:rPr>
      </w:pPr>
    </w:p>
    <w:p w14:paraId="1DA8AB63" w14:textId="77777777" w:rsidR="00784D05" w:rsidRPr="00707120" w:rsidRDefault="00784D05">
      <w:pPr>
        <w:autoSpaceDE w:val="0"/>
        <w:rPr>
          <w:u w:val="single"/>
          <w:lang w:val="lv-LV"/>
        </w:rPr>
      </w:pPr>
      <w:r w:rsidRPr="00707120">
        <w:rPr>
          <w:i/>
          <w:u w:val="single"/>
          <w:lang w:val="lv-LV"/>
        </w:rPr>
        <w:t>Neitrofilie leikocīti</w:t>
      </w:r>
    </w:p>
    <w:p w14:paraId="6AC3ABF6" w14:textId="798EB2E1" w:rsidR="00784D05" w:rsidRDefault="00784D05">
      <w:pPr>
        <w:autoSpaceDE w:val="0"/>
        <w:rPr>
          <w:lang w:val="lv-LV"/>
        </w:rPr>
      </w:pPr>
      <w:r>
        <w:rPr>
          <w:lang w:val="lv-LV"/>
        </w:rPr>
        <w:t>12 nedēļas ilgajā kontrolētajā fāzē, standarta laboratorisko rādītāju kontroles laikā tika konstatēts, ka 7% tocilizumaba grupas pacientu neitrofilo leikocītu skaits samazinājās līdz vērtībai, kas mazāka par</w:t>
      </w:r>
      <w:r w:rsidR="00FE214A">
        <w:rPr>
          <w:lang w:val="lv-LV"/>
        </w:rPr>
        <w:t> </w:t>
      </w:r>
      <w:r>
        <w:rPr>
          <w:lang w:val="lv-LV"/>
        </w:rPr>
        <w:t>1</w:t>
      </w:r>
      <w:r w:rsidR="008364C5">
        <w:rPr>
          <w:lang w:val="lv-LV"/>
        </w:rPr>
        <w:t> </w:t>
      </w:r>
      <w:r w:rsidR="000C6C88">
        <w:rPr>
          <w:lang w:val="lv-LV"/>
        </w:rPr>
        <w:t>× </w:t>
      </w:r>
      <w:r>
        <w:rPr>
          <w:lang w:val="lv-LV"/>
        </w:rPr>
        <w:t>10</w:t>
      </w:r>
      <w:r>
        <w:rPr>
          <w:vertAlign w:val="superscript"/>
          <w:lang w:val="lv-LV"/>
        </w:rPr>
        <w:t>9</w:t>
      </w:r>
      <w:r>
        <w:rPr>
          <w:lang w:val="lv-LV"/>
        </w:rPr>
        <w:t>/l, bet placebo grupā šāda samazināšanās netika novērota.</w:t>
      </w:r>
    </w:p>
    <w:p w14:paraId="6FA8E2A4" w14:textId="77777777" w:rsidR="00784D05" w:rsidRDefault="00784D05">
      <w:pPr>
        <w:autoSpaceDE w:val="0"/>
        <w:rPr>
          <w:lang w:val="lv-LV"/>
        </w:rPr>
      </w:pPr>
    </w:p>
    <w:p w14:paraId="3D0BAB75" w14:textId="034B665A" w:rsidR="00784D05" w:rsidRDefault="00066C7F">
      <w:pPr>
        <w:autoSpaceDE w:val="0"/>
        <w:rPr>
          <w:lang w:val="lv-LV"/>
        </w:rPr>
      </w:pPr>
      <w:r>
        <w:rPr>
          <w:lang w:val="lv-LV"/>
        </w:rPr>
        <w:t>N</w:t>
      </w:r>
      <w:r w:rsidR="00784D05">
        <w:rPr>
          <w:lang w:val="lv-LV"/>
        </w:rPr>
        <w:t>emaskētajā pagarinājuma fāzē neitrofilo leikocītu skaits līdz vērtībai, kas mazāka par</w:t>
      </w:r>
      <w:r w:rsidR="00FE214A">
        <w:rPr>
          <w:lang w:val="lv-LV"/>
        </w:rPr>
        <w:t> </w:t>
      </w:r>
      <w:r w:rsidR="00784D05">
        <w:rPr>
          <w:lang w:val="lv-LV"/>
        </w:rPr>
        <w:t>1</w:t>
      </w:r>
      <w:r w:rsidR="000C6C88">
        <w:rPr>
          <w:lang w:val="lv-LV"/>
        </w:rPr>
        <w:t> × </w:t>
      </w:r>
      <w:r w:rsidR="00784D05">
        <w:rPr>
          <w:lang w:val="lv-LV"/>
        </w:rPr>
        <w:t>10</w:t>
      </w:r>
      <w:r w:rsidR="00784D05">
        <w:rPr>
          <w:vertAlign w:val="superscript"/>
          <w:lang w:val="lv-LV"/>
        </w:rPr>
        <w:t>9</w:t>
      </w:r>
      <w:r w:rsidR="00784D05">
        <w:rPr>
          <w:lang w:val="lv-LV"/>
        </w:rPr>
        <w:t xml:space="preserve">/l, samazinājās 15% tocilizumaba grupas pacientu. </w:t>
      </w:r>
    </w:p>
    <w:p w14:paraId="03BD8757" w14:textId="77777777" w:rsidR="00784D05" w:rsidRDefault="00784D05">
      <w:pPr>
        <w:autoSpaceDE w:val="0"/>
        <w:rPr>
          <w:lang w:val="lv-LV"/>
        </w:rPr>
      </w:pPr>
    </w:p>
    <w:p w14:paraId="18FDD44C" w14:textId="77777777" w:rsidR="00784D05" w:rsidRPr="00707120" w:rsidRDefault="00784D05">
      <w:pPr>
        <w:autoSpaceDE w:val="0"/>
        <w:rPr>
          <w:u w:val="single"/>
          <w:lang w:val="lv-LV"/>
        </w:rPr>
      </w:pPr>
      <w:r w:rsidRPr="00707120">
        <w:rPr>
          <w:i/>
          <w:u w:val="single"/>
          <w:lang w:val="lv-LV"/>
        </w:rPr>
        <w:t>Trombocīti</w:t>
      </w:r>
    </w:p>
    <w:p w14:paraId="5CC62A38" w14:textId="328B2066" w:rsidR="00784D05" w:rsidRDefault="00784D05">
      <w:pPr>
        <w:autoSpaceDE w:val="0"/>
        <w:rPr>
          <w:lang w:val="lv-LV"/>
        </w:rPr>
      </w:pPr>
      <w:r>
        <w:rPr>
          <w:lang w:val="lv-LV"/>
        </w:rPr>
        <w:t>12 nedēļas ilgajā kontrolētajā fāzē standarta laboratorisko rādītāju kontroles laikā, tika konstatēts, ka 3% placebo grupas pacientu un 1% tocilizumaba grupas pacientu trombocītu skaits samazinājās līdz</w:t>
      </w:r>
      <w:r w:rsidR="000C6C88">
        <w:rPr>
          <w:lang w:val="lv-LV"/>
        </w:rPr>
        <w:t> </w:t>
      </w:r>
      <w:r w:rsidR="000C6C88" w:rsidRPr="00707120">
        <w:rPr>
          <w:szCs w:val="22"/>
          <w:lang w:val="lv-LV"/>
        </w:rPr>
        <w:t>≤</w:t>
      </w:r>
      <w:r>
        <w:rPr>
          <w:lang w:val="lv-LV"/>
        </w:rPr>
        <w:t> 100 </w:t>
      </w:r>
      <w:r w:rsidR="000C6C88">
        <w:rPr>
          <w:lang w:val="lv-LV"/>
        </w:rPr>
        <w:t>×</w:t>
      </w:r>
      <w:r>
        <w:rPr>
          <w:lang w:val="lv-LV"/>
        </w:rPr>
        <w:t> 10</w:t>
      </w:r>
      <w:r>
        <w:rPr>
          <w:vertAlign w:val="superscript"/>
          <w:lang w:val="lv-LV"/>
        </w:rPr>
        <w:t>3</w:t>
      </w:r>
      <w:r>
        <w:rPr>
          <w:lang w:val="lv-LV"/>
        </w:rPr>
        <w:t>/µl.</w:t>
      </w:r>
    </w:p>
    <w:p w14:paraId="394E928A" w14:textId="77777777" w:rsidR="00784D05" w:rsidRDefault="00784D05">
      <w:pPr>
        <w:autoSpaceDE w:val="0"/>
        <w:rPr>
          <w:lang w:val="lv-LV"/>
        </w:rPr>
      </w:pPr>
    </w:p>
    <w:p w14:paraId="16589D10" w14:textId="66D1228D" w:rsidR="00784D05" w:rsidRDefault="00066C7F">
      <w:pPr>
        <w:autoSpaceDE w:val="0"/>
        <w:rPr>
          <w:lang w:val="lv-LV"/>
        </w:rPr>
      </w:pPr>
      <w:r>
        <w:rPr>
          <w:lang w:val="lv-LV"/>
        </w:rPr>
        <w:t>N</w:t>
      </w:r>
      <w:r w:rsidR="00784D05">
        <w:rPr>
          <w:lang w:val="lv-LV"/>
        </w:rPr>
        <w:t>emaskētajā pagarinājuma fāzē 3% tocilizumaba grupas pacientu trombocītu skaits samazinājās līdz vērtībai, kas mazāka par</w:t>
      </w:r>
      <w:r w:rsidR="00FE214A">
        <w:rPr>
          <w:lang w:val="lv-LV"/>
        </w:rPr>
        <w:t> </w:t>
      </w:r>
      <w:r w:rsidR="00784D05">
        <w:rPr>
          <w:lang w:val="lv-LV"/>
        </w:rPr>
        <w:t>100 </w:t>
      </w:r>
      <w:r w:rsidR="000C6C88">
        <w:rPr>
          <w:lang w:val="lv-LV"/>
        </w:rPr>
        <w:t>×</w:t>
      </w:r>
      <w:r w:rsidR="00784D05">
        <w:rPr>
          <w:lang w:val="lv-LV"/>
        </w:rPr>
        <w:t> 10</w:t>
      </w:r>
      <w:r w:rsidR="00784D05">
        <w:rPr>
          <w:vertAlign w:val="superscript"/>
          <w:lang w:val="lv-LV"/>
        </w:rPr>
        <w:t>3</w:t>
      </w:r>
      <w:r w:rsidR="00784D05">
        <w:rPr>
          <w:lang w:val="lv-LV"/>
        </w:rPr>
        <w:t>/µl, tomēr ar to saistītu asiņošanas gadījumu nebija.</w:t>
      </w:r>
    </w:p>
    <w:p w14:paraId="608E3BFD" w14:textId="77777777" w:rsidR="00784D05" w:rsidRDefault="00784D05">
      <w:pPr>
        <w:autoSpaceDE w:val="0"/>
        <w:rPr>
          <w:lang w:val="lv-LV"/>
        </w:rPr>
      </w:pPr>
    </w:p>
    <w:p w14:paraId="4BA03632" w14:textId="77777777" w:rsidR="00784D05" w:rsidRPr="00707120" w:rsidRDefault="00784D05">
      <w:pPr>
        <w:keepNext/>
        <w:autoSpaceDE w:val="0"/>
        <w:rPr>
          <w:u w:val="single"/>
          <w:lang w:val="lv-LV"/>
        </w:rPr>
      </w:pPr>
      <w:r w:rsidRPr="00707120">
        <w:rPr>
          <w:i/>
          <w:u w:val="single"/>
          <w:lang w:val="lv-LV"/>
        </w:rPr>
        <w:t>Paaugstināts aknu transamināžu līmenis</w:t>
      </w:r>
    </w:p>
    <w:p w14:paraId="5C4BFB79" w14:textId="6E1E8A6B" w:rsidR="00784D05" w:rsidRDefault="00784D05">
      <w:pPr>
        <w:autoSpaceDE w:val="0"/>
        <w:rPr>
          <w:lang w:val="lv-LV"/>
        </w:rPr>
      </w:pPr>
      <w:r>
        <w:rPr>
          <w:lang w:val="lv-LV"/>
        </w:rPr>
        <w:t>12 nedēļas ilgajā kontrolētajā fāzē standarta laboratorisko rādītāju kontroles laikā, tika konstatēts, ka attiecīgi 5% un 3% tocilizumaba grupas pacientu ALAT vai ASAT līmenis paaugstinājās līdz</w:t>
      </w:r>
      <w:r w:rsidR="000C6C88">
        <w:rPr>
          <w:lang w:val="lv-LV"/>
        </w:rPr>
        <w:t> </w:t>
      </w:r>
      <w:r w:rsidR="000C6C88" w:rsidRPr="00707120">
        <w:rPr>
          <w:szCs w:val="22"/>
          <w:lang w:val="lv-LV"/>
        </w:rPr>
        <w:t>≥</w:t>
      </w:r>
      <w:r>
        <w:rPr>
          <w:lang w:val="lv-LV"/>
        </w:rPr>
        <w:t> 3 </w:t>
      </w:r>
      <w:r w:rsidR="000C6C88">
        <w:rPr>
          <w:lang w:val="lv-LV"/>
        </w:rPr>
        <w:t>×</w:t>
      </w:r>
      <w:r>
        <w:rPr>
          <w:lang w:val="lv-LV"/>
        </w:rPr>
        <w:t> NAR, bet placebo grupā 0% pacientu.</w:t>
      </w:r>
    </w:p>
    <w:p w14:paraId="69FB2C98" w14:textId="77777777" w:rsidR="00784D05" w:rsidRDefault="00784D05">
      <w:pPr>
        <w:autoSpaceDE w:val="0"/>
        <w:rPr>
          <w:lang w:val="lv-LV"/>
        </w:rPr>
      </w:pPr>
    </w:p>
    <w:p w14:paraId="63EAA2AD" w14:textId="6777758A" w:rsidR="00784D05" w:rsidRDefault="004F76A0">
      <w:pPr>
        <w:autoSpaceDE w:val="0"/>
        <w:rPr>
          <w:lang w:val="lv-LV"/>
        </w:rPr>
      </w:pPr>
      <w:r>
        <w:rPr>
          <w:lang w:val="lv-LV"/>
        </w:rPr>
        <w:t>N</w:t>
      </w:r>
      <w:r w:rsidR="00784D05">
        <w:rPr>
          <w:lang w:val="lv-LV"/>
        </w:rPr>
        <w:t>emaskētajā pagarinājuma fāzē attiecīgi 12% un 4% tocilizumaba grupas pacientu ALAT vai ASAT līmenis paaugstinājās līdz</w:t>
      </w:r>
      <w:r w:rsidR="000C6C88">
        <w:rPr>
          <w:lang w:val="lv-LV"/>
        </w:rPr>
        <w:t> </w:t>
      </w:r>
      <w:r w:rsidR="000C6C88" w:rsidRPr="00707120">
        <w:rPr>
          <w:szCs w:val="22"/>
          <w:lang w:val="lv-LV"/>
        </w:rPr>
        <w:t>≥</w:t>
      </w:r>
      <w:r w:rsidR="00784D05">
        <w:rPr>
          <w:lang w:val="lv-LV"/>
        </w:rPr>
        <w:t> 3 </w:t>
      </w:r>
      <w:r w:rsidR="000C6C88">
        <w:rPr>
          <w:lang w:val="lv-LV"/>
        </w:rPr>
        <w:t>×</w:t>
      </w:r>
      <w:r w:rsidR="00784D05">
        <w:rPr>
          <w:lang w:val="lv-LV"/>
        </w:rPr>
        <w:t> NAR.</w:t>
      </w:r>
    </w:p>
    <w:p w14:paraId="3B6FB06C" w14:textId="77777777" w:rsidR="00784D05" w:rsidRDefault="00784D05">
      <w:pPr>
        <w:autoSpaceDE w:val="0"/>
        <w:rPr>
          <w:lang w:val="lv-LV"/>
        </w:rPr>
      </w:pPr>
    </w:p>
    <w:p w14:paraId="46CFF673" w14:textId="77777777" w:rsidR="00784D05" w:rsidRPr="00707120" w:rsidRDefault="00784D05" w:rsidP="00382C63">
      <w:pPr>
        <w:keepNext/>
        <w:keepLines/>
        <w:autoSpaceDE w:val="0"/>
        <w:rPr>
          <w:u w:val="single"/>
          <w:lang w:val="lv-LV"/>
        </w:rPr>
      </w:pPr>
      <w:r w:rsidRPr="00707120">
        <w:rPr>
          <w:i/>
          <w:u w:val="single"/>
          <w:lang w:val="lv-LV"/>
        </w:rPr>
        <w:t>Imūnglobulīns G</w:t>
      </w:r>
    </w:p>
    <w:p w14:paraId="332E841A" w14:textId="6CE51F73" w:rsidR="00784D05" w:rsidRDefault="00784D05" w:rsidP="00382C63">
      <w:pPr>
        <w:keepNext/>
        <w:keepLines/>
        <w:autoSpaceDE w:val="0"/>
        <w:rPr>
          <w:lang w:val="lv-LV"/>
        </w:rPr>
      </w:pPr>
      <w:r>
        <w:rPr>
          <w:lang w:val="lv-LV"/>
        </w:rPr>
        <w:t>Terapijas laikā IgG līmenis pazeminās. 15</w:t>
      </w:r>
      <w:r w:rsidR="000C6C88">
        <w:rPr>
          <w:lang w:val="lv-LV"/>
        </w:rPr>
        <w:t> </w:t>
      </w:r>
      <w:r>
        <w:rPr>
          <w:lang w:val="lv-LV"/>
        </w:rPr>
        <w:t>pacientiem atsevišķos pētījuma brīžos līmenis pazeminājās līdz zemākai normas robežai.</w:t>
      </w:r>
    </w:p>
    <w:p w14:paraId="1A8EA99F" w14:textId="77777777" w:rsidR="00784D05" w:rsidRDefault="00784D05" w:rsidP="00707120">
      <w:pPr>
        <w:keepLines/>
        <w:autoSpaceDE w:val="0"/>
        <w:rPr>
          <w:lang w:val="lv-LV"/>
        </w:rPr>
      </w:pPr>
    </w:p>
    <w:p w14:paraId="6E0DF9DF" w14:textId="77777777" w:rsidR="00784D05" w:rsidRPr="00707120" w:rsidRDefault="00784D05">
      <w:pPr>
        <w:keepNext/>
        <w:autoSpaceDE w:val="0"/>
        <w:rPr>
          <w:u w:val="single"/>
          <w:lang w:val="lv-LV"/>
        </w:rPr>
      </w:pPr>
      <w:r w:rsidRPr="00707120">
        <w:rPr>
          <w:i/>
          <w:u w:val="single"/>
          <w:lang w:val="lv-LV"/>
        </w:rPr>
        <w:t>Lipīdu rādītāji</w:t>
      </w:r>
    </w:p>
    <w:p w14:paraId="2937DA4C" w14:textId="2902B624" w:rsidR="00784D05" w:rsidRDefault="00784D05">
      <w:pPr>
        <w:autoSpaceDE w:val="0"/>
        <w:rPr>
          <w:lang w:val="lv-LV"/>
        </w:rPr>
      </w:pPr>
      <w:r>
        <w:rPr>
          <w:lang w:val="lv-LV"/>
        </w:rPr>
        <w:t xml:space="preserve">12 nedēļas ilgajā kontrolētajā fāzē, standarta laboratorisko rādītāju kontroles laikā </w:t>
      </w:r>
      <w:r w:rsidR="004F76A0" w:rsidRPr="00FE23EF">
        <w:rPr>
          <w:lang w:val="lv-LV"/>
        </w:rPr>
        <w:t xml:space="preserve">(pētījumā WA18221) attiecīgi 13,4% un 33,3% pacientu ZBL holesterīna vērtība jebkurā brīdī pētījuma zāļu </w:t>
      </w:r>
      <w:r w:rsidR="00FA5179">
        <w:rPr>
          <w:lang w:val="lv-LV"/>
        </w:rPr>
        <w:t>lietošanas</w:t>
      </w:r>
      <w:r w:rsidR="004F76A0" w:rsidRPr="00FE23EF">
        <w:rPr>
          <w:lang w:val="lv-LV"/>
        </w:rPr>
        <w:t xml:space="preserve"> laikā palielinājās līdz</w:t>
      </w:r>
      <w:r w:rsidR="00FE214A">
        <w:rPr>
          <w:lang w:val="lv-LV"/>
        </w:rPr>
        <w:t> </w:t>
      </w:r>
      <w:r w:rsidR="000C6C88" w:rsidRPr="00707120">
        <w:rPr>
          <w:szCs w:val="22"/>
          <w:lang w:val="lv-LV"/>
        </w:rPr>
        <w:t>≥</w:t>
      </w:r>
      <w:r w:rsidR="004F76A0" w:rsidRPr="00FE23EF">
        <w:rPr>
          <w:lang w:val="lv-LV"/>
        </w:rPr>
        <w:t> 130 mg/dl un kopējā holesterīna vērtība palielinājās līdz</w:t>
      </w:r>
      <w:r w:rsidR="000C6C88">
        <w:rPr>
          <w:lang w:val="lv-LV"/>
        </w:rPr>
        <w:t> </w:t>
      </w:r>
      <w:r w:rsidR="000C6C88" w:rsidRPr="00707120">
        <w:rPr>
          <w:szCs w:val="22"/>
          <w:lang w:val="lv-LV"/>
        </w:rPr>
        <w:t>≥</w:t>
      </w:r>
      <w:r w:rsidR="004F76A0" w:rsidRPr="00FE23EF">
        <w:rPr>
          <w:lang w:val="lv-LV"/>
        </w:rPr>
        <w:t> 200 mg/dl</w:t>
      </w:r>
      <w:r>
        <w:rPr>
          <w:lang w:val="lv-LV"/>
        </w:rPr>
        <w:t>.</w:t>
      </w:r>
    </w:p>
    <w:p w14:paraId="5EBE59DE" w14:textId="77777777" w:rsidR="00784D05" w:rsidRDefault="00784D05">
      <w:pPr>
        <w:autoSpaceDE w:val="0"/>
        <w:rPr>
          <w:lang w:val="lv-LV"/>
        </w:rPr>
      </w:pPr>
    </w:p>
    <w:p w14:paraId="478A85B2" w14:textId="68125173" w:rsidR="00784D05" w:rsidRDefault="004F76A0">
      <w:pPr>
        <w:rPr>
          <w:szCs w:val="22"/>
          <w:lang w:val="lv-LV"/>
        </w:rPr>
      </w:pPr>
      <w:r>
        <w:rPr>
          <w:lang w:val="lv-LV"/>
        </w:rPr>
        <w:t>N</w:t>
      </w:r>
      <w:r w:rsidR="00784D05">
        <w:rPr>
          <w:lang w:val="lv-LV"/>
        </w:rPr>
        <w:t xml:space="preserve">emaskētajā pagarinājuma fāzē </w:t>
      </w:r>
      <w:r w:rsidRPr="00FE23EF">
        <w:rPr>
          <w:lang w:val="lv-LV"/>
        </w:rPr>
        <w:t xml:space="preserve">(pētījumā WA18221) attiecīgi 13,2% un 27,7% pacientu ZBL holesterīna vērtība jebkurā brīdī pētījuma zāļu </w:t>
      </w:r>
      <w:r w:rsidR="00FA5179">
        <w:rPr>
          <w:lang w:val="lv-LV"/>
        </w:rPr>
        <w:t>lietošanas</w:t>
      </w:r>
      <w:r w:rsidRPr="00FE23EF">
        <w:rPr>
          <w:lang w:val="lv-LV"/>
        </w:rPr>
        <w:t xml:space="preserve"> laikā palielinājās līdz</w:t>
      </w:r>
      <w:r w:rsidR="000C6C88">
        <w:rPr>
          <w:lang w:val="lv-LV"/>
        </w:rPr>
        <w:t> </w:t>
      </w:r>
      <w:r w:rsidR="000C6C88" w:rsidRPr="00707120">
        <w:rPr>
          <w:szCs w:val="22"/>
          <w:lang w:val="lv-LV"/>
        </w:rPr>
        <w:t>≥</w:t>
      </w:r>
      <w:r w:rsidRPr="00FE23EF">
        <w:rPr>
          <w:lang w:val="lv-LV"/>
        </w:rPr>
        <w:t> 130 mg/dl un kopējā holesterīna vērtība palielinājās līdz</w:t>
      </w:r>
      <w:r w:rsidR="000C6C88">
        <w:rPr>
          <w:lang w:val="lv-LV"/>
        </w:rPr>
        <w:t> </w:t>
      </w:r>
      <w:r w:rsidR="000C6C88" w:rsidRPr="00707120">
        <w:rPr>
          <w:szCs w:val="22"/>
          <w:lang w:val="lv-LV"/>
        </w:rPr>
        <w:t>≥</w:t>
      </w:r>
      <w:r w:rsidRPr="00FE23EF">
        <w:rPr>
          <w:lang w:val="lv-LV"/>
        </w:rPr>
        <w:t> 200 mg/dl</w:t>
      </w:r>
      <w:r w:rsidR="00784D05">
        <w:rPr>
          <w:lang w:val="lv-LV"/>
        </w:rPr>
        <w:t>.</w:t>
      </w:r>
    </w:p>
    <w:p w14:paraId="2837D4A8" w14:textId="77777777" w:rsidR="00784D05" w:rsidRDefault="00784D05">
      <w:pPr>
        <w:tabs>
          <w:tab w:val="left" w:pos="567"/>
        </w:tabs>
        <w:suppressAutoHyphens w:val="0"/>
        <w:autoSpaceDE w:val="0"/>
        <w:autoSpaceDN w:val="0"/>
        <w:adjustRightInd w:val="0"/>
        <w:jc w:val="both"/>
        <w:rPr>
          <w:snapToGrid w:val="0"/>
          <w:szCs w:val="22"/>
          <w:u w:val="single"/>
          <w:lang w:val="lv-LV" w:eastAsia="zh-CN"/>
        </w:rPr>
      </w:pPr>
    </w:p>
    <w:p w14:paraId="00E60674" w14:textId="77777777" w:rsidR="00F66CA1" w:rsidRPr="00707120" w:rsidRDefault="00F66CA1" w:rsidP="005266F5">
      <w:pPr>
        <w:keepNext/>
        <w:keepLines/>
        <w:autoSpaceDE w:val="0"/>
        <w:autoSpaceDN w:val="0"/>
        <w:adjustRightInd w:val="0"/>
        <w:rPr>
          <w:i/>
          <w:iCs/>
          <w:szCs w:val="22"/>
          <w:lang w:val="lv-LV"/>
        </w:rPr>
      </w:pPr>
      <w:r w:rsidRPr="00707120">
        <w:rPr>
          <w:i/>
          <w:iCs/>
          <w:szCs w:val="22"/>
          <w:lang w:val="lv-LV"/>
        </w:rPr>
        <w:t>Pacienti ar CRS</w:t>
      </w:r>
    </w:p>
    <w:p w14:paraId="13924651" w14:textId="1BDC6609" w:rsidR="00F66CA1" w:rsidRPr="00E1075D" w:rsidRDefault="00F66CA1" w:rsidP="005266F5">
      <w:pPr>
        <w:keepNext/>
        <w:keepLines/>
        <w:autoSpaceDE w:val="0"/>
        <w:autoSpaceDN w:val="0"/>
        <w:adjustRightInd w:val="0"/>
        <w:rPr>
          <w:szCs w:val="22"/>
          <w:lang w:val="lv-LV" w:eastAsia="en-GB"/>
        </w:rPr>
      </w:pPr>
      <w:r w:rsidRPr="00385B1F">
        <w:rPr>
          <w:szCs w:val="22"/>
          <w:lang w:val="lv-LV" w:eastAsia="en-GB"/>
        </w:rPr>
        <w:t>Tocilizumaba drošums CRS gadījumā vērtēts retrospektīvā datu analīzē no klīniskajiem pētījumiem, kuros 51</w:t>
      </w:r>
      <w:r w:rsidR="000C6C88">
        <w:rPr>
          <w:szCs w:val="22"/>
          <w:lang w:val="lv-LV" w:eastAsia="en-GB"/>
        </w:rPr>
        <w:t> </w:t>
      </w:r>
      <w:r w:rsidRPr="00385B1F">
        <w:rPr>
          <w:szCs w:val="22"/>
          <w:lang w:val="lv-LV" w:eastAsia="en-GB"/>
        </w:rPr>
        <w:t>pacients bija saņēmis tocilizumabu intravenozi devā 8</w:t>
      </w:r>
      <w:r w:rsidR="005342EF" w:rsidRPr="00385B1F">
        <w:rPr>
          <w:szCs w:val="22"/>
          <w:lang w:val="lv-LV" w:eastAsia="en-GB"/>
        </w:rPr>
        <w:t> </w:t>
      </w:r>
      <w:r w:rsidRPr="00385B1F">
        <w:rPr>
          <w:szCs w:val="22"/>
          <w:lang w:val="lv-LV" w:eastAsia="en-GB"/>
        </w:rPr>
        <w:t>mg/kg (12</w:t>
      </w:r>
      <w:r w:rsidR="005342EF" w:rsidRPr="00385B1F">
        <w:rPr>
          <w:szCs w:val="22"/>
          <w:lang w:val="lv-LV" w:eastAsia="en-GB"/>
        </w:rPr>
        <w:t> </w:t>
      </w:r>
      <w:r w:rsidRPr="00385B1F">
        <w:rPr>
          <w:szCs w:val="22"/>
          <w:lang w:val="lv-LV" w:eastAsia="en-GB"/>
        </w:rPr>
        <w:t>mg/kg pacientiem, kuru ķermeņa masa bija mazāka par 30</w:t>
      </w:r>
      <w:r w:rsidR="005342EF" w:rsidRPr="00385B1F">
        <w:rPr>
          <w:szCs w:val="22"/>
          <w:lang w:val="lv-LV" w:eastAsia="en-GB"/>
        </w:rPr>
        <w:t> </w:t>
      </w:r>
      <w:r w:rsidRPr="00385B1F">
        <w:rPr>
          <w:szCs w:val="22"/>
          <w:lang w:val="lv-LV" w:eastAsia="en-GB"/>
        </w:rPr>
        <w:t>kg) kopā ar papildus lietotiem kortikosteroīdiem lielā devā vai bez tiem smaga vai dzīvībai bīstama CAR</w:t>
      </w:r>
      <w:r w:rsidR="000C6C88">
        <w:rPr>
          <w:szCs w:val="22"/>
          <w:lang w:val="lv-LV" w:eastAsia="en-GB"/>
        </w:rPr>
        <w:t> </w:t>
      </w:r>
      <w:r w:rsidRPr="00385B1F">
        <w:rPr>
          <w:szCs w:val="22"/>
          <w:lang w:val="lv-LV" w:eastAsia="en-GB"/>
        </w:rPr>
        <w:t>T</w:t>
      </w:r>
      <w:r w:rsidR="000C6C88">
        <w:rPr>
          <w:szCs w:val="22"/>
          <w:lang w:val="lv-LV" w:eastAsia="en-GB"/>
        </w:rPr>
        <w:t> </w:t>
      </w:r>
      <w:r w:rsidRPr="00385B1F">
        <w:rPr>
          <w:szCs w:val="22"/>
          <w:lang w:val="lv-LV" w:eastAsia="en-GB"/>
        </w:rPr>
        <w:t xml:space="preserve">limfocītu inducēta CRS ārstēšanai. </w:t>
      </w:r>
      <w:r w:rsidRPr="00E1075D">
        <w:rPr>
          <w:szCs w:val="22"/>
          <w:lang w:val="lv-LV" w:eastAsia="en-GB"/>
        </w:rPr>
        <w:t>Lietoto tocilizumaba devu skaita mediāna bija 1</w:t>
      </w:r>
      <w:r w:rsidR="000C6C88">
        <w:rPr>
          <w:szCs w:val="22"/>
          <w:lang w:val="lv-LV" w:eastAsia="en-GB"/>
        </w:rPr>
        <w:t> </w:t>
      </w:r>
      <w:r w:rsidRPr="00E1075D">
        <w:rPr>
          <w:szCs w:val="22"/>
          <w:lang w:val="lv-LV" w:eastAsia="en-GB"/>
        </w:rPr>
        <w:t>deva (diapazons</w:t>
      </w:r>
      <w:r w:rsidR="000C6C88">
        <w:rPr>
          <w:szCs w:val="22"/>
          <w:lang w:val="lv-LV" w:eastAsia="en-GB"/>
        </w:rPr>
        <w:t>:</w:t>
      </w:r>
      <w:r w:rsidRPr="00E1075D">
        <w:rPr>
          <w:szCs w:val="22"/>
          <w:lang w:val="lv-LV" w:eastAsia="en-GB"/>
        </w:rPr>
        <w:t xml:space="preserve"> no 1</w:t>
      </w:r>
      <w:r w:rsidR="000C6C88">
        <w:rPr>
          <w:szCs w:val="22"/>
          <w:lang w:val="lv-LV" w:eastAsia="en-GB"/>
        </w:rPr>
        <w:t> </w:t>
      </w:r>
      <w:r w:rsidRPr="00E1075D">
        <w:rPr>
          <w:szCs w:val="22"/>
          <w:lang w:val="lv-LV" w:eastAsia="en-GB"/>
        </w:rPr>
        <w:t xml:space="preserve">līdz 4 devām). </w:t>
      </w:r>
    </w:p>
    <w:p w14:paraId="6DA0516A" w14:textId="77777777" w:rsidR="00F66CA1" w:rsidRDefault="00F66CA1" w:rsidP="00707120">
      <w:pPr>
        <w:keepLines/>
        <w:tabs>
          <w:tab w:val="left" w:pos="567"/>
        </w:tabs>
        <w:suppressAutoHyphens w:val="0"/>
        <w:autoSpaceDE w:val="0"/>
        <w:autoSpaceDN w:val="0"/>
        <w:adjustRightInd w:val="0"/>
        <w:jc w:val="both"/>
        <w:rPr>
          <w:snapToGrid w:val="0"/>
          <w:szCs w:val="22"/>
          <w:u w:val="single"/>
          <w:lang w:val="lv-LV" w:eastAsia="zh-CN"/>
        </w:rPr>
      </w:pPr>
    </w:p>
    <w:p w14:paraId="3A60397F" w14:textId="77777777" w:rsidR="00784D05" w:rsidRDefault="00784D05">
      <w:pPr>
        <w:keepNext/>
        <w:keepLines/>
        <w:tabs>
          <w:tab w:val="left" w:pos="567"/>
        </w:tabs>
        <w:suppressAutoHyphens w:val="0"/>
        <w:autoSpaceDE w:val="0"/>
        <w:autoSpaceDN w:val="0"/>
        <w:adjustRightInd w:val="0"/>
        <w:jc w:val="both"/>
        <w:rPr>
          <w:snapToGrid w:val="0"/>
          <w:szCs w:val="22"/>
          <w:u w:val="single"/>
          <w:lang w:val="lv-LV" w:eastAsia="zh-CN"/>
        </w:rPr>
      </w:pPr>
      <w:r>
        <w:rPr>
          <w:snapToGrid w:val="0"/>
          <w:szCs w:val="22"/>
          <w:u w:val="single"/>
          <w:lang w:val="lv-LV" w:eastAsia="zh-CN"/>
        </w:rPr>
        <w:t>Ziņošana par iespējamām nevēlamām blakusparādībām</w:t>
      </w:r>
    </w:p>
    <w:p w14:paraId="188A8140" w14:textId="7143253C" w:rsidR="00784D05" w:rsidRDefault="00784D05">
      <w:pPr>
        <w:keepNext/>
        <w:keepLines/>
        <w:rPr>
          <w:snapToGrid w:val="0"/>
          <w:szCs w:val="22"/>
          <w:lang w:val="lv-LV" w:eastAsia="zh-CN"/>
        </w:rPr>
      </w:pPr>
      <w:r>
        <w:rPr>
          <w:snapToGrid w:val="0"/>
          <w:szCs w:val="22"/>
          <w:lang w:val="lv-LV" w:eastAsia="zh-CN"/>
        </w:rPr>
        <w:t>Ir svarīgi ziņot par iespējamām nevēlamām blakusparādībām pēc zāļu reģistrācijas. Tādējādi zāļu ieguvum</w:t>
      </w:r>
      <w:r w:rsidR="00C53AA6">
        <w:rPr>
          <w:snapToGrid w:val="0"/>
          <w:szCs w:val="22"/>
          <w:lang w:val="lv-LV" w:eastAsia="zh-CN"/>
        </w:rPr>
        <w:t>a</w:t>
      </w:r>
      <w:r>
        <w:rPr>
          <w:snapToGrid w:val="0"/>
          <w:szCs w:val="22"/>
          <w:lang w:val="lv-LV" w:eastAsia="zh-CN"/>
        </w:rPr>
        <w:t xml:space="preserve">/riska attiecība tiek nepārtraukti uzraudzīta. Veselības aprūpes speciālisti tiek lūgti ziņot par jebkādām iespējamām nevēlamām blakusparādībām, izmantojot </w:t>
      </w:r>
      <w:r w:rsidR="007E17F8">
        <w:fldChar w:fldCharType="begin"/>
      </w:r>
      <w:r w:rsidR="007E17F8" w:rsidRPr="00DD58C9">
        <w:rPr>
          <w:lang w:val="lv-LV"/>
          <w:rPrChange w:id="103" w:author="Author">
            <w:rPr/>
          </w:rPrChange>
        </w:rPr>
        <w:instrText xml:space="preserve"> HYPERLINK "https://www.ema.europa.eu/documents/template-form/qrd-appendix-v-adverse-drug-reaction-reporting-details_en.docx" </w:instrText>
      </w:r>
      <w:r w:rsidR="007E17F8">
        <w:fldChar w:fldCharType="separate"/>
      </w:r>
      <w:r>
        <w:rPr>
          <w:snapToGrid w:val="0"/>
          <w:color w:val="0000FF"/>
          <w:highlight w:val="lightGray"/>
          <w:u w:val="single"/>
          <w:lang w:val="lv-LV" w:eastAsia="zh-CN"/>
        </w:rPr>
        <w:t>V pielikumā</w:t>
      </w:r>
      <w:r w:rsidR="007E17F8">
        <w:rPr>
          <w:snapToGrid w:val="0"/>
          <w:color w:val="0000FF"/>
          <w:highlight w:val="lightGray"/>
          <w:u w:val="single"/>
          <w:lang w:val="lv-LV" w:eastAsia="zh-CN"/>
        </w:rPr>
        <w:fldChar w:fldCharType="end"/>
      </w:r>
      <w:r>
        <w:rPr>
          <w:snapToGrid w:val="0"/>
          <w:szCs w:val="22"/>
          <w:highlight w:val="lightGray"/>
          <w:lang w:val="lv-LV" w:eastAsia="zh-CN"/>
        </w:rPr>
        <w:t xml:space="preserve"> minēto nacionālās ziņošanas sistēmas kontaktinformāciju</w:t>
      </w:r>
      <w:r>
        <w:rPr>
          <w:snapToGrid w:val="0"/>
          <w:szCs w:val="22"/>
          <w:lang w:val="lv-LV" w:eastAsia="zh-CN"/>
        </w:rPr>
        <w:t>.</w:t>
      </w:r>
    </w:p>
    <w:p w14:paraId="148D2C00" w14:textId="77777777" w:rsidR="00784D05" w:rsidRDefault="00784D05">
      <w:pPr>
        <w:rPr>
          <w:szCs w:val="22"/>
          <w:lang w:val="lv-LV"/>
        </w:rPr>
      </w:pPr>
    </w:p>
    <w:p w14:paraId="06DDB4E0" w14:textId="77777777" w:rsidR="00784D05" w:rsidRDefault="00784D05">
      <w:pPr>
        <w:keepNext/>
        <w:rPr>
          <w:szCs w:val="22"/>
          <w:lang w:val="lv-LV"/>
        </w:rPr>
        <w:pPrChange w:id="104" w:author="Author">
          <w:pPr/>
        </w:pPrChange>
      </w:pPr>
      <w:r>
        <w:rPr>
          <w:b/>
          <w:szCs w:val="22"/>
          <w:lang w:val="lv-LV"/>
        </w:rPr>
        <w:t>4.9.</w:t>
      </w:r>
      <w:r>
        <w:rPr>
          <w:b/>
          <w:szCs w:val="22"/>
          <w:lang w:val="lv-LV"/>
        </w:rPr>
        <w:tab/>
        <w:t>Pārdozēšana</w:t>
      </w:r>
    </w:p>
    <w:p w14:paraId="0270A3AF" w14:textId="77777777" w:rsidR="00784D05" w:rsidRDefault="00784D05">
      <w:pPr>
        <w:keepNext/>
        <w:rPr>
          <w:szCs w:val="22"/>
          <w:lang w:val="lv-LV"/>
        </w:rPr>
        <w:pPrChange w:id="105" w:author="Author">
          <w:pPr/>
        </w:pPrChange>
      </w:pPr>
    </w:p>
    <w:p w14:paraId="36442DCB" w14:textId="37F850F4" w:rsidR="00784D05" w:rsidRDefault="00784D05">
      <w:pPr>
        <w:rPr>
          <w:szCs w:val="22"/>
          <w:lang w:val="lv-LV"/>
        </w:rPr>
      </w:pPr>
      <w:r>
        <w:rPr>
          <w:szCs w:val="22"/>
          <w:lang w:val="lv-LV"/>
        </w:rPr>
        <w:t xml:space="preserve">Dati par </w:t>
      </w:r>
      <w:r w:rsidR="000C6C88">
        <w:rPr>
          <w:szCs w:val="22"/>
          <w:lang w:val="lv-LV"/>
        </w:rPr>
        <w:t xml:space="preserve">tocilizumaba </w:t>
      </w:r>
      <w:r>
        <w:rPr>
          <w:szCs w:val="22"/>
          <w:lang w:val="lv-LV"/>
        </w:rPr>
        <w:t xml:space="preserve">pārdozēšanu ir ierobežoti. Ziņots par vienu nejaušas pārdozēšanas gadījumu, kad pacients ar multiplo mielomu saņēma vienu 40 mg/kg devu. Blakusparādības nenovēroja. </w:t>
      </w:r>
    </w:p>
    <w:p w14:paraId="709D8795" w14:textId="77777777" w:rsidR="00784D05" w:rsidRDefault="00784D05">
      <w:pPr>
        <w:rPr>
          <w:szCs w:val="22"/>
          <w:lang w:val="lv-LV"/>
        </w:rPr>
      </w:pPr>
    </w:p>
    <w:p w14:paraId="666750DE" w14:textId="77777777" w:rsidR="00784D05" w:rsidRDefault="00784D05">
      <w:pPr>
        <w:rPr>
          <w:szCs w:val="22"/>
          <w:lang w:val="lv-LV"/>
        </w:rPr>
      </w:pPr>
      <w:r>
        <w:rPr>
          <w:szCs w:val="22"/>
          <w:lang w:val="lv-LV"/>
        </w:rPr>
        <w:t>Nopietnas blakusparādības nenovēroja arī veseliem brīvprātīgajiem, kuri saņēma vienreizēju devu līdz 28 mg/kg, lai gan novēroja devu ierobežojošu neitropēniju.</w:t>
      </w:r>
    </w:p>
    <w:p w14:paraId="6E00E07D" w14:textId="77777777" w:rsidR="00784D05" w:rsidRDefault="00784D05">
      <w:pPr>
        <w:rPr>
          <w:szCs w:val="22"/>
          <w:lang w:val="lv-LV"/>
        </w:rPr>
      </w:pPr>
    </w:p>
    <w:p w14:paraId="32B10F8D" w14:textId="77777777" w:rsidR="00784D05" w:rsidRDefault="00784D05">
      <w:pPr>
        <w:rPr>
          <w:szCs w:val="22"/>
          <w:lang w:val="lv-LV"/>
        </w:rPr>
      </w:pPr>
    </w:p>
    <w:p w14:paraId="4DAE5CAE" w14:textId="77777777" w:rsidR="00784D05" w:rsidRDefault="00784D05">
      <w:pPr>
        <w:keepNext/>
        <w:ind w:left="567" w:hanging="567"/>
        <w:rPr>
          <w:szCs w:val="22"/>
          <w:lang w:val="lv-LV"/>
        </w:rPr>
      </w:pPr>
      <w:r>
        <w:rPr>
          <w:b/>
          <w:szCs w:val="22"/>
          <w:lang w:val="lv-LV"/>
        </w:rPr>
        <w:t>5.</w:t>
      </w:r>
      <w:r>
        <w:rPr>
          <w:b/>
          <w:szCs w:val="22"/>
          <w:lang w:val="lv-LV"/>
        </w:rPr>
        <w:tab/>
        <w:t>FARMAKOLOĢISKĀS ĪPAŠĪBAS</w:t>
      </w:r>
    </w:p>
    <w:p w14:paraId="35264B7D" w14:textId="77777777" w:rsidR="00784D05" w:rsidRDefault="00784D05" w:rsidP="00065CD4">
      <w:pPr>
        <w:keepNext/>
        <w:rPr>
          <w:szCs w:val="22"/>
          <w:lang w:val="lv-LV"/>
        </w:rPr>
      </w:pPr>
    </w:p>
    <w:p w14:paraId="192AD0CE" w14:textId="77777777" w:rsidR="00784D05" w:rsidRDefault="00784D05" w:rsidP="00065CD4">
      <w:pPr>
        <w:keepNext/>
        <w:rPr>
          <w:szCs w:val="22"/>
          <w:lang w:val="lv-LV"/>
        </w:rPr>
      </w:pPr>
      <w:r>
        <w:rPr>
          <w:b/>
          <w:szCs w:val="22"/>
          <w:lang w:val="lv-LV"/>
        </w:rPr>
        <w:t xml:space="preserve">5.1. </w:t>
      </w:r>
      <w:r>
        <w:rPr>
          <w:b/>
          <w:szCs w:val="22"/>
          <w:lang w:val="lv-LV"/>
        </w:rPr>
        <w:tab/>
        <w:t>Farmakodinamiskās īpašības</w:t>
      </w:r>
    </w:p>
    <w:p w14:paraId="1A9932E0" w14:textId="77777777" w:rsidR="00784D05" w:rsidRDefault="00784D05" w:rsidP="00065CD4">
      <w:pPr>
        <w:keepNext/>
        <w:rPr>
          <w:szCs w:val="22"/>
          <w:lang w:val="lv-LV"/>
        </w:rPr>
      </w:pPr>
    </w:p>
    <w:p w14:paraId="02416C28" w14:textId="77777777" w:rsidR="00784D05" w:rsidRDefault="00784D05">
      <w:pPr>
        <w:rPr>
          <w:szCs w:val="22"/>
          <w:lang w:val="lv-LV"/>
        </w:rPr>
      </w:pPr>
      <w:r>
        <w:rPr>
          <w:szCs w:val="22"/>
          <w:lang w:val="lv-LV"/>
        </w:rPr>
        <w:t>Farmakoterapeitiskā grupa: imūnsupresanti, interleikīna inhibitori: ATĶ kods: L04AC07.</w:t>
      </w:r>
    </w:p>
    <w:p w14:paraId="22DEF786" w14:textId="77777777" w:rsidR="00784D05" w:rsidRDefault="00784D05">
      <w:pPr>
        <w:rPr>
          <w:szCs w:val="22"/>
          <w:lang w:val="lv-LV"/>
        </w:rPr>
      </w:pPr>
    </w:p>
    <w:p w14:paraId="5ECAA3FA" w14:textId="77777777" w:rsidR="00784D05" w:rsidRDefault="00784D05">
      <w:pPr>
        <w:keepNext/>
        <w:rPr>
          <w:szCs w:val="22"/>
          <w:lang w:val="lv-LV"/>
        </w:rPr>
      </w:pPr>
      <w:r>
        <w:rPr>
          <w:u w:val="single"/>
          <w:lang w:val="lv-LV"/>
        </w:rPr>
        <w:t>Darbības mehānisms</w:t>
      </w:r>
    </w:p>
    <w:p w14:paraId="1F018590" w14:textId="1DB36BA4" w:rsidR="00784D05" w:rsidRDefault="00784D05">
      <w:pPr>
        <w:rPr>
          <w:szCs w:val="22"/>
          <w:lang w:val="lv-LV"/>
        </w:rPr>
      </w:pPr>
      <w:r>
        <w:rPr>
          <w:szCs w:val="22"/>
          <w:lang w:val="lv-LV"/>
        </w:rPr>
        <w:t>Tocilizumabs specifiski saistās gan ar šķīstošiem, gan pie membrānas fiksētiem IL</w:t>
      </w:r>
      <w:r w:rsidR="00B47B7D">
        <w:rPr>
          <w:szCs w:val="22"/>
          <w:lang w:val="lv-LV"/>
        </w:rPr>
        <w:noBreakHyphen/>
      </w:r>
      <w:r>
        <w:rPr>
          <w:szCs w:val="22"/>
          <w:lang w:val="lv-LV"/>
        </w:rPr>
        <w:t>6 receptoriem (sIL</w:t>
      </w:r>
      <w:r w:rsidR="00B47B7D">
        <w:rPr>
          <w:szCs w:val="22"/>
          <w:lang w:val="lv-LV"/>
        </w:rPr>
        <w:noBreakHyphen/>
      </w:r>
      <w:r>
        <w:rPr>
          <w:szCs w:val="22"/>
          <w:lang w:val="lv-LV"/>
        </w:rPr>
        <w:t>6R un mIL</w:t>
      </w:r>
      <w:r w:rsidR="00B47B7D">
        <w:rPr>
          <w:szCs w:val="22"/>
          <w:lang w:val="lv-LV"/>
        </w:rPr>
        <w:noBreakHyphen/>
      </w:r>
      <w:r>
        <w:rPr>
          <w:szCs w:val="22"/>
          <w:lang w:val="lv-LV"/>
        </w:rPr>
        <w:t>6R). Pierādīts, ka tocilizumabs nomāc sIL</w:t>
      </w:r>
      <w:r w:rsidR="00B47B7D">
        <w:rPr>
          <w:szCs w:val="22"/>
          <w:lang w:val="lv-LV"/>
        </w:rPr>
        <w:noBreakHyphen/>
      </w:r>
      <w:r>
        <w:rPr>
          <w:szCs w:val="22"/>
          <w:lang w:val="lv-LV"/>
        </w:rPr>
        <w:t>6R un mIL</w:t>
      </w:r>
      <w:r w:rsidR="00B47B7D">
        <w:rPr>
          <w:szCs w:val="22"/>
          <w:lang w:val="lv-LV"/>
        </w:rPr>
        <w:noBreakHyphen/>
      </w:r>
      <w:r>
        <w:rPr>
          <w:szCs w:val="22"/>
          <w:lang w:val="lv-LV"/>
        </w:rPr>
        <w:t>6R mediētu signālu pārvadi. IL</w:t>
      </w:r>
      <w:r w:rsidR="00FD15F5">
        <w:rPr>
          <w:szCs w:val="22"/>
          <w:lang w:val="lv-LV"/>
        </w:rPr>
        <w:noBreakHyphen/>
      </w:r>
      <w:r>
        <w:rPr>
          <w:szCs w:val="22"/>
          <w:lang w:val="lv-LV"/>
        </w:rPr>
        <w:t xml:space="preserve">6 ir pleiotropisks </w:t>
      </w:r>
      <w:r w:rsidRPr="00270A92">
        <w:rPr>
          <w:szCs w:val="22"/>
          <w:lang w:val="lv-LV"/>
        </w:rPr>
        <w:t>iekaisumu veicinošs citokīns, ko sintezē dažāda veida šūnas, to vidū T un B</w:t>
      </w:r>
      <w:r w:rsidR="00C61FD9">
        <w:rPr>
          <w:szCs w:val="22"/>
          <w:lang w:val="lv-LV"/>
        </w:rPr>
        <w:t> </w:t>
      </w:r>
      <w:r w:rsidRPr="00270A92">
        <w:rPr>
          <w:szCs w:val="22"/>
          <w:lang w:val="lv-LV"/>
        </w:rPr>
        <w:t>šūnas, monocīti un fibroblasti. IL-6 ir iesaistīts dažādos fizioloģiskos procesos, piemēram, T</w:t>
      </w:r>
      <w:ins w:id="106" w:author="Author">
        <w:r w:rsidR="00BC367E">
          <w:rPr>
            <w:szCs w:val="22"/>
            <w:lang w:val="lv-LV"/>
          </w:rPr>
          <w:t> </w:t>
        </w:r>
      </w:ins>
      <w:del w:id="107" w:author="Author">
        <w:r w:rsidRPr="00270A92" w:rsidDel="00BC367E">
          <w:rPr>
            <w:szCs w:val="22"/>
            <w:lang w:val="lv-LV"/>
          </w:rPr>
          <w:delText xml:space="preserve"> </w:delText>
        </w:r>
      </w:del>
      <w:r w:rsidRPr="00270A92">
        <w:rPr>
          <w:szCs w:val="22"/>
          <w:lang w:val="lv-LV"/>
        </w:rPr>
        <w:t>šūnu aktivizēšanā,</w:t>
      </w:r>
      <w:r>
        <w:rPr>
          <w:szCs w:val="22"/>
          <w:lang w:val="lv-LV"/>
        </w:rPr>
        <w:t xml:space="preserve"> imunoglobulīnu sekrēcijas indukcijā, aknu akūtās fāzes proteīnu sintēzes indukcijā un asinsrades stimulēšanā. IL</w:t>
      </w:r>
      <w:r w:rsidR="00B47B7D">
        <w:rPr>
          <w:szCs w:val="22"/>
          <w:lang w:val="lv-LV"/>
        </w:rPr>
        <w:noBreakHyphen/>
      </w:r>
      <w:r>
        <w:rPr>
          <w:szCs w:val="22"/>
          <w:lang w:val="lv-LV"/>
        </w:rPr>
        <w:t xml:space="preserve">6 ir iesaistīts slimību, tajā skaitā iekaisuma slimību, osteoporozes un jaunveidojumu patoģenēzē. </w:t>
      </w:r>
    </w:p>
    <w:p w14:paraId="186DB3B1" w14:textId="77777777" w:rsidR="00784D05" w:rsidRDefault="00784D05">
      <w:pPr>
        <w:rPr>
          <w:szCs w:val="22"/>
          <w:lang w:val="lv-LV"/>
        </w:rPr>
      </w:pPr>
    </w:p>
    <w:p w14:paraId="0323243A" w14:textId="77777777" w:rsidR="00784D05" w:rsidRDefault="00784D05" w:rsidP="00382C63">
      <w:pPr>
        <w:keepNext/>
        <w:keepLines/>
        <w:autoSpaceDE w:val="0"/>
        <w:jc w:val="both"/>
        <w:rPr>
          <w:rFonts w:eastAsia="PMingLiU"/>
          <w:szCs w:val="22"/>
          <w:lang w:val="lv-LV"/>
        </w:rPr>
      </w:pPr>
      <w:r>
        <w:rPr>
          <w:szCs w:val="22"/>
          <w:u w:val="single"/>
          <w:lang w:val="lv-LV"/>
        </w:rPr>
        <w:t>Farmakodinamiskā iedarbība</w:t>
      </w:r>
    </w:p>
    <w:p w14:paraId="76318056" w14:textId="1BD137E2" w:rsidR="00784D05" w:rsidRDefault="00784D05" w:rsidP="00382C63">
      <w:pPr>
        <w:keepNext/>
        <w:keepLines/>
        <w:rPr>
          <w:szCs w:val="22"/>
          <w:lang w:val="lv-LV"/>
        </w:rPr>
      </w:pPr>
      <w:r>
        <w:rPr>
          <w:rFonts w:eastAsia="PMingLiU"/>
          <w:szCs w:val="22"/>
          <w:lang w:val="lv-LV"/>
        </w:rPr>
        <w:t>Klīniskos pētījumos</w:t>
      </w:r>
      <w:r w:rsidR="008364C5">
        <w:rPr>
          <w:rFonts w:eastAsia="PMingLiU"/>
          <w:szCs w:val="22"/>
          <w:lang w:val="lv-LV"/>
        </w:rPr>
        <w:t xml:space="preserve">, kuros RA </w:t>
      </w:r>
      <w:r w:rsidR="0044037B">
        <w:rPr>
          <w:rFonts w:eastAsia="PMingLiU"/>
          <w:szCs w:val="22"/>
          <w:lang w:val="lv-LV"/>
        </w:rPr>
        <w:t>pacienti</w:t>
      </w:r>
      <w:r w:rsidR="008364C5">
        <w:rPr>
          <w:rFonts w:eastAsia="PMingLiU"/>
          <w:szCs w:val="22"/>
          <w:lang w:val="lv-LV"/>
        </w:rPr>
        <w:t xml:space="preserve"> tika ārstēti</w:t>
      </w:r>
      <w:r>
        <w:rPr>
          <w:rFonts w:eastAsia="PMingLiU"/>
          <w:szCs w:val="22"/>
          <w:lang w:val="lv-LV"/>
        </w:rPr>
        <w:t xml:space="preserve"> ar </w:t>
      </w:r>
      <w:r>
        <w:rPr>
          <w:szCs w:val="22"/>
          <w:lang w:val="lv-LV"/>
        </w:rPr>
        <w:t>tocilizumabu</w:t>
      </w:r>
      <w:r w:rsidR="008364C5">
        <w:rPr>
          <w:szCs w:val="22"/>
          <w:lang w:val="lv-LV"/>
        </w:rPr>
        <w:t>,</w:t>
      </w:r>
      <w:r w:rsidR="00727752">
        <w:rPr>
          <w:szCs w:val="22"/>
          <w:lang w:val="lv-LV"/>
        </w:rPr>
        <w:t xml:space="preserve"> tika</w:t>
      </w:r>
      <w:r>
        <w:rPr>
          <w:szCs w:val="22"/>
          <w:lang w:val="lv-LV"/>
        </w:rPr>
        <w:t xml:space="preserve"> novērota ātra CRO, eritrocītu grimšanas ātruma (EGĀ)</w:t>
      </w:r>
      <w:r w:rsidR="00D5572F">
        <w:rPr>
          <w:szCs w:val="22"/>
          <w:lang w:val="lv-LV"/>
        </w:rPr>
        <w:t>,</w:t>
      </w:r>
      <w:r>
        <w:rPr>
          <w:szCs w:val="22"/>
          <w:lang w:val="lv-LV"/>
        </w:rPr>
        <w:t xml:space="preserve"> A</w:t>
      </w:r>
      <w:r w:rsidR="00FD15F5">
        <w:rPr>
          <w:szCs w:val="22"/>
          <w:lang w:val="lv-LV"/>
        </w:rPr>
        <w:t> </w:t>
      </w:r>
      <w:r>
        <w:rPr>
          <w:szCs w:val="22"/>
          <w:lang w:val="lv-LV"/>
        </w:rPr>
        <w:t xml:space="preserve">amiloīda līmeņa serumā (AAS) </w:t>
      </w:r>
      <w:r w:rsidR="00D5572F">
        <w:rPr>
          <w:szCs w:val="22"/>
          <w:lang w:val="lv-LV"/>
        </w:rPr>
        <w:t xml:space="preserve">un fibrinogēna </w:t>
      </w:r>
      <w:r>
        <w:rPr>
          <w:szCs w:val="22"/>
          <w:lang w:val="lv-LV"/>
        </w:rPr>
        <w:t>samazināšanās. Ņemot vērā ietekmi uz akūtās fāzes reaģentiem, ārstēšana ar tocilizumabu bija saistīta ar trombocītu skaita samazināšanos normālā diapazona ietvaros. Tika novērota hemoglobīna līmeņa paaugstināšanās, ko tocilizumabs izraisa, samazinot IL</w:t>
      </w:r>
      <w:r w:rsidR="00B47B7D">
        <w:rPr>
          <w:szCs w:val="22"/>
          <w:lang w:val="lv-LV"/>
        </w:rPr>
        <w:noBreakHyphen/>
      </w:r>
      <w:r>
        <w:rPr>
          <w:szCs w:val="22"/>
          <w:lang w:val="lv-LV"/>
        </w:rPr>
        <w:t xml:space="preserve">6 mediēto ietekmi uz hepcidīna sintēzi, lai palielinātu dzelzs pieejamību. </w:t>
      </w:r>
      <w:r w:rsidR="00FD15F5">
        <w:rPr>
          <w:szCs w:val="22"/>
          <w:lang w:val="lv-LV"/>
        </w:rPr>
        <w:t>Ā</w:t>
      </w:r>
      <w:r>
        <w:rPr>
          <w:szCs w:val="22"/>
          <w:lang w:val="lv-LV"/>
        </w:rPr>
        <w:t>rstētiem pacientiem CRO līmeņa samazināšanos normālā diapazona robežās novēroja jau 2.</w:t>
      </w:r>
      <w:r w:rsidR="00B47B7D">
        <w:rPr>
          <w:szCs w:val="22"/>
          <w:lang w:val="lv-LV"/>
        </w:rPr>
        <w:t> </w:t>
      </w:r>
      <w:r>
        <w:rPr>
          <w:szCs w:val="22"/>
          <w:lang w:val="lv-LV"/>
        </w:rPr>
        <w:t>nedēļā un šāda samazināšanās saglabājās, kamēr tika turpināta ārstēšana.</w:t>
      </w:r>
    </w:p>
    <w:p w14:paraId="64155715" w14:textId="77777777" w:rsidR="00784D05" w:rsidRDefault="00784D05">
      <w:pPr>
        <w:rPr>
          <w:szCs w:val="22"/>
          <w:lang w:val="lv-LV"/>
        </w:rPr>
      </w:pPr>
    </w:p>
    <w:p w14:paraId="21BAAA81" w14:textId="23B97237" w:rsidR="00784D05" w:rsidRDefault="00784D05">
      <w:pPr>
        <w:rPr>
          <w:szCs w:val="22"/>
          <w:lang w:val="lv-LV"/>
        </w:rPr>
      </w:pPr>
      <w:r>
        <w:rPr>
          <w:szCs w:val="22"/>
          <w:lang w:val="lv-LV"/>
        </w:rPr>
        <w:t>2</w:t>
      </w:r>
      <w:del w:id="108" w:author="Author">
        <w:r w:rsidDel="0074366F">
          <w:rPr>
            <w:szCs w:val="22"/>
            <w:lang w:val="lv-LV"/>
          </w:rPr>
          <w:delText xml:space="preserve"> - </w:delText>
        </w:r>
      </w:del>
      <w:ins w:id="109" w:author="Author">
        <w:r w:rsidR="0074366F">
          <w:rPr>
            <w:szCs w:val="22"/>
            <w:lang w:val="lv-LV"/>
          </w:rPr>
          <w:t>–</w:t>
        </w:r>
      </w:ins>
      <w:r>
        <w:rPr>
          <w:szCs w:val="22"/>
          <w:lang w:val="lv-LV"/>
        </w:rPr>
        <w:t>28 mg/kg lielas tocilizumaba devas ievadot veseliem brīvprātīgajiem, absolūtais neitrofilo leikocītu skaits līdz mazākajai vērtībai samazinājās 3</w:t>
      </w:r>
      <w:del w:id="110" w:author="Author">
        <w:r w:rsidR="00B47B7D" w:rsidDel="0074366F">
          <w:rPr>
            <w:szCs w:val="22"/>
            <w:lang w:val="lv-LV"/>
          </w:rPr>
          <w:noBreakHyphen/>
        </w:r>
      </w:del>
      <w:ins w:id="111" w:author="Author">
        <w:r w:rsidR="0074366F">
          <w:rPr>
            <w:szCs w:val="22"/>
            <w:lang w:val="lv-LV"/>
          </w:rPr>
          <w:t>–</w:t>
        </w:r>
      </w:ins>
      <w:r>
        <w:rPr>
          <w:szCs w:val="22"/>
          <w:lang w:val="lv-LV"/>
        </w:rPr>
        <w:t>5 dienas pēc ievadīšanas. Vēlāk neitrofilo leikocītu skaits atjaunojās sākotnējā stāvoklī (atjaunošanās ātrums bija atkarīgs no zāļu devas lieluma). Pacientiem ar reimatoīdo artrītu absolūtais neitrofilo leikocītu skaits pēc tocilizumaba ievadīšanas bija līdzīgs (skatīt 4.8. apakšpunktu).</w:t>
      </w:r>
    </w:p>
    <w:p w14:paraId="153A6E66" w14:textId="77777777" w:rsidR="0046093A" w:rsidRDefault="0046093A">
      <w:pPr>
        <w:rPr>
          <w:szCs w:val="22"/>
          <w:lang w:val="lv-LV"/>
        </w:rPr>
      </w:pPr>
    </w:p>
    <w:p w14:paraId="75C6F095" w14:textId="7CCD748C" w:rsidR="00727752" w:rsidRDefault="00727752">
      <w:pPr>
        <w:rPr>
          <w:szCs w:val="22"/>
          <w:lang w:val="lv-LV"/>
        </w:rPr>
      </w:pPr>
      <w:r w:rsidRPr="00727752">
        <w:rPr>
          <w:lang w:val="lv-LV"/>
        </w:rPr>
        <w:t>COVID</w:t>
      </w:r>
      <w:r w:rsidR="00B47B7D">
        <w:rPr>
          <w:lang w:val="lv-LV"/>
        </w:rPr>
        <w:noBreakHyphen/>
      </w:r>
      <w:r w:rsidRPr="00727752">
        <w:rPr>
          <w:lang w:val="lv-LV"/>
        </w:rPr>
        <w:t xml:space="preserve">19 </w:t>
      </w:r>
      <w:r w:rsidR="0044037B">
        <w:rPr>
          <w:lang w:val="lv-LV"/>
        </w:rPr>
        <w:t>pacientiem</w:t>
      </w:r>
      <w:r w:rsidRPr="00727752">
        <w:rPr>
          <w:lang w:val="lv-LV"/>
        </w:rPr>
        <w:t>, kuriem intravenozi tika ievadīt</w:t>
      </w:r>
      <w:r>
        <w:rPr>
          <w:lang w:val="lv-LV"/>
        </w:rPr>
        <w:t>a viena</w:t>
      </w:r>
      <w:r w:rsidRPr="00727752">
        <w:rPr>
          <w:lang w:val="lv-LV"/>
        </w:rPr>
        <w:t xml:space="preserve"> 8 mg/kg </w:t>
      </w:r>
      <w:r w:rsidR="00592DB1">
        <w:rPr>
          <w:lang w:val="lv-LV"/>
        </w:rPr>
        <w:t xml:space="preserve">tocilizumaba </w:t>
      </w:r>
      <w:r w:rsidRPr="00727752">
        <w:rPr>
          <w:lang w:val="lv-LV"/>
        </w:rPr>
        <w:t>deva, CR</w:t>
      </w:r>
      <w:r>
        <w:rPr>
          <w:lang w:val="lv-LV"/>
        </w:rPr>
        <w:t>O</w:t>
      </w:r>
      <w:r w:rsidRPr="00727752">
        <w:rPr>
          <w:lang w:val="lv-LV"/>
        </w:rPr>
        <w:t xml:space="preserve"> līmeņa pazeminā</w:t>
      </w:r>
      <w:r w:rsidR="00C11690">
        <w:rPr>
          <w:lang w:val="lv-LV"/>
        </w:rPr>
        <w:t>šanās</w:t>
      </w:r>
      <w:r w:rsidRPr="00727752">
        <w:rPr>
          <w:lang w:val="lv-LV"/>
        </w:rPr>
        <w:t xml:space="preserve"> līdz normālam diapazonam tika novērot</w:t>
      </w:r>
      <w:r w:rsidR="00B47B7D">
        <w:rPr>
          <w:lang w:val="lv-LV"/>
        </w:rPr>
        <w:t>a</w:t>
      </w:r>
      <w:r w:rsidRPr="00727752">
        <w:rPr>
          <w:lang w:val="lv-LV"/>
        </w:rPr>
        <w:t xml:space="preserve"> jau pēc 7 dienām.</w:t>
      </w:r>
      <w:r>
        <w:rPr>
          <w:lang w:val="lv-LV"/>
        </w:rPr>
        <w:t xml:space="preserve"> </w:t>
      </w:r>
    </w:p>
    <w:p w14:paraId="112BE398" w14:textId="5B01DF6E" w:rsidR="00784D05" w:rsidRDefault="00784D05">
      <w:pPr>
        <w:rPr>
          <w:szCs w:val="22"/>
          <w:lang w:val="lv-LV"/>
        </w:rPr>
      </w:pPr>
    </w:p>
    <w:p w14:paraId="2715531A" w14:textId="70FD0A4E" w:rsidR="00727752" w:rsidRDefault="00727752" w:rsidP="00707120">
      <w:pPr>
        <w:keepNext/>
        <w:rPr>
          <w:szCs w:val="22"/>
          <w:lang w:val="lv-LV"/>
        </w:rPr>
      </w:pPr>
      <w:r w:rsidRPr="00727752">
        <w:rPr>
          <w:szCs w:val="22"/>
          <w:u w:val="single"/>
          <w:lang w:val="lv-LV"/>
        </w:rPr>
        <w:t>Pacienti ar RA</w:t>
      </w:r>
    </w:p>
    <w:p w14:paraId="5BC6F1B1" w14:textId="77777777" w:rsidR="00784D05" w:rsidRPr="00707120" w:rsidRDefault="00784D05">
      <w:pPr>
        <w:keepNext/>
        <w:rPr>
          <w:i/>
          <w:iCs/>
          <w:szCs w:val="22"/>
          <w:lang w:val="lv-LV"/>
        </w:rPr>
      </w:pPr>
      <w:r w:rsidRPr="00707120">
        <w:rPr>
          <w:rFonts w:eastAsia="MS Mincho"/>
          <w:i/>
          <w:iCs/>
          <w:lang w:val="lv-LV"/>
        </w:rPr>
        <w:t>Klīniskā efektivitāte un drošums</w:t>
      </w:r>
    </w:p>
    <w:p w14:paraId="7A330B55" w14:textId="781666A2" w:rsidR="00784D05" w:rsidRDefault="00784D05">
      <w:pPr>
        <w:rPr>
          <w:rFonts w:eastAsia="MS Mincho"/>
          <w:szCs w:val="22"/>
          <w:lang w:val="lv-LV"/>
        </w:rPr>
      </w:pPr>
      <w:r>
        <w:rPr>
          <w:szCs w:val="22"/>
          <w:lang w:val="lv-LV"/>
        </w:rPr>
        <w:t>Tocilizumaba efektivitāte RA pazīmju un simptomu mazināšanā tika vērtēta piecos randomizētos, dubultmaskētos, daudzcentru pētījumos. I</w:t>
      </w:r>
      <w:r w:rsidR="00B47B7D">
        <w:rPr>
          <w:szCs w:val="22"/>
          <w:lang w:val="lv-LV"/>
        </w:rPr>
        <w:noBreakHyphen/>
      </w:r>
      <w:r>
        <w:rPr>
          <w:szCs w:val="22"/>
          <w:lang w:val="lv-LV"/>
        </w:rPr>
        <w:t>V</w:t>
      </w:r>
      <w:r w:rsidR="003B6006">
        <w:rPr>
          <w:szCs w:val="22"/>
          <w:lang w:val="lv-LV"/>
        </w:rPr>
        <w:t> </w:t>
      </w:r>
      <w:r>
        <w:rPr>
          <w:szCs w:val="22"/>
          <w:lang w:val="lv-LV"/>
        </w:rPr>
        <w:t xml:space="preserve">pētījumā tika iekļauti </w:t>
      </w:r>
      <w:r w:rsidR="00B47B7D" w:rsidRPr="00707120">
        <w:rPr>
          <w:szCs w:val="22"/>
          <w:lang w:val="lv-LV"/>
        </w:rPr>
        <w:t>≥ </w:t>
      </w:r>
      <w:r>
        <w:rPr>
          <w:rFonts w:eastAsia="MS Mincho"/>
          <w:szCs w:val="22"/>
          <w:lang w:val="lv-LV"/>
        </w:rPr>
        <w:t xml:space="preserve">18 gadus veci pacienti ar aktīvu </w:t>
      </w:r>
      <w:r>
        <w:rPr>
          <w:szCs w:val="22"/>
          <w:lang w:val="lv-LV"/>
        </w:rPr>
        <w:t>RA</w:t>
      </w:r>
      <w:r>
        <w:rPr>
          <w:rFonts w:eastAsia="MS Mincho"/>
          <w:szCs w:val="22"/>
          <w:lang w:val="lv-LV"/>
        </w:rPr>
        <w:t>, kuriem diagnoze noteikta atbilstoši Amerikas Reimatoloģijas kolēģijas (ACR) kritērijiem un kuriem bija vismaz astoņas jutīgas un sešas pietūkušas locītavas pētījuma sākumā.</w:t>
      </w:r>
    </w:p>
    <w:p w14:paraId="1346BBA2" w14:textId="77777777" w:rsidR="00784D05" w:rsidRDefault="00784D05">
      <w:pPr>
        <w:rPr>
          <w:rFonts w:eastAsia="MS Mincho"/>
          <w:szCs w:val="22"/>
          <w:lang w:val="lv-LV"/>
        </w:rPr>
      </w:pPr>
    </w:p>
    <w:p w14:paraId="1B990427" w14:textId="0E6C4CE4" w:rsidR="00784D05" w:rsidRDefault="00784D05">
      <w:pPr>
        <w:rPr>
          <w:rFonts w:eastAsia="MS Mincho"/>
          <w:szCs w:val="22"/>
          <w:lang w:val="lv-LV"/>
        </w:rPr>
      </w:pPr>
      <w:r>
        <w:rPr>
          <w:szCs w:val="22"/>
          <w:lang w:val="lv-LV"/>
        </w:rPr>
        <w:t>I</w:t>
      </w:r>
      <w:r w:rsidR="00B47B7D">
        <w:rPr>
          <w:szCs w:val="22"/>
          <w:lang w:val="lv-LV"/>
        </w:rPr>
        <w:t> </w:t>
      </w:r>
      <w:r>
        <w:rPr>
          <w:szCs w:val="22"/>
          <w:lang w:val="lv-LV"/>
        </w:rPr>
        <w:t>pētījumā tocilizumabu ievadīja intravenozi ik pēc četrām nedēļām monoterapijas veidā. II, III</w:t>
      </w:r>
      <w:r w:rsidR="00B47B7D">
        <w:rPr>
          <w:szCs w:val="22"/>
          <w:lang w:val="lv-LV"/>
        </w:rPr>
        <w:t> </w:t>
      </w:r>
      <w:r>
        <w:rPr>
          <w:szCs w:val="22"/>
          <w:lang w:val="lv-LV"/>
        </w:rPr>
        <w:t>un V</w:t>
      </w:r>
      <w:r w:rsidR="00B47B7D">
        <w:rPr>
          <w:szCs w:val="22"/>
          <w:lang w:val="lv-LV"/>
        </w:rPr>
        <w:t> </w:t>
      </w:r>
      <w:r>
        <w:rPr>
          <w:szCs w:val="22"/>
          <w:lang w:val="lv-LV"/>
        </w:rPr>
        <w:t>pētījumā tocilizumabu ievadīja intravenozi ik pēc četrām nedēļām kombinācijā ar MTX salīdzinājumā ar placebo un MTX. IV</w:t>
      </w:r>
      <w:r w:rsidR="00B47B7D">
        <w:rPr>
          <w:szCs w:val="22"/>
          <w:lang w:val="lv-LV"/>
        </w:rPr>
        <w:t> </w:t>
      </w:r>
      <w:r>
        <w:rPr>
          <w:szCs w:val="22"/>
          <w:lang w:val="lv-LV"/>
        </w:rPr>
        <w:t>pētījumā tocilizumabu ievadīta intravenozi ik pēc 4</w:t>
      </w:r>
      <w:r w:rsidR="00B47B7D">
        <w:rPr>
          <w:szCs w:val="22"/>
          <w:lang w:val="lv-LV"/>
        </w:rPr>
        <w:t> </w:t>
      </w:r>
      <w:r>
        <w:rPr>
          <w:szCs w:val="22"/>
          <w:lang w:val="lv-LV"/>
        </w:rPr>
        <w:t>nedēļām kombinācijā ar citiem DMARD salīdzinājumā ar placebo un citiem DMARD. Primārais mērķa kritērijs visiem pieciem pētījumiem bija pacientu īpatsvars, kas sasniedza ACR</w:t>
      </w:r>
      <w:r w:rsidR="00B47B7D">
        <w:rPr>
          <w:szCs w:val="22"/>
          <w:lang w:val="lv-LV"/>
        </w:rPr>
        <w:t> </w:t>
      </w:r>
      <w:r>
        <w:rPr>
          <w:szCs w:val="22"/>
          <w:lang w:val="lv-LV"/>
        </w:rPr>
        <w:t>20 atbildes reakciju 24.</w:t>
      </w:r>
      <w:r w:rsidR="00B47B7D">
        <w:rPr>
          <w:szCs w:val="22"/>
          <w:lang w:val="lv-LV"/>
        </w:rPr>
        <w:t> </w:t>
      </w:r>
      <w:r>
        <w:rPr>
          <w:szCs w:val="22"/>
          <w:lang w:val="lv-LV"/>
        </w:rPr>
        <w:t>nedēļā.</w:t>
      </w:r>
    </w:p>
    <w:p w14:paraId="58411EE3" w14:textId="77777777" w:rsidR="00784D05" w:rsidRDefault="00784D05">
      <w:pPr>
        <w:rPr>
          <w:rFonts w:eastAsia="MS Mincho"/>
          <w:szCs w:val="22"/>
          <w:lang w:val="lv-LV"/>
        </w:rPr>
      </w:pPr>
    </w:p>
    <w:p w14:paraId="554AD8AF" w14:textId="34531FA3" w:rsidR="00784D05" w:rsidRDefault="00784D05">
      <w:pPr>
        <w:rPr>
          <w:rFonts w:eastAsia="MS Mincho"/>
          <w:szCs w:val="22"/>
          <w:lang w:val="lv-LV"/>
        </w:rPr>
      </w:pPr>
      <w:r>
        <w:rPr>
          <w:rFonts w:eastAsia="MS Mincho"/>
          <w:szCs w:val="22"/>
          <w:lang w:val="lv-LV"/>
        </w:rPr>
        <w:t>I</w:t>
      </w:r>
      <w:r w:rsidR="00B47B7D">
        <w:rPr>
          <w:rFonts w:eastAsia="MS Mincho"/>
          <w:szCs w:val="22"/>
          <w:lang w:val="lv-LV"/>
        </w:rPr>
        <w:t> </w:t>
      </w:r>
      <w:r>
        <w:rPr>
          <w:rFonts w:eastAsia="MS Mincho"/>
          <w:szCs w:val="22"/>
          <w:lang w:val="lv-LV"/>
        </w:rPr>
        <w:t>pētījumā tika novērtēti 673</w:t>
      </w:r>
      <w:r w:rsidR="00B47B7D">
        <w:rPr>
          <w:rFonts w:eastAsia="MS Mincho"/>
          <w:szCs w:val="22"/>
          <w:lang w:val="lv-LV"/>
        </w:rPr>
        <w:t> </w:t>
      </w:r>
      <w:r>
        <w:rPr>
          <w:rFonts w:eastAsia="MS Mincho"/>
          <w:szCs w:val="22"/>
          <w:lang w:val="lv-LV"/>
        </w:rPr>
        <w:t xml:space="preserve">pacienti, kas nebija ārstēti ar MTX sešus mēnešus pirms randomizācijas un kam nebija pārtraukta iepriekšēja MTX terapija klīniski nozīmīgas toksiskas iedarbības vai atbildes reakcijas trūkuma dēļ. Lielākā daļa pacientu (67%) iepriekš ar MTX nebija ārstēti. </w:t>
      </w:r>
      <w:r>
        <w:rPr>
          <w:szCs w:val="22"/>
          <w:lang w:val="lv-LV"/>
        </w:rPr>
        <w:t>Ik pēc četrām nedēļām monoterapijas veidā</w:t>
      </w:r>
      <w:r>
        <w:rPr>
          <w:rFonts w:eastAsia="MS Mincho"/>
          <w:szCs w:val="22"/>
          <w:lang w:val="lv-LV"/>
        </w:rPr>
        <w:t xml:space="preserve"> </w:t>
      </w:r>
      <w:r>
        <w:rPr>
          <w:szCs w:val="22"/>
          <w:lang w:val="lv-LV"/>
        </w:rPr>
        <w:t>lietoja tocilizumaba</w:t>
      </w:r>
      <w:r>
        <w:rPr>
          <w:rFonts w:eastAsia="MS Mincho"/>
          <w:szCs w:val="22"/>
          <w:lang w:val="lv-LV"/>
        </w:rPr>
        <w:t xml:space="preserve"> devu 8 mg/kg</w:t>
      </w:r>
      <w:r>
        <w:rPr>
          <w:szCs w:val="22"/>
          <w:lang w:val="lv-LV"/>
        </w:rPr>
        <w:t>. Salīdzinošajā grupā lietoja MTX reizi nedēļā (deva titrēta no 7,5 mg līdz maksimāli 20 mg nedēļā astoņu nedēļu laikā)</w:t>
      </w:r>
      <w:r>
        <w:rPr>
          <w:rFonts w:eastAsia="MS Mincho"/>
          <w:szCs w:val="22"/>
          <w:lang w:val="lv-LV"/>
        </w:rPr>
        <w:t xml:space="preserve">. </w:t>
      </w:r>
    </w:p>
    <w:p w14:paraId="336792D5" w14:textId="77777777" w:rsidR="00784D05" w:rsidRDefault="00784D05">
      <w:pPr>
        <w:rPr>
          <w:rFonts w:eastAsia="MS Mincho"/>
          <w:szCs w:val="22"/>
          <w:lang w:val="lv-LV"/>
        </w:rPr>
      </w:pPr>
    </w:p>
    <w:p w14:paraId="2778C661" w14:textId="747AA569" w:rsidR="00784D05" w:rsidRDefault="00784D05">
      <w:pPr>
        <w:rPr>
          <w:rFonts w:eastAsia="MS Mincho"/>
          <w:szCs w:val="22"/>
          <w:lang w:val="lv-LV"/>
        </w:rPr>
      </w:pPr>
      <w:r>
        <w:rPr>
          <w:szCs w:val="22"/>
          <w:lang w:val="lv-LV"/>
        </w:rPr>
        <w:t>II</w:t>
      </w:r>
      <w:r w:rsidR="00B47B7D">
        <w:rPr>
          <w:szCs w:val="22"/>
          <w:lang w:val="lv-LV"/>
        </w:rPr>
        <w:t> </w:t>
      </w:r>
      <w:r>
        <w:rPr>
          <w:szCs w:val="22"/>
          <w:lang w:val="lv-LV"/>
        </w:rPr>
        <w:t>pētījumā, divus gadus ilgā pētījumā ar plānotām analīzēm 24., 52.</w:t>
      </w:r>
      <w:r w:rsidR="00B47B7D">
        <w:rPr>
          <w:szCs w:val="22"/>
          <w:lang w:val="lv-LV"/>
        </w:rPr>
        <w:t> </w:t>
      </w:r>
      <w:r>
        <w:rPr>
          <w:szCs w:val="22"/>
          <w:lang w:val="lv-LV"/>
        </w:rPr>
        <w:t>un 104.</w:t>
      </w:r>
      <w:r w:rsidR="00B47B7D">
        <w:rPr>
          <w:szCs w:val="22"/>
          <w:lang w:val="lv-LV"/>
        </w:rPr>
        <w:t> </w:t>
      </w:r>
      <w:r>
        <w:rPr>
          <w:szCs w:val="22"/>
          <w:lang w:val="lv-LV"/>
        </w:rPr>
        <w:t>nedēļā, tika novērtēti 1196</w:t>
      </w:r>
      <w:r w:rsidR="00B47B7D">
        <w:rPr>
          <w:szCs w:val="22"/>
          <w:lang w:val="lv-LV"/>
        </w:rPr>
        <w:t> </w:t>
      </w:r>
      <w:r>
        <w:rPr>
          <w:szCs w:val="22"/>
          <w:lang w:val="lv-LV"/>
        </w:rPr>
        <w:t>pacienti, kuriem bija nepietiekama klīniskā atbildes reakcija uz MTX. Tocilizumaba 4 vai 8 mg/kg devas vai placebo ievadīja ik pēc četrām nedēļām maskētas terapijas veidā 52</w:t>
      </w:r>
      <w:r w:rsidR="00B47B7D">
        <w:rPr>
          <w:szCs w:val="22"/>
          <w:lang w:val="lv-LV"/>
        </w:rPr>
        <w:t> </w:t>
      </w:r>
      <w:r>
        <w:rPr>
          <w:szCs w:val="22"/>
          <w:lang w:val="lv-LV"/>
        </w:rPr>
        <w:t>nedēļas kombinācijā ar stabilu MTX devu (10 mg līdz 25 mg nedēļā). Pēc 52. nedēļas visi pacienti varēja saņemt nemaskētu ārstēšanu ar 8 mg/kg lielām tocilizumaba devām. 86% pacientu, kuri pabeidza pētījumu un sākotnēji bija randomizēti placebo un MTX saņemšanai, 2. gadā nemaskēti saņēma 8 mg/kg lielas tocilizumaba devas.</w:t>
      </w:r>
      <w:r>
        <w:rPr>
          <w:lang w:val="lv-LV"/>
        </w:rPr>
        <w:t xml:space="preserve"> </w:t>
      </w:r>
      <w:r>
        <w:rPr>
          <w:szCs w:val="22"/>
          <w:lang w:val="lv-LV"/>
        </w:rPr>
        <w:t>Primārais mērķa kritērijs 24.</w:t>
      </w:r>
      <w:r w:rsidR="00C61FD9">
        <w:rPr>
          <w:szCs w:val="22"/>
          <w:lang w:val="lv-LV"/>
        </w:rPr>
        <w:t> </w:t>
      </w:r>
      <w:r>
        <w:rPr>
          <w:szCs w:val="22"/>
          <w:lang w:val="lv-LV"/>
        </w:rPr>
        <w:t>nedēļā bija pacientu daļa, kas sasniedza ACR</w:t>
      </w:r>
      <w:r w:rsidR="00B47B7D">
        <w:rPr>
          <w:szCs w:val="22"/>
          <w:lang w:val="lv-LV"/>
        </w:rPr>
        <w:t> </w:t>
      </w:r>
      <w:r>
        <w:rPr>
          <w:szCs w:val="22"/>
          <w:lang w:val="lv-LV"/>
        </w:rPr>
        <w:t>20 atbildi. 52.</w:t>
      </w:r>
      <w:r w:rsidR="00B47B7D">
        <w:rPr>
          <w:szCs w:val="22"/>
          <w:lang w:val="lv-LV"/>
        </w:rPr>
        <w:t> </w:t>
      </w:r>
      <w:r>
        <w:rPr>
          <w:szCs w:val="22"/>
          <w:lang w:val="lv-LV"/>
        </w:rPr>
        <w:t>un 104. nedēļā papildus vērtētie primārie mērķa kritēriji bija locītavu bojājuma novēršana un fiziskās funkcijas uzlabošanās.</w:t>
      </w:r>
      <w:r>
        <w:rPr>
          <w:rFonts w:eastAsia="MS Mincho"/>
          <w:szCs w:val="22"/>
          <w:lang w:val="lv-LV"/>
        </w:rPr>
        <w:t xml:space="preserve"> </w:t>
      </w:r>
    </w:p>
    <w:p w14:paraId="5F5F3846" w14:textId="77777777" w:rsidR="00784D05" w:rsidRDefault="00784D05">
      <w:pPr>
        <w:autoSpaceDE w:val="0"/>
        <w:rPr>
          <w:rFonts w:eastAsia="MS Mincho"/>
          <w:szCs w:val="22"/>
          <w:lang w:val="lv-LV"/>
        </w:rPr>
      </w:pPr>
    </w:p>
    <w:p w14:paraId="62FEC8BE" w14:textId="6F7404CD" w:rsidR="00784D05" w:rsidRDefault="00784D05">
      <w:pPr>
        <w:rPr>
          <w:rFonts w:eastAsia="MS Mincho"/>
          <w:szCs w:val="22"/>
          <w:lang w:val="lv-LV"/>
        </w:rPr>
      </w:pPr>
      <w:r>
        <w:rPr>
          <w:rFonts w:eastAsia="MS Mincho"/>
          <w:szCs w:val="22"/>
          <w:lang w:val="lv-LV"/>
        </w:rPr>
        <w:t>III</w:t>
      </w:r>
      <w:r w:rsidR="00B47B7D">
        <w:rPr>
          <w:rFonts w:eastAsia="MS Mincho"/>
          <w:szCs w:val="22"/>
          <w:lang w:val="lv-LV"/>
        </w:rPr>
        <w:t> </w:t>
      </w:r>
      <w:r>
        <w:rPr>
          <w:rFonts w:eastAsia="MS Mincho"/>
          <w:szCs w:val="22"/>
          <w:lang w:val="lv-LV"/>
        </w:rPr>
        <w:t>pētījumā tika vērtēti 623</w:t>
      </w:r>
      <w:r w:rsidR="00B47B7D">
        <w:rPr>
          <w:rFonts w:eastAsia="MS Mincho"/>
          <w:szCs w:val="22"/>
          <w:lang w:val="lv-LV"/>
        </w:rPr>
        <w:t> </w:t>
      </w:r>
      <w:r>
        <w:rPr>
          <w:rFonts w:eastAsia="MS Mincho"/>
          <w:szCs w:val="22"/>
          <w:lang w:val="lv-LV"/>
        </w:rPr>
        <w:t xml:space="preserve">pacienti, kuriem bija nepietiekama klīniskā atbildes reakcija uz MTX. </w:t>
      </w:r>
      <w:r>
        <w:rPr>
          <w:szCs w:val="22"/>
          <w:lang w:val="lv-LV"/>
        </w:rPr>
        <w:t>Tocilizumaba 4 vai 8 mg/kg devas vai placebo ievadīja ik pēc četrām nedēļām kombinācijā ar stabilu MTX devu (10</w:t>
      </w:r>
      <w:r w:rsidR="00B47B7D">
        <w:rPr>
          <w:szCs w:val="22"/>
          <w:lang w:val="lv-LV"/>
        </w:rPr>
        <w:noBreakHyphen/>
      </w:r>
      <w:r>
        <w:rPr>
          <w:szCs w:val="22"/>
          <w:lang w:val="lv-LV"/>
        </w:rPr>
        <w:t>25 mg nedēļā).</w:t>
      </w:r>
    </w:p>
    <w:p w14:paraId="63680FC4" w14:textId="77777777" w:rsidR="00784D05" w:rsidRDefault="00784D05">
      <w:pPr>
        <w:rPr>
          <w:rFonts w:eastAsia="MS Mincho"/>
          <w:szCs w:val="22"/>
          <w:lang w:val="lv-LV"/>
        </w:rPr>
      </w:pPr>
    </w:p>
    <w:p w14:paraId="2A31BDE0" w14:textId="281DB395" w:rsidR="00784D05" w:rsidRDefault="00784D05">
      <w:pPr>
        <w:rPr>
          <w:rFonts w:eastAsia="MS Mincho"/>
          <w:szCs w:val="22"/>
          <w:lang w:val="lv-LV"/>
        </w:rPr>
      </w:pPr>
      <w:r>
        <w:rPr>
          <w:rFonts w:eastAsia="MS Mincho"/>
          <w:szCs w:val="22"/>
          <w:lang w:val="lv-LV"/>
        </w:rPr>
        <w:t>IV</w:t>
      </w:r>
      <w:r w:rsidR="00B47B7D">
        <w:rPr>
          <w:rFonts w:eastAsia="MS Mincho"/>
          <w:szCs w:val="22"/>
          <w:lang w:val="lv-LV"/>
        </w:rPr>
        <w:t> </w:t>
      </w:r>
      <w:r>
        <w:rPr>
          <w:rFonts w:eastAsia="MS Mincho"/>
          <w:szCs w:val="22"/>
          <w:lang w:val="lv-LV"/>
        </w:rPr>
        <w:t>pētījumā vērtēja 1220</w:t>
      </w:r>
      <w:r w:rsidR="00B47B7D">
        <w:rPr>
          <w:rFonts w:eastAsia="MS Mincho"/>
          <w:szCs w:val="22"/>
          <w:lang w:val="lv-LV"/>
        </w:rPr>
        <w:t> </w:t>
      </w:r>
      <w:r>
        <w:rPr>
          <w:rFonts w:eastAsia="MS Mincho"/>
          <w:szCs w:val="22"/>
          <w:lang w:val="lv-LV"/>
        </w:rPr>
        <w:t xml:space="preserve">pacientus, kuriem bija nepietiekama atbildes reakcija uz lietoto reimatoloģisko terapiju, tajā skaitā vienu vai vairākiem </w:t>
      </w:r>
      <w:r>
        <w:rPr>
          <w:szCs w:val="22"/>
          <w:lang w:val="lv-LV"/>
        </w:rPr>
        <w:t>DMARD. Tocilizumaba 8 mg/kg devu vai placebo ievadīja ik pēc četrām nedēļām kombinācijā ar stabilām DMARD devām</w:t>
      </w:r>
      <w:r>
        <w:rPr>
          <w:rFonts w:eastAsia="MS Mincho"/>
          <w:szCs w:val="22"/>
          <w:lang w:val="lv-LV"/>
        </w:rPr>
        <w:t xml:space="preserve">. </w:t>
      </w:r>
    </w:p>
    <w:p w14:paraId="514E14E3" w14:textId="77777777" w:rsidR="00784D05" w:rsidRDefault="00784D05">
      <w:pPr>
        <w:rPr>
          <w:rFonts w:eastAsia="MS Mincho"/>
          <w:szCs w:val="22"/>
          <w:lang w:val="lv-LV"/>
        </w:rPr>
      </w:pPr>
    </w:p>
    <w:p w14:paraId="3B84327D" w14:textId="1195F473" w:rsidR="00784D05" w:rsidRDefault="00784D05">
      <w:pPr>
        <w:rPr>
          <w:rFonts w:eastAsia="MS Mincho"/>
          <w:szCs w:val="22"/>
          <w:lang w:val="lv-LV"/>
        </w:rPr>
      </w:pPr>
      <w:r>
        <w:rPr>
          <w:rFonts w:eastAsia="MS Mincho"/>
          <w:szCs w:val="22"/>
          <w:lang w:val="lv-LV"/>
        </w:rPr>
        <w:t>V</w:t>
      </w:r>
      <w:r w:rsidR="00B47B7D">
        <w:rPr>
          <w:rFonts w:eastAsia="MS Mincho"/>
          <w:szCs w:val="22"/>
          <w:lang w:val="lv-LV"/>
        </w:rPr>
        <w:t> </w:t>
      </w:r>
      <w:r>
        <w:rPr>
          <w:rFonts w:eastAsia="MS Mincho"/>
          <w:szCs w:val="22"/>
          <w:lang w:val="lv-LV"/>
        </w:rPr>
        <w:t>pētījumā novērtēja 499</w:t>
      </w:r>
      <w:r w:rsidR="00B47B7D">
        <w:rPr>
          <w:rFonts w:eastAsia="MS Mincho"/>
          <w:szCs w:val="22"/>
          <w:lang w:val="lv-LV"/>
        </w:rPr>
        <w:t> </w:t>
      </w:r>
      <w:r>
        <w:rPr>
          <w:rFonts w:eastAsia="MS Mincho"/>
          <w:szCs w:val="22"/>
          <w:lang w:val="lv-LV"/>
        </w:rPr>
        <w:t xml:space="preserve">pacientus, kuriem bija nepietiekama klīniskā atbildes reakcija uz vienu vai vairākiem TNF antagonistu terapijas līdzekļiem vai to nepanesamība. TNF antagonistu lietošana tika pārtraukta pirms randomizācijas. </w:t>
      </w:r>
      <w:r>
        <w:rPr>
          <w:szCs w:val="22"/>
          <w:lang w:val="lv-LV"/>
        </w:rPr>
        <w:t>Tocilizumaba 4 vai 8 mg/kg devas vai placebo ievadīja ik pēc četrām nedēļām kombinācijā ar stabilu MTX devu (10</w:t>
      </w:r>
      <w:r w:rsidR="00B47B7D">
        <w:rPr>
          <w:szCs w:val="22"/>
          <w:lang w:val="lv-LV"/>
        </w:rPr>
        <w:noBreakHyphen/>
      </w:r>
      <w:r>
        <w:rPr>
          <w:szCs w:val="22"/>
          <w:lang w:val="lv-LV"/>
        </w:rPr>
        <w:t>25 mg nedēļā).</w:t>
      </w:r>
    </w:p>
    <w:p w14:paraId="5991C012" w14:textId="77777777" w:rsidR="00784D05" w:rsidRDefault="00784D05">
      <w:pPr>
        <w:rPr>
          <w:rFonts w:eastAsia="MS Mincho"/>
          <w:szCs w:val="22"/>
          <w:lang w:val="lv-LV"/>
        </w:rPr>
      </w:pPr>
    </w:p>
    <w:p w14:paraId="47826A80" w14:textId="77777777" w:rsidR="00784D05" w:rsidRDefault="00784D05">
      <w:pPr>
        <w:keepNext/>
        <w:rPr>
          <w:rFonts w:eastAsia="MS Mincho"/>
          <w:szCs w:val="22"/>
          <w:lang w:val="lv-LV"/>
        </w:rPr>
        <w:pPrChange w:id="112" w:author="Author">
          <w:pPr/>
        </w:pPrChange>
      </w:pPr>
      <w:r>
        <w:rPr>
          <w:rFonts w:eastAsia="MS Mincho"/>
          <w:i/>
          <w:szCs w:val="22"/>
          <w:lang w:val="lv-LV"/>
        </w:rPr>
        <w:t>Klīniskā atbildes reakcija</w:t>
      </w:r>
    </w:p>
    <w:p w14:paraId="713C82EB" w14:textId="6BCE7A00" w:rsidR="00784D05" w:rsidRDefault="00784D05">
      <w:pPr>
        <w:rPr>
          <w:rFonts w:eastAsia="MS Mincho"/>
          <w:szCs w:val="22"/>
          <w:lang w:val="lv-LV"/>
        </w:rPr>
      </w:pPr>
      <w:r>
        <w:rPr>
          <w:rFonts w:eastAsia="MS Mincho"/>
          <w:szCs w:val="22"/>
          <w:lang w:val="lv-LV"/>
        </w:rPr>
        <w:t xml:space="preserve">Visos pētījumos ar </w:t>
      </w:r>
      <w:r>
        <w:rPr>
          <w:szCs w:val="22"/>
          <w:lang w:val="lv-LV"/>
        </w:rPr>
        <w:t>8 mg/kg lielām tocilizumaba devām ārstētiem pacientiem bija statistiski nozīmīgi lielāka ACR</w:t>
      </w:r>
      <w:r w:rsidR="00B47B7D">
        <w:rPr>
          <w:szCs w:val="22"/>
          <w:lang w:val="lv-LV"/>
        </w:rPr>
        <w:t> </w:t>
      </w:r>
      <w:r>
        <w:rPr>
          <w:szCs w:val="22"/>
          <w:lang w:val="lv-LV"/>
        </w:rPr>
        <w:t>20, 50, 70 atbildes reakcijas sastopamība pēc 6 mēnešiem salīdzinājumā ar kontroles grupu (</w:t>
      </w:r>
      <w:r w:rsidR="00727752">
        <w:rPr>
          <w:szCs w:val="22"/>
          <w:lang w:val="lv-LV"/>
        </w:rPr>
        <w:t>4</w:t>
      </w:r>
      <w:r>
        <w:rPr>
          <w:szCs w:val="22"/>
          <w:lang w:val="lv-LV"/>
        </w:rPr>
        <w:t>. tabula). I</w:t>
      </w:r>
      <w:r w:rsidR="00B47B7D">
        <w:rPr>
          <w:szCs w:val="22"/>
          <w:lang w:val="lv-LV"/>
        </w:rPr>
        <w:t> </w:t>
      </w:r>
      <w:r>
        <w:rPr>
          <w:szCs w:val="22"/>
          <w:lang w:val="lv-LV"/>
        </w:rPr>
        <w:t xml:space="preserve">pētījumā tika pieradīts tocilizumaba 8 mg/kg </w:t>
      </w:r>
      <w:r>
        <w:rPr>
          <w:rFonts w:eastAsia="MS Mincho"/>
          <w:szCs w:val="22"/>
          <w:lang w:val="lv-LV"/>
        </w:rPr>
        <w:t>pārākums pār aktīvo salīdzināmo līdzekli MTX.</w:t>
      </w:r>
    </w:p>
    <w:p w14:paraId="39776A15" w14:textId="77777777" w:rsidR="00784D05" w:rsidRDefault="00784D05">
      <w:pPr>
        <w:rPr>
          <w:rFonts w:eastAsia="MS Mincho"/>
          <w:szCs w:val="22"/>
          <w:lang w:val="lv-LV"/>
        </w:rPr>
      </w:pPr>
    </w:p>
    <w:p w14:paraId="352D7315" w14:textId="6B2B5486" w:rsidR="00784D05" w:rsidRDefault="00784D05">
      <w:pPr>
        <w:rPr>
          <w:rFonts w:eastAsia="MS Mincho"/>
          <w:szCs w:val="22"/>
          <w:lang w:val="lv-LV"/>
        </w:rPr>
      </w:pPr>
      <w:r>
        <w:rPr>
          <w:rFonts w:eastAsia="MS Mincho"/>
          <w:szCs w:val="22"/>
          <w:lang w:val="lv-LV"/>
        </w:rPr>
        <w:t>Ārstēšanas ietekme pacientiem bija līdzīga neatkarīgi no reimatoīdā faktora statusa, vecuma, dzimuma, rases, iepriekš lietoto ārstēšanas līdzekļu skaita vai slimības stāvokļa. Laiks līdz iedarbības sākumam bija neliels (tā sākās jau 2.</w:t>
      </w:r>
      <w:r w:rsidR="00B47B7D">
        <w:rPr>
          <w:rFonts w:eastAsia="MS Mincho"/>
          <w:szCs w:val="22"/>
          <w:lang w:val="lv-LV"/>
        </w:rPr>
        <w:t> </w:t>
      </w:r>
      <w:r>
        <w:rPr>
          <w:rFonts w:eastAsia="MS Mincho"/>
          <w:szCs w:val="22"/>
          <w:lang w:val="lv-LV"/>
        </w:rPr>
        <w:t xml:space="preserve">nedēļā), un atbildes reakcijas apjoms turpināja palielināties līdz ar ārstēšanas ilgumu. Nepārtrauktu ilgstošu atbildes reakciju novēroja 3 gadus </w:t>
      </w:r>
      <w:r w:rsidR="004F76A0">
        <w:rPr>
          <w:rFonts w:eastAsia="MS Mincho"/>
          <w:szCs w:val="22"/>
          <w:lang w:val="lv-LV"/>
        </w:rPr>
        <w:t xml:space="preserve">ilgos </w:t>
      </w:r>
      <w:r>
        <w:rPr>
          <w:rFonts w:eastAsia="MS Mincho"/>
          <w:szCs w:val="22"/>
          <w:lang w:val="lv-LV"/>
        </w:rPr>
        <w:t>atklātos I</w:t>
      </w:r>
      <w:r w:rsidR="00B47B7D">
        <w:rPr>
          <w:rFonts w:eastAsia="MS Mincho"/>
          <w:szCs w:val="22"/>
          <w:lang w:val="lv-LV"/>
        </w:rPr>
        <w:noBreakHyphen/>
      </w:r>
      <w:r>
        <w:rPr>
          <w:rFonts w:eastAsia="MS Mincho"/>
          <w:szCs w:val="22"/>
          <w:lang w:val="lv-LV"/>
        </w:rPr>
        <w:t>V</w:t>
      </w:r>
      <w:r w:rsidR="00B47B7D">
        <w:rPr>
          <w:rFonts w:eastAsia="MS Mincho"/>
          <w:szCs w:val="22"/>
          <w:lang w:val="lv-LV"/>
        </w:rPr>
        <w:t> </w:t>
      </w:r>
      <w:r>
        <w:rPr>
          <w:rFonts w:eastAsia="MS Mincho"/>
          <w:szCs w:val="22"/>
          <w:lang w:val="lv-LV"/>
        </w:rPr>
        <w:t>pētījuma pagarinājumos.</w:t>
      </w:r>
    </w:p>
    <w:p w14:paraId="2BA4C319" w14:textId="77777777" w:rsidR="00784D05" w:rsidRDefault="00784D05">
      <w:pPr>
        <w:rPr>
          <w:rFonts w:eastAsia="MS Mincho"/>
          <w:szCs w:val="22"/>
          <w:lang w:val="lv-LV"/>
        </w:rPr>
      </w:pPr>
    </w:p>
    <w:p w14:paraId="6ADD6115" w14:textId="54E624A1" w:rsidR="00784D05" w:rsidRDefault="00784D05">
      <w:pPr>
        <w:rPr>
          <w:rFonts w:eastAsia="MS Mincho"/>
          <w:szCs w:val="22"/>
          <w:lang w:val="lv-LV"/>
        </w:rPr>
      </w:pPr>
      <w:r>
        <w:rPr>
          <w:rFonts w:eastAsia="MS Mincho"/>
          <w:szCs w:val="22"/>
          <w:lang w:val="lv-LV"/>
        </w:rPr>
        <w:t xml:space="preserve">Ar </w:t>
      </w:r>
      <w:r>
        <w:rPr>
          <w:szCs w:val="22"/>
          <w:lang w:val="lv-LV"/>
        </w:rPr>
        <w:t>tocilizumabu 8 mg/kg ārstētiem pacientiem konstatēja nozīmīgu visu atsevišķo ACR atbildes reakcijas komponentu uzlabošanos, kas ietver jutīgo un pietūkušo locītavu skaitu; pacienta un ārsta vispārējo slimības novērtējumu; invaliditātes indeksa punktu skaitu; sāpju novērtēšanu un CRO salīdzinājumā ar pacientiem, kas saņem placebo un MTX vai citus DMARD visos pētījumos.</w:t>
      </w:r>
    </w:p>
    <w:p w14:paraId="49E25C03" w14:textId="77777777" w:rsidR="00784D05" w:rsidRDefault="00784D05">
      <w:pPr>
        <w:rPr>
          <w:rFonts w:eastAsia="MS Mincho"/>
          <w:szCs w:val="22"/>
          <w:lang w:val="lv-LV"/>
        </w:rPr>
      </w:pPr>
    </w:p>
    <w:p w14:paraId="0BF0C2D3" w14:textId="5FF99AF8" w:rsidR="00784D05" w:rsidRDefault="00784D05">
      <w:pPr>
        <w:rPr>
          <w:rFonts w:eastAsia="MS Mincho"/>
          <w:szCs w:val="22"/>
          <w:lang w:val="lv-LV"/>
        </w:rPr>
      </w:pPr>
      <w:r>
        <w:rPr>
          <w:rFonts w:eastAsia="MS Mincho"/>
          <w:szCs w:val="22"/>
          <w:lang w:val="lv-LV"/>
        </w:rPr>
        <w:t>I</w:t>
      </w:r>
      <w:r w:rsidR="00B47B7D">
        <w:rPr>
          <w:rFonts w:eastAsia="MS Mincho"/>
          <w:szCs w:val="22"/>
          <w:lang w:val="lv-LV"/>
        </w:rPr>
        <w:noBreakHyphen/>
      </w:r>
      <w:r>
        <w:rPr>
          <w:rFonts w:eastAsia="MS Mincho"/>
          <w:szCs w:val="22"/>
          <w:lang w:val="lv-LV"/>
        </w:rPr>
        <w:t>V</w:t>
      </w:r>
      <w:r w:rsidR="00B47B7D">
        <w:rPr>
          <w:rFonts w:eastAsia="MS Mincho"/>
          <w:szCs w:val="22"/>
          <w:lang w:val="lv-LV"/>
        </w:rPr>
        <w:t> </w:t>
      </w:r>
      <w:r>
        <w:rPr>
          <w:rFonts w:eastAsia="MS Mincho"/>
          <w:szCs w:val="22"/>
          <w:lang w:val="lv-LV"/>
        </w:rPr>
        <w:t>pētījumā iekļautajiem pacientiem pirms terapijas sākuma vidējais slimības aktivitātes vērtējuma punktu skaits (pēc DAS28 metodes) bija 6,5</w:t>
      </w:r>
      <w:r w:rsidR="00B47B7D">
        <w:rPr>
          <w:rFonts w:eastAsia="MS Mincho"/>
          <w:szCs w:val="22"/>
          <w:lang w:val="lv-LV"/>
        </w:rPr>
        <w:noBreakHyphen/>
      </w:r>
      <w:r>
        <w:rPr>
          <w:rFonts w:eastAsia="MS Mincho"/>
          <w:szCs w:val="22"/>
          <w:lang w:val="lv-LV"/>
        </w:rPr>
        <w:t>6,8 salīdzinājumā ar kontroles grupas pacientiem (1,3</w:t>
      </w:r>
      <w:r w:rsidR="00B47B7D">
        <w:rPr>
          <w:rFonts w:eastAsia="MS Mincho"/>
          <w:szCs w:val="22"/>
          <w:lang w:val="lv-LV"/>
        </w:rPr>
        <w:noBreakHyphen/>
      </w:r>
      <w:r>
        <w:rPr>
          <w:rFonts w:eastAsia="MS Mincho"/>
          <w:szCs w:val="22"/>
          <w:lang w:val="lv-LV"/>
        </w:rPr>
        <w:t>2,1). Ar tocilizumabu ārstētajiem pacientiem novēroja nozīmīgu pēc DAS28 veiktā vērtējuma punktu skaita samazinājumu (par 3,1</w:t>
      </w:r>
      <w:r w:rsidR="00B47B7D">
        <w:rPr>
          <w:rFonts w:eastAsia="MS Mincho"/>
          <w:szCs w:val="22"/>
          <w:lang w:val="lv-LV"/>
        </w:rPr>
        <w:noBreakHyphen/>
      </w:r>
      <w:r>
        <w:rPr>
          <w:rFonts w:eastAsia="MS Mincho"/>
          <w:szCs w:val="22"/>
          <w:lang w:val="lv-LV"/>
        </w:rPr>
        <w:t>3,4) salīdzinājumā ar stāvokli pirms terapijas sākuma. Pacientu īpatsvars, kas, vērtējot pēc DAS28, pēc 24</w:t>
      </w:r>
      <w:ins w:id="113" w:author="Author">
        <w:r w:rsidR="0074366F">
          <w:rPr>
            <w:rFonts w:eastAsia="MS Mincho"/>
            <w:szCs w:val="22"/>
            <w:lang w:val="lv-LV"/>
          </w:rPr>
          <w:t> </w:t>
        </w:r>
      </w:ins>
      <w:del w:id="114" w:author="Author">
        <w:r w:rsidDel="0074366F">
          <w:rPr>
            <w:rFonts w:eastAsia="MS Mincho"/>
            <w:szCs w:val="22"/>
            <w:lang w:val="lv-LV"/>
          </w:rPr>
          <w:delText xml:space="preserve"> </w:delText>
        </w:r>
      </w:del>
      <w:r>
        <w:rPr>
          <w:rFonts w:eastAsia="MS Mincho"/>
          <w:szCs w:val="22"/>
          <w:lang w:val="lv-LV"/>
        </w:rPr>
        <w:t>nedēļām sasniedza klīnisku remisiju (pēc DAS28 iegūto punktu skait</w:t>
      </w:r>
      <w:r w:rsidR="00B47B7D">
        <w:rPr>
          <w:rFonts w:eastAsia="MS Mincho"/>
          <w:szCs w:val="22"/>
          <w:lang w:val="lv-LV"/>
        </w:rPr>
        <w:t>s</w:t>
      </w:r>
      <w:r>
        <w:rPr>
          <w:rFonts w:eastAsia="MS Mincho"/>
          <w:szCs w:val="22"/>
          <w:lang w:val="lv-LV"/>
        </w:rPr>
        <w:t xml:space="preserve"> </w:t>
      </w:r>
      <w:r w:rsidR="00236CD1" w:rsidRPr="00707120">
        <w:rPr>
          <w:szCs w:val="22"/>
          <w:lang w:val="lv-LV" w:eastAsia="ja-JP"/>
        </w:rPr>
        <w:t>&lt;</w:t>
      </w:r>
      <w:r w:rsidR="00B47B7D" w:rsidRPr="00707120">
        <w:rPr>
          <w:rFonts w:ascii="Arial" w:eastAsia="MS Mincho" w:hAnsi="Arial" w:cs="Arial"/>
          <w:szCs w:val="22"/>
          <w:lang w:val="lv-LV"/>
        </w:rPr>
        <w:t> </w:t>
      </w:r>
      <w:r>
        <w:rPr>
          <w:rFonts w:eastAsia="MS Mincho"/>
          <w:szCs w:val="22"/>
          <w:lang w:val="lv-LV"/>
        </w:rPr>
        <w:t>2,6), bija ievērojami lielāks pacientiem, kuri saņēma tocilizumabu (28</w:t>
      </w:r>
      <w:r w:rsidR="00B47B7D">
        <w:rPr>
          <w:rFonts w:eastAsia="MS Mincho"/>
          <w:szCs w:val="22"/>
          <w:lang w:val="lv-LV"/>
        </w:rPr>
        <w:noBreakHyphen/>
      </w:r>
      <w:r>
        <w:rPr>
          <w:rFonts w:eastAsia="MS Mincho"/>
          <w:szCs w:val="22"/>
          <w:lang w:val="lv-LV"/>
        </w:rPr>
        <w:t>34%)</w:t>
      </w:r>
      <w:r w:rsidR="00B47B7D">
        <w:rPr>
          <w:rFonts w:eastAsia="MS Mincho"/>
          <w:szCs w:val="22"/>
          <w:lang w:val="lv-LV"/>
        </w:rPr>
        <w:t>,</w:t>
      </w:r>
      <w:r>
        <w:rPr>
          <w:rFonts w:eastAsia="MS Mincho"/>
          <w:szCs w:val="22"/>
          <w:lang w:val="lv-LV"/>
        </w:rPr>
        <w:t xml:space="preserve"> nekā kontroles pacientu grupā (1</w:t>
      </w:r>
      <w:r w:rsidR="00B47B7D">
        <w:rPr>
          <w:rFonts w:eastAsia="MS Mincho"/>
          <w:szCs w:val="22"/>
          <w:lang w:val="lv-LV"/>
        </w:rPr>
        <w:noBreakHyphen/>
      </w:r>
      <w:r>
        <w:rPr>
          <w:rFonts w:eastAsia="MS Mincho"/>
          <w:szCs w:val="22"/>
          <w:lang w:val="lv-LV"/>
        </w:rPr>
        <w:t>12% pacientu). II</w:t>
      </w:r>
      <w:r w:rsidR="00B47B7D">
        <w:rPr>
          <w:rFonts w:eastAsia="MS Mincho"/>
          <w:szCs w:val="22"/>
          <w:lang w:val="lv-LV"/>
        </w:rPr>
        <w:t> </w:t>
      </w:r>
      <w:r>
        <w:rPr>
          <w:rFonts w:eastAsia="MS Mincho"/>
          <w:szCs w:val="22"/>
          <w:lang w:val="lv-LV"/>
        </w:rPr>
        <w:t>pētījumā pēc 104 nedēļām DAS28 </w:t>
      </w:r>
      <w:r w:rsidR="00236CD1" w:rsidRPr="00707120">
        <w:rPr>
          <w:szCs w:val="22"/>
          <w:lang w:val="lv-LV" w:eastAsia="ja-JP"/>
        </w:rPr>
        <w:t>&lt;</w:t>
      </w:r>
      <w:r>
        <w:rPr>
          <w:rFonts w:eastAsia="MS Mincho"/>
          <w:szCs w:val="22"/>
          <w:lang w:val="lv-LV"/>
        </w:rPr>
        <w:t> 2,6 sasniedza 65% pacientu, salīdzinot ar 48% pacientu pēc 52</w:t>
      </w:r>
      <w:r w:rsidR="00B47B7D">
        <w:rPr>
          <w:rFonts w:eastAsia="MS Mincho"/>
          <w:szCs w:val="22"/>
          <w:lang w:val="lv-LV"/>
        </w:rPr>
        <w:t> </w:t>
      </w:r>
      <w:r>
        <w:rPr>
          <w:rFonts w:eastAsia="MS Mincho"/>
          <w:szCs w:val="22"/>
          <w:lang w:val="lv-LV"/>
        </w:rPr>
        <w:t>nedēļām un 33% pacientu pēc 24</w:t>
      </w:r>
      <w:r w:rsidR="00B47B7D">
        <w:rPr>
          <w:rFonts w:eastAsia="MS Mincho"/>
          <w:szCs w:val="22"/>
          <w:lang w:val="lv-LV"/>
        </w:rPr>
        <w:t> </w:t>
      </w:r>
      <w:r>
        <w:rPr>
          <w:rFonts w:eastAsia="MS Mincho"/>
          <w:szCs w:val="22"/>
          <w:lang w:val="lv-LV"/>
        </w:rPr>
        <w:t xml:space="preserve">nedēļām. </w:t>
      </w:r>
    </w:p>
    <w:p w14:paraId="2E6EC310" w14:textId="77777777" w:rsidR="00784D05" w:rsidRDefault="00784D05">
      <w:pPr>
        <w:rPr>
          <w:rFonts w:eastAsia="MS Mincho"/>
          <w:szCs w:val="22"/>
          <w:lang w:val="lv-LV"/>
        </w:rPr>
      </w:pPr>
    </w:p>
    <w:p w14:paraId="6A3E0F4E" w14:textId="29E10E21" w:rsidR="00784D05" w:rsidRDefault="00784D05" w:rsidP="00B47B7D">
      <w:pPr>
        <w:rPr>
          <w:rFonts w:eastAsia="MS Mincho"/>
          <w:szCs w:val="22"/>
          <w:lang w:val="lv-LV"/>
        </w:rPr>
      </w:pPr>
      <w:r>
        <w:rPr>
          <w:rFonts w:eastAsia="MS Mincho"/>
          <w:szCs w:val="22"/>
          <w:lang w:val="lv-LV"/>
        </w:rPr>
        <w:t>II, III</w:t>
      </w:r>
      <w:r w:rsidR="00B47B7D">
        <w:rPr>
          <w:rFonts w:eastAsia="MS Mincho"/>
          <w:szCs w:val="22"/>
          <w:lang w:val="lv-LV"/>
        </w:rPr>
        <w:t> </w:t>
      </w:r>
      <w:r>
        <w:rPr>
          <w:rFonts w:eastAsia="MS Mincho"/>
          <w:szCs w:val="22"/>
          <w:lang w:val="lv-LV"/>
        </w:rPr>
        <w:t>un IV</w:t>
      </w:r>
      <w:r w:rsidR="00B47B7D">
        <w:rPr>
          <w:rFonts w:eastAsia="MS Mincho"/>
          <w:szCs w:val="22"/>
          <w:lang w:val="lv-LV"/>
        </w:rPr>
        <w:t> </w:t>
      </w:r>
      <w:r>
        <w:rPr>
          <w:rFonts w:eastAsia="MS Mincho"/>
          <w:szCs w:val="22"/>
          <w:lang w:val="lv-LV"/>
        </w:rPr>
        <w:t>pētījumu apvienotā analīzē pacientu īpatsvars, kas sasniedza ACR</w:t>
      </w:r>
      <w:r w:rsidR="003B6006">
        <w:rPr>
          <w:rFonts w:eastAsia="MS Mincho"/>
          <w:szCs w:val="22"/>
          <w:lang w:val="lv-LV"/>
        </w:rPr>
        <w:t> </w:t>
      </w:r>
      <w:r>
        <w:rPr>
          <w:rFonts w:eastAsia="MS Mincho"/>
          <w:szCs w:val="22"/>
          <w:lang w:val="lv-LV"/>
        </w:rPr>
        <w:t>20, 50 un</w:t>
      </w:r>
      <w:r w:rsidR="00B47B7D">
        <w:rPr>
          <w:rFonts w:eastAsia="MS Mincho"/>
          <w:szCs w:val="22"/>
          <w:lang w:val="lv-LV"/>
        </w:rPr>
        <w:t> </w:t>
      </w:r>
      <w:r>
        <w:rPr>
          <w:rFonts w:eastAsia="MS Mincho"/>
          <w:szCs w:val="22"/>
          <w:lang w:val="lv-LV"/>
        </w:rPr>
        <w:t>70 atbildes reakciju</w:t>
      </w:r>
      <w:r w:rsidR="00B47B7D">
        <w:rPr>
          <w:rFonts w:eastAsia="MS Mincho"/>
          <w:szCs w:val="22"/>
          <w:lang w:val="lv-LV"/>
        </w:rPr>
        <w:t>,</w:t>
      </w:r>
      <w:r>
        <w:rPr>
          <w:rFonts w:eastAsia="MS Mincho"/>
          <w:szCs w:val="22"/>
          <w:lang w:val="lv-LV"/>
        </w:rPr>
        <w:t xml:space="preserve"> bija nozīmīgi lielāks (attiecīgi 59% salīdzinājumā ar 50%, 37% salīdzinājumā ar 27%, 18% salīdzinājumā ar 11%) tocilizumaba 8 mg/kg plus DMARD terapijas grupā nekā tocilizumaba 4 mg/kg plus DMARD grupā (p</w:t>
      </w:r>
      <w:r w:rsidR="00B47B7D">
        <w:rPr>
          <w:rFonts w:eastAsia="MS Mincho"/>
          <w:szCs w:val="22"/>
          <w:lang w:val="lv-LV"/>
        </w:rPr>
        <w:t> ˂ </w:t>
      </w:r>
      <w:r>
        <w:rPr>
          <w:rFonts w:eastAsia="MS Mincho"/>
          <w:szCs w:val="22"/>
          <w:lang w:val="lv-LV"/>
        </w:rPr>
        <w:t>0,03). Līdzīgi pacientu īpatsvars, kas sasniedza DAS28 remisiju (DAS28</w:t>
      </w:r>
      <w:r w:rsidR="00B47B7D">
        <w:rPr>
          <w:rFonts w:eastAsia="MS Mincho"/>
          <w:szCs w:val="22"/>
          <w:lang w:val="lv-LV"/>
        </w:rPr>
        <w:t> ˂ </w:t>
      </w:r>
      <w:r>
        <w:rPr>
          <w:rFonts w:eastAsia="MS Mincho"/>
          <w:szCs w:val="22"/>
          <w:lang w:val="lv-LV"/>
        </w:rPr>
        <w:t>2,6) bija nozīmīgi lielāks (attiecīgi 31% salīdzinājumā ar 16%) pacientiem, kas saņēma tocilizumabu 8 mg/kg un DMARD</w:t>
      </w:r>
      <w:r w:rsidR="00B47B7D">
        <w:rPr>
          <w:rFonts w:eastAsia="MS Mincho"/>
          <w:szCs w:val="22"/>
          <w:lang w:val="lv-LV"/>
        </w:rPr>
        <w:t>,</w:t>
      </w:r>
      <w:r>
        <w:rPr>
          <w:rFonts w:eastAsia="MS Mincho"/>
          <w:szCs w:val="22"/>
          <w:lang w:val="lv-LV"/>
        </w:rPr>
        <w:t xml:space="preserve"> nekā pacientiem, kas saņēma 4 mg/kg tocilizumaba</w:t>
      </w:r>
      <w:del w:id="115" w:author="Author">
        <w:r w:rsidDel="00CE6B8D">
          <w:rPr>
            <w:rFonts w:eastAsia="MS Mincho"/>
            <w:szCs w:val="22"/>
            <w:lang w:val="lv-LV"/>
          </w:rPr>
          <w:delText xml:space="preserve"> </w:delText>
        </w:r>
      </w:del>
      <w:r w:rsidR="00B47B7D">
        <w:rPr>
          <w:rFonts w:eastAsia="MS Mincho"/>
          <w:szCs w:val="22"/>
          <w:lang w:val="lv-LV"/>
        </w:rPr>
        <w:t xml:space="preserve"> </w:t>
      </w:r>
      <w:r>
        <w:rPr>
          <w:rFonts w:eastAsia="MS Mincho"/>
          <w:szCs w:val="22"/>
          <w:lang w:val="lv-LV"/>
        </w:rPr>
        <w:t>un DMARD (p</w:t>
      </w:r>
      <w:r w:rsidR="00B47B7D">
        <w:rPr>
          <w:rFonts w:eastAsia="MS Mincho"/>
          <w:szCs w:val="22"/>
          <w:lang w:val="lv-LV"/>
        </w:rPr>
        <w:t> ˂ </w:t>
      </w:r>
      <w:r>
        <w:rPr>
          <w:rFonts w:eastAsia="MS Mincho"/>
          <w:szCs w:val="22"/>
          <w:lang w:val="lv-LV"/>
        </w:rPr>
        <w:t>0,0001).</w:t>
      </w:r>
    </w:p>
    <w:p w14:paraId="69DE2303" w14:textId="77777777" w:rsidR="00784D05" w:rsidRDefault="00784D05">
      <w:pPr>
        <w:rPr>
          <w:rFonts w:eastAsia="MS Mincho"/>
          <w:szCs w:val="22"/>
          <w:lang w:val="lv-LV"/>
        </w:rPr>
      </w:pPr>
    </w:p>
    <w:p w14:paraId="09F217B7" w14:textId="7A13F32F" w:rsidR="00784D05" w:rsidRDefault="00727752" w:rsidP="0063054D">
      <w:pPr>
        <w:keepNext/>
        <w:keepLines/>
        <w:suppressLineNumbers/>
        <w:ind w:left="924" w:hanging="924"/>
        <w:rPr>
          <w:bCs/>
          <w:i/>
          <w:szCs w:val="22"/>
          <w:lang w:val="lv-LV"/>
        </w:rPr>
      </w:pPr>
      <w:r>
        <w:rPr>
          <w:bCs/>
          <w:i/>
          <w:szCs w:val="22"/>
          <w:lang w:val="lv-LV"/>
        </w:rPr>
        <w:t>4</w:t>
      </w:r>
      <w:r w:rsidR="00784D05">
        <w:rPr>
          <w:bCs/>
          <w:i/>
          <w:szCs w:val="22"/>
          <w:lang w:val="lv-LV"/>
        </w:rPr>
        <w:t xml:space="preserve">. tabula. ACR atbildes reakcija </w:t>
      </w:r>
      <w:r w:rsidR="00B47B7D">
        <w:rPr>
          <w:bCs/>
          <w:i/>
          <w:szCs w:val="22"/>
          <w:lang w:val="lv-LV"/>
        </w:rPr>
        <w:t xml:space="preserve">ar </w:t>
      </w:r>
      <w:r w:rsidR="00784D05">
        <w:rPr>
          <w:bCs/>
          <w:i/>
          <w:szCs w:val="22"/>
          <w:lang w:val="lv-LV"/>
        </w:rPr>
        <w:t>placebo /</w:t>
      </w:r>
      <w:r w:rsidR="003B6006">
        <w:rPr>
          <w:bCs/>
          <w:i/>
          <w:szCs w:val="22"/>
          <w:lang w:val="lv-LV"/>
        </w:rPr>
        <w:t xml:space="preserve"> </w:t>
      </w:r>
      <w:r w:rsidR="00784D05">
        <w:rPr>
          <w:bCs/>
          <w:i/>
          <w:szCs w:val="22"/>
          <w:lang w:val="lv-LV"/>
        </w:rPr>
        <w:t>MTX</w:t>
      </w:r>
      <w:r w:rsidR="003B6006">
        <w:rPr>
          <w:bCs/>
          <w:i/>
          <w:szCs w:val="22"/>
          <w:lang w:val="lv-LV"/>
        </w:rPr>
        <w:t xml:space="preserve"> </w:t>
      </w:r>
      <w:r w:rsidR="00784D05">
        <w:rPr>
          <w:bCs/>
          <w:i/>
          <w:szCs w:val="22"/>
          <w:lang w:val="lv-LV"/>
        </w:rPr>
        <w:t>/</w:t>
      </w:r>
      <w:r w:rsidR="003B6006">
        <w:rPr>
          <w:bCs/>
          <w:i/>
          <w:szCs w:val="22"/>
          <w:lang w:val="lv-LV"/>
        </w:rPr>
        <w:t xml:space="preserve"> </w:t>
      </w:r>
      <w:r w:rsidR="00784D05">
        <w:rPr>
          <w:bCs/>
          <w:i/>
          <w:szCs w:val="22"/>
          <w:lang w:val="lv-LV"/>
        </w:rPr>
        <w:t>DMARD kontrolētos pētījumos (% pacientu)</w:t>
      </w:r>
    </w:p>
    <w:p w14:paraId="0D30C3F6" w14:textId="77777777" w:rsidR="003B3144" w:rsidRPr="003B3144" w:rsidRDefault="003B3144" w:rsidP="0063054D">
      <w:pPr>
        <w:keepNext/>
        <w:keepLines/>
        <w:suppressLineNumbers/>
        <w:ind w:left="924" w:hanging="924"/>
        <w:rPr>
          <w:szCs w:val="22"/>
          <w:lang w:val="lv-LV"/>
        </w:rPr>
      </w:pPr>
    </w:p>
    <w:tbl>
      <w:tblPr>
        <w:tblW w:w="9317" w:type="dxa"/>
        <w:tblInd w:w="-15" w:type="dxa"/>
        <w:tblLayout w:type="fixed"/>
        <w:tblLook w:val="0000" w:firstRow="0" w:lastRow="0" w:firstColumn="0" w:lastColumn="0" w:noHBand="0" w:noVBand="0"/>
        <w:tblPrChange w:id="116" w:author="Author">
          <w:tblPr>
            <w:tblW w:w="0" w:type="auto"/>
            <w:tblInd w:w="-15" w:type="dxa"/>
            <w:tblLayout w:type="fixed"/>
            <w:tblLook w:val="0000" w:firstRow="0" w:lastRow="0" w:firstColumn="0" w:lastColumn="0" w:noHBand="0" w:noVBand="0"/>
          </w:tblPr>
        </w:tblPrChange>
      </w:tblPr>
      <w:tblGrid>
        <w:gridCol w:w="744"/>
        <w:gridCol w:w="28"/>
        <w:gridCol w:w="922"/>
        <w:gridCol w:w="697"/>
        <w:gridCol w:w="818"/>
        <w:gridCol w:w="844"/>
        <w:gridCol w:w="844"/>
        <w:gridCol w:w="844"/>
        <w:gridCol w:w="929"/>
        <w:gridCol w:w="920"/>
        <w:gridCol w:w="11"/>
        <w:gridCol w:w="844"/>
        <w:gridCol w:w="872"/>
        <w:tblGridChange w:id="117">
          <w:tblGrid>
            <w:gridCol w:w="165"/>
            <w:gridCol w:w="579"/>
            <w:gridCol w:w="165"/>
            <w:gridCol w:w="28"/>
            <w:gridCol w:w="757"/>
            <w:gridCol w:w="165"/>
            <w:gridCol w:w="532"/>
            <w:gridCol w:w="139"/>
            <w:gridCol w:w="679"/>
            <w:gridCol w:w="165"/>
            <w:gridCol w:w="679"/>
            <w:gridCol w:w="165"/>
            <w:gridCol w:w="679"/>
            <w:gridCol w:w="165"/>
            <w:gridCol w:w="679"/>
            <w:gridCol w:w="165"/>
            <w:gridCol w:w="764"/>
            <w:gridCol w:w="165"/>
            <w:gridCol w:w="766"/>
            <w:gridCol w:w="154"/>
            <w:gridCol w:w="11"/>
            <w:gridCol w:w="679"/>
            <w:gridCol w:w="165"/>
            <w:gridCol w:w="707"/>
            <w:gridCol w:w="165"/>
          </w:tblGrid>
        </w:tblGridChange>
      </w:tblGrid>
      <w:tr w:rsidR="00784D05" w14:paraId="204EF891" w14:textId="77777777" w:rsidTr="002007A3">
        <w:trPr>
          <w:trHeight w:val="463"/>
          <w:trPrChange w:id="118" w:author="Author">
            <w:trPr>
              <w:gridBefore w:val="1"/>
              <w:trHeight w:val="463"/>
            </w:trPr>
          </w:trPrChange>
        </w:trPr>
        <w:tc>
          <w:tcPr>
            <w:tcW w:w="744" w:type="dxa"/>
            <w:tcBorders>
              <w:top w:val="single" w:sz="4" w:space="0" w:color="000000"/>
              <w:left w:val="single" w:sz="4" w:space="0" w:color="000000"/>
              <w:bottom w:val="single" w:sz="4" w:space="0" w:color="000000"/>
            </w:tcBorders>
            <w:tcPrChange w:id="119" w:author="Author">
              <w:tcPr>
                <w:tcW w:w="744" w:type="dxa"/>
                <w:gridSpan w:val="2"/>
                <w:tcBorders>
                  <w:top w:val="single" w:sz="4" w:space="0" w:color="000000"/>
                  <w:left w:val="single" w:sz="4" w:space="0" w:color="000000"/>
                  <w:bottom w:val="single" w:sz="4" w:space="0" w:color="000000"/>
                </w:tcBorders>
              </w:tcPr>
            </w:tcPrChange>
          </w:tcPr>
          <w:p w14:paraId="278470FE" w14:textId="77777777" w:rsidR="00784D05" w:rsidRDefault="00784D05" w:rsidP="0063054D">
            <w:pPr>
              <w:keepNext/>
              <w:keepLines/>
              <w:suppressLineNumbers/>
              <w:snapToGrid w:val="0"/>
              <w:ind w:right="-2"/>
              <w:jc w:val="center"/>
              <w:rPr>
                <w:lang w:val="lv-LV"/>
              </w:rPr>
            </w:pPr>
          </w:p>
        </w:tc>
        <w:tc>
          <w:tcPr>
            <w:tcW w:w="1647" w:type="dxa"/>
            <w:gridSpan w:val="3"/>
            <w:tcBorders>
              <w:top w:val="single" w:sz="4" w:space="0" w:color="000000"/>
              <w:left w:val="single" w:sz="4" w:space="0" w:color="000000"/>
              <w:bottom w:val="single" w:sz="4" w:space="0" w:color="000000"/>
            </w:tcBorders>
            <w:tcPrChange w:id="120" w:author="Author">
              <w:tcPr>
                <w:tcW w:w="1621" w:type="dxa"/>
                <w:gridSpan w:val="5"/>
                <w:tcBorders>
                  <w:top w:val="single" w:sz="4" w:space="0" w:color="000000"/>
                  <w:left w:val="single" w:sz="4" w:space="0" w:color="000000"/>
                  <w:bottom w:val="single" w:sz="4" w:space="0" w:color="000000"/>
                </w:tcBorders>
              </w:tcPr>
            </w:tcPrChange>
          </w:tcPr>
          <w:p w14:paraId="1EEF8BE1" w14:textId="77777777" w:rsidR="00784D05" w:rsidRDefault="00784D05" w:rsidP="0063054D">
            <w:pPr>
              <w:keepNext/>
              <w:keepLines/>
              <w:suppressLineNumbers/>
              <w:ind w:right="-2"/>
              <w:jc w:val="center"/>
              <w:rPr>
                <w:b/>
                <w:bCs/>
                <w:sz w:val="18"/>
                <w:szCs w:val="18"/>
                <w:lang w:val="lv-LV"/>
              </w:rPr>
            </w:pPr>
            <w:r>
              <w:rPr>
                <w:b/>
                <w:bCs/>
                <w:sz w:val="18"/>
                <w:szCs w:val="18"/>
                <w:lang w:val="lv-LV"/>
              </w:rPr>
              <w:t>I pētījums</w:t>
            </w:r>
          </w:p>
          <w:p w14:paraId="66D5F4C7" w14:textId="77777777" w:rsidR="00784D05" w:rsidRDefault="00784D05" w:rsidP="0063054D">
            <w:pPr>
              <w:keepNext/>
              <w:keepLines/>
              <w:suppressLineNumbers/>
              <w:ind w:right="-2"/>
              <w:jc w:val="center"/>
              <w:rPr>
                <w:b/>
                <w:bCs/>
                <w:sz w:val="18"/>
                <w:szCs w:val="18"/>
                <w:lang w:val="lv-LV"/>
              </w:rPr>
            </w:pPr>
            <w:r>
              <w:rPr>
                <w:b/>
                <w:bCs/>
                <w:sz w:val="18"/>
                <w:szCs w:val="18"/>
                <w:lang w:val="lv-LV"/>
              </w:rPr>
              <w:t>AMBITION</w:t>
            </w:r>
          </w:p>
        </w:tc>
        <w:tc>
          <w:tcPr>
            <w:tcW w:w="1662" w:type="dxa"/>
            <w:gridSpan w:val="2"/>
            <w:tcBorders>
              <w:top w:val="single" w:sz="4" w:space="0" w:color="000000"/>
              <w:left w:val="single" w:sz="4" w:space="0" w:color="000000"/>
              <w:bottom w:val="single" w:sz="4" w:space="0" w:color="000000"/>
            </w:tcBorders>
            <w:tcPrChange w:id="121" w:author="Author">
              <w:tcPr>
                <w:tcW w:w="1688" w:type="dxa"/>
                <w:gridSpan w:val="4"/>
                <w:tcBorders>
                  <w:top w:val="single" w:sz="4" w:space="0" w:color="000000"/>
                  <w:left w:val="single" w:sz="4" w:space="0" w:color="000000"/>
                  <w:bottom w:val="single" w:sz="4" w:space="0" w:color="000000"/>
                </w:tcBorders>
              </w:tcPr>
            </w:tcPrChange>
          </w:tcPr>
          <w:p w14:paraId="391C5F6B" w14:textId="77777777" w:rsidR="00784D05" w:rsidRDefault="00784D05" w:rsidP="0063054D">
            <w:pPr>
              <w:keepNext/>
              <w:keepLines/>
              <w:suppressLineNumbers/>
              <w:ind w:right="-2"/>
              <w:jc w:val="center"/>
              <w:rPr>
                <w:b/>
                <w:bCs/>
                <w:sz w:val="18"/>
                <w:szCs w:val="18"/>
                <w:lang w:val="lv-LV"/>
              </w:rPr>
            </w:pPr>
            <w:r>
              <w:rPr>
                <w:b/>
                <w:bCs/>
                <w:sz w:val="18"/>
                <w:szCs w:val="18"/>
                <w:lang w:val="lv-LV"/>
              </w:rPr>
              <w:t>II pētījums</w:t>
            </w:r>
          </w:p>
          <w:p w14:paraId="10855FA5" w14:textId="77777777" w:rsidR="00784D05" w:rsidRDefault="00784D05" w:rsidP="0063054D">
            <w:pPr>
              <w:keepNext/>
              <w:keepLines/>
              <w:suppressLineNumbers/>
              <w:ind w:right="-2"/>
              <w:jc w:val="center"/>
              <w:rPr>
                <w:b/>
                <w:bCs/>
                <w:sz w:val="18"/>
                <w:szCs w:val="18"/>
                <w:lang w:val="lv-LV"/>
              </w:rPr>
            </w:pPr>
            <w:r>
              <w:rPr>
                <w:b/>
                <w:bCs/>
                <w:sz w:val="18"/>
                <w:szCs w:val="18"/>
                <w:lang w:val="lv-LV"/>
              </w:rPr>
              <w:t>LITHE</w:t>
            </w:r>
          </w:p>
        </w:tc>
        <w:tc>
          <w:tcPr>
            <w:tcW w:w="1688" w:type="dxa"/>
            <w:gridSpan w:val="2"/>
            <w:tcBorders>
              <w:top w:val="single" w:sz="4" w:space="0" w:color="000000"/>
              <w:left w:val="single" w:sz="4" w:space="0" w:color="000000"/>
              <w:bottom w:val="single" w:sz="4" w:space="0" w:color="000000"/>
            </w:tcBorders>
            <w:tcPrChange w:id="122" w:author="Author">
              <w:tcPr>
                <w:tcW w:w="1688" w:type="dxa"/>
                <w:gridSpan w:val="4"/>
                <w:tcBorders>
                  <w:top w:val="single" w:sz="4" w:space="0" w:color="000000"/>
                  <w:left w:val="single" w:sz="4" w:space="0" w:color="000000"/>
                  <w:bottom w:val="single" w:sz="4" w:space="0" w:color="000000"/>
                </w:tcBorders>
              </w:tcPr>
            </w:tcPrChange>
          </w:tcPr>
          <w:p w14:paraId="67B2F343" w14:textId="77777777" w:rsidR="00784D05" w:rsidRDefault="00784D05" w:rsidP="0063054D">
            <w:pPr>
              <w:keepNext/>
              <w:keepLines/>
              <w:suppressLineNumbers/>
              <w:ind w:right="-2"/>
              <w:jc w:val="center"/>
              <w:rPr>
                <w:b/>
                <w:bCs/>
                <w:sz w:val="18"/>
                <w:szCs w:val="18"/>
                <w:lang w:val="lv-LV"/>
              </w:rPr>
            </w:pPr>
            <w:r>
              <w:rPr>
                <w:b/>
                <w:bCs/>
                <w:sz w:val="18"/>
                <w:szCs w:val="18"/>
                <w:lang w:val="lv-LV"/>
              </w:rPr>
              <w:t>III pētījums</w:t>
            </w:r>
          </w:p>
          <w:p w14:paraId="572B45A1" w14:textId="77777777" w:rsidR="00784D05" w:rsidRDefault="00784D05" w:rsidP="0063054D">
            <w:pPr>
              <w:keepNext/>
              <w:keepLines/>
              <w:suppressLineNumbers/>
              <w:ind w:right="-2"/>
              <w:jc w:val="center"/>
              <w:rPr>
                <w:b/>
                <w:bCs/>
                <w:sz w:val="18"/>
                <w:szCs w:val="18"/>
                <w:lang w:val="lv-LV"/>
              </w:rPr>
            </w:pPr>
            <w:r>
              <w:rPr>
                <w:b/>
                <w:bCs/>
                <w:sz w:val="18"/>
                <w:szCs w:val="18"/>
                <w:lang w:val="lv-LV"/>
              </w:rPr>
              <w:t>OPTION</w:t>
            </w:r>
          </w:p>
        </w:tc>
        <w:tc>
          <w:tcPr>
            <w:tcW w:w="1860" w:type="dxa"/>
            <w:gridSpan w:val="3"/>
            <w:tcBorders>
              <w:top w:val="single" w:sz="4" w:space="0" w:color="000000"/>
              <w:left w:val="single" w:sz="4" w:space="0" w:color="000000"/>
              <w:bottom w:val="single" w:sz="4" w:space="0" w:color="000000"/>
            </w:tcBorders>
            <w:tcPrChange w:id="123" w:author="Author">
              <w:tcPr>
                <w:tcW w:w="1860" w:type="dxa"/>
                <w:gridSpan w:val="5"/>
                <w:tcBorders>
                  <w:top w:val="single" w:sz="4" w:space="0" w:color="000000"/>
                  <w:left w:val="single" w:sz="4" w:space="0" w:color="000000"/>
                  <w:bottom w:val="single" w:sz="4" w:space="0" w:color="000000"/>
                </w:tcBorders>
              </w:tcPr>
            </w:tcPrChange>
          </w:tcPr>
          <w:p w14:paraId="321B07BB" w14:textId="77777777" w:rsidR="00784D05" w:rsidRDefault="00784D05" w:rsidP="0063054D">
            <w:pPr>
              <w:keepNext/>
              <w:keepLines/>
              <w:suppressLineNumbers/>
              <w:ind w:right="-2"/>
              <w:jc w:val="center"/>
              <w:rPr>
                <w:b/>
                <w:bCs/>
                <w:sz w:val="18"/>
                <w:szCs w:val="18"/>
                <w:lang w:val="lv-LV"/>
              </w:rPr>
            </w:pPr>
            <w:r>
              <w:rPr>
                <w:b/>
                <w:bCs/>
                <w:sz w:val="18"/>
                <w:szCs w:val="18"/>
                <w:lang w:val="lv-LV"/>
              </w:rPr>
              <w:t>IV pētījums</w:t>
            </w:r>
          </w:p>
          <w:p w14:paraId="52046D65" w14:textId="77777777" w:rsidR="00784D05" w:rsidRDefault="00784D05" w:rsidP="0063054D">
            <w:pPr>
              <w:keepNext/>
              <w:keepLines/>
              <w:suppressLineNumbers/>
              <w:ind w:right="-2"/>
              <w:jc w:val="center"/>
              <w:rPr>
                <w:b/>
                <w:bCs/>
                <w:sz w:val="18"/>
                <w:szCs w:val="18"/>
                <w:lang w:val="lv-LV"/>
              </w:rPr>
            </w:pPr>
            <w:r>
              <w:rPr>
                <w:b/>
                <w:bCs/>
                <w:sz w:val="18"/>
                <w:szCs w:val="18"/>
                <w:lang w:val="lv-LV"/>
              </w:rPr>
              <w:t>TOWARD</w:t>
            </w:r>
          </w:p>
        </w:tc>
        <w:tc>
          <w:tcPr>
            <w:tcW w:w="1716" w:type="dxa"/>
            <w:gridSpan w:val="2"/>
            <w:tcBorders>
              <w:top w:val="single" w:sz="4" w:space="0" w:color="000000"/>
              <w:left w:val="single" w:sz="4" w:space="0" w:color="000000"/>
              <w:bottom w:val="single" w:sz="4" w:space="0" w:color="000000"/>
              <w:right w:val="single" w:sz="4" w:space="0" w:color="000000"/>
            </w:tcBorders>
            <w:tcPrChange w:id="124" w:author="Author">
              <w:tcPr>
                <w:tcW w:w="1716" w:type="dxa"/>
                <w:gridSpan w:val="4"/>
                <w:tcBorders>
                  <w:top w:val="single" w:sz="4" w:space="0" w:color="000000"/>
                  <w:left w:val="single" w:sz="4" w:space="0" w:color="000000"/>
                  <w:bottom w:val="single" w:sz="4" w:space="0" w:color="000000"/>
                  <w:right w:val="single" w:sz="4" w:space="0" w:color="000000"/>
                </w:tcBorders>
              </w:tcPr>
            </w:tcPrChange>
          </w:tcPr>
          <w:p w14:paraId="0EE59B14" w14:textId="77777777" w:rsidR="00784D05" w:rsidRDefault="00784D05" w:rsidP="0063054D">
            <w:pPr>
              <w:keepNext/>
              <w:keepLines/>
              <w:suppressLineNumbers/>
              <w:ind w:right="-2"/>
              <w:jc w:val="center"/>
              <w:rPr>
                <w:b/>
                <w:bCs/>
                <w:sz w:val="18"/>
                <w:szCs w:val="18"/>
                <w:lang w:val="lv-LV"/>
              </w:rPr>
            </w:pPr>
            <w:r>
              <w:rPr>
                <w:b/>
                <w:bCs/>
                <w:sz w:val="18"/>
                <w:szCs w:val="18"/>
                <w:lang w:val="lv-LV"/>
              </w:rPr>
              <w:t>V pētījums</w:t>
            </w:r>
          </w:p>
          <w:p w14:paraId="197B0A83" w14:textId="77777777" w:rsidR="00784D05" w:rsidRDefault="00784D05" w:rsidP="0063054D">
            <w:pPr>
              <w:keepNext/>
              <w:keepLines/>
              <w:suppressLineNumbers/>
              <w:ind w:right="-2"/>
              <w:jc w:val="center"/>
              <w:rPr>
                <w:b/>
                <w:bCs/>
                <w:sz w:val="18"/>
                <w:szCs w:val="18"/>
                <w:lang w:val="lv-LV"/>
              </w:rPr>
            </w:pPr>
            <w:r>
              <w:rPr>
                <w:b/>
                <w:bCs/>
                <w:sz w:val="18"/>
                <w:szCs w:val="18"/>
                <w:lang w:val="lv-LV"/>
              </w:rPr>
              <w:t>RADIATE</w:t>
            </w:r>
          </w:p>
        </w:tc>
      </w:tr>
      <w:tr w:rsidR="00784D05" w14:paraId="71FFC883" w14:textId="77777777" w:rsidTr="002007A3">
        <w:trPr>
          <w:trHeight w:val="737"/>
          <w:trPrChange w:id="125" w:author="Author">
            <w:trPr>
              <w:gridBefore w:val="1"/>
              <w:trHeight w:val="737"/>
            </w:trPr>
          </w:trPrChange>
        </w:trPr>
        <w:tc>
          <w:tcPr>
            <w:tcW w:w="744" w:type="dxa"/>
            <w:tcBorders>
              <w:top w:val="single" w:sz="4" w:space="0" w:color="000000"/>
              <w:left w:val="single" w:sz="4" w:space="0" w:color="000000"/>
              <w:bottom w:val="single" w:sz="4" w:space="0" w:color="000000"/>
            </w:tcBorders>
            <w:tcPrChange w:id="126" w:author="Author">
              <w:tcPr>
                <w:tcW w:w="744" w:type="dxa"/>
                <w:gridSpan w:val="2"/>
                <w:tcBorders>
                  <w:top w:val="single" w:sz="4" w:space="0" w:color="000000"/>
                  <w:left w:val="single" w:sz="4" w:space="0" w:color="000000"/>
                  <w:bottom w:val="single" w:sz="4" w:space="0" w:color="000000"/>
                </w:tcBorders>
              </w:tcPr>
            </w:tcPrChange>
          </w:tcPr>
          <w:p w14:paraId="10A29644" w14:textId="77777777" w:rsidR="00784D05" w:rsidRDefault="00784D05" w:rsidP="0063054D">
            <w:pPr>
              <w:keepNext/>
              <w:keepLines/>
              <w:suppressLineNumbers/>
              <w:ind w:right="-2"/>
              <w:jc w:val="center"/>
              <w:rPr>
                <w:b/>
                <w:bCs/>
                <w:sz w:val="18"/>
                <w:szCs w:val="18"/>
                <w:lang w:val="lv-LV"/>
              </w:rPr>
            </w:pPr>
            <w:r>
              <w:rPr>
                <w:b/>
                <w:bCs/>
                <w:sz w:val="18"/>
                <w:szCs w:val="18"/>
                <w:lang w:val="lv-LV"/>
              </w:rPr>
              <w:t>Nedēļa</w:t>
            </w:r>
          </w:p>
        </w:tc>
        <w:tc>
          <w:tcPr>
            <w:tcW w:w="950" w:type="dxa"/>
            <w:gridSpan w:val="2"/>
            <w:tcBorders>
              <w:top w:val="single" w:sz="4" w:space="0" w:color="000000"/>
              <w:left w:val="single" w:sz="4" w:space="0" w:color="000000"/>
              <w:bottom w:val="single" w:sz="4" w:space="0" w:color="000000"/>
            </w:tcBorders>
            <w:tcPrChange w:id="127" w:author="Author">
              <w:tcPr>
                <w:tcW w:w="950" w:type="dxa"/>
                <w:gridSpan w:val="3"/>
                <w:tcBorders>
                  <w:top w:val="single" w:sz="4" w:space="0" w:color="000000"/>
                  <w:left w:val="single" w:sz="4" w:space="0" w:color="000000"/>
                  <w:bottom w:val="single" w:sz="4" w:space="0" w:color="000000"/>
                </w:tcBorders>
              </w:tcPr>
            </w:tcPrChange>
          </w:tcPr>
          <w:p w14:paraId="486B5C09" w14:textId="77777777" w:rsidR="00784D05" w:rsidRDefault="00784D05" w:rsidP="0063054D">
            <w:pPr>
              <w:keepNext/>
              <w:keepLines/>
              <w:suppressLineNumbers/>
              <w:ind w:right="-2"/>
              <w:jc w:val="center"/>
              <w:rPr>
                <w:b/>
                <w:bCs/>
                <w:sz w:val="18"/>
                <w:szCs w:val="18"/>
                <w:lang w:val="lv-LV"/>
              </w:rPr>
            </w:pPr>
            <w:r>
              <w:rPr>
                <w:b/>
                <w:bCs/>
                <w:sz w:val="18"/>
                <w:szCs w:val="18"/>
                <w:lang w:val="lv-LV"/>
              </w:rPr>
              <w:t>TCZ</w:t>
            </w:r>
          </w:p>
          <w:p w14:paraId="59B69AFC" w14:textId="77777777" w:rsidR="00784D05" w:rsidRDefault="00784D05" w:rsidP="0063054D">
            <w:pPr>
              <w:keepNext/>
              <w:keepLines/>
              <w:suppressLineNumbers/>
              <w:ind w:right="-2"/>
              <w:jc w:val="center"/>
              <w:rPr>
                <w:b/>
                <w:bCs/>
                <w:sz w:val="18"/>
                <w:szCs w:val="18"/>
                <w:lang w:val="lv-LV"/>
              </w:rPr>
            </w:pPr>
            <w:r>
              <w:rPr>
                <w:b/>
                <w:bCs/>
                <w:sz w:val="18"/>
                <w:szCs w:val="18"/>
                <w:lang w:val="lv-LV"/>
              </w:rPr>
              <w:t>8 mg/kg</w:t>
            </w:r>
          </w:p>
        </w:tc>
        <w:tc>
          <w:tcPr>
            <w:tcW w:w="697" w:type="dxa"/>
            <w:tcBorders>
              <w:top w:val="single" w:sz="4" w:space="0" w:color="000000"/>
              <w:left w:val="single" w:sz="4" w:space="0" w:color="000000"/>
              <w:bottom w:val="single" w:sz="4" w:space="0" w:color="000000"/>
            </w:tcBorders>
            <w:tcPrChange w:id="128" w:author="Author">
              <w:tcPr>
                <w:tcW w:w="671" w:type="dxa"/>
                <w:gridSpan w:val="2"/>
                <w:tcBorders>
                  <w:top w:val="single" w:sz="4" w:space="0" w:color="000000"/>
                  <w:left w:val="single" w:sz="4" w:space="0" w:color="000000"/>
                  <w:bottom w:val="single" w:sz="4" w:space="0" w:color="000000"/>
                </w:tcBorders>
              </w:tcPr>
            </w:tcPrChange>
          </w:tcPr>
          <w:p w14:paraId="4D64ADF5" w14:textId="77777777" w:rsidR="00784D05" w:rsidRDefault="00784D05" w:rsidP="0063054D">
            <w:pPr>
              <w:keepNext/>
              <w:keepLines/>
              <w:suppressLineNumbers/>
              <w:ind w:right="-2"/>
              <w:jc w:val="center"/>
              <w:rPr>
                <w:b/>
                <w:bCs/>
                <w:sz w:val="18"/>
                <w:szCs w:val="18"/>
                <w:lang w:val="lv-LV"/>
              </w:rPr>
            </w:pPr>
            <w:r>
              <w:rPr>
                <w:b/>
                <w:bCs/>
                <w:sz w:val="18"/>
                <w:szCs w:val="18"/>
                <w:lang w:val="lv-LV"/>
              </w:rPr>
              <w:t>MTX</w:t>
            </w:r>
          </w:p>
        </w:tc>
        <w:tc>
          <w:tcPr>
            <w:tcW w:w="818" w:type="dxa"/>
            <w:tcBorders>
              <w:top w:val="single" w:sz="4" w:space="0" w:color="000000"/>
              <w:left w:val="single" w:sz="4" w:space="0" w:color="000000"/>
              <w:bottom w:val="single" w:sz="4" w:space="0" w:color="000000"/>
            </w:tcBorders>
            <w:tcPrChange w:id="129" w:author="Author">
              <w:tcPr>
                <w:tcW w:w="844" w:type="dxa"/>
                <w:gridSpan w:val="2"/>
                <w:tcBorders>
                  <w:top w:val="single" w:sz="4" w:space="0" w:color="000000"/>
                  <w:left w:val="single" w:sz="4" w:space="0" w:color="000000"/>
                  <w:bottom w:val="single" w:sz="4" w:space="0" w:color="000000"/>
                </w:tcBorders>
              </w:tcPr>
            </w:tcPrChange>
          </w:tcPr>
          <w:p w14:paraId="2A7265E0" w14:textId="77777777" w:rsidR="00784D05" w:rsidRDefault="00784D05" w:rsidP="0063054D">
            <w:pPr>
              <w:keepNext/>
              <w:keepLines/>
              <w:suppressLineNumbers/>
              <w:ind w:right="-2"/>
              <w:jc w:val="center"/>
              <w:rPr>
                <w:b/>
                <w:bCs/>
                <w:sz w:val="18"/>
                <w:szCs w:val="18"/>
                <w:lang w:val="lv-LV"/>
              </w:rPr>
            </w:pPr>
            <w:r>
              <w:rPr>
                <w:b/>
                <w:bCs/>
                <w:sz w:val="18"/>
                <w:szCs w:val="18"/>
                <w:lang w:val="lv-LV"/>
              </w:rPr>
              <w:t>TCZ</w:t>
            </w:r>
          </w:p>
          <w:p w14:paraId="01BAFC00" w14:textId="77777777" w:rsidR="00784D05" w:rsidRDefault="00784D05" w:rsidP="0063054D">
            <w:pPr>
              <w:keepNext/>
              <w:keepLines/>
              <w:suppressLineNumbers/>
              <w:ind w:right="-2"/>
              <w:jc w:val="center"/>
              <w:rPr>
                <w:b/>
                <w:bCs/>
                <w:sz w:val="18"/>
                <w:szCs w:val="18"/>
                <w:lang w:val="lv-LV"/>
              </w:rPr>
            </w:pPr>
            <w:r>
              <w:rPr>
                <w:b/>
                <w:bCs/>
                <w:sz w:val="18"/>
                <w:szCs w:val="18"/>
                <w:lang w:val="lv-LV"/>
              </w:rPr>
              <w:t>8 mg/kg + MTX</w:t>
            </w:r>
          </w:p>
        </w:tc>
        <w:tc>
          <w:tcPr>
            <w:tcW w:w="844" w:type="dxa"/>
            <w:tcBorders>
              <w:top w:val="single" w:sz="4" w:space="0" w:color="000000"/>
              <w:left w:val="single" w:sz="4" w:space="0" w:color="000000"/>
              <w:bottom w:val="single" w:sz="4" w:space="0" w:color="000000"/>
            </w:tcBorders>
            <w:tcPrChange w:id="130" w:author="Author">
              <w:tcPr>
                <w:tcW w:w="844" w:type="dxa"/>
                <w:gridSpan w:val="2"/>
                <w:tcBorders>
                  <w:top w:val="single" w:sz="4" w:space="0" w:color="000000"/>
                  <w:left w:val="single" w:sz="4" w:space="0" w:color="000000"/>
                  <w:bottom w:val="single" w:sz="4" w:space="0" w:color="000000"/>
                </w:tcBorders>
              </w:tcPr>
            </w:tcPrChange>
          </w:tcPr>
          <w:p w14:paraId="7D623342" w14:textId="77777777" w:rsidR="00784D05" w:rsidRDefault="00784D05" w:rsidP="0063054D">
            <w:pPr>
              <w:keepNext/>
              <w:keepLines/>
              <w:suppressLineNumbers/>
              <w:ind w:right="-2"/>
              <w:jc w:val="center"/>
              <w:rPr>
                <w:b/>
                <w:bCs/>
                <w:sz w:val="18"/>
                <w:szCs w:val="18"/>
                <w:lang w:val="lv-LV"/>
              </w:rPr>
            </w:pPr>
            <w:r>
              <w:rPr>
                <w:b/>
                <w:bCs/>
                <w:sz w:val="18"/>
                <w:szCs w:val="18"/>
                <w:lang w:val="lv-LV"/>
              </w:rPr>
              <w:t>PBO + MTX</w:t>
            </w:r>
          </w:p>
        </w:tc>
        <w:tc>
          <w:tcPr>
            <w:tcW w:w="844" w:type="dxa"/>
            <w:tcBorders>
              <w:top w:val="single" w:sz="4" w:space="0" w:color="000000"/>
              <w:left w:val="single" w:sz="4" w:space="0" w:color="000000"/>
              <w:bottom w:val="single" w:sz="4" w:space="0" w:color="000000"/>
            </w:tcBorders>
            <w:tcPrChange w:id="131" w:author="Author">
              <w:tcPr>
                <w:tcW w:w="844" w:type="dxa"/>
                <w:gridSpan w:val="2"/>
                <w:tcBorders>
                  <w:top w:val="single" w:sz="4" w:space="0" w:color="000000"/>
                  <w:left w:val="single" w:sz="4" w:space="0" w:color="000000"/>
                  <w:bottom w:val="single" w:sz="4" w:space="0" w:color="000000"/>
                </w:tcBorders>
              </w:tcPr>
            </w:tcPrChange>
          </w:tcPr>
          <w:p w14:paraId="3B557213" w14:textId="77777777" w:rsidR="00784D05" w:rsidRDefault="00784D05" w:rsidP="0063054D">
            <w:pPr>
              <w:keepNext/>
              <w:keepLines/>
              <w:suppressLineNumbers/>
              <w:ind w:right="-2"/>
              <w:jc w:val="center"/>
              <w:rPr>
                <w:b/>
                <w:bCs/>
                <w:sz w:val="18"/>
                <w:szCs w:val="18"/>
                <w:lang w:val="lv-LV"/>
              </w:rPr>
            </w:pPr>
            <w:r>
              <w:rPr>
                <w:b/>
                <w:bCs/>
                <w:sz w:val="18"/>
                <w:szCs w:val="18"/>
                <w:lang w:val="lv-LV"/>
              </w:rPr>
              <w:t>TCZ</w:t>
            </w:r>
          </w:p>
          <w:p w14:paraId="5806207D" w14:textId="77777777" w:rsidR="00784D05" w:rsidRDefault="00784D05" w:rsidP="0063054D">
            <w:pPr>
              <w:keepNext/>
              <w:keepLines/>
              <w:suppressLineNumbers/>
              <w:ind w:right="-2"/>
              <w:jc w:val="center"/>
              <w:rPr>
                <w:b/>
                <w:bCs/>
                <w:sz w:val="18"/>
                <w:szCs w:val="18"/>
                <w:lang w:val="lv-LV"/>
              </w:rPr>
            </w:pPr>
            <w:r>
              <w:rPr>
                <w:b/>
                <w:bCs/>
                <w:sz w:val="18"/>
                <w:szCs w:val="18"/>
                <w:lang w:val="lv-LV"/>
              </w:rPr>
              <w:t>8 mg/kg + MTX</w:t>
            </w:r>
          </w:p>
        </w:tc>
        <w:tc>
          <w:tcPr>
            <w:tcW w:w="844" w:type="dxa"/>
            <w:tcBorders>
              <w:top w:val="single" w:sz="4" w:space="0" w:color="000000"/>
              <w:left w:val="single" w:sz="4" w:space="0" w:color="000000"/>
              <w:bottom w:val="single" w:sz="4" w:space="0" w:color="000000"/>
            </w:tcBorders>
            <w:tcPrChange w:id="132" w:author="Author">
              <w:tcPr>
                <w:tcW w:w="844" w:type="dxa"/>
                <w:gridSpan w:val="2"/>
                <w:tcBorders>
                  <w:top w:val="single" w:sz="4" w:space="0" w:color="000000"/>
                  <w:left w:val="single" w:sz="4" w:space="0" w:color="000000"/>
                  <w:bottom w:val="single" w:sz="4" w:space="0" w:color="000000"/>
                </w:tcBorders>
              </w:tcPr>
            </w:tcPrChange>
          </w:tcPr>
          <w:p w14:paraId="7E19303A" w14:textId="77777777" w:rsidR="00784D05" w:rsidRDefault="00784D05" w:rsidP="0063054D">
            <w:pPr>
              <w:keepNext/>
              <w:keepLines/>
              <w:suppressLineNumbers/>
              <w:ind w:right="-2"/>
              <w:jc w:val="center"/>
              <w:rPr>
                <w:b/>
                <w:bCs/>
                <w:sz w:val="18"/>
                <w:szCs w:val="18"/>
                <w:lang w:val="lv-LV"/>
              </w:rPr>
            </w:pPr>
            <w:r>
              <w:rPr>
                <w:b/>
                <w:bCs/>
                <w:sz w:val="18"/>
                <w:szCs w:val="18"/>
                <w:lang w:val="lv-LV"/>
              </w:rPr>
              <w:t>PBO + MTX</w:t>
            </w:r>
          </w:p>
        </w:tc>
        <w:tc>
          <w:tcPr>
            <w:tcW w:w="929" w:type="dxa"/>
            <w:tcBorders>
              <w:top w:val="single" w:sz="4" w:space="0" w:color="000000"/>
              <w:left w:val="single" w:sz="4" w:space="0" w:color="000000"/>
              <w:bottom w:val="single" w:sz="4" w:space="0" w:color="000000"/>
            </w:tcBorders>
            <w:tcPrChange w:id="133" w:author="Author">
              <w:tcPr>
                <w:tcW w:w="929" w:type="dxa"/>
                <w:gridSpan w:val="2"/>
                <w:tcBorders>
                  <w:top w:val="single" w:sz="4" w:space="0" w:color="000000"/>
                  <w:left w:val="single" w:sz="4" w:space="0" w:color="000000"/>
                  <w:bottom w:val="single" w:sz="4" w:space="0" w:color="000000"/>
                </w:tcBorders>
              </w:tcPr>
            </w:tcPrChange>
          </w:tcPr>
          <w:p w14:paraId="275C1297" w14:textId="77777777" w:rsidR="00784D05" w:rsidRDefault="00784D05" w:rsidP="0063054D">
            <w:pPr>
              <w:keepNext/>
              <w:keepLines/>
              <w:suppressLineNumbers/>
              <w:ind w:right="-2"/>
              <w:jc w:val="center"/>
              <w:rPr>
                <w:b/>
                <w:bCs/>
                <w:sz w:val="18"/>
                <w:szCs w:val="18"/>
                <w:lang w:val="lv-LV"/>
              </w:rPr>
            </w:pPr>
            <w:r>
              <w:rPr>
                <w:b/>
                <w:bCs/>
                <w:sz w:val="18"/>
                <w:szCs w:val="18"/>
                <w:lang w:val="lv-LV"/>
              </w:rPr>
              <w:t>TCZ</w:t>
            </w:r>
          </w:p>
          <w:p w14:paraId="1241E587" w14:textId="77777777" w:rsidR="00784D05" w:rsidRDefault="00784D05" w:rsidP="0063054D">
            <w:pPr>
              <w:keepNext/>
              <w:keepLines/>
              <w:suppressLineNumbers/>
              <w:ind w:right="-2"/>
              <w:jc w:val="center"/>
              <w:rPr>
                <w:b/>
                <w:bCs/>
                <w:sz w:val="18"/>
                <w:szCs w:val="18"/>
                <w:lang w:val="lv-LV"/>
              </w:rPr>
            </w:pPr>
            <w:r>
              <w:rPr>
                <w:b/>
                <w:bCs/>
                <w:sz w:val="18"/>
                <w:szCs w:val="18"/>
                <w:lang w:val="lv-LV"/>
              </w:rPr>
              <w:t>8 mg/kg + DMARD</w:t>
            </w:r>
          </w:p>
        </w:tc>
        <w:tc>
          <w:tcPr>
            <w:tcW w:w="931" w:type="dxa"/>
            <w:gridSpan w:val="2"/>
            <w:tcBorders>
              <w:top w:val="single" w:sz="4" w:space="0" w:color="000000"/>
              <w:left w:val="single" w:sz="4" w:space="0" w:color="000000"/>
              <w:bottom w:val="single" w:sz="4" w:space="0" w:color="000000"/>
            </w:tcBorders>
            <w:tcPrChange w:id="134" w:author="Author">
              <w:tcPr>
                <w:tcW w:w="931" w:type="dxa"/>
                <w:gridSpan w:val="3"/>
                <w:tcBorders>
                  <w:top w:val="single" w:sz="4" w:space="0" w:color="000000"/>
                  <w:left w:val="single" w:sz="4" w:space="0" w:color="000000"/>
                  <w:bottom w:val="single" w:sz="4" w:space="0" w:color="000000"/>
                </w:tcBorders>
              </w:tcPr>
            </w:tcPrChange>
          </w:tcPr>
          <w:p w14:paraId="050F2824" w14:textId="77777777" w:rsidR="00784D05" w:rsidRDefault="00784D05" w:rsidP="0063054D">
            <w:pPr>
              <w:keepNext/>
              <w:keepLines/>
              <w:suppressLineNumbers/>
              <w:ind w:right="-2"/>
              <w:jc w:val="center"/>
              <w:rPr>
                <w:b/>
                <w:bCs/>
                <w:sz w:val="18"/>
                <w:szCs w:val="18"/>
                <w:lang w:val="lv-LV"/>
              </w:rPr>
            </w:pPr>
            <w:r>
              <w:rPr>
                <w:b/>
                <w:bCs/>
                <w:sz w:val="18"/>
                <w:szCs w:val="18"/>
                <w:lang w:val="lv-LV"/>
              </w:rPr>
              <w:t>PBO + DMARD</w:t>
            </w:r>
          </w:p>
        </w:tc>
        <w:tc>
          <w:tcPr>
            <w:tcW w:w="844" w:type="dxa"/>
            <w:tcBorders>
              <w:top w:val="single" w:sz="4" w:space="0" w:color="000000"/>
              <w:left w:val="single" w:sz="4" w:space="0" w:color="000000"/>
              <w:bottom w:val="single" w:sz="4" w:space="0" w:color="000000"/>
            </w:tcBorders>
            <w:tcPrChange w:id="135" w:author="Author">
              <w:tcPr>
                <w:tcW w:w="844" w:type="dxa"/>
                <w:gridSpan w:val="2"/>
                <w:tcBorders>
                  <w:top w:val="single" w:sz="4" w:space="0" w:color="000000"/>
                  <w:left w:val="single" w:sz="4" w:space="0" w:color="000000"/>
                  <w:bottom w:val="single" w:sz="4" w:space="0" w:color="000000"/>
                </w:tcBorders>
              </w:tcPr>
            </w:tcPrChange>
          </w:tcPr>
          <w:p w14:paraId="3183941E" w14:textId="77777777" w:rsidR="00784D05" w:rsidRDefault="00784D05" w:rsidP="0063054D">
            <w:pPr>
              <w:keepNext/>
              <w:keepLines/>
              <w:suppressLineNumbers/>
              <w:ind w:right="-2"/>
              <w:jc w:val="center"/>
              <w:rPr>
                <w:b/>
                <w:bCs/>
                <w:sz w:val="18"/>
                <w:szCs w:val="18"/>
                <w:lang w:val="lv-LV"/>
              </w:rPr>
            </w:pPr>
            <w:r>
              <w:rPr>
                <w:b/>
                <w:bCs/>
                <w:sz w:val="18"/>
                <w:szCs w:val="18"/>
                <w:lang w:val="lv-LV"/>
              </w:rPr>
              <w:t>TCZ 8 mg/kg + MTX</w:t>
            </w:r>
          </w:p>
        </w:tc>
        <w:tc>
          <w:tcPr>
            <w:tcW w:w="872" w:type="dxa"/>
            <w:tcBorders>
              <w:top w:val="single" w:sz="4" w:space="0" w:color="000000"/>
              <w:left w:val="single" w:sz="4" w:space="0" w:color="000000"/>
              <w:bottom w:val="single" w:sz="4" w:space="0" w:color="000000"/>
              <w:right w:val="single" w:sz="4" w:space="0" w:color="000000"/>
            </w:tcBorders>
            <w:tcPrChange w:id="136" w:author="Author">
              <w:tcPr>
                <w:tcW w:w="872" w:type="dxa"/>
                <w:gridSpan w:val="2"/>
                <w:tcBorders>
                  <w:top w:val="single" w:sz="4" w:space="0" w:color="000000"/>
                  <w:left w:val="single" w:sz="4" w:space="0" w:color="000000"/>
                  <w:bottom w:val="single" w:sz="4" w:space="0" w:color="000000"/>
                  <w:right w:val="single" w:sz="4" w:space="0" w:color="000000"/>
                </w:tcBorders>
              </w:tcPr>
            </w:tcPrChange>
          </w:tcPr>
          <w:p w14:paraId="1FD60EBA" w14:textId="77777777" w:rsidR="00784D05" w:rsidRDefault="00784D05" w:rsidP="0063054D">
            <w:pPr>
              <w:keepNext/>
              <w:keepLines/>
              <w:suppressLineNumbers/>
              <w:ind w:right="-2"/>
              <w:jc w:val="center"/>
              <w:rPr>
                <w:b/>
                <w:bCs/>
                <w:sz w:val="18"/>
                <w:szCs w:val="18"/>
                <w:lang w:val="lv-LV"/>
              </w:rPr>
            </w:pPr>
            <w:r>
              <w:rPr>
                <w:b/>
                <w:bCs/>
                <w:sz w:val="18"/>
                <w:szCs w:val="18"/>
                <w:lang w:val="lv-LV"/>
              </w:rPr>
              <w:t>PBO + MTX</w:t>
            </w:r>
            <w:r>
              <w:rPr>
                <w:b/>
                <w:bCs/>
                <w:sz w:val="18"/>
                <w:szCs w:val="18"/>
                <w:lang w:val="lv-LV"/>
              </w:rPr>
              <w:br/>
            </w:r>
          </w:p>
        </w:tc>
      </w:tr>
      <w:tr w:rsidR="00784D05" w14:paraId="1C6F2EBA" w14:textId="77777777" w:rsidTr="0074366F">
        <w:trPr>
          <w:trHeight w:val="521"/>
        </w:trPr>
        <w:tc>
          <w:tcPr>
            <w:tcW w:w="744" w:type="dxa"/>
            <w:tcBorders>
              <w:top w:val="single" w:sz="4" w:space="0" w:color="000000"/>
              <w:left w:val="single" w:sz="4" w:space="0" w:color="000000"/>
              <w:bottom w:val="single" w:sz="4" w:space="0" w:color="000000"/>
            </w:tcBorders>
          </w:tcPr>
          <w:p w14:paraId="7CBC4CB6" w14:textId="77777777" w:rsidR="00784D05" w:rsidRDefault="00784D05" w:rsidP="0063054D">
            <w:pPr>
              <w:keepNext/>
              <w:keepLines/>
              <w:suppressLineNumbers/>
              <w:snapToGrid w:val="0"/>
              <w:ind w:right="-2"/>
              <w:jc w:val="center"/>
              <w:rPr>
                <w:b/>
                <w:bCs/>
                <w:sz w:val="18"/>
                <w:szCs w:val="18"/>
                <w:lang w:val="lv-LV"/>
              </w:rPr>
            </w:pPr>
          </w:p>
        </w:tc>
        <w:tc>
          <w:tcPr>
            <w:tcW w:w="950" w:type="dxa"/>
            <w:gridSpan w:val="2"/>
            <w:tcBorders>
              <w:top w:val="single" w:sz="4" w:space="0" w:color="000000"/>
              <w:left w:val="single" w:sz="4" w:space="0" w:color="000000"/>
              <w:bottom w:val="single" w:sz="4" w:space="0" w:color="000000"/>
            </w:tcBorders>
          </w:tcPr>
          <w:p w14:paraId="5ED7DD86" w14:textId="50249793" w:rsidR="00784D05" w:rsidDel="0074366F" w:rsidRDefault="00784D05" w:rsidP="0074366F">
            <w:pPr>
              <w:keepNext/>
              <w:keepLines/>
              <w:suppressLineNumbers/>
              <w:ind w:right="-2"/>
              <w:jc w:val="center"/>
              <w:rPr>
                <w:del w:id="137" w:author="Author"/>
                <w:b/>
                <w:bCs/>
                <w:sz w:val="18"/>
                <w:szCs w:val="18"/>
                <w:lang w:val="lv-LV"/>
              </w:rPr>
            </w:pPr>
            <w:del w:id="138" w:author="Author">
              <w:r w:rsidDel="00717152">
                <w:rPr>
                  <w:b/>
                  <w:bCs/>
                  <w:sz w:val="18"/>
                  <w:szCs w:val="18"/>
                  <w:lang w:val="lv-LV"/>
                </w:rPr>
                <w:delText>N</w:delText>
              </w:r>
            </w:del>
            <w:ins w:id="139" w:author="Author">
              <w:r w:rsidR="00717152">
                <w:rPr>
                  <w:b/>
                  <w:bCs/>
                  <w:sz w:val="18"/>
                  <w:szCs w:val="18"/>
                  <w:lang w:val="lv-LV"/>
                </w:rPr>
                <w:t>n</w:t>
              </w:r>
            </w:ins>
            <w:del w:id="140" w:author="Author">
              <w:r w:rsidDel="0074366F">
                <w:rPr>
                  <w:b/>
                  <w:bCs/>
                  <w:sz w:val="18"/>
                  <w:szCs w:val="18"/>
                  <w:lang w:val="lv-LV"/>
                </w:rPr>
                <w:delText xml:space="preserve"> </w:delText>
              </w:r>
            </w:del>
            <w:r>
              <w:rPr>
                <w:b/>
                <w:bCs/>
                <w:sz w:val="18"/>
                <w:szCs w:val="18"/>
                <w:lang w:val="lv-LV"/>
              </w:rPr>
              <w:t>=</w:t>
            </w:r>
          </w:p>
          <w:p w14:paraId="1A5A3DD1" w14:textId="77777777" w:rsidR="00784D05" w:rsidRDefault="00784D05" w:rsidP="0063054D">
            <w:pPr>
              <w:keepNext/>
              <w:keepLines/>
              <w:suppressLineNumbers/>
              <w:ind w:right="-2"/>
              <w:jc w:val="center"/>
              <w:rPr>
                <w:b/>
                <w:bCs/>
                <w:sz w:val="18"/>
                <w:szCs w:val="18"/>
                <w:lang w:val="lv-LV"/>
              </w:rPr>
            </w:pPr>
            <w:r>
              <w:rPr>
                <w:b/>
                <w:bCs/>
                <w:sz w:val="18"/>
                <w:szCs w:val="18"/>
                <w:lang w:val="lv-LV"/>
              </w:rPr>
              <w:t>286</w:t>
            </w:r>
          </w:p>
        </w:tc>
        <w:tc>
          <w:tcPr>
            <w:tcW w:w="697" w:type="dxa"/>
            <w:tcBorders>
              <w:top w:val="single" w:sz="4" w:space="0" w:color="000000"/>
              <w:left w:val="single" w:sz="4" w:space="0" w:color="000000"/>
              <w:bottom w:val="single" w:sz="4" w:space="0" w:color="000000"/>
            </w:tcBorders>
          </w:tcPr>
          <w:p w14:paraId="13023021" w14:textId="1E3525BF" w:rsidR="00784D05" w:rsidDel="0074366F" w:rsidRDefault="00784D05" w:rsidP="0074366F">
            <w:pPr>
              <w:keepNext/>
              <w:keepLines/>
              <w:suppressLineNumbers/>
              <w:ind w:right="-2"/>
              <w:jc w:val="center"/>
              <w:rPr>
                <w:del w:id="141" w:author="Author"/>
                <w:b/>
                <w:bCs/>
                <w:sz w:val="18"/>
                <w:szCs w:val="18"/>
                <w:lang w:val="lv-LV"/>
              </w:rPr>
            </w:pPr>
            <w:del w:id="142" w:author="Author">
              <w:r w:rsidDel="00717152">
                <w:rPr>
                  <w:b/>
                  <w:bCs/>
                  <w:sz w:val="18"/>
                  <w:szCs w:val="18"/>
                  <w:lang w:val="lv-LV"/>
                </w:rPr>
                <w:delText>N</w:delText>
              </w:r>
            </w:del>
            <w:ins w:id="143" w:author="Author">
              <w:r w:rsidR="00717152">
                <w:rPr>
                  <w:b/>
                  <w:bCs/>
                  <w:sz w:val="18"/>
                  <w:szCs w:val="18"/>
                  <w:lang w:val="lv-LV"/>
                </w:rPr>
                <w:t>n</w:t>
              </w:r>
            </w:ins>
            <w:del w:id="144" w:author="Author">
              <w:r w:rsidDel="0074366F">
                <w:rPr>
                  <w:b/>
                  <w:bCs/>
                  <w:sz w:val="18"/>
                  <w:szCs w:val="18"/>
                  <w:lang w:val="lv-LV"/>
                </w:rPr>
                <w:delText xml:space="preserve"> </w:delText>
              </w:r>
            </w:del>
            <w:r>
              <w:rPr>
                <w:b/>
                <w:bCs/>
                <w:sz w:val="18"/>
                <w:szCs w:val="18"/>
                <w:lang w:val="lv-LV"/>
              </w:rPr>
              <w:t>=</w:t>
            </w:r>
          </w:p>
          <w:p w14:paraId="55FD141D" w14:textId="77777777" w:rsidR="00784D05" w:rsidRDefault="00784D05" w:rsidP="0063054D">
            <w:pPr>
              <w:keepNext/>
              <w:keepLines/>
              <w:suppressLineNumbers/>
              <w:ind w:right="-2"/>
              <w:jc w:val="center"/>
              <w:rPr>
                <w:b/>
                <w:bCs/>
                <w:sz w:val="18"/>
                <w:szCs w:val="18"/>
                <w:lang w:val="lv-LV"/>
              </w:rPr>
            </w:pPr>
            <w:r>
              <w:rPr>
                <w:b/>
                <w:bCs/>
                <w:sz w:val="18"/>
                <w:szCs w:val="18"/>
                <w:lang w:val="lv-LV"/>
              </w:rPr>
              <w:t>284</w:t>
            </w:r>
          </w:p>
        </w:tc>
        <w:tc>
          <w:tcPr>
            <w:tcW w:w="818" w:type="dxa"/>
            <w:tcBorders>
              <w:top w:val="single" w:sz="4" w:space="0" w:color="000000"/>
              <w:left w:val="single" w:sz="4" w:space="0" w:color="000000"/>
              <w:bottom w:val="single" w:sz="4" w:space="0" w:color="000000"/>
            </w:tcBorders>
          </w:tcPr>
          <w:p w14:paraId="68F98A3A" w14:textId="3A039CB4" w:rsidR="00784D05" w:rsidDel="0074366F" w:rsidRDefault="00784D05" w:rsidP="0074366F">
            <w:pPr>
              <w:keepNext/>
              <w:keepLines/>
              <w:suppressLineNumbers/>
              <w:ind w:right="-2"/>
              <w:jc w:val="center"/>
              <w:rPr>
                <w:del w:id="145" w:author="Author"/>
                <w:b/>
                <w:bCs/>
                <w:sz w:val="18"/>
                <w:szCs w:val="18"/>
                <w:lang w:val="lv-LV"/>
              </w:rPr>
            </w:pPr>
            <w:del w:id="146" w:author="Author">
              <w:r w:rsidDel="00717152">
                <w:rPr>
                  <w:b/>
                  <w:bCs/>
                  <w:sz w:val="18"/>
                  <w:szCs w:val="18"/>
                  <w:lang w:val="lv-LV"/>
                </w:rPr>
                <w:delText>N</w:delText>
              </w:r>
            </w:del>
            <w:ins w:id="147" w:author="Author">
              <w:r w:rsidR="00717152">
                <w:rPr>
                  <w:b/>
                  <w:bCs/>
                  <w:sz w:val="18"/>
                  <w:szCs w:val="18"/>
                  <w:lang w:val="lv-LV"/>
                </w:rPr>
                <w:t>n</w:t>
              </w:r>
            </w:ins>
            <w:del w:id="148" w:author="Author">
              <w:r w:rsidDel="0074366F">
                <w:rPr>
                  <w:b/>
                  <w:bCs/>
                  <w:sz w:val="18"/>
                  <w:szCs w:val="18"/>
                  <w:lang w:val="lv-LV"/>
                </w:rPr>
                <w:delText xml:space="preserve"> </w:delText>
              </w:r>
            </w:del>
            <w:r>
              <w:rPr>
                <w:b/>
                <w:bCs/>
                <w:sz w:val="18"/>
                <w:szCs w:val="18"/>
                <w:lang w:val="lv-LV"/>
              </w:rPr>
              <w:t>=</w:t>
            </w:r>
          </w:p>
          <w:p w14:paraId="4838D046" w14:textId="77777777" w:rsidR="00784D05" w:rsidRDefault="00784D05" w:rsidP="0063054D">
            <w:pPr>
              <w:keepNext/>
              <w:keepLines/>
              <w:suppressLineNumbers/>
              <w:ind w:right="-2"/>
              <w:jc w:val="center"/>
              <w:rPr>
                <w:b/>
                <w:bCs/>
                <w:sz w:val="18"/>
                <w:szCs w:val="18"/>
                <w:lang w:val="lv-LV"/>
              </w:rPr>
            </w:pPr>
            <w:r>
              <w:rPr>
                <w:b/>
                <w:bCs/>
                <w:sz w:val="18"/>
                <w:szCs w:val="18"/>
                <w:lang w:val="lv-LV"/>
              </w:rPr>
              <w:t>398</w:t>
            </w:r>
          </w:p>
        </w:tc>
        <w:tc>
          <w:tcPr>
            <w:tcW w:w="844" w:type="dxa"/>
            <w:tcBorders>
              <w:top w:val="single" w:sz="4" w:space="0" w:color="000000"/>
              <w:left w:val="single" w:sz="4" w:space="0" w:color="000000"/>
              <w:bottom w:val="single" w:sz="4" w:space="0" w:color="000000"/>
            </w:tcBorders>
          </w:tcPr>
          <w:p w14:paraId="469AFB46" w14:textId="6559BC61" w:rsidR="00784D05" w:rsidDel="0074366F" w:rsidRDefault="00784D05" w:rsidP="0074366F">
            <w:pPr>
              <w:keepNext/>
              <w:keepLines/>
              <w:suppressLineNumbers/>
              <w:ind w:right="-2"/>
              <w:jc w:val="center"/>
              <w:rPr>
                <w:del w:id="149" w:author="Author"/>
                <w:b/>
                <w:bCs/>
                <w:sz w:val="18"/>
                <w:szCs w:val="18"/>
                <w:lang w:val="lv-LV"/>
              </w:rPr>
            </w:pPr>
            <w:del w:id="150" w:author="Author">
              <w:r w:rsidDel="00717152">
                <w:rPr>
                  <w:b/>
                  <w:bCs/>
                  <w:sz w:val="18"/>
                  <w:szCs w:val="18"/>
                  <w:lang w:val="lv-LV"/>
                </w:rPr>
                <w:delText>N</w:delText>
              </w:r>
            </w:del>
            <w:ins w:id="151" w:author="Author">
              <w:r w:rsidR="00717152">
                <w:rPr>
                  <w:b/>
                  <w:bCs/>
                  <w:sz w:val="18"/>
                  <w:szCs w:val="18"/>
                  <w:lang w:val="lv-LV"/>
                </w:rPr>
                <w:t>n</w:t>
              </w:r>
            </w:ins>
            <w:del w:id="152" w:author="Author">
              <w:r w:rsidDel="0074366F">
                <w:rPr>
                  <w:b/>
                  <w:bCs/>
                  <w:sz w:val="18"/>
                  <w:szCs w:val="18"/>
                  <w:lang w:val="lv-LV"/>
                </w:rPr>
                <w:delText xml:space="preserve"> </w:delText>
              </w:r>
            </w:del>
            <w:r>
              <w:rPr>
                <w:b/>
                <w:bCs/>
                <w:sz w:val="18"/>
                <w:szCs w:val="18"/>
                <w:lang w:val="lv-LV"/>
              </w:rPr>
              <w:t>=</w:t>
            </w:r>
          </w:p>
          <w:p w14:paraId="42A69135" w14:textId="77777777" w:rsidR="00784D05" w:rsidRDefault="00784D05" w:rsidP="0063054D">
            <w:pPr>
              <w:keepNext/>
              <w:keepLines/>
              <w:suppressLineNumbers/>
              <w:ind w:right="-2"/>
              <w:jc w:val="center"/>
              <w:rPr>
                <w:b/>
                <w:bCs/>
                <w:sz w:val="18"/>
                <w:szCs w:val="18"/>
                <w:lang w:val="lv-LV"/>
              </w:rPr>
            </w:pPr>
            <w:r>
              <w:rPr>
                <w:b/>
                <w:bCs/>
                <w:sz w:val="18"/>
                <w:szCs w:val="18"/>
                <w:lang w:val="lv-LV"/>
              </w:rPr>
              <w:t>393</w:t>
            </w:r>
          </w:p>
        </w:tc>
        <w:tc>
          <w:tcPr>
            <w:tcW w:w="844" w:type="dxa"/>
            <w:tcBorders>
              <w:top w:val="single" w:sz="4" w:space="0" w:color="000000"/>
              <w:left w:val="single" w:sz="4" w:space="0" w:color="000000"/>
              <w:bottom w:val="single" w:sz="4" w:space="0" w:color="000000"/>
            </w:tcBorders>
          </w:tcPr>
          <w:p w14:paraId="0B1D83DC" w14:textId="5D5124F8" w:rsidR="00784D05" w:rsidDel="0074366F" w:rsidRDefault="00784D05" w:rsidP="0074366F">
            <w:pPr>
              <w:keepNext/>
              <w:keepLines/>
              <w:suppressLineNumbers/>
              <w:ind w:right="-2"/>
              <w:jc w:val="center"/>
              <w:rPr>
                <w:del w:id="153" w:author="Author"/>
                <w:b/>
                <w:bCs/>
                <w:sz w:val="18"/>
                <w:szCs w:val="18"/>
                <w:lang w:val="lv-LV"/>
              </w:rPr>
            </w:pPr>
            <w:del w:id="154" w:author="Author">
              <w:r w:rsidDel="00717152">
                <w:rPr>
                  <w:b/>
                  <w:bCs/>
                  <w:sz w:val="18"/>
                  <w:szCs w:val="18"/>
                  <w:lang w:val="lv-LV"/>
                </w:rPr>
                <w:delText>N</w:delText>
              </w:r>
            </w:del>
            <w:ins w:id="155" w:author="Author">
              <w:r w:rsidR="00717152">
                <w:rPr>
                  <w:b/>
                  <w:bCs/>
                  <w:sz w:val="18"/>
                  <w:szCs w:val="18"/>
                  <w:lang w:val="lv-LV"/>
                </w:rPr>
                <w:t>n</w:t>
              </w:r>
            </w:ins>
            <w:del w:id="156" w:author="Author">
              <w:r w:rsidDel="0074366F">
                <w:rPr>
                  <w:b/>
                  <w:bCs/>
                  <w:sz w:val="18"/>
                  <w:szCs w:val="18"/>
                  <w:lang w:val="lv-LV"/>
                </w:rPr>
                <w:delText xml:space="preserve"> </w:delText>
              </w:r>
            </w:del>
            <w:r>
              <w:rPr>
                <w:b/>
                <w:bCs/>
                <w:sz w:val="18"/>
                <w:szCs w:val="18"/>
                <w:lang w:val="lv-LV"/>
              </w:rPr>
              <w:t>=</w:t>
            </w:r>
          </w:p>
          <w:p w14:paraId="06584E17" w14:textId="77777777" w:rsidR="00784D05" w:rsidRDefault="00784D05" w:rsidP="0063054D">
            <w:pPr>
              <w:keepNext/>
              <w:keepLines/>
              <w:suppressLineNumbers/>
              <w:ind w:right="-2"/>
              <w:jc w:val="center"/>
              <w:rPr>
                <w:b/>
                <w:bCs/>
                <w:sz w:val="18"/>
                <w:szCs w:val="18"/>
                <w:lang w:val="lv-LV"/>
              </w:rPr>
            </w:pPr>
            <w:r>
              <w:rPr>
                <w:b/>
                <w:bCs/>
                <w:sz w:val="18"/>
                <w:szCs w:val="18"/>
                <w:lang w:val="lv-LV"/>
              </w:rPr>
              <w:t>205</w:t>
            </w:r>
          </w:p>
        </w:tc>
        <w:tc>
          <w:tcPr>
            <w:tcW w:w="844" w:type="dxa"/>
            <w:tcBorders>
              <w:top w:val="single" w:sz="4" w:space="0" w:color="000000"/>
              <w:left w:val="single" w:sz="4" w:space="0" w:color="000000"/>
              <w:bottom w:val="single" w:sz="4" w:space="0" w:color="000000"/>
            </w:tcBorders>
          </w:tcPr>
          <w:p w14:paraId="04B8808E" w14:textId="3113EE20" w:rsidR="00784D05" w:rsidDel="0074366F" w:rsidRDefault="00784D05" w:rsidP="0074366F">
            <w:pPr>
              <w:keepNext/>
              <w:keepLines/>
              <w:suppressLineNumbers/>
              <w:ind w:right="-2"/>
              <w:jc w:val="center"/>
              <w:rPr>
                <w:del w:id="157" w:author="Author"/>
                <w:b/>
                <w:bCs/>
                <w:sz w:val="18"/>
                <w:szCs w:val="18"/>
                <w:lang w:val="lv-LV"/>
              </w:rPr>
            </w:pPr>
            <w:del w:id="158" w:author="Author">
              <w:r w:rsidDel="00717152">
                <w:rPr>
                  <w:b/>
                  <w:bCs/>
                  <w:sz w:val="18"/>
                  <w:szCs w:val="18"/>
                  <w:lang w:val="lv-LV"/>
                </w:rPr>
                <w:delText>N</w:delText>
              </w:r>
            </w:del>
            <w:ins w:id="159" w:author="Author">
              <w:r w:rsidR="00717152">
                <w:rPr>
                  <w:b/>
                  <w:bCs/>
                  <w:sz w:val="18"/>
                  <w:szCs w:val="18"/>
                  <w:lang w:val="lv-LV"/>
                </w:rPr>
                <w:t>n</w:t>
              </w:r>
            </w:ins>
            <w:del w:id="160" w:author="Author">
              <w:r w:rsidDel="0074366F">
                <w:rPr>
                  <w:b/>
                  <w:bCs/>
                  <w:sz w:val="18"/>
                  <w:szCs w:val="18"/>
                  <w:lang w:val="lv-LV"/>
                </w:rPr>
                <w:delText xml:space="preserve"> </w:delText>
              </w:r>
            </w:del>
            <w:r>
              <w:rPr>
                <w:b/>
                <w:bCs/>
                <w:sz w:val="18"/>
                <w:szCs w:val="18"/>
                <w:lang w:val="lv-LV"/>
              </w:rPr>
              <w:t>=</w:t>
            </w:r>
          </w:p>
          <w:p w14:paraId="352883E7" w14:textId="77777777" w:rsidR="00784D05" w:rsidRDefault="00784D05" w:rsidP="0063054D">
            <w:pPr>
              <w:keepNext/>
              <w:keepLines/>
              <w:suppressLineNumbers/>
              <w:ind w:right="-2"/>
              <w:jc w:val="center"/>
              <w:rPr>
                <w:b/>
                <w:bCs/>
                <w:sz w:val="18"/>
                <w:szCs w:val="18"/>
                <w:lang w:val="lv-LV"/>
              </w:rPr>
            </w:pPr>
            <w:r>
              <w:rPr>
                <w:b/>
                <w:bCs/>
                <w:sz w:val="18"/>
                <w:szCs w:val="18"/>
                <w:lang w:val="lv-LV"/>
              </w:rPr>
              <w:t>204</w:t>
            </w:r>
          </w:p>
        </w:tc>
        <w:tc>
          <w:tcPr>
            <w:tcW w:w="929" w:type="dxa"/>
            <w:tcBorders>
              <w:top w:val="single" w:sz="4" w:space="0" w:color="000000"/>
              <w:left w:val="single" w:sz="4" w:space="0" w:color="000000"/>
              <w:bottom w:val="single" w:sz="4" w:space="0" w:color="000000"/>
            </w:tcBorders>
          </w:tcPr>
          <w:p w14:paraId="6E591739" w14:textId="78ECFD06" w:rsidR="00784D05" w:rsidDel="0074366F" w:rsidRDefault="00784D05" w:rsidP="0074366F">
            <w:pPr>
              <w:keepNext/>
              <w:keepLines/>
              <w:suppressLineNumbers/>
              <w:ind w:right="-2"/>
              <w:jc w:val="center"/>
              <w:rPr>
                <w:del w:id="161" w:author="Author"/>
                <w:b/>
                <w:bCs/>
                <w:sz w:val="18"/>
                <w:szCs w:val="18"/>
                <w:lang w:val="lv-LV"/>
              </w:rPr>
            </w:pPr>
            <w:del w:id="162" w:author="Author">
              <w:r w:rsidDel="00717152">
                <w:rPr>
                  <w:b/>
                  <w:bCs/>
                  <w:sz w:val="18"/>
                  <w:szCs w:val="18"/>
                  <w:lang w:val="lv-LV"/>
                </w:rPr>
                <w:delText>N</w:delText>
              </w:r>
            </w:del>
            <w:ins w:id="163" w:author="Author">
              <w:r w:rsidR="00717152">
                <w:rPr>
                  <w:b/>
                  <w:bCs/>
                  <w:sz w:val="18"/>
                  <w:szCs w:val="18"/>
                  <w:lang w:val="lv-LV"/>
                </w:rPr>
                <w:t>n</w:t>
              </w:r>
            </w:ins>
            <w:del w:id="164" w:author="Author">
              <w:r w:rsidDel="0074366F">
                <w:rPr>
                  <w:b/>
                  <w:bCs/>
                  <w:sz w:val="18"/>
                  <w:szCs w:val="18"/>
                  <w:lang w:val="lv-LV"/>
                </w:rPr>
                <w:delText xml:space="preserve"> </w:delText>
              </w:r>
            </w:del>
            <w:r>
              <w:rPr>
                <w:b/>
                <w:bCs/>
                <w:sz w:val="18"/>
                <w:szCs w:val="18"/>
                <w:lang w:val="lv-LV"/>
              </w:rPr>
              <w:t>=</w:t>
            </w:r>
          </w:p>
          <w:p w14:paraId="6ADCCB88" w14:textId="77777777" w:rsidR="00784D05" w:rsidRDefault="00784D05" w:rsidP="0063054D">
            <w:pPr>
              <w:keepNext/>
              <w:keepLines/>
              <w:suppressLineNumbers/>
              <w:ind w:right="-2"/>
              <w:jc w:val="center"/>
              <w:rPr>
                <w:b/>
                <w:bCs/>
                <w:sz w:val="18"/>
                <w:szCs w:val="18"/>
                <w:lang w:val="lv-LV"/>
              </w:rPr>
            </w:pPr>
            <w:r>
              <w:rPr>
                <w:b/>
                <w:bCs/>
                <w:sz w:val="18"/>
                <w:szCs w:val="18"/>
                <w:lang w:val="lv-LV"/>
              </w:rPr>
              <w:t>803</w:t>
            </w:r>
          </w:p>
        </w:tc>
        <w:tc>
          <w:tcPr>
            <w:tcW w:w="931" w:type="dxa"/>
            <w:gridSpan w:val="2"/>
            <w:tcBorders>
              <w:top w:val="single" w:sz="4" w:space="0" w:color="000000"/>
              <w:left w:val="single" w:sz="4" w:space="0" w:color="000000"/>
              <w:bottom w:val="single" w:sz="4" w:space="0" w:color="000000"/>
            </w:tcBorders>
          </w:tcPr>
          <w:p w14:paraId="33791AEA" w14:textId="2AA91B10" w:rsidR="00784D05" w:rsidDel="0074366F" w:rsidRDefault="00784D05" w:rsidP="0074366F">
            <w:pPr>
              <w:keepNext/>
              <w:keepLines/>
              <w:suppressLineNumbers/>
              <w:ind w:right="-2"/>
              <w:jc w:val="center"/>
              <w:rPr>
                <w:del w:id="165" w:author="Author"/>
                <w:b/>
                <w:bCs/>
                <w:sz w:val="18"/>
                <w:szCs w:val="18"/>
                <w:lang w:val="lv-LV"/>
              </w:rPr>
            </w:pPr>
            <w:del w:id="166" w:author="Author">
              <w:r w:rsidDel="00717152">
                <w:rPr>
                  <w:b/>
                  <w:bCs/>
                  <w:sz w:val="18"/>
                  <w:szCs w:val="18"/>
                  <w:lang w:val="lv-LV"/>
                </w:rPr>
                <w:delText>N</w:delText>
              </w:r>
            </w:del>
            <w:ins w:id="167" w:author="Author">
              <w:r w:rsidR="00717152">
                <w:rPr>
                  <w:b/>
                  <w:bCs/>
                  <w:sz w:val="18"/>
                  <w:szCs w:val="18"/>
                  <w:lang w:val="lv-LV"/>
                </w:rPr>
                <w:t>n</w:t>
              </w:r>
            </w:ins>
            <w:del w:id="168" w:author="Author">
              <w:r w:rsidDel="0074366F">
                <w:rPr>
                  <w:b/>
                  <w:bCs/>
                  <w:sz w:val="18"/>
                  <w:szCs w:val="18"/>
                  <w:lang w:val="lv-LV"/>
                </w:rPr>
                <w:delText xml:space="preserve"> </w:delText>
              </w:r>
            </w:del>
            <w:r>
              <w:rPr>
                <w:b/>
                <w:bCs/>
                <w:sz w:val="18"/>
                <w:szCs w:val="18"/>
                <w:lang w:val="lv-LV"/>
              </w:rPr>
              <w:t>=</w:t>
            </w:r>
          </w:p>
          <w:p w14:paraId="480A5C3F" w14:textId="77777777" w:rsidR="00784D05" w:rsidRDefault="00784D05" w:rsidP="0063054D">
            <w:pPr>
              <w:keepNext/>
              <w:keepLines/>
              <w:suppressLineNumbers/>
              <w:ind w:right="-2"/>
              <w:jc w:val="center"/>
              <w:rPr>
                <w:b/>
                <w:bCs/>
                <w:sz w:val="18"/>
                <w:szCs w:val="18"/>
                <w:lang w:val="lv-LV"/>
              </w:rPr>
            </w:pPr>
            <w:r>
              <w:rPr>
                <w:b/>
                <w:bCs/>
                <w:sz w:val="18"/>
                <w:szCs w:val="18"/>
                <w:lang w:val="lv-LV"/>
              </w:rPr>
              <w:t>413</w:t>
            </w:r>
          </w:p>
        </w:tc>
        <w:tc>
          <w:tcPr>
            <w:tcW w:w="844" w:type="dxa"/>
            <w:tcBorders>
              <w:top w:val="single" w:sz="4" w:space="0" w:color="000000"/>
              <w:left w:val="single" w:sz="4" w:space="0" w:color="000000"/>
              <w:bottom w:val="single" w:sz="4" w:space="0" w:color="000000"/>
            </w:tcBorders>
          </w:tcPr>
          <w:p w14:paraId="5081C38A" w14:textId="24BD68EC" w:rsidR="00784D05" w:rsidDel="0074366F" w:rsidRDefault="00784D05" w:rsidP="0074366F">
            <w:pPr>
              <w:keepNext/>
              <w:keepLines/>
              <w:suppressLineNumbers/>
              <w:ind w:right="-2"/>
              <w:jc w:val="center"/>
              <w:rPr>
                <w:del w:id="169" w:author="Author"/>
                <w:b/>
                <w:bCs/>
                <w:sz w:val="18"/>
                <w:szCs w:val="18"/>
                <w:lang w:val="lv-LV"/>
              </w:rPr>
            </w:pPr>
            <w:del w:id="170" w:author="Author">
              <w:r w:rsidDel="00717152">
                <w:rPr>
                  <w:b/>
                  <w:bCs/>
                  <w:sz w:val="18"/>
                  <w:szCs w:val="18"/>
                  <w:lang w:val="lv-LV"/>
                </w:rPr>
                <w:delText>N</w:delText>
              </w:r>
            </w:del>
            <w:ins w:id="171" w:author="Author">
              <w:r w:rsidR="00717152">
                <w:rPr>
                  <w:b/>
                  <w:bCs/>
                  <w:sz w:val="18"/>
                  <w:szCs w:val="18"/>
                  <w:lang w:val="lv-LV"/>
                </w:rPr>
                <w:t>n</w:t>
              </w:r>
            </w:ins>
            <w:del w:id="172" w:author="Author">
              <w:r w:rsidDel="0074366F">
                <w:rPr>
                  <w:b/>
                  <w:bCs/>
                  <w:sz w:val="18"/>
                  <w:szCs w:val="18"/>
                  <w:lang w:val="lv-LV"/>
                </w:rPr>
                <w:delText xml:space="preserve"> </w:delText>
              </w:r>
            </w:del>
            <w:r>
              <w:rPr>
                <w:b/>
                <w:bCs/>
                <w:sz w:val="18"/>
                <w:szCs w:val="18"/>
                <w:lang w:val="lv-LV"/>
              </w:rPr>
              <w:t>=</w:t>
            </w:r>
          </w:p>
          <w:p w14:paraId="1D375921" w14:textId="77777777" w:rsidR="00784D05" w:rsidRDefault="00784D05" w:rsidP="0063054D">
            <w:pPr>
              <w:keepNext/>
              <w:keepLines/>
              <w:suppressLineNumbers/>
              <w:ind w:right="-2"/>
              <w:jc w:val="center"/>
              <w:rPr>
                <w:b/>
                <w:bCs/>
                <w:sz w:val="18"/>
                <w:szCs w:val="18"/>
                <w:lang w:val="lv-LV"/>
              </w:rPr>
            </w:pPr>
            <w:r>
              <w:rPr>
                <w:b/>
                <w:bCs/>
                <w:sz w:val="18"/>
                <w:szCs w:val="18"/>
                <w:lang w:val="lv-LV"/>
              </w:rPr>
              <w:t>170</w:t>
            </w:r>
          </w:p>
        </w:tc>
        <w:tc>
          <w:tcPr>
            <w:tcW w:w="872" w:type="dxa"/>
            <w:tcBorders>
              <w:top w:val="single" w:sz="4" w:space="0" w:color="000000"/>
              <w:left w:val="single" w:sz="4" w:space="0" w:color="000000"/>
              <w:bottom w:val="single" w:sz="4" w:space="0" w:color="000000"/>
              <w:right w:val="single" w:sz="4" w:space="0" w:color="000000"/>
            </w:tcBorders>
          </w:tcPr>
          <w:p w14:paraId="6F631237" w14:textId="00E98F50" w:rsidR="00784D05" w:rsidDel="0074366F" w:rsidRDefault="00784D05" w:rsidP="0074366F">
            <w:pPr>
              <w:keepNext/>
              <w:keepLines/>
              <w:suppressLineNumbers/>
              <w:ind w:right="-2"/>
              <w:jc w:val="center"/>
              <w:rPr>
                <w:del w:id="173" w:author="Author"/>
                <w:b/>
                <w:bCs/>
                <w:sz w:val="18"/>
                <w:szCs w:val="18"/>
                <w:lang w:val="lv-LV"/>
              </w:rPr>
            </w:pPr>
            <w:del w:id="174" w:author="Author">
              <w:r w:rsidDel="00717152">
                <w:rPr>
                  <w:b/>
                  <w:bCs/>
                  <w:sz w:val="18"/>
                  <w:szCs w:val="18"/>
                  <w:lang w:val="lv-LV"/>
                </w:rPr>
                <w:delText>N</w:delText>
              </w:r>
            </w:del>
            <w:ins w:id="175" w:author="Author">
              <w:r w:rsidR="00717152">
                <w:rPr>
                  <w:b/>
                  <w:bCs/>
                  <w:sz w:val="18"/>
                  <w:szCs w:val="18"/>
                  <w:lang w:val="lv-LV"/>
                </w:rPr>
                <w:t>n</w:t>
              </w:r>
            </w:ins>
            <w:del w:id="176" w:author="Author">
              <w:r w:rsidDel="0074366F">
                <w:rPr>
                  <w:b/>
                  <w:bCs/>
                  <w:sz w:val="18"/>
                  <w:szCs w:val="18"/>
                  <w:lang w:val="lv-LV"/>
                </w:rPr>
                <w:delText xml:space="preserve"> </w:delText>
              </w:r>
            </w:del>
            <w:r>
              <w:rPr>
                <w:b/>
                <w:bCs/>
                <w:sz w:val="18"/>
                <w:szCs w:val="18"/>
                <w:lang w:val="lv-LV"/>
              </w:rPr>
              <w:t>=</w:t>
            </w:r>
          </w:p>
          <w:p w14:paraId="46BEAFE8" w14:textId="77777777" w:rsidR="00784D05" w:rsidRDefault="00784D05" w:rsidP="0063054D">
            <w:pPr>
              <w:keepNext/>
              <w:keepLines/>
              <w:suppressLineNumbers/>
              <w:ind w:right="-2"/>
              <w:jc w:val="center"/>
              <w:rPr>
                <w:b/>
                <w:sz w:val="18"/>
                <w:szCs w:val="18"/>
                <w:lang w:val="lv-LV"/>
              </w:rPr>
            </w:pPr>
            <w:r>
              <w:rPr>
                <w:b/>
                <w:bCs/>
                <w:sz w:val="18"/>
                <w:szCs w:val="18"/>
                <w:lang w:val="lv-LV"/>
              </w:rPr>
              <w:t>158</w:t>
            </w:r>
          </w:p>
        </w:tc>
      </w:tr>
      <w:tr w:rsidR="00784D05" w14:paraId="38B9C4B7" w14:textId="77777777" w:rsidTr="002007A3">
        <w:trPr>
          <w:trPrChange w:id="177" w:author="Author">
            <w:trPr>
              <w:gridBefore w:val="1"/>
            </w:trPr>
          </w:trPrChange>
        </w:trPr>
        <w:tc>
          <w:tcPr>
            <w:tcW w:w="9317" w:type="dxa"/>
            <w:gridSpan w:val="13"/>
            <w:tcBorders>
              <w:top w:val="single" w:sz="4" w:space="0" w:color="000000"/>
              <w:left w:val="single" w:sz="4" w:space="0" w:color="000000"/>
              <w:bottom w:val="single" w:sz="4" w:space="0" w:color="000000"/>
              <w:right w:val="single" w:sz="4" w:space="0" w:color="000000"/>
            </w:tcBorders>
            <w:tcPrChange w:id="178" w:author="Author">
              <w:tcPr>
                <w:tcW w:w="9317" w:type="dxa"/>
                <w:gridSpan w:val="24"/>
                <w:tcBorders>
                  <w:top w:val="single" w:sz="4" w:space="0" w:color="000000"/>
                  <w:left w:val="single" w:sz="4" w:space="0" w:color="000000"/>
                  <w:bottom w:val="single" w:sz="4" w:space="0" w:color="000000"/>
                  <w:right w:val="single" w:sz="4" w:space="0" w:color="000000"/>
                </w:tcBorders>
              </w:tcPr>
            </w:tcPrChange>
          </w:tcPr>
          <w:p w14:paraId="70604812" w14:textId="6C669B8A" w:rsidR="00784D05" w:rsidRDefault="00784D05" w:rsidP="0063054D">
            <w:pPr>
              <w:keepNext/>
              <w:keepLines/>
              <w:suppressLineNumbers/>
              <w:ind w:right="-2"/>
              <w:jc w:val="center"/>
              <w:rPr>
                <w:sz w:val="18"/>
                <w:szCs w:val="18"/>
                <w:lang w:val="lv-LV"/>
              </w:rPr>
            </w:pPr>
            <w:r>
              <w:rPr>
                <w:b/>
                <w:sz w:val="18"/>
                <w:szCs w:val="18"/>
                <w:lang w:val="lv-LV"/>
              </w:rPr>
              <w:t>ACR</w:t>
            </w:r>
            <w:r w:rsidR="00B47B7D">
              <w:rPr>
                <w:b/>
                <w:sz w:val="18"/>
                <w:szCs w:val="18"/>
                <w:lang w:val="lv-LV"/>
              </w:rPr>
              <w:t> </w:t>
            </w:r>
            <w:r>
              <w:rPr>
                <w:b/>
                <w:sz w:val="18"/>
                <w:szCs w:val="18"/>
                <w:lang w:val="lv-LV"/>
              </w:rPr>
              <w:t>20</w:t>
            </w:r>
          </w:p>
        </w:tc>
      </w:tr>
      <w:tr w:rsidR="00784D05" w14:paraId="448C533E" w14:textId="77777777" w:rsidTr="002007A3">
        <w:trPr>
          <w:trPrChange w:id="179" w:author="Author">
            <w:trPr>
              <w:gridBefore w:val="1"/>
            </w:trPr>
          </w:trPrChange>
        </w:trPr>
        <w:tc>
          <w:tcPr>
            <w:tcW w:w="772" w:type="dxa"/>
            <w:gridSpan w:val="2"/>
            <w:tcBorders>
              <w:top w:val="single" w:sz="4" w:space="0" w:color="000000"/>
              <w:left w:val="single" w:sz="4" w:space="0" w:color="000000"/>
              <w:bottom w:val="single" w:sz="4" w:space="0" w:color="000000"/>
            </w:tcBorders>
            <w:tcPrChange w:id="180" w:author="Author">
              <w:tcPr>
                <w:tcW w:w="772" w:type="dxa"/>
                <w:gridSpan w:val="3"/>
                <w:tcBorders>
                  <w:top w:val="single" w:sz="4" w:space="0" w:color="000000"/>
                  <w:left w:val="single" w:sz="4" w:space="0" w:color="000000"/>
                  <w:bottom w:val="single" w:sz="4" w:space="0" w:color="000000"/>
                </w:tcBorders>
              </w:tcPr>
            </w:tcPrChange>
          </w:tcPr>
          <w:p w14:paraId="49BC62CB" w14:textId="310F0772" w:rsidR="00784D05" w:rsidRDefault="00784D05" w:rsidP="0063054D">
            <w:pPr>
              <w:keepNext/>
              <w:keepLines/>
              <w:suppressLineNumbers/>
              <w:ind w:right="-2"/>
              <w:jc w:val="center"/>
              <w:rPr>
                <w:sz w:val="18"/>
                <w:szCs w:val="18"/>
                <w:lang w:val="lv-LV"/>
              </w:rPr>
            </w:pPr>
            <w:r>
              <w:rPr>
                <w:sz w:val="18"/>
                <w:szCs w:val="18"/>
                <w:lang w:val="lv-LV"/>
              </w:rPr>
              <w:t>24</w:t>
            </w:r>
            <w:r w:rsidR="00B47B7D">
              <w:rPr>
                <w:sz w:val="18"/>
                <w:szCs w:val="18"/>
                <w:lang w:val="lv-LV"/>
              </w:rPr>
              <w:t>.</w:t>
            </w:r>
          </w:p>
        </w:tc>
        <w:tc>
          <w:tcPr>
            <w:tcW w:w="922" w:type="dxa"/>
            <w:tcBorders>
              <w:top w:val="single" w:sz="4" w:space="0" w:color="000000"/>
              <w:left w:val="single" w:sz="4" w:space="0" w:color="000000"/>
              <w:bottom w:val="single" w:sz="4" w:space="0" w:color="000000"/>
            </w:tcBorders>
            <w:tcPrChange w:id="181" w:author="Author">
              <w:tcPr>
                <w:tcW w:w="922" w:type="dxa"/>
                <w:gridSpan w:val="2"/>
                <w:tcBorders>
                  <w:top w:val="single" w:sz="4" w:space="0" w:color="000000"/>
                  <w:left w:val="single" w:sz="4" w:space="0" w:color="000000"/>
                  <w:bottom w:val="single" w:sz="4" w:space="0" w:color="000000"/>
                </w:tcBorders>
              </w:tcPr>
            </w:tcPrChange>
          </w:tcPr>
          <w:p w14:paraId="5B26D611" w14:textId="77777777" w:rsidR="00784D05" w:rsidRDefault="00784D05" w:rsidP="0063054D">
            <w:pPr>
              <w:keepNext/>
              <w:keepLines/>
              <w:suppressLineNumbers/>
              <w:ind w:right="-2"/>
              <w:jc w:val="center"/>
              <w:rPr>
                <w:sz w:val="18"/>
                <w:szCs w:val="18"/>
                <w:lang w:val="lv-LV"/>
              </w:rPr>
            </w:pPr>
            <w:r>
              <w:rPr>
                <w:sz w:val="18"/>
                <w:szCs w:val="18"/>
                <w:lang w:val="lv-LV"/>
              </w:rPr>
              <w:t>70%***</w:t>
            </w:r>
          </w:p>
        </w:tc>
        <w:tc>
          <w:tcPr>
            <w:tcW w:w="697" w:type="dxa"/>
            <w:tcBorders>
              <w:top w:val="single" w:sz="4" w:space="0" w:color="000000"/>
              <w:left w:val="single" w:sz="4" w:space="0" w:color="000000"/>
              <w:bottom w:val="single" w:sz="4" w:space="0" w:color="000000"/>
            </w:tcBorders>
            <w:tcPrChange w:id="182" w:author="Author">
              <w:tcPr>
                <w:tcW w:w="671" w:type="dxa"/>
                <w:gridSpan w:val="2"/>
                <w:tcBorders>
                  <w:top w:val="single" w:sz="4" w:space="0" w:color="000000"/>
                  <w:left w:val="single" w:sz="4" w:space="0" w:color="000000"/>
                  <w:bottom w:val="single" w:sz="4" w:space="0" w:color="000000"/>
                </w:tcBorders>
              </w:tcPr>
            </w:tcPrChange>
          </w:tcPr>
          <w:p w14:paraId="7BEF3F96" w14:textId="77777777" w:rsidR="00784D05" w:rsidRDefault="00784D05" w:rsidP="0063054D">
            <w:pPr>
              <w:keepNext/>
              <w:keepLines/>
              <w:suppressLineNumbers/>
              <w:ind w:right="-2"/>
              <w:jc w:val="center"/>
              <w:rPr>
                <w:sz w:val="18"/>
                <w:szCs w:val="18"/>
                <w:lang w:val="lv-LV"/>
              </w:rPr>
            </w:pPr>
            <w:r>
              <w:rPr>
                <w:sz w:val="18"/>
                <w:szCs w:val="18"/>
                <w:lang w:val="lv-LV"/>
              </w:rPr>
              <w:t>52%</w:t>
            </w:r>
          </w:p>
        </w:tc>
        <w:tc>
          <w:tcPr>
            <w:tcW w:w="818" w:type="dxa"/>
            <w:tcBorders>
              <w:top w:val="single" w:sz="4" w:space="0" w:color="000000"/>
              <w:left w:val="single" w:sz="4" w:space="0" w:color="000000"/>
              <w:bottom w:val="single" w:sz="4" w:space="0" w:color="000000"/>
            </w:tcBorders>
            <w:tcPrChange w:id="183" w:author="Author">
              <w:tcPr>
                <w:tcW w:w="844" w:type="dxa"/>
                <w:gridSpan w:val="2"/>
                <w:tcBorders>
                  <w:top w:val="single" w:sz="4" w:space="0" w:color="000000"/>
                  <w:left w:val="single" w:sz="4" w:space="0" w:color="000000"/>
                  <w:bottom w:val="single" w:sz="4" w:space="0" w:color="000000"/>
                </w:tcBorders>
              </w:tcPr>
            </w:tcPrChange>
          </w:tcPr>
          <w:p w14:paraId="24674F89" w14:textId="77777777" w:rsidR="00784D05" w:rsidRDefault="00784D05" w:rsidP="0063054D">
            <w:pPr>
              <w:keepNext/>
              <w:keepLines/>
              <w:suppressLineNumbers/>
              <w:ind w:right="-2"/>
              <w:jc w:val="center"/>
              <w:rPr>
                <w:sz w:val="18"/>
                <w:szCs w:val="18"/>
                <w:lang w:val="lv-LV"/>
              </w:rPr>
            </w:pPr>
            <w:r>
              <w:rPr>
                <w:sz w:val="18"/>
                <w:szCs w:val="18"/>
                <w:lang w:val="lv-LV"/>
              </w:rPr>
              <w:t>56%***</w:t>
            </w:r>
          </w:p>
        </w:tc>
        <w:tc>
          <w:tcPr>
            <w:tcW w:w="844" w:type="dxa"/>
            <w:tcBorders>
              <w:top w:val="single" w:sz="4" w:space="0" w:color="000000"/>
              <w:left w:val="single" w:sz="4" w:space="0" w:color="000000"/>
              <w:bottom w:val="single" w:sz="4" w:space="0" w:color="000000"/>
            </w:tcBorders>
            <w:tcPrChange w:id="184" w:author="Author">
              <w:tcPr>
                <w:tcW w:w="844" w:type="dxa"/>
                <w:gridSpan w:val="2"/>
                <w:tcBorders>
                  <w:top w:val="single" w:sz="4" w:space="0" w:color="000000"/>
                  <w:left w:val="single" w:sz="4" w:space="0" w:color="000000"/>
                  <w:bottom w:val="single" w:sz="4" w:space="0" w:color="000000"/>
                </w:tcBorders>
              </w:tcPr>
            </w:tcPrChange>
          </w:tcPr>
          <w:p w14:paraId="2A62FFEE" w14:textId="77777777" w:rsidR="00784D05" w:rsidRDefault="00784D05" w:rsidP="0063054D">
            <w:pPr>
              <w:keepNext/>
              <w:keepLines/>
              <w:suppressLineNumbers/>
              <w:ind w:right="-2"/>
              <w:jc w:val="center"/>
              <w:rPr>
                <w:sz w:val="18"/>
                <w:szCs w:val="18"/>
                <w:lang w:val="lv-LV"/>
              </w:rPr>
            </w:pPr>
            <w:r>
              <w:rPr>
                <w:sz w:val="18"/>
                <w:szCs w:val="18"/>
                <w:lang w:val="lv-LV"/>
              </w:rPr>
              <w:t>27%</w:t>
            </w:r>
          </w:p>
        </w:tc>
        <w:tc>
          <w:tcPr>
            <w:tcW w:w="844" w:type="dxa"/>
            <w:tcBorders>
              <w:top w:val="single" w:sz="4" w:space="0" w:color="000000"/>
              <w:left w:val="single" w:sz="4" w:space="0" w:color="000000"/>
              <w:bottom w:val="single" w:sz="4" w:space="0" w:color="000000"/>
            </w:tcBorders>
            <w:tcPrChange w:id="185" w:author="Author">
              <w:tcPr>
                <w:tcW w:w="844" w:type="dxa"/>
                <w:gridSpan w:val="2"/>
                <w:tcBorders>
                  <w:top w:val="single" w:sz="4" w:space="0" w:color="000000"/>
                  <w:left w:val="single" w:sz="4" w:space="0" w:color="000000"/>
                  <w:bottom w:val="single" w:sz="4" w:space="0" w:color="000000"/>
                </w:tcBorders>
              </w:tcPr>
            </w:tcPrChange>
          </w:tcPr>
          <w:p w14:paraId="33011A0A" w14:textId="77777777" w:rsidR="00784D05" w:rsidRDefault="00784D05" w:rsidP="0063054D">
            <w:pPr>
              <w:keepNext/>
              <w:keepLines/>
              <w:suppressLineNumbers/>
              <w:ind w:right="-2"/>
              <w:jc w:val="center"/>
              <w:rPr>
                <w:sz w:val="18"/>
                <w:szCs w:val="18"/>
                <w:lang w:val="lv-LV"/>
              </w:rPr>
            </w:pPr>
            <w:r>
              <w:rPr>
                <w:sz w:val="18"/>
                <w:szCs w:val="18"/>
                <w:lang w:val="lv-LV"/>
              </w:rPr>
              <w:t>59%***</w:t>
            </w:r>
          </w:p>
        </w:tc>
        <w:tc>
          <w:tcPr>
            <w:tcW w:w="844" w:type="dxa"/>
            <w:tcBorders>
              <w:top w:val="single" w:sz="4" w:space="0" w:color="000000"/>
              <w:left w:val="single" w:sz="4" w:space="0" w:color="000000"/>
              <w:bottom w:val="single" w:sz="4" w:space="0" w:color="000000"/>
            </w:tcBorders>
            <w:tcPrChange w:id="186" w:author="Author">
              <w:tcPr>
                <w:tcW w:w="844" w:type="dxa"/>
                <w:gridSpan w:val="2"/>
                <w:tcBorders>
                  <w:top w:val="single" w:sz="4" w:space="0" w:color="000000"/>
                  <w:left w:val="single" w:sz="4" w:space="0" w:color="000000"/>
                  <w:bottom w:val="single" w:sz="4" w:space="0" w:color="000000"/>
                </w:tcBorders>
              </w:tcPr>
            </w:tcPrChange>
          </w:tcPr>
          <w:p w14:paraId="4C50BD89" w14:textId="77777777" w:rsidR="00784D05" w:rsidRDefault="00784D05" w:rsidP="0063054D">
            <w:pPr>
              <w:keepNext/>
              <w:keepLines/>
              <w:suppressLineNumbers/>
              <w:ind w:right="-2"/>
              <w:jc w:val="center"/>
              <w:rPr>
                <w:sz w:val="18"/>
                <w:szCs w:val="18"/>
                <w:lang w:val="lv-LV"/>
              </w:rPr>
            </w:pPr>
            <w:r>
              <w:rPr>
                <w:sz w:val="18"/>
                <w:szCs w:val="18"/>
                <w:lang w:val="lv-LV"/>
              </w:rPr>
              <w:t>26%</w:t>
            </w:r>
          </w:p>
        </w:tc>
        <w:tc>
          <w:tcPr>
            <w:tcW w:w="929" w:type="dxa"/>
            <w:tcBorders>
              <w:top w:val="single" w:sz="4" w:space="0" w:color="000000"/>
              <w:left w:val="single" w:sz="4" w:space="0" w:color="000000"/>
              <w:bottom w:val="single" w:sz="4" w:space="0" w:color="000000"/>
            </w:tcBorders>
            <w:tcPrChange w:id="187" w:author="Author">
              <w:tcPr>
                <w:tcW w:w="929" w:type="dxa"/>
                <w:gridSpan w:val="2"/>
                <w:tcBorders>
                  <w:top w:val="single" w:sz="4" w:space="0" w:color="000000"/>
                  <w:left w:val="single" w:sz="4" w:space="0" w:color="000000"/>
                  <w:bottom w:val="single" w:sz="4" w:space="0" w:color="000000"/>
                </w:tcBorders>
              </w:tcPr>
            </w:tcPrChange>
          </w:tcPr>
          <w:p w14:paraId="50840AAF" w14:textId="77777777" w:rsidR="00784D05" w:rsidRDefault="00784D05" w:rsidP="0063054D">
            <w:pPr>
              <w:keepNext/>
              <w:keepLines/>
              <w:suppressLineNumbers/>
              <w:ind w:right="-2"/>
              <w:jc w:val="center"/>
              <w:rPr>
                <w:sz w:val="18"/>
                <w:szCs w:val="18"/>
                <w:lang w:val="lv-LV"/>
              </w:rPr>
            </w:pPr>
            <w:r>
              <w:rPr>
                <w:sz w:val="18"/>
                <w:szCs w:val="18"/>
                <w:lang w:val="lv-LV"/>
              </w:rPr>
              <w:t>61%***</w:t>
            </w:r>
          </w:p>
        </w:tc>
        <w:tc>
          <w:tcPr>
            <w:tcW w:w="931" w:type="dxa"/>
            <w:gridSpan w:val="2"/>
            <w:tcBorders>
              <w:top w:val="single" w:sz="4" w:space="0" w:color="000000"/>
              <w:left w:val="single" w:sz="4" w:space="0" w:color="000000"/>
              <w:bottom w:val="single" w:sz="4" w:space="0" w:color="000000"/>
            </w:tcBorders>
            <w:tcPrChange w:id="188" w:author="Author">
              <w:tcPr>
                <w:tcW w:w="931" w:type="dxa"/>
                <w:gridSpan w:val="3"/>
                <w:tcBorders>
                  <w:top w:val="single" w:sz="4" w:space="0" w:color="000000"/>
                  <w:left w:val="single" w:sz="4" w:space="0" w:color="000000"/>
                  <w:bottom w:val="single" w:sz="4" w:space="0" w:color="000000"/>
                </w:tcBorders>
              </w:tcPr>
            </w:tcPrChange>
          </w:tcPr>
          <w:p w14:paraId="749AB436" w14:textId="77777777" w:rsidR="00784D05" w:rsidRDefault="00784D05" w:rsidP="0063054D">
            <w:pPr>
              <w:keepNext/>
              <w:keepLines/>
              <w:suppressLineNumbers/>
              <w:ind w:right="-2"/>
              <w:jc w:val="center"/>
              <w:rPr>
                <w:sz w:val="18"/>
                <w:szCs w:val="18"/>
                <w:lang w:val="lv-LV"/>
              </w:rPr>
            </w:pPr>
            <w:r>
              <w:rPr>
                <w:sz w:val="18"/>
                <w:szCs w:val="18"/>
                <w:lang w:val="lv-LV"/>
              </w:rPr>
              <w:t>24%</w:t>
            </w:r>
          </w:p>
        </w:tc>
        <w:tc>
          <w:tcPr>
            <w:tcW w:w="844" w:type="dxa"/>
            <w:tcBorders>
              <w:top w:val="single" w:sz="4" w:space="0" w:color="000000"/>
              <w:left w:val="single" w:sz="4" w:space="0" w:color="000000"/>
              <w:bottom w:val="single" w:sz="4" w:space="0" w:color="000000"/>
            </w:tcBorders>
            <w:tcPrChange w:id="189" w:author="Author">
              <w:tcPr>
                <w:tcW w:w="844" w:type="dxa"/>
                <w:gridSpan w:val="2"/>
                <w:tcBorders>
                  <w:top w:val="single" w:sz="4" w:space="0" w:color="000000"/>
                  <w:left w:val="single" w:sz="4" w:space="0" w:color="000000"/>
                  <w:bottom w:val="single" w:sz="4" w:space="0" w:color="000000"/>
                </w:tcBorders>
              </w:tcPr>
            </w:tcPrChange>
          </w:tcPr>
          <w:p w14:paraId="6E00773F" w14:textId="77777777" w:rsidR="00784D05" w:rsidRDefault="00784D05" w:rsidP="0063054D">
            <w:pPr>
              <w:keepNext/>
              <w:keepLines/>
              <w:suppressLineNumbers/>
              <w:ind w:right="-2"/>
              <w:jc w:val="center"/>
              <w:rPr>
                <w:sz w:val="18"/>
                <w:szCs w:val="18"/>
                <w:lang w:val="lv-LV"/>
              </w:rPr>
            </w:pPr>
            <w:r>
              <w:rPr>
                <w:sz w:val="18"/>
                <w:szCs w:val="18"/>
                <w:lang w:val="lv-LV"/>
              </w:rPr>
              <w:t>50%***</w:t>
            </w:r>
          </w:p>
        </w:tc>
        <w:tc>
          <w:tcPr>
            <w:tcW w:w="872" w:type="dxa"/>
            <w:tcBorders>
              <w:top w:val="single" w:sz="4" w:space="0" w:color="000000"/>
              <w:left w:val="single" w:sz="4" w:space="0" w:color="000000"/>
              <w:bottom w:val="single" w:sz="4" w:space="0" w:color="000000"/>
              <w:right w:val="single" w:sz="4" w:space="0" w:color="000000"/>
            </w:tcBorders>
            <w:tcPrChange w:id="190" w:author="Author">
              <w:tcPr>
                <w:tcW w:w="872" w:type="dxa"/>
                <w:gridSpan w:val="2"/>
                <w:tcBorders>
                  <w:top w:val="single" w:sz="4" w:space="0" w:color="000000"/>
                  <w:left w:val="single" w:sz="4" w:space="0" w:color="000000"/>
                  <w:bottom w:val="single" w:sz="4" w:space="0" w:color="000000"/>
                  <w:right w:val="single" w:sz="4" w:space="0" w:color="000000"/>
                </w:tcBorders>
              </w:tcPr>
            </w:tcPrChange>
          </w:tcPr>
          <w:p w14:paraId="22EBA100" w14:textId="77777777" w:rsidR="00784D05" w:rsidRDefault="00784D05" w:rsidP="0063054D">
            <w:pPr>
              <w:keepNext/>
              <w:keepLines/>
              <w:suppressLineNumbers/>
              <w:ind w:right="-2"/>
              <w:jc w:val="center"/>
              <w:rPr>
                <w:sz w:val="18"/>
                <w:szCs w:val="18"/>
                <w:lang w:val="lv-LV"/>
              </w:rPr>
            </w:pPr>
            <w:r>
              <w:rPr>
                <w:sz w:val="18"/>
                <w:szCs w:val="18"/>
                <w:lang w:val="lv-LV"/>
              </w:rPr>
              <w:t>10%</w:t>
            </w:r>
          </w:p>
        </w:tc>
      </w:tr>
      <w:tr w:rsidR="00784D05" w14:paraId="11ECEFCE" w14:textId="77777777" w:rsidTr="002007A3">
        <w:trPr>
          <w:trPrChange w:id="191" w:author="Author">
            <w:trPr>
              <w:gridBefore w:val="1"/>
            </w:trPr>
          </w:trPrChange>
        </w:trPr>
        <w:tc>
          <w:tcPr>
            <w:tcW w:w="772" w:type="dxa"/>
            <w:gridSpan w:val="2"/>
            <w:tcBorders>
              <w:top w:val="single" w:sz="4" w:space="0" w:color="000000"/>
              <w:left w:val="single" w:sz="4" w:space="0" w:color="000000"/>
              <w:bottom w:val="single" w:sz="4" w:space="0" w:color="000000"/>
            </w:tcBorders>
            <w:tcPrChange w:id="192" w:author="Author">
              <w:tcPr>
                <w:tcW w:w="772" w:type="dxa"/>
                <w:gridSpan w:val="3"/>
                <w:tcBorders>
                  <w:top w:val="single" w:sz="4" w:space="0" w:color="000000"/>
                  <w:left w:val="single" w:sz="4" w:space="0" w:color="000000"/>
                  <w:bottom w:val="single" w:sz="4" w:space="0" w:color="000000"/>
                </w:tcBorders>
              </w:tcPr>
            </w:tcPrChange>
          </w:tcPr>
          <w:p w14:paraId="56624DFC" w14:textId="20D7C397" w:rsidR="00784D05" w:rsidRDefault="00784D05" w:rsidP="0063054D">
            <w:pPr>
              <w:keepNext/>
              <w:keepLines/>
              <w:suppressLineNumbers/>
              <w:ind w:right="-2"/>
              <w:jc w:val="center"/>
              <w:rPr>
                <w:sz w:val="18"/>
                <w:szCs w:val="18"/>
                <w:lang w:val="lv-LV"/>
              </w:rPr>
            </w:pPr>
            <w:r>
              <w:rPr>
                <w:sz w:val="18"/>
                <w:szCs w:val="18"/>
                <w:lang w:val="lv-LV"/>
              </w:rPr>
              <w:t>52</w:t>
            </w:r>
            <w:r w:rsidR="00B47B7D">
              <w:rPr>
                <w:sz w:val="18"/>
                <w:szCs w:val="18"/>
                <w:lang w:val="lv-LV"/>
              </w:rPr>
              <w:t>.</w:t>
            </w:r>
          </w:p>
        </w:tc>
        <w:tc>
          <w:tcPr>
            <w:tcW w:w="922" w:type="dxa"/>
            <w:tcBorders>
              <w:top w:val="single" w:sz="4" w:space="0" w:color="000000"/>
              <w:left w:val="single" w:sz="4" w:space="0" w:color="000000"/>
              <w:bottom w:val="single" w:sz="4" w:space="0" w:color="000000"/>
            </w:tcBorders>
            <w:tcPrChange w:id="193" w:author="Author">
              <w:tcPr>
                <w:tcW w:w="922" w:type="dxa"/>
                <w:gridSpan w:val="2"/>
                <w:tcBorders>
                  <w:top w:val="single" w:sz="4" w:space="0" w:color="000000"/>
                  <w:left w:val="single" w:sz="4" w:space="0" w:color="000000"/>
                  <w:bottom w:val="single" w:sz="4" w:space="0" w:color="000000"/>
                </w:tcBorders>
              </w:tcPr>
            </w:tcPrChange>
          </w:tcPr>
          <w:p w14:paraId="14569BEF" w14:textId="77777777" w:rsidR="00784D05" w:rsidRDefault="00784D05" w:rsidP="0063054D">
            <w:pPr>
              <w:keepNext/>
              <w:keepLines/>
              <w:suppressLineNumbers/>
              <w:snapToGrid w:val="0"/>
              <w:ind w:right="-2"/>
              <w:jc w:val="center"/>
              <w:rPr>
                <w:sz w:val="18"/>
                <w:szCs w:val="18"/>
                <w:lang w:val="lv-LV"/>
              </w:rPr>
            </w:pPr>
          </w:p>
        </w:tc>
        <w:tc>
          <w:tcPr>
            <w:tcW w:w="697" w:type="dxa"/>
            <w:tcBorders>
              <w:top w:val="single" w:sz="4" w:space="0" w:color="000000"/>
              <w:left w:val="single" w:sz="4" w:space="0" w:color="000000"/>
              <w:bottom w:val="single" w:sz="4" w:space="0" w:color="000000"/>
            </w:tcBorders>
            <w:tcPrChange w:id="194" w:author="Author">
              <w:tcPr>
                <w:tcW w:w="671" w:type="dxa"/>
                <w:gridSpan w:val="2"/>
                <w:tcBorders>
                  <w:top w:val="single" w:sz="4" w:space="0" w:color="000000"/>
                  <w:left w:val="single" w:sz="4" w:space="0" w:color="000000"/>
                  <w:bottom w:val="single" w:sz="4" w:space="0" w:color="000000"/>
                </w:tcBorders>
              </w:tcPr>
            </w:tcPrChange>
          </w:tcPr>
          <w:p w14:paraId="59A8DC11" w14:textId="77777777" w:rsidR="00784D05" w:rsidRDefault="00784D05" w:rsidP="0063054D">
            <w:pPr>
              <w:keepNext/>
              <w:keepLines/>
              <w:suppressLineNumbers/>
              <w:snapToGrid w:val="0"/>
              <w:ind w:right="-2"/>
              <w:jc w:val="center"/>
              <w:rPr>
                <w:sz w:val="18"/>
                <w:szCs w:val="18"/>
                <w:lang w:val="lv-LV"/>
              </w:rPr>
            </w:pPr>
          </w:p>
        </w:tc>
        <w:tc>
          <w:tcPr>
            <w:tcW w:w="818" w:type="dxa"/>
            <w:tcBorders>
              <w:top w:val="single" w:sz="4" w:space="0" w:color="000000"/>
              <w:left w:val="single" w:sz="4" w:space="0" w:color="000000"/>
              <w:bottom w:val="single" w:sz="4" w:space="0" w:color="000000"/>
            </w:tcBorders>
            <w:tcPrChange w:id="195" w:author="Author">
              <w:tcPr>
                <w:tcW w:w="844" w:type="dxa"/>
                <w:gridSpan w:val="2"/>
                <w:tcBorders>
                  <w:top w:val="single" w:sz="4" w:space="0" w:color="000000"/>
                  <w:left w:val="single" w:sz="4" w:space="0" w:color="000000"/>
                  <w:bottom w:val="single" w:sz="4" w:space="0" w:color="000000"/>
                </w:tcBorders>
              </w:tcPr>
            </w:tcPrChange>
          </w:tcPr>
          <w:p w14:paraId="3E0F5384" w14:textId="77777777" w:rsidR="00784D05" w:rsidRDefault="00784D05" w:rsidP="0063054D">
            <w:pPr>
              <w:keepNext/>
              <w:keepLines/>
              <w:suppressLineNumbers/>
              <w:ind w:right="-2"/>
              <w:jc w:val="center"/>
              <w:rPr>
                <w:sz w:val="18"/>
                <w:szCs w:val="18"/>
                <w:lang w:val="lv-LV"/>
              </w:rPr>
            </w:pPr>
            <w:r>
              <w:rPr>
                <w:sz w:val="18"/>
                <w:szCs w:val="18"/>
                <w:lang w:val="lv-LV"/>
              </w:rPr>
              <w:t>56%***</w:t>
            </w:r>
          </w:p>
        </w:tc>
        <w:tc>
          <w:tcPr>
            <w:tcW w:w="844" w:type="dxa"/>
            <w:tcBorders>
              <w:top w:val="single" w:sz="4" w:space="0" w:color="000000"/>
              <w:left w:val="single" w:sz="4" w:space="0" w:color="000000"/>
              <w:bottom w:val="single" w:sz="4" w:space="0" w:color="000000"/>
            </w:tcBorders>
            <w:tcPrChange w:id="196" w:author="Author">
              <w:tcPr>
                <w:tcW w:w="844" w:type="dxa"/>
                <w:gridSpan w:val="2"/>
                <w:tcBorders>
                  <w:top w:val="single" w:sz="4" w:space="0" w:color="000000"/>
                  <w:left w:val="single" w:sz="4" w:space="0" w:color="000000"/>
                  <w:bottom w:val="single" w:sz="4" w:space="0" w:color="000000"/>
                </w:tcBorders>
              </w:tcPr>
            </w:tcPrChange>
          </w:tcPr>
          <w:p w14:paraId="6D03B289" w14:textId="77777777" w:rsidR="00784D05" w:rsidRDefault="00784D05" w:rsidP="0063054D">
            <w:pPr>
              <w:keepNext/>
              <w:keepLines/>
              <w:suppressLineNumbers/>
              <w:ind w:right="-2"/>
              <w:jc w:val="center"/>
              <w:rPr>
                <w:sz w:val="18"/>
                <w:szCs w:val="18"/>
                <w:lang w:val="lv-LV"/>
              </w:rPr>
            </w:pPr>
            <w:r>
              <w:rPr>
                <w:sz w:val="18"/>
                <w:szCs w:val="18"/>
                <w:lang w:val="lv-LV"/>
              </w:rPr>
              <w:t>25%</w:t>
            </w:r>
          </w:p>
        </w:tc>
        <w:tc>
          <w:tcPr>
            <w:tcW w:w="844" w:type="dxa"/>
            <w:tcBorders>
              <w:top w:val="single" w:sz="4" w:space="0" w:color="000000"/>
              <w:left w:val="single" w:sz="4" w:space="0" w:color="000000"/>
              <w:bottom w:val="single" w:sz="4" w:space="0" w:color="000000"/>
            </w:tcBorders>
            <w:tcPrChange w:id="197" w:author="Author">
              <w:tcPr>
                <w:tcW w:w="844" w:type="dxa"/>
                <w:gridSpan w:val="2"/>
                <w:tcBorders>
                  <w:top w:val="single" w:sz="4" w:space="0" w:color="000000"/>
                  <w:left w:val="single" w:sz="4" w:space="0" w:color="000000"/>
                  <w:bottom w:val="single" w:sz="4" w:space="0" w:color="000000"/>
                </w:tcBorders>
              </w:tcPr>
            </w:tcPrChange>
          </w:tcPr>
          <w:p w14:paraId="41E52BD4" w14:textId="77777777" w:rsidR="00784D05" w:rsidRDefault="00784D05" w:rsidP="0063054D">
            <w:pPr>
              <w:keepNext/>
              <w:keepLines/>
              <w:suppressLineNumbers/>
              <w:snapToGrid w:val="0"/>
              <w:ind w:right="-2"/>
              <w:jc w:val="center"/>
              <w:rPr>
                <w:sz w:val="18"/>
                <w:szCs w:val="18"/>
                <w:lang w:val="lv-LV"/>
              </w:rPr>
            </w:pPr>
          </w:p>
        </w:tc>
        <w:tc>
          <w:tcPr>
            <w:tcW w:w="844" w:type="dxa"/>
            <w:tcBorders>
              <w:top w:val="single" w:sz="4" w:space="0" w:color="000000"/>
              <w:left w:val="single" w:sz="4" w:space="0" w:color="000000"/>
              <w:bottom w:val="single" w:sz="4" w:space="0" w:color="000000"/>
            </w:tcBorders>
            <w:tcPrChange w:id="198" w:author="Author">
              <w:tcPr>
                <w:tcW w:w="844" w:type="dxa"/>
                <w:gridSpan w:val="2"/>
                <w:tcBorders>
                  <w:top w:val="single" w:sz="4" w:space="0" w:color="000000"/>
                  <w:left w:val="single" w:sz="4" w:space="0" w:color="000000"/>
                  <w:bottom w:val="single" w:sz="4" w:space="0" w:color="000000"/>
                </w:tcBorders>
              </w:tcPr>
            </w:tcPrChange>
          </w:tcPr>
          <w:p w14:paraId="0FCF39D0" w14:textId="77777777" w:rsidR="00784D05" w:rsidRDefault="00784D05" w:rsidP="0063054D">
            <w:pPr>
              <w:keepNext/>
              <w:keepLines/>
              <w:suppressLineNumbers/>
              <w:snapToGrid w:val="0"/>
              <w:ind w:right="-2"/>
              <w:jc w:val="center"/>
              <w:rPr>
                <w:sz w:val="18"/>
                <w:szCs w:val="18"/>
                <w:lang w:val="lv-LV"/>
              </w:rPr>
            </w:pPr>
          </w:p>
        </w:tc>
        <w:tc>
          <w:tcPr>
            <w:tcW w:w="929" w:type="dxa"/>
            <w:tcBorders>
              <w:top w:val="single" w:sz="4" w:space="0" w:color="000000"/>
              <w:left w:val="single" w:sz="4" w:space="0" w:color="000000"/>
              <w:bottom w:val="single" w:sz="4" w:space="0" w:color="000000"/>
            </w:tcBorders>
            <w:tcPrChange w:id="199" w:author="Author">
              <w:tcPr>
                <w:tcW w:w="929" w:type="dxa"/>
                <w:gridSpan w:val="2"/>
                <w:tcBorders>
                  <w:top w:val="single" w:sz="4" w:space="0" w:color="000000"/>
                  <w:left w:val="single" w:sz="4" w:space="0" w:color="000000"/>
                  <w:bottom w:val="single" w:sz="4" w:space="0" w:color="000000"/>
                </w:tcBorders>
              </w:tcPr>
            </w:tcPrChange>
          </w:tcPr>
          <w:p w14:paraId="1BE99337" w14:textId="77777777" w:rsidR="00784D05" w:rsidRDefault="00784D05" w:rsidP="0063054D">
            <w:pPr>
              <w:keepNext/>
              <w:keepLines/>
              <w:suppressLineNumbers/>
              <w:snapToGrid w:val="0"/>
              <w:ind w:right="-2"/>
              <w:jc w:val="center"/>
              <w:rPr>
                <w:sz w:val="18"/>
                <w:szCs w:val="18"/>
                <w:lang w:val="lv-LV"/>
              </w:rPr>
            </w:pPr>
          </w:p>
        </w:tc>
        <w:tc>
          <w:tcPr>
            <w:tcW w:w="931" w:type="dxa"/>
            <w:gridSpan w:val="2"/>
            <w:tcBorders>
              <w:top w:val="single" w:sz="4" w:space="0" w:color="000000"/>
              <w:left w:val="single" w:sz="4" w:space="0" w:color="000000"/>
              <w:bottom w:val="single" w:sz="4" w:space="0" w:color="000000"/>
            </w:tcBorders>
            <w:tcPrChange w:id="200" w:author="Author">
              <w:tcPr>
                <w:tcW w:w="931" w:type="dxa"/>
                <w:gridSpan w:val="3"/>
                <w:tcBorders>
                  <w:top w:val="single" w:sz="4" w:space="0" w:color="000000"/>
                  <w:left w:val="single" w:sz="4" w:space="0" w:color="000000"/>
                  <w:bottom w:val="single" w:sz="4" w:space="0" w:color="000000"/>
                </w:tcBorders>
              </w:tcPr>
            </w:tcPrChange>
          </w:tcPr>
          <w:p w14:paraId="6AC176BA" w14:textId="77777777" w:rsidR="00784D05" w:rsidRDefault="00784D05" w:rsidP="0063054D">
            <w:pPr>
              <w:keepNext/>
              <w:keepLines/>
              <w:suppressLineNumbers/>
              <w:snapToGrid w:val="0"/>
              <w:ind w:right="-2"/>
              <w:jc w:val="center"/>
              <w:rPr>
                <w:sz w:val="18"/>
                <w:szCs w:val="18"/>
                <w:lang w:val="lv-LV"/>
              </w:rPr>
            </w:pPr>
          </w:p>
        </w:tc>
        <w:tc>
          <w:tcPr>
            <w:tcW w:w="844" w:type="dxa"/>
            <w:tcBorders>
              <w:top w:val="single" w:sz="4" w:space="0" w:color="000000"/>
              <w:left w:val="single" w:sz="4" w:space="0" w:color="000000"/>
              <w:bottom w:val="single" w:sz="4" w:space="0" w:color="000000"/>
            </w:tcBorders>
            <w:tcPrChange w:id="201" w:author="Author">
              <w:tcPr>
                <w:tcW w:w="844" w:type="dxa"/>
                <w:gridSpan w:val="2"/>
                <w:tcBorders>
                  <w:top w:val="single" w:sz="4" w:space="0" w:color="000000"/>
                  <w:left w:val="single" w:sz="4" w:space="0" w:color="000000"/>
                  <w:bottom w:val="single" w:sz="4" w:space="0" w:color="000000"/>
                </w:tcBorders>
              </w:tcPr>
            </w:tcPrChange>
          </w:tcPr>
          <w:p w14:paraId="1AF49DEE" w14:textId="77777777" w:rsidR="00784D05" w:rsidRDefault="00784D05" w:rsidP="0063054D">
            <w:pPr>
              <w:keepNext/>
              <w:keepLines/>
              <w:suppressLineNumbers/>
              <w:snapToGrid w:val="0"/>
              <w:ind w:right="-2"/>
              <w:jc w:val="center"/>
              <w:rPr>
                <w:sz w:val="18"/>
                <w:szCs w:val="18"/>
                <w:lang w:val="lv-LV"/>
              </w:rPr>
            </w:pPr>
          </w:p>
        </w:tc>
        <w:tc>
          <w:tcPr>
            <w:tcW w:w="872" w:type="dxa"/>
            <w:tcBorders>
              <w:top w:val="single" w:sz="4" w:space="0" w:color="000000"/>
              <w:left w:val="single" w:sz="4" w:space="0" w:color="000000"/>
              <w:bottom w:val="single" w:sz="4" w:space="0" w:color="000000"/>
              <w:right w:val="single" w:sz="4" w:space="0" w:color="000000"/>
            </w:tcBorders>
            <w:tcPrChange w:id="202" w:author="Author">
              <w:tcPr>
                <w:tcW w:w="872" w:type="dxa"/>
                <w:gridSpan w:val="2"/>
                <w:tcBorders>
                  <w:top w:val="single" w:sz="4" w:space="0" w:color="000000"/>
                  <w:left w:val="single" w:sz="4" w:space="0" w:color="000000"/>
                  <w:bottom w:val="single" w:sz="4" w:space="0" w:color="000000"/>
                  <w:right w:val="single" w:sz="4" w:space="0" w:color="000000"/>
                </w:tcBorders>
              </w:tcPr>
            </w:tcPrChange>
          </w:tcPr>
          <w:p w14:paraId="355B7D91" w14:textId="77777777" w:rsidR="00784D05" w:rsidRDefault="00784D05" w:rsidP="0063054D">
            <w:pPr>
              <w:keepNext/>
              <w:keepLines/>
              <w:suppressLineNumbers/>
              <w:snapToGrid w:val="0"/>
              <w:ind w:right="-2"/>
              <w:jc w:val="center"/>
              <w:rPr>
                <w:sz w:val="18"/>
                <w:szCs w:val="18"/>
                <w:lang w:val="lv-LV"/>
              </w:rPr>
            </w:pPr>
          </w:p>
        </w:tc>
      </w:tr>
      <w:tr w:rsidR="00784D05" w14:paraId="45385B86" w14:textId="77777777" w:rsidTr="002007A3">
        <w:trPr>
          <w:trPrChange w:id="203" w:author="Author">
            <w:trPr>
              <w:gridBefore w:val="1"/>
            </w:trPr>
          </w:trPrChange>
        </w:trPr>
        <w:tc>
          <w:tcPr>
            <w:tcW w:w="9317" w:type="dxa"/>
            <w:gridSpan w:val="13"/>
            <w:tcBorders>
              <w:top w:val="single" w:sz="4" w:space="0" w:color="000000"/>
              <w:left w:val="single" w:sz="4" w:space="0" w:color="000000"/>
              <w:bottom w:val="single" w:sz="4" w:space="0" w:color="000000"/>
              <w:right w:val="single" w:sz="4" w:space="0" w:color="000000"/>
            </w:tcBorders>
            <w:tcPrChange w:id="204" w:author="Author">
              <w:tcPr>
                <w:tcW w:w="9317" w:type="dxa"/>
                <w:gridSpan w:val="24"/>
                <w:tcBorders>
                  <w:top w:val="single" w:sz="4" w:space="0" w:color="000000"/>
                  <w:left w:val="single" w:sz="4" w:space="0" w:color="000000"/>
                  <w:bottom w:val="single" w:sz="4" w:space="0" w:color="000000"/>
                  <w:right w:val="single" w:sz="4" w:space="0" w:color="000000"/>
                </w:tcBorders>
              </w:tcPr>
            </w:tcPrChange>
          </w:tcPr>
          <w:p w14:paraId="49B87A4B" w14:textId="3769E43C" w:rsidR="00784D05" w:rsidRDefault="00784D05" w:rsidP="0063054D">
            <w:pPr>
              <w:keepNext/>
              <w:keepLines/>
              <w:suppressLineNumbers/>
              <w:ind w:right="-2"/>
              <w:jc w:val="center"/>
              <w:rPr>
                <w:sz w:val="18"/>
                <w:szCs w:val="18"/>
                <w:lang w:val="lv-LV"/>
              </w:rPr>
            </w:pPr>
            <w:r>
              <w:rPr>
                <w:b/>
                <w:sz w:val="18"/>
                <w:szCs w:val="18"/>
                <w:lang w:val="lv-LV"/>
              </w:rPr>
              <w:t>ACR</w:t>
            </w:r>
            <w:r w:rsidR="00B47B7D">
              <w:rPr>
                <w:b/>
                <w:sz w:val="18"/>
                <w:szCs w:val="18"/>
                <w:lang w:val="lv-LV"/>
              </w:rPr>
              <w:t> </w:t>
            </w:r>
            <w:r>
              <w:rPr>
                <w:b/>
                <w:sz w:val="18"/>
                <w:szCs w:val="18"/>
                <w:lang w:val="lv-LV"/>
              </w:rPr>
              <w:t>50</w:t>
            </w:r>
          </w:p>
        </w:tc>
      </w:tr>
      <w:tr w:rsidR="00784D05" w14:paraId="48C18A62" w14:textId="77777777" w:rsidTr="002007A3">
        <w:trPr>
          <w:trPrChange w:id="205" w:author="Author">
            <w:trPr>
              <w:gridBefore w:val="1"/>
            </w:trPr>
          </w:trPrChange>
        </w:trPr>
        <w:tc>
          <w:tcPr>
            <w:tcW w:w="772" w:type="dxa"/>
            <w:gridSpan w:val="2"/>
            <w:tcBorders>
              <w:top w:val="single" w:sz="4" w:space="0" w:color="000000"/>
              <w:left w:val="single" w:sz="4" w:space="0" w:color="000000"/>
              <w:bottom w:val="single" w:sz="4" w:space="0" w:color="000000"/>
            </w:tcBorders>
            <w:tcPrChange w:id="206" w:author="Author">
              <w:tcPr>
                <w:tcW w:w="772" w:type="dxa"/>
                <w:gridSpan w:val="3"/>
                <w:tcBorders>
                  <w:top w:val="single" w:sz="4" w:space="0" w:color="000000"/>
                  <w:left w:val="single" w:sz="4" w:space="0" w:color="000000"/>
                  <w:bottom w:val="single" w:sz="4" w:space="0" w:color="000000"/>
                </w:tcBorders>
              </w:tcPr>
            </w:tcPrChange>
          </w:tcPr>
          <w:p w14:paraId="1E1BFA13" w14:textId="76872920" w:rsidR="00784D05" w:rsidRDefault="00784D05" w:rsidP="0063054D">
            <w:pPr>
              <w:keepNext/>
              <w:keepLines/>
              <w:suppressLineNumbers/>
              <w:ind w:right="-2"/>
              <w:jc w:val="center"/>
              <w:rPr>
                <w:sz w:val="18"/>
                <w:szCs w:val="18"/>
                <w:lang w:val="lv-LV"/>
              </w:rPr>
            </w:pPr>
            <w:r>
              <w:rPr>
                <w:sz w:val="18"/>
                <w:szCs w:val="18"/>
                <w:lang w:val="lv-LV"/>
              </w:rPr>
              <w:t>24</w:t>
            </w:r>
            <w:r w:rsidR="00B47B7D">
              <w:rPr>
                <w:sz w:val="18"/>
                <w:szCs w:val="18"/>
                <w:lang w:val="lv-LV"/>
              </w:rPr>
              <w:t>.</w:t>
            </w:r>
          </w:p>
        </w:tc>
        <w:tc>
          <w:tcPr>
            <w:tcW w:w="922" w:type="dxa"/>
            <w:tcBorders>
              <w:top w:val="single" w:sz="4" w:space="0" w:color="000000"/>
              <w:left w:val="single" w:sz="4" w:space="0" w:color="000000"/>
              <w:bottom w:val="single" w:sz="4" w:space="0" w:color="000000"/>
            </w:tcBorders>
            <w:tcPrChange w:id="207" w:author="Author">
              <w:tcPr>
                <w:tcW w:w="922" w:type="dxa"/>
                <w:gridSpan w:val="2"/>
                <w:tcBorders>
                  <w:top w:val="single" w:sz="4" w:space="0" w:color="000000"/>
                  <w:left w:val="single" w:sz="4" w:space="0" w:color="000000"/>
                  <w:bottom w:val="single" w:sz="4" w:space="0" w:color="000000"/>
                </w:tcBorders>
              </w:tcPr>
            </w:tcPrChange>
          </w:tcPr>
          <w:p w14:paraId="32556EF0" w14:textId="77777777" w:rsidR="00784D05" w:rsidRDefault="00784D05" w:rsidP="0063054D">
            <w:pPr>
              <w:keepNext/>
              <w:keepLines/>
              <w:suppressLineNumbers/>
              <w:ind w:right="-2"/>
              <w:jc w:val="center"/>
              <w:rPr>
                <w:sz w:val="18"/>
                <w:szCs w:val="18"/>
                <w:lang w:val="lv-LV"/>
              </w:rPr>
            </w:pPr>
            <w:r>
              <w:rPr>
                <w:sz w:val="18"/>
                <w:szCs w:val="18"/>
                <w:lang w:val="lv-LV"/>
              </w:rPr>
              <w:t>44%**</w:t>
            </w:r>
          </w:p>
        </w:tc>
        <w:tc>
          <w:tcPr>
            <w:tcW w:w="697" w:type="dxa"/>
            <w:tcBorders>
              <w:top w:val="single" w:sz="4" w:space="0" w:color="000000"/>
              <w:left w:val="single" w:sz="4" w:space="0" w:color="000000"/>
              <w:bottom w:val="single" w:sz="4" w:space="0" w:color="000000"/>
            </w:tcBorders>
            <w:tcPrChange w:id="208" w:author="Author">
              <w:tcPr>
                <w:tcW w:w="671" w:type="dxa"/>
                <w:gridSpan w:val="2"/>
                <w:tcBorders>
                  <w:top w:val="single" w:sz="4" w:space="0" w:color="000000"/>
                  <w:left w:val="single" w:sz="4" w:space="0" w:color="000000"/>
                  <w:bottom w:val="single" w:sz="4" w:space="0" w:color="000000"/>
                </w:tcBorders>
              </w:tcPr>
            </w:tcPrChange>
          </w:tcPr>
          <w:p w14:paraId="128DC455" w14:textId="77777777" w:rsidR="00784D05" w:rsidRDefault="00784D05" w:rsidP="0063054D">
            <w:pPr>
              <w:keepNext/>
              <w:keepLines/>
              <w:suppressLineNumbers/>
              <w:ind w:right="-2"/>
              <w:jc w:val="center"/>
              <w:rPr>
                <w:sz w:val="18"/>
                <w:szCs w:val="18"/>
                <w:lang w:val="lv-LV"/>
              </w:rPr>
            </w:pPr>
            <w:r>
              <w:rPr>
                <w:sz w:val="18"/>
                <w:szCs w:val="18"/>
                <w:lang w:val="lv-LV"/>
              </w:rPr>
              <w:t>33%</w:t>
            </w:r>
          </w:p>
        </w:tc>
        <w:tc>
          <w:tcPr>
            <w:tcW w:w="818" w:type="dxa"/>
            <w:tcBorders>
              <w:top w:val="single" w:sz="4" w:space="0" w:color="000000"/>
              <w:left w:val="single" w:sz="4" w:space="0" w:color="000000"/>
              <w:bottom w:val="single" w:sz="4" w:space="0" w:color="000000"/>
            </w:tcBorders>
            <w:tcPrChange w:id="209" w:author="Author">
              <w:tcPr>
                <w:tcW w:w="844" w:type="dxa"/>
                <w:gridSpan w:val="2"/>
                <w:tcBorders>
                  <w:top w:val="single" w:sz="4" w:space="0" w:color="000000"/>
                  <w:left w:val="single" w:sz="4" w:space="0" w:color="000000"/>
                  <w:bottom w:val="single" w:sz="4" w:space="0" w:color="000000"/>
                </w:tcBorders>
              </w:tcPr>
            </w:tcPrChange>
          </w:tcPr>
          <w:p w14:paraId="63B1ADDE" w14:textId="77777777" w:rsidR="00784D05" w:rsidRDefault="00784D05" w:rsidP="0063054D">
            <w:pPr>
              <w:keepNext/>
              <w:keepLines/>
              <w:suppressLineNumbers/>
              <w:ind w:right="-2"/>
              <w:jc w:val="center"/>
              <w:rPr>
                <w:sz w:val="18"/>
                <w:szCs w:val="18"/>
                <w:lang w:val="lv-LV"/>
              </w:rPr>
            </w:pPr>
            <w:r>
              <w:rPr>
                <w:sz w:val="18"/>
                <w:szCs w:val="18"/>
                <w:lang w:val="lv-LV"/>
              </w:rPr>
              <w:t>32%***</w:t>
            </w:r>
          </w:p>
        </w:tc>
        <w:tc>
          <w:tcPr>
            <w:tcW w:w="844" w:type="dxa"/>
            <w:tcBorders>
              <w:top w:val="single" w:sz="4" w:space="0" w:color="000000"/>
              <w:left w:val="single" w:sz="4" w:space="0" w:color="000000"/>
              <w:bottom w:val="single" w:sz="4" w:space="0" w:color="000000"/>
            </w:tcBorders>
            <w:tcPrChange w:id="210" w:author="Author">
              <w:tcPr>
                <w:tcW w:w="844" w:type="dxa"/>
                <w:gridSpan w:val="2"/>
                <w:tcBorders>
                  <w:top w:val="single" w:sz="4" w:space="0" w:color="000000"/>
                  <w:left w:val="single" w:sz="4" w:space="0" w:color="000000"/>
                  <w:bottom w:val="single" w:sz="4" w:space="0" w:color="000000"/>
                </w:tcBorders>
              </w:tcPr>
            </w:tcPrChange>
          </w:tcPr>
          <w:p w14:paraId="3268184F" w14:textId="77777777" w:rsidR="00784D05" w:rsidRDefault="00784D05" w:rsidP="0063054D">
            <w:pPr>
              <w:keepNext/>
              <w:keepLines/>
              <w:suppressLineNumbers/>
              <w:ind w:right="-2"/>
              <w:jc w:val="center"/>
              <w:rPr>
                <w:sz w:val="18"/>
                <w:szCs w:val="18"/>
                <w:lang w:val="lv-LV"/>
              </w:rPr>
            </w:pPr>
            <w:r>
              <w:rPr>
                <w:sz w:val="18"/>
                <w:szCs w:val="18"/>
                <w:lang w:val="lv-LV"/>
              </w:rPr>
              <w:t>10%</w:t>
            </w:r>
          </w:p>
        </w:tc>
        <w:tc>
          <w:tcPr>
            <w:tcW w:w="844" w:type="dxa"/>
            <w:tcBorders>
              <w:top w:val="single" w:sz="4" w:space="0" w:color="000000"/>
              <w:left w:val="single" w:sz="4" w:space="0" w:color="000000"/>
              <w:bottom w:val="single" w:sz="4" w:space="0" w:color="000000"/>
            </w:tcBorders>
            <w:tcPrChange w:id="211" w:author="Author">
              <w:tcPr>
                <w:tcW w:w="844" w:type="dxa"/>
                <w:gridSpan w:val="2"/>
                <w:tcBorders>
                  <w:top w:val="single" w:sz="4" w:space="0" w:color="000000"/>
                  <w:left w:val="single" w:sz="4" w:space="0" w:color="000000"/>
                  <w:bottom w:val="single" w:sz="4" w:space="0" w:color="000000"/>
                </w:tcBorders>
              </w:tcPr>
            </w:tcPrChange>
          </w:tcPr>
          <w:p w14:paraId="5E794F70" w14:textId="77777777" w:rsidR="00784D05" w:rsidRDefault="00784D05" w:rsidP="0063054D">
            <w:pPr>
              <w:keepNext/>
              <w:keepLines/>
              <w:suppressLineNumbers/>
              <w:ind w:right="-2"/>
              <w:jc w:val="center"/>
              <w:rPr>
                <w:sz w:val="18"/>
                <w:szCs w:val="18"/>
                <w:lang w:val="lv-LV"/>
              </w:rPr>
            </w:pPr>
            <w:r>
              <w:rPr>
                <w:sz w:val="18"/>
                <w:szCs w:val="18"/>
                <w:lang w:val="lv-LV"/>
              </w:rPr>
              <w:t>44%***</w:t>
            </w:r>
          </w:p>
        </w:tc>
        <w:tc>
          <w:tcPr>
            <w:tcW w:w="844" w:type="dxa"/>
            <w:tcBorders>
              <w:top w:val="single" w:sz="4" w:space="0" w:color="000000"/>
              <w:left w:val="single" w:sz="4" w:space="0" w:color="000000"/>
              <w:bottom w:val="single" w:sz="4" w:space="0" w:color="000000"/>
            </w:tcBorders>
            <w:tcPrChange w:id="212" w:author="Author">
              <w:tcPr>
                <w:tcW w:w="844" w:type="dxa"/>
                <w:gridSpan w:val="2"/>
                <w:tcBorders>
                  <w:top w:val="single" w:sz="4" w:space="0" w:color="000000"/>
                  <w:left w:val="single" w:sz="4" w:space="0" w:color="000000"/>
                  <w:bottom w:val="single" w:sz="4" w:space="0" w:color="000000"/>
                </w:tcBorders>
              </w:tcPr>
            </w:tcPrChange>
          </w:tcPr>
          <w:p w14:paraId="6EE95320" w14:textId="77777777" w:rsidR="00784D05" w:rsidRDefault="00784D05" w:rsidP="0063054D">
            <w:pPr>
              <w:keepNext/>
              <w:keepLines/>
              <w:suppressLineNumbers/>
              <w:ind w:right="-2"/>
              <w:jc w:val="center"/>
              <w:rPr>
                <w:sz w:val="18"/>
                <w:szCs w:val="18"/>
                <w:lang w:val="lv-LV"/>
              </w:rPr>
            </w:pPr>
            <w:r>
              <w:rPr>
                <w:sz w:val="18"/>
                <w:szCs w:val="18"/>
                <w:lang w:val="lv-LV"/>
              </w:rPr>
              <w:t>11%</w:t>
            </w:r>
          </w:p>
        </w:tc>
        <w:tc>
          <w:tcPr>
            <w:tcW w:w="929" w:type="dxa"/>
            <w:tcBorders>
              <w:top w:val="single" w:sz="4" w:space="0" w:color="000000"/>
              <w:left w:val="single" w:sz="4" w:space="0" w:color="000000"/>
              <w:bottom w:val="single" w:sz="4" w:space="0" w:color="000000"/>
            </w:tcBorders>
            <w:tcPrChange w:id="213" w:author="Author">
              <w:tcPr>
                <w:tcW w:w="929" w:type="dxa"/>
                <w:gridSpan w:val="2"/>
                <w:tcBorders>
                  <w:top w:val="single" w:sz="4" w:space="0" w:color="000000"/>
                  <w:left w:val="single" w:sz="4" w:space="0" w:color="000000"/>
                  <w:bottom w:val="single" w:sz="4" w:space="0" w:color="000000"/>
                </w:tcBorders>
              </w:tcPr>
            </w:tcPrChange>
          </w:tcPr>
          <w:p w14:paraId="0826F1DB" w14:textId="77777777" w:rsidR="00784D05" w:rsidRDefault="00784D05" w:rsidP="0063054D">
            <w:pPr>
              <w:keepNext/>
              <w:keepLines/>
              <w:suppressLineNumbers/>
              <w:ind w:right="-2"/>
              <w:jc w:val="center"/>
              <w:rPr>
                <w:sz w:val="18"/>
                <w:szCs w:val="18"/>
                <w:lang w:val="lv-LV"/>
              </w:rPr>
            </w:pPr>
            <w:r>
              <w:rPr>
                <w:sz w:val="18"/>
                <w:szCs w:val="18"/>
                <w:lang w:val="lv-LV"/>
              </w:rPr>
              <w:t>38%***</w:t>
            </w:r>
          </w:p>
        </w:tc>
        <w:tc>
          <w:tcPr>
            <w:tcW w:w="920" w:type="dxa"/>
            <w:tcBorders>
              <w:top w:val="single" w:sz="4" w:space="0" w:color="000000"/>
              <w:left w:val="single" w:sz="4" w:space="0" w:color="000000"/>
              <w:bottom w:val="single" w:sz="4" w:space="0" w:color="000000"/>
            </w:tcBorders>
            <w:tcPrChange w:id="214" w:author="Author">
              <w:tcPr>
                <w:tcW w:w="920" w:type="dxa"/>
                <w:gridSpan w:val="2"/>
                <w:tcBorders>
                  <w:top w:val="single" w:sz="4" w:space="0" w:color="000000"/>
                  <w:left w:val="single" w:sz="4" w:space="0" w:color="000000"/>
                  <w:bottom w:val="single" w:sz="4" w:space="0" w:color="000000"/>
                </w:tcBorders>
              </w:tcPr>
            </w:tcPrChange>
          </w:tcPr>
          <w:p w14:paraId="59192284" w14:textId="77777777" w:rsidR="00784D05" w:rsidRDefault="00784D05" w:rsidP="0063054D">
            <w:pPr>
              <w:keepNext/>
              <w:keepLines/>
              <w:suppressLineNumbers/>
              <w:ind w:right="-2"/>
              <w:jc w:val="center"/>
              <w:rPr>
                <w:sz w:val="18"/>
                <w:szCs w:val="18"/>
                <w:lang w:val="lv-LV"/>
              </w:rPr>
            </w:pPr>
            <w:r>
              <w:rPr>
                <w:sz w:val="18"/>
                <w:szCs w:val="18"/>
                <w:lang w:val="lv-LV"/>
              </w:rPr>
              <w:t>9%</w:t>
            </w:r>
          </w:p>
        </w:tc>
        <w:tc>
          <w:tcPr>
            <w:tcW w:w="855" w:type="dxa"/>
            <w:gridSpan w:val="2"/>
            <w:tcBorders>
              <w:top w:val="single" w:sz="4" w:space="0" w:color="000000"/>
              <w:left w:val="single" w:sz="4" w:space="0" w:color="000000"/>
              <w:bottom w:val="single" w:sz="4" w:space="0" w:color="000000"/>
            </w:tcBorders>
            <w:tcPrChange w:id="215" w:author="Author">
              <w:tcPr>
                <w:tcW w:w="855" w:type="dxa"/>
                <w:gridSpan w:val="3"/>
                <w:tcBorders>
                  <w:top w:val="single" w:sz="4" w:space="0" w:color="000000"/>
                  <w:left w:val="single" w:sz="4" w:space="0" w:color="000000"/>
                  <w:bottom w:val="single" w:sz="4" w:space="0" w:color="000000"/>
                </w:tcBorders>
              </w:tcPr>
            </w:tcPrChange>
          </w:tcPr>
          <w:p w14:paraId="344E187E" w14:textId="77777777" w:rsidR="00784D05" w:rsidRDefault="00784D05" w:rsidP="0063054D">
            <w:pPr>
              <w:keepNext/>
              <w:keepLines/>
              <w:suppressLineNumbers/>
              <w:ind w:right="-2"/>
              <w:jc w:val="center"/>
              <w:rPr>
                <w:sz w:val="18"/>
                <w:szCs w:val="18"/>
                <w:lang w:val="lv-LV"/>
              </w:rPr>
            </w:pPr>
            <w:r>
              <w:rPr>
                <w:sz w:val="18"/>
                <w:szCs w:val="18"/>
                <w:lang w:val="lv-LV"/>
              </w:rPr>
              <w:t>29%***</w:t>
            </w:r>
          </w:p>
        </w:tc>
        <w:tc>
          <w:tcPr>
            <w:tcW w:w="872" w:type="dxa"/>
            <w:tcBorders>
              <w:top w:val="single" w:sz="4" w:space="0" w:color="000000"/>
              <w:left w:val="single" w:sz="4" w:space="0" w:color="000000"/>
              <w:bottom w:val="single" w:sz="4" w:space="0" w:color="000000"/>
              <w:right w:val="single" w:sz="4" w:space="0" w:color="000000"/>
            </w:tcBorders>
            <w:tcPrChange w:id="216" w:author="Author">
              <w:tcPr>
                <w:tcW w:w="872" w:type="dxa"/>
                <w:gridSpan w:val="2"/>
                <w:tcBorders>
                  <w:top w:val="single" w:sz="4" w:space="0" w:color="000000"/>
                  <w:left w:val="single" w:sz="4" w:space="0" w:color="000000"/>
                  <w:bottom w:val="single" w:sz="4" w:space="0" w:color="000000"/>
                  <w:right w:val="single" w:sz="4" w:space="0" w:color="000000"/>
                </w:tcBorders>
              </w:tcPr>
            </w:tcPrChange>
          </w:tcPr>
          <w:p w14:paraId="330E5AE3" w14:textId="77777777" w:rsidR="00784D05" w:rsidRDefault="00784D05" w:rsidP="0063054D">
            <w:pPr>
              <w:keepNext/>
              <w:keepLines/>
              <w:suppressLineNumbers/>
              <w:ind w:right="-2"/>
              <w:jc w:val="center"/>
              <w:rPr>
                <w:sz w:val="18"/>
                <w:szCs w:val="18"/>
                <w:lang w:val="lv-LV"/>
              </w:rPr>
            </w:pPr>
            <w:r>
              <w:rPr>
                <w:sz w:val="18"/>
                <w:szCs w:val="18"/>
                <w:lang w:val="lv-LV"/>
              </w:rPr>
              <w:t>4%</w:t>
            </w:r>
          </w:p>
        </w:tc>
      </w:tr>
      <w:tr w:rsidR="00784D05" w14:paraId="004514C1" w14:textId="77777777" w:rsidTr="002007A3">
        <w:trPr>
          <w:trPrChange w:id="217" w:author="Author">
            <w:trPr>
              <w:gridBefore w:val="1"/>
            </w:trPr>
          </w:trPrChange>
        </w:trPr>
        <w:tc>
          <w:tcPr>
            <w:tcW w:w="772" w:type="dxa"/>
            <w:gridSpan w:val="2"/>
            <w:tcBorders>
              <w:top w:val="single" w:sz="4" w:space="0" w:color="000000"/>
              <w:left w:val="single" w:sz="4" w:space="0" w:color="000000"/>
              <w:bottom w:val="single" w:sz="4" w:space="0" w:color="000000"/>
            </w:tcBorders>
            <w:tcPrChange w:id="218" w:author="Author">
              <w:tcPr>
                <w:tcW w:w="772" w:type="dxa"/>
                <w:gridSpan w:val="3"/>
                <w:tcBorders>
                  <w:top w:val="single" w:sz="4" w:space="0" w:color="000000"/>
                  <w:left w:val="single" w:sz="4" w:space="0" w:color="000000"/>
                  <w:bottom w:val="single" w:sz="4" w:space="0" w:color="000000"/>
                </w:tcBorders>
              </w:tcPr>
            </w:tcPrChange>
          </w:tcPr>
          <w:p w14:paraId="43E6BC39" w14:textId="5BD42D5D" w:rsidR="00784D05" w:rsidRDefault="00784D05" w:rsidP="0063054D">
            <w:pPr>
              <w:keepNext/>
              <w:keepLines/>
              <w:suppressLineNumbers/>
              <w:jc w:val="center"/>
              <w:rPr>
                <w:sz w:val="18"/>
                <w:szCs w:val="18"/>
                <w:lang w:val="lv-LV"/>
              </w:rPr>
            </w:pPr>
            <w:r>
              <w:rPr>
                <w:sz w:val="18"/>
                <w:szCs w:val="18"/>
                <w:lang w:val="lv-LV"/>
              </w:rPr>
              <w:t>52</w:t>
            </w:r>
            <w:r w:rsidR="00B47B7D">
              <w:rPr>
                <w:sz w:val="18"/>
                <w:szCs w:val="18"/>
                <w:lang w:val="lv-LV"/>
              </w:rPr>
              <w:t>.</w:t>
            </w:r>
          </w:p>
        </w:tc>
        <w:tc>
          <w:tcPr>
            <w:tcW w:w="922" w:type="dxa"/>
            <w:tcBorders>
              <w:top w:val="single" w:sz="4" w:space="0" w:color="000000"/>
              <w:left w:val="single" w:sz="4" w:space="0" w:color="000000"/>
              <w:bottom w:val="single" w:sz="4" w:space="0" w:color="000000"/>
            </w:tcBorders>
            <w:tcPrChange w:id="219" w:author="Author">
              <w:tcPr>
                <w:tcW w:w="922" w:type="dxa"/>
                <w:gridSpan w:val="2"/>
                <w:tcBorders>
                  <w:top w:val="single" w:sz="4" w:space="0" w:color="000000"/>
                  <w:left w:val="single" w:sz="4" w:space="0" w:color="000000"/>
                  <w:bottom w:val="single" w:sz="4" w:space="0" w:color="000000"/>
                </w:tcBorders>
              </w:tcPr>
            </w:tcPrChange>
          </w:tcPr>
          <w:p w14:paraId="05CFC2C2" w14:textId="77777777" w:rsidR="00784D05" w:rsidRDefault="00784D05" w:rsidP="0063054D">
            <w:pPr>
              <w:keepNext/>
              <w:keepLines/>
              <w:suppressLineNumbers/>
              <w:snapToGrid w:val="0"/>
              <w:jc w:val="center"/>
              <w:rPr>
                <w:sz w:val="18"/>
                <w:szCs w:val="18"/>
                <w:lang w:val="lv-LV"/>
              </w:rPr>
            </w:pPr>
          </w:p>
        </w:tc>
        <w:tc>
          <w:tcPr>
            <w:tcW w:w="697" w:type="dxa"/>
            <w:tcBorders>
              <w:top w:val="single" w:sz="4" w:space="0" w:color="000000"/>
              <w:left w:val="single" w:sz="4" w:space="0" w:color="000000"/>
              <w:bottom w:val="single" w:sz="4" w:space="0" w:color="000000"/>
            </w:tcBorders>
            <w:tcPrChange w:id="220" w:author="Author">
              <w:tcPr>
                <w:tcW w:w="671" w:type="dxa"/>
                <w:gridSpan w:val="2"/>
                <w:tcBorders>
                  <w:top w:val="single" w:sz="4" w:space="0" w:color="000000"/>
                  <w:left w:val="single" w:sz="4" w:space="0" w:color="000000"/>
                  <w:bottom w:val="single" w:sz="4" w:space="0" w:color="000000"/>
                </w:tcBorders>
              </w:tcPr>
            </w:tcPrChange>
          </w:tcPr>
          <w:p w14:paraId="0E6F3D1C" w14:textId="77777777" w:rsidR="00784D05" w:rsidRDefault="00784D05" w:rsidP="0063054D">
            <w:pPr>
              <w:keepNext/>
              <w:keepLines/>
              <w:suppressLineNumbers/>
              <w:snapToGrid w:val="0"/>
              <w:jc w:val="center"/>
              <w:rPr>
                <w:sz w:val="18"/>
                <w:szCs w:val="18"/>
                <w:lang w:val="lv-LV"/>
              </w:rPr>
            </w:pPr>
          </w:p>
        </w:tc>
        <w:tc>
          <w:tcPr>
            <w:tcW w:w="818" w:type="dxa"/>
            <w:tcBorders>
              <w:top w:val="single" w:sz="4" w:space="0" w:color="000000"/>
              <w:left w:val="single" w:sz="4" w:space="0" w:color="000000"/>
              <w:bottom w:val="single" w:sz="4" w:space="0" w:color="000000"/>
            </w:tcBorders>
            <w:tcPrChange w:id="221" w:author="Author">
              <w:tcPr>
                <w:tcW w:w="844" w:type="dxa"/>
                <w:gridSpan w:val="2"/>
                <w:tcBorders>
                  <w:top w:val="single" w:sz="4" w:space="0" w:color="000000"/>
                  <w:left w:val="single" w:sz="4" w:space="0" w:color="000000"/>
                  <w:bottom w:val="single" w:sz="4" w:space="0" w:color="000000"/>
                </w:tcBorders>
              </w:tcPr>
            </w:tcPrChange>
          </w:tcPr>
          <w:p w14:paraId="5C880A3A" w14:textId="77777777" w:rsidR="00784D05" w:rsidRDefault="00784D05" w:rsidP="0063054D">
            <w:pPr>
              <w:keepNext/>
              <w:keepLines/>
              <w:suppressLineNumbers/>
              <w:jc w:val="center"/>
              <w:rPr>
                <w:sz w:val="18"/>
                <w:szCs w:val="18"/>
                <w:lang w:val="lv-LV"/>
              </w:rPr>
            </w:pPr>
            <w:r>
              <w:rPr>
                <w:sz w:val="18"/>
                <w:szCs w:val="18"/>
                <w:lang w:val="lv-LV"/>
              </w:rPr>
              <w:t>36%***</w:t>
            </w:r>
          </w:p>
        </w:tc>
        <w:tc>
          <w:tcPr>
            <w:tcW w:w="844" w:type="dxa"/>
            <w:tcBorders>
              <w:top w:val="single" w:sz="4" w:space="0" w:color="000000"/>
              <w:left w:val="single" w:sz="4" w:space="0" w:color="000000"/>
              <w:bottom w:val="single" w:sz="4" w:space="0" w:color="000000"/>
            </w:tcBorders>
            <w:tcPrChange w:id="222" w:author="Author">
              <w:tcPr>
                <w:tcW w:w="844" w:type="dxa"/>
                <w:gridSpan w:val="2"/>
                <w:tcBorders>
                  <w:top w:val="single" w:sz="4" w:space="0" w:color="000000"/>
                  <w:left w:val="single" w:sz="4" w:space="0" w:color="000000"/>
                  <w:bottom w:val="single" w:sz="4" w:space="0" w:color="000000"/>
                </w:tcBorders>
              </w:tcPr>
            </w:tcPrChange>
          </w:tcPr>
          <w:p w14:paraId="69FD2F9B" w14:textId="77777777" w:rsidR="00784D05" w:rsidRDefault="00784D05" w:rsidP="0063054D">
            <w:pPr>
              <w:keepNext/>
              <w:keepLines/>
              <w:suppressLineNumbers/>
              <w:jc w:val="center"/>
              <w:rPr>
                <w:sz w:val="18"/>
                <w:szCs w:val="18"/>
                <w:lang w:val="lv-LV"/>
              </w:rPr>
            </w:pPr>
            <w:r>
              <w:rPr>
                <w:sz w:val="18"/>
                <w:szCs w:val="18"/>
                <w:lang w:val="lv-LV"/>
              </w:rPr>
              <w:t>10%</w:t>
            </w:r>
          </w:p>
        </w:tc>
        <w:tc>
          <w:tcPr>
            <w:tcW w:w="844" w:type="dxa"/>
            <w:tcBorders>
              <w:top w:val="single" w:sz="4" w:space="0" w:color="000000"/>
              <w:left w:val="single" w:sz="4" w:space="0" w:color="000000"/>
              <w:bottom w:val="single" w:sz="4" w:space="0" w:color="000000"/>
            </w:tcBorders>
            <w:tcPrChange w:id="223" w:author="Author">
              <w:tcPr>
                <w:tcW w:w="844" w:type="dxa"/>
                <w:gridSpan w:val="2"/>
                <w:tcBorders>
                  <w:top w:val="single" w:sz="4" w:space="0" w:color="000000"/>
                  <w:left w:val="single" w:sz="4" w:space="0" w:color="000000"/>
                  <w:bottom w:val="single" w:sz="4" w:space="0" w:color="000000"/>
                </w:tcBorders>
              </w:tcPr>
            </w:tcPrChange>
          </w:tcPr>
          <w:p w14:paraId="311833A9" w14:textId="77777777" w:rsidR="00784D05" w:rsidRDefault="00784D05" w:rsidP="0063054D">
            <w:pPr>
              <w:keepNext/>
              <w:keepLines/>
              <w:suppressLineNumbers/>
              <w:snapToGrid w:val="0"/>
              <w:jc w:val="center"/>
              <w:rPr>
                <w:sz w:val="18"/>
                <w:szCs w:val="18"/>
                <w:lang w:val="lv-LV"/>
              </w:rPr>
            </w:pPr>
          </w:p>
        </w:tc>
        <w:tc>
          <w:tcPr>
            <w:tcW w:w="844" w:type="dxa"/>
            <w:tcBorders>
              <w:top w:val="single" w:sz="4" w:space="0" w:color="000000"/>
              <w:left w:val="single" w:sz="4" w:space="0" w:color="000000"/>
              <w:bottom w:val="single" w:sz="4" w:space="0" w:color="000000"/>
            </w:tcBorders>
            <w:tcPrChange w:id="224" w:author="Author">
              <w:tcPr>
                <w:tcW w:w="844" w:type="dxa"/>
                <w:gridSpan w:val="2"/>
                <w:tcBorders>
                  <w:top w:val="single" w:sz="4" w:space="0" w:color="000000"/>
                  <w:left w:val="single" w:sz="4" w:space="0" w:color="000000"/>
                  <w:bottom w:val="single" w:sz="4" w:space="0" w:color="000000"/>
                </w:tcBorders>
              </w:tcPr>
            </w:tcPrChange>
          </w:tcPr>
          <w:p w14:paraId="0882B8E2" w14:textId="77777777" w:rsidR="00784D05" w:rsidRDefault="00784D05" w:rsidP="0063054D">
            <w:pPr>
              <w:keepNext/>
              <w:keepLines/>
              <w:suppressLineNumbers/>
              <w:snapToGrid w:val="0"/>
              <w:jc w:val="center"/>
              <w:rPr>
                <w:sz w:val="18"/>
                <w:szCs w:val="18"/>
                <w:lang w:val="lv-LV"/>
              </w:rPr>
            </w:pPr>
          </w:p>
        </w:tc>
        <w:tc>
          <w:tcPr>
            <w:tcW w:w="929" w:type="dxa"/>
            <w:tcBorders>
              <w:top w:val="single" w:sz="4" w:space="0" w:color="000000"/>
              <w:left w:val="single" w:sz="4" w:space="0" w:color="000000"/>
              <w:bottom w:val="single" w:sz="4" w:space="0" w:color="000000"/>
            </w:tcBorders>
            <w:tcPrChange w:id="225" w:author="Author">
              <w:tcPr>
                <w:tcW w:w="929" w:type="dxa"/>
                <w:gridSpan w:val="2"/>
                <w:tcBorders>
                  <w:top w:val="single" w:sz="4" w:space="0" w:color="000000"/>
                  <w:left w:val="single" w:sz="4" w:space="0" w:color="000000"/>
                  <w:bottom w:val="single" w:sz="4" w:space="0" w:color="000000"/>
                </w:tcBorders>
              </w:tcPr>
            </w:tcPrChange>
          </w:tcPr>
          <w:p w14:paraId="19FB6B74" w14:textId="77777777" w:rsidR="00784D05" w:rsidRDefault="00784D05" w:rsidP="0063054D">
            <w:pPr>
              <w:keepNext/>
              <w:keepLines/>
              <w:suppressLineNumbers/>
              <w:snapToGrid w:val="0"/>
              <w:jc w:val="center"/>
              <w:rPr>
                <w:sz w:val="18"/>
                <w:szCs w:val="18"/>
                <w:lang w:val="lv-LV"/>
              </w:rPr>
            </w:pPr>
          </w:p>
        </w:tc>
        <w:tc>
          <w:tcPr>
            <w:tcW w:w="920" w:type="dxa"/>
            <w:tcBorders>
              <w:top w:val="single" w:sz="4" w:space="0" w:color="000000"/>
              <w:left w:val="single" w:sz="4" w:space="0" w:color="000000"/>
              <w:bottom w:val="single" w:sz="4" w:space="0" w:color="000000"/>
            </w:tcBorders>
            <w:tcPrChange w:id="226" w:author="Author">
              <w:tcPr>
                <w:tcW w:w="920" w:type="dxa"/>
                <w:gridSpan w:val="2"/>
                <w:tcBorders>
                  <w:top w:val="single" w:sz="4" w:space="0" w:color="000000"/>
                  <w:left w:val="single" w:sz="4" w:space="0" w:color="000000"/>
                  <w:bottom w:val="single" w:sz="4" w:space="0" w:color="000000"/>
                </w:tcBorders>
              </w:tcPr>
            </w:tcPrChange>
          </w:tcPr>
          <w:p w14:paraId="5D560134" w14:textId="77777777" w:rsidR="00784D05" w:rsidRDefault="00784D05" w:rsidP="0063054D">
            <w:pPr>
              <w:keepNext/>
              <w:keepLines/>
              <w:suppressLineNumbers/>
              <w:snapToGrid w:val="0"/>
              <w:jc w:val="center"/>
              <w:rPr>
                <w:sz w:val="18"/>
                <w:szCs w:val="18"/>
                <w:lang w:val="lv-LV"/>
              </w:rPr>
            </w:pPr>
          </w:p>
        </w:tc>
        <w:tc>
          <w:tcPr>
            <w:tcW w:w="855" w:type="dxa"/>
            <w:gridSpan w:val="2"/>
            <w:tcBorders>
              <w:top w:val="single" w:sz="4" w:space="0" w:color="000000"/>
              <w:left w:val="single" w:sz="4" w:space="0" w:color="000000"/>
              <w:bottom w:val="single" w:sz="4" w:space="0" w:color="000000"/>
            </w:tcBorders>
            <w:tcPrChange w:id="227" w:author="Author">
              <w:tcPr>
                <w:tcW w:w="855" w:type="dxa"/>
                <w:gridSpan w:val="3"/>
                <w:tcBorders>
                  <w:top w:val="single" w:sz="4" w:space="0" w:color="000000"/>
                  <w:left w:val="single" w:sz="4" w:space="0" w:color="000000"/>
                  <w:bottom w:val="single" w:sz="4" w:space="0" w:color="000000"/>
                </w:tcBorders>
              </w:tcPr>
            </w:tcPrChange>
          </w:tcPr>
          <w:p w14:paraId="47790D58" w14:textId="77777777" w:rsidR="00784D05" w:rsidRDefault="00784D05" w:rsidP="0063054D">
            <w:pPr>
              <w:keepNext/>
              <w:keepLines/>
              <w:suppressLineNumbers/>
              <w:snapToGrid w:val="0"/>
              <w:jc w:val="center"/>
              <w:rPr>
                <w:sz w:val="18"/>
                <w:szCs w:val="18"/>
                <w:lang w:val="lv-LV"/>
              </w:rPr>
            </w:pPr>
          </w:p>
        </w:tc>
        <w:tc>
          <w:tcPr>
            <w:tcW w:w="872" w:type="dxa"/>
            <w:tcBorders>
              <w:top w:val="single" w:sz="4" w:space="0" w:color="000000"/>
              <w:left w:val="single" w:sz="4" w:space="0" w:color="000000"/>
              <w:bottom w:val="single" w:sz="4" w:space="0" w:color="000000"/>
              <w:right w:val="single" w:sz="4" w:space="0" w:color="000000"/>
            </w:tcBorders>
            <w:tcPrChange w:id="228" w:author="Author">
              <w:tcPr>
                <w:tcW w:w="872" w:type="dxa"/>
                <w:gridSpan w:val="2"/>
                <w:tcBorders>
                  <w:top w:val="single" w:sz="4" w:space="0" w:color="000000"/>
                  <w:left w:val="single" w:sz="4" w:space="0" w:color="000000"/>
                  <w:bottom w:val="single" w:sz="4" w:space="0" w:color="000000"/>
                  <w:right w:val="single" w:sz="4" w:space="0" w:color="000000"/>
                </w:tcBorders>
              </w:tcPr>
            </w:tcPrChange>
          </w:tcPr>
          <w:p w14:paraId="0A01C090" w14:textId="77777777" w:rsidR="00784D05" w:rsidRDefault="00784D05" w:rsidP="0063054D">
            <w:pPr>
              <w:keepNext/>
              <w:keepLines/>
              <w:suppressLineNumbers/>
              <w:snapToGrid w:val="0"/>
              <w:jc w:val="center"/>
              <w:rPr>
                <w:sz w:val="18"/>
                <w:szCs w:val="18"/>
                <w:lang w:val="lv-LV"/>
              </w:rPr>
            </w:pPr>
          </w:p>
        </w:tc>
      </w:tr>
      <w:tr w:rsidR="00784D05" w14:paraId="4A135B90" w14:textId="77777777" w:rsidTr="002007A3">
        <w:trPr>
          <w:trPrChange w:id="229" w:author="Author">
            <w:trPr>
              <w:gridBefore w:val="1"/>
            </w:trPr>
          </w:trPrChange>
        </w:trPr>
        <w:tc>
          <w:tcPr>
            <w:tcW w:w="9317" w:type="dxa"/>
            <w:gridSpan w:val="13"/>
            <w:tcBorders>
              <w:top w:val="single" w:sz="4" w:space="0" w:color="000000"/>
              <w:left w:val="single" w:sz="4" w:space="0" w:color="000000"/>
              <w:bottom w:val="single" w:sz="4" w:space="0" w:color="000000"/>
              <w:right w:val="single" w:sz="4" w:space="0" w:color="000000"/>
            </w:tcBorders>
            <w:tcPrChange w:id="230" w:author="Author">
              <w:tcPr>
                <w:tcW w:w="9317" w:type="dxa"/>
                <w:gridSpan w:val="24"/>
                <w:tcBorders>
                  <w:top w:val="single" w:sz="4" w:space="0" w:color="000000"/>
                  <w:left w:val="single" w:sz="4" w:space="0" w:color="000000"/>
                  <w:bottom w:val="single" w:sz="4" w:space="0" w:color="000000"/>
                  <w:right w:val="single" w:sz="4" w:space="0" w:color="000000"/>
                </w:tcBorders>
              </w:tcPr>
            </w:tcPrChange>
          </w:tcPr>
          <w:p w14:paraId="7539EBAE" w14:textId="7465A93C" w:rsidR="00784D05" w:rsidRDefault="00784D05" w:rsidP="0063054D">
            <w:pPr>
              <w:keepNext/>
              <w:keepLines/>
              <w:suppressLineNumbers/>
              <w:jc w:val="center"/>
              <w:rPr>
                <w:sz w:val="18"/>
                <w:szCs w:val="18"/>
                <w:lang w:val="lv-LV"/>
              </w:rPr>
            </w:pPr>
            <w:r>
              <w:rPr>
                <w:b/>
                <w:sz w:val="18"/>
                <w:szCs w:val="18"/>
                <w:lang w:val="lv-LV"/>
              </w:rPr>
              <w:t>ACR</w:t>
            </w:r>
            <w:r w:rsidR="00B47B7D">
              <w:rPr>
                <w:b/>
                <w:sz w:val="18"/>
                <w:szCs w:val="18"/>
                <w:lang w:val="lv-LV"/>
              </w:rPr>
              <w:t> </w:t>
            </w:r>
            <w:r>
              <w:rPr>
                <w:b/>
                <w:sz w:val="18"/>
                <w:szCs w:val="18"/>
                <w:lang w:val="lv-LV"/>
              </w:rPr>
              <w:t>70</w:t>
            </w:r>
          </w:p>
        </w:tc>
      </w:tr>
      <w:tr w:rsidR="00784D05" w14:paraId="38C82EA3" w14:textId="77777777" w:rsidTr="002007A3">
        <w:trPr>
          <w:trPrChange w:id="231" w:author="Author">
            <w:trPr>
              <w:gridBefore w:val="1"/>
            </w:trPr>
          </w:trPrChange>
        </w:trPr>
        <w:tc>
          <w:tcPr>
            <w:tcW w:w="772" w:type="dxa"/>
            <w:gridSpan w:val="2"/>
            <w:tcBorders>
              <w:top w:val="single" w:sz="4" w:space="0" w:color="000000"/>
              <w:left w:val="single" w:sz="4" w:space="0" w:color="000000"/>
              <w:bottom w:val="single" w:sz="4" w:space="0" w:color="000000"/>
            </w:tcBorders>
            <w:tcPrChange w:id="232" w:author="Author">
              <w:tcPr>
                <w:tcW w:w="772" w:type="dxa"/>
                <w:gridSpan w:val="3"/>
                <w:tcBorders>
                  <w:top w:val="single" w:sz="4" w:space="0" w:color="000000"/>
                  <w:left w:val="single" w:sz="4" w:space="0" w:color="000000"/>
                  <w:bottom w:val="single" w:sz="4" w:space="0" w:color="000000"/>
                </w:tcBorders>
              </w:tcPr>
            </w:tcPrChange>
          </w:tcPr>
          <w:p w14:paraId="63AC7402" w14:textId="77777777" w:rsidR="00784D05" w:rsidRDefault="00784D05" w:rsidP="0063054D">
            <w:pPr>
              <w:keepNext/>
              <w:keepLines/>
              <w:suppressLineNumbers/>
              <w:jc w:val="center"/>
              <w:rPr>
                <w:sz w:val="18"/>
                <w:szCs w:val="18"/>
                <w:lang w:val="lv-LV"/>
              </w:rPr>
            </w:pPr>
            <w:r>
              <w:rPr>
                <w:sz w:val="18"/>
                <w:szCs w:val="18"/>
                <w:lang w:val="lv-LV"/>
              </w:rPr>
              <w:t>24.</w:t>
            </w:r>
          </w:p>
        </w:tc>
        <w:tc>
          <w:tcPr>
            <w:tcW w:w="922" w:type="dxa"/>
            <w:tcBorders>
              <w:top w:val="single" w:sz="4" w:space="0" w:color="000000"/>
              <w:left w:val="single" w:sz="4" w:space="0" w:color="000000"/>
              <w:bottom w:val="single" w:sz="4" w:space="0" w:color="000000"/>
            </w:tcBorders>
            <w:tcPrChange w:id="233" w:author="Author">
              <w:tcPr>
                <w:tcW w:w="922" w:type="dxa"/>
                <w:gridSpan w:val="2"/>
                <w:tcBorders>
                  <w:top w:val="single" w:sz="4" w:space="0" w:color="000000"/>
                  <w:left w:val="single" w:sz="4" w:space="0" w:color="000000"/>
                  <w:bottom w:val="single" w:sz="4" w:space="0" w:color="000000"/>
                </w:tcBorders>
              </w:tcPr>
            </w:tcPrChange>
          </w:tcPr>
          <w:p w14:paraId="69EB629E" w14:textId="77777777" w:rsidR="00784D05" w:rsidRDefault="00784D05" w:rsidP="0063054D">
            <w:pPr>
              <w:keepNext/>
              <w:keepLines/>
              <w:suppressLineNumbers/>
              <w:jc w:val="center"/>
              <w:rPr>
                <w:sz w:val="18"/>
                <w:szCs w:val="18"/>
                <w:lang w:val="lv-LV"/>
              </w:rPr>
            </w:pPr>
            <w:r>
              <w:rPr>
                <w:sz w:val="18"/>
                <w:szCs w:val="18"/>
                <w:lang w:val="lv-LV"/>
              </w:rPr>
              <w:t>28%**</w:t>
            </w:r>
          </w:p>
        </w:tc>
        <w:tc>
          <w:tcPr>
            <w:tcW w:w="697" w:type="dxa"/>
            <w:tcBorders>
              <w:top w:val="single" w:sz="4" w:space="0" w:color="000000"/>
              <w:left w:val="single" w:sz="4" w:space="0" w:color="000000"/>
              <w:bottom w:val="single" w:sz="4" w:space="0" w:color="000000"/>
            </w:tcBorders>
            <w:tcPrChange w:id="234" w:author="Author">
              <w:tcPr>
                <w:tcW w:w="671" w:type="dxa"/>
                <w:gridSpan w:val="2"/>
                <w:tcBorders>
                  <w:top w:val="single" w:sz="4" w:space="0" w:color="000000"/>
                  <w:left w:val="single" w:sz="4" w:space="0" w:color="000000"/>
                  <w:bottom w:val="single" w:sz="4" w:space="0" w:color="000000"/>
                </w:tcBorders>
              </w:tcPr>
            </w:tcPrChange>
          </w:tcPr>
          <w:p w14:paraId="063324D6" w14:textId="77777777" w:rsidR="00784D05" w:rsidRDefault="00784D05" w:rsidP="0063054D">
            <w:pPr>
              <w:keepNext/>
              <w:keepLines/>
              <w:suppressLineNumbers/>
              <w:jc w:val="center"/>
              <w:rPr>
                <w:sz w:val="18"/>
                <w:szCs w:val="18"/>
                <w:lang w:val="lv-LV"/>
              </w:rPr>
            </w:pPr>
            <w:r>
              <w:rPr>
                <w:sz w:val="18"/>
                <w:szCs w:val="18"/>
                <w:lang w:val="lv-LV"/>
              </w:rPr>
              <w:t>15%</w:t>
            </w:r>
          </w:p>
        </w:tc>
        <w:tc>
          <w:tcPr>
            <w:tcW w:w="818" w:type="dxa"/>
            <w:tcBorders>
              <w:top w:val="single" w:sz="4" w:space="0" w:color="000000"/>
              <w:left w:val="single" w:sz="4" w:space="0" w:color="000000"/>
              <w:bottom w:val="single" w:sz="4" w:space="0" w:color="000000"/>
            </w:tcBorders>
            <w:tcPrChange w:id="235" w:author="Author">
              <w:tcPr>
                <w:tcW w:w="844" w:type="dxa"/>
                <w:gridSpan w:val="2"/>
                <w:tcBorders>
                  <w:top w:val="single" w:sz="4" w:space="0" w:color="000000"/>
                  <w:left w:val="single" w:sz="4" w:space="0" w:color="000000"/>
                  <w:bottom w:val="single" w:sz="4" w:space="0" w:color="000000"/>
                </w:tcBorders>
              </w:tcPr>
            </w:tcPrChange>
          </w:tcPr>
          <w:p w14:paraId="7318EC9F" w14:textId="77777777" w:rsidR="00784D05" w:rsidRDefault="00784D05" w:rsidP="0063054D">
            <w:pPr>
              <w:keepNext/>
              <w:keepLines/>
              <w:suppressLineNumbers/>
              <w:jc w:val="center"/>
              <w:rPr>
                <w:sz w:val="18"/>
                <w:szCs w:val="18"/>
                <w:lang w:val="lv-LV"/>
              </w:rPr>
            </w:pPr>
            <w:r>
              <w:rPr>
                <w:sz w:val="18"/>
                <w:szCs w:val="18"/>
                <w:lang w:val="lv-LV"/>
              </w:rPr>
              <w:t>13%***</w:t>
            </w:r>
          </w:p>
        </w:tc>
        <w:tc>
          <w:tcPr>
            <w:tcW w:w="844" w:type="dxa"/>
            <w:tcBorders>
              <w:top w:val="single" w:sz="4" w:space="0" w:color="000000"/>
              <w:left w:val="single" w:sz="4" w:space="0" w:color="000000"/>
              <w:bottom w:val="single" w:sz="4" w:space="0" w:color="000000"/>
            </w:tcBorders>
            <w:tcPrChange w:id="236" w:author="Author">
              <w:tcPr>
                <w:tcW w:w="844" w:type="dxa"/>
                <w:gridSpan w:val="2"/>
                <w:tcBorders>
                  <w:top w:val="single" w:sz="4" w:space="0" w:color="000000"/>
                  <w:left w:val="single" w:sz="4" w:space="0" w:color="000000"/>
                  <w:bottom w:val="single" w:sz="4" w:space="0" w:color="000000"/>
                </w:tcBorders>
              </w:tcPr>
            </w:tcPrChange>
          </w:tcPr>
          <w:p w14:paraId="1E3A8986" w14:textId="77777777" w:rsidR="00784D05" w:rsidRDefault="00784D05" w:rsidP="0063054D">
            <w:pPr>
              <w:keepNext/>
              <w:keepLines/>
              <w:suppressLineNumbers/>
              <w:jc w:val="center"/>
              <w:rPr>
                <w:sz w:val="18"/>
                <w:szCs w:val="18"/>
                <w:lang w:val="lv-LV"/>
              </w:rPr>
            </w:pPr>
            <w:r>
              <w:rPr>
                <w:sz w:val="18"/>
                <w:szCs w:val="18"/>
                <w:lang w:val="lv-LV"/>
              </w:rPr>
              <w:t>2%</w:t>
            </w:r>
          </w:p>
        </w:tc>
        <w:tc>
          <w:tcPr>
            <w:tcW w:w="844" w:type="dxa"/>
            <w:tcBorders>
              <w:top w:val="single" w:sz="4" w:space="0" w:color="000000"/>
              <w:left w:val="single" w:sz="4" w:space="0" w:color="000000"/>
              <w:bottom w:val="single" w:sz="4" w:space="0" w:color="000000"/>
            </w:tcBorders>
            <w:tcPrChange w:id="237" w:author="Author">
              <w:tcPr>
                <w:tcW w:w="844" w:type="dxa"/>
                <w:gridSpan w:val="2"/>
                <w:tcBorders>
                  <w:top w:val="single" w:sz="4" w:space="0" w:color="000000"/>
                  <w:left w:val="single" w:sz="4" w:space="0" w:color="000000"/>
                  <w:bottom w:val="single" w:sz="4" w:space="0" w:color="000000"/>
                </w:tcBorders>
              </w:tcPr>
            </w:tcPrChange>
          </w:tcPr>
          <w:p w14:paraId="46BA9399" w14:textId="77777777" w:rsidR="00784D05" w:rsidRDefault="00784D05" w:rsidP="0063054D">
            <w:pPr>
              <w:keepNext/>
              <w:keepLines/>
              <w:suppressLineNumbers/>
              <w:jc w:val="center"/>
              <w:rPr>
                <w:sz w:val="18"/>
                <w:szCs w:val="18"/>
                <w:lang w:val="lv-LV"/>
              </w:rPr>
            </w:pPr>
            <w:r>
              <w:rPr>
                <w:sz w:val="18"/>
                <w:szCs w:val="18"/>
                <w:lang w:val="lv-LV"/>
              </w:rPr>
              <w:t>22%***</w:t>
            </w:r>
          </w:p>
        </w:tc>
        <w:tc>
          <w:tcPr>
            <w:tcW w:w="844" w:type="dxa"/>
            <w:tcBorders>
              <w:top w:val="single" w:sz="4" w:space="0" w:color="000000"/>
              <w:left w:val="single" w:sz="4" w:space="0" w:color="000000"/>
              <w:bottom w:val="single" w:sz="4" w:space="0" w:color="000000"/>
            </w:tcBorders>
            <w:tcPrChange w:id="238" w:author="Author">
              <w:tcPr>
                <w:tcW w:w="844" w:type="dxa"/>
                <w:gridSpan w:val="2"/>
                <w:tcBorders>
                  <w:top w:val="single" w:sz="4" w:space="0" w:color="000000"/>
                  <w:left w:val="single" w:sz="4" w:space="0" w:color="000000"/>
                  <w:bottom w:val="single" w:sz="4" w:space="0" w:color="000000"/>
                </w:tcBorders>
              </w:tcPr>
            </w:tcPrChange>
          </w:tcPr>
          <w:p w14:paraId="7EBD3E14" w14:textId="77777777" w:rsidR="00784D05" w:rsidRDefault="00784D05" w:rsidP="0063054D">
            <w:pPr>
              <w:keepNext/>
              <w:keepLines/>
              <w:suppressLineNumbers/>
              <w:jc w:val="center"/>
              <w:rPr>
                <w:sz w:val="18"/>
                <w:szCs w:val="18"/>
                <w:lang w:val="lv-LV"/>
              </w:rPr>
            </w:pPr>
            <w:r>
              <w:rPr>
                <w:sz w:val="18"/>
                <w:szCs w:val="18"/>
                <w:lang w:val="lv-LV"/>
              </w:rPr>
              <w:t>2%</w:t>
            </w:r>
          </w:p>
        </w:tc>
        <w:tc>
          <w:tcPr>
            <w:tcW w:w="929" w:type="dxa"/>
            <w:tcBorders>
              <w:top w:val="single" w:sz="4" w:space="0" w:color="000000"/>
              <w:left w:val="single" w:sz="4" w:space="0" w:color="000000"/>
              <w:bottom w:val="single" w:sz="4" w:space="0" w:color="000000"/>
            </w:tcBorders>
            <w:tcPrChange w:id="239" w:author="Author">
              <w:tcPr>
                <w:tcW w:w="929" w:type="dxa"/>
                <w:gridSpan w:val="2"/>
                <w:tcBorders>
                  <w:top w:val="single" w:sz="4" w:space="0" w:color="000000"/>
                  <w:left w:val="single" w:sz="4" w:space="0" w:color="000000"/>
                  <w:bottom w:val="single" w:sz="4" w:space="0" w:color="000000"/>
                </w:tcBorders>
              </w:tcPr>
            </w:tcPrChange>
          </w:tcPr>
          <w:p w14:paraId="3D037BE1" w14:textId="77777777" w:rsidR="00784D05" w:rsidRDefault="00784D05" w:rsidP="0063054D">
            <w:pPr>
              <w:keepNext/>
              <w:keepLines/>
              <w:suppressLineNumbers/>
              <w:jc w:val="center"/>
              <w:rPr>
                <w:sz w:val="18"/>
                <w:szCs w:val="18"/>
                <w:lang w:val="lv-LV"/>
              </w:rPr>
            </w:pPr>
            <w:r>
              <w:rPr>
                <w:sz w:val="18"/>
                <w:szCs w:val="18"/>
                <w:lang w:val="lv-LV"/>
              </w:rPr>
              <w:t>21%***</w:t>
            </w:r>
          </w:p>
        </w:tc>
        <w:tc>
          <w:tcPr>
            <w:tcW w:w="931" w:type="dxa"/>
            <w:gridSpan w:val="2"/>
            <w:tcBorders>
              <w:top w:val="single" w:sz="4" w:space="0" w:color="000000"/>
              <w:left w:val="single" w:sz="4" w:space="0" w:color="000000"/>
              <w:bottom w:val="single" w:sz="4" w:space="0" w:color="000000"/>
            </w:tcBorders>
            <w:tcPrChange w:id="240" w:author="Author">
              <w:tcPr>
                <w:tcW w:w="931" w:type="dxa"/>
                <w:gridSpan w:val="3"/>
                <w:tcBorders>
                  <w:top w:val="single" w:sz="4" w:space="0" w:color="000000"/>
                  <w:left w:val="single" w:sz="4" w:space="0" w:color="000000"/>
                  <w:bottom w:val="single" w:sz="4" w:space="0" w:color="000000"/>
                </w:tcBorders>
              </w:tcPr>
            </w:tcPrChange>
          </w:tcPr>
          <w:p w14:paraId="49B42EE5" w14:textId="77777777" w:rsidR="00784D05" w:rsidRDefault="00784D05" w:rsidP="0063054D">
            <w:pPr>
              <w:keepNext/>
              <w:keepLines/>
              <w:suppressLineNumbers/>
              <w:jc w:val="center"/>
              <w:rPr>
                <w:sz w:val="18"/>
                <w:szCs w:val="18"/>
                <w:lang w:val="lv-LV"/>
              </w:rPr>
            </w:pPr>
            <w:r>
              <w:rPr>
                <w:sz w:val="18"/>
                <w:szCs w:val="18"/>
                <w:lang w:val="lv-LV"/>
              </w:rPr>
              <w:t>3%</w:t>
            </w:r>
          </w:p>
        </w:tc>
        <w:tc>
          <w:tcPr>
            <w:tcW w:w="844" w:type="dxa"/>
            <w:tcBorders>
              <w:top w:val="single" w:sz="4" w:space="0" w:color="000000"/>
              <w:left w:val="single" w:sz="4" w:space="0" w:color="000000"/>
              <w:bottom w:val="single" w:sz="4" w:space="0" w:color="000000"/>
            </w:tcBorders>
            <w:tcPrChange w:id="241" w:author="Author">
              <w:tcPr>
                <w:tcW w:w="844" w:type="dxa"/>
                <w:gridSpan w:val="2"/>
                <w:tcBorders>
                  <w:top w:val="single" w:sz="4" w:space="0" w:color="000000"/>
                  <w:left w:val="single" w:sz="4" w:space="0" w:color="000000"/>
                  <w:bottom w:val="single" w:sz="4" w:space="0" w:color="000000"/>
                </w:tcBorders>
              </w:tcPr>
            </w:tcPrChange>
          </w:tcPr>
          <w:p w14:paraId="2077DDF6" w14:textId="77777777" w:rsidR="00784D05" w:rsidRDefault="00784D05" w:rsidP="0063054D">
            <w:pPr>
              <w:keepNext/>
              <w:keepLines/>
              <w:suppressLineNumbers/>
              <w:jc w:val="center"/>
              <w:rPr>
                <w:sz w:val="18"/>
                <w:szCs w:val="18"/>
                <w:lang w:val="lv-LV"/>
              </w:rPr>
            </w:pPr>
            <w:r>
              <w:rPr>
                <w:sz w:val="18"/>
                <w:szCs w:val="18"/>
                <w:lang w:val="lv-LV"/>
              </w:rPr>
              <w:t>12%**</w:t>
            </w:r>
          </w:p>
        </w:tc>
        <w:tc>
          <w:tcPr>
            <w:tcW w:w="872" w:type="dxa"/>
            <w:tcBorders>
              <w:top w:val="single" w:sz="4" w:space="0" w:color="000000"/>
              <w:left w:val="single" w:sz="4" w:space="0" w:color="000000"/>
              <w:bottom w:val="single" w:sz="4" w:space="0" w:color="000000"/>
              <w:right w:val="single" w:sz="4" w:space="0" w:color="000000"/>
            </w:tcBorders>
            <w:tcPrChange w:id="242" w:author="Author">
              <w:tcPr>
                <w:tcW w:w="872" w:type="dxa"/>
                <w:gridSpan w:val="2"/>
                <w:tcBorders>
                  <w:top w:val="single" w:sz="4" w:space="0" w:color="000000"/>
                  <w:left w:val="single" w:sz="4" w:space="0" w:color="000000"/>
                  <w:bottom w:val="single" w:sz="4" w:space="0" w:color="000000"/>
                  <w:right w:val="single" w:sz="4" w:space="0" w:color="000000"/>
                </w:tcBorders>
              </w:tcPr>
            </w:tcPrChange>
          </w:tcPr>
          <w:p w14:paraId="318AE6E2" w14:textId="77777777" w:rsidR="00784D05" w:rsidRDefault="00784D05" w:rsidP="0063054D">
            <w:pPr>
              <w:keepNext/>
              <w:keepLines/>
              <w:suppressLineNumbers/>
              <w:jc w:val="center"/>
              <w:rPr>
                <w:sz w:val="18"/>
                <w:szCs w:val="18"/>
                <w:lang w:val="lv-LV"/>
              </w:rPr>
            </w:pPr>
            <w:r>
              <w:rPr>
                <w:sz w:val="18"/>
                <w:szCs w:val="18"/>
                <w:lang w:val="lv-LV"/>
              </w:rPr>
              <w:t>1%</w:t>
            </w:r>
          </w:p>
        </w:tc>
      </w:tr>
      <w:tr w:rsidR="00784D05" w14:paraId="1C2D718D" w14:textId="77777777" w:rsidTr="002007A3">
        <w:trPr>
          <w:trPrChange w:id="243" w:author="Author">
            <w:trPr>
              <w:gridBefore w:val="1"/>
            </w:trPr>
          </w:trPrChange>
        </w:trPr>
        <w:tc>
          <w:tcPr>
            <w:tcW w:w="772" w:type="dxa"/>
            <w:gridSpan w:val="2"/>
            <w:tcBorders>
              <w:top w:val="single" w:sz="4" w:space="0" w:color="000000"/>
              <w:left w:val="single" w:sz="4" w:space="0" w:color="000000"/>
              <w:bottom w:val="single" w:sz="4" w:space="0" w:color="000000"/>
            </w:tcBorders>
            <w:tcPrChange w:id="244" w:author="Author">
              <w:tcPr>
                <w:tcW w:w="772" w:type="dxa"/>
                <w:gridSpan w:val="3"/>
                <w:tcBorders>
                  <w:top w:val="single" w:sz="4" w:space="0" w:color="000000"/>
                  <w:left w:val="single" w:sz="4" w:space="0" w:color="000000"/>
                  <w:bottom w:val="single" w:sz="4" w:space="0" w:color="000000"/>
                </w:tcBorders>
              </w:tcPr>
            </w:tcPrChange>
          </w:tcPr>
          <w:p w14:paraId="72B20871" w14:textId="77777777" w:rsidR="00784D05" w:rsidRDefault="00784D05" w:rsidP="0063054D">
            <w:pPr>
              <w:keepNext/>
              <w:keepLines/>
              <w:suppressLineNumbers/>
              <w:jc w:val="center"/>
              <w:rPr>
                <w:sz w:val="18"/>
                <w:szCs w:val="18"/>
                <w:lang w:val="lv-LV"/>
              </w:rPr>
            </w:pPr>
            <w:r>
              <w:rPr>
                <w:sz w:val="18"/>
                <w:szCs w:val="18"/>
                <w:lang w:val="lv-LV"/>
              </w:rPr>
              <w:t>52.</w:t>
            </w:r>
          </w:p>
        </w:tc>
        <w:tc>
          <w:tcPr>
            <w:tcW w:w="922" w:type="dxa"/>
            <w:tcBorders>
              <w:top w:val="single" w:sz="4" w:space="0" w:color="000000"/>
              <w:left w:val="single" w:sz="4" w:space="0" w:color="000000"/>
              <w:bottom w:val="single" w:sz="4" w:space="0" w:color="000000"/>
            </w:tcBorders>
            <w:tcPrChange w:id="245" w:author="Author">
              <w:tcPr>
                <w:tcW w:w="922" w:type="dxa"/>
                <w:gridSpan w:val="2"/>
                <w:tcBorders>
                  <w:top w:val="single" w:sz="4" w:space="0" w:color="000000"/>
                  <w:left w:val="single" w:sz="4" w:space="0" w:color="000000"/>
                  <w:bottom w:val="single" w:sz="4" w:space="0" w:color="000000"/>
                </w:tcBorders>
              </w:tcPr>
            </w:tcPrChange>
          </w:tcPr>
          <w:p w14:paraId="32FAC01A" w14:textId="77777777" w:rsidR="00784D05" w:rsidRDefault="00784D05" w:rsidP="0063054D">
            <w:pPr>
              <w:keepNext/>
              <w:keepLines/>
              <w:suppressLineNumbers/>
              <w:snapToGrid w:val="0"/>
              <w:jc w:val="center"/>
              <w:rPr>
                <w:sz w:val="18"/>
                <w:szCs w:val="18"/>
                <w:lang w:val="lv-LV"/>
              </w:rPr>
            </w:pPr>
          </w:p>
        </w:tc>
        <w:tc>
          <w:tcPr>
            <w:tcW w:w="697" w:type="dxa"/>
            <w:tcBorders>
              <w:top w:val="single" w:sz="4" w:space="0" w:color="000000"/>
              <w:bottom w:val="single" w:sz="4" w:space="0" w:color="000000"/>
            </w:tcBorders>
            <w:tcPrChange w:id="246" w:author="Author">
              <w:tcPr>
                <w:tcW w:w="671" w:type="dxa"/>
                <w:gridSpan w:val="2"/>
                <w:tcBorders>
                  <w:top w:val="single" w:sz="4" w:space="0" w:color="000000"/>
                  <w:bottom w:val="single" w:sz="4" w:space="0" w:color="000000"/>
                </w:tcBorders>
              </w:tcPr>
            </w:tcPrChange>
          </w:tcPr>
          <w:p w14:paraId="58A87265" w14:textId="77777777" w:rsidR="00784D05" w:rsidRDefault="00784D05" w:rsidP="0063054D">
            <w:pPr>
              <w:keepNext/>
              <w:keepLines/>
              <w:suppressLineNumbers/>
              <w:snapToGrid w:val="0"/>
              <w:jc w:val="center"/>
              <w:rPr>
                <w:sz w:val="18"/>
                <w:szCs w:val="18"/>
                <w:lang w:val="lv-LV"/>
              </w:rPr>
            </w:pPr>
          </w:p>
        </w:tc>
        <w:tc>
          <w:tcPr>
            <w:tcW w:w="818" w:type="dxa"/>
            <w:tcBorders>
              <w:top w:val="single" w:sz="4" w:space="0" w:color="000000"/>
              <w:left w:val="single" w:sz="4" w:space="0" w:color="000000"/>
              <w:bottom w:val="single" w:sz="4" w:space="0" w:color="000000"/>
            </w:tcBorders>
            <w:tcPrChange w:id="247" w:author="Author">
              <w:tcPr>
                <w:tcW w:w="844" w:type="dxa"/>
                <w:gridSpan w:val="2"/>
                <w:tcBorders>
                  <w:top w:val="single" w:sz="4" w:space="0" w:color="000000"/>
                  <w:left w:val="single" w:sz="4" w:space="0" w:color="000000"/>
                  <w:bottom w:val="single" w:sz="4" w:space="0" w:color="000000"/>
                </w:tcBorders>
              </w:tcPr>
            </w:tcPrChange>
          </w:tcPr>
          <w:p w14:paraId="51397B6F" w14:textId="77777777" w:rsidR="00784D05" w:rsidRDefault="00784D05" w:rsidP="0063054D">
            <w:pPr>
              <w:keepNext/>
              <w:keepLines/>
              <w:suppressLineNumbers/>
              <w:jc w:val="center"/>
              <w:rPr>
                <w:sz w:val="18"/>
                <w:szCs w:val="18"/>
                <w:lang w:val="lv-LV"/>
              </w:rPr>
            </w:pPr>
            <w:r>
              <w:rPr>
                <w:sz w:val="18"/>
                <w:szCs w:val="18"/>
                <w:lang w:val="lv-LV"/>
              </w:rPr>
              <w:t>20%***</w:t>
            </w:r>
          </w:p>
        </w:tc>
        <w:tc>
          <w:tcPr>
            <w:tcW w:w="844" w:type="dxa"/>
            <w:tcBorders>
              <w:top w:val="single" w:sz="4" w:space="0" w:color="000000"/>
              <w:left w:val="single" w:sz="4" w:space="0" w:color="000000"/>
              <w:bottom w:val="single" w:sz="4" w:space="0" w:color="000000"/>
            </w:tcBorders>
            <w:tcPrChange w:id="248" w:author="Author">
              <w:tcPr>
                <w:tcW w:w="844" w:type="dxa"/>
                <w:gridSpan w:val="2"/>
                <w:tcBorders>
                  <w:top w:val="single" w:sz="4" w:space="0" w:color="000000"/>
                  <w:left w:val="single" w:sz="4" w:space="0" w:color="000000"/>
                  <w:bottom w:val="single" w:sz="4" w:space="0" w:color="000000"/>
                </w:tcBorders>
              </w:tcPr>
            </w:tcPrChange>
          </w:tcPr>
          <w:p w14:paraId="25413D00" w14:textId="77777777" w:rsidR="00784D05" w:rsidRDefault="00784D05" w:rsidP="0063054D">
            <w:pPr>
              <w:keepNext/>
              <w:keepLines/>
              <w:suppressLineNumbers/>
              <w:jc w:val="center"/>
              <w:rPr>
                <w:sz w:val="18"/>
                <w:szCs w:val="18"/>
                <w:lang w:val="lv-LV"/>
              </w:rPr>
            </w:pPr>
            <w:r>
              <w:rPr>
                <w:sz w:val="18"/>
                <w:szCs w:val="18"/>
                <w:lang w:val="lv-LV"/>
              </w:rPr>
              <w:t>4%</w:t>
            </w:r>
          </w:p>
        </w:tc>
        <w:tc>
          <w:tcPr>
            <w:tcW w:w="844" w:type="dxa"/>
            <w:tcBorders>
              <w:top w:val="single" w:sz="4" w:space="0" w:color="000000"/>
              <w:left w:val="single" w:sz="4" w:space="0" w:color="000000"/>
              <w:bottom w:val="single" w:sz="4" w:space="0" w:color="000000"/>
            </w:tcBorders>
            <w:tcPrChange w:id="249" w:author="Author">
              <w:tcPr>
                <w:tcW w:w="844" w:type="dxa"/>
                <w:gridSpan w:val="2"/>
                <w:tcBorders>
                  <w:top w:val="single" w:sz="4" w:space="0" w:color="000000"/>
                  <w:left w:val="single" w:sz="4" w:space="0" w:color="000000"/>
                  <w:bottom w:val="single" w:sz="4" w:space="0" w:color="000000"/>
                </w:tcBorders>
              </w:tcPr>
            </w:tcPrChange>
          </w:tcPr>
          <w:p w14:paraId="52CDDD26" w14:textId="77777777" w:rsidR="00784D05" w:rsidRDefault="00784D05" w:rsidP="0063054D">
            <w:pPr>
              <w:keepNext/>
              <w:keepLines/>
              <w:suppressLineNumbers/>
              <w:snapToGrid w:val="0"/>
              <w:jc w:val="center"/>
              <w:rPr>
                <w:sz w:val="18"/>
                <w:szCs w:val="18"/>
                <w:lang w:val="lv-LV"/>
              </w:rPr>
            </w:pPr>
          </w:p>
        </w:tc>
        <w:tc>
          <w:tcPr>
            <w:tcW w:w="844" w:type="dxa"/>
            <w:tcBorders>
              <w:top w:val="single" w:sz="4" w:space="0" w:color="000000"/>
              <w:bottom w:val="single" w:sz="4" w:space="0" w:color="000000"/>
            </w:tcBorders>
            <w:tcPrChange w:id="250" w:author="Author">
              <w:tcPr>
                <w:tcW w:w="844" w:type="dxa"/>
                <w:gridSpan w:val="2"/>
                <w:tcBorders>
                  <w:top w:val="single" w:sz="4" w:space="0" w:color="000000"/>
                  <w:bottom w:val="single" w:sz="4" w:space="0" w:color="000000"/>
                </w:tcBorders>
              </w:tcPr>
            </w:tcPrChange>
          </w:tcPr>
          <w:p w14:paraId="3EA9E4D4" w14:textId="77777777" w:rsidR="00784D05" w:rsidRDefault="00784D05" w:rsidP="0063054D">
            <w:pPr>
              <w:keepNext/>
              <w:keepLines/>
              <w:suppressLineNumbers/>
              <w:snapToGrid w:val="0"/>
              <w:jc w:val="center"/>
              <w:rPr>
                <w:sz w:val="18"/>
                <w:szCs w:val="18"/>
                <w:lang w:val="lv-LV"/>
              </w:rPr>
            </w:pPr>
          </w:p>
        </w:tc>
        <w:tc>
          <w:tcPr>
            <w:tcW w:w="929" w:type="dxa"/>
            <w:tcBorders>
              <w:top w:val="single" w:sz="4" w:space="0" w:color="000000"/>
              <w:left w:val="single" w:sz="4" w:space="0" w:color="000000"/>
              <w:bottom w:val="single" w:sz="4" w:space="0" w:color="000000"/>
            </w:tcBorders>
            <w:tcPrChange w:id="251" w:author="Author">
              <w:tcPr>
                <w:tcW w:w="929" w:type="dxa"/>
                <w:gridSpan w:val="2"/>
                <w:tcBorders>
                  <w:top w:val="single" w:sz="4" w:space="0" w:color="000000"/>
                  <w:left w:val="single" w:sz="4" w:space="0" w:color="000000"/>
                  <w:bottom w:val="single" w:sz="4" w:space="0" w:color="000000"/>
                </w:tcBorders>
              </w:tcPr>
            </w:tcPrChange>
          </w:tcPr>
          <w:p w14:paraId="16BC73AF" w14:textId="77777777" w:rsidR="00784D05" w:rsidRDefault="00784D05" w:rsidP="0063054D">
            <w:pPr>
              <w:keepNext/>
              <w:keepLines/>
              <w:suppressLineNumbers/>
              <w:snapToGrid w:val="0"/>
              <w:jc w:val="center"/>
              <w:rPr>
                <w:sz w:val="18"/>
                <w:szCs w:val="18"/>
                <w:lang w:val="lv-LV"/>
              </w:rPr>
            </w:pPr>
          </w:p>
        </w:tc>
        <w:tc>
          <w:tcPr>
            <w:tcW w:w="931" w:type="dxa"/>
            <w:gridSpan w:val="2"/>
            <w:tcBorders>
              <w:top w:val="single" w:sz="4" w:space="0" w:color="000000"/>
              <w:left w:val="single" w:sz="4" w:space="0" w:color="000000"/>
              <w:bottom w:val="single" w:sz="4" w:space="0" w:color="000000"/>
            </w:tcBorders>
            <w:tcPrChange w:id="252" w:author="Author">
              <w:tcPr>
                <w:tcW w:w="931" w:type="dxa"/>
                <w:gridSpan w:val="3"/>
                <w:tcBorders>
                  <w:top w:val="single" w:sz="4" w:space="0" w:color="000000"/>
                  <w:left w:val="single" w:sz="4" w:space="0" w:color="000000"/>
                  <w:bottom w:val="single" w:sz="4" w:space="0" w:color="000000"/>
                </w:tcBorders>
              </w:tcPr>
            </w:tcPrChange>
          </w:tcPr>
          <w:p w14:paraId="56AEABCF" w14:textId="77777777" w:rsidR="00784D05" w:rsidRDefault="00784D05" w:rsidP="0063054D">
            <w:pPr>
              <w:keepNext/>
              <w:keepLines/>
              <w:suppressLineNumbers/>
              <w:snapToGrid w:val="0"/>
              <w:jc w:val="center"/>
              <w:rPr>
                <w:sz w:val="18"/>
                <w:szCs w:val="18"/>
                <w:lang w:val="lv-LV"/>
              </w:rPr>
            </w:pPr>
          </w:p>
        </w:tc>
        <w:tc>
          <w:tcPr>
            <w:tcW w:w="844" w:type="dxa"/>
            <w:tcBorders>
              <w:top w:val="single" w:sz="4" w:space="0" w:color="000000"/>
              <w:left w:val="single" w:sz="4" w:space="0" w:color="000000"/>
              <w:bottom w:val="single" w:sz="4" w:space="0" w:color="000000"/>
            </w:tcBorders>
            <w:tcPrChange w:id="253" w:author="Author">
              <w:tcPr>
                <w:tcW w:w="844" w:type="dxa"/>
                <w:gridSpan w:val="2"/>
                <w:tcBorders>
                  <w:top w:val="single" w:sz="4" w:space="0" w:color="000000"/>
                  <w:left w:val="single" w:sz="4" w:space="0" w:color="000000"/>
                  <w:bottom w:val="single" w:sz="4" w:space="0" w:color="000000"/>
                </w:tcBorders>
              </w:tcPr>
            </w:tcPrChange>
          </w:tcPr>
          <w:p w14:paraId="0601F6A0" w14:textId="77777777" w:rsidR="00784D05" w:rsidRDefault="00784D05" w:rsidP="0063054D">
            <w:pPr>
              <w:keepNext/>
              <w:keepLines/>
              <w:suppressLineNumbers/>
              <w:snapToGrid w:val="0"/>
              <w:jc w:val="center"/>
              <w:rPr>
                <w:sz w:val="18"/>
                <w:szCs w:val="18"/>
                <w:lang w:val="lv-LV"/>
              </w:rPr>
            </w:pPr>
          </w:p>
        </w:tc>
        <w:tc>
          <w:tcPr>
            <w:tcW w:w="872" w:type="dxa"/>
            <w:tcBorders>
              <w:top w:val="single" w:sz="4" w:space="0" w:color="000000"/>
              <w:left w:val="single" w:sz="4" w:space="0" w:color="000000"/>
              <w:bottom w:val="single" w:sz="4" w:space="0" w:color="000000"/>
              <w:right w:val="single" w:sz="4" w:space="0" w:color="000000"/>
            </w:tcBorders>
            <w:tcPrChange w:id="254" w:author="Author">
              <w:tcPr>
                <w:tcW w:w="872" w:type="dxa"/>
                <w:gridSpan w:val="2"/>
                <w:tcBorders>
                  <w:top w:val="single" w:sz="4" w:space="0" w:color="000000"/>
                  <w:left w:val="single" w:sz="4" w:space="0" w:color="000000"/>
                  <w:bottom w:val="single" w:sz="4" w:space="0" w:color="000000"/>
                  <w:right w:val="single" w:sz="4" w:space="0" w:color="000000"/>
                </w:tcBorders>
              </w:tcPr>
            </w:tcPrChange>
          </w:tcPr>
          <w:p w14:paraId="145F041C" w14:textId="77777777" w:rsidR="00784D05" w:rsidRDefault="00784D05" w:rsidP="0063054D">
            <w:pPr>
              <w:keepNext/>
              <w:keepLines/>
              <w:suppressLineNumbers/>
              <w:snapToGrid w:val="0"/>
              <w:jc w:val="center"/>
              <w:rPr>
                <w:sz w:val="18"/>
                <w:szCs w:val="18"/>
                <w:lang w:val="lv-LV"/>
              </w:rPr>
            </w:pPr>
          </w:p>
        </w:tc>
      </w:tr>
    </w:tbl>
    <w:p w14:paraId="403E0DAD" w14:textId="66364E45" w:rsidR="00B47B7D" w:rsidRPr="00707120" w:rsidRDefault="00B47B7D" w:rsidP="0063054D">
      <w:pPr>
        <w:keepNext/>
        <w:keepLines/>
        <w:suppressLineNumbers/>
        <w:rPr>
          <w:rFonts w:eastAsia="MS Mincho"/>
          <w:sz w:val="18"/>
          <w:szCs w:val="18"/>
          <w:lang w:val="lv-LV"/>
        </w:rPr>
      </w:pPr>
      <w:bookmarkStart w:id="255" w:name="_Hlk174526537"/>
      <w:r w:rsidRPr="00707120">
        <w:rPr>
          <w:rFonts w:eastAsia="MS Mincho"/>
          <w:sz w:val="18"/>
          <w:szCs w:val="18"/>
          <w:lang w:val="lv-LV"/>
        </w:rPr>
        <w:t>ACR</w:t>
      </w:r>
      <w:r w:rsidRPr="00707120">
        <w:rPr>
          <w:rFonts w:eastAsia="MS Mincho"/>
          <w:sz w:val="18"/>
          <w:szCs w:val="18"/>
          <w:lang w:val="lv-LV"/>
        </w:rPr>
        <w:tab/>
      </w:r>
      <w:r w:rsidRPr="00707120">
        <w:rPr>
          <w:rFonts w:eastAsia="MS Mincho"/>
          <w:sz w:val="18"/>
          <w:szCs w:val="18"/>
          <w:lang w:val="lv-LV"/>
        </w:rPr>
        <w:tab/>
      </w:r>
      <w:r w:rsidRPr="00B47B7D">
        <w:rPr>
          <w:rFonts w:eastAsia="MS Mincho"/>
          <w:sz w:val="18"/>
          <w:szCs w:val="18"/>
          <w:lang w:val="lv-LV"/>
        </w:rPr>
        <w:t xml:space="preserve">- </w:t>
      </w:r>
      <w:r w:rsidRPr="00707120">
        <w:rPr>
          <w:rFonts w:eastAsia="MS Mincho"/>
          <w:sz w:val="18"/>
          <w:szCs w:val="18"/>
          <w:lang w:val="lv-LV"/>
        </w:rPr>
        <w:t>Amerikas Reimatoloģijas kolēģijas (ACR) kritēriji</w:t>
      </w:r>
      <w:r w:rsidRPr="00B47B7D">
        <w:rPr>
          <w:rFonts w:eastAsia="MS Mincho"/>
          <w:sz w:val="18"/>
          <w:szCs w:val="18"/>
          <w:lang w:val="lv-LV"/>
        </w:rPr>
        <w:t>.</w:t>
      </w:r>
    </w:p>
    <w:bookmarkEnd w:id="255"/>
    <w:p w14:paraId="1669FDB9" w14:textId="77B6F0BA" w:rsidR="00784D05" w:rsidRPr="00707120" w:rsidRDefault="00784D05" w:rsidP="0063054D">
      <w:pPr>
        <w:keepNext/>
        <w:keepLines/>
        <w:suppressLineNumbers/>
        <w:rPr>
          <w:rFonts w:eastAsia="MS Mincho"/>
          <w:sz w:val="18"/>
          <w:szCs w:val="18"/>
          <w:lang w:val="lv-LV"/>
        </w:rPr>
      </w:pPr>
      <w:r w:rsidRPr="00707120">
        <w:rPr>
          <w:rFonts w:eastAsia="MS Mincho"/>
          <w:sz w:val="18"/>
          <w:szCs w:val="18"/>
          <w:lang w:val="lv-LV"/>
        </w:rPr>
        <w:t xml:space="preserve">TCZ </w:t>
      </w:r>
      <w:r w:rsidRPr="00707120">
        <w:rPr>
          <w:rFonts w:eastAsia="MS Mincho"/>
          <w:sz w:val="18"/>
          <w:szCs w:val="18"/>
          <w:lang w:val="lv-LV"/>
        </w:rPr>
        <w:tab/>
      </w:r>
      <w:r w:rsidRPr="00707120">
        <w:rPr>
          <w:rFonts w:eastAsia="MS Mincho"/>
          <w:sz w:val="18"/>
          <w:szCs w:val="18"/>
          <w:lang w:val="lv-LV"/>
        </w:rPr>
        <w:tab/>
        <w:t>- Tocilizumabs</w:t>
      </w:r>
      <w:r w:rsidR="00C53AA6" w:rsidRPr="00707120">
        <w:rPr>
          <w:rFonts w:eastAsia="MS Mincho"/>
          <w:sz w:val="18"/>
          <w:szCs w:val="18"/>
          <w:lang w:val="lv-LV"/>
        </w:rPr>
        <w:t>.</w:t>
      </w:r>
    </w:p>
    <w:p w14:paraId="7B377154" w14:textId="77777777" w:rsidR="00784D05" w:rsidRPr="00707120" w:rsidRDefault="00784D05" w:rsidP="0063054D">
      <w:pPr>
        <w:keepNext/>
        <w:keepLines/>
        <w:suppressLineNumbers/>
        <w:rPr>
          <w:rFonts w:eastAsia="MS Mincho"/>
          <w:sz w:val="18"/>
          <w:szCs w:val="18"/>
          <w:lang w:val="lv-LV"/>
        </w:rPr>
      </w:pPr>
      <w:r w:rsidRPr="00707120">
        <w:rPr>
          <w:rFonts w:eastAsia="MS Mincho"/>
          <w:sz w:val="18"/>
          <w:szCs w:val="18"/>
          <w:lang w:val="lv-LV"/>
        </w:rPr>
        <w:t>MTX</w:t>
      </w:r>
      <w:r w:rsidRPr="00707120">
        <w:rPr>
          <w:rFonts w:eastAsia="MS Mincho"/>
          <w:sz w:val="18"/>
          <w:szCs w:val="18"/>
          <w:lang w:val="lv-LV"/>
        </w:rPr>
        <w:tab/>
      </w:r>
      <w:r w:rsidRPr="00707120">
        <w:rPr>
          <w:rFonts w:eastAsia="MS Mincho"/>
          <w:sz w:val="18"/>
          <w:szCs w:val="18"/>
          <w:lang w:val="lv-LV"/>
        </w:rPr>
        <w:tab/>
        <w:t>- Metotreksāts</w:t>
      </w:r>
      <w:r w:rsidR="00C53AA6" w:rsidRPr="00707120">
        <w:rPr>
          <w:rFonts w:eastAsia="MS Mincho"/>
          <w:sz w:val="18"/>
          <w:szCs w:val="18"/>
          <w:lang w:val="lv-LV"/>
        </w:rPr>
        <w:t>.</w:t>
      </w:r>
    </w:p>
    <w:p w14:paraId="19039C87" w14:textId="77777777" w:rsidR="00784D05" w:rsidRPr="00707120" w:rsidRDefault="00784D05" w:rsidP="0063054D">
      <w:pPr>
        <w:keepNext/>
        <w:keepLines/>
        <w:suppressLineNumbers/>
        <w:rPr>
          <w:rFonts w:eastAsia="MS Mincho"/>
          <w:sz w:val="18"/>
          <w:szCs w:val="18"/>
          <w:lang w:val="lv-LV"/>
        </w:rPr>
      </w:pPr>
      <w:r w:rsidRPr="00707120">
        <w:rPr>
          <w:rFonts w:eastAsia="MS Mincho"/>
          <w:sz w:val="18"/>
          <w:szCs w:val="18"/>
          <w:lang w:val="lv-LV"/>
        </w:rPr>
        <w:t>PBO</w:t>
      </w:r>
      <w:r w:rsidRPr="00707120">
        <w:rPr>
          <w:rFonts w:eastAsia="MS Mincho"/>
          <w:sz w:val="18"/>
          <w:szCs w:val="18"/>
          <w:lang w:val="lv-LV"/>
        </w:rPr>
        <w:tab/>
      </w:r>
      <w:r w:rsidRPr="00707120">
        <w:rPr>
          <w:rFonts w:eastAsia="MS Mincho"/>
          <w:sz w:val="18"/>
          <w:szCs w:val="18"/>
          <w:lang w:val="lv-LV"/>
        </w:rPr>
        <w:tab/>
        <w:t>- Placebo</w:t>
      </w:r>
      <w:r w:rsidR="00C53AA6" w:rsidRPr="00707120">
        <w:rPr>
          <w:rFonts w:eastAsia="MS Mincho"/>
          <w:sz w:val="18"/>
          <w:szCs w:val="18"/>
          <w:lang w:val="lv-LV"/>
        </w:rPr>
        <w:t>.</w:t>
      </w:r>
    </w:p>
    <w:p w14:paraId="3A98A802" w14:textId="77777777" w:rsidR="00784D05" w:rsidRPr="00707120" w:rsidRDefault="00784D05" w:rsidP="0063054D">
      <w:pPr>
        <w:keepNext/>
        <w:keepLines/>
        <w:suppressLineNumbers/>
        <w:rPr>
          <w:rFonts w:eastAsia="MS Mincho"/>
          <w:sz w:val="18"/>
          <w:szCs w:val="18"/>
          <w:lang w:val="lv-LV"/>
        </w:rPr>
      </w:pPr>
      <w:r w:rsidRPr="00707120">
        <w:rPr>
          <w:rFonts w:eastAsia="MS Mincho"/>
          <w:sz w:val="18"/>
          <w:szCs w:val="18"/>
          <w:lang w:val="lv-LV"/>
        </w:rPr>
        <w:t xml:space="preserve">DMARD </w:t>
      </w:r>
      <w:r w:rsidRPr="00707120">
        <w:rPr>
          <w:rFonts w:eastAsia="MS Mincho"/>
          <w:sz w:val="18"/>
          <w:szCs w:val="18"/>
          <w:lang w:val="lv-LV"/>
        </w:rPr>
        <w:tab/>
        <w:t>- Slimības gaitu modificējošie pretreimatisma līdzekļi</w:t>
      </w:r>
      <w:r w:rsidR="00C53AA6" w:rsidRPr="00707120">
        <w:rPr>
          <w:rFonts w:eastAsia="MS Mincho"/>
          <w:sz w:val="18"/>
          <w:szCs w:val="18"/>
          <w:lang w:val="lv-LV"/>
        </w:rPr>
        <w:t>.</w:t>
      </w:r>
    </w:p>
    <w:p w14:paraId="0D721AB7" w14:textId="25B8CB9E" w:rsidR="00784D05" w:rsidRPr="00707120" w:rsidRDefault="00784D05" w:rsidP="0063054D">
      <w:pPr>
        <w:keepNext/>
        <w:keepLines/>
        <w:suppressLineNumbers/>
        <w:rPr>
          <w:rFonts w:eastAsia="MS Mincho"/>
          <w:sz w:val="18"/>
          <w:szCs w:val="18"/>
          <w:lang w:val="lv-LV"/>
        </w:rPr>
      </w:pPr>
      <w:r w:rsidRPr="00707120">
        <w:rPr>
          <w:rFonts w:eastAsia="MS Mincho"/>
          <w:sz w:val="18"/>
          <w:szCs w:val="18"/>
          <w:lang w:val="lv-LV"/>
        </w:rPr>
        <w:t xml:space="preserve">** </w:t>
      </w:r>
      <w:r w:rsidRPr="00707120">
        <w:rPr>
          <w:rFonts w:eastAsia="MS Mincho"/>
          <w:sz w:val="18"/>
          <w:szCs w:val="18"/>
          <w:lang w:val="lv-LV"/>
        </w:rPr>
        <w:tab/>
      </w:r>
      <w:r w:rsidRPr="00707120">
        <w:rPr>
          <w:rFonts w:eastAsia="MS Mincho"/>
          <w:sz w:val="18"/>
          <w:szCs w:val="18"/>
          <w:lang w:val="lv-LV"/>
        </w:rPr>
        <w:tab/>
        <w:t>- p</w:t>
      </w:r>
      <w:r w:rsidR="00B47B7D" w:rsidRPr="00707120">
        <w:rPr>
          <w:rFonts w:eastAsia="MS Mincho"/>
          <w:sz w:val="18"/>
          <w:szCs w:val="18"/>
          <w:lang w:val="lv-LV"/>
        </w:rPr>
        <w:t> ˂ </w:t>
      </w:r>
      <w:r w:rsidRPr="00707120">
        <w:rPr>
          <w:rFonts w:eastAsia="MS Mincho"/>
          <w:sz w:val="18"/>
          <w:szCs w:val="18"/>
          <w:lang w:val="lv-LV"/>
        </w:rPr>
        <w:t>0,01, TCZ salīdzinājumā ar PBO + MTX / DMARD</w:t>
      </w:r>
      <w:r w:rsidR="00C53AA6" w:rsidRPr="00707120">
        <w:rPr>
          <w:rFonts w:eastAsia="MS Mincho"/>
          <w:sz w:val="18"/>
          <w:szCs w:val="18"/>
          <w:lang w:val="lv-LV"/>
        </w:rPr>
        <w:t>.</w:t>
      </w:r>
    </w:p>
    <w:p w14:paraId="6D77849E" w14:textId="3D683C33" w:rsidR="00784D05" w:rsidRPr="00707120" w:rsidRDefault="00784D05" w:rsidP="00707120">
      <w:pPr>
        <w:keepLines/>
        <w:suppressLineNumbers/>
        <w:rPr>
          <w:rFonts w:eastAsia="SimSun"/>
          <w:szCs w:val="22"/>
          <w:lang w:val="lv-LV"/>
        </w:rPr>
      </w:pPr>
      <w:r w:rsidRPr="00707120">
        <w:rPr>
          <w:rFonts w:eastAsia="MS Mincho"/>
          <w:sz w:val="18"/>
          <w:szCs w:val="18"/>
          <w:lang w:val="lv-LV"/>
        </w:rPr>
        <w:t xml:space="preserve">*** </w:t>
      </w:r>
      <w:r w:rsidRPr="00707120">
        <w:rPr>
          <w:rFonts w:eastAsia="MS Mincho"/>
          <w:sz w:val="18"/>
          <w:szCs w:val="18"/>
          <w:lang w:val="lv-LV"/>
        </w:rPr>
        <w:tab/>
      </w:r>
      <w:r w:rsidRPr="00707120">
        <w:rPr>
          <w:rFonts w:eastAsia="MS Mincho"/>
          <w:sz w:val="18"/>
          <w:szCs w:val="18"/>
          <w:lang w:val="lv-LV"/>
        </w:rPr>
        <w:tab/>
        <w:t>- p</w:t>
      </w:r>
      <w:r w:rsidR="00B47B7D" w:rsidRPr="00707120">
        <w:rPr>
          <w:rFonts w:eastAsia="MS Mincho"/>
          <w:sz w:val="18"/>
          <w:szCs w:val="18"/>
          <w:lang w:val="lv-LV"/>
        </w:rPr>
        <w:t> ˂ </w:t>
      </w:r>
      <w:r w:rsidRPr="00707120">
        <w:rPr>
          <w:rFonts w:eastAsia="MS Mincho"/>
          <w:sz w:val="18"/>
          <w:szCs w:val="18"/>
          <w:lang w:val="lv-LV"/>
        </w:rPr>
        <w:t>0,0001, TCZ salīdzinājumā ar PBO + MTX / DMARD</w:t>
      </w:r>
      <w:r w:rsidR="00C53AA6" w:rsidRPr="00707120">
        <w:rPr>
          <w:rFonts w:eastAsia="MS Mincho"/>
          <w:sz w:val="18"/>
          <w:szCs w:val="18"/>
          <w:lang w:val="lv-LV"/>
        </w:rPr>
        <w:t>.</w:t>
      </w:r>
    </w:p>
    <w:p w14:paraId="1D278CB3" w14:textId="77777777" w:rsidR="00784D05" w:rsidRDefault="00784D05" w:rsidP="00707120">
      <w:pPr>
        <w:keepLines/>
        <w:rPr>
          <w:rFonts w:eastAsia="SimSun"/>
          <w:i/>
          <w:szCs w:val="22"/>
          <w:lang w:val="lv-LV"/>
        </w:rPr>
      </w:pPr>
    </w:p>
    <w:p w14:paraId="114D66B4" w14:textId="77777777" w:rsidR="00784D05" w:rsidRDefault="00784D05" w:rsidP="00382C63">
      <w:pPr>
        <w:keepNext/>
        <w:keepLines/>
        <w:rPr>
          <w:szCs w:val="22"/>
          <w:lang w:val="lv-LV"/>
        </w:rPr>
      </w:pPr>
      <w:r>
        <w:rPr>
          <w:i/>
          <w:lang w:val="lv-LV"/>
        </w:rPr>
        <w:t>Nozīmīga klīniska atbildes reakcija</w:t>
      </w:r>
    </w:p>
    <w:p w14:paraId="6169B94B" w14:textId="03F9858A" w:rsidR="00784D05" w:rsidRDefault="00784D05" w:rsidP="00345B07">
      <w:pPr>
        <w:keepNext/>
        <w:keepLines/>
        <w:rPr>
          <w:rFonts w:eastAsia="SimSun"/>
          <w:i/>
          <w:szCs w:val="22"/>
          <w:lang w:val="lv-LV"/>
        </w:rPr>
      </w:pPr>
      <w:r>
        <w:rPr>
          <w:szCs w:val="22"/>
          <w:lang w:val="lv-LV"/>
        </w:rPr>
        <w:t>Pēc 2 gadus ilgas ārstēšanas ar tocilizumabu un MTX 14% pacientu sasniedza nozīmīgu klīnisku atbildes reakciju (atbildes reakcijas vērtējums pēc ACR70 saglabājās 24 nedēļas vai ilgāk).</w:t>
      </w:r>
    </w:p>
    <w:p w14:paraId="2FF64B0A" w14:textId="77777777" w:rsidR="00784D05" w:rsidRDefault="00784D05" w:rsidP="00707120">
      <w:pPr>
        <w:keepLines/>
        <w:rPr>
          <w:rFonts w:eastAsia="SimSun"/>
          <w:i/>
          <w:szCs w:val="22"/>
          <w:lang w:val="lv-LV"/>
        </w:rPr>
      </w:pPr>
    </w:p>
    <w:p w14:paraId="16A97B7A" w14:textId="01A59E53" w:rsidR="00784D05" w:rsidRDefault="00784D05">
      <w:pPr>
        <w:keepNext/>
        <w:rPr>
          <w:rFonts w:eastAsia="MS Mincho"/>
          <w:szCs w:val="22"/>
          <w:lang w:val="lv-LV"/>
        </w:rPr>
        <w:pPrChange w:id="256" w:author="Author">
          <w:pPr/>
        </w:pPrChange>
      </w:pPr>
      <w:r>
        <w:rPr>
          <w:rFonts w:eastAsia="MS Mincho"/>
          <w:i/>
          <w:iCs/>
          <w:szCs w:val="22"/>
          <w:lang w:val="lv-LV"/>
        </w:rPr>
        <w:t>Rentgenogrāfiskā atbildes reakcija</w:t>
      </w:r>
    </w:p>
    <w:p w14:paraId="7EF2BDAD" w14:textId="066B47A0" w:rsidR="00784D05" w:rsidRDefault="00784D05">
      <w:pPr>
        <w:rPr>
          <w:rFonts w:eastAsia="MS Mincho"/>
          <w:szCs w:val="22"/>
          <w:lang w:val="lv-LV"/>
        </w:rPr>
      </w:pPr>
      <w:r>
        <w:rPr>
          <w:rFonts w:eastAsia="MS Mincho"/>
          <w:szCs w:val="22"/>
          <w:lang w:val="lv-LV"/>
        </w:rPr>
        <w:t>II</w:t>
      </w:r>
      <w:r w:rsidR="00B47B7D">
        <w:rPr>
          <w:rFonts w:eastAsia="MS Mincho"/>
          <w:szCs w:val="22"/>
          <w:lang w:val="lv-LV"/>
        </w:rPr>
        <w:t> </w:t>
      </w:r>
      <w:r>
        <w:rPr>
          <w:rFonts w:eastAsia="MS Mincho"/>
          <w:szCs w:val="22"/>
          <w:lang w:val="lv-LV"/>
        </w:rPr>
        <w:t xml:space="preserve">pētījumā pacientiem ar nepietiekamu atbildes reakciju uz MTX strukturālā locītavu bojājuma nomākšana tika novērtēta rentgenogrāfiski un izteikta kā modificētā </w:t>
      </w:r>
      <w:r>
        <w:rPr>
          <w:rFonts w:eastAsia="MS Mincho"/>
          <w:i/>
          <w:szCs w:val="22"/>
          <w:lang w:val="lv-LV"/>
        </w:rPr>
        <w:t>Sharp</w:t>
      </w:r>
      <w:r>
        <w:rPr>
          <w:rFonts w:eastAsia="MS Mincho"/>
          <w:szCs w:val="22"/>
          <w:lang w:val="lv-LV"/>
        </w:rPr>
        <w:t xml:space="preserve"> vērtējuma un tā komponentu</w:t>
      </w:r>
      <w:r w:rsidR="00B47B7D">
        <w:rPr>
          <w:rFonts w:eastAsia="MS Mincho"/>
          <w:szCs w:val="22"/>
          <w:lang w:val="lv-LV"/>
        </w:rPr>
        <w:t xml:space="preserve"> – </w:t>
      </w:r>
      <w:r>
        <w:rPr>
          <w:rFonts w:eastAsia="MS Mincho"/>
          <w:szCs w:val="22"/>
          <w:lang w:val="lv-LV"/>
        </w:rPr>
        <w:t>erozijas vērtējuma un locītavu spraugas sašaurinājuma vērtējuma</w:t>
      </w:r>
      <w:r w:rsidR="00B47B7D">
        <w:rPr>
          <w:rFonts w:eastAsia="MS Mincho"/>
          <w:szCs w:val="22"/>
          <w:lang w:val="lv-LV"/>
        </w:rPr>
        <w:t xml:space="preserve"> – </w:t>
      </w:r>
      <w:r>
        <w:rPr>
          <w:rFonts w:eastAsia="MS Mincho"/>
          <w:szCs w:val="22"/>
          <w:lang w:val="lv-LV"/>
        </w:rPr>
        <w:t>izmaiņas. Locītavu strukturālā bojājuma nomākums tika pierādīts ar nozīmīgi mazāku rentgenoloģisko progresēšanu pacientiem, kas saņem tocilizumabu, salīdzinājumā ar kontroles grupu (</w:t>
      </w:r>
      <w:r w:rsidR="00727752">
        <w:rPr>
          <w:rFonts w:eastAsia="MS Mincho"/>
          <w:szCs w:val="22"/>
          <w:lang w:val="lv-LV"/>
        </w:rPr>
        <w:t>5</w:t>
      </w:r>
      <w:r>
        <w:rPr>
          <w:rFonts w:eastAsia="MS Mincho"/>
          <w:szCs w:val="22"/>
          <w:lang w:val="lv-LV"/>
        </w:rPr>
        <w:t>. tabula).</w:t>
      </w:r>
    </w:p>
    <w:p w14:paraId="41638531" w14:textId="77777777" w:rsidR="00784D05" w:rsidRDefault="00784D05">
      <w:pPr>
        <w:rPr>
          <w:rFonts w:eastAsia="MS Mincho"/>
          <w:szCs w:val="22"/>
          <w:lang w:val="lv-LV"/>
        </w:rPr>
      </w:pPr>
    </w:p>
    <w:p w14:paraId="21F97FA5" w14:textId="1F68C204" w:rsidR="00784D05" w:rsidRDefault="00784D05">
      <w:pPr>
        <w:rPr>
          <w:rFonts w:eastAsia="MS Mincho"/>
          <w:szCs w:val="22"/>
          <w:lang w:val="lv-LV"/>
        </w:rPr>
      </w:pPr>
      <w:r>
        <w:rPr>
          <w:szCs w:val="22"/>
          <w:lang w:val="lv-LV"/>
        </w:rPr>
        <w:t xml:space="preserve">II pētījuma nemaskētā pagarinājuma laikā ar tocilizumabu un MTX ārstēto pacientu strukturālā locītavu bojājumu progresēšanas ātruma samazināšanās saglabājās arī terapijas otrajā gadā. 8 mg/kg lielu tocilizumaba devu un MTX saņemšanai randomizētajiem pacientiem, salīdzinot ar placebo un MTX saņemšanai randomizētajiem pacientiem, 104. nedēļā vidējais novērtējuma punktu skaits pēc </w:t>
      </w:r>
      <w:r>
        <w:rPr>
          <w:i/>
          <w:iCs/>
          <w:szCs w:val="22"/>
          <w:lang w:val="lv-LV"/>
        </w:rPr>
        <w:t>Sharp-Genant</w:t>
      </w:r>
      <w:r>
        <w:rPr>
          <w:szCs w:val="22"/>
          <w:lang w:val="lv-LV"/>
        </w:rPr>
        <w:t xml:space="preserve"> bija ievērojami mazāks (p </w:t>
      </w:r>
      <w:r w:rsidR="00B47B7D">
        <w:rPr>
          <w:szCs w:val="22"/>
          <w:lang w:val="lv-LV"/>
        </w:rPr>
        <w:t>˂</w:t>
      </w:r>
      <w:r>
        <w:rPr>
          <w:szCs w:val="22"/>
          <w:lang w:val="lv-LV"/>
        </w:rPr>
        <w:t> 0,0001).</w:t>
      </w:r>
    </w:p>
    <w:p w14:paraId="7BA2A46B" w14:textId="77777777" w:rsidR="00784D05" w:rsidRDefault="00784D05">
      <w:pPr>
        <w:rPr>
          <w:rFonts w:eastAsia="MS Mincho"/>
          <w:szCs w:val="22"/>
          <w:lang w:val="lv-LV"/>
        </w:rPr>
      </w:pPr>
    </w:p>
    <w:p w14:paraId="298AA804" w14:textId="2A763FB7" w:rsidR="00784D05" w:rsidRDefault="00727752" w:rsidP="00B47B7D">
      <w:pPr>
        <w:keepNext/>
        <w:rPr>
          <w:rFonts w:eastAsia="MS Mincho"/>
          <w:bCs/>
          <w:i/>
          <w:szCs w:val="22"/>
          <w:lang w:val="lv-LV"/>
        </w:rPr>
      </w:pPr>
      <w:r>
        <w:rPr>
          <w:rFonts w:eastAsia="MS Mincho"/>
          <w:bCs/>
          <w:i/>
          <w:szCs w:val="22"/>
          <w:lang w:val="lv-LV"/>
        </w:rPr>
        <w:t>5</w:t>
      </w:r>
      <w:r w:rsidR="00784D05">
        <w:rPr>
          <w:rFonts w:eastAsia="MS Mincho"/>
          <w:bCs/>
          <w:i/>
          <w:szCs w:val="22"/>
          <w:lang w:val="lv-LV"/>
        </w:rPr>
        <w:t>. tabula. Vidējās rentgenoloģiskās pārmaiņas 52</w:t>
      </w:r>
      <w:r w:rsidR="00B47B7D">
        <w:rPr>
          <w:rFonts w:eastAsia="MS Mincho"/>
          <w:bCs/>
          <w:i/>
          <w:szCs w:val="22"/>
          <w:lang w:val="lv-LV"/>
        </w:rPr>
        <w:t> </w:t>
      </w:r>
      <w:r w:rsidR="00784D05">
        <w:rPr>
          <w:rFonts w:eastAsia="MS Mincho"/>
          <w:bCs/>
          <w:i/>
          <w:szCs w:val="22"/>
          <w:lang w:val="lv-LV"/>
        </w:rPr>
        <w:t>nedēļu laikā II</w:t>
      </w:r>
      <w:r w:rsidR="00B47B7D">
        <w:rPr>
          <w:rFonts w:eastAsia="MS Mincho"/>
          <w:bCs/>
          <w:i/>
          <w:szCs w:val="22"/>
          <w:lang w:val="lv-LV"/>
        </w:rPr>
        <w:t> </w:t>
      </w:r>
      <w:r w:rsidR="00784D05">
        <w:rPr>
          <w:rFonts w:eastAsia="MS Mincho"/>
          <w:bCs/>
          <w:i/>
          <w:szCs w:val="22"/>
          <w:lang w:val="lv-LV"/>
        </w:rPr>
        <w:t>pētījumā</w:t>
      </w:r>
    </w:p>
    <w:p w14:paraId="333A7832" w14:textId="77777777" w:rsidR="0046093A" w:rsidRDefault="0046093A" w:rsidP="00B47B7D">
      <w:pPr>
        <w:keepNext/>
        <w:rPr>
          <w:bCs/>
          <w:lang w:val="lv-LV"/>
        </w:rPr>
      </w:pPr>
    </w:p>
    <w:tbl>
      <w:tblPr>
        <w:tblW w:w="9082" w:type="dxa"/>
        <w:tblInd w:w="-15" w:type="dxa"/>
        <w:tblLayout w:type="fixed"/>
        <w:tblLook w:val="0000" w:firstRow="0" w:lastRow="0" w:firstColumn="0" w:lastColumn="0" w:noHBand="0" w:noVBand="0"/>
      </w:tblPr>
      <w:tblGrid>
        <w:gridCol w:w="3271"/>
        <w:gridCol w:w="2920"/>
        <w:gridCol w:w="2891"/>
      </w:tblGrid>
      <w:tr w:rsidR="00784D05" w:rsidRPr="00707120" w14:paraId="674D4BE4" w14:textId="77777777" w:rsidTr="00707120">
        <w:tc>
          <w:tcPr>
            <w:tcW w:w="3271" w:type="dxa"/>
            <w:tcBorders>
              <w:top w:val="single" w:sz="4" w:space="0" w:color="000000"/>
              <w:left w:val="single" w:sz="4" w:space="0" w:color="000000"/>
              <w:bottom w:val="single" w:sz="4" w:space="0" w:color="000000"/>
            </w:tcBorders>
          </w:tcPr>
          <w:p w14:paraId="475C60C4" w14:textId="77777777" w:rsidR="00784D05" w:rsidRDefault="00784D05" w:rsidP="00B47B7D">
            <w:pPr>
              <w:keepNext/>
              <w:snapToGrid w:val="0"/>
              <w:rPr>
                <w:lang w:val="lv-LV"/>
              </w:rPr>
            </w:pPr>
          </w:p>
        </w:tc>
        <w:tc>
          <w:tcPr>
            <w:tcW w:w="2920" w:type="dxa"/>
            <w:tcBorders>
              <w:top w:val="single" w:sz="4" w:space="0" w:color="000000"/>
              <w:left w:val="single" w:sz="4" w:space="0" w:color="000000"/>
              <w:bottom w:val="single" w:sz="4" w:space="0" w:color="000000"/>
            </w:tcBorders>
          </w:tcPr>
          <w:p w14:paraId="3DF92BB3" w14:textId="77777777" w:rsidR="00784D05" w:rsidRDefault="00784D05" w:rsidP="00B47B7D">
            <w:pPr>
              <w:keepNext/>
              <w:jc w:val="center"/>
              <w:rPr>
                <w:b/>
                <w:szCs w:val="22"/>
                <w:lang w:val="lv-LV"/>
              </w:rPr>
            </w:pPr>
            <w:r>
              <w:rPr>
                <w:b/>
                <w:szCs w:val="22"/>
                <w:lang w:val="lv-LV"/>
              </w:rPr>
              <w:t>PBO + MTX</w:t>
            </w:r>
          </w:p>
          <w:p w14:paraId="1B0E4C78" w14:textId="15771FE2" w:rsidR="00784D05" w:rsidRDefault="00784D05" w:rsidP="00B47B7D">
            <w:pPr>
              <w:keepNext/>
              <w:jc w:val="center"/>
              <w:rPr>
                <w:b/>
                <w:szCs w:val="22"/>
                <w:lang w:val="lv-LV"/>
              </w:rPr>
            </w:pPr>
            <w:r>
              <w:rPr>
                <w:b/>
                <w:szCs w:val="22"/>
                <w:lang w:val="lv-LV"/>
              </w:rPr>
              <w:t>(+TCZ no 24.</w:t>
            </w:r>
            <w:r w:rsidR="00B47B7D">
              <w:rPr>
                <w:b/>
                <w:szCs w:val="22"/>
                <w:lang w:val="lv-LV"/>
              </w:rPr>
              <w:t> </w:t>
            </w:r>
            <w:r>
              <w:rPr>
                <w:b/>
                <w:szCs w:val="22"/>
                <w:lang w:val="lv-LV"/>
              </w:rPr>
              <w:t>nedēļas)</w:t>
            </w:r>
          </w:p>
          <w:p w14:paraId="0E98544A" w14:textId="4C380C51" w:rsidR="00784D05" w:rsidRDefault="00784D05" w:rsidP="00B47B7D">
            <w:pPr>
              <w:keepNext/>
              <w:jc w:val="center"/>
              <w:rPr>
                <w:b/>
                <w:szCs w:val="22"/>
                <w:lang w:val="lv-LV"/>
              </w:rPr>
            </w:pPr>
            <w:del w:id="257" w:author="Author">
              <w:r w:rsidDel="00717152">
                <w:rPr>
                  <w:b/>
                  <w:szCs w:val="22"/>
                  <w:lang w:val="lv-LV"/>
                </w:rPr>
                <w:delText xml:space="preserve">N </w:delText>
              </w:r>
            </w:del>
            <w:ins w:id="258" w:author="Author">
              <w:r w:rsidR="00717152">
                <w:rPr>
                  <w:b/>
                  <w:szCs w:val="22"/>
                  <w:lang w:val="lv-LV"/>
                </w:rPr>
                <w:t>n</w:t>
              </w:r>
            </w:ins>
            <w:r>
              <w:rPr>
                <w:b/>
                <w:szCs w:val="22"/>
                <w:lang w:val="lv-LV"/>
              </w:rPr>
              <w:t>=</w:t>
            </w:r>
            <w:del w:id="259" w:author="Author">
              <w:r w:rsidDel="00C05EDC">
                <w:rPr>
                  <w:b/>
                  <w:szCs w:val="22"/>
                  <w:lang w:val="lv-LV"/>
                </w:rPr>
                <w:delText xml:space="preserve"> </w:delText>
              </w:r>
            </w:del>
            <w:r>
              <w:rPr>
                <w:b/>
                <w:szCs w:val="22"/>
                <w:lang w:val="lv-LV"/>
              </w:rPr>
              <w:t>393</w:t>
            </w:r>
          </w:p>
        </w:tc>
        <w:tc>
          <w:tcPr>
            <w:tcW w:w="2891" w:type="dxa"/>
            <w:tcBorders>
              <w:top w:val="single" w:sz="4" w:space="0" w:color="000000"/>
              <w:left w:val="single" w:sz="4" w:space="0" w:color="000000"/>
              <w:bottom w:val="single" w:sz="4" w:space="0" w:color="000000"/>
              <w:right w:val="single" w:sz="4" w:space="0" w:color="000000"/>
            </w:tcBorders>
          </w:tcPr>
          <w:p w14:paraId="04E6534F" w14:textId="77777777" w:rsidR="00784D05" w:rsidRDefault="00784D05" w:rsidP="00B47B7D">
            <w:pPr>
              <w:keepNext/>
              <w:jc w:val="center"/>
              <w:rPr>
                <w:b/>
                <w:szCs w:val="22"/>
                <w:lang w:val="lv-LV"/>
              </w:rPr>
            </w:pPr>
            <w:r>
              <w:rPr>
                <w:b/>
                <w:szCs w:val="22"/>
                <w:lang w:val="lv-LV"/>
              </w:rPr>
              <w:t>TCZ 8 mg/kg + MTX</w:t>
            </w:r>
          </w:p>
          <w:p w14:paraId="1316A890" w14:textId="51A98BEE" w:rsidR="00784D05" w:rsidRDefault="00784D05" w:rsidP="00B47B7D">
            <w:pPr>
              <w:keepNext/>
              <w:jc w:val="center"/>
              <w:rPr>
                <w:bCs/>
                <w:szCs w:val="22"/>
                <w:lang w:val="lv-LV"/>
              </w:rPr>
            </w:pPr>
            <w:del w:id="260" w:author="Author">
              <w:r w:rsidDel="00717152">
                <w:rPr>
                  <w:b/>
                  <w:szCs w:val="22"/>
                  <w:lang w:val="lv-LV"/>
                </w:rPr>
                <w:delText>N</w:delText>
              </w:r>
            </w:del>
            <w:ins w:id="261" w:author="Author">
              <w:r w:rsidR="00717152">
                <w:rPr>
                  <w:b/>
                  <w:szCs w:val="22"/>
                  <w:lang w:val="lv-LV"/>
                </w:rPr>
                <w:t>n</w:t>
              </w:r>
            </w:ins>
            <w:del w:id="262" w:author="Author">
              <w:r w:rsidDel="00C05EDC">
                <w:rPr>
                  <w:b/>
                  <w:szCs w:val="22"/>
                  <w:lang w:val="lv-LV"/>
                </w:rPr>
                <w:delText xml:space="preserve"> </w:delText>
              </w:r>
            </w:del>
            <w:r>
              <w:rPr>
                <w:b/>
                <w:szCs w:val="22"/>
                <w:lang w:val="lv-LV"/>
              </w:rPr>
              <w:t>=</w:t>
            </w:r>
            <w:del w:id="263" w:author="Author">
              <w:r w:rsidDel="00C05EDC">
                <w:rPr>
                  <w:b/>
                  <w:szCs w:val="22"/>
                  <w:lang w:val="lv-LV"/>
                </w:rPr>
                <w:delText xml:space="preserve"> </w:delText>
              </w:r>
            </w:del>
            <w:r>
              <w:rPr>
                <w:b/>
                <w:szCs w:val="22"/>
                <w:lang w:val="lv-LV"/>
              </w:rPr>
              <w:t>398</w:t>
            </w:r>
          </w:p>
        </w:tc>
      </w:tr>
      <w:tr w:rsidR="00784D05" w14:paraId="0720F96E" w14:textId="77777777" w:rsidTr="00707120">
        <w:tc>
          <w:tcPr>
            <w:tcW w:w="3271" w:type="dxa"/>
            <w:tcBorders>
              <w:top w:val="single" w:sz="4" w:space="0" w:color="000000"/>
              <w:left w:val="single" w:sz="4" w:space="0" w:color="000000"/>
              <w:bottom w:val="single" w:sz="4" w:space="0" w:color="000000"/>
            </w:tcBorders>
          </w:tcPr>
          <w:p w14:paraId="1B6550C8" w14:textId="77777777" w:rsidR="00784D05" w:rsidRDefault="00784D05" w:rsidP="00B47B7D">
            <w:pPr>
              <w:pStyle w:val="Header"/>
              <w:keepNext/>
              <w:tabs>
                <w:tab w:val="clear" w:pos="4536"/>
                <w:tab w:val="clear" w:pos="9072"/>
              </w:tabs>
              <w:rPr>
                <w:bCs/>
                <w:szCs w:val="22"/>
                <w:lang w:val="lv-LV"/>
              </w:rPr>
            </w:pPr>
            <w:r>
              <w:rPr>
                <w:bCs/>
                <w:szCs w:val="22"/>
                <w:lang w:val="lv-LV"/>
              </w:rPr>
              <w:t xml:space="preserve">Kopējais </w:t>
            </w:r>
            <w:r>
              <w:rPr>
                <w:bCs/>
                <w:i/>
                <w:szCs w:val="22"/>
                <w:lang w:val="lv-LV"/>
              </w:rPr>
              <w:t>Sharp-Genant</w:t>
            </w:r>
            <w:r>
              <w:rPr>
                <w:bCs/>
                <w:szCs w:val="22"/>
                <w:lang w:val="lv-LV"/>
              </w:rPr>
              <w:t xml:space="preserve"> vērtējums</w:t>
            </w:r>
          </w:p>
        </w:tc>
        <w:tc>
          <w:tcPr>
            <w:tcW w:w="2920" w:type="dxa"/>
            <w:tcBorders>
              <w:top w:val="single" w:sz="4" w:space="0" w:color="000000"/>
              <w:left w:val="single" w:sz="4" w:space="0" w:color="000000"/>
              <w:bottom w:val="single" w:sz="4" w:space="0" w:color="000000"/>
            </w:tcBorders>
          </w:tcPr>
          <w:p w14:paraId="18D8D22A" w14:textId="77777777" w:rsidR="00784D05" w:rsidRDefault="00784D05" w:rsidP="00B47B7D">
            <w:pPr>
              <w:pStyle w:val="Header"/>
              <w:keepNext/>
              <w:tabs>
                <w:tab w:val="clear" w:pos="4536"/>
                <w:tab w:val="clear" w:pos="9072"/>
              </w:tabs>
              <w:jc w:val="center"/>
              <w:rPr>
                <w:bCs/>
                <w:szCs w:val="22"/>
                <w:lang w:val="lv-LV"/>
              </w:rPr>
            </w:pPr>
            <w:r>
              <w:rPr>
                <w:bCs/>
                <w:szCs w:val="22"/>
                <w:lang w:val="lv-LV"/>
              </w:rPr>
              <w:t>1,13</w:t>
            </w:r>
          </w:p>
        </w:tc>
        <w:tc>
          <w:tcPr>
            <w:tcW w:w="2891" w:type="dxa"/>
            <w:tcBorders>
              <w:top w:val="single" w:sz="4" w:space="0" w:color="000000"/>
              <w:left w:val="single" w:sz="4" w:space="0" w:color="000000"/>
              <w:bottom w:val="single" w:sz="4" w:space="0" w:color="000000"/>
              <w:right w:val="single" w:sz="4" w:space="0" w:color="000000"/>
            </w:tcBorders>
          </w:tcPr>
          <w:p w14:paraId="51035000" w14:textId="77777777" w:rsidR="00784D05" w:rsidRDefault="00784D05" w:rsidP="00B47B7D">
            <w:pPr>
              <w:keepNext/>
              <w:jc w:val="center"/>
              <w:rPr>
                <w:bCs/>
                <w:szCs w:val="22"/>
                <w:lang w:val="lv-LV"/>
              </w:rPr>
            </w:pPr>
            <w:r>
              <w:rPr>
                <w:bCs/>
                <w:szCs w:val="22"/>
                <w:lang w:val="lv-LV"/>
              </w:rPr>
              <w:t>0,29*</w:t>
            </w:r>
          </w:p>
        </w:tc>
      </w:tr>
      <w:tr w:rsidR="00784D05" w14:paraId="6157B4F9" w14:textId="77777777" w:rsidTr="00707120">
        <w:tc>
          <w:tcPr>
            <w:tcW w:w="3271" w:type="dxa"/>
            <w:tcBorders>
              <w:top w:val="single" w:sz="4" w:space="0" w:color="000000"/>
              <w:left w:val="single" w:sz="4" w:space="0" w:color="000000"/>
              <w:bottom w:val="single" w:sz="4" w:space="0" w:color="000000"/>
            </w:tcBorders>
          </w:tcPr>
          <w:p w14:paraId="170D93E1" w14:textId="77777777" w:rsidR="00784D05" w:rsidRDefault="00784D05" w:rsidP="00B47B7D">
            <w:pPr>
              <w:pStyle w:val="Header"/>
              <w:keepNext/>
              <w:tabs>
                <w:tab w:val="clear" w:pos="4536"/>
                <w:tab w:val="clear" w:pos="9072"/>
              </w:tabs>
              <w:rPr>
                <w:bCs/>
                <w:szCs w:val="22"/>
                <w:lang w:val="lv-LV"/>
              </w:rPr>
            </w:pPr>
            <w:r>
              <w:rPr>
                <w:bCs/>
                <w:szCs w:val="22"/>
                <w:lang w:val="lv-LV"/>
              </w:rPr>
              <w:t>Erozijas vērtējums</w:t>
            </w:r>
          </w:p>
        </w:tc>
        <w:tc>
          <w:tcPr>
            <w:tcW w:w="2920" w:type="dxa"/>
            <w:tcBorders>
              <w:top w:val="single" w:sz="4" w:space="0" w:color="000000"/>
              <w:left w:val="single" w:sz="4" w:space="0" w:color="000000"/>
              <w:bottom w:val="single" w:sz="4" w:space="0" w:color="000000"/>
            </w:tcBorders>
          </w:tcPr>
          <w:p w14:paraId="7EEEEAF0" w14:textId="77777777" w:rsidR="00784D05" w:rsidRDefault="00784D05" w:rsidP="00B47B7D">
            <w:pPr>
              <w:keepNext/>
              <w:jc w:val="center"/>
              <w:rPr>
                <w:bCs/>
                <w:szCs w:val="22"/>
                <w:lang w:val="lv-LV"/>
              </w:rPr>
            </w:pPr>
            <w:r>
              <w:rPr>
                <w:bCs/>
                <w:szCs w:val="22"/>
                <w:lang w:val="lv-LV"/>
              </w:rPr>
              <w:t>0,71</w:t>
            </w:r>
          </w:p>
        </w:tc>
        <w:tc>
          <w:tcPr>
            <w:tcW w:w="2891" w:type="dxa"/>
            <w:tcBorders>
              <w:top w:val="single" w:sz="4" w:space="0" w:color="000000"/>
              <w:left w:val="single" w:sz="4" w:space="0" w:color="000000"/>
              <w:bottom w:val="single" w:sz="4" w:space="0" w:color="000000"/>
              <w:right w:val="single" w:sz="4" w:space="0" w:color="000000"/>
            </w:tcBorders>
          </w:tcPr>
          <w:p w14:paraId="2EB7EEFA" w14:textId="77777777" w:rsidR="00784D05" w:rsidRDefault="00784D05" w:rsidP="00B47B7D">
            <w:pPr>
              <w:keepNext/>
              <w:jc w:val="center"/>
              <w:rPr>
                <w:bCs/>
                <w:szCs w:val="22"/>
                <w:lang w:val="lv-LV"/>
              </w:rPr>
            </w:pPr>
            <w:r>
              <w:rPr>
                <w:bCs/>
                <w:szCs w:val="22"/>
                <w:lang w:val="lv-LV"/>
              </w:rPr>
              <w:t>0,17*</w:t>
            </w:r>
          </w:p>
        </w:tc>
      </w:tr>
      <w:tr w:rsidR="00784D05" w14:paraId="4F47D288" w14:textId="77777777" w:rsidTr="00707120">
        <w:tc>
          <w:tcPr>
            <w:tcW w:w="3271" w:type="dxa"/>
            <w:tcBorders>
              <w:top w:val="single" w:sz="4" w:space="0" w:color="000000"/>
              <w:left w:val="single" w:sz="4" w:space="0" w:color="000000"/>
              <w:bottom w:val="single" w:sz="4" w:space="0" w:color="000000"/>
            </w:tcBorders>
          </w:tcPr>
          <w:p w14:paraId="7CC6B195" w14:textId="77777777" w:rsidR="00784D05" w:rsidRDefault="00784D05" w:rsidP="00B47B7D">
            <w:pPr>
              <w:keepNext/>
              <w:rPr>
                <w:bCs/>
                <w:szCs w:val="22"/>
                <w:lang w:val="lv-LV"/>
              </w:rPr>
            </w:pPr>
            <w:r>
              <w:rPr>
                <w:bCs/>
                <w:szCs w:val="22"/>
                <w:lang w:val="lv-LV"/>
              </w:rPr>
              <w:t>LSS vērtējums</w:t>
            </w:r>
          </w:p>
        </w:tc>
        <w:tc>
          <w:tcPr>
            <w:tcW w:w="2920" w:type="dxa"/>
            <w:tcBorders>
              <w:top w:val="single" w:sz="4" w:space="0" w:color="000000"/>
              <w:left w:val="single" w:sz="4" w:space="0" w:color="000000"/>
              <w:bottom w:val="single" w:sz="4" w:space="0" w:color="000000"/>
            </w:tcBorders>
          </w:tcPr>
          <w:p w14:paraId="6D97AE5E" w14:textId="77777777" w:rsidR="00784D05" w:rsidRDefault="00784D05" w:rsidP="00B47B7D">
            <w:pPr>
              <w:keepNext/>
              <w:jc w:val="center"/>
              <w:rPr>
                <w:bCs/>
                <w:szCs w:val="22"/>
                <w:lang w:val="lv-LV"/>
              </w:rPr>
            </w:pPr>
            <w:r>
              <w:rPr>
                <w:bCs/>
                <w:szCs w:val="22"/>
                <w:lang w:val="lv-LV"/>
              </w:rPr>
              <w:t>0,42</w:t>
            </w:r>
          </w:p>
        </w:tc>
        <w:tc>
          <w:tcPr>
            <w:tcW w:w="2891" w:type="dxa"/>
            <w:tcBorders>
              <w:top w:val="single" w:sz="4" w:space="0" w:color="000000"/>
              <w:left w:val="single" w:sz="4" w:space="0" w:color="000000"/>
              <w:bottom w:val="single" w:sz="4" w:space="0" w:color="000000"/>
              <w:right w:val="single" w:sz="4" w:space="0" w:color="000000"/>
            </w:tcBorders>
          </w:tcPr>
          <w:p w14:paraId="6F09351F" w14:textId="77777777" w:rsidR="00784D05" w:rsidRDefault="00784D05" w:rsidP="00B47B7D">
            <w:pPr>
              <w:keepNext/>
              <w:jc w:val="center"/>
              <w:rPr>
                <w:bCs/>
                <w:i/>
                <w:iCs/>
                <w:sz w:val="18"/>
                <w:szCs w:val="18"/>
                <w:lang w:val="lv-LV"/>
              </w:rPr>
            </w:pPr>
            <w:r>
              <w:rPr>
                <w:bCs/>
                <w:szCs w:val="22"/>
                <w:lang w:val="lv-LV"/>
              </w:rPr>
              <w:t>0,12**</w:t>
            </w:r>
          </w:p>
        </w:tc>
      </w:tr>
    </w:tbl>
    <w:p w14:paraId="11649762" w14:textId="77777777" w:rsidR="00784D05" w:rsidRPr="00707120" w:rsidRDefault="00784D05" w:rsidP="00B47B7D">
      <w:pPr>
        <w:keepNext/>
        <w:rPr>
          <w:bCs/>
          <w:sz w:val="18"/>
          <w:szCs w:val="18"/>
          <w:lang w:val="lv-LV"/>
        </w:rPr>
      </w:pPr>
      <w:r w:rsidRPr="00707120">
        <w:rPr>
          <w:bCs/>
          <w:sz w:val="18"/>
          <w:szCs w:val="18"/>
          <w:lang w:val="lv-LV"/>
        </w:rPr>
        <w:t>PBO</w:t>
      </w:r>
      <w:r w:rsidRPr="00707120">
        <w:rPr>
          <w:bCs/>
          <w:sz w:val="18"/>
          <w:szCs w:val="18"/>
          <w:lang w:val="lv-LV"/>
        </w:rPr>
        <w:tab/>
      </w:r>
      <w:r w:rsidRPr="00707120">
        <w:rPr>
          <w:bCs/>
          <w:sz w:val="18"/>
          <w:szCs w:val="18"/>
          <w:lang w:val="lv-LV"/>
        </w:rPr>
        <w:tab/>
        <w:t>- placebo</w:t>
      </w:r>
      <w:r w:rsidR="00C53AA6" w:rsidRPr="00707120">
        <w:rPr>
          <w:bCs/>
          <w:sz w:val="18"/>
          <w:szCs w:val="18"/>
          <w:lang w:val="lv-LV"/>
        </w:rPr>
        <w:t>.</w:t>
      </w:r>
    </w:p>
    <w:p w14:paraId="5B103443" w14:textId="77777777" w:rsidR="00784D05" w:rsidRPr="00707120" w:rsidRDefault="00784D05" w:rsidP="00B47B7D">
      <w:pPr>
        <w:keepNext/>
        <w:rPr>
          <w:bCs/>
          <w:sz w:val="18"/>
          <w:szCs w:val="18"/>
          <w:lang w:val="lv-LV"/>
        </w:rPr>
      </w:pPr>
      <w:r w:rsidRPr="00707120">
        <w:rPr>
          <w:bCs/>
          <w:sz w:val="18"/>
          <w:szCs w:val="18"/>
          <w:lang w:val="lv-LV"/>
        </w:rPr>
        <w:t>MTX</w:t>
      </w:r>
      <w:r w:rsidRPr="00707120">
        <w:rPr>
          <w:bCs/>
          <w:sz w:val="18"/>
          <w:szCs w:val="18"/>
          <w:lang w:val="lv-LV"/>
        </w:rPr>
        <w:tab/>
        <w:t xml:space="preserve"> </w:t>
      </w:r>
      <w:r w:rsidRPr="00707120">
        <w:rPr>
          <w:bCs/>
          <w:sz w:val="18"/>
          <w:szCs w:val="18"/>
          <w:lang w:val="lv-LV"/>
        </w:rPr>
        <w:tab/>
        <w:t>- metotreksāts</w:t>
      </w:r>
      <w:r w:rsidR="00C53AA6" w:rsidRPr="00707120">
        <w:rPr>
          <w:bCs/>
          <w:sz w:val="18"/>
          <w:szCs w:val="18"/>
          <w:lang w:val="lv-LV"/>
        </w:rPr>
        <w:t>.</w:t>
      </w:r>
    </w:p>
    <w:p w14:paraId="17B1C7E2" w14:textId="77777777" w:rsidR="00784D05" w:rsidRPr="00707120" w:rsidRDefault="00784D05" w:rsidP="00B47B7D">
      <w:pPr>
        <w:keepNext/>
        <w:rPr>
          <w:bCs/>
          <w:sz w:val="18"/>
          <w:szCs w:val="18"/>
          <w:lang w:val="lv-LV"/>
        </w:rPr>
      </w:pPr>
      <w:r w:rsidRPr="00707120">
        <w:rPr>
          <w:bCs/>
          <w:sz w:val="18"/>
          <w:szCs w:val="18"/>
          <w:lang w:val="lv-LV"/>
        </w:rPr>
        <w:t xml:space="preserve">TCZ </w:t>
      </w:r>
      <w:r w:rsidRPr="00707120">
        <w:rPr>
          <w:bCs/>
          <w:sz w:val="18"/>
          <w:szCs w:val="18"/>
          <w:lang w:val="lv-LV"/>
        </w:rPr>
        <w:tab/>
      </w:r>
      <w:r w:rsidRPr="00707120">
        <w:rPr>
          <w:bCs/>
          <w:sz w:val="18"/>
          <w:szCs w:val="18"/>
          <w:lang w:val="lv-LV"/>
        </w:rPr>
        <w:tab/>
        <w:t>- tocilizumabs</w:t>
      </w:r>
      <w:r w:rsidR="00C53AA6" w:rsidRPr="00707120">
        <w:rPr>
          <w:bCs/>
          <w:sz w:val="18"/>
          <w:szCs w:val="18"/>
          <w:lang w:val="lv-LV"/>
        </w:rPr>
        <w:t>.</w:t>
      </w:r>
    </w:p>
    <w:p w14:paraId="1A4DDEE7" w14:textId="77777777" w:rsidR="00784D05" w:rsidRPr="00707120" w:rsidRDefault="00784D05" w:rsidP="00B47B7D">
      <w:pPr>
        <w:keepNext/>
        <w:rPr>
          <w:bCs/>
          <w:sz w:val="18"/>
          <w:szCs w:val="18"/>
          <w:lang w:val="lv-LV"/>
        </w:rPr>
      </w:pPr>
      <w:r w:rsidRPr="00707120">
        <w:rPr>
          <w:bCs/>
          <w:sz w:val="18"/>
          <w:szCs w:val="18"/>
          <w:lang w:val="lv-LV"/>
        </w:rPr>
        <w:t>LSS</w:t>
      </w:r>
      <w:r w:rsidRPr="00707120">
        <w:rPr>
          <w:bCs/>
          <w:sz w:val="18"/>
          <w:szCs w:val="18"/>
          <w:lang w:val="lv-LV"/>
        </w:rPr>
        <w:tab/>
      </w:r>
      <w:r w:rsidRPr="00707120">
        <w:rPr>
          <w:bCs/>
          <w:sz w:val="18"/>
          <w:szCs w:val="18"/>
          <w:lang w:val="lv-LV"/>
        </w:rPr>
        <w:tab/>
        <w:t>- locītavas spraugas sašaurināšanās</w:t>
      </w:r>
      <w:r w:rsidR="00C53AA6" w:rsidRPr="00707120">
        <w:rPr>
          <w:bCs/>
          <w:sz w:val="18"/>
          <w:szCs w:val="18"/>
          <w:lang w:val="lv-LV"/>
        </w:rPr>
        <w:t>.</w:t>
      </w:r>
    </w:p>
    <w:p w14:paraId="386D076E" w14:textId="516B6A08" w:rsidR="00784D05" w:rsidRPr="00707120" w:rsidRDefault="00784D05" w:rsidP="00707120">
      <w:pPr>
        <w:keepNext/>
        <w:rPr>
          <w:bCs/>
          <w:sz w:val="18"/>
          <w:szCs w:val="18"/>
          <w:lang w:val="lv-LV"/>
        </w:rPr>
      </w:pPr>
      <w:r w:rsidRPr="00707120">
        <w:rPr>
          <w:bCs/>
          <w:sz w:val="18"/>
          <w:szCs w:val="18"/>
          <w:lang w:val="lv-LV"/>
        </w:rPr>
        <w:t>*</w:t>
      </w:r>
      <w:r w:rsidRPr="00707120">
        <w:rPr>
          <w:bCs/>
          <w:sz w:val="18"/>
          <w:szCs w:val="18"/>
          <w:lang w:val="lv-LV"/>
        </w:rPr>
        <w:tab/>
      </w:r>
      <w:r w:rsidRPr="00707120">
        <w:rPr>
          <w:bCs/>
          <w:sz w:val="18"/>
          <w:szCs w:val="18"/>
          <w:lang w:val="lv-LV"/>
        </w:rPr>
        <w:tab/>
        <w:t>- p</w:t>
      </w:r>
      <w:r w:rsidR="00B47B7D">
        <w:rPr>
          <w:bCs/>
          <w:sz w:val="18"/>
          <w:szCs w:val="18"/>
          <w:lang w:val="lv-LV"/>
        </w:rPr>
        <w:t> ≤ </w:t>
      </w:r>
      <w:r w:rsidRPr="00707120">
        <w:rPr>
          <w:bCs/>
          <w:sz w:val="18"/>
          <w:szCs w:val="18"/>
          <w:lang w:val="lv-LV"/>
        </w:rPr>
        <w:t>0,0001, TCZ salīdzinājumā ar PBO + MTX</w:t>
      </w:r>
      <w:r w:rsidR="00C53AA6" w:rsidRPr="00707120">
        <w:rPr>
          <w:bCs/>
          <w:sz w:val="18"/>
          <w:szCs w:val="18"/>
          <w:lang w:val="lv-LV"/>
        </w:rPr>
        <w:t>.</w:t>
      </w:r>
    </w:p>
    <w:p w14:paraId="49C2D3B0" w14:textId="20CFA0A8" w:rsidR="00784D05" w:rsidRPr="00707120" w:rsidRDefault="00784D05">
      <w:pPr>
        <w:rPr>
          <w:b/>
          <w:szCs w:val="22"/>
          <w:lang w:val="lv-LV"/>
        </w:rPr>
      </w:pPr>
      <w:r w:rsidRPr="00707120">
        <w:rPr>
          <w:bCs/>
          <w:sz w:val="18"/>
          <w:szCs w:val="18"/>
          <w:lang w:val="lv-LV"/>
        </w:rPr>
        <w:t>**</w:t>
      </w:r>
      <w:r w:rsidRPr="00707120">
        <w:rPr>
          <w:bCs/>
          <w:sz w:val="18"/>
          <w:szCs w:val="18"/>
          <w:lang w:val="lv-LV"/>
        </w:rPr>
        <w:tab/>
      </w:r>
      <w:r w:rsidRPr="00707120">
        <w:rPr>
          <w:bCs/>
          <w:sz w:val="18"/>
          <w:szCs w:val="18"/>
          <w:lang w:val="lv-LV"/>
        </w:rPr>
        <w:tab/>
        <w:t>- p</w:t>
      </w:r>
      <w:r w:rsidR="00B47B7D">
        <w:rPr>
          <w:bCs/>
          <w:sz w:val="18"/>
          <w:szCs w:val="18"/>
          <w:lang w:val="lv-LV"/>
        </w:rPr>
        <w:t> ˂ </w:t>
      </w:r>
      <w:r w:rsidRPr="00707120">
        <w:rPr>
          <w:bCs/>
          <w:sz w:val="18"/>
          <w:szCs w:val="18"/>
          <w:lang w:val="lv-LV"/>
        </w:rPr>
        <w:t>0,005, TCZ salīdzinājumā ar PBO + MTX</w:t>
      </w:r>
      <w:r w:rsidR="00C53AA6" w:rsidRPr="00707120">
        <w:rPr>
          <w:bCs/>
          <w:sz w:val="18"/>
          <w:szCs w:val="18"/>
          <w:lang w:val="lv-LV"/>
        </w:rPr>
        <w:t>.</w:t>
      </w:r>
    </w:p>
    <w:p w14:paraId="523FE0C7" w14:textId="77777777" w:rsidR="00784D05" w:rsidRDefault="00784D05">
      <w:pPr>
        <w:rPr>
          <w:b/>
          <w:i/>
          <w:szCs w:val="22"/>
          <w:lang w:val="lv-LV"/>
        </w:rPr>
      </w:pPr>
    </w:p>
    <w:p w14:paraId="779F03F6" w14:textId="63275280" w:rsidR="00784D05" w:rsidRDefault="00784D05">
      <w:pPr>
        <w:rPr>
          <w:b/>
          <w:i/>
          <w:szCs w:val="22"/>
          <w:lang w:val="lv-LV"/>
        </w:rPr>
      </w:pPr>
      <w:r>
        <w:rPr>
          <w:szCs w:val="22"/>
          <w:lang w:val="lv-LV"/>
        </w:rPr>
        <w:t xml:space="preserve">Salīdzinot ar 67% pacientu (n=290), kas tika ārstēti ar placebo un MTX, pēc 1 gadu ilgas ārstēšanas ar tocilizumabu un MTX locītavu struktūras bojājumi neprogresēja 85% pacientu (n=348), kas definēts kā izmaiņas kopējā </w:t>
      </w:r>
      <w:r>
        <w:rPr>
          <w:i/>
          <w:iCs/>
          <w:szCs w:val="22"/>
          <w:lang w:val="lv-LV"/>
        </w:rPr>
        <w:t>Sharp</w:t>
      </w:r>
      <w:r>
        <w:rPr>
          <w:szCs w:val="22"/>
          <w:lang w:val="lv-LV"/>
        </w:rPr>
        <w:t xml:space="preserve"> novērtējuma punktu skaitā par 0 vai mazāk (p </w:t>
      </w:r>
      <w:r w:rsidR="00B47B7D">
        <w:rPr>
          <w:szCs w:val="22"/>
          <w:lang w:val="lv-LV"/>
        </w:rPr>
        <w:t>≤ </w:t>
      </w:r>
      <w:r>
        <w:rPr>
          <w:szCs w:val="22"/>
          <w:lang w:val="lv-LV"/>
        </w:rPr>
        <w:t>0,001). Šie rezultāti saglabājās nemainīgi arī pēc 2 gadus ilgas ārstēšanas (83%; n=353). Deviņdesmit trīs procentiem (93%, n=271) pacientu laikā starp 52. un 104. nedēļu slimība neprogresēja.</w:t>
      </w:r>
    </w:p>
    <w:p w14:paraId="2A67F41F" w14:textId="77777777" w:rsidR="00784D05" w:rsidRDefault="00784D05">
      <w:pPr>
        <w:rPr>
          <w:b/>
          <w:i/>
          <w:szCs w:val="22"/>
          <w:lang w:val="lv-LV"/>
        </w:rPr>
      </w:pPr>
    </w:p>
    <w:p w14:paraId="710D178F" w14:textId="77777777" w:rsidR="00784D05" w:rsidRDefault="00784D05">
      <w:pPr>
        <w:keepNext/>
        <w:rPr>
          <w:bCs/>
          <w:iCs/>
          <w:szCs w:val="22"/>
          <w:lang w:val="lv-LV"/>
        </w:rPr>
        <w:pPrChange w:id="264" w:author="Author">
          <w:pPr/>
        </w:pPrChange>
      </w:pPr>
      <w:r>
        <w:rPr>
          <w:i/>
          <w:lang w:val="lv-LV"/>
        </w:rPr>
        <w:t>Ar veselību un dzīves kvalitāti saistītie iznākumi</w:t>
      </w:r>
    </w:p>
    <w:p w14:paraId="1E4DC209" w14:textId="0FD3BC34" w:rsidR="00784D05" w:rsidRDefault="00784D05">
      <w:pPr>
        <w:rPr>
          <w:lang w:val="lv-LV"/>
        </w:rPr>
      </w:pPr>
      <w:r>
        <w:rPr>
          <w:bCs/>
          <w:iCs/>
          <w:szCs w:val="22"/>
          <w:lang w:val="lv-LV"/>
        </w:rPr>
        <w:t xml:space="preserve">Ar tocilizumabu ārstētie pacienti ziņoja par visu pacienta novērtēto iznākumu (Veselības novērtēšanas anketas-invaliditātes indeksa </w:t>
      </w:r>
      <w:r w:rsidR="00D45F83">
        <w:rPr>
          <w:bCs/>
          <w:iCs/>
          <w:szCs w:val="22"/>
          <w:lang w:val="lv-LV"/>
        </w:rPr>
        <w:t xml:space="preserve">– </w:t>
      </w:r>
      <w:r>
        <w:rPr>
          <w:bCs/>
          <w:i/>
          <w:szCs w:val="22"/>
          <w:lang w:val="lv-LV"/>
        </w:rPr>
        <w:t>Health Assessment Questionnaire-Disability Index;</w:t>
      </w:r>
      <w:r>
        <w:rPr>
          <w:bCs/>
          <w:iCs/>
          <w:szCs w:val="22"/>
          <w:lang w:val="lv-LV"/>
        </w:rPr>
        <w:t xml:space="preserve"> HAQ</w:t>
      </w:r>
      <w:r w:rsidR="00B47B7D">
        <w:rPr>
          <w:bCs/>
          <w:iCs/>
          <w:szCs w:val="22"/>
          <w:lang w:val="lv-LV"/>
        </w:rPr>
        <w:noBreakHyphen/>
      </w:r>
      <w:r>
        <w:rPr>
          <w:bCs/>
          <w:iCs/>
          <w:szCs w:val="22"/>
          <w:lang w:val="lv-LV"/>
        </w:rPr>
        <w:t>DI</w:t>
      </w:r>
      <w:r w:rsidR="00D45F83">
        <w:rPr>
          <w:bCs/>
          <w:iCs/>
          <w:szCs w:val="22"/>
          <w:lang w:val="lv-LV"/>
        </w:rPr>
        <w:t>,</w:t>
      </w:r>
      <w:r>
        <w:rPr>
          <w:bCs/>
          <w:iCs/>
          <w:szCs w:val="22"/>
          <w:lang w:val="lv-LV"/>
        </w:rPr>
        <w:t xml:space="preserve"> īso formu</w:t>
      </w:r>
      <w:r w:rsidR="00B47B7D">
        <w:rPr>
          <w:bCs/>
          <w:iCs/>
          <w:szCs w:val="22"/>
          <w:lang w:val="lv-LV"/>
        </w:rPr>
        <w:noBreakHyphen/>
      </w:r>
      <w:r>
        <w:rPr>
          <w:bCs/>
          <w:iCs/>
          <w:szCs w:val="22"/>
          <w:lang w:val="lv-LV"/>
        </w:rPr>
        <w:t xml:space="preserve">36 un funkcionālo vērtējumu hroniskas slimības terapijas laikā) vērtējuma uzlabošanos. Ar </w:t>
      </w:r>
      <w:r w:rsidR="00B47B7D">
        <w:rPr>
          <w:bCs/>
          <w:iCs/>
          <w:szCs w:val="22"/>
          <w:lang w:val="lv-LV"/>
        </w:rPr>
        <w:t xml:space="preserve">tocilizumabu </w:t>
      </w:r>
      <w:r>
        <w:rPr>
          <w:bCs/>
          <w:iCs/>
          <w:szCs w:val="22"/>
          <w:lang w:val="lv-LV"/>
        </w:rPr>
        <w:t>ārstētiem pacientiem novēroja statistiski nozīmīgu pēc HAQ</w:t>
      </w:r>
      <w:r w:rsidR="00B47B7D">
        <w:rPr>
          <w:bCs/>
          <w:iCs/>
          <w:szCs w:val="22"/>
          <w:lang w:val="lv-LV"/>
        </w:rPr>
        <w:noBreakHyphen/>
      </w:r>
      <w:r>
        <w:rPr>
          <w:bCs/>
          <w:iCs/>
          <w:szCs w:val="22"/>
          <w:lang w:val="lv-LV"/>
        </w:rPr>
        <w:t xml:space="preserve">DI iegūtā rezultāta uzlabošanos salīdzinājumā ar DMARD ārstētiem pacientiem. </w:t>
      </w:r>
      <w:r>
        <w:rPr>
          <w:szCs w:val="22"/>
          <w:lang w:val="lv-LV"/>
        </w:rPr>
        <w:t>II pētījuma nemaskētā perioda laikā fizisko funkciju uzlabošanās saglabājās līdz 2 gadiem. Pēc 52 nedēļām grupā, kas saņēma 8 mg/kg lielas tocilizumaba devas un MTX, vidējās HAQ</w:t>
      </w:r>
      <w:r w:rsidR="00B47B7D">
        <w:rPr>
          <w:szCs w:val="22"/>
          <w:lang w:val="lv-LV"/>
        </w:rPr>
        <w:noBreakHyphen/>
      </w:r>
      <w:r>
        <w:rPr>
          <w:szCs w:val="22"/>
          <w:lang w:val="lv-LV"/>
        </w:rPr>
        <w:t>DI novērtējumā izmaiņas bija </w:t>
      </w:r>
      <w:r w:rsidR="00B47B7D">
        <w:rPr>
          <w:szCs w:val="22"/>
          <w:lang w:val="lv-LV"/>
        </w:rPr>
        <w:noBreakHyphen/>
      </w:r>
      <w:r>
        <w:rPr>
          <w:szCs w:val="22"/>
          <w:lang w:val="lv-LV"/>
        </w:rPr>
        <w:t xml:space="preserve">0,58, salīdzinot ar </w:t>
      </w:r>
      <w:r w:rsidR="00B47B7D">
        <w:rPr>
          <w:szCs w:val="22"/>
          <w:lang w:val="lv-LV"/>
        </w:rPr>
        <w:noBreakHyphen/>
      </w:r>
      <w:r>
        <w:rPr>
          <w:szCs w:val="22"/>
          <w:lang w:val="lv-LV"/>
        </w:rPr>
        <w:t>0,39 grupā, kas saņēma placebo un MTX. Grupā, kas saņēma 8 mg/kg lielas tocilizumaba devas un MTX, vidējās HAQ</w:t>
      </w:r>
      <w:r w:rsidR="00B47B7D">
        <w:rPr>
          <w:szCs w:val="22"/>
          <w:lang w:val="lv-LV"/>
        </w:rPr>
        <w:noBreakHyphen/>
      </w:r>
      <w:r>
        <w:rPr>
          <w:szCs w:val="22"/>
          <w:lang w:val="lv-LV"/>
        </w:rPr>
        <w:t xml:space="preserve">DI novērtējuma izmaiņas </w:t>
      </w:r>
      <w:r w:rsidR="00B47B7D">
        <w:rPr>
          <w:szCs w:val="22"/>
          <w:lang w:val="lv-LV"/>
        </w:rPr>
        <w:t>(</w:t>
      </w:r>
      <w:r w:rsidR="00B47B7D">
        <w:rPr>
          <w:szCs w:val="22"/>
          <w:lang w:val="lv-LV"/>
        </w:rPr>
        <w:noBreakHyphen/>
      </w:r>
      <w:r>
        <w:rPr>
          <w:szCs w:val="22"/>
          <w:lang w:val="lv-LV"/>
        </w:rPr>
        <w:t>0,61) saglabājās pēc 104 nedēļām.</w:t>
      </w:r>
    </w:p>
    <w:p w14:paraId="28199B21" w14:textId="77777777" w:rsidR="00784D05" w:rsidRDefault="00784D05">
      <w:pPr>
        <w:rPr>
          <w:lang w:val="lv-LV"/>
        </w:rPr>
      </w:pPr>
    </w:p>
    <w:p w14:paraId="7960FBE1" w14:textId="77777777" w:rsidR="00784D05" w:rsidRDefault="00784D05">
      <w:pPr>
        <w:keepNext/>
        <w:rPr>
          <w:szCs w:val="22"/>
          <w:lang w:val="lv-LV"/>
        </w:rPr>
      </w:pPr>
      <w:r>
        <w:rPr>
          <w:i/>
          <w:lang w:val="lv-LV"/>
        </w:rPr>
        <w:t>Hemoglobīna līmenis</w:t>
      </w:r>
    </w:p>
    <w:p w14:paraId="18ABDE1A" w14:textId="34A6D297" w:rsidR="00784D05" w:rsidRDefault="00784D05">
      <w:pPr>
        <w:keepNext/>
        <w:rPr>
          <w:szCs w:val="22"/>
          <w:lang w:val="lv-LV"/>
        </w:rPr>
      </w:pPr>
      <w:r>
        <w:rPr>
          <w:szCs w:val="22"/>
          <w:lang w:val="lv-LV"/>
        </w:rPr>
        <w:t>24.</w:t>
      </w:r>
      <w:r w:rsidR="00B47B7D">
        <w:rPr>
          <w:szCs w:val="22"/>
          <w:lang w:val="lv-LV"/>
        </w:rPr>
        <w:t> </w:t>
      </w:r>
      <w:r>
        <w:rPr>
          <w:szCs w:val="22"/>
          <w:lang w:val="lv-LV"/>
        </w:rPr>
        <w:t xml:space="preserve">nedēļā, lietojot </w:t>
      </w:r>
      <w:r>
        <w:rPr>
          <w:bCs/>
          <w:iCs/>
          <w:szCs w:val="22"/>
          <w:lang w:val="lv-LV"/>
        </w:rPr>
        <w:t>tocilizumabu</w:t>
      </w:r>
      <w:r>
        <w:rPr>
          <w:szCs w:val="22"/>
          <w:lang w:val="lv-LV"/>
        </w:rPr>
        <w:t>, novērota statistiski nozīmīga (p</w:t>
      </w:r>
      <w:r w:rsidR="00B47B7D">
        <w:rPr>
          <w:szCs w:val="22"/>
          <w:lang w:val="lv-LV"/>
        </w:rPr>
        <w:t> ˂ </w:t>
      </w:r>
      <w:r>
        <w:rPr>
          <w:szCs w:val="22"/>
          <w:lang w:val="lv-LV"/>
        </w:rPr>
        <w:t>0,0001) hemoglobīna līmeņa uzlabošanās</w:t>
      </w:r>
      <w:r>
        <w:rPr>
          <w:lang w:val="lv-LV"/>
        </w:rPr>
        <w:t xml:space="preserve"> </w:t>
      </w:r>
      <w:r>
        <w:rPr>
          <w:szCs w:val="22"/>
          <w:lang w:val="lv-LV"/>
        </w:rPr>
        <w:t>salīdzinājumā ar DMARD. Vidējais hemoglobīna līmenis palielinājās 2.</w:t>
      </w:r>
      <w:r w:rsidR="00B47B7D">
        <w:rPr>
          <w:szCs w:val="22"/>
          <w:lang w:val="lv-LV"/>
        </w:rPr>
        <w:t> </w:t>
      </w:r>
      <w:r>
        <w:rPr>
          <w:szCs w:val="22"/>
          <w:lang w:val="lv-LV"/>
        </w:rPr>
        <w:t>nedēļā un saglabājās normas robežās līdz 24.</w:t>
      </w:r>
      <w:r w:rsidR="00B47B7D">
        <w:rPr>
          <w:szCs w:val="22"/>
          <w:lang w:val="lv-LV"/>
        </w:rPr>
        <w:t> </w:t>
      </w:r>
      <w:r>
        <w:rPr>
          <w:szCs w:val="22"/>
          <w:lang w:val="lv-LV"/>
        </w:rPr>
        <w:t xml:space="preserve">nedēļai. </w:t>
      </w:r>
    </w:p>
    <w:p w14:paraId="14744C90" w14:textId="77777777" w:rsidR="00784D05" w:rsidRDefault="00784D05">
      <w:pPr>
        <w:rPr>
          <w:szCs w:val="22"/>
          <w:lang w:val="lv-LV"/>
        </w:rPr>
      </w:pPr>
    </w:p>
    <w:p w14:paraId="4CA9DDDE" w14:textId="77777777" w:rsidR="00784D05" w:rsidRDefault="00784D05">
      <w:pPr>
        <w:keepNext/>
        <w:rPr>
          <w:lang w:val="lv-LV"/>
        </w:rPr>
        <w:pPrChange w:id="265" w:author="Author">
          <w:pPr>
            <w:ind w:right="-2"/>
          </w:pPr>
        </w:pPrChange>
      </w:pPr>
      <w:r>
        <w:rPr>
          <w:i/>
          <w:lang w:val="lv-LV"/>
        </w:rPr>
        <w:t>Tocilizumabs salīdzinājumā ar adalimumabu monoterapijā</w:t>
      </w:r>
    </w:p>
    <w:p w14:paraId="525FDB1D" w14:textId="0B5F2037" w:rsidR="00784D05" w:rsidRDefault="00B47B7D">
      <w:pPr>
        <w:rPr>
          <w:lang w:val="lv-LV"/>
        </w:rPr>
      </w:pPr>
      <w:r>
        <w:rPr>
          <w:lang w:val="lv-LV"/>
        </w:rPr>
        <w:t>VI p</w:t>
      </w:r>
      <w:r w:rsidR="00784D05">
        <w:rPr>
          <w:lang w:val="lv-LV"/>
        </w:rPr>
        <w:t xml:space="preserve">ētījumā (WA19924), kas bija 24 nedēļas ilgs dubultmaskēts pētījums, kurā tocilizumaba monoterapija tika salīdzināta ar adalimumaba monoterapiju, tika novērtēti 326 pacienti ar RA, kuri nepanesa MTX vai kuriem turpmāka ārstēšana ar MTX bija uzskatāma par nepiemērotu (tajā skaitā personas, kurām bija neatbilstoša atbildes reakcija uz MTX). Tocilizumaba grupas pacientiem lietoja tocilizumabu (8 mg/kg) intravenozas infūzijas veidā reizi četrās nedēļās (q4w) un subkutānas placebo injekcijas reizi divās nedēļās (q2w). Adalimumaba grupas pacientiem lietoja adalimumabu (40 mg) </w:t>
      </w:r>
      <w:r>
        <w:rPr>
          <w:lang w:val="lv-LV"/>
        </w:rPr>
        <w:t>subkutānu</w:t>
      </w:r>
      <w:r w:rsidR="00784D05">
        <w:rPr>
          <w:lang w:val="lv-LV"/>
        </w:rPr>
        <w:t xml:space="preserve"> injekciju veidā reizi divās nedēļās un </w:t>
      </w:r>
      <w:del w:id="266" w:author="Author">
        <w:r w:rsidR="00784D05" w:rsidDel="00CE6B8D">
          <w:rPr>
            <w:lang w:val="lv-LV"/>
          </w:rPr>
          <w:delText xml:space="preserve"> </w:delText>
        </w:r>
      </w:del>
      <w:r w:rsidR="00784D05">
        <w:rPr>
          <w:lang w:val="lv-LV"/>
        </w:rPr>
        <w:t xml:space="preserve">placebo </w:t>
      </w:r>
      <w:r w:rsidR="005C1E58">
        <w:rPr>
          <w:lang w:val="lv-LV"/>
        </w:rPr>
        <w:t xml:space="preserve">intravenozas </w:t>
      </w:r>
      <w:r w:rsidR="00784D05">
        <w:rPr>
          <w:lang w:val="lv-LV"/>
        </w:rPr>
        <w:t>infūzijas</w:t>
      </w:r>
      <w:r w:rsidR="005C1E58">
        <w:rPr>
          <w:lang w:val="lv-LV"/>
        </w:rPr>
        <w:t xml:space="preserve"> veidā</w:t>
      </w:r>
      <w:r w:rsidR="00784D05">
        <w:rPr>
          <w:lang w:val="lv-LV"/>
        </w:rPr>
        <w:t xml:space="preserve"> reizi četrās nedēļās.</w:t>
      </w:r>
      <w:r>
        <w:rPr>
          <w:lang w:val="lv-LV"/>
        </w:rPr>
        <w:t xml:space="preserve"> </w:t>
      </w:r>
      <w:r w:rsidR="00784D05">
        <w:rPr>
          <w:lang w:val="lv-LV"/>
        </w:rPr>
        <w:t>Vērtējot slimības aktivitātes kontrolēšanu no pētījuma sākumam līdz 24. nedēļai, proti, DAS28 izmaiņas kā primāro mērķa kritēriju un visus sekundāros mērķa kritērijus, salīdzinot ar adalimumabu, tocilizumabam tika konstatēta labāka iedarbība, kas bija statistiski nozīmīga (</w:t>
      </w:r>
      <w:r w:rsidR="00727752">
        <w:rPr>
          <w:lang w:val="lv-LV"/>
        </w:rPr>
        <w:t>6</w:t>
      </w:r>
      <w:r w:rsidR="00784D05">
        <w:rPr>
          <w:lang w:val="lv-LV"/>
        </w:rPr>
        <w:t>. tabula).</w:t>
      </w:r>
    </w:p>
    <w:p w14:paraId="4265BE87" w14:textId="77777777" w:rsidR="00784D05" w:rsidRDefault="00784D05">
      <w:pPr>
        <w:rPr>
          <w:lang w:val="lv-LV"/>
        </w:rPr>
      </w:pPr>
    </w:p>
    <w:p w14:paraId="544B1676" w14:textId="1687FEE7" w:rsidR="00784D05" w:rsidRDefault="00727752">
      <w:pPr>
        <w:keepNext/>
        <w:keepLines/>
        <w:rPr>
          <w:i/>
          <w:szCs w:val="22"/>
          <w:lang w:val="lv-LV"/>
        </w:rPr>
      </w:pPr>
      <w:r>
        <w:rPr>
          <w:i/>
          <w:szCs w:val="22"/>
          <w:lang w:val="lv-LV"/>
        </w:rPr>
        <w:t>6</w:t>
      </w:r>
      <w:r w:rsidR="00784D05">
        <w:rPr>
          <w:i/>
          <w:szCs w:val="22"/>
          <w:lang w:val="lv-LV"/>
        </w:rPr>
        <w:t xml:space="preserve">. tabula. </w:t>
      </w:r>
      <w:r w:rsidR="00B47B7D">
        <w:rPr>
          <w:i/>
          <w:szCs w:val="22"/>
          <w:lang w:val="lv-LV"/>
        </w:rPr>
        <w:t>VI p</w:t>
      </w:r>
      <w:r w:rsidR="00784D05">
        <w:rPr>
          <w:i/>
          <w:szCs w:val="22"/>
          <w:lang w:val="lv-LV"/>
        </w:rPr>
        <w:t>ētījuma (WA19924) efektivitāti raksturojošie rezultāti</w:t>
      </w:r>
    </w:p>
    <w:p w14:paraId="2CED39AB" w14:textId="77777777" w:rsidR="0046093A" w:rsidRDefault="0046093A">
      <w:pPr>
        <w:keepNext/>
        <w:keepLines/>
        <w:rPr>
          <w:szCs w:val="22"/>
          <w:lang w:val="lv-LV"/>
        </w:rPr>
      </w:pPr>
    </w:p>
    <w:tbl>
      <w:tblPr>
        <w:tblW w:w="9076" w:type="dxa"/>
        <w:tblInd w:w="-9" w:type="dxa"/>
        <w:tblLayout w:type="fixed"/>
        <w:tblCellMar>
          <w:left w:w="0" w:type="dxa"/>
          <w:right w:w="0" w:type="dxa"/>
        </w:tblCellMar>
        <w:tblLook w:val="0000" w:firstRow="0" w:lastRow="0" w:firstColumn="0" w:lastColumn="0" w:noHBand="0" w:noVBand="0"/>
      </w:tblPr>
      <w:tblGrid>
        <w:gridCol w:w="3690"/>
        <w:gridCol w:w="1984"/>
        <w:gridCol w:w="2127"/>
        <w:gridCol w:w="1275"/>
      </w:tblGrid>
      <w:tr w:rsidR="00784D05" w14:paraId="47C8457B" w14:textId="77777777" w:rsidTr="00707120">
        <w:trPr>
          <w:cantSplit/>
        </w:trPr>
        <w:tc>
          <w:tcPr>
            <w:tcW w:w="3690" w:type="dxa"/>
            <w:tcBorders>
              <w:top w:val="single" w:sz="8" w:space="0" w:color="000000"/>
              <w:left w:val="single" w:sz="4" w:space="0" w:color="000000"/>
              <w:bottom w:val="single" w:sz="8" w:space="0" w:color="000000"/>
            </w:tcBorders>
            <w:vAlign w:val="bottom"/>
          </w:tcPr>
          <w:p w14:paraId="5FA98967" w14:textId="77777777" w:rsidR="00784D05" w:rsidRDefault="00784D05">
            <w:pPr>
              <w:keepNext/>
              <w:keepLines/>
              <w:snapToGrid w:val="0"/>
              <w:rPr>
                <w:lang w:val="lv-LV"/>
              </w:rPr>
            </w:pPr>
          </w:p>
        </w:tc>
        <w:tc>
          <w:tcPr>
            <w:tcW w:w="1984" w:type="dxa"/>
            <w:tcBorders>
              <w:top w:val="single" w:sz="8" w:space="0" w:color="000000"/>
              <w:bottom w:val="single" w:sz="8" w:space="0" w:color="000000"/>
            </w:tcBorders>
            <w:vAlign w:val="bottom"/>
          </w:tcPr>
          <w:p w14:paraId="06091AC6" w14:textId="1B4587DD" w:rsidR="00784D05" w:rsidRDefault="00784D05">
            <w:pPr>
              <w:keepNext/>
              <w:keepLines/>
              <w:spacing w:before="40" w:after="40" w:line="240" w:lineRule="exact"/>
              <w:jc w:val="center"/>
              <w:rPr>
                <w:b/>
                <w:sz w:val="20"/>
                <w:lang w:val="lv-LV"/>
              </w:rPr>
            </w:pPr>
            <w:r>
              <w:rPr>
                <w:b/>
                <w:sz w:val="20"/>
                <w:lang w:val="lv-LV"/>
              </w:rPr>
              <w:t>ADA</w:t>
            </w:r>
            <w:r w:rsidR="00236CD1">
              <w:rPr>
                <w:b/>
                <w:sz w:val="20"/>
                <w:lang w:val="lv-LV"/>
              </w:rPr>
              <w:t> </w:t>
            </w:r>
            <w:r>
              <w:rPr>
                <w:b/>
                <w:sz w:val="20"/>
                <w:lang w:val="lv-LV"/>
              </w:rPr>
              <w:t>+</w:t>
            </w:r>
            <w:r w:rsidR="00236CD1">
              <w:rPr>
                <w:b/>
                <w:sz w:val="20"/>
                <w:lang w:val="lv-LV"/>
              </w:rPr>
              <w:t> </w:t>
            </w:r>
            <w:r>
              <w:rPr>
                <w:b/>
                <w:sz w:val="20"/>
                <w:lang w:val="lv-LV"/>
              </w:rPr>
              <w:t>placebo (i.v.)</w:t>
            </w:r>
          </w:p>
          <w:p w14:paraId="2654D60E" w14:textId="049B9705" w:rsidR="00784D05" w:rsidRDefault="00784D05">
            <w:pPr>
              <w:keepNext/>
              <w:keepLines/>
              <w:spacing w:before="40" w:after="40" w:line="240" w:lineRule="exact"/>
              <w:jc w:val="center"/>
              <w:rPr>
                <w:b/>
                <w:sz w:val="20"/>
                <w:lang w:val="lv-LV"/>
              </w:rPr>
            </w:pPr>
            <w:del w:id="267" w:author="Author">
              <w:r w:rsidDel="00717152">
                <w:rPr>
                  <w:b/>
                  <w:sz w:val="20"/>
                  <w:lang w:val="lv-LV"/>
                </w:rPr>
                <w:delText>N</w:delText>
              </w:r>
            </w:del>
            <w:ins w:id="268" w:author="Author">
              <w:r w:rsidR="00717152">
                <w:rPr>
                  <w:b/>
                  <w:sz w:val="20"/>
                  <w:lang w:val="lv-LV"/>
                </w:rPr>
                <w:t>n</w:t>
              </w:r>
            </w:ins>
            <w:del w:id="269" w:author="Author">
              <w:r w:rsidDel="00C05EDC">
                <w:rPr>
                  <w:b/>
                  <w:sz w:val="20"/>
                  <w:lang w:val="lv-LV"/>
                </w:rPr>
                <w:delText xml:space="preserve"> </w:delText>
              </w:r>
            </w:del>
            <w:r>
              <w:rPr>
                <w:b/>
                <w:sz w:val="20"/>
                <w:lang w:val="lv-LV"/>
              </w:rPr>
              <w:t>=</w:t>
            </w:r>
            <w:del w:id="270" w:author="Author">
              <w:r w:rsidDel="00C05EDC">
                <w:rPr>
                  <w:b/>
                  <w:sz w:val="20"/>
                  <w:lang w:val="lv-LV"/>
                </w:rPr>
                <w:delText xml:space="preserve"> </w:delText>
              </w:r>
            </w:del>
            <w:r>
              <w:rPr>
                <w:b/>
                <w:sz w:val="20"/>
                <w:lang w:val="lv-LV"/>
              </w:rPr>
              <w:t>162</w:t>
            </w:r>
          </w:p>
        </w:tc>
        <w:tc>
          <w:tcPr>
            <w:tcW w:w="2127" w:type="dxa"/>
            <w:tcBorders>
              <w:top w:val="single" w:sz="8" w:space="0" w:color="000000"/>
              <w:bottom w:val="single" w:sz="8" w:space="0" w:color="000000"/>
            </w:tcBorders>
            <w:vAlign w:val="bottom"/>
          </w:tcPr>
          <w:p w14:paraId="1FA48C70" w14:textId="43724455" w:rsidR="00784D05" w:rsidRDefault="00784D05">
            <w:pPr>
              <w:keepNext/>
              <w:keepLines/>
              <w:spacing w:before="40" w:after="40" w:line="240" w:lineRule="exact"/>
              <w:jc w:val="center"/>
              <w:rPr>
                <w:b/>
                <w:sz w:val="20"/>
                <w:lang w:val="lv-LV"/>
              </w:rPr>
            </w:pPr>
            <w:r>
              <w:rPr>
                <w:b/>
                <w:sz w:val="20"/>
                <w:lang w:val="lv-LV"/>
              </w:rPr>
              <w:t>TCZ</w:t>
            </w:r>
            <w:r w:rsidR="00236CD1">
              <w:rPr>
                <w:b/>
                <w:sz w:val="20"/>
                <w:lang w:val="lv-LV"/>
              </w:rPr>
              <w:t> </w:t>
            </w:r>
            <w:r>
              <w:rPr>
                <w:b/>
                <w:sz w:val="20"/>
                <w:lang w:val="lv-LV"/>
              </w:rPr>
              <w:t>+</w:t>
            </w:r>
            <w:r w:rsidR="00236CD1">
              <w:rPr>
                <w:b/>
                <w:sz w:val="20"/>
                <w:lang w:val="lv-LV"/>
              </w:rPr>
              <w:t> </w:t>
            </w:r>
            <w:r>
              <w:rPr>
                <w:b/>
                <w:sz w:val="20"/>
                <w:lang w:val="lv-LV"/>
              </w:rPr>
              <w:t>placebo (s.c.)</w:t>
            </w:r>
          </w:p>
          <w:p w14:paraId="06AC64C1" w14:textId="3108AF99" w:rsidR="00784D05" w:rsidRDefault="00784D05">
            <w:pPr>
              <w:keepNext/>
              <w:keepLines/>
              <w:spacing w:before="40" w:after="40" w:line="240" w:lineRule="exact"/>
              <w:jc w:val="center"/>
              <w:rPr>
                <w:sz w:val="20"/>
                <w:lang w:val="lv-LV"/>
              </w:rPr>
            </w:pPr>
            <w:del w:id="271" w:author="Author">
              <w:r w:rsidDel="00717152">
                <w:rPr>
                  <w:b/>
                  <w:sz w:val="20"/>
                  <w:lang w:val="lv-LV"/>
                </w:rPr>
                <w:delText>N</w:delText>
              </w:r>
            </w:del>
            <w:ins w:id="272" w:author="Author">
              <w:r w:rsidR="00717152">
                <w:rPr>
                  <w:b/>
                  <w:sz w:val="20"/>
                  <w:lang w:val="lv-LV"/>
                </w:rPr>
                <w:t>n</w:t>
              </w:r>
            </w:ins>
            <w:del w:id="273" w:author="Author">
              <w:r w:rsidDel="00C05EDC">
                <w:rPr>
                  <w:b/>
                  <w:sz w:val="20"/>
                  <w:lang w:val="lv-LV"/>
                </w:rPr>
                <w:delText xml:space="preserve"> </w:delText>
              </w:r>
            </w:del>
            <w:r>
              <w:rPr>
                <w:b/>
                <w:sz w:val="20"/>
                <w:lang w:val="lv-LV"/>
              </w:rPr>
              <w:t>=</w:t>
            </w:r>
            <w:del w:id="274" w:author="Author">
              <w:r w:rsidDel="00C05EDC">
                <w:rPr>
                  <w:b/>
                  <w:sz w:val="20"/>
                  <w:lang w:val="lv-LV"/>
                </w:rPr>
                <w:delText xml:space="preserve"> </w:delText>
              </w:r>
            </w:del>
            <w:r>
              <w:rPr>
                <w:b/>
                <w:sz w:val="20"/>
                <w:lang w:val="lv-LV"/>
              </w:rPr>
              <w:t>163</w:t>
            </w:r>
          </w:p>
        </w:tc>
        <w:tc>
          <w:tcPr>
            <w:tcW w:w="1275" w:type="dxa"/>
            <w:tcBorders>
              <w:top w:val="single" w:sz="8" w:space="0" w:color="000000"/>
              <w:bottom w:val="single" w:sz="8" w:space="0" w:color="000000"/>
              <w:right w:val="single" w:sz="8" w:space="0" w:color="000000"/>
            </w:tcBorders>
            <w:vAlign w:val="bottom"/>
          </w:tcPr>
          <w:p w14:paraId="1EA1FF35" w14:textId="77777777" w:rsidR="00784D05" w:rsidRDefault="00784D05">
            <w:pPr>
              <w:keepNext/>
              <w:keepLines/>
              <w:spacing w:before="40" w:after="40" w:line="240" w:lineRule="exact"/>
              <w:jc w:val="center"/>
              <w:rPr>
                <w:b/>
                <w:sz w:val="20"/>
                <w:lang w:val="lv-LV"/>
              </w:rPr>
            </w:pPr>
            <w:r w:rsidRPr="00707120">
              <w:rPr>
                <w:b/>
                <w:sz w:val="20"/>
                <w:lang w:val="lv-LV"/>
              </w:rPr>
              <w:t>p vērtība</w:t>
            </w:r>
            <w:r w:rsidRPr="00707120">
              <w:rPr>
                <w:b/>
                <w:sz w:val="20"/>
                <w:vertAlign w:val="superscript"/>
                <w:lang w:val="lv-LV"/>
              </w:rPr>
              <w:t>(a</w:t>
            </w:r>
            <w:r>
              <w:rPr>
                <w:sz w:val="20"/>
                <w:vertAlign w:val="superscript"/>
                <w:lang w:val="lv-LV"/>
              </w:rPr>
              <w:t>)</w:t>
            </w:r>
          </w:p>
        </w:tc>
      </w:tr>
      <w:tr w:rsidR="00784D05" w14:paraId="4E4E84FA" w14:textId="77777777" w:rsidTr="00707120">
        <w:tblPrEx>
          <w:tblCellMar>
            <w:left w:w="57" w:type="dxa"/>
            <w:right w:w="57" w:type="dxa"/>
          </w:tblCellMar>
        </w:tblPrEx>
        <w:trPr>
          <w:cantSplit/>
        </w:trPr>
        <w:tc>
          <w:tcPr>
            <w:tcW w:w="9076" w:type="dxa"/>
            <w:gridSpan w:val="4"/>
            <w:tcBorders>
              <w:left w:val="single" w:sz="4" w:space="0" w:color="000000"/>
              <w:right w:val="single" w:sz="8" w:space="0" w:color="000000"/>
            </w:tcBorders>
          </w:tcPr>
          <w:p w14:paraId="691E667C" w14:textId="11B4568F" w:rsidR="00784D05" w:rsidRDefault="00784D05">
            <w:pPr>
              <w:keepNext/>
              <w:keepLines/>
              <w:spacing w:before="40" w:after="40" w:line="240" w:lineRule="exact"/>
              <w:rPr>
                <w:b/>
                <w:sz w:val="20"/>
                <w:lang w:val="lv-LV"/>
              </w:rPr>
            </w:pPr>
            <w:r>
              <w:rPr>
                <w:b/>
                <w:sz w:val="20"/>
                <w:lang w:val="lv-LV"/>
              </w:rPr>
              <w:t xml:space="preserve">Primārais mērķa kritērijs </w:t>
            </w:r>
            <w:r w:rsidR="00B47B7D">
              <w:rPr>
                <w:b/>
                <w:sz w:val="20"/>
                <w:lang w:val="lv-LV"/>
              </w:rPr>
              <w:t xml:space="preserve">– </w:t>
            </w:r>
            <w:r>
              <w:rPr>
                <w:b/>
                <w:sz w:val="20"/>
                <w:lang w:val="lv-LV"/>
              </w:rPr>
              <w:t xml:space="preserve">vidējās izmaiņas 24. nedēļā salīdzinājumā ar pētījuma sākumu </w:t>
            </w:r>
          </w:p>
        </w:tc>
      </w:tr>
      <w:tr w:rsidR="00784D05" w:rsidRPr="00B47B7D" w14:paraId="102A810E" w14:textId="77777777" w:rsidTr="00707120">
        <w:trPr>
          <w:cantSplit/>
        </w:trPr>
        <w:tc>
          <w:tcPr>
            <w:tcW w:w="3690" w:type="dxa"/>
            <w:tcBorders>
              <w:top w:val="single" w:sz="4" w:space="0" w:color="000000"/>
              <w:left w:val="single" w:sz="4" w:space="0" w:color="000000"/>
            </w:tcBorders>
          </w:tcPr>
          <w:p w14:paraId="3550542C" w14:textId="77777777" w:rsidR="00784D05" w:rsidRPr="00707120" w:rsidRDefault="00784D05">
            <w:pPr>
              <w:keepNext/>
              <w:keepLines/>
              <w:spacing w:before="40" w:after="40" w:line="240" w:lineRule="exact"/>
              <w:jc w:val="right"/>
              <w:rPr>
                <w:bCs/>
                <w:sz w:val="20"/>
                <w:lang w:val="lv-LV"/>
              </w:rPr>
            </w:pPr>
            <w:r w:rsidRPr="00707120">
              <w:rPr>
                <w:bCs/>
                <w:sz w:val="20"/>
                <w:lang w:val="lv-LV"/>
              </w:rPr>
              <w:t xml:space="preserve">DAS28 (koriģēta vidējā vērtība) </w:t>
            </w:r>
          </w:p>
        </w:tc>
        <w:tc>
          <w:tcPr>
            <w:tcW w:w="1984" w:type="dxa"/>
            <w:tcBorders>
              <w:top w:val="single" w:sz="4" w:space="0" w:color="000000"/>
            </w:tcBorders>
          </w:tcPr>
          <w:p w14:paraId="65B9DE4B" w14:textId="4E697215" w:rsidR="00784D05" w:rsidRPr="00707120" w:rsidRDefault="00B47B7D">
            <w:pPr>
              <w:keepNext/>
              <w:keepLines/>
              <w:spacing w:before="50" w:after="50" w:line="240" w:lineRule="exact"/>
              <w:jc w:val="center"/>
              <w:rPr>
                <w:bCs/>
                <w:sz w:val="20"/>
                <w:lang w:val="lv-LV"/>
              </w:rPr>
            </w:pPr>
            <w:r>
              <w:rPr>
                <w:bCs/>
                <w:sz w:val="20"/>
                <w:lang w:val="lv-LV"/>
              </w:rPr>
              <w:noBreakHyphen/>
            </w:r>
            <w:r w:rsidR="00784D05" w:rsidRPr="00707120">
              <w:rPr>
                <w:bCs/>
                <w:sz w:val="20"/>
                <w:lang w:val="lv-LV"/>
              </w:rPr>
              <w:t>1,8</w:t>
            </w:r>
          </w:p>
        </w:tc>
        <w:tc>
          <w:tcPr>
            <w:tcW w:w="2127" w:type="dxa"/>
            <w:tcBorders>
              <w:top w:val="single" w:sz="4" w:space="0" w:color="000000"/>
            </w:tcBorders>
          </w:tcPr>
          <w:p w14:paraId="2691D9EF" w14:textId="3E4A6A11" w:rsidR="00784D05" w:rsidRPr="00707120" w:rsidRDefault="00B47B7D">
            <w:pPr>
              <w:keepNext/>
              <w:keepLines/>
              <w:spacing w:before="50" w:after="50" w:line="240" w:lineRule="exact"/>
              <w:jc w:val="center"/>
              <w:rPr>
                <w:bCs/>
                <w:sz w:val="20"/>
                <w:lang w:val="lv-LV"/>
              </w:rPr>
            </w:pPr>
            <w:r>
              <w:rPr>
                <w:bCs/>
                <w:sz w:val="20"/>
                <w:lang w:val="lv-LV"/>
              </w:rPr>
              <w:noBreakHyphen/>
            </w:r>
            <w:r w:rsidR="00784D05" w:rsidRPr="00707120">
              <w:rPr>
                <w:bCs/>
                <w:sz w:val="20"/>
                <w:lang w:val="lv-LV"/>
              </w:rPr>
              <w:t xml:space="preserve">3,3 </w:t>
            </w:r>
          </w:p>
        </w:tc>
        <w:tc>
          <w:tcPr>
            <w:tcW w:w="1275" w:type="dxa"/>
            <w:tcBorders>
              <w:top w:val="single" w:sz="4" w:space="0" w:color="000000"/>
              <w:right w:val="single" w:sz="8" w:space="0" w:color="000000"/>
            </w:tcBorders>
          </w:tcPr>
          <w:p w14:paraId="446274E0" w14:textId="77777777" w:rsidR="00784D05" w:rsidRPr="00707120" w:rsidRDefault="00784D05">
            <w:pPr>
              <w:keepNext/>
              <w:keepLines/>
              <w:snapToGrid w:val="0"/>
              <w:spacing w:before="50" w:after="50" w:line="240" w:lineRule="exact"/>
              <w:jc w:val="center"/>
              <w:rPr>
                <w:bCs/>
                <w:sz w:val="20"/>
                <w:lang w:val="lv-LV"/>
              </w:rPr>
            </w:pPr>
          </w:p>
        </w:tc>
      </w:tr>
      <w:tr w:rsidR="00784D05" w:rsidRPr="00B47B7D" w14:paraId="38535AF0" w14:textId="77777777" w:rsidTr="00707120">
        <w:trPr>
          <w:cantSplit/>
        </w:trPr>
        <w:tc>
          <w:tcPr>
            <w:tcW w:w="3690" w:type="dxa"/>
            <w:tcBorders>
              <w:left w:val="single" w:sz="4" w:space="0" w:color="000000"/>
              <w:bottom w:val="single" w:sz="4" w:space="0" w:color="000000"/>
            </w:tcBorders>
          </w:tcPr>
          <w:p w14:paraId="49A5BB18" w14:textId="77777777" w:rsidR="00784D05" w:rsidRPr="00707120" w:rsidRDefault="00784D05">
            <w:pPr>
              <w:keepNext/>
              <w:keepLines/>
              <w:spacing w:before="40" w:after="40" w:line="240" w:lineRule="exact"/>
              <w:jc w:val="right"/>
              <w:rPr>
                <w:bCs/>
                <w:sz w:val="20"/>
                <w:lang w:val="lv-LV"/>
              </w:rPr>
            </w:pPr>
            <w:r w:rsidRPr="00707120">
              <w:rPr>
                <w:bCs/>
                <w:sz w:val="20"/>
                <w:lang w:val="lv-LV"/>
              </w:rPr>
              <w:t>Koriģētās vidējās vērtības atšķirība (95% TI)</w:t>
            </w:r>
          </w:p>
        </w:tc>
        <w:tc>
          <w:tcPr>
            <w:tcW w:w="4111" w:type="dxa"/>
            <w:gridSpan w:val="2"/>
            <w:tcBorders>
              <w:bottom w:val="single" w:sz="4" w:space="0" w:color="000000"/>
            </w:tcBorders>
          </w:tcPr>
          <w:p w14:paraId="76076CB8" w14:textId="4B8A6C9E" w:rsidR="00784D05" w:rsidRPr="00707120" w:rsidRDefault="00B47B7D">
            <w:pPr>
              <w:keepNext/>
              <w:keepLines/>
              <w:spacing w:before="50" w:after="50" w:line="240" w:lineRule="exact"/>
              <w:jc w:val="center"/>
              <w:rPr>
                <w:bCs/>
                <w:sz w:val="20"/>
                <w:lang w:val="lv-LV"/>
              </w:rPr>
            </w:pPr>
            <w:r>
              <w:rPr>
                <w:bCs/>
                <w:sz w:val="20"/>
                <w:lang w:val="lv-LV"/>
              </w:rPr>
              <w:noBreakHyphen/>
            </w:r>
            <w:r w:rsidR="00784D05" w:rsidRPr="00707120">
              <w:rPr>
                <w:bCs/>
                <w:sz w:val="20"/>
                <w:lang w:val="lv-LV"/>
              </w:rPr>
              <w:t xml:space="preserve">1,5 </w:t>
            </w:r>
            <w:r w:rsidRPr="00707120">
              <w:rPr>
                <w:bCs/>
                <w:sz w:val="20"/>
                <w:lang w:val="lv-LV"/>
              </w:rPr>
              <w:t>(</w:t>
            </w:r>
            <w:r>
              <w:rPr>
                <w:bCs/>
                <w:sz w:val="20"/>
                <w:lang w:val="lv-LV"/>
              </w:rPr>
              <w:noBreakHyphen/>
            </w:r>
            <w:r w:rsidR="00784D05" w:rsidRPr="00707120">
              <w:rPr>
                <w:bCs/>
                <w:sz w:val="20"/>
                <w:lang w:val="lv-LV"/>
              </w:rPr>
              <w:t>1,8</w:t>
            </w:r>
            <w:r>
              <w:rPr>
                <w:bCs/>
                <w:sz w:val="20"/>
                <w:lang w:val="lv-LV"/>
              </w:rPr>
              <w:t>;</w:t>
            </w:r>
            <w:r w:rsidR="00784D05" w:rsidRPr="00707120">
              <w:rPr>
                <w:bCs/>
                <w:sz w:val="20"/>
                <w:lang w:val="lv-LV"/>
              </w:rPr>
              <w:t xml:space="preserve"> </w:t>
            </w:r>
            <w:r>
              <w:rPr>
                <w:bCs/>
                <w:sz w:val="20"/>
                <w:lang w:val="lv-LV"/>
              </w:rPr>
              <w:noBreakHyphen/>
            </w:r>
            <w:r w:rsidR="00784D05" w:rsidRPr="00707120">
              <w:rPr>
                <w:bCs/>
                <w:sz w:val="20"/>
                <w:lang w:val="lv-LV"/>
              </w:rPr>
              <w:t>1,1)</w:t>
            </w:r>
          </w:p>
        </w:tc>
        <w:tc>
          <w:tcPr>
            <w:tcW w:w="1275" w:type="dxa"/>
            <w:tcBorders>
              <w:bottom w:val="single" w:sz="4" w:space="0" w:color="000000"/>
              <w:right w:val="single" w:sz="8" w:space="0" w:color="000000"/>
            </w:tcBorders>
          </w:tcPr>
          <w:p w14:paraId="15E2C95B" w14:textId="1875D05A" w:rsidR="00784D05" w:rsidRPr="00707120" w:rsidRDefault="00B47B7D">
            <w:pPr>
              <w:keepNext/>
              <w:keepLines/>
              <w:spacing w:before="50" w:after="50" w:line="240" w:lineRule="exact"/>
              <w:jc w:val="center"/>
              <w:rPr>
                <w:bCs/>
                <w:sz w:val="20"/>
                <w:lang w:val="lv-LV"/>
              </w:rPr>
            </w:pPr>
            <w:r>
              <w:rPr>
                <w:bCs/>
                <w:sz w:val="20"/>
                <w:lang w:val="lv-LV"/>
              </w:rPr>
              <w:t>˂ </w:t>
            </w:r>
            <w:r w:rsidR="00784D05" w:rsidRPr="00707120">
              <w:rPr>
                <w:bCs/>
                <w:sz w:val="20"/>
                <w:lang w:val="lv-LV"/>
              </w:rPr>
              <w:t>0,0001</w:t>
            </w:r>
          </w:p>
        </w:tc>
      </w:tr>
      <w:tr w:rsidR="00784D05" w14:paraId="1FDF4151" w14:textId="77777777" w:rsidTr="00707120">
        <w:tblPrEx>
          <w:tblCellMar>
            <w:left w:w="57" w:type="dxa"/>
            <w:right w:w="57" w:type="dxa"/>
          </w:tblCellMar>
        </w:tblPrEx>
        <w:trPr>
          <w:cantSplit/>
        </w:trPr>
        <w:tc>
          <w:tcPr>
            <w:tcW w:w="9076" w:type="dxa"/>
            <w:gridSpan w:val="4"/>
            <w:tcBorders>
              <w:left w:val="single" w:sz="4" w:space="0" w:color="000000"/>
              <w:bottom w:val="single" w:sz="4" w:space="0" w:color="000000"/>
              <w:right w:val="single" w:sz="8" w:space="0" w:color="000000"/>
            </w:tcBorders>
          </w:tcPr>
          <w:p w14:paraId="70D46979" w14:textId="391443A3" w:rsidR="00784D05" w:rsidRDefault="00784D05">
            <w:pPr>
              <w:keepNext/>
              <w:keepLines/>
              <w:spacing w:before="40" w:after="40" w:line="240" w:lineRule="exact"/>
              <w:rPr>
                <w:sz w:val="20"/>
                <w:lang w:val="lv-LV"/>
              </w:rPr>
            </w:pPr>
            <w:r>
              <w:rPr>
                <w:b/>
                <w:sz w:val="20"/>
                <w:lang w:val="lv-LV"/>
              </w:rPr>
              <w:t>Sekundārie mērķa kritēriji</w:t>
            </w:r>
            <w:r w:rsidR="00B47B7D">
              <w:rPr>
                <w:b/>
                <w:sz w:val="20"/>
                <w:lang w:val="lv-LV"/>
              </w:rPr>
              <w:t xml:space="preserve"> – to </w:t>
            </w:r>
            <w:r>
              <w:rPr>
                <w:b/>
                <w:sz w:val="20"/>
                <w:lang w:val="lv-LV"/>
              </w:rPr>
              <w:t>pacientu procentuālais daudzums 24.</w:t>
            </w:r>
            <w:r w:rsidR="00B47B7D">
              <w:rPr>
                <w:b/>
                <w:sz w:val="20"/>
                <w:lang w:val="lv-LV"/>
              </w:rPr>
              <w:t> </w:t>
            </w:r>
            <w:r>
              <w:rPr>
                <w:b/>
                <w:sz w:val="20"/>
                <w:lang w:val="lv-LV"/>
              </w:rPr>
              <w:t>nedēļā, kuriem bija atbildes reakcija</w:t>
            </w:r>
            <w:r>
              <w:rPr>
                <w:b/>
                <w:sz w:val="20"/>
                <w:vertAlign w:val="superscript"/>
                <w:lang w:val="lv-LV"/>
              </w:rPr>
              <w:t>(b)</w:t>
            </w:r>
          </w:p>
        </w:tc>
      </w:tr>
      <w:tr w:rsidR="00784D05" w14:paraId="15AC4680" w14:textId="77777777" w:rsidTr="00707120">
        <w:trPr>
          <w:cantSplit/>
        </w:trPr>
        <w:tc>
          <w:tcPr>
            <w:tcW w:w="3690" w:type="dxa"/>
            <w:tcBorders>
              <w:top w:val="single" w:sz="4" w:space="0" w:color="000000"/>
              <w:left w:val="single" w:sz="4" w:space="0" w:color="000000"/>
            </w:tcBorders>
          </w:tcPr>
          <w:p w14:paraId="52D98BBA" w14:textId="59738746" w:rsidR="00784D05" w:rsidRDefault="00784D05">
            <w:pPr>
              <w:keepNext/>
              <w:keepLines/>
              <w:spacing w:before="40" w:after="40" w:line="240" w:lineRule="exact"/>
              <w:jc w:val="right"/>
              <w:rPr>
                <w:sz w:val="20"/>
                <w:lang w:val="lv-LV"/>
              </w:rPr>
            </w:pPr>
            <w:r>
              <w:rPr>
                <w:sz w:val="20"/>
                <w:lang w:val="lv-LV"/>
              </w:rPr>
              <w:t xml:space="preserve">DAS28 </w:t>
            </w:r>
            <w:r w:rsidR="00B47B7D">
              <w:rPr>
                <w:sz w:val="20"/>
                <w:lang w:val="lv-LV"/>
              </w:rPr>
              <w:t>˂</w:t>
            </w:r>
            <w:r>
              <w:rPr>
                <w:sz w:val="20"/>
                <w:lang w:val="lv-LV"/>
              </w:rPr>
              <w:t> 2,6, n (%)</w:t>
            </w:r>
          </w:p>
        </w:tc>
        <w:tc>
          <w:tcPr>
            <w:tcW w:w="1984" w:type="dxa"/>
            <w:tcBorders>
              <w:top w:val="single" w:sz="4" w:space="0" w:color="000000"/>
            </w:tcBorders>
          </w:tcPr>
          <w:p w14:paraId="7ED24D76" w14:textId="77777777" w:rsidR="00784D05" w:rsidRDefault="00784D05">
            <w:pPr>
              <w:keepNext/>
              <w:keepLines/>
              <w:spacing w:before="50" w:after="50" w:line="240" w:lineRule="exact"/>
              <w:jc w:val="center"/>
              <w:rPr>
                <w:sz w:val="20"/>
                <w:lang w:val="lv-LV"/>
              </w:rPr>
            </w:pPr>
            <w:r>
              <w:rPr>
                <w:sz w:val="20"/>
                <w:lang w:val="lv-LV"/>
              </w:rPr>
              <w:t>17 (10,5)</w:t>
            </w:r>
          </w:p>
        </w:tc>
        <w:tc>
          <w:tcPr>
            <w:tcW w:w="2127" w:type="dxa"/>
            <w:tcBorders>
              <w:top w:val="single" w:sz="4" w:space="0" w:color="000000"/>
            </w:tcBorders>
          </w:tcPr>
          <w:p w14:paraId="64F2A179" w14:textId="77777777" w:rsidR="00784D05" w:rsidRDefault="00784D05">
            <w:pPr>
              <w:keepNext/>
              <w:keepLines/>
              <w:spacing w:before="50" w:after="50" w:line="240" w:lineRule="exact"/>
              <w:jc w:val="center"/>
              <w:rPr>
                <w:sz w:val="20"/>
                <w:lang w:val="lv-LV"/>
              </w:rPr>
            </w:pPr>
            <w:r>
              <w:rPr>
                <w:sz w:val="20"/>
                <w:lang w:val="lv-LV"/>
              </w:rPr>
              <w:t>65 (39,9)</w:t>
            </w:r>
          </w:p>
        </w:tc>
        <w:tc>
          <w:tcPr>
            <w:tcW w:w="1275" w:type="dxa"/>
            <w:tcBorders>
              <w:top w:val="single" w:sz="4" w:space="0" w:color="000000"/>
              <w:right w:val="single" w:sz="8" w:space="0" w:color="000000"/>
            </w:tcBorders>
          </w:tcPr>
          <w:p w14:paraId="4B2997AB" w14:textId="40197813" w:rsidR="00784D05" w:rsidRDefault="00B47B7D">
            <w:pPr>
              <w:keepNext/>
              <w:keepLines/>
              <w:spacing w:before="50" w:after="50" w:line="240" w:lineRule="exact"/>
              <w:jc w:val="center"/>
              <w:rPr>
                <w:sz w:val="20"/>
                <w:lang w:val="lv-LV"/>
              </w:rPr>
            </w:pPr>
            <w:r>
              <w:rPr>
                <w:sz w:val="20"/>
                <w:lang w:val="lv-LV"/>
              </w:rPr>
              <w:t>˂ </w:t>
            </w:r>
            <w:r w:rsidR="00784D05">
              <w:rPr>
                <w:sz w:val="20"/>
                <w:lang w:val="lv-LV"/>
              </w:rPr>
              <w:t>0,0001</w:t>
            </w:r>
          </w:p>
        </w:tc>
      </w:tr>
      <w:tr w:rsidR="00784D05" w14:paraId="1C66D3F5" w14:textId="77777777" w:rsidTr="00707120">
        <w:trPr>
          <w:cantSplit/>
        </w:trPr>
        <w:tc>
          <w:tcPr>
            <w:tcW w:w="3690" w:type="dxa"/>
            <w:tcBorders>
              <w:left w:val="single" w:sz="4" w:space="0" w:color="000000"/>
            </w:tcBorders>
          </w:tcPr>
          <w:p w14:paraId="0D196C01" w14:textId="2C203D1B" w:rsidR="00784D05" w:rsidRDefault="00784D05">
            <w:pPr>
              <w:keepNext/>
              <w:keepLines/>
              <w:spacing w:before="40" w:after="40" w:line="240" w:lineRule="exact"/>
              <w:jc w:val="right"/>
              <w:rPr>
                <w:sz w:val="20"/>
                <w:lang w:val="lv-LV"/>
              </w:rPr>
            </w:pPr>
            <w:r>
              <w:rPr>
                <w:sz w:val="20"/>
                <w:lang w:val="lv-LV"/>
              </w:rPr>
              <w:t xml:space="preserve">DAS28 </w:t>
            </w:r>
            <w:r w:rsidR="00B47B7D">
              <w:rPr>
                <w:sz w:val="20"/>
                <w:lang w:val="lv-LV"/>
              </w:rPr>
              <w:t>≤</w:t>
            </w:r>
            <w:r>
              <w:rPr>
                <w:sz w:val="20"/>
                <w:lang w:val="lv-LV"/>
              </w:rPr>
              <w:t xml:space="preserve"> 3,2, n (%) </w:t>
            </w:r>
          </w:p>
        </w:tc>
        <w:tc>
          <w:tcPr>
            <w:tcW w:w="1984" w:type="dxa"/>
          </w:tcPr>
          <w:p w14:paraId="23510B20" w14:textId="77777777" w:rsidR="00784D05" w:rsidRDefault="00784D05">
            <w:pPr>
              <w:keepNext/>
              <w:keepLines/>
              <w:spacing w:before="50" w:after="50" w:line="240" w:lineRule="exact"/>
              <w:jc w:val="center"/>
              <w:rPr>
                <w:sz w:val="20"/>
                <w:lang w:val="lv-LV"/>
              </w:rPr>
            </w:pPr>
            <w:r>
              <w:rPr>
                <w:sz w:val="20"/>
                <w:lang w:val="lv-LV"/>
              </w:rPr>
              <w:t xml:space="preserve">32 (19,8) </w:t>
            </w:r>
          </w:p>
        </w:tc>
        <w:tc>
          <w:tcPr>
            <w:tcW w:w="2127" w:type="dxa"/>
          </w:tcPr>
          <w:p w14:paraId="77249D45" w14:textId="77777777" w:rsidR="00784D05" w:rsidRDefault="00784D05">
            <w:pPr>
              <w:keepNext/>
              <w:keepLines/>
              <w:spacing w:before="50" w:after="50" w:line="240" w:lineRule="exact"/>
              <w:jc w:val="center"/>
              <w:rPr>
                <w:sz w:val="20"/>
                <w:lang w:val="lv-LV"/>
              </w:rPr>
            </w:pPr>
            <w:r>
              <w:rPr>
                <w:sz w:val="20"/>
                <w:lang w:val="lv-LV"/>
              </w:rPr>
              <w:t>84 (51,5)</w:t>
            </w:r>
          </w:p>
        </w:tc>
        <w:tc>
          <w:tcPr>
            <w:tcW w:w="1275" w:type="dxa"/>
            <w:tcBorders>
              <w:right w:val="single" w:sz="8" w:space="0" w:color="000000"/>
            </w:tcBorders>
          </w:tcPr>
          <w:p w14:paraId="52B24751" w14:textId="6BD5043B" w:rsidR="00784D05" w:rsidRDefault="00B47B7D">
            <w:pPr>
              <w:keepNext/>
              <w:keepLines/>
              <w:spacing w:before="50" w:after="50" w:line="240" w:lineRule="exact"/>
              <w:jc w:val="center"/>
              <w:rPr>
                <w:sz w:val="20"/>
                <w:lang w:val="lv-LV"/>
              </w:rPr>
            </w:pPr>
            <w:r>
              <w:rPr>
                <w:sz w:val="20"/>
                <w:lang w:val="lv-LV"/>
              </w:rPr>
              <w:t>˂ </w:t>
            </w:r>
            <w:r w:rsidR="00784D05">
              <w:rPr>
                <w:sz w:val="20"/>
                <w:lang w:val="lv-LV"/>
              </w:rPr>
              <w:t>0,0001</w:t>
            </w:r>
          </w:p>
        </w:tc>
      </w:tr>
      <w:tr w:rsidR="00784D05" w14:paraId="241E1171" w14:textId="77777777" w:rsidTr="00707120">
        <w:trPr>
          <w:cantSplit/>
        </w:trPr>
        <w:tc>
          <w:tcPr>
            <w:tcW w:w="3690" w:type="dxa"/>
            <w:tcBorders>
              <w:left w:val="single" w:sz="4" w:space="0" w:color="000000"/>
            </w:tcBorders>
          </w:tcPr>
          <w:p w14:paraId="2FDE1634" w14:textId="5144E96A" w:rsidR="00784D05" w:rsidRDefault="00784D05">
            <w:pPr>
              <w:keepNext/>
              <w:keepLines/>
              <w:spacing w:before="40" w:after="40" w:line="240" w:lineRule="exact"/>
              <w:jc w:val="right"/>
              <w:rPr>
                <w:sz w:val="20"/>
                <w:lang w:val="lv-LV"/>
              </w:rPr>
            </w:pPr>
            <w:r>
              <w:rPr>
                <w:sz w:val="20"/>
                <w:lang w:val="lv-LV"/>
              </w:rPr>
              <w:t>ACR</w:t>
            </w:r>
            <w:r w:rsidR="00B47B7D">
              <w:rPr>
                <w:sz w:val="20"/>
                <w:lang w:val="lv-LV"/>
              </w:rPr>
              <w:t> </w:t>
            </w:r>
            <w:r>
              <w:rPr>
                <w:sz w:val="20"/>
                <w:lang w:val="lv-LV"/>
              </w:rPr>
              <w:t>20 atbildes reakcija, n (%)</w:t>
            </w:r>
          </w:p>
        </w:tc>
        <w:tc>
          <w:tcPr>
            <w:tcW w:w="1984" w:type="dxa"/>
          </w:tcPr>
          <w:p w14:paraId="76068534" w14:textId="77777777" w:rsidR="00784D05" w:rsidRDefault="00784D05">
            <w:pPr>
              <w:keepNext/>
              <w:keepLines/>
              <w:spacing w:before="50" w:after="50" w:line="240" w:lineRule="exact"/>
              <w:jc w:val="center"/>
              <w:rPr>
                <w:sz w:val="20"/>
                <w:lang w:val="lv-LV"/>
              </w:rPr>
            </w:pPr>
            <w:r>
              <w:rPr>
                <w:sz w:val="20"/>
                <w:lang w:val="lv-LV"/>
              </w:rPr>
              <w:t>80 (49,4)</w:t>
            </w:r>
          </w:p>
        </w:tc>
        <w:tc>
          <w:tcPr>
            <w:tcW w:w="2127" w:type="dxa"/>
          </w:tcPr>
          <w:p w14:paraId="7331248F" w14:textId="77777777" w:rsidR="00784D05" w:rsidRDefault="00784D05">
            <w:pPr>
              <w:keepNext/>
              <w:keepLines/>
              <w:spacing w:before="50" w:after="50" w:line="240" w:lineRule="exact"/>
              <w:jc w:val="center"/>
              <w:rPr>
                <w:sz w:val="20"/>
                <w:lang w:val="lv-LV"/>
              </w:rPr>
            </w:pPr>
            <w:r>
              <w:rPr>
                <w:sz w:val="20"/>
                <w:lang w:val="lv-LV"/>
              </w:rPr>
              <w:t>106 (65,0)</w:t>
            </w:r>
          </w:p>
        </w:tc>
        <w:tc>
          <w:tcPr>
            <w:tcW w:w="1275" w:type="dxa"/>
            <w:tcBorders>
              <w:right w:val="single" w:sz="8" w:space="0" w:color="000000"/>
            </w:tcBorders>
          </w:tcPr>
          <w:p w14:paraId="3F5467C7" w14:textId="77777777" w:rsidR="00784D05" w:rsidRDefault="00784D05">
            <w:pPr>
              <w:keepNext/>
              <w:keepLines/>
              <w:spacing w:before="50" w:after="50" w:line="240" w:lineRule="exact"/>
              <w:jc w:val="center"/>
              <w:rPr>
                <w:sz w:val="20"/>
                <w:lang w:val="lv-LV"/>
              </w:rPr>
            </w:pPr>
            <w:r>
              <w:rPr>
                <w:sz w:val="20"/>
                <w:lang w:val="lv-LV"/>
              </w:rPr>
              <w:t>0,0038</w:t>
            </w:r>
          </w:p>
        </w:tc>
      </w:tr>
      <w:tr w:rsidR="00784D05" w14:paraId="42F47A98" w14:textId="77777777" w:rsidTr="00707120">
        <w:trPr>
          <w:cantSplit/>
        </w:trPr>
        <w:tc>
          <w:tcPr>
            <w:tcW w:w="3690" w:type="dxa"/>
            <w:tcBorders>
              <w:left w:val="single" w:sz="4" w:space="0" w:color="000000"/>
            </w:tcBorders>
          </w:tcPr>
          <w:p w14:paraId="308FCEDA" w14:textId="1A94753F" w:rsidR="00784D05" w:rsidRDefault="00784D05">
            <w:pPr>
              <w:keepNext/>
              <w:keepLines/>
              <w:spacing w:before="40" w:after="40" w:line="240" w:lineRule="exact"/>
              <w:jc w:val="right"/>
              <w:rPr>
                <w:sz w:val="20"/>
                <w:lang w:val="lv-LV"/>
              </w:rPr>
            </w:pPr>
            <w:r>
              <w:rPr>
                <w:sz w:val="20"/>
                <w:lang w:val="lv-LV"/>
              </w:rPr>
              <w:t>ACR</w:t>
            </w:r>
            <w:r w:rsidR="00B47B7D">
              <w:rPr>
                <w:sz w:val="20"/>
                <w:lang w:val="lv-LV"/>
              </w:rPr>
              <w:t> </w:t>
            </w:r>
            <w:r>
              <w:rPr>
                <w:sz w:val="20"/>
                <w:lang w:val="lv-LV"/>
              </w:rPr>
              <w:t>50 atbildes reakcija, n (%)</w:t>
            </w:r>
          </w:p>
        </w:tc>
        <w:tc>
          <w:tcPr>
            <w:tcW w:w="1984" w:type="dxa"/>
          </w:tcPr>
          <w:p w14:paraId="17FF60E2" w14:textId="77777777" w:rsidR="00784D05" w:rsidRDefault="00784D05">
            <w:pPr>
              <w:keepNext/>
              <w:keepLines/>
              <w:spacing w:before="50" w:after="50" w:line="240" w:lineRule="exact"/>
              <w:jc w:val="center"/>
              <w:rPr>
                <w:sz w:val="20"/>
                <w:lang w:val="lv-LV"/>
              </w:rPr>
            </w:pPr>
            <w:r>
              <w:rPr>
                <w:sz w:val="20"/>
                <w:lang w:val="lv-LV"/>
              </w:rPr>
              <w:t>45 (27,8)</w:t>
            </w:r>
          </w:p>
        </w:tc>
        <w:tc>
          <w:tcPr>
            <w:tcW w:w="2127" w:type="dxa"/>
          </w:tcPr>
          <w:p w14:paraId="3B346FDB" w14:textId="77777777" w:rsidR="00784D05" w:rsidRDefault="00784D05">
            <w:pPr>
              <w:keepNext/>
              <w:keepLines/>
              <w:spacing w:before="50" w:after="50" w:line="240" w:lineRule="exact"/>
              <w:jc w:val="center"/>
              <w:rPr>
                <w:sz w:val="20"/>
                <w:lang w:val="lv-LV"/>
              </w:rPr>
            </w:pPr>
            <w:r>
              <w:rPr>
                <w:sz w:val="20"/>
                <w:lang w:val="lv-LV"/>
              </w:rPr>
              <w:t>77 (47,2)</w:t>
            </w:r>
          </w:p>
        </w:tc>
        <w:tc>
          <w:tcPr>
            <w:tcW w:w="1275" w:type="dxa"/>
            <w:tcBorders>
              <w:right w:val="single" w:sz="8" w:space="0" w:color="000000"/>
            </w:tcBorders>
          </w:tcPr>
          <w:p w14:paraId="65B3EF69" w14:textId="77777777" w:rsidR="00784D05" w:rsidRDefault="00784D05">
            <w:pPr>
              <w:keepNext/>
              <w:keepLines/>
              <w:spacing w:before="50" w:after="50" w:line="240" w:lineRule="exact"/>
              <w:jc w:val="center"/>
              <w:rPr>
                <w:sz w:val="20"/>
                <w:lang w:val="lv-LV"/>
              </w:rPr>
            </w:pPr>
            <w:r>
              <w:rPr>
                <w:sz w:val="20"/>
                <w:lang w:val="lv-LV"/>
              </w:rPr>
              <w:t>0,0002</w:t>
            </w:r>
          </w:p>
        </w:tc>
      </w:tr>
      <w:tr w:rsidR="00784D05" w14:paraId="23E1A178" w14:textId="77777777" w:rsidTr="00707120">
        <w:trPr>
          <w:cantSplit/>
        </w:trPr>
        <w:tc>
          <w:tcPr>
            <w:tcW w:w="3690" w:type="dxa"/>
            <w:tcBorders>
              <w:left w:val="single" w:sz="4" w:space="0" w:color="000000"/>
              <w:bottom w:val="single" w:sz="4" w:space="0" w:color="000000"/>
            </w:tcBorders>
          </w:tcPr>
          <w:p w14:paraId="380FDED4" w14:textId="04236F26" w:rsidR="00784D05" w:rsidRDefault="00784D05">
            <w:pPr>
              <w:keepNext/>
              <w:keepLines/>
              <w:spacing w:before="40" w:after="40" w:line="240" w:lineRule="exact"/>
              <w:jc w:val="right"/>
              <w:rPr>
                <w:sz w:val="20"/>
                <w:lang w:val="lv-LV"/>
              </w:rPr>
            </w:pPr>
            <w:r>
              <w:rPr>
                <w:sz w:val="20"/>
                <w:lang w:val="lv-LV"/>
              </w:rPr>
              <w:t>ACR</w:t>
            </w:r>
            <w:r w:rsidR="00B47B7D">
              <w:rPr>
                <w:sz w:val="20"/>
                <w:lang w:val="lv-LV"/>
              </w:rPr>
              <w:t> </w:t>
            </w:r>
            <w:r>
              <w:rPr>
                <w:sz w:val="20"/>
                <w:lang w:val="lv-LV"/>
              </w:rPr>
              <w:t>70 atbildes reakcija, n (%)</w:t>
            </w:r>
          </w:p>
        </w:tc>
        <w:tc>
          <w:tcPr>
            <w:tcW w:w="1984" w:type="dxa"/>
            <w:tcBorders>
              <w:bottom w:val="single" w:sz="4" w:space="0" w:color="000000"/>
            </w:tcBorders>
          </w:tcPr>
          <w:p w14:paraId="53E43B0A" w14:textId="77777777" w:rsidR="00784D05" w:rsidRDefault="00784D05">
            <w:pPr>
              <w:keepNext/>
              <w:keepLines/>
              <w:spacing w:before="50" w:after="50" w:line="240" w:lineRule="exact"/>
              <w:jc w:val="center"/>
              <w:rPr>
                <w:sz w:val="20"/>
                <w:lang w:val="lv-LV"/>
              </w:rPr>
            </w:pPr>
            <w:r>
              <w:rPr>
                <w:sz w:val="20"/>
                <w:lang w:val="lv-LV"/>
              </w:rPr>
              <w:t>29 (17,9)</w:t>
            </w:r>
          </w:p>
        </w:tc>
        <w:tc>
          <w:tcPr>
            <w:tcW w:w="2127" w:type="dxa"/>
            <w:tcBorders>
              <w:bottom w:val="single" w:sz="4" w:space="0" w:color="000000"/>
            </w:tcBorders>
          </w:tcPr>
          <w:p w14:paraId="75B9C82B" w14:textId="77777777" w:rsidR="00784D05" w:rsidRDefault="00784D05">
            <w:pPr>
              <w:keepNext/>
              <w:keepLines/>
              <w:spacing w:before="50" w:after="50" w:line="240" w:lineRule="exact"/>
              <w:jc w:val="center"/>
              <w:rPr>
                <w:sz w:val="20"/>
                <w:lang w:val="lv-LV"/>
              </w:rPr>
            </w:pPr>
            <w:r>
              <w:rPr>
                <w:sz w:val="20"/>
                <w:lang w:val="lv-LV"/>
              </w:rPr>
              <w:t>53 (32,5)</w:t>
            </w:r>
          </w:p>
        </w:tc>
        <w:tc>
          <w:tcPr>
            <w:tcW w:w="1275" w:type="dxa"/>
            <w:tcBorders>
              <w:bottom w:val="single" w:sz="4" w:space="0" w:color="000000"/>
              <w:right w:val="single" w:sz="8" w:space="0" w:color="000000"/>
            </w:tcBorders>
          </w:tcPr>
          <w:p w14:paraId="73411C25" w14:textId="77777777" w:rsidR="00784D05" w:rsidRDefault="00784D05">
            <w:pPr>
              <w:keepNext/>
              <w:keepLines/>
              <w:spacing w:before="50" w:after="50" w:line="240" w:lineRule="exact"/>
              <w:jc w:val="center"/>
              <w:rPr>
                <w:i/>
                <w:sz w:val="18"/>
                <w:vertAlign w:val="superscript"/>
                <w:lang w:val="lv-LV"/>
              </w:rPr>
            </w:pPr>
            <w:r>
              <w:rPr>
                <w:sz w:val="20"/>
                <w:lang w:val="lv-LV"/>
              </w:rPr>
              <w:t>0,0023</w:t>
            </w:r>
          </w:p>
        </w:tc>
      </w:tr>
    </w:tbl>
    <w:p w14:paraId="21FC2CF9" w14:textId="178C1C7C" w:rsidR="00784D05" w:rsidRDefault="00784D05">
      <w:pPr>
        <w:keepNext/>
        <w:keepLines/>
        <w:rPr>
          <w:iCs/>
          <w:sz w:val="18"/>
          <w:lang w:val="lv-LV"/>
        </w:rPr>
      </w:pPr>
      <w:r w:rsidRPr="00707120">
        <w:rPr>
          <w:iCs/>
          <w:sz w:val="18"/>
          <w:vertAlign w:val="superscript"/>
          <w:lang w:val="lv-LV"/>
        </w:rPr>
        <w:t>a</w:t>
      </w:r>
      <w:r w:rsidR="00B47B7D" w:rsidRPr="00707120">
        <w:rPr>
          <w:iCs/>
          <w:sz w:val="18"/>
          <w:vertAlign w:val="subscript"/>
          <w:lang w:val="lv-LV"/>
        </w:rPr>
        <w:t xml:space="preserve"> </w:t>
      </w:r>
      <w:r w:rsidRPr="00707120">
        <w:rPr>
          <w:iCs/>
          <w:sz w:val="18"/>
          <w:lang w:val="lv-LV"/>
        </w:rPr>
        <w:t>p vērtība visiem mērķa kritērijiem ir koriģēta pēc RA</w:t>
      </w:r>
      <w:r w:rsidRPr="009F510D">
        <w:rPr>
          <w:i/>
          <w:sz w:val="18"/>
          <w:lang w:val="lv-LV"/>
        </w:rPr>
        <w:t xml:space="preserve"> </w:t>
      </w:r>
      <w:r w:rsidRPr="00707120">
        <w:rPr>
          <w:iCs/>
          <w:sz w:val="18"/>
          <w:lang w:val="lv-LV"/>
        </w:rPr>
        <w:t>reģiona un RA ilguma un visiem pastāvīgajiem kritērijiem</w:t>
      </w:r>
      <w:r w:rsidR="00B47B7D">
        <w:rPr>
          <w:iCs/>
          <w:sz w:val="18"/>
          <w:lang w:val="lv-LV"/>
        </w:rPr>
        <w:t xml:space="preserve"> </w:t>
      </w:r>
      <w:r w:rsidR="00B47B7D">
        <w:rPr>
          <w:iCs/>
          <w:sz w:val="18"/>
          <w:lang w:val="lv-LV"/>
        </w:rPr>
        <w:noBreakHyphen/>
        <w:t xml:space="preserve"> </w:t>
      </w:r>
      <w:r w:rsidRPr="00707120">
        <w:rPr>
          <w:iCs/>
          <w:sz w:val="18"/>
          <w:lang w:val="lv-LV"/>
        </w:rPr>
        <w:t>papildus pēc sākotnējās vērtības.</w:t>
      </w:r>
      <w:r w:rsidRPr="00707120">
        <w:rPr>
          <w:iCs/>
          <w:sz w:val="18"/>
          <w:lang w:val="lv-LV"/>
        </w:rPr>
        <w:br/>
      </w:r>
      <w:r w:rsidRPr="00707120">
        <w:rPr>
          <w:iCs/>
          <w:sz w:val="18"/>
          <w:vertAlign w:val="superscript"/>
          <w:lang w:val="lv-LV"/>
        </w:rPr>
        <w:t>b</w:t>
      </w:r>
      <w:r w:rsidRPr="00707120">
        <w:rPr>
          <w:iCs/>
          <w:sz w:val="18"/>
          <w:lang w:val="lv-LV"/>
        </w:rPr>
        <w:t xml:space="preserve"> Datu trūkuma gadījumā tika pieņemts, ka atbildes reakcijas nav. Daudzveidība kontrolēta, izmantojot </w:t>
      </w:r>
      <w:r w:rsidRPr="00707120">
        <w:rPr>
          <w:i/>
          <w:sz w:val="18"/>
          <w:lang w:val="lv-LV"/>
        </w:rPr>
        <w:t>Bonferroni-Holm</w:t>
      </w:r>
      <w:r w:rsidRPr="00707120">
        <w:rPr>
          <w:iCs/>
          <w:sz w:val="18"/>
          <w:lang w:val="lv-LV"/>
        </w:rPr>
        <w:t xml:space="preserve"> procedūru.</w:t>
      </w:r>
    </w:p>
    <w:p w14:paraId="67D4EC7A" w14:textId="6BC682A7" w:rsidR="00B47B7D" w:rsidRDefault="00B47B7D">
      <w:pPr>
        <w:keepNext/>
        <w:keepLines/>
        <w:rPr>
          <w:iCs/>
          <w:sz w:val="18"/>
          <w:lang w:val="lv-LV"/>
        </w:rPr>
      </w:pPr>
      <w:bookmarkStart w:id="275" w:name="_Hlk174527725"/>
      <w:r>
        <w:rPr>
          <w:iCs/>
          <w:sz w:val="18"/>
          <w:lang w:val="lv-LV"/>
        </w:rPr>
        <w:t>i.v. = intravenozi.</w:t>
      </w:r>
    </w:p>
    <w:p w14:paraId="29AEF91D" w14:textId="16549A2B" w:rsidR="00B47B7D" w:rsidRDefault="00B47B7D">
      <w:pPr>
        <w:keepNext/>
        <w:keepLines/>
        <w:rPr>
          <w:iCs/>
          <w:sz w:val="18"/>
          <w:lang w:val="lv-LV"/>
        </w:rPr>
      </w:pPr>
      <w:r>
        <w:rPr>
          <w:iCs/>
          <w:sz w:val="18"/>
          <w:lang w:val="lv-LV"/>
        </w:rPr>
        <w:t>s.c. = subkutāni.</w:t>
      </w:r>
    </w:p>
    <w:p w14:paraId="174C60F3" w14:textId="72AE0BE0" w:rsidR="00B47B7D" w:rsidRDefault="00B47B7D">
      <w:pPr>
        <w:keepNext/>
        <w:keepLines/>
        <w:rPr>
          <w:iCs/>
          <w:sz w:val="18"/>
          <w:lang w:val="lv-LV"/>
        </w:rPr>
      </w:pPr>
      <w:r>
        <w:rPr>
          <w:iCs/>
          <w:sz w:val="18"/>
          <w:lang w:val="lv-LV"/>
        </w:rPr>
        <w:t xml:space="preserve">TCZ = tocilizumabs. </w:t>
      </w:r>
    </w:p>
    <w:p w14:paraId="1D39332F" w14:textId="449219E9" w:rsidR="00B47B7D" w:rsidRPr="00B47B7D" w:rsidRDefault="00B47B7D">
      <w:pPr>
        <w:keepNext/>
        <w:keepLines/>
        <w:rPr>
          <w:iCs/>
          <w:lang w:val="lv-LV"/>
        </w:rPr>
      </w:pPr>
      <w:r>
        <w:rPr>
          <w:iCs/>
          <w:sz w:val="18"/>
          <w:lang w:val="lv-LV"/>
        </w:rPr>
        <w:t>ADA = adalimumabs.</w:t>
      </w:r>
    </w:p>
    <w:bookmarkEnd w:id="275"/>
    <w:p w14:paraId="6255FEA8" w14:textId="77777777" w:rsidR="00784D05" w:rsidRDefault="00784D05">
      <w:pPr>
        <w:ind w:right="-2"/>
        <w:rPr>
          <w:lang w:val="lv-LV"/>
        </w:rPr>
      </w:pPr>
    </w:p>
    <w:p w14:paraId="5FB99FD2" w14:textId="42F52BA0" w:rsidR="00784D05" w:rsidRDefault="00784D05">
      <w:pPr>
        <w:ind w:right="-2"/>
        <w:rPr>
          <w:lang w:val="lv-LV"/>
        </w:rPr>
      </w:pPr>
      <w:r>
        <w:rPr>
          <w:lang w:val="lv-LV"/>
        </w:rPr>
        <w:t>Kopējais klīnisko blakusparādību profils tocilizumabam un adalimumabam bija līdzīgs. Abās ārstēšanas grupās bija līdzīgs tādu pacientu īpatsvars, kuriem radās nopietnas blakusparādības (tocilizumabs</w:t>
      </w:r>
      <w:r w:rsidR="00B47B7D">
        <w:rPr>
          <w:lang w:val="lv-LV"/>
        </w:rPr>
        <w:t xml:space="preserve"> </w:t>
      </w:r>
      <w:r>
        <w:rPr>
          <w:lang w:val="lv-LV"/>
        </w:rPr>
        <w:t>11,7%, adalimumabs9,9%). Tocilizumaba grupā blakusparādību veidi atbilda zināmām tocilizumaba drošības īpašībām, un tika ziņots, ka blakusparādību biežums bija līdzīgs 1.</w:t>
      </w:r>
      <w:r w:rsidR="00B47B7D">
        <w:rPr>
          <w:lang w:val="lv-LV"/>
        </w:rPr>
        <w:t> </w:t>
      </w:r>
      <w:r>
        <w:rPr>
          <w:lang w:val="lv-LV"/>
        </w:rPr>
        <w:t>tabulā minētam biežumam. Tocilizumaba grupā bija lielāka infekciju un infestāciju sastopamība (48%, salīdzinot ar 42%), bet neatšķīrās nopietnu infekciju sastopamība (3,1%). Abas pētījuma terapijas ietvēra līdzīgas laboratorisko drošuma rādītāju izmaiņas (neitrofilo leikocītu un trombocītu skaita samazināšanās, ALAT, ASAT un lipīdu līmeņa paaugstināšanās), lai gan tocilizumabs salīdzinājumā ar adalimumabu bija saistīts ar lielāku izmaiņu nozīmīgumu un izteikt</w:t>
      </w:r>
      <w:r w:rsidR="00B47B7D">
        <w:rPr>
          <w:lang w:val="lv-LV"/>
        </w:rPr>
        <w:t>āku</w:t>
      </w:r>
      <w:r>
        <w:rPr>
          <w:lang w:val="lv-LV"/>
        </w:rPr>
        <w:t xml:space="preserve"> patoloģiju biežumu. Četriem pacientiem tocilizumaba grupā (2,5%) un diviem pacientiem adalimumaba grupā (1,2%) radās 3.</w:t>
      </w:r>
      <w:r w:rsidR="00B47B7D">
        <w:rPr>
          <w:lang w:val="lv-LV"/>
        </w:rPr>
        <w:t> </w:t>
      </w:r>
      <w:r>
        <w:rPr>
          <w:lang w:val="lv-LV"/>
        </w:rPr>
        <w:t>vai 4.</w:t>
      </w:r>
      <w:r w:rsidR="00B47B7D">
        <w:rPr>
          <w:lang w:val="lv-LV"/>
        </w:rPr>
        <w:t> </w:t>
      </w:r>
      <w:r>
        <w:rPr>
          <w:lang w:val="lv-LV"/>
        </w:rPr>
        <w:t>pakāpei pēc CTC klasifikācijas atbilstoša neitrofilo leikocītu skaita samazināšanās. Vienpadsmit pacientiem tocilizumaba grupā (6,8%) un pieciem pacientiem adalimumaba grupā (3,1%) radās ALAT līmeņa paaugstināšanās, kas atbilda 2.</w:t>
      </w:r>
      <w:r w:rsidR="00B47B7D">
        <w:rPr>
          <w:lang w:val="lv-LV"/>
        </w:rPr>
        <w:t> </w:t>
      </w:r>
      <w:r>
        <w:rPr>
          <w:lang w:val="lv-LV"/>
        </w:rPr>
        <w:t>vai augstākai pakāpei pēc CTC klasifikācijas.</w:t>
      </w:r>
      <w:r w:rsidR="00B47B7D">
        <w:rPr>
          <w:lang w:val="lv-LV"/>
        </w:rPr>
        <w:t xml:space="preserve"> </w:t>
      </w:r>
      <w:r>
        <w:rPr>
          <w:lang w:val="lv-LV"/>
        </w:rPr>
        <w:t>ZDL līmeņa vidējā paaugstināšanās salīdzinājumā ar sākotnējo vērtību bija 0,64 mmol/l (25 mg/dl) tocilizumaba grupas pacientiem un 0,19 mmol/l (7 mg/dl) adalimumaba grupas pacientiem.</w:t>
      </w:r>
      <w:r w:rsidR="00B47B7D">
        <w:rPr>
          <w:lang w:val="lv-LV"/>
        </w:rPr>
        <w:t xml:space="preserve"> </w:t>
      </w:r>
      <w:r>
        <w:rPr>
          <w:lang w:val="lv-LV"/>
        </w:rPr>
        <w:t xml:space="preserve">Tocilizumaba grupā novērotais drošums atbilda zināmajam tocilizumaba drošuma profilam, un jaunas vai neparedzētas nevēlamās blakusparādības netika novērotas (skatīt 1. tabulu). </w:t>
      </w:r>
    </w:p>
    <w:p w14:paraId="6F351C8B" w14:textId="77777777" w:rsidR="00784D05" w:rsidRPr="00707120" w:rsidRDefault="00784D05">
      <w:pPr>
        <w:ind w:right="-2"/>
        <w:rPr>
          <w:bCs/>
          <w:iCs/>
          <w:lang w:val="lv-LV"/>
        </w:rPr>
      </w:pPr>
    </w:p>
    <w:p w14:paraId="6394F7DB" w14:textId="48346173" w:rsidR="00784D05" w:rsidRPr="002007A3" w:rsidRDefault="00784D05">
      <w:pPr>
        <w:keepNext/>
        <w:rPr>
          <w:bCs/>
          <w:i/>
          <w:lang w:val="lv-LV"/>
          <w:rPrChange w:id="276" w:author="Author">
            <w:rPr>
              <w:bCs/>
              <w:iCs/>
              <w:lang w:val="lv-LV"/>
            </w:rPr>
          </w:rPrChange>
        </w:rPr>
        <w:pPrChange w:id="277" w:author="Author">
          <w:pPr>
            <w:ind w:right="-2"/>
          </w:pPr>
        </w:pPrChange>
      </w:pPr>
      <w:r w:rsidRPr="002007A3">
        <w:rPr>
          <w:bCs/>
          <w:i/>
          <w:lang w:val="lv-LV"/>
          <w:rPrChange w:id="278" w:author="Author">
            <w:rPr>
              <w:bCs/>
              <w:iCs/>
              <w:lang w:val="lv-LV"/>
            </w:rPr>
          </w:rPrChange>
        </w:rPr>
        <w:t>MTX iepriekš nelietojuši pacienti ar agrīnu RA</w:t>
      </w:r>
    </w:p>
    <w:p w14:paraId="64F57408" w14:textId="0F22021D" w:rsidR="00784D05" w:rsidRDefault="00B47B7D">
      <w:pPr>
        <w:ind w:right="-2"/>
        <w:rPr>
          <w:lang w:val="lv-LV"/>
        </w:rPr>
      </w:pPr>
      <w:r>
        <w:rPr>
          <w:lang w:val="lv-LV"/>
        </w:rPr>
        <w:t>VII p</w:t>
      </w:r>
      <w:r w:rsidR="00784D05">
        <w:rPr>
          <w:lang w:val="lv-LV"/>
        </w:rPr>
        <w:t xml:space="preserve">ētījumā (WA19926), kas bija 2 gadus ilgs pētījums ar plānotu primāro analīzi 52. nedēļā, izvērtēja 1162 MTX iepriekš nelietojušus pieaugušus pacientus ar vidēji smagu līdz smagu, aktīvu agrīnu RA (vidējais slimības ilgums </w:t>
      </w:r>
      <w:r>
        <w:rPr>
          <w:lang w:val="lv-LV"/>
        </w:rPr>
        <w:t>≤</w:t>
      </w:r>
      <w:r w:rsidR="00784D05">
        <w:rPr>
          <w:lang w:val="lv-LV"/>
        </w:rPr>
        <w:t xml:space="preserve"> 6 mēneši). Aptuveni 20% pacientu iepriekš bija saņēmuši terapiju ar DMARD, kas nebija MTX. Šajā pētījumā vērtēja </w:t>
      </w:r>
      <w:r>
        <w:rPr>
          <w:lang w:val="lv-LV"/>
        </w:rPr>
        <w:t>intravenozi ievadītu</w:t>
      </w:r>
      <w:r w:rsidR="00784D05">
        <w:rPr>
          <w:lang w:val="lv-LV"/>
        </w:rPr>
        <w:t xml:space="preserve"> tocilizumaba 4 vai 8 mg/kg </w:t>
      </w:r>
      <w:r>
        <w:rPr>
          <w:lang w:val="lv-LV"/>
        </w:rPr>
        <w:t xml:space="preserve">devu </w:t>
      </w:r>
      <w:r w:rsidR="00784D05">
        <w:rPr>
          <w:lang w:val="lv-LV"/>
        </w:rPr>
        <w:t xml:space="preserve">ik pēc 4 nedēļām/MTX kombinētās terapijas, </w:t>
      </w:r>
      <w:r>
        <w:rPr>
          <w:lang w:val="lv-LV"/>
        </w:rPr>
        <w:t xml:space="preserve">intravenozi ievadīta </w:t>
      </w:r>
      <w:r w:rsidR="00784D05">
        <w:rPr>
          <w:lang w:val="lv-LV"/>
        </w:rPr>
        <w:t xml:space="preserve">tocilizumaba 8 mg/kg </w:t>
      </w:r>
      <w:r>
        <w:rPr>
          <w:lang w:val="lv-LV"/>
        </w:rPr>
        <w:t xml:space="preserve">devas </w:t>
      </w:r>
      <w:r w:rsidR="00784D05">
        <w:rPr>
          <w:lang w:val="lv-LV"/>
        </w:rPr>
        <w:t>monoterapijas un MTX monoterapijas efektivitāti, mazinot locītavu bojājuma pazīmes un simptomus, kā arī progresēšanas ātrumu pēc 104 nedēļām. Primārais mērķa kritērijs bija to pacientu īpatsvars, kuriem 24. nedēļā bija panākta DAS28 remisija (DAS28 </w:t>
      </w:r>
      <w:r>
        <w:rPr>
          <w:lang w:val="lv-LV"/>
        </w:rPr>
        <w:t>˂</w:t>
      </w:r>
      <w:r w:rsidR="00784D05">
        <w:rPr>
          <w:lang w:val="lv-LV"/>
        </w:rPr>
        <w:t xml:space="preserve"> 2,6). Primāro mērķa kritēriju tocilizumaba 8 mg/kg </w:t>
      </w:r>
      <w:r>
        <w:rPr>
          <w:lang w:val="lv-LV"/>
        </w:rPr>
        <w:t xml:space="preserve">devas </w:t>
      </w:r>
      <w:r w:rsidR="00784D05">
        <w:rPr>
          <w:lang w:val="lv-LV"/>
        </w:rPr>
        <w:t xml:space="preserve">+ MTX un tocilizumaba monoterapijas grupās sasniedza nozīmīgi vairāk pacientu nekā MTX monoterapijas grupā. Tocilizumaba 8 mg/kg </w:t>
      </w:r>
      <w:r>
        <w:rPr>
          <w:lang w:val="lv-LV"/>
        </w:rPr>
        <w:t xml:space="preserve">devas </w:t>
      </w:r>
      <w:r w:rsidR="00784D05">
        <w:rPr>
          <w:lang w:val="lv-LV"/>
        </w:rPr>
        <w:t xml:space="preserve">+ MTX grupā konstatēja arī statistiski nozīmīgus rezultātus, vērtējot galvenos sekundāros mērķa kritērijus. Tocilizumaba 8 mg/kg </w:t>
      </w:r>
      <w:r>
        <w:rPr>
          <w:lang w:val="lv-LV"/>
        </w:rPr>
        <w:t xml:space="preserve">devas </w:t>
      </w:r>
      <w:r w:rsidR="00784D05">
        <w:rPr>
          <w:lang w:val="lv-LV"/>
        </w:rPr>
        <w:t>monoterapijas grupā, vērtējot pēc visiem sekundārajiem mērķa kritērijiem, tai skaitā rentgenogrāfiskiem mērķa kritērijiem, tika panāktas skaitliski lielākas atbildes reakcijas nekā MTX monoterapijas grupā. Šajā pētījumā kā iepriekš noteiktus izpētes mērķa kritērijus analizēja arī ACR/EULAR remisiju (</w:t>
      </w:r>
      <w:r w:rsidR="00784D05">
        <w:rPr>
          <w:i/>
          <w:lang w:val="lv-LV"/>
        </w:rPr>
        <w:t>Boolean</w:t>
      </w:r>
      <w:r w:rsidR="00784D05">
        <w:rPr>
          <w:lang w:val="lv-LV"/>
        </w:rPr>
        <w:t xml:space="preserve"> un </w:t>
      </w:r>
      <w:r w:rsidR="00784D05">
        <w:rPr>
          <w:i/>
          <w:lang w:val="lv-LV"/>
        </w:rPr>
        <w:t>Index</w:t>
      </w:r>
      <w:r w:rsidR="00784D05">
        <w:rPr>
          <w:lang w:val="lv-LV"/>
        </w:rPr>
        <w:t xml:space="preserve">), un izteiktākas atbildes reakcijas novēroja tocilizumaba grupās. </w:t>
      </w:r>
      <w:r>
        <w:rPr>
          <w:lang w:val="lv-LV"/>
        </w:rPr>
        <w:t>VII p</w:t>
      </w:r>
      <w:r w:rsidR="00784D05">
        <w:rPr>
          <w:lang w:val="lv-LV"/>
        </w:rPr>
        <w:t xml:space="preserve">ētījuma rezultāti redzami </w:t>
      </w:r>
      <w:r w:rsidR="00727752">
        <w:rPr>
          <w:lang w:val="lv-LV"/>
        </w:rPr>
        <w:t>7</w:t>
      </w:r>
      <w:r w:rsidR="00784D05">
        <w:rPr>
          <w:lang w:val="lv-LV"/>
        </w:rPr>
        <w:t xml:space="preserve">. tabulā. </w:t>
      </w:r>
    </w:p>
    <w:p w14:paraId="37715131" w14:textId="77777777" w:rsidR="00784D05" w:rsidRDefault="00784D05">
      <w:pPr>
        <w:ind w:right="-2"/>
        <w:rPr>
          <w:lang w:val="lv-LV"/>
        </w:rPr>
      </w:pPr>
    </w:p>
    <w:p w14:paraId="11448910" w14:textId="6255C1CD" w:rsidR="00784D05" w:rsidRDefault="00727752" w:rsidP="00B47B7D">
      <w:pPr>
        <w:keepNext/>
        <w:rPr>
          <w:bCs/>
          <w:i/>
          <w:iCs/>
          <w:lang w:val="lv-LV"/>
        </w:rPr>
      </w:pPr>
      <w:r>
        <w:rPr>
          <w:bCs/>
          <w:i/>
          <w:iCs/>
          <w:lang w:val="lv-LV"/>
        </w:rPr>
        <w:t>7</w:t>
      </w:r>
      <w:r w:rsidR="00784D05">
        <w:rPr>
          <w:bCs/>
          <w:i/>
          <w:iCs/>
          <w:lang w:val="lv-LV"/>
        </w:rPr>
        <w:t>. tabula.</w:t>
      </w:r>
      <w:r w:rsidR="00B47B7D">
        <w:rPr>
          <w:bCs/>
          <w:i/>
          <w:iCs/>
          <w:lang w:val="lv-LV"/>
        </w:rPr>
        <w:t xml:space="preserve"> VII p</w:t>
      </w:r>
      <w:r w:rsidR="00784D05">
        <w:rPr>
          <w:bCs/>
          <w:i/>
          <w:iCs/>
          <w:lang w:val="lv-LV"/>
        </w:rPr>
        <w:t xml:space="preserve">ētījuma (WA19926) efektivitāti raksturojošie rezultāti MTX iepriekš nelietojušiem pacientiem ar agrīnu RA </w:t>
      </w:r>
    </w:p>
    <w:p w14:paraId="26576C14" w14:textId="77777777" w:rsidR="00727752" w:rsidRDefault="00727752" w:rsidP="00382C63">
      <w:pPr>
        <w:keepNext/>
        <w:ind w:left="1134" w:hanging="1134"/>
        <w:rPr>
          <w:bCs/>
          <w:i/>
          <w:iCs/>
          <w:lang w:val="lv-LV" w:eastAsia="de-DE"/>
        </w:rPr>
      </w:pPr>
    </w:p>
    <w:tbl>
      <w:tblPr>
        <w:tblW w:w="9009"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32"/>
        <w:gridCol w:w="277"/>
        <w:gridCol w:w="834"/>
        <w:gridCol w:w="277"/>
        <w:gridCol w:w="833"/>
        <w:gridCol w:w="277"/>
        <w:gridCol w:w="1108"/>
        <w:gridCol w:w="1171"/>
      </w:tblGrid>
      <w:tr w:rsidR="00B47B7D" w14:paraId="67F9E655" w14:textId="77777777" w:rsidTr="00707120">
        <w:trPr>
          <w:cantSplit/>
        </w:trPr>
        <w:tc>
          <w:tcPr>
            <w:tcW w:w="4509" w:type="dxa"/>
            <w:gridSpan w:val="2"/>
            <w:tcMar>
              <w:top w:w="0" w:type="dxa"/>
              <w:left w:w="57" w:type="dxa"/>
              <w:bottom w:w="0" w:type="dxa"/>
              <w:right w:w="57" w:type="dxa"/>
            </w:tcMar>
            <w:vAlign w:val="bottom"/>
          </w:tcPr>
          <w:p w14:paraId="0D4AF080" w14:textId="77777777" w:rsidR="00784D05" w:rsidRDefault="00784D05" w:rsidP="00382C63">
            <w:pPr>
              <w:keepNext/>
              <w:keepLines/>
              <w:rPr>
                <w:rFonts w:eastAsia="MS Mincho"/>
                <w:sz w:val="20"/>
                <w:lang w:val="lv-LV" w:eastAsia="zh-TW"/>
              </w:rPr>
            </w:pPr>
          </w:p>
        </w:tc>
        <w:tc>
          <w:tcPr>
            <w:tcW w:w="1111" w:type="dxa"/>
            <w:gridSpan w:val="2"/>
            <w:tcMar>
              <w:top w:w="0" w:type="dxa"/>
              <w:left w:w="57" w:type="dxa"/>
              <w:bottom w:w="0" w:type="dxa"/>
              <w:right w:w="57" w:type="dxa"/>
            </w:tcMar>
            <w:vAlign w:val="bottom"/>
          </w:tcPr>
          <w:p w14:paraId="0EF90F22" w14:textId="77777777" w:rsidR="00784D05" w:rsidRDefault="00784D05" w:rsidP="00FE23EF">
            <w:pPr>
              <w:keepNext/>
              <w:keepLines/>
              <w:spacing w:before="50" w:after="50" w:line="240" w:lineRule="exact"/>
              <w:jc w:val="center"/>
              <w:rPr>
                <w:rFonts w:eastAsia="SimSun"/>
                <w:b/>
                <w:sz w:val="18"/>
                <w:szCs w:val="18"/>
                <w:lang w:val="lv-LV" w:eastAsia="zh-CN"/>
              </w:rPr>
            </w:pPr>
            <w:r>
              <w:rPr>
                <w:rFonts w:eastAsia="SimSun"/>
                <w:b/>
                <w:sz w:val="18"/>
                <w:szCs w:val="18"/>
                <w:lang w:val="lv-LV" w:eastAsia="zh-CN"/>
              </w:rPr>
              <w:t>TCZ 8 mg/kg + MTX</w:t>
            </w:r>
          </w:p>
          <w:p w14:paraId="03C63A69" w14:textId="5CEA9A7D" w:rsidR="00784D05" w:rsidRDefault="00784D05" w:rsidP="00FE23EF">
            <w:pPr>
              <w:keepNext/>
              <w:keepLines/>
              <w:spacing w:before="50" w:after="50" w:line="240" w:lineRule="exact"/>
              <w:jc w:val="center"/>
              <w:rPr>
                <w:rFonts w:eastAsia="SimSun"/>
                <w:b/>
                <w:sz w:val="18"/>
                <w:szCs w:val="18"/>
                <w:lang w:val="lv-LV" w:eastAsia="zh-CN"/>
              </w:rPr>
            </w:pPr>
            <w:del w:id="279" w:author="Author">
              <w:r w:rsidDel="00717152">
                <w:rPr>
                  <w:rFonts w:eastAsia="SimSun"/>
                  <w:b/>
                  <w:sz w:val="18"/>
                  <w:szCs w:val="18"/>
                  <w:lang w:val="lv-LV" w:eastAsia="zh-CN"/>
                </w:rPr>
                <w:delText>N</w:delText>
              </w:r>
            </w:del>
            <w:ins w:id="280" w:author="Author">
              <w:r w:rsidR="00717152">
                <w:rPr>
                  <w:rFonts w:eastAsia="SimSun"/>
                  <w:b/>
                  <w:sz w:val="18"/>
                  <w:szCs w:val="18"/>
                  <w:lang w:val="lv-LV" w:eastAsia="zh-CN"/>
                </w:rPr>
                <w:t>n</w:t>
              </w:r>
            </w:ins>
            <w:r>
              <w:rPr>
                <w:rFonts w:eastAsia="SimSun"/>
                <w:b/>
                <w:sz w:val="18"/>
                <w:szCs w:val="18"/>
                <w:lang w:val="lv-LV" w:eastAsia="zh-CN"/>
              </w:rPr>
              <w:t>=290</w:t>
            </w:r>
          </w:p>
        </w:tc>
        <w:tc>
          <w:tcPr>
            <w:tcW w:w="1110" w:type="dxa"/>
            <w:gridSpan w:val="2"/>
            <w:tcMar>
              <w:top w:w="0" w:type="dxa"/>
              <w:left w:w="57" w:type="dxa"/>
              <w:bottom w:w="0" w:type="dxa"/>
              <w:right w:w="57" w:type="dxa"/>
            </w:tcMar>
            <w:vAlign w:val="bottom"/>
          </w:tcPr>
          <w:p w14:paraId="66BB8451" w14:textId="77777777" w:rsidR="00784D05" w:rsidRDefault="00784D05" w:rsidP="00FE23EF">
            <w:pPr>
              <w:keepNext/>
              <w:keepLines/>
              <w:spacing w:before="50" w:after="50" w:line="240" w:lineRule="exact"/>
              <w:jc w:val="center"/>
              <w:rPr>
                <w:rFonts w:eastAsia="SimSun"/>
                <w:b/>
                <w:sz w:val="18"/>
                <w:szCs w:val="18"/>
                <w:lang w:val="lv-LV" w:eastAsia="zh-CN"/>
              </w:rPr>
            </w:pPr>
            <w:r>
              <w:rPr>
                <w:rFonts w:eastAsia="SimSun"/>
                <w:b/>
                <w:sz w:val="18"/>
                <w:szCs w:val="18"/>
                <w:lang w:val="lv-LV" w:eastAsia="zh-CN"/>
              </w:rPr>
              <w:t>TCZ 8 mg/kg + placebo</w:t>
            </w:r>
          </w:p>
          <w:p w14:paraId="42CFFDC7" w14:textId="7207FF16" w:rsidR="00784D05" w:rsidRDefault="00784D05" w:rsidP="00122916">
            <w:pPr>
              <w:keepNext/>
              <w:keepLines/>
              <w:spacing w:before="50" w:after="50" w:line="240" w:lineRule="exact"/>
              <w:jc w:val="center"/>
              <w:rPr>
                <w:rFonts w:eastAsia="SimSun"/>
                <w:b/>
                <w:sz w:val="18"/>
                <w:szCs w:val="18"/>
                <w:lang w:val="lv-LV" w:eastAsia="zh-CN"/>
              </w:rPr>
            </w:pPr>
            <w:del w:id="281" w:author="Author">
              <w:r w:rsidDel="00717152">
                <w:rPr>
                  <w:rFonts w:eastAsia="SimSun"/>
                  <w:b/>
                  <w:sz w:val="18"/>
                  <w:szCs w:val="18"/>
                  <w:lang w:val="lv-LV" w:eastAsia="zh-CN"/>
                </w:rPr>
                <w:delText>N</w:delText>
              </w:r>
            </w:del>
            <w:ins w:id="282" w:author="Author">
              <w:r w:rsidR="00717152">
                <w:rPr>
                  <w:rFonts w:eastAsia="SimSun"/>
                  <w:b/>
                  <w:sz w:val="18"/>
                  <w:szCs w:val="18"/>
                  <w:lang w:val="lv-LV" w:eastAsia="zh-CN"/>
                </w:rPr>
                <w:t>n</w:t>
              </w:r>
            </w:ins>
            <w:r>
              <w:rPr>
                <w:rFonts w:eastAsia="SimSun"/>
                <w:b/>
                <w:sz w:val="18"/>
                <w:szCs w:val="18"/>
                <w:lang w:val="lv-LV" w:eastAsia="zh-CN"/>
              </w:rPr>
              <w:t>=292</w:t>
            </w:r>
          </w:p>
        </w:tc>
        <w:tc>
          <w:tcPr>
            <w:tcW w:w="1108" w:type="dxa"/>
          </w:tcPr>
          <w:p w14:paraId="404799C7" w14:textId="77777777" w:rsidR="00784D05" w:rsidRDefault="00784D05" w:rsidP="0073674F">
            <w:pPr>
              <w:keepNext/>
              <w:keepLines/>
              <w:spacing w:before="50" w:after="50" w:line="240" w:lineRule="exact"/>
              <w:jc w:val="center"/>
              <w:rPr>
                <w:rFonts w:eastAsia="SimSun"/>
                <w:b/>
                <w:sz w:val="18"/>
                <w:szCs w:val="18"/>
                <w:lang w:val="lv-LV" w:eastAsia="zh-CN"/>
              </w:rPr>
            </w:pPr>
            <w:r>
              <w:rPr>
                <w:rFonts w:eastAsia="SimSun"/>
                <w:b/>
                <w:sz w:val="18"/>
                <w:szCs w:val="18"/>
                <w:lang w:val="lv-LV" w:eastAsia="zh-CN"/>
              </w:rPr>
              <w:t>TCZ 4 mg/kg +</w:t>
            </w:r>
            <w:r>
              <w:rPr>
                <w:rFonts w:eastAsia="SimSun"/>
                <w:b/>
                <w:sz w:val="18"/>
                <w:szCs w:val="18"/>
                <w:lang w:val="lv-LV" w:eastAsia="zh-CN"/>
              </w:rPr>
              <w:br/>
              <w:t>MTX</w:t>
            </w:r>
          </w:p>
          <w:p w14:paraId="15E34302" w14:textId="3FF35D57" w:rsidR="00784D05" w:rsidRDefault="00784D05" w:rsidP="003D1B01">
            <w:pPr>
              <w:keepNext/>
              <w:keepLines/>
              <w:spacing w:before="50" w:after="50" w:line="240" w:lineRule="exact"/>
              <w:jc w:val="center"/>
              <w:rPr>
                <w:rFonts w:eastAsia="SimSun"/>
                <w:b/>
                <w:sz w:val="18"/>
                <w:szCs w:val="18"/>
                <w:lang w:val="lv-LV" w:eastAsia="zh-CN"/>
              </w:rPr>
            </w:pPr>
            <w:del w:id="283" w:author="Author">
              <w:r w:rsidDel="00717152">
                <w:rPr>
                  <w:rFonts w:eastAsia="SimSun"/>
                  <w:b/>
                  <w:sz w:val="18"/>
                  <w:szCs w:val="18"/>
                  <w:lang w:val="lv-LV" w:eastAsia="zh-CN"/>
                </w:rPr>
                <w:delText>N</w:delText>
              </w:r>
            </w:del>
            <w:ins w:id="284" w:author="Author">
              <w:r w:rsidR="00717152">
                <w:rPr>
                  <w:rFonts w:eastAsia="SimSun"/>
                  <w:b/>
                  <w:sz w:val="18"/>
                  <w:szCs w:val="18"/>
                  <w:lang w:val="lv-LV" w:eastAsia="zh-CN"/>
                </w:rPr>
                <w:t>n</w:t>
              </w:r>
            </w:ins>
            <w:r>
              <w:rPr>
                <w:rFonts w:eastAsia="SimSun"/>
                <w:b/>
                <w:sz w:val="18"/>
                <w:szCs w:val="18"/>
                <w:lang w:val="lv-LV" w:eastAsia="zh-CN"/>
              </w:rPr>
              <w:t>=288</w:t>
            </w:r>
          </w:p>
        </w:tc>
        <w:tc>
          <w:tcPr>
            <w:tcW w:w="1171" w:type="dxa"/>
            <w:tcMar>
              <w:top w:w="0" w:type="dxa"/>
              <w:left w:w="57" w:type="dxa"/>
              <w:bottom w:w="0" w:type="dxa"/>
              <w:right w:w="57" w:type="dxa"/>
            </w:tcMar>
            <w:vAlign w:val="bottom"/>
          </w:tcPr>
          <w:p w14:paraId="4A8E63CA" w14:textId="77777777" w:rsidR="00784D05" w:rsidRDefault="00784D05" w:rsidP="000100C4">
            <w:pPr>
              <w:keepNext/>
              <w:keepLines/>
              <w:spacing w:before="50" w:after="50" w:line="240" w:lineRule="exact"/>
              <w:jc w:val="center"/>
              <w:rPr>
                <w:rFonts w:eastAsia="SimSun"/>
                <w:b/>
                <w:sz w:val="18"/>
                <w:szCs w:val="18"/>
                <w:lang w:val="lv-LV" w:eastAsia="zh-CN"/>
              </w:rPr>
            </w:pPr>
            <w:r>
              <w:rPr>
                <w:rFonts w:eastAsia="SimSun"/>
                <w:b/>
                <w:sz w:val="18"/>
                <w:szCs w:val="18"/>
                <w:lang w:val="lv-LV" w:eastAsia="zh-CN"/>
              </w:rPr>
              <w:t>Placebo + MTX</w:t>
            </w:r>
          </w:p>
          <w:p w14:paraId="539721D6" w14:textId="2F5EAC5F" w:rsidR="00784D05" w:rsidRDefault="00784D05" w:rsidP="005E0BB7">
            <w:pPr>
              <w:keepNext/>
              <w:keepLines/>
              <w:spacing w:before="50" w:after="50" w:line="240" w:lineRule="exact"/>
              <w:jc w:val="center"/>
              <w:rPr>
                <w:rFonts w:eastAsia="SimSun"/>
                <w:sz w:val="18"/>
                <w:szCs w:val="18"/>
                <w:lang w:val="lv-LV" w:eastAsia="zh-CN"/>
              </w:rPr>
            </w:pPr>
            <w:del w:id="285" w:author="Author">
              <w:r w:rsidDel="00717152">
                <w:rPr>
                  <w:rFonts w:eastAsia="SimSun"/>
                  <w:b/>
                  <w:sz w:val="18"/>
                  <w:szCs w:val="18"/>
                  <w:lang w:val="lv-LV" w:eastAsia="zh-CN"/>
                </w:rPr>
                <w:delText>N</w:delText>
              </w:r>
            </w:del>
            <w:ins w:id="286" w:author="Author">
              <w:r w:rsidR="00717152">
                <w:rPr>
                  <w:rFonts w:eastAsia="SimSun"/>
                  <w:b/>
                  <w:sz w:val="18"/>
                  <w:szCs w:val="18"/>
                  <w:lang w:val="lv-LV" w:eastAsia="zh-CN"/>
                </w:rPr>
                <w:t>n</w:t>
              </w:r>
            </w:ins>
            <w:r>
              <w:rPr>
                <w:rFonts w:eastAsia="SimSun"/>
                <w:b/>
                <w:sz w:val="18"/>
                <w:szCs w:val="18"/>
                <w:lang w:val="lv-LV" w:eastAsia="zh-CN"/>
              </w:rPr>
              <w:t>=287</w:t>
            </w:r>
          </w:p>
        </w:tc>
      </w:tr>
      <w:tr w:rsidR="003B3144" w14:paraId="67A0C880" w14:textId="77777777" w:rsidTr="00707120">
        <w:trPr>
          <w:cantSplit/>
        </w:trPr>
        <w:tc>
          <w:tcPr>
            <w:tcW w:w="9009" w:type="dxa"/>
            <w:gridSpan w:val="8"/>
          </w:tcPr>
          <w:p w14:paraId="7DACC224" w14:textId="77777777" w:rsidR="003B3144" w:rsidRDefault="003B3144">
            <w:pPr>
              <w:keepNext/>
              <w:keepLines/>
              <w:spacing w:before="50" w:after="50" w:line="240" w:lineRule="exact"/>
              <w:rPr>
                <w:rFonts w:eastAsia="SimSun"/>
                <w:b/>
                <w:sz w:val="18"/>
                <w:szCs w:val="18"/>
                <w:lang w:val="lv-LV" w:eastAsia="zh-CN"/>
              </w:rPr>
            </w:pPr>
            <w:r>
              <w:rPr>
                <w:rFonts w:eastAsia="SimSun"/>
                <w:b/>
                <w:sz w:val="18"/>
                <w:szCs w:val="18"/>
                <w:lang w:val="lv-LV" w:eastAsia="zh-CN"/>
              </w:rPr>
              <w:t>Primārais mērķa kritērijs</w:t>
            </w:r>
          </w:p>
        </w:tc>
      </w:tr>
      <w:tr w:rsidR="00B47B7D" w14:paraId="0392C266" w14:textId="77777777" w:rsidTr="00707120">
        <w:trPr>
          <w:cantSplit/>
        </w:trPr>
        <w:tc>
          <w:tcPr>
            <w:tcW w:w="4509" w:type="dxa"/>
            <w:gridSpan w:val="2"/>
            <w:tcMar>
              <w:top w:w="0" w:type="dxa"/>
              <w:left w:w="57" w:type="dxa"/>
              <w:bottom w:w="0" w:type="dxa"/>
              <w:right w:w="57" w:type="dxa"/>
            </w:tcMar>
          </w:tcPr>
          <w:p w14:paraId="1E38C638" w14:textId="77777777" w:rsidR="00784D05" w:rsidRDefault="00784D05">
            <w:pPr>
              <w:keepNext/>
              <w:keepLines/>
              <w:spacing w:before="50" w:after="50" w:line="240" w:lineRule="exact"/>
              <w:rPr>
                <w:rFonts w:eastAsia="SimSun"/>
                <w:sz w:val="18"/>
                <w:szCs w:val="18"/>
                <w:lang w:val="lv-LV" w:eastAsia="zh-CN"/>
              </w:rPr>
            </w:pPr>
            <w:r>
              <w:rPr>
                <w:rFonts w:eastAsia="SimSun"/>
                <w:sz w:val="18"/>
                <w:szCs w:val="18"/>
                <w:lang w:val="lv-LV" w:eastAsia="zh-CN"/>
              </w:rPr>
              <w:t>DAS28 remisija</w:t>
            </w:r>
          </w:p>
        </w:tc>
        <w:tc>
          <w:tcPr>
            <w:tcW w:w="1111" w:type="dxa"/>
            <w:gridSpan w:val="2"/>
            <w:tcMar>
              <w:top w:w="0" w:type="dxa"/>
              <w:left w:w="57" w:type="dxa"/>
              <w:bottom w:w="0" w:type="dxa"/>
              <w:right w:w="57" w:type="dxa"/>
            </w:tcMar>
          </w:tcPr>
          <w:p w14:paraId="03192585" w14:textId="77777777" w:rsidR="00784D05" w:rsidRDefault="00784D05">
            <w:pPr>
              <w:keepNext/>
              <w:keepLines/>
              <w:spacing w:before="50" w:after="50" w:line="240" w:lineRule="exact"/>
              <w:jc w:val="center"/>
              <w:rPr>
                <w:rFonts w:eastAsia="SimSun"/>
                <w:sz w:val="18"/>
                <w:szCs w:val="18"/>
                <w:lang w:val="lv-LV" w:eastAsia="zh-CN"/>
              </w:rPr>
            </w:pPr>
          </w:p>
        </w:tc>
        <w:tc>
          <w:tcPr>
            <w:tcW w:w="1110" w:type="dxa"/>
            <w:gridSpan w:val="2"/>
            <w:tcMar>
              <w:top w:w="0" w:type="dxa"/>
              <w:left w:w="57" w:type="dxa"/>
              <w:bottom w:w="0" w:type="dxa"/>
              <w:right w:w="57" w:type="dxa"/>
            </w:tcMar>
          </w:tcPr>
          <w:p w14:paraId="76C10441" w14:textId="77777777" w:rsidR="00784D05" w:rsidRDefault="00784D05">
            <w:pPr>
              <w:keepNext/>
              <w:keepLines/>
              <w:spacing w:before="50" w:after="50" w:line="240" w:lineRule="exact"/>
              <w:jc w:val="center"/>
              <w:rPr>
                <w:rFonts w:eastAsia="SimSun"/>
                <w:sz w:val="18"/>
                <w:szCs w:val="18"/>
                <w:lang w:val="lv-LV" w:eastAsia="zh-CN"/>
              </w:rPr>
            </w:pPr>
          </w:p>
        </w:tc>
        <w:tc>
          <w:tcPr>
            <w:tcW w:w="1108" w:type="dxa"/>
          </w:tcPr>
          <w:p w14:paraId="65CD2082" w14:textId="77777777" w:rsidR="00784D05" w:rsidRDefault="00784D05">
            <w:pPr>
              <w:keepNext/>
              <w:keepLines/>
              <w:spacing w:before="50" w:after="50" w:line="240" w:lineRule="exact"/>
              <w:jc w:val="center"/>
              <w:rPr>
                <w:rFonts w:eastAsia="SimSun"/>
                <w:sz w:val="18"/>
                <w:szCs w:val="18"/>
                <w:lang w:val="lv-LV" w:eastAsia="zh-CN"/>
              </w:rPr>
            </w:pPr>
          </w:p>
        </w:tc>
        <w:tc>
          <w:tcPr>
            <w:tcW w:w="1171" w:type="dxa"/>
            <w:tcMar>
              <w:top w:w="0" w:type="dxa"/>
              <w:left w:w="57" w:type="dxa"/>
              <w:bottom w:w="0" w:type="dxa"/>
              <w:right w:w="57" w:type="dxa"/>
            </w:tcMar>
          </w:tcPr>
          <w:p w14:paraId="0965058E" w14:textId="77777777" w:rsidR="00784D05" w:rsidRDefault="00784D05">
            <w:pPr>
              <w:keepNext/>
              <w:keepLines/>
              <w:spacing w:before="50" w:after="50" w:line="240" w:lineRule="exact"/>
              <w:jc w:val="center"/>
              <w:rPr>
                <w:rFonts w:eastAsia="SimSun"/>
                <w:sz w:val="18"/>
                <w:szCs w:val="18"/>
                <w:lang w:val="lv-LV" w:eastAsia="zh-CN"/>
              </w:rPr>
            </w:pPr>
          </w:p>
        </w:tc>
      </w:tr>
      <w:tr w:rsidR="00B47B7D" w14:paraId="0D439A2F" w14:textId="77777777" w:rsidTr="00707120">
        <w:trPr>
          <w:cantSplit/>
        </w:trPr>
        <w:tc>
          <w:tcPr>
            <w:tcW w:w="4509" w:type="dxa"/>
            <w:gridSpan w:val="2"/>
            <w:tcMar>
              <w:top w:w="0" w:type="dxa"/>
              <w:left w:w="57" w:type="dxa"/>
              <w:bottom w:w="0" w:type="dxa"/>
              <w:right w:w="57" w:type="dxa"/>
            </w:tcMar>
          </w:tcPr>
          <w:p w14:paraId="3038842B" w14:textId="0EF8B948" w:rsidR="00784D05" w:rsidRDefault="00784D05" w:rsidP="00707120">
            <w:pPr>
              <w:keepNext/>
              <w:keepLines/>
              <w:spacing w:before="50" w:after="50" w:line="240" w:lineRule="exact"/>
              <w:ind w:left="482"/>
              <w:rPr>
                <w:rFonts w:eastAsia="SimSun"/>
                <w:sz w:val="18"/>
                <w:szCs w:val="18"/>
                <w:lang w:val="lv-LV" w:eastAsia="zh-CN"/>
              </w:rPr>
            </w:pPr>
            <w:r>
              <w:rPr>
                <w:rFonts w:eastAsia="SimSun"/>
                <w:sz w:val="18"/>
                <w:szCs w:val="18"/>
                <w:lang w:val="lv-LV" w:eastAsia="zh-CN"/>
              </w:rPr>
              <w:t>24. nedēļa</w:t>
            </w:r>
            <w:r w:rsidR="00B47B7D">
              <w:rPr>
                <w:rFonts w:eastAsia="SimSun"/>
                <w:szCs w:val="22"/>
                <w:lang w:val="en-GB" w:eastAsia="zh-CN"/>
              </w:rPr>
              <w:tab/>
            </w:r>
            <w:r>
              <w:rPr>
                <w:rFonts w:eastAsia="SimSun"/>
                <w:sz w:val="18"/>
                <w:szCs w:val="18"/>
                <w:lang w:val="lv-LV" w:eastAsia="zh-CN"/>
              </w:rPr>
              <w:t>n (%)</w:t>
            </w:r>
          </w:p>
        </w:tc>
        <w:tc>
          <w:tcPr>
            <w:tcW w:w="1111" w:type="dxa"/>
            <w:gridSpan w:val="2"/>
            <w:tcMar>
              <w:top w:w="0" w:type="dxa"/>
              <w:left w:w="57" w:type="dxa"/>
              <w:bottom w:w="0" w:type="dxa"/>
              <w:right w:w="57" w:type="dxa"/>
            </w:tcMar>
          </w:tcPr>
          <w:p w14:paraId="0333398B" w14:textId="77777777" w:rsidR="00784D05" w:rsidRDefault="00784D05">
            <w:pPr>
              <w:keepNext/>
              <w:keepLines/>
              <w:spacing w:before="50" w:after="50" w:line="240" w:lineRule="exact"/>
              <w:jc w:val="center"/>
              <w:rPr>
                <w:rFonts w:eastAsia="SimSun"/>
                <w:sz w:val="18"/>
                <w:szCs w:val="18"/>
                <w:lang w:val="lv-LV" w:eastAsia="zh-CN"/>
              </w:rPr>
            </w:pPr>
            <w:r>
              <w:rPr>
                <w:rFonts w:eastAsia="SimSun"/>
                <w:sz w:val="18"/>
                <w:szCs w:val="18"/>
                <w:lang w:val="lv-LV" w:eastAsia="zh-CN"/>
              </w:rPr>
              <w:t>130 (44,8)***</w:t>
            </w:r>
          </w:p>
        </w:tc>
        <w:tc>
          <w:tcPr>
            <w:tcW w:w="1110" w:type="dxa"/>
            <w:gridSpan w:val="2"/>
            <w:tcMar>
              <w:top w:w="0" w:type="dxa"/>
              <w:left w:w="57" w:type="dxa"/>
              <w:bottom w:w="0" w:type="dxa"/>
              <w:right w:w="57" w:type="dxa"/>
            </w:tcMar>
          </w:tcPr>
          <w:p w14:paraId="5F334DC1" w14:textId="77777777" w:rsidR="00784D05" w:rsidRDefault="00784D05">
            <w:pPr>
              <w:keepNext/>
              <w:keepLines/>
              <w:spacing w:before="50" w:after="50" w:line="240" w:lineRule="exact"/>
              <w:jc w:val="center"/>
              <w:rPr>
                <w:rFonts w:eastAsia="SimSun"/>
                <w:sz w:val="18"/>
                <w:szCs w:val="18"/>
                <w:lang w:val="lv-LV" w:eastAsia="zh-CN"/>
              </w:rPr>
            </w:pPr>
            <w:r>
              <w:rPr>
                <w:rFonts w:eastAsia="SimSun"/>
                <w:sz w:val="18"/>
                <w:szCs w:val="18"/>
                <w:lang w:val="lv-LV" w:eastAsia="zh-CN"/>
              </w:rPr>
              <w:t>113 (38,7)***</w:t>
            </w:r>
          </w:p>
        </w:tc>
        <w:tc>
          <w:tcPr>
            <w:tcW w:w="1108" w:type="dxa"/>
          </w:tcPr>
          <w:p w14:paraId="4E3AD129" w14:textId="77777777" w:rsidR="00784D05" w:rsidRDefault="00784D05">
            <w:pPr>
              <w:keepNext/>
              <w:keepLines/>
              <w:spacing w:before="50" w:after="50" w:line="240" w:lineRule="exact"/>
              <w:jc w:val="center"/>
              <w:rPr>
                <w:rFonts w:eastAsia="SimSun"/>
                <w:sz w:val="18"/>
                <w:szCs w:val="18"/>
                <w:lang w:val="lv-LV" w:eastAsia="zh-CN"/>
              </w:rPr>
            </w:pPr>
            <w:r>
              <w:rPr>
                <w:rFonts w:eastAsia="SimSun"/>
                <w:sz w:val="18"/>
                <w:szCs w:val="18"/>
                <w:lang w:val="lv-LV" w:eastAsia="zh-CN"/>
              </w:rPr>
              <w:t>92 (31,9)</w:t>
            </w:r>
          </w:p>
        </w:tc>
        <w:tc>
          <w:tcPr>
            <w:tcW w:w="1171" w:type="dxa"/>
            <w:tcMar>
              <w:top w:w="0" w:type="dxa"/>
              <w:left w:w="57" w:type="dxa"/>
              <w:bottom w:w="0" w:type="dxa"/>
              <w:right w:w="57" w:type="dxa"/>
            </w:tcMar>
          </w:tcPr>
          <w:p w14:paraId="4176FFE4" w14:textId="77777777" w:rsidR="00784D05" w:rsidRDefault="00784D05">
            <w:pPr>
              <w:keepNext/>
              <w:keepLines/>
              <w:spacing w:before="50" w:after="50" w:line="240" w:lineRule="exact"/>
              <w:jc w:val="center"/>
              <w:rPr>
                <w:rFonts w:eastAsia="SimSun"/>
                <w:sz w:val="18"/>
                <w:szCs w:val="18"/>
                <w:lang w:val="lv-LV" w:eastAsia="zh-CN"/>
              </w:rPr>
            </w:pPr>
            <w:r>
              <w:rPr>
                <w:rFonts w:eastAsia="SimSun"/>
                <w:sz w:val="18"/>
                <w:szCs w:val="18"/>
                <w:lang w:val="lv-LV" w:eastAsia="zh-CN"/>
              </w:rPr>
              <w:t>43 (15,0)</w:t>
            </w:r>
          </w:p>
        </w:tc>
      </w:tr>
      <w:tr w:rsidR="003B3144" w14:paraId="57C5B584" w14:textId="77777777" w:rsidTr="00707120">
        <w:trPr>
          <w:cantSplit/>
        </w:trPr>
        <w:tc>
          <w:tcPr>
            <w:tcW w:w="9009" w:type="dxa"/>
            <w:gridSpan w:val="8"/>
          </w:tcPr>
          <w:p w14:paraId="18CEFCD2" w14:textId="77777777" w:rsidR="003B3144" w:rsidRDefault="003B3144">
            <w:pPr>
              <w:keepNext/>
              <w:keepLines/>
              <w:spacing w:before="50" w:after="50" w:line="240" w:lineRule="exact"/>
              <w:rPr>
                <w:rFonts w:eastAsia="SimSun"/>
                <w:b/>
                <w:sz w:val="18"/>
                <w:szCs w:val="18"/>
                <w:lang w:val="lv-LV" w:eastAsia="zh-CN"/>
              </w:rPr>
            </w:pPr>
            <w:r>
              <w:rPr>
                <w:rFonts w:eastAsia="SimSun"/>
                <w:b/>
                <w:sz w:val="18"/>
                <w:szCs w:val="18"/>
                <w:lang w:val="lv-LV" w:eastAsia="zh-CN"/>
              </w:rPr>
              <w:t>Galvenie sekundārie mērķa kritēriji</w:t>
            </w:r>
          </w:p>
        </w:tc>
      </w:tr>
      <w:tr w:rsidR="00B47B7D" w14:paraId="1FD6B5C1" w14:textId="77777777" w:rsidTr="00707120">
        <w:trPr>
          <w:cantSplit/>
        </w:trPr>
        <w:tc>
          <w:tcPr>
            <w:tcW w:w="4509" w:type="dxa"/>
            <w:gridSpan w:val="2"/>
            <w:tcMar>
              <w:top w:w="0" w:type="dxa"/>
              <w:left w:w="57" w:type="dxa"/>
              <w:bottom w:w="0" w:type="dxa"/>
              <w:right w:w="57" w:type="dxa"/>
            </w:tcMar>
          </w:tcPr>
          <w:p w14:paraId="56D16FC1" w14:textId="76E8B088" w:rsidR="00784D05" w:rsidRDefault="00784D05" w:rsidP="00B47B7D">
            <w:pPr>
              <w:keepNext/>
              <w:keepLines/>
              <w:spacing w:before="50" w:after="50" w:line="240" w:lineRule="exact"/>
              <w:rPr>
                <w:rFonts w:eastAsia="SimSun"/>
                <w:sz w:val="18"/>
                <w:szCs w:val="18"/>
                <w:lang w:val="lv-LV" w:eastAsia="zh-CN"/>
              </w:rPr>
            </w:pPr>
            <w:r>
              <w:rPr>
                <w:rFonts w:eastAsia="SimSun"/>
                <w:sz w:val="18"/>
                <w:szCs w:val="18"/>
                <w:lang w:val="lv-LV" w:eastAsia="zh-CN"/>
              </w:rPr>
              <w:t>DAS28 remisija</w:t>
            </w:r>
          </w:p>
        </w:tc>
        <w:tc>
          <w:tcPr>
            <w:tcW w:w="1111" w:type="dxa"/>
            <w:gridSpan w:val="2"/>
            <w:tcMar>
              <w:top w:w="0" w:type="dxa"/>
              <w:left w:w="57" w:type="dxa"/>
              <w:bottom w:w="0" w:type="dxa"/>
              <w:right w:w="57" w:type="dxa"/>
            </w:tcMar>
          </w:tcPr>
          <w:p w14:paraId="3BB9210C" w14:textId="77777777" w:rsidR="00784D05" w:rsidRDefault="00784D05">
            <w:pPr>
              <w:keepNext/>
              <w:keepLines/>
              <w:spacing w:before="50" w:after="50" w:line="240" w:lineRule="exact"/>
              <w:jc w:val="center"/>
              <w:rPr>
                <w:rFonts w:eastAsia="SimSun"/>
                <w:sz w:val="18"/>
                <w:szCs w:val="18"/>
                <w:lang w:val="lv-LV" w:eastAsia="zh-CN"/>
              </w:rPr>
            </w:pPr>
          </w:p>
        </w:tc>
        <w:tc>
          <w:tcPr>
            <w:tcW w:w="1110" w:type="dxa"/>
            <w:gridSpan w:val="2"/>
            <w:tcMar>
              <w:top w:w="0" w:type="dxa"/>
              <w:left w:w="57" w:type="dxa"/>
              <w:bottom w:w="0" w:type="dxa"/>
              <w:right w:w="57" w:type="dxa"/>
            </w:tcMar>
          </w:tcPr>
          <w:p w14:paraId="48358C58" w14:textId="77777777" w:rsidR="00784D05" w:rsidRDefault="00784D05">
            <w:pPr>
              <w:keepNext/>
              <w:keepLines/>
              <w:spacing w:before="50" w:after="50" w:line="240" w:lineRule="exact"/>
              <w:jc w:val="center"/>
              <w:rPr>
                <w:rFonts w:eastAsia="SimSun"/>
                <w:sz w:val="18"/>
                <w:szCs w:val="18"/>
                <w:lang w:val="lv-LV" w:eastAsia="zh-CN"/>
              </w:rPr>
            </w:pPr>
          </w:p>
        </w:tc>
        <w:tc>
          <w:tcPr>
            <w:tcW w:w="1108" w:type="dxa"/>
          </w:tcPr>
          <w:p w14:paraId="4955F4A5" w14:textId="77777777" w:rsidR="00784D05" w:rsidRDefault="00784D05">
            <w:pPr>
              <w:keepNext/>
              <w:keepLines/>
              <w:spacing w:before="50" w:after="50" w:line="240" w:lineRule="exact"/>
              <w:jc w:val="center"/>
              <w:rPr>
                <w:rFonts w:eastAsia="SimSun"/>
                <w:sz w:val="18"/>
                <w:szCs w:val="18"/>
                <w:lang w:val="lv-LV" w:eastAsia="zh-CN"/>
              </w:rPr>
            </w:pPr>
          </w:p>
        </w:tc>
        <w:tc>
          <w:tcPr>
            <w:tcW w:w="1171" w:type="dxa"/>
            <w:tcMar>
              <w:top w:w="0" w:type="dxa"/>
              <w:left w:w="57" w:type="dxa"/>
              <w:bottom w:w="0" w:type="dxa"/>
              <w:right w:w="57" w:type="dxa"/>
            </w:tcMar>
          </w:tcPr>
          <w:p w14:paraId="01972E45" w14:textId="77777777" w:rsidR="00784D05" w:rsidRDefault="00784D05">
            <w:pPr>
              <w:keepNext/>
              <w:keepLines/>
              <w:spacing w:before="50" w:after="50" w:line="240" w:lineRule="exact"/>
              <w:jc w:val="center"/>
              <w:rPr>
                <w:rFonts w:eastAsia="SimSun"/>
                <w:sz w:val="18"/>
                <w:szCs w:val="18"/>
                <w:lang w:val="lv-LV" w:eastAsia="zh-CN"/>
              </w:rPr>
            </w:pPr>
          </w:p>
        </w:tc>
      </w:tr>
      <w:tr w:rsidR="00B47B7D" w14:paraId="17159DC7" w14:textId="77777777" w:rsidTr="00707120">
        <w:trPr>
          <w:cantSplit/>
        </w:trPr>
        <w:tc>
          <w:tcPr>
            <w:tcW w:w="4509" w:type="dxa"/>
            <w:gridSpan w:val="2"/>
            <w:tcMar>
              <w:top w:w="0" w:type="dxa"/>
              <w:left w:w="57" w:type="dxa"/>
              <w:bottom w:w="0" w:type="dxa"/>
              <w:right w:w="57" w:type="dxa"/>
            </w:tcMar>
          </w:tcPr>
          <w:p w14:paraId="0B0778CC" w14:textId="4C629868" w:rsidR="00784D05" w:rsidRDefault="00784D05" w:rsidP="00707120">
            <w:pPr>
              <w:keepNext/>
              <w:keepLines/>
              <w:spacing w:before="50" w:after="50" w:line="240" w:lineRule="exact"/>
              <w:ind w:left="482"/>
              <w:rPr>
                <w:rFonts w:eastAsia="SimSun"/>
                <w:sz w:val="18"/>
                <w:szCs w:val="18"/>
                <w:lang w:val="lv-LV" w:eastAsia="zh-CN"/>
              </w:rPr>
            </w:pPr>
            <w:r>
              <w:rPr>
                <w:rFonts w:eastAsia="SimSun"/>
                <w:sz w:val="18"/>
                <w:szCs w:val="18"/>
                <w:lang w:val="lv-LV" w:eastAsia="zh-CN"/>
              </w:rPr>
              <w:t>52. nedēļa</w:t>
            </w:r>
            <w:r w:rsidR="00B47B7D">
              <w:rPr>
                <w:rFonts w:eastAsia="SimSun"/>
                <w:szCs w:val="22"/>
                <w:lang w:val="en-GB" w:eastAsia="zh-CN"/>
              </w:rPr>
              <w:tab/>
            </w:r>
            <w:r>
              <w:rPr>
                <w:rFonts w:eastAsia="SimSun"/>
                <w:sz w:val="18"/>
                <w:szCs w:val="18"/>
                <w:lang w:val="lv-LV" w:eastAsia="zh-CN"/>
              </w:rPr>
              <w:t>n (%)</w:t>
            </w:r>
          </w:p>
        </w:tc>
        <w:tc>
          <w:tcPr>
            <w:tcW w:w="1111" w:type="dxa"/>
            <w:gridSpan w:val="2"/>
            <w:tcMar>
              <w:top w:w="0" w:type="dxa"/>
              <w:left w:w="57" w:type="dxa"/>
              <w:bottom w:w="0" w:type="dxa"/>
              <w:right w:w="57" w:type="dxa"/>
            </w:tcMar>
          </w:tcPr>
          <w:p w14:paraId="38B1D442" w14:textId="77777777" w:rsidR="00784D05" w:rsidRDefault="00784D05">
            <w:pPr>
              <w:keepNext/>
              <w:keepLines/>
              <w:spacing w:before="50" w:after="50" w:line="240" w:lineRule="exact"/>
              <w:jc w:val="center"/>
              <w:rPr>
                <w:rFonts w:eastAsia="SimSun"/>
                <w:sz w:val="18"/>
                <w:szCs w:val="18"/>
                <w:lang w:val="lv-LV" w:eastAsia="zh-CN"/>
              </w:rPr>
            </w:pPr>
            <w:r>
              <w:rPr>
                <w:rFonts w:eastAsia="SimSun"/>
                <w:sz w:val="18"/>
                <w:szCs w:val="18"/>
                <w:lang w:val="lv-LV" w:eastAsia="zh-CN"/>
              </w:rPr>
              <w:t>142 (49,0)***</w:t>
            </w:r>
          </w:p>
        </w:tc>
        <w:tc>
          <w:tcPr>
            <w:tcW w:w="1110" w:type="dxa"/>
            <w:gridSpan w:val="2"/>
            <w:tcMar>
              <w:top w:w="0" w:type="dxa"/>
              <w:left w:w="57" w:type="dxa"/>
              <w:bottom w:w="0" w:type="dxa"/>
              <w:right w:w="57" w:type="dxa"/>
            </w:tcMar>
          </w:tcPr>
          <w:p w14:paraId="1928B545" w14:textId="77777777" w:rsidR="00784D05" w:rsidRDefault="00784D05">
            <w:pPr>
              <w:keepNext/>
              <w:keepLines/>
              <w:spacing w:before="50" w:after="50" w:line="240" w:lineRule="exact"/>
              <w:jc w:val="center"/>
              <w:rPr>
                <w:rFonts w:eastAsia="SimSun"/>
                <w:sz w:val="18"/>
                <w:szCs w:val="18"/>
                <w:lang w:val="lv-LV" w:eastAsia="zh-CN"/>
              </w:rPr>
            </w:pPr>
            <w:r>
              <w:rPr>
                <w:rFonts w:eastAsia="SimSun"/>
                <w:sz w:val="18"/>
                <w:szCs w:val="18"/>
                <w:lang w:val="lv-LV" w:eastAsia="zh-CN"/>
              </w:rPr>
              <w:t>115 (39,4)</w:t>
            </w:r>
          </w:p>
        </w:tc>
        <w:tc>
          <w:tcPr>
            <w:tcW w:w="1108" w:type="dxa"/>
          </w:tcPr>
          <w:p w14:paraId="49BEC639" w14:textId="77777777" w:rsidR="00784D05" w:rsidRDefault="00784D05">
            <w:pPr>
              <w:keepNext/>
              <w:keepLines/>
              <w:spacing w:before="50" w:after="50" w:line="240" w:lineRule="exact"/>
              <w:jc w:val="center"/>
              <w:rPr>
                <w:rFonts w:eastAsia="SimSun"/>
                <w:sz w:val="18"/>
                <w:szCs w:val="18"/>
                <w:lang w:val="lv-LV" w:eastAsia="zh-CN"/>
              </w:rPr>
            </w:pPr>
            <w:r>
              <w:rPr>
                <w:rFonts w:eastAsia="SimSun"/>
                <w:sz w:val="18"/>
                <w:szCs w:val="18"/>
                <w:lang w:val="lv-LV" w:eastAsia="zh-CN"/>
              </w:rPr>
              <w:t>98 (34,0)</w:t>
            </w:r>
          </w:p>
        </w:tc>
        <w:tc>
          <w:tcPr>
            <w:tcW w:w="1171" w:type="dxa"/>
            <w:tcMar>
              <w:top w:w="0" w:type="dxa"/>
              <w:left w:w="57" w:type="dxa"/>
              <w:bottom w:w="0" w:type="dxa"/>
              <w:right w:w="57" w:type="dxa"/>
            </w:tcMar>
          </w:tcPr>
          <w:p w14:paraId="36C74E5A" w14:textId="77777777" w:rsidR="00784D05" w:rsidRDefault="00784D05">
            <w:pPr>
              <w:keepNext/>
              <w:keepLines/>
              <w:spacing w:before="50" w:after="50" w:line="240" w:lineRule="exact"/>
              <w:jc w:val="center"/>
              <w:rPr>
                <w:rFonts w:eastAsia="SimSun"/>
                <w:sz w:val="18"/>
                <w:szCs w:val="18"/>
                <w:lang w:val="lv-LV" w:eastAsia="zh-CN"/>
              </w:rPr>
            </w:pPr>
            <w:r>
              <w:rPr>
                <w:rFonts w:eastAsia="SimSun"/>
                <w:sz w:val="18"/>
                <w:szCs w:val="18"/>
                <w:lang w:val="lv-LV" w:eastAsia="zh-CN"/>
              </w:rPr>
              <w:t>56 (19,5)</w:t>
            </w:r>
          </w:p>
        </w:tc>
      </w:tr>
      <w:tr w:rsidR="00B47B7D" w14:paraId="230D1F69" w14:textId="77777777" w:rsidTr="00707120">
        <w:trPr>
          <w:cantSplit/>
        </w:trPr>
        <w:tc>
          <w:tcPr>
            <w:tcW w:w="4509" w:type="dxa"/>
            <w:gridSpan w:val="2"/>
            <w:tcMar>
              <w:top w:w="0" w:type="dxa"/>
              <w:left w:w="57" w:type="dxa"/>
              <w:bottom w:w="0" w:type="dxa"/>
              <w:right w:w="57" w:type="dxa"/>
            </w:tcMar>
          </w:tcPr>
          <w:p w14:paraId="33528EEB" w14:textId="1B602EC1" w:rsidR="00784D05" w:rsidRDefault="00B47B7D" w:rsidP="00B47B7D">
            <w:pPr>
              <w:keepNext/>
              <w:keepLines/>
              <w:spacing w:before="50" w:after="50" w:line="240" w:lineRule="exact"/>
              <w:rPr>
                <w:rFonts w:eastAsia="SimSun"/>
                <w:sz w:val="18"/>
                <w:szCs w:val="18"/>
                <w:lang w:val="lv-LV" w:eastAsia="zh-CN"/>
              </w:rPr>
            </w:pPr>
            <w:r>
              <w:rPr>
                <w:rFonts w:eastAsia="SimSun"/>
                <w:sz w:val="18"/>
                <w:szCs w:val="18"/>
                <w:lang w:val="lv-LV" w:eastAsia="zh-CN"/>
              </w:rPr>
              <w:t>ACR</w:t>
            </w:r>
          </w:p>
        </w:tc>
        <w:tc>
          <w:tcPr>
            <w:tcW w:w="1111" w:type="dxa"/>
            <w:gridSpan w:val="2"/>
            <w:tcMar>
              <w:top w:w="0" w:type="dxa"/>
              <w:left w:w="57" w:type="dxa"/>
              <w:bottom w:w="0" w:type="dxa"/>
              <w:right w:w="57" w:type="dxa"/>
            </w:tcMar>
          </w:tcPr>
          <w:p w14:paraId="0141ACFC" w14:textId="77777777" w:rsidR="00784D05" w:rsidRDefault="00784D05">
            <w:pPr>
              <w:keepNext/>
              <w:keepLines/>
              <w:spacing w:before="50" w:after="50" w:line="240" w:lineRule="exact"/>
              <w:jc w:val="center"/>
              <w:rPr>
                <w:rFonts w:eastAsia="SimSun"/>
                <w:sz w:val="18"/>
                <w:szCs w:val="18"/>
                <w:lang w:val="lv-LV" w:eastAsia="zh-CN"/>
              </w:rPr>
            </w:pPr>
          </w:p>
        </w:tc>
        <w:tc>
          <w:tcPr>
            <w:tcW w:w="1110" w:type="dxa"/>
            <w:gridSpan w:val="2"/>
            <w:tcMar>
              <w:top w:w="0" w:type="dxa"/>
              <w:left w:w="57" w:type="dxa"/>
              <w:bottom w:w="0" w:type="dxa"/>
              <w:right w:w="57" w:type="dxa"/>
            </w:tcMar>
          </w:tcPr>
          <w:p w14:paraId="4F95EA55" w14:textId="77777777" w:rsidR="00784D05" w:rsidRDefault="00784D05">
            <w:pPr>
              <w:keepNext/>
              <w:keepLines/>
              <w:spacing w:before="50" w:after="50" w:line="240" w:lineRule="exact"/>
              <w:jc w:val="center"/>
              <w:rPr>
                <w:rFonts w:eastAsia="SimSun"/>
                <w:sz w:val="18"/>
                <w:szCs w:val="18"/>
                <w:lang w:val="lv-LV" w:eastAsia="zh-CN"/>
              </w:rPr>
            </w:pPr>
          </w:p>
        </w:tc>
        <w:tc>
          <w:tcPr>
            <w:tcW w:w="1108" w:type="dxa"/>
          </w:tcPr>
          <w:p w14:paraId="454B8DDB" w14:textId="77777777" w:rsidR="00784D05" w:rsidRDefault="00784D05">
            <w:pPr>
              <w:keepNext/>
              <w:keepLines/>
              <w:spacing w:before="50" w:after="50" w:line="240" w:lineRule="exact"/>
              <w:jc w:val="center"/>
              <w:rPr>
                <w:rFonts w:eastAsia="SimSun"/>
                <w:sz w:val="18"/>
                <w:szCs w:val="18"/>
                <w:lang w:val="lv-LV" w:eastAsia="zh-CN"/>
              </w:rPr>
            </w:pPr>
          </w:p>
        </w:tc>
        <w:tc>
          <w:tcPr>
            <w:tcW w:w="1171" w:type="dxa"/>
            <w:tcMar>
              <w:top w:w="0" w:type="dxa"/>
              <w:left w:w="57" w:type="dxa"/>
              <w:bottom w:w="0" w:type="dxa"/>
              <w:right w:w="57" w:type="dxa"/>
            </w:tcMar>
          </w:tcPr>
          <w:p w14:paraId="7E8DDABA" w14:textId="77777777" w:rsidR="00784D05" w:rsidRDefault="00784D05">
            <w:pPr>
              <w:keepNext/>
              <w:keepLines/>
              <w:spacing w:before="50" w:after="50" w:line="240" w:lineRule="exact"/>
              <w:jc w:val="center"/>
              <w:rPr>
                <w:rFonts w:eastAsia="SimSun"/>
                <w:sz w:val="18"/>
                <w:szCs w:val="18"/>
                <w:lang w:val="lv-LV" w:eastAsia="zh-CN"/>
              </w:rPr>
            </w:pPr>
          </w:p>
        </w:tc>
      </w:tr>
      <w:tr w:rsidR="00B47B7D" w14:paraId="03954358" w14:textId="77777777" w:rsidTr="00707120">
        <w:trPr>
          <w:cantSplit/>
        </w:trPr>
        <w:tc>
          <w:tcPr>
            <w:tcW w:w="4509" w:type="dxa"/>
            <w:gridSpan w:val="2"/>
            <w:tcMar>
              <w:top w:w="0" w:type="dxa"/>
              <w:left w:w="57" w:type="dxa"/>
              <w:bottom w:w="0" w:type="dxa"/>
              <w:right w:w="57" w:type="dxa"/>
            </w:tcMar>
          </w:tcPr>
          <w:p w14:paraId="497AD324" w14:textId="7D7D9C14" w:rsidR="00784D05" w:rsidRDefault="00784D05" w:rsidP="00707120">
            <w:pPr>
              <w:keepNext/>
              <w:keepLines/>
              <w:spacing w:before="50" w:after="50" w:line="240" w:lineRule="exact"/>
              <w:ind w:left="482"/>
              <w:rPr>
                <w:rFonts w:eastAsia="SimSun"/>
                <w:sz w:val="18"/>
                <w:szCs w:val="18"/>
                <w:lang w:val="lv-LV" w:eastAsia="zh-CN"/>
              </w:rPr>
            </w:pPr>
            <w:r>
              <w:rPr>
                <w:rFonts w:eastAsia="SimSun"/>
                <w:sz w:val="18"/>
                <w:szCs w:val="18"/>
                <w:lang w:val="lv-LV" w:eastAsia="zh-CN"/>
              </w:rPr>
              <w:t>24. nedēļa</w:t>
            </w:r>
            <w:r w:rsidR="00B47B7D">
              <w:rPr>
                <w:rFonts w:eastAsia="SimSun"/>
                <w:szCs w:val="22"/>
                <w:lang w:val="en-GB" w:eastAsia="zh-CN"/>
              </w:rPr>
              <w:tab/>
            </w:r>
            <w:r>
              <w:rPr>
                <w:rFonts w:eastAsia="SimSun"/>
                <w:sz w:val="18"/>
                <w:szCs w:val="18"/>
                <w:lang w:val="lv-LV" w:eastAsia="zh-CN"/>
              </w:rPr>
              <w:t>ACR</w:t>
            </w:r>
            <w:r w:rsidR="00B47B7D">
              <w:rPr>
                <w:rFonts w:eastAsia="SimSun"/>
                <w:sz w:val="18"/>
                <w:szCs w:val="18"/>
                <w:lang w:val="lv-LV" w:eastAsia="zh-CN"/>
              </w:rPr>
              <w:t> </w:t>
            </w:r>
            <w:r>
              <w:rPr>
                <w:rFonts w:eastAsia="SimSun"/>
                <w:sz w:val="18"/>
                <w:szCs w:val="18"/>
                <w:lang w:val="lv-LV" w:eastAsia="zh-CN"/>
              </w:rPr>
              <w:t>20, n (%)</w:t>
            </w:r>
          </w:p>
        </w:tc>
        <w:tc>
          <w:tcPr>
            <w:tcW w:w="1111" w:type="dxa"/>
            <w:gridSpan w:val="2"/>
            <w:tcMar>
              <w:top w:w="0" w:type="dxa"/>
              <w:left w:w="57" w:type="dxa"/>
              <w:bottom w:w="0" w:type="dxa"/>
              <w:right w:w="57" w:type="dxa"/>
            </w:tcMar>
          </w:tcPr>
          <w:p w14:paraId="0802D74F" w14:textId="77777777" w:rsidR="00784D05" w:rsidRDefault="00784D05">
            <w:pPr>
              <w:keepNext/>
              <w:keepLines/>
              <w:spacing w:before="50" w:after="50" w:line="240" w:lineRule="exact"/>
              <w:jc w:val="center"/>
              <w:rPr>
                <w:rFonts w:eastAsia="SimSun"/>
                <w:sz w:val="18"/>
                <w:szCs w:val="18"/>
                <w:lang w:val="lv-LV" w:eastAsia="zh-CN"/>
              </w:rPr>
            </w:pPr>
            <w:r>
              <w:rPr>
                <w:rFonts w:eastAsia="SimSun"/>
                <w:sz w:val="18"/>
                <w:szCs w:val="18"/>
                <w:lang w:val="lv-LV" w:eastAsia="zh-CN"/>
              </w:rPr>
              <w:t>216 (74,5)*</w:t>
            </w:r>
          </w:p>
        </w:tc>
        <w:tc>
          <w:tcPr>
            <w:tcW w:w="1110" w:type="dxa"/>
            <w:gridSpan w:val="2"/>
            <w:tcMar>
              <w:top w:w="0" w:type="dxa"/>
              <w:left w:w="57" w:type="dxa"/>
              <w:bottom w:w="0" w:type="dxa"/>
              <w:right w:w="57" w:type="dxa"/>
            </w:tcMar>
          </w:tcPr>
          <w:p w14:paraId="700AB342" w14:textId="77777777" w:rsidR="00784D05" w:rsidRDefault="00784D05">
            <w:pPr>
              <w:keepNext/>
              <w:keepLines/>
              <w:spacing w:before="50" w:after="50" w:line="240" w:lineRule="exact"/>
              <w:jc w:val="center"/>
              <w:rPr>
                <w:rFonts w:eastAsia="SimSun"/>
                <w:sz w:val="18"/>
                <w:szCs w:val="18"/>
                <w:lang w:val="lv-LV" w:eastAsia="zh-CN"/>
              </w:rPr>
            </w:pPr>
            <w:r>
              <w:rPr>
                <w:rFonts w:eastAsia="SimSun"/>
                <w:sz w:val="18"/>
                <w:szCs w:val="18"/>
                <w:lang w:val="lv-LV" w:eastAsia="zh-CN"/>
              </w:rPr>
              <w:t>205 (70,2)</w:t>
            </w:r>
          </w:p>
        </w:tc>
        <w:tc>
          <w:tcPr>
            <w:tcW w:w="1108" w:type="dxa"/>
          </w:tcPr>
          <w:p w14:paraId="658BE8B4" w14:textId="77777777" w:rsidR="00784D05" w:rsidRDefault="00784D05">
            <w:pPr>
              <w:keepNext/>
              <w:keepLines/>
              <w:spacing w:before="50" w:after="50" w:line="240" w:lineRule="exact"/>
              <w:jc w:val="center"/>
              <w:rPr>
                <w:rFonts w:eastAsia="SimSun"/>
                <w:sz w:val="18"/>
                <w:szCs w:val="18"/>
                <w:lang w:val="lv-LV" w:eastAsia="zh-CN"/>
              </w:rPr>
            </w:pPr>
            <w:r>
              <w:rPr>
                <w:rFonts w:eastAsia="SimSun"/>
                <w:sz w:val="18"/>
                <w:szCs w:val="18"/>
                <w:lang w:val="lv-LV" w:eastAsia="zh-CN"/>
              </w:rPr>
              <w:t>212 (73,6)</w:t>
            </w:r>
          </w:p>
        </w:tc>
        <w:tc>
          <w:tcPr>
            <w:tcW w:w="1171" w:type="dxa"/>
            <w:tcMar>
              <w:top w:w="0" w:type="dxa"/>
              <w:left w:w="57" w:type="dxa"/>
              <w:bottom w:w="0" w:type="dxa"/>
              <w:right w:w="57" w:type="dxa"/>
            </w:tcMar>
          </w:tcPr>
          <w:p w14:paraId="436B39CD" w14:textId="77777777" w:rsidR="00784D05" w:rsidRDefault="00784D05">
            <w:pPr>
              <w:keepNext/>
              <w:keepLines/>
              <w:spacing w:before="50" w:after="50" w:line="240" w:lineRule="exact"/>
              <w:jc w:val="center"/>
              <w:rPr>
                <w:rFonts w:eastAsia="SimSun"/>
                <w:sz w:val="18"/>
                <w:szCs w:val="18"/>
                <w:lang w:val="lv-LV" w:eastAsia="zh-CN"/>
              </w:rPr>
            </w:pPr>
            <w:r>
              <w:rPr>
                <w:rFonts w:eastAsia="SimSun"/>
                <w:sz w:val="18"/>
                <w:szCs w:val="18"/>
                <w:lang w:val="lv-LV" w:eastAsia="zh-CN"/>
              </w:rPr>
              <w:t>187 (65,2)</w:t>
            </w:r>
          </w:p>
        </w:tc>
      </w:tr>
      <w:tr w:rsidR="00B47B7D" w14:paraId="209C36E0" w14:textId="77777777" w:rsidTr="00707120">
        <w:trPr>
          <w:cantSplit/>
        </w:trPr>
        <w:tc>
          <w:tcPr>
            <w:tcW w:w="4509" w:type="dxa"/>
            <w:gridSpan w:val="2"/>
            <w:tcMar>
              <w:top w:w="0" w:type="dxa"/>
              <w:left w:w="57" w:type="dxa"/>
              <w:bottom w:w="0" w:type="dxa"/>
              <w:right w:w="57" w:type="dxa"/>
            </w:tcMar>
          </w:tcPr>
          <w:p w14:paraId="10454098" w14:textId="678949FA" w:rsidR="00784D05" w:rsidRDefault="00B47B7D" w:rsidP="00707120">
            <w:pPr>
              <w:keepNext/>
              <w:keepLines/>
              <w:spacing w:before="50" w:after="50" w:line="240" w:lineRule="exact"/>
              <w:ind w:left="482"/>
              <w:rPr>
                <w:rFonts w:eastAsia="SimSun"/>
                <w:sz w:val="18"/>
                <w:szCs w:val="18"/>
                <w:lang w:val="lv-LV" w:eastAsia="zh-CN"/>
              </w:rPr>
            </w:pPr>
            <w:r>
              <w:rPr>
                <w:rFonts w:eastAsia="SimSun"/>
                <w:szCs w:val="22"/>
                <w:lang w:val="en-GB" w:eastAsia="zh-CN"/>
              </w:rPr>
              <w:tab/>
            </w:r>
            <w:r>
              <w:rPr>
                <w:rFonts w:eastAsia="SimSun"/>
                <w:szCs w:val="22"/>
                <w:lang w:val="en-GB" w:eastAsia="zh-CN"/>
              </w:rPr>
              <w:tab/>
            </w:r>
            <w:r>
              <w:rPr>
                <w:rFonts w:eastAsia="SimSun"/>
                <w:szCs w:val="22"/>
                <w:lang w:val="en-GB" w:eastAsia="zh-CN"/>
              </w:rPr>
              <w:tab/>
            </w:r>
            <w:r w:rsidR="00784D05">
              <w:rPr>
                <w:rFonts w:eastAsia="SimSun"/>
                <w:sz w:val="18"/>
                <w:szCs w:val="18"/>
                <w:lang w:val="lv-LV" w:eastAsia="zh-CN"/>
              </w:rPr>
              <w:t>ACR</w:t>
            </w:r>
            <w:r>
              <w:rPr>
                <w:rFonts w:eastAsia="SimSun"/>
                <w:sz w:val="18"/>
                <w:szCs w:val="18"/>
                <w:lang w:val="lv-LV" w:eastAsia="zh-CN"/>
              </w:rPr>
              <w:t> </w:t>
            </w:r>
            <w:r w:rsidR="00784D05">
              <w:rPr>
                <w:rFonts w:eastAsia="SimSun"/>
                <w:sz w:val="18"/>
                <w:szCs w:val="18"/>
                <w:lang w:val="lv-LV" w:eastAsia="zh-CN"/>
              </w:rPr>
              <w:t>50, n (%)</w:t>
            </w:r>
          </w:p>
        </w:tc>
        <w:tc>
          <w:tcPr>
            <w:tcW w:w="1111" w:type="dxa"/>
            <w:gridSpan w:val="2"/>
            <w:tcMar>
              <w:top w:w="0" w:type="dxa"/>
              <w:left w:w="57" w:type="dxa"/>
              <w:bottom w:w="0" w:type="dxa"/>
              <w:right w:w="57" w:type="dxa"/>
            </w:tcMar>
          </w:tcPr>
          <w:p w14:paraId="4BCBAE7B" w14:textId="77777777" w:rsidR="00784D05" w:rsidRDefault="00784D05">
            <w:pPr>
              <w:keepNext/>
              <w:keepLines/>
              <w:spacing w:before="50" w:after="50" w:line="240" w:lineRule="exact"/>
              <w:jc w:val="center"/>
              <w:rPr>
                <w:rFonts w:eastAsia="SimSun"/>
                <w:sz w:val="18"/>
                <w:szCs w:val="18"/>
                <w:lang w:val="lv-LV" w:eastAsia="zh-CN"/>
              </w:rPr>
            </w:pPr>
            <w:r>
              <w:rPr>
                <w:rFonts w:eastAsia="SimSun"/>
                <w:sz w:val="18"/>
                <w:szCs w:val="18"/>
                <w:lang w:val="lv-LV" w:eastAsia="zh-CN"/>
              </w:rPr>
              <w:t>165 (56,9)**</w:t>
            </w:r>
          </w:p>
        </w:tc>
        <w:tc>
          <w:tcPr>
            <w:tcW w:w="1110" w:type="dxa"/>
            <w:gridSpan w:val="2"/>
            <w:tcMar>
              <w:top w:w="0" w:type="dxa"/>
              <w:left w:w="57" w:type="dxa"/>
              <w:bottom w:w="0" w:type="dxa"/>
              <w:right w:w="57" w:type="dxa"/>
            </w:tcMar>
          </w:tcPr>
          <w:p w14:paraId="5FF1856A" w14:textId="77777777" w:rsidR="00784D05" w:rsidRDefault="00784D05">
            <w:pPr>
              <w:keepNext/>
              <w:keepLines/>
              <w:spacing w:before="50" w:after="50" w:line="240" w:lineRule="exact"/>
              <w:jc w:val="center"/>
              <w:rPr>
                <w:rFonts w:eastAsia="SimSun"/>
                <w:sz w:val="18"/>
                <w:szCs w:val="18"/>
                <w:lang w:val="lv-LV" w:eastAsia="zh-CN"/>
              </w:rPr>
            </w:pPr>
            <w:r>
              <w:rPr>
                <w:rFonts w:eastAsia="SimSun"/>
                <w:sz w:val="18"/>
                <w:szCs w:val="18"/>
                <w:lang w:val="lv-LV" w:eastAsia="zh-CN"/>
              </w:rPr>
              <w:t>139 (47,6)</w:t>
            </w:r>
          </w:p>
        </w:tc>
        <w:tc>
          <w:tcPr>
            <w:tcW w:w="1108" w:type="dxa"/>
          </w:tcPr>
          <w:p w14:paraId="4F982074" w14:textId="77777777" w:rsidR="00784D05" w:rsidRDefault="00784D05">
            <w:pPr>
              <w:keepNext/>
              <w:keepLines/>
              <w:spacing w:before="50" w:after="50" w:line="240" w:lineRule="exact"/>
              <w:jc w:val="center"/>
              <w:rPr>
                <w:rFonts w:eastAsia="SimSun"/>
                <w:sz w:val="18"/>
                <w:szCs w:val="18"/>
                <w:lang w:val="lv-LV" w:eastAsia="zh-CN"/>
              </w:rPr>
            </w:pPr>
            <w:r>
              <w:rPr>
                <w:rFonts w:eastAsia="SimSun"/>
                <w:sz w:val="18"/>
                <w:szCs w:val="18"/>
                <w:lang w:val="lv-LV" w:eastAsia="zh-CN"/>
              </w:rPr>
              <w:t>138 (47,9)</w:t>
            </w:r>
          </w:p>
        </w:tc>
        <w:tc>
          <w:tcPr>
            <w:tcW w:w="1171" w:type="dxa"/>
            <w:tcMar>
              <w:top w:w="0" w:type="dxa"/>
              <w:left w:w="57" w:type="dxa"/>
              <w:bottom w:w="0" w:type="dxa"/>
              <w:right w:w="57" w:type="dxa"/>
            </w:tcMar>
          </w:tcPr>
          <w:p w14:paraId="1A21E007" w14:textId="77777777" w:rsidR="00784D05" w:rsidRDefault="00784D05">
            <w:pPr>
              <w:keepNext/>
              <w:keepLines/>
              <w:spacing w:before="50" w:after="50" w:line="240" w:lineRule="exact"/>
              <w:jc w:val="center"/>
              <w:rPr>
                <w:rFonts w:eastAsia="SimSun"/>
                <w:sz w:val="18"/>
                <w:szCs w:val="18"/>
                <w:lang w:val="lv-LV" w:eastAsia="zh-CN"/>
              </w:rPr>
            </w:pPr>
            <w:r>
              <w:rPr>
                <w:rFonts w:eastAsia="SimSun"/>
                <w:sz w:val="18"/>
                <w:szCs w:val="18"/>
                <w:lang w:val="lv-LV" w:eastAsia="zh-CN"/>
              </w:rPr>
              <w:t>124 (43,2)</w:t>
            </w:r>
          </w:p>
        </w:tc>
      </w:tr>
      <w:tr w:rsidR="00B47B7D" w14:paraId="7768364D" w14:textId="77777777" w:rsidTr="00707120">
        <w:trPr>
          <w:cantSplit/>
        </w:trPr>
        <w:tc>
          <w:tcPr>
            <w:tcW w:w="4509" w:type="dxa"/>
            <w:gridSpan w:val="2"/>
            <w:tcMar>
              <w:top w:w="0" w:type="dxa"/>
              <w:left w:w="57" w:type="dxa"/>
              <w:bottom w:w="0" w:type="dxa"/>
              <w:right w:w="57" w:type="dxa"/>
            </w:tcMar>
          </w:tcPr>
          <w:p w14:paraId="23F1EA0C" w14:textId="0BBF366D" w:rsidR="00784D05" w:rsidRDefault="00B47B7D" w:rsidP="00707120">
            <w:pPr>
              <w:keepNext/>
              <w:keepLines/>
              <w:spacing w:before="50" w:after="50" w:line="240" w:lineRule="exact"/>
              <w:ind w:left="482"/>
              <w:rPr>
                <w:rFonts w:eastAsia="SimSun"/>
                <w:sz w:val="18"/>
                <w:szCs w:val="18"/>
                <w:lang w:val="lv-LV" w:eastAsia="zh-CN"/>
              </w:rPr>
            </w:pPr>
            <w:r>
              <w:rPr>
                <w:rFonts w:eastAsia="SimSun"/>
                <w:szCs w:val="22"/>
                <w:lang w:val="en-GB" w:eastAsia="zh-CN"/>
              </w:rPr>
              <w:tab/>
            </w:r>
            <w:r>
              <w:rPr>
                <w:rFonts w:eastAsia="SimSun"/>
                <w:szCs w:val="22"/>
                <w:lang w:val="en-GB" w:eastAsia="zh-CN"/>
              </w:rPr>
              <w:tab/>
            </w:r>
            <w:r>
              <w:rPr>
                <w:rFonts w:eastAsia="SimSun"/>
                <w:szCs w:val="22"/>
                <w:lang w:val="en-GB" w:eastAsia="zh-CN"/>
              </w:rPr>
              <w:tab/>
            </w:r>
            <w:r w:rsidR="00784D05">
              <w:rPr>
                <w:rFonts w:eastAsia="SimSun"/>
                <w:sz w:val="18"/>
                <w:szCs w:val="18"/>
                <w:lang w:val="lv-LV" w:eastAsia="zh-CN"/>
              </w:rPr>
              <w:t>ACR</w:t>
            </w:r>
            <w:r>
              <w:rPr>
                <w:rFonts w:eastAsia="SimSun"/>
                <w:sz w:val="18"/>
                <w:szCs w:val="18"/>
                <w:lang w:val="lv-LV" w:eastAsia="zh-CN"/>
              </w:rPr>
              <w:t> </w:t>
            </w:r>
            <w:r w:rsidR="00784D05">
              <w:rPr>
                <w:rFonts w:eastAsia="SimSun"/>
                <w:sz w:val="18"/>
                <w:szCs w:val="18"/>
                <w:lang w:val="lv-LV" w:eastAsia="zh-CN"/>
              </w:rPr>
              <w:t>70, n (%)</w:t>
            </w:r>
          </w:p>
        </w:tc>
        <w:tc>
          <w:tcPr>
            <w:tcW w:w="1111" w:type="dxa"/>
            <w:gridSpan w:val="2"/>
            <w:tcMar>
              <w:top w:w="0" w:type="dxa"/>
              <w:left w:w="57" w:type="dxa"/>
              <w:bottom w:w="0" w:type="dxa"/>
              <w:right w:w="57" w:type="dxa"/>
            </w:tcMar>
          </w:tcPr>
          <w:p w14:paraId="12AC8A74" w14:textId="77777777" w:rsidR="00784D05" w:rsidRDefault="00784D05">
            <w:pPr>
              <w:keepNext/>
              <w:keepLines/>
              <w:spacing w:before="50" w:after="50" w:line="240" w:lineRule="exact"/>
              <w:jc w:val="center"/>
              <w:rPr>
                <w:rFonts w:eastAsia="SimSun"/>
                <w:sz w:val="18"/>
                <w:szCs w:val="18"/>
                <w:lang w:val="lv-LV" w:eastAsia="zh-CN"/>
              </w:rPr>
            </w:pPr>
            <w:r>
              <w:rPr>
                <w:rFonts w:eastAsia="SimSun"/>
                <w:sz w:val="18"/>
                <w:szCs w:val="18"/>
                <w:lang w:val="lv-LV" w:eastAsia="zh-CN"/>
              </w:rPr>
              <w:t>112 (38,6)**</w:t>
            </w:r>
          </w:p>
        </w:tc>
        <w:tc>
          <w:tcPr>
            <w:tcW w:w="1110" w:type="dxa"/>
            <w:gridSpan w:val="2"/>
            <w:tcMar>
              <w:top w:w="0" w:type="dxa"/>
              <w:left w:w="57" w:type="dxa"/>
              <w:bottom w:w="0" w:type="dxa"/>
              <w:right w:w="57" w:type="dxa"/>
            </w:tcMar>
          </w:tcPr>
          <w:p w14:paraId="0048518C" w14:textId="77777777" w:rsidR="00784D05" w:rsidRDefault="00784D05">
            <w:pPr>
              <w:keepNext/>
              <w:keepLines/>
              <w:spacing w:before="50" w:after="50" w:line="240" w:lineRule="exact"/>
              <w:jc w:val="center"/>
              <w:rPr>
                <w:rFonts w:eastAsia="SimSun"/>
                <w:sz w:val="18"/>
                <w:szCs w:val="18"/>
                <w:lang w:val="lv-LV" w:eastAsia="zh-CN"/>
              </w:rPr>
            </w:pPr>
            <w:r>
              <w:rPr>
                <w:rFonts w:eastAsia="SimSun"/>
                <w:sz w:val="18"/>
                <w:szCs w:val="18"/>
                <w:lang w:val="lv-LV" w:eastAsia="zh-CN"/>
              </w:rPr>
              <w:t>88 (30,1)</w:t>
            </w:r>
          </w:p>
        </w:tc>
        <w:tc>
          <w:tcPr>
            <w:tcW w:w="1108" w:type="dxa"/>
          </w:tcPr>
          <w:p w14:paraId="716D0D52" w14:textId="77777777" w:rsidR="00784D05" w:rsidRDefault="00784D05">
            <w:pPr>
              <w:keepNext/>
              <w:keepLines/>
              <w:spacing w:before="50" w:after="50" w:line="240" w:lineRule="exact"/>
              <w:jc w:val="center"/>
              <w:rPr>
                <w:rFonts w:eastAsia="SimSun"/>
                <w:sz w:val="18"/>
                <w:szCs w:val="18"/>
                <w:lang w:val="lv-LV" w:eastAsia="zh-CN"/>
              </w:rPr>
            </w:pPr>
            <w:r>
              <w:rPr>
                <w:rFonts w:eastAsia="SimSun"/>
                <w:sz w:val="18"/>
                <w:szCs w:val="18"/>
                <w:lang w:val="lv-LV" w:eastAsia="zh-CN"/>
              </w:rPr>
              <w:t>100 (34,7)</w:t>
            </w:r>
          </w:p>
        </w:tc>
        <w:tc>
          <w:tcPr>
            <w:tcW w:w="1171" w:type="dxa"/>
            <w:tcMar>
              <w:top w:w="0" w:type="dxa"/>
              <w:left w:w="57" w:type="dxa"/>
              <w:bottom w:w="0" w:type="dxa"/>
              <w:right w:w="57" w:type="dxa"/>
            </w:tcMar>
          </w:tcPr>
          <w:p w14:paraId="7FA4FC19" w14:textId="77777777" w:rsidR="00784D05" w:rsidRDefault="00784D05">
            <w:pPr>
              <w:keepNext/>
              <w:keepLines/>
              <w:spacing w:before="50" w:after="50" w:line="240" w:lineRule="exact"/>
              <w:jc w:val="center"/>
              <w:rPr>
                <w:rFonts w:eastAsia="SimSun"/>
                <w:sz w:val="18"/>
                <w:szCs w:val="18"/>
                <w:lang w:val="lv-LV" w:eastAsia="zh-CN"/>
              </w:rPr>
            </w:pPr>
            <w:r>
              <w:rPr>
                <w:rFonts w:eastAsia="SimSun"/>
                <w:sz w:val="18"/>
                <w:szCs w:val="18"/>
                <w:lang w:val="lv-LV" w:eastAsia="zh-CN"/>
              </w:rPr>
              <w:t>73 (25,4)</w:t>
            </w:r>
          </w:p>
        </w:tc>
      </w:tr>
      <w:tr w:rsidR="00B47B7D" w14:paraId="0EC1B159" w14:textId="77777777" w:rsidTr="00707120">
        <w:trPr>
          <w:cantSplit/>
        </w:trPr>
        <w:tc>
          <w:tcPr>
            <w:tcW w:w="4509" w:type="dxa"/>
            <w:gridSpan w:val="2"/>
            <w:tcMar>
              <w:top w:w="0" w:type="dxa"/>
              <w:left w:w="57" w:type="dxa"/>
              <w:bottom w:w="0" w:type="dxa"/>
              <w:right w:w="57" w:type="dxa"/>
            </w:tcMar>
          </w:tcPr>
          <w:p w14:paraId="73F8257A" w14:textId="56D9A459" w:rsidR="00784D05" w:rsidRDefault="00784D05" w:rsidP="00707120">
            <w:pPr>
              <w:keepNext/>
              <w:keepLines/>
              <w:spacing w:before="50" w:after="50" w:line="240" w:lineRule="exact"/>
              <w:ind w:left="482"/>
              <w:rPr>
                <w:rFonts w:eastAsia="SimSun"/>
                <w:sz w:val="18"/>
                <w:szCs w:val="18"/>
                <w:lang w:val="lv-LV" w:eastAsia="zh-CN"/>
              </w:rPr>
            </w:pPr>
            <w:r>
              <w:rPr>
                <w:rFonts w:eastAsia="SimSun"/>
                <w:sz w:val="18"/>
                <w:szCs w:val="18"/>
                <w:lang w:val="lv-LV" w:eastAsia="zh-CN"/>
              </w:rPr>
              <w:t>52. nedēļa</w:t>
            </w:r>
            <w:r w:rsidR="00B47B7D">
              <w:rPr>
                <w:rFonts w:eastAsia="SimSun"/>
                <w:szCs w:val="22"/>
                <w:lang w:val="en-GB" w:eastAsia="zh-CN"/>
              </w:rPr>
              <w:tab/>
            </w:r>
            <w:r>
              <w:rPr>
                <w:rFonts w:eastAsia="SimSun"/>
                <w:sz w:val="18"/>
                <w:szCs w:val="18"/>
                <w:lang w:val="lv-LV" w:eastAsia="zh-CN"/>
              </w:rPr>
              <w:t>ACR</w:t>
            </w:r>
            <w:r w:rsidR="00B47B7D">
              <w:rPr>
                <w:rFonts w:eastAsia="SimSun"/>
                <w:sz w:val="18"/>
                <w:szCs w:val="18"/>
                <w:lang w:val="lv-LV" w:eastAsia="zh-CN"/>
              </w:rPr>
              <w:t> </w:t>
            </w:r>
            <w:r>
              <w:rPr>
                <w:rFonts w:eastAsia="SimSun"/>
                <w:sz w:val="18"/>
                <w:szCs w:val="18"/>
                <w:lang w:val="lv-LV" w:eastAsia="zh-CN"/>
              </w:rPr>
              <w:t>20, n (%)</w:t>
            </w:r>
          </w:p>
        </w:tc>
        <w:tc>
          <w:tcPr>
            <w:tcW w:w="1111" w:type="dxa"/>
            <w:gridSpan w:val="2"/>
            <w:tcMar>
              <w:top w:w="0" w:type="dxa"/>
              <w:left w:w="57" w:type="dxa"/>
              <w:bottom w:w="0" w:type="dxa"/>
              <w:right w:w="57" w:type="dxa"/>
            </w:tcMar>
          </w:tcPr>
          <w:p w14:paraId="11C29CC1" w14:textId="77777777" w:rsidR="00784D05" w:rsidRDefault="00784D05">
            <w:pPr>
              <w:keepNext/>
              <w:keepLines/>
              <w:spacing w:before="50" w:after="50" w:line="240" w:lineRule="exact"/>
              <w:jc w:val="center"/>
              <w:rPr>
                <w:rFonts w:eastAsia="SimSun"/>
                <w:sz w:val="18"/>
                <w:szCs w:val="18"/>
                <w:lang w:val="lv-LV" w:eastAsia="zh-CN"/>
              </w:rPr>
            </w:pPr>
            <w:r>
              <w:rPr>
                <w:rFonts w:eastAsia="SimSun"/>
                <w:sz w:val="18"/>
                <w:szCs w:val="18"/>
                <w:lang w:val="lv-LV" w:eastAsia="zh-CN"/>
              </w:rPr>
              <w:t>195 (67,2)*</w:t>
            </w:r>
          </w:p>
        </w:tc>
        <w:tc>
          <w:tcPr>
            <w:tcW w:w="1110" w:type="dxa"/>
            <w:gridSpan w:val="2"/>
            <w:tcMar>
              <w:top w:w="0" w:type="dxa"/>
              <w:left w:w="57" w:type="dxa"/>
              <w:bottom w:w="0" w:type="dxa"/>
              <w:right w:w="57" w:type="dxa"/>
            </w:tcMar>
          </w:tcPr>
          <w:p w14:paraId="72044D16" w14:textId="77777777" w:rsidR="00784D05" w:rsidRDefault="00784D05">
            <w:pPr>
              <w:keepNext/>
              <w:keepLines/>
              <w:spacing w:before="50" w:after="50" w:line="240" w:lineRule="exact"/>
              <w:jc w:val="center"/>
              <w:rPr>
                <w:rFonts w:eastAsia="SimSun"/>
                <w:sz w:val="18"/>
                <w:szCs w:val="18"/>
                <w:lang w:val="lv-LV" w:eastAsia="zh-CN"/>
              </w:rPr>
            </w:pPr>
            <w:r>
              <w:rPr>
                <w:rFonts w:eastAsia="SimSun"/>
                <w:sz w:val="18"/>
                <w:szCs w:val="18"/>
                <w:lang w:val="lv-LV" w:eastAsia="zh-CN"/>
              </w:rPr>
              <w:t>184 (63,0)</w:t>
            </w:r>
          </w:p>
        </w:tc>
        <w:tc>
          <w:tcPr>
            <w:tcW w:w="1108" w:type="dxa"/>
          </w:tcPr>
          <w:p w14:paraId="2A0E2EF1" w14:textId="77777777" w:rsidR="00784D05" w:rsidRDefault="00784D05">
            <w:pPr>
              <w:keepNext/>
              <w:keepLines/>
              <w:spacing w:before="50" w:after="50" w:line="240" w:lineRule="exact"/>
              <w:jc w:val="center"/>
              <w:rPr>
                <w:rFonts w:eastAsia="SimSun"/>
                <w:sz w:val="18"/>
                <w:szCs w:val="18"/>
                <w:lang w:val="lv-LV" w:eastAsia="zh-CN"/>
              </w:rPr>
            </w:pPr>
            <w:r>
              <w:rPr>
                <w:rFonts w:eastAsia="SimSun"/>
                <w:sz w:val="18"/>
                <w:szCs w:val="18"/>
                <w:lang w:val="lv-LV" w:eastAsia="zh-CN"/>
              </w:rPr>
              <w:t>181 (62,8)</w:t>
            </w:r>
          </w:p>
        </w:tc>
        <w:tc>
          <w:tcPr>
            <w:tcW w:w="1171" w:type="dxa"/>
            <w:tcMar>
              <w:top w:w="0" w:type="dxa"/>
              <w:left w:w="57" w:type="dxa"/>
              <w:bottom w:w="0" w:type="dxa"/>
              <w:right w:w="57" w:type="dxa"/>
            </w:tcMar>
          </w:tcPr>
          <w:p w14:paraId="7D2BA764" w14:textId="77777777" w:rsidR="00784D05" w:rsidRDefault="00784D05">
            <w:pPr>
              <w:keepNext/>
              <w:keepLines/>
              <w:spacing w:before="50" w:after="50" w:line="240" w:lineRule="exact"/>
              <w:jc w:val="center"/>
              <w:rPr>
                <w:rFonts w:eastAsia="SimSun"/>
                <w:sz w:val="18"/>
                <w:szCs w:val="18"/>
                <w:lang w:val="lv-LV" w:eastAsia="zh-CN"/>
              </w:rPr>
            </w:pPr>
            <w:r>
              <w:rPr>
                <w:rFonts w:eastAsia="SimSun"/>
                <w:sz w:val="18"/>
                <w:szCs w:val="18"/>
                <w:lang w:val="lv-LV" w:eastAsia="zh-CN"/>
              </w:rPr>
              <w:t>164 (57,1)</w:t>
            </w:r>
          </w:p>
        </w:tc>
      </w:tr>
      <w:tr w:rsidR="00B47B7D" w14:paraId="59370869" w14:textId="77777777" w:rsidTr="00707120">
        <w:trPr>
          <w:cantSplit/>
        </w:trPr>
        <w:tc>
          <w:tcPr>
            <w:tcW w:w="4509" w:type="dxa"/>
            <w:gridSpan w:val="2"/>
            <w:tcMar>
              <w:top w:w="0" w:type="dxa"/>
              <w:left w:w="57" w:type="dxa"/>
              <w:bottom w:w="0" w:type="dxa"/>
              <w:right w:w="57" w:type="dxa"/>
            </w:tcMar>
          </w:tcPr>
          <w:p w14:paraId="37BD6D49" w14:textId="10C53D05" w:rsidR="00784D05" w:rsidRDefault="00B47B7D" w:rsidP="00707120">
            <w:pPr>
              <w:keepNext/>
              <w:keepLines/>
              <w:spacing w:before="50" w:after="50" w:line="240" w:lineRule="exact"/>
              <w:ind w:left="482"/>
              <w:rPr>
                <w:rFonts w:eastAsia="SimSun"/>
                <w:sz w:val="18"/>
                <w:szCs w:val="18"/>
                <w:lang w:val="lv-LV" w:eastAsia="zh-CN"/>
              </w:rPr>
            </w:pPr>
            <w:r>
              <w:rPr>
                <w:rFonts w:eastAsia="SimSun"/>
                <w:szCs w:val="22"/>
                <w:lang w:val="en-GB" w:eastAsia="zh-CN"/>
              </w:rPr>
              <w:tab/>
            </w:r>
            <w:r>
              <w:rPr>
                <w:rFonts w:eastAsia="SimSun"/>
                <w:szCs w:val="22"/>
                <w:lang w:val="en-GB" w:eastAsia="zh-CN"/>
              </w:rPr>
              <w:tab/>
            </w:r>
            <w:r>
              <w:rPr>
                <w:rFonts w:eastAsia="SimSun"/>
                <w:szCs w:val="22"/>
                <w:lang w:val="en-GB" w:eastAsia="zh-CN"/>
              </w:rPr>
              <w:tab/>
            </w:r>
            <w:r w:rsidR="00784D05">
              <w:rPr>
                <w:rFonts w:eastAsia="SimSun"/>
                <w:sz w:val="18"/>
                <w:szCs w:val="18"/>
                <w:lang w:val="lv-LV" w:eastAsia="zh-CN"/>
              </w:rPr>
              <w:t>ACR</w:t>
            </w:r>
            <w:r>
              <w:rPr>
                <w:rFonts w:eastAsia="SimSun"/>
                <w:sz w:val="18"/>
                <w:szCs w:val="18"/>
                <w:lang w:val="lv-LV" w:eastAsia="zh-CN"/>
              </w:rPr>
              <w:t> </w:t>
            </w:r>
            <w:r w:rsidR="00784D05">
              <w:rPr>
                <w:rFonts w:eastAsia="SimSun"/>
                <w:sz w:val="18"/>
                <w:szCs w:val="18"/>
                <w:lang w:val="lv-LV" w:eastAsia="zh-CN"/>
              </w:rPr>
              <w:t>50, n (%)</w:t>
            </w:r>
          </w:p>
        </w:tc>
        <w:tc>
          <w:tcPr>
            <w:tcW w:w="1111" w:type="dxa"/>
            <w:gridSpan w:val="2"/>
            <w:tcMar>
              <w:top w:w="0" w:type="dxa"/>
              <w:left w:w="57" w:type="dxa"/>
              <w:bottom w:w="0" w:type="dxa"/>
              <w:right w:w="57" w:type="dxa"/>
            </w:tcMar>
          </w:tcPr>
          <w:p w14:paraId="79166E12" w14:textId="77777777" w:rsidR="00784D05" w:rsidRDefault="00784D05">
            <w:pPr>
              <w:keepNext/>
              <w:keepLines/>
              <w:spacing w:before="50" w:after="50" w:line="240" w:lineRule="exact"/>
              <w:jc w:val="center"/>
              <w:rPr>
                <w:rFonts w:eastAsia="SimSun"/>
                <w:sz w:val="18"/>
                <w:szCs w:val="18"/>
                <w:lang w:val="lv-LV" w:eastAsia="zh-CN"/>
              </w:rPr>
            </w:pPr>
            <w:r>
              <w:rPr>
                <w:rFonts w:eastAsia="SimSun"/>
                <w:sz w:val="18"/>
                <w:szCs w:val="18"/>
                <w:lang w:val="lv-LV" w:eastAsia="zh-CN"/>
              </w:rPr>
              <w:t>162 (55,9)**</w:t>
            </w:r>
          </w:p>
        </w:tc>
        <w:tc>
          <w:tcPr>
            <w:tcW w:w="1110" w:type="dxa"/>
            <w:gridSpan w:val="2"/>
            <w:tcMar>
              <w:top w:w="0" w:type="dxa"/>
              <w:left w:w="57" w:type="dxa"/>
              <w:bottom w:w="0" w:type="dxa"/>
              <w:right w:w="57" w:type="dxa"/>
            </w:tcMar>
          </w:tcPr>
          <w:p w14:paraId="6C899F99" w14:textId="77777777" w:rsidR="00784D05" w:rsidRDefault="00784D05">
            <w:pPr>
              <w:keepNext/>
              <w:keepLines/>
              <w:spacing w:before="50" w:after="50" w:line="240" w:lineRule="exact"/>
              <w:jc w:val="center"/>
              <w:rPr>
                <w:rFonts w:eastAsia="SimSun"/>
                <w:sz w:val="18"/>
                <w:szCs w:val="18"/>
                <w:lang w:val="lv-LV" w:eastAsia="zh-CN"/>
              </w:rPr>
            </w:pPr>
            <w:r>
              <w:rPr>
                <w:rFonts w:eastAsia="SimSun"/>
                <w:sz w:val="18"/>
                <w:szCs w:val="18"/>
                <w:lang w:val="lv-LV" w:eastAsia="zh-CN"/>
              </w:rPr>
              <w:t>144 (49,3)</w:t>
            </w:r>
          </w:p>
        </w:tc>
        <w:tc>
          <w:tcPr>
            <w:tcW w:w="1108" w:type="dxa"/>
          </w:tcPr>
          <w:p w14:paraId="76BCA28C" w14:textId="77777777" w:rsidR="00784D05" w:rsidRDefault="00784D05">
            <w:pPr>
              <w:keepNext/>
              <w:keepLines/>
              <w:spacing w:before="50" w:after="50" w:line="240" w:lineRule="exact"/>
              <w:jc w:val="center"/>
              <w:rPr>
                <w:rFonts w:eastAsia="SimSun"/>
                <w:sz w:val="18"/>
                <w:szCs w:val="18"/>
                <w:lang w:val="lv-LV" w:eastAsia="zh-CN"/>
              </w:rPr>
            </w:pPr>
            <w:r>
              <w:rPr>
                <w:rFonts w:eastAsia="SimSun"/>
                <w:sz w:val="18"/>
                <w:szCs w:val="18"/>
                <w:lang w:val="lv-LV" w:eastAsia="zh-CN"/>
              </w:rPr>
              <w:t>151 (52,4)</w:t>
            </w:r>
          </w:p>
        </w:tc>
        <w:tc>
          <w:tcPr>
            <w:tcW w:w="1171" w:type="dxa"/>
            <w:tcMar>
              <w:top w:w="0" w:type="dxa"/>
              <w:left w:w="57" w:type="dxa"/>
              <w:bottom w:w="0" w:type="dxa"/>
              <w:right w:w="57" w:type="dxa"/>
            </w:tcMar>
          </w:tcPr>
          <w:p w14:paraId="3DB4B957" w14:textId="77777777" w:rsidR="00784D05" w:rsidRDefault="00784D05">
            <w:pPr>
              <w:keepNext/>
              <w:keepLines/>
              <w:spacing w:before="50" w:after="50" w:line="240" w:lineRule="exact"/>
              <w:jc w:val="center"/>
              <w:rPr>
                <w:rFonts w:eastAsia="SimSun"/>
                <w:sz w:val="18"/>
                <w:szCs w:val="18"/>
                <w:lang w:val="lv-LV" w:eastAsia="zh-CN"/>
              </w:rPr>
            </w:pPr>
            <w:r>
              <w:rPr>
                <w:rFonts w:eastAsia="SimSun"/>
                <w:sz w:val="18"/>
                <w:szCs w:val="18"/>
                <w:lang w:val="lv-LV" w:eastAsia="zh-CN"/>
              </w:rPr>
              <w:t>117 (40,8)</w:t>
            </w:r>
          </w:p>
        </w:tc>
      </w:tr>
      <w:tr w:rsidR="00B47B7D" w14:paraId="4DF26A53" w14:textId="77777777" w:rsidTr="00707120">
        <w:trPr>
          <w:cantSplit/>
        </w:trPr>
        <w:tc>
          <w:tcPr>
            <w:tcW w:w="4509" w:type="dxa"/>
            <w:gridSpan w:val="2"/>
            <w:tcMar>
              <w:top w:w="0" w:type="dxa"/>
              <w:left w:w="57" w:type="dxa"/>
              <w:bottom w:w="0" w:type="dxa"/>
              <w:right w:w="57" w:type="dxa"/>
            </w:tcMar>
          </w:tcPr>
          <w:p w14:paraId="2F4A7AC3" w14:textId="054608CF" w:rsidR="00784D05" w:rsidRDefault="00B47B7D" w:rsidP="00707120">
            <w:pPr>
              <w:keepNext/>
              <w:keepLines/>
              <w:spacing w:before="50" w:after="50" w:line="240" w:lineRule="exact"/>
              <w:ind w:left="482"/>
              <w:rPr>
                <w:rFonts w:eastAsia="SimSun"/>
                <w:sz w:val="18"/>
                <w:szCs w:val="18"/>
                <w:lang w:val="lv-LV" w:eastAsia="zh-CN"/>
              </w:rPr>
            </w:pPr>
            <w:r>
              <w:rPr>
                <w:rFonts w:eastAsia="SimSun"/>
                <w:szCs w:val="22"/>
                <w:lang w:val="en-GB" w:eastAsia="zh-CN"/>
              </w:rPr>
              <w:tab/>
            </w:r>
            <w:r>
              <w:rPr>
                <w:rFonts w:eastAsia="SimSun"/>
                <w:szCs w:val="22"/>
                <w:lang w:val="en-GB" w:eastAsia="zh-CN"/>
              </w:rPr>
              <w:tab/>
            </w:r>
            <w:r>
              <w:rPr>
                <w:rFonts w:eastAsia="SimSun"/>
                <w:szCs w:val="22"/>
                <w:lang w:val="en-GB" w:eastAsia="zh-CN"/>
              </w:rPr>
              <w:tab/>
            </w:r>
            <w:r w:rsidR="00784D05">
              <w:rPr>
                <w:rFonts w:eastAsia="SimSun"/>
                <w:sz w:val="18"/>
                <w:szCs w:val="18"/>
                <w:lang w:val="lv-LV" w:eastAsia="zh-CN"/>
              </w:rPr>
              <w:t>ACR</w:t>
            </w:r>
            <w:r>
              <w:rPr>
                <w:rFonts w:eastAsia="SimSun"/>
                <w:sz w:val="18"/>
                <w:szCs w:val="18"/>
                <w:lang w:val="lv-LV" w:eastAsia="zh-CN"/>
              </w:rPr>
              <w:t> </w:t>
            </w:r>
            <w:r w:rsidR="00784D05">
              <w:rPr>
                <w:rFonts w:eastAsia="SimSun"/>
                <w:sz w:val="18"/>
                <w:szCs w:val="18"/>
                <w:lang w:val="lv-LV" w:eastAsia="zh-CN"/>
              </w:rPr>
              <w:t>70, n (%)</w:t>
            </w:r>
          </w:p>
        </w:tc>
        <w:tc>
          <w:tcPr>
            <w:tcW w:w="1111" w:type="dxa"/>
            <w:gridSpan w:val="2"/>
            <w:tcMar>
              <w:top w:w="0" w:type="dxa"/>
              <w:left w:w="57" w:type="dxa"/>
              <w:bottom w:w="0" w:type="dxa"/>
              <w:right w:w="57" w:type="dxa"/>
            </w:tcMar>
          </w:tcPr>
          <w:p w14:paraId="575463C7" w14:textId="77777777" w:rsidR="00784D05" w:rsidRDefault="00784D05">
            <w:pPr>
              <w:keepNext/>
              <w:keepLines/>
              <w:spacing w:before="50" w:after="50" w:line="240" w:lineRule="exact"/>
              <w:jc w:val="center"/>
              <w:rPr>
                <w:rFonts w:eastAsia="SimSun"/>
                <w:sz w:val="18"/>
                <w:szCs w:val="18"/>
                <w:lang w:val="lv-LV" w:eastAsia="zh-CN"/>
              </w:rPr>
            </w:pPr>
            <w:r>
              <w:rPr>
                <w:rFonts w:eastAsia="SimSun"/>
                <w:sz w:val="18"/>
                <w:szCs w:val="18"/>
                <w:lang w:val="lv-LV" w:eastAsia="zh-CN"/>
              </w:rPr>
              <w:t>125 (43,1)**</w:t>
            </w:r>
          </w:p>
        </w:tc>
        <w:tc>
          <w:tcPr>
            <w:tcW w:w="1110" w:type="dxa"/>
            <w:gridSpan w:val="2"/>
            <w:tcMar>
              <w:top w:w="0" w:type="dxa"/>
              <w:left w:w="57" w:type="dxa"/>
              <w:bottom w:w="0" w:type="dxa"/>
              <w:right w:w="57" w:type="dxa"/>
            </w:tcMar>
          </w:tcPr>
          <w:p w14:paraId="5B84BA6F" w14:textId="77777777" w:rsidR="00784D05" w:rsidRDefault="00784D05">
            <w:pPr>
              <w:keepNext/>
              <w:keepLines/>
              <w:spacing w:before="50" w:after="50" w:line="240" w:lineRule="exact"/>
              <w:jc w:val="center"/>
              <w:rPr>
                <w:rFonts w:eastAsia="SimSun"/>
                <w:sz w:val="18"/>
                <w:szCs w:val="18"/>
                <w:lang w:val="lv-LV" w:eastAsia="zh-CN"/>
              </w:rPr>
            </w:pPr>
            <w:r>
              <w:rPr>
                <w:rFonts w:eastAsia="SimSun"/>
                <w:sz w:val="18"/>
                <w:szCs w:val="18"/>
                <w:lang w:val="lv-LV" w:eastAsia="zh-CN"/>
              </w:rPr>
              <w:t>105 (36,0)</w:t>
            </w:r>
          </w:p>
        </w:tc>
        <w:tc>
          <w:tcPr>
            <w:tcW w:w="1108" w:type="dxa"/>
          </w:tcPr>
          <w:p w14:paraId="0DF118CE" w14:textId="77777777" w:rsidR="00784D05" w:rsidRDefault="00784D05">
            <w:pPr>
              <w:keepNext/>
              <w:keepLines/>
              <w:spacing w:before="50" w:after="50" w:line="240" w:lineRule="exact"/>
              <w:jc w:val="center"/>
              <w:rPr>
                <w:rFonts w:eastAsia="SimSun"/>
                <w:sz w:val="18"/>
                <w:szCs w:val="18"/>
                <w:lang w:val="lv-LV" w:eastAsia="zh-CN"/>
              </w:rPr>
            </w:pPr>
            <w:r>
              <w:rPr>
                <w:rFonts w:eastAsia="SimSun"/>
                <w:sz w:val="18"/>
                <w:szCs w:val="18"/>
                <w:lang w:val="lv-LV" w:eastAsia="zh-CN"/>
              </w:rPr>
              <w:t>107 (37,2)</w:t>
            </w:r>
          </w:p>
        </w:tc>
        <w:tc>
          <w:tcPr>
            <w:tcW w:w="1171" w:type="dxa"/>
            <w:tcMar>
              <w:top w:w="0" w:type="dxa"/>
              <w:left w:w="57" w:type="dxa"/>
              <w:bottom w:w="0" w:type="dxa"/>
              <w:right w:w="57" w:type="dxa"/>
            </w:tcMar>
          </w:tcPr>
          <w:p w14:paraId="75516090" w14:textId="77777777" w:rsidR="00784D05" w:rsidRDefault="00784D05">
            <w:pPr>
              <w:keepNext/>
              <w:keepLines/>
              <w:spacing w:before="50" w:after="50" w:line="240" w:lineRule="exact"/>
              <w:jc w:val="center"/>
              <w:rPr>
                <w:rFonts w:eastAsia="SimSun"/>
                <w:sz w:val="18"/>
                <w:szCs w:val="18"/>
                <w:lang w:val="lv-LV" w:eastAsia="zh-CN"/>
              </w:rPr>
            </w:pPr>
            <w:r>
              <w:rPr>
                <w:rFonts w:eastAsia="SimSun"/>
                <w:sz w:val="18"/>
                <w:szCs w:val="18"/>
                <w:lang w:val="lv-LV" w:eastAsia="zh-CN"/>
              </w:rPr>
              <w:t>83 (28,9)</w:t>
            </w:r>
          </w:p>
        </w:tc>
      </w:tr>
      <w:tr w:rsidR="00B47B7D" w14:paraId="536640ED" w14:textId="77777777" w:rsidTr="00707120">
        <w:trPr>
          <w:cantSplit/>
        </w:trPr>
        <w:tc>
          <w:tcPr>
            <w:tcW w:w="4509" w:type="dxa"/>
            <w:gridSpan w:val="2"/>
            <w:tcMar>
              <w:top w:w="0" w:type="dxa"/>
              <w:left w:w="57" w:type="dxa"/>
              <w:bottom w:w="0" w:type="dxa"/>
              <w:right w:w="57" w:type="dxa"/>
            </w:tcMar>
          </w:tcPr>
          <w:p w14:paraId="67E5CF49" w14:textId="4AC0CC21" w:rsidR="00784D05" w:rsidRDefault="00784D05" w:rsidP="00B47B7D">
            <w:pPr>
              <w:keepNext/>
              <w:keepLines/>
              <w:spacing w:before="50" w:after="50" w:line="240" w:lineRule="exact"/>
              <w:rPr>
                <w:rFonts w:eastAsia="SimSun"/>
                <w:sz w:val="18"/>
                <w:szCs w:val="18"/>
                <w:lang w:val="lv-LV" w:eastAsia="zh-CN"/>
              </w:rPr>
            </w:pPr>
            <w:r>
              <w:rPr>
                <w:rFonts w:eastAsia="SimSun"/>
                <w:sz w:val="18"/>
                <w:szCs w:val="18"/>
                <w:lang w:val="lv-LV" w:eastAsia="zh-CN"/>
              </w:rPr>
              <w:t>HAQ-DI (standartizētā</w:t>
            </w:r>
            <w:r w:rsidR="00B47B7D">
              <w:rPr>
                <w:rFonts w:eastAsia="SimSun"/>
                <w:sz w:val="18"/>
                <w:szCs w:val="18"/>
                <w:lang w:val="lv-LV" w:eastAsia="zh-CN"/>
              </w:rPr>
              <w:t>s</w:t>
            </w:r>
            <w:r>
              <w:rPr>
                <w:rFonts w:eastAsia="SimSun"/>
                <w:sz w:val="18"/>
                <w:szCs w:val="18"/>
                <w:lang w:val="lv-LV" w:eastAsia="zh-CN"/>
              </w:rPr>
              <w:t xml:space="preserve"> vidējā</w:t>
            </w:r>
            <w:r w:rsidR="00B47B7D">
              <w:rPr>
                <w:rFonts w:eastAsia="SimSun"/>
                <w:sz w:val="18"/>
                <w:szCs w:val="18"/>
                <w:lang w:val="lv-LV" w:eastAsia="zh-CN"/>
              </w:rPr>
              <w:t>s</w:t>
            </w:r>
            <w:r>
              <w:rPr>
                <w:rFonts w:eastAsia="SimSun"/>
                <w:sz w:val="18"/>
                <w:szCs w:val="18"/>
                <w:lang w:val="lv-LV" w:eastAsia="zh-CN"/>
              </w:rPr>
              <w:t xml:space="preserve"> izmaiņa</w:t>
            </w:r>
            <w:r w:rsidR="00B47B7D">
              <w:rPr>
                <w:rFonts w:eastAsia="SimSun"/>
                <w:sz w:val="18"/>
                <w:szCs w:val="18"/>
                <w:lang w:val="lv-LV" w:eastAsia="zh-CN"/>
              </w:rPr>
              <w:t>s</w:t>
            </w:r>
            <w:r>
              <w:rPr>
                <w:rFonts w:eastAsia="SimSun"/>
                <w:sz w:val="18"/>
                <w:szCs w:val="18"/>
                <w:lang w:val="lv-LV" w:eastAsia="zh-CN"/>
              </w:rPr>
              <w:t>, salīdzinot ar pētījuma sākumu)</w:t>
            </w:r>
          </w:p>
        </w:tc>
        <w:tc>
          <w:tcPr>
            <w:tcW w:w="1111" w:type="dxa"/>
            <w:gridSpan w:val="2"/>
            <w:tcMar>
              <w:top w:w="0" w:type="dxa"/>
              <w:left w:w="57" w:type="dxa"/>
              <w:bottom w:w="0" w:type="dxa"/>
              <w:right w:w="57" w:type="dxa"/>
            </w:tcMar>
          </w:tcPr>
          <w:p w14:paraId="764E1B40" w14:textId="77777777" w:rsidR="00784D05" w:rsidRDefault="00784D05">
            <w:pPr>
              <w:keepNext/>
              <w:keepLines/>
              <w:spacing w:before="50" w:after="50" w:line="240" w:lineRule="exact"/>
              <w:rPr>
                <w:rFonts w:eastAsia="SimSun"/>
                <w:sz w:val="18"/>
                <w:szCs w:val="18"/>
                <w:lang w:val="lv-LV" w:eastAsia="zh-CN"/>
              </w:rPr>
            </w:pPr>
          </w:p>
        </w:tc>
        <w:tc>
          <w:tcPr>
            <w:tcW w:w="1110" w:type="dxa"/>
            <w:gridSpan w:val="2"/>
            <w:tcMar>
              <w:top w:w="0" w:type="dxa"/>
              <w:left w:w="57" w:type="dxa"/>
              <w:bottom w:w="0" w:type="dxa"/>
              <w:right w:w="57" w:type="dxa"/>
            </w:tcMar>
          </w:tcPr>
          <w:p w14:paraId="2D78707F" w14:textId="77777777" w:rsidR="00784D05" w:rsidRDefault="00784D05">
            <w:pPr>
              <w:keepNext/>
              <w:keepLines/>
              <w:spacing w:before="50" w:after="50" w:line="240" w:lineRule="exact"/>
              <w:rPr>
                <w:rFonts w:eastAsia="SimSun"/>
                <w:sz w:val="18"/>
                <w:szCs w:val="18"/>
                <w:lang w:val="lv-LV" w:eastAsia="zh-CN"/>
              </w:rPr>
            </w:pPr>
          </w:p>
        </w:tc>
        <w:tc>
          <w:tcPr>
            <w:tcW w:w="1108" w:type="dxa"/>
          </w:tcPr>
          <w:p w14:paraId="00807090" w14:textId="77777777" w:rsidR="00784D05" w:rsidRDefault="00784D05">
            <w:pPr>
              <w:keepNext/>
              <w:keepLines/>
              <w:spacing w:before="50" w:after="50" w:line="240" w:lineRule="exact"/>
              <w:rPr>
                <w:rFonts w:eastAsia="SimSun"/>
                <w:sz w:val="18"/>
                <w:szCs w:val="18"/>
                <w:lang w:val="lv-LV" w:eastAsia="zh-CN"/>
              </w:rPr>
            </w:pPr>
          </w:p>
        </w:tc>
        <w:tc>
          <w:tcPr>
            <w:tcW w:w="1171" w:type="dxa"/>
            <w:tcMar>
              <w:top w:w="0" w:type="dxa"/>
              <w:left w:w="57" w:type="dxa"/>
              <w:bottom w:w="0" w:type="dxa"/>
              <w:right w:w="57" w:type="dxa"/>
            </w:tcMar>
          </w:tcPr>
          <w:p w14:paraId="5A6AEF2C" w14:textId="77777777" w:rsidR="00784D05" w:rsidRDefault="00784D05">
            <w:pPr>
              <w:keepNext/>
              <w:keepLines/>
              <w:spacing w:before="50" w:after="50" w:line="240" w:lineRule="exact"/>
              <w:rPr>
                <w:rFonts w:eastAsia="SimSun"/>
                <w:sz w:val="18"/>
                <w:szCs w:val="18"/>
                <w:lang w:val="lv-LV" w:eastAsia="zh-CN"/>
              </w:rPr>
            </w:pPr>
          </w:p>
        </w:tc>
      </w:tr>
      <w:tr w:rsidR="00B47B7D" w14:paraId="13412582" w14:textId="77777777" w:rsidTr="00707120">
        <w:trPr>
          <w:cantSplit/>
        </w:trPr>
        <w:tc>
          <w:tcPr>
            <w:tcW w:w="4509" w:type="dxa"/>
            <w:gridSpan w:val="2"/>
            <w:tcMar>
              <w:top w:w="0" w:type="dxa"/>
              <w:left w:w="57" w:type="dxa"/>
              <w:bottom w:w="0" w:type="dxa"/>
              <w:right w:w="57" w:type="dxa"/>
            </w:tcMar>
          </w:tcPr>
          <w:p w14:paraId="14D5B684" w14:textId="77777777" w:rsidR="00784D05" w:rsidRDefault="00784D05" w:rsidP="00707120">
            <w:pPr>
              <w:keepNext/>
              <w:keepLines/>
              <w:spacing w:before="50" w:after="50" w:line="240" w:lineRule="exact"/>
              <w:ind w:left="499"/>
              <w:jc w:val="both"/>
              <w:rPr>
                <w:rFonts w:eastAsia="SimSun"/>
                <w:sz w:val="18"/>
                <w:szCs w:val="18"/>
                <w:lang w:val="lv-LV" w:eastAsia="zh-CN"/>
              </w:rPr>
            </w:pPr>
            <w:r>
              <w:rPr>
                <w:rFonts w:eastAsia="SimSun"/>
                <w:sz w:val="18"/>
                <w:szCs w:val="18"/>
                <w:lang w:val="lv-LV" w:eastAsia="zh-CN"/>
              </w:rPr>
              <w:t>52. nedēļa</w:t>
            </w:r>
          </w:p>
        </w:tc>
        <w:tc>
          <w:tcPr>
            <w:tcW w:w="1111" w:type="dxa"/>
            <w:gridSpan w:val="2"/>
            <w:tcMar>
              <w:top w:w="0" w:type="dxa"/>
              <w:left w:w="57" w:type="dxa"/>
              <w:bottom w:w="0" w:type="dxa"/>
              <w:right w:w="57" w:type="dxa"/>
            </w:tcMar>
          </w:tcPr>
          <w:p w14:paraId="65C7A770" w14:textId="77777777" w:rsidR="00784D05" w:rsidRDefault="00784D05">
            <w:pPr>
              <w:keepNext/>
              <w:keepLines/>
              <w:spacing w:before="50" w:after="50" w:line="240" w:lineRule="exact"/>
              <w:jc w:val="center"/>
              <w:rPr>
                <w:rFonts w:eastAsia="SimSun"/>
                <w:sz w:val="18"/>
                <w:szCs w:val="18"/>
                <w:lang w:val="lv-LV" w:eastAsia="zh-CN"/>
              </w:rPr>
            </w:pPr>
            <w:r>
              <w:rPr>
                <w:rFonts w:eastAsia="SimSun"/>
                <w:sz w:val="18"/>
                <w:szCs w:val="18"/>
                <w:lang w:val="lv-LV" w:eastAsia="zh-CN"/>
              </w:rPr>
              <w:t>-0,81*</w:t>
            </w:r>
          </w:p>
        </w:tc>
        <w:tc>
          <w:tcPr>
            <w:tcW w:w="1110" w:type="dxa"/>
            <w:gridSpan w:val="2"/>
            <w:tcMar>
              <w:top w:w="0" w:type="dxa"/>
              <w:left w:w="57" w:type="dxa"/>
              <w:bottom w:w="0" w:type="dxa"/>
              <w:right w:w="57" w:type="dxa"/>
            </w:tcMar>
          </w:tcPr>
          <w:p w14:paraId="376F6A73" w14:textId="77777777" w:rsidR="00784D05" w:rsidRDefault="00784D05">
            <w:pPr>
              <w:keepNext/>
              <w:keepLines/>
              <w:spacing w:before="50" w:after="50" w:line="240" w:lineRule="exact"/>
              <w:jc w:val="center"/>
              <w:rPr>
                <w:rFonts w:eastAsia="SimSun"/>
                <w:sz w:val="18"/>
                <w:szCs w:val="18"/>
                <w:lang w:val="lv-LV" w:eastAsia="zh-CN"/>
              </w:rPr>
            </w:pPr>
            <w:r>
              <w:rPr>
                <w:rFonts w:eastAsia="SimSun"/>
                <w:sz w:val="18"/>
                <w:szCs w:val="18"/>
                <w:lang w:val="lv-LV" w:eastAsia="zh-CN"/>
              </w:rPr>
              <w:t>-0,67</w:t>
            </w:r>
          </w:p>
        </w:tc>
        <w:tc>
          <w:tcPr>
            <w:tcW w:w="1108" w:type="dxa"/>
          </w:tcPr>
          <w:p w14:paraId="485393CB" w14:textId="77777777" w:rsidR="00784D05" w:rsidRDefault="00784D05">
            <w:pPr>
              <w:keepNext/>
              <w:keepLines/>
              <w:spacing w:before="50" w:after="50" w:line="240" w:lineRule="exact"/>
              <w:jc w:val="center"/>
              <w:rPr>
                <w:rFonts w:eastAsia="SimSun"/>
                <w:sz w:val="18"/>
                <w:szCs w:val="18"/>
                <w:lang w:val="lv-LV" w:eastAsia="zh-CN"/>
              </w:rPr>
            </w:pPr>
            <w:r>
              <w:rPr>
                <w:rFonts w:eastAsia="SimSun"/>
                <w:sz w:val="18"/>
                <w:szCs w:val="18"/>
                <w:lang w:val="lv-LV" w:eastAsia="zh-CN"/>
              </w:rPr>
              <w:t>-0,75</w:t>
            </w:r>
          </w:p>
        </w:tc>
        <w:tc>
          <w:tcPr>
            <w:tcW w:w="1171" w:type="dxa"/>
            <w:tcMar>
              <w:top w:w="0" w:type="dxa"/>
              <w:left w:w="57" w:type="dxa"/>
              <w:bottom w:w="0" w:type="dxa"/>
              <w:right w:w="57" w:type="dxa"/>
            </w:tcMar>
          </w:tcPr>
          <w:p w14:paraId="4959C0AA" w14:textId="77777777" w:rsidR="00784D05" w:rsidRDefault="00784D05">
            <w:pPr>
              <w:keepNext/>
              <w:keepLines/>
              <w:spacing w:before="50" w:after="50" w:line="240" w:lineRule="exact"/>
              <w:jc w:val="center"/>
              <w:rPr>
                <w:rFonts w:eastAsia="SimSun"/>
                <w:sz w:val="18"/>
                <w:szCs w:val="18"/>
                <w:lang w:val="lv-LV" w:eastAsia="zh-CN"/>
              </w:rPr>
            </w:pPr>
            <w:r>
              <w:rPr>
                <w:rFonts w:eastAsia="SimSun"/>
                <w:sz w:val="18"/>
                <w:szCs w:val="18"/>
                <w:lang w:val="lv-LV" w:eastAsia="zh-CN"/>
              </w:rPr>
              <w:t>-0,64</w:t>
            </w:r>
          </w:p>
        </w:tc>
      </w:tr>
      <w:tr w:rsidR="003B3144" w:rsidRPr="00EF5504" w14:paraId="751C060C" w14:textId="77777777" w:rsidTr="00707120">
        <w:trPr>
          <w:cantSplit/>
        </w:trPr>
        <w:tc>
          <w:tcPr>
            <w:tcW w:w="9009" w:type="dxa"/>
            <w:gridSpan w:val="8"/>
          </w:tcPr>
          <w:p w14:paraId="0F48C0E0" w14:textId="4110B677" w:rsidR="003B3144" w:rsidRDefault="003B3144">
            <w:pPr>
              <w:keepNext/>
              <w:keepLines/>
              <w:spacing w:before="50" w:after="50" w:line="240" w:lineRule="exact"/>
              <w:rPr>
                <w:rFonts w:eastAsia="SimSun"/>
                <w:b/>
                <w:sz w:val="18"/>
                <w:szCs w:val="18"/>
                <w:lang w:val="lv-LV" w:eastAsia="zh-CN"/>
              </w:rPr>
            </w:pPr>
            <w:r>
              <w:rPr>
                <w:rFonts w:eastAsia="SimSun"/>
                <w:b/>
                <w:sz w:val="18"/>
                <w:szCs w:val="18"/>
                <w:lang w:val="lv-LV" w:eastAsia="zh-CN"/>
              </w:rPr>
              <w:t>Rentgenogrāfiskie mērķa kritēriji (vidējā</w:t>
            </w:r>
            <w:r w:rsidR="00B47B7D">
              <w:rPr>
                <w:rFonts w:eastAsia="SimSun"/>
                <w:b/>
                <w:sz w:val="18"/>
                <w:szCs w:val="18"/>
                <w:lang w:val="lv-LV" w:eastAsia="zh-CN"/>
              </w:rPr>
              <w:t>s</w:t>
            </w:r>
            <w:r>
              <w:rPr>
                <w:rFonts w:eastAsia="SimSun"/>
                <w:b/>
                <w:sz w:val="18"/>
                <w:szCs w:val="18"/>
                <w:lang w:val="lv-LV" w:eastAsia="zh-CN"/>
              </w:rPr>
              <w:t xml:space="preserve"> izmaiņa</w:t>
            </w:r>
            <w:r w:rsidR="00B47B7D">
              <w:rPr>
                <w:rFonts w:eastAsia="SimSun"/>
                <w:b/>
                <w:sz w:val="18"/>
                <w:szCs w:val="18"/>
                <w:lang w:val="lv-LV" w:eastAsia="zh-CN"/>
              </w:rPr>
              <w:t>s</w:t>
            </w:r>
            <w:r>
              <w:rPr>
                <w:rFonts w:eastAsia="SimSun"/>
                <w:b/>
                <w:sz w:val="18"/>
                <w:szCs w:val="18"/>
                <w:lang w:val="lv-LV" w:eastAsia="zh-CN"/>
              </w:rPr>
              <w:t>, salīdzinot ar pētījuma sākumu)</w:t>
            </w:r>
          </w:p>
        </w:tc>
      </w:tr>
      <w:tr w:rsidR="00B47B7D" w14:paraId="5B53329D" w14:textId="77777777" w:rsidTr="00707120">
        <w:trPr>
          <w:cantSplit/>
        </w:trPr>
        <w:tc>
          <w:tcPr>
            <w:tcW w:w="4509" w:type="dxa"/>
            <w:gridSpan w:val="2"/>
            <w:tcMar>
              <w:top w:w="0" w:type="dxa"/>
              <w:left w:w="57" w:type="dxa"/>
              <w:bottom w:w="0" w:type="dxa"/>
              <w:right w:w="57" w:type="dxa"/>
            </w:tcMar>
          </w:tcPr>
          <w:p w14:paraId="4F20EECC" w14:textId="7682D88C" w:rsidR="00784D05" w:rsidRDefault="00784D05" w:rsidP="00707120">
            <w:pPr>
              <w:keepNext/>
              <w:keepLines/>
              <w:spacing w:before="50" w:after="50" w:line="240" w:lineRule="exact"/>
              <w:ind w:left="482"/>
              <w:rPr>
                <w:rFonts w:eastAsia="SimSun"/>
                <w:sz w:val="18"/>
                <w:szCs w:val="18"/>
                <w:lang w:val="lv-LV" w:eastAsia="zh-CN"/>
              </w:rPr>
            </w:pPr>
            <w:r>
              <w:rPr>
                <w:rFonts w:eastAsia="SimSun"/>
                <w:sz w:val="18"/>
                <w:szCs w:val="18"/>
                <w:lang w:val="lv-LV" w:eastAsia="zh-CN"/>
              </w:rPr>
              <w:t>52. nedēļa</w:t>
            </w:r>
            <w:r w:rsidR="00B47B7D">
              <w:rPr>
                <w:rFonts w:eastAsia="SimSun"/>
                <w:szCs w:val="22"/>
                <w:lang w:val="en-GB" w:eastAsia="zh-CN"/>
              </w:rPr>
              <w:tab/>
            </w:r>
            <w:r>
              <w:rPr>
                <w:rFonts w:eastAsia="SimSun"/>
                <w:sz w:val="18"/>
                <w:szCs w:val="18"/>
                <w:lang w:val="lv-LV" w:eastAsia="zh-CN"/>
              </w:rPr>
              <w:t>mTSS</w:t>
            </w:r>
          </w:p>
        </w:tc>
        <w:tc>
          <w:tcPr>
            <w:tcW w:w="1111" w:type="dxa"/>
            <w:gridSpan w:val="2"/>
            <w:tcMar>
              <w:top w:w="0" w:type="dxa"/>
              <w:left w:w="57" w:type="dxa"/>
              <w:bottom w:w="0" w:type="dxa"/>
              <w:right w:w="57" w:type="dxa"/>
            </w:tcMar>
          </w:tcPr>
          <w:p w14:paraId="3D75EC70" w14:textId="77777777" w:rsidR="00784D05" w:rsidRDefault="00784D05">
            <w:pPr>
              <w:keepNext/>
              <w:keepLines/>
              <w:spacing w:before="50" w:after="50" w:line="240" w:lineRule="exact"/>
              <w:jc w:val="center"/>
              <w:rPr>
                <w:rFonts w:eastAsia="SimSun"/>
                <w:sz w:val="18"/>
                <w:szCs w:val="18"/>
                <w:lang w:val="lv-LV" w:eastAsia="zh-CN"/>
              </w:rPr>
            </w:pPr>
            <w:r>
              <w:rPr>
                <w:rFonts w:eastAsia="SimSun"/>
                <w:sz w:val="18"/>
                <w:szCs w:val="18"/>
                <w:lang w:val="lv-LV" w:eastAsia="zh-CN"/>
              </w:rPr>
              <w:t>0,08***</w:t>
            </w:r>
          </w:p>
        </w:tc>
        <w:tc>
          <w:tcPr>
            <w:tcW w:w="1110" w:type="dxa"/>
            <w:gridSpan w:val="2"/>
            <w:tcMar>
              <w:top w:w="0" w:type="dxa"/>
              <w:left w:w="57" w:type="dxa"/>
              <w:bottom w:w="0" w:type="dxa"/>
              <w:right w:w="57" w:type="dxa"/>
            </w:tcMar>
          </w:tcPr>
          <w:p w14:paraId="6FFC66D7" w14:textId="77777777" w:rsidR="00784D05" w:rsidRDefault="00784D05">
            <w:pPr>
              <w:keepNext/>
              <w:keepLines/>
              <w:spacing w:before="50" w:after="50" w:line="240" w:lineRule="exact"/>
              <w:jc w:val="center"/>
              <w:rPr>
                <w:rFonts w:eastAsia="SimSun"/>
                <w:sz w:val="18"/>
                <w:szCs w:val="18"/>
                <w:lang w:val="lv-LV" w:eastAsia="zh-CN"/>
              </w:rPr>
            </w:pPr>
            <w:r>
              <w:rPr>
                <w:rFonts w:eastAsia="SimSun"/>
                <w:sz w:val="18"/>
                <w:szCs w:val="18"/>
                <w:lang w:val="lv-LV" w:eastAsia="zh-CN"/>
              </w:rPr>
              <w:t>0,26</w:t>
            </w:r>
          </w:p>
        </w:tc>
        <w:tc>
          <w:tcPr>
            <w:tcW w:w="1108" w:type="dxa"/>
          </w:tcPr>
          <w:p w14:paraId="4102445C" w14:textId="77777777" w:rsidR="00784D05" w:rsidRDefault="00784D05">
            <w:pPr>
              <w:keepNext/>
              <w:keepLines/>
              <w:spacing w:before="50" w:after="50" w:line="240" w:lineRule="exact"/>
              <w:jc w:val="center"/>
              <w:rPr>
                <w:rFonts w:eastAsia="SimSun"/>
                <w:sz w:val="18"/>
                <w:szCs w:val="18"/>
                <w:lang w:val="lv-LV" w:eastAsia="zh-CN"/>
              </w:rPr>
            </w:pPr>
            <w:r>
              <w:rPr>
                <w:rFonts w:eastAsia="SimSun"/>
                <w:sz w:val="18"/>
                <w:szCs w:val="18"/>
                <w:lang w:val="lv-LV" w:eastAsia="zh-CN"/>
              </w:rPr>
              <w:t>0,42</w:t>
            </w:r>
          </w:p>
        </w:tc>
        <w:tc>
          <w:tcPr>
            <w:tcW w:w="1171" w:type="dxa"/>
            <w:tcMar>
              <w:top w:w="0" w:type="dxa"/>
              <w:left w:w="57" w:type="dxa"/>
              <w:bottom w:w="0" w:type="dxa"/>
              <w:right w:w="57" w:type="dxa"/>
            </w:tcMar>
          </w:tcPr>
          <w:p w14:paraId="0F0559D0" w14:textId="77777777" w:rsidR="00784D05" w:rsidRDefault="00784D05">
            <w:pPr>
              <w:keepNext/>
              <w:keepLines/>
              <w:spacing w:before="50" w:after="50" w:line="240" w:lineRule="exact"/>
              <w:jc w:val="center"/>
              <w:rPr>
                <w:rFonts w:eastAsia="SimSun"/>
                <w:sz w:val="18"/>
                <w:szCs w:val="18"/>
                <w:lang w:val="lv-LV" w:eastAsia="zh-CN"/>
              </w:rPr>
            </w:pPr>
            <w:r>
              <w:rPr>
                <w:rFonts w:eastAsia="SimSun"/>
                <w:sz w:val="18"/>
                <w:szCs w:val="18"/>
                <w:lang w:val="lv-LV" w:eastAsia="zh-CN"/>
              </w:rPr>
              <w:t>1,14</w:t>
            </w:r>
          </w:p>
        </w:tc>
      </w:tr>
      <w:tr w:rsidR="00B47B7D" w14:paraId="0FE2FA4A" w14:textId="77777777" w:rsidTr="00707120">
        <w:trPr>
          <w:cantSplit/>
        </w:trPr>
        <w:tc>
          <w:tcPr>
            <w:tcW w:w="4509" w:type="dxa"/>
            <w:gridSpan w:val="2"/>
            <w:tcMar>
              <w:top w:w="0" w:type="dxa"/>
              <w:left w:w="57" w:type="dxa"/>
              <w:bottom w:w="0" w:type="dxa"/>
              <w:right w:w="57" w:type="dxa"/>
            </w:tcMar>
          </w:tcPr>
          <w:p w14:paraId="21C997C4" w14:textId="41E73AD2" w:rsidR="00784D05" w:rsidRDefault="00B47B7D" w:rsidP="00707120">
            <w:pPr>
              <w:keepNext/>
              <w:keepLines/>
              <w:spacing w:before="50" w:after="50" w:line="240" w:lineRule="exact"/>
              <w:ind w:left="482"/>
              <w:rPr>
                <w:rFonts w:eastAsia="SimSun"/>
                <w:sz w:val="18"/>
                <w:szCs w:val="18"/>
                <w:lang w:val="lv-LV" w:eastAsia="zh-CN"/>
              </w:rPr>
            </w:pPr>
            <w:r>
              <w:rPr>
                <w:rFonts w:eastAsia="SimSun"/>
                <w:szCs w:val="22"/>
                <w:lang w:val="en-GB" w:eastAsia="zh-CN"/>
              </w:rPr>
              <w:tab/>
            </w:r>
            <w:r>
              <w:rPr>
                <w:rFonts w:eastAsia="SimSun"/>
                <w:szCs w:val="22"/>
                <w:lang w:val="en-GB" w:eastAsia="zh-CN"/>
              </w:rPr>
              <w:tab/>
            </w:r>
            <w:r>
              <w:rPr>
                <w:rFonts w:eastAsia="SimSun"/>
                <w:szCs w:val="22"/>
                <w:lang w:val="en-GB" w:eastAsia="zh-CN"/>
              </w:rPr>
              <w:tab/>
            </w:r>
            <w:r w:rsidR="00784D05">
              <w:rPr>
                <w:rFonts w:eastAsia="SimSun"/>
                <w:sz w:val="18"/>
                <w:szCs w:val="18"/>
                <w:lang w:val="lv-LV" w:eastAsia="zh-CN"/>
              </w:rPr>
              <w:t>Erozijas vērtējums</w:t>
            </w:r>
          </w:p>
        </w:tc>
        <w:tc>
          <w:tcPr>
            <w:tcW w:w="1111" w:type="dxa"/>
            <w:gridSpan w:val="2"/>
            <w:tcMar>
              <w:top w:w="0" w:type="dxa"/>
              <w:left w:w="57" w:type="dxa"/>
              <w:bottom w:w="0" w:type="dxa"/>
              <w:right w:w="57" w:type="dxa"/>
            </w:tcMar>
          </w:tcPr>
          <w:p w14:paraId="4DCFEECD" w14:textId="77777777" w:rsidR="00784D05" w:rsidRDefault="00784D05">
            <w:pPr>
              <w:keepNext/>
              <w:keepLines/>
              <w:spacing w:before="50" w:after="50" w:line="240" w:lineRule="exact"/>
              <w:jc w:val="center"/>
              <w:rPr>
                <w:rFonts w:eastAsia="SimSun"/>
                <w:sz w:val="18"/>
                <w:szCs w:val="18"/>
                <w:lang w:val="lv-LV" w:eastAsia="zh-CN"/>
              </w:rPr>
            </w:pPr>
            <w:r>
              <w:rPr>
                <w:rFonts w:eastAsia="SimSun"/>
                <w:sz w:val="18"/>
                <w:szCs w:val="18"/>
                <w:lang w:val="lv-LV" w:eastAsia="zh-CN"/>
              </w:rPr>
              <w:t>0,05**</w:t>
            </w:r>
          </w:p>
        </w:tc>
        <w:tc>
          <w:tcPr>
            <w:tcW w:w="1110" w:type="dxa"/>
            <w:gridSpan w:val="2"/>
            <w:tcMar>
              <w:top w:w="0" w:type="dxa"/>
              <w:left w:w="57" w:type="dxa"/>
              <w:bottom w:w="0" w:type="dxa"/>
              <w:right w:w="57" w:type="dxa"/>
            </w:tcMar>
          </w:tcPr>
          <w:p w14:paraId="3D091BF2" w14:textId="77777777" w:rsidR="00784D05" w:rsidRDefault="00784D05">
            <w:pPr>
              <w:keepNext/>
              <w:keepLines/>
              <w:spacing w:before="50" w:after="50" w:line="240" w:lineRule="exact"/>
              <w:jc w:val="center"/>
              <w:rPr>
                <w:rFonts w:eastAsia="SimSun"/>
                <w:sz w:val="18"/>
                <w:szCs w:val="18"/>
                <w:lang w:val="lv-LV" w:eastAsia="zh-CN"/>
              </w:rPr>
            </w:pPr>
            <w:r>
              <w:rPr>
                <w:rFonts w:eastAsia="SimSun"/>
                <w:sz w:val="18"/>
                <w:szCs w:val="18"/>
                <w:lang w:val="lv-LV" w:eastAsia="zh-CN"/>
              </w:rPr>
              <w:t>0,15</w:t>
            </w:r>
          </w:p>
        </w:tc>
        <w:tc>
          <w:tcPr>
            <w:tcW w:w="1108" w:type="dxa"/>
          </w:tcPr>
          <w:p w14:paraId="2181D4DA" w14:textId="77777777" w:rsidR="00784D05" w:rsidRDefault="00784D05">
            <w:pPr>
              <w:keepNext/>
              <w:keepLines/>
              <w:spacing w:before="50" w:after="50" w:line="240" w:lineRule="exact"/>
              <w:jc w:val="center"/>
              <w:rPr>
                <w:rFonts w:eastAsia="SimSun"/>
                <w:sz w:val="18"/>
                <w:szCs w:val="18"/>
                <w:lang w:val="lv-LV" w:eastAsia="zh-CN"/>
              </w:rPr>
            </w:pPr>
            <w:r>
              <w:rPr>
                <w:rFonts w:eastAsia="SimSun"/>
                <w:sz w:val="18"/>
                <w:szCs w:val="18"/>
                <w:lang w:val="lv-LV" w:eastAsia="zh-CN"/>
              </w:rPr>
              <w:t>0,25</w:t>
            </w:r>
          </w:p>
        </w:tc>
        <w:tc>
          <w:tcPr>
            <w:tcW w:w="1171" w:type="dxa"/>
            <w:tcMar>
              <w:top w:w="0" w:type="dxa"/>
              <w:left w:w="57" w:type="dxa"/>
              <w:bottom w:w="0" w:type="dxa"/>
              <w:right w:w="57" w:type="dxa"/>
            </w:tcMar>
          </w:tcPr>
          <w:p w14:paraId="0CCF830B" w14:textId="77777777" w:rsidR="00784D05" w:rsidRDefault="00784D05">
            <w:pPr>
              <w:keepNext/>
              <w:keepLines/>
              <w:spacing w:before="50" w:after="50" w:line="240" w:lineRule="exact"/>
              <w:jc w:val="center"/>
              <w:rPr>
                <w:rFonts w:eastAsia="SimSun"/>
                <w:sz w:val="18"/>
                <w:szCs w:val="18"/>
                <w:lang w:val="lv-LV" w:eastAsia="zh-CN"/>
              </w:rPr>
            </w:pPr>
            <w:r>
              <w:rPr>
                <w:rFonts w:eastAsia="SimSun"/>
                <w:sz w:val="18"/>
                <w:szCs w:val="18"/>
                <w:lang w:val="lv-LV" w:eastAsia="zh-CN"/>
              </w:rPr>
              <w:t>0,63</w:t>
            </w:r>
          </w:p>
        </w:tc>
      </w:tr>
      <w:tr w:rsidR="00B47B7D" w14:paraId="72DA33E8" w14:textId="77777777" w:rsidTr="00707120">
        <w:trPr>
          <w:cantSplit/>
        </w:trPr>
        <w:tc>
          <w:tcPr>
            <w:tcW w:w="4509" w:type="dxa"/>
            <w:gridSpan w:val="2"/>
            <w:tcMar>
              <w:top w:w="0" w:type="dxa"/>
              <w:left w:w="57" w:type="dxa"/>
              <w:bottom w:w="0" w:type="dxa"/>
              <w:right w:w="57" w:type="dxa"/>
            </w:tcMar>
          </w:tcPr>
          <w:p w14:paraId="11A8B2B1" w14:textId="316AC3D8" w:rsidR="00784D05" w:rsidRDefault="00B47B7D" w:rsidP="00707120">
            <w:pPr>
              <w:keepNext/>
              <w:keepLines/>
              <w:spacing w:before="50" w:after="50" w:line="240" w:lineRule="exact"/>
              <w:rPr>
                <w:rFonts w:eastAsia="SimSun"/>
                <w:sz w:val="18"/>
                <w:szCs w:val="18"/>
                <w:lang w:val="lv-LV" w:eastAsia="zh-CN"/>
              </w:rPr>
            </w:pPr>
            <w:r>
              <w:rPr>
                <w:rFonts w:eastAsia="SimSun"/>
                <w:szCs w:val="22"/>
                <w:lang w:val="en-GB" w:eastAsia="zh-CN"/>
              </w:rPr>
              <w:tab/>
            </w:r>
            <w:r>
              <w:rPr>
                <w:rFonts w:eastAsia="SimSun"/>
                <w:szCs w:val="22"/>
                <w:lang w:val="en-GB" w:eastAsia="zh-CN"/>
              </w:rPr>
              <w:tab/>
            </w:r>
            <w:r>
              <w:rPr>
                <w:rFonts w:eastAsia="SimSun"/>
                <w:szCs w:val="22"/>
                <w:lang w:val="en-GB" w:eastAsia="zh-CN"/>
              </w:rPr>
              <w:tab/>
            </w:r>
            <w:r w:rsidR="00784D05">
              <w:rPr>
                <w:rFonts w:eastAsia="SimSun"/>
                <w:sz w:val="18"/>
                <w:szCs w:val="18"/>
                <w:lang w:val="lv-LV" w:eastAsia="zh-CN"/>
              </w:rPr>
              <w:t>LSS</w:t>
            </w:r>
          </w:p>
        </w:tc>
        <w:tc>
          <w:tcPr>
            <w:tcW w:w="1111" w:type="dxa"/>
            <w:gridSpan w:val="2"/>
            <w:tcMar>
              <w:top w:w="0" w:type="dxa"/>
              <w:left w:w="57" w:type="dxa"/>
              <w:bottom w:w="0" w:type="dxa"/>
              <w:right w:w="57" w:type="dxa"/>
            </w:tcMar>
          </w:tcPr>
          <w:p w14:paraId="0FDBE08F" w14:textId="77777777" w:rsidR="00784D05" w:rsidRDefault="00784D05">
            <w:pPr>
              <w:keepNext/>
              <w:keepLines/>
              <w:spacing w:before="50" w:after="50" w:line="240" w:lineRule="exact"/>
              <w:jc w:val="center"/>
              <w:rPr>
                <w:rFonts w:eastAsia="SimSun"/>
                <w:sz w:val="18"/>
                <w:szCs w:val="18"/>
                <w:lang w:val="lv-LV" w:eastAsia="zh-CN"/>
              </w:rPr>
            </w:pPr>
            <w:r>
              <w:rPr>
                <w:rFonts w:eastAsia="SimSun"/>
                <w:sz w:val="18"/>
                <w:szCs w:val="18"/>
                <w:lang w:val="lv-LV" w:eastAsia="zh-CN"/>
              </w:rPr>
              <w:t>0,03</w:t>
            </w:r>
          </w:p>
        </w:tc>
        <w:tc>
          <w:tcPr>
            <w:tcW w:w="1110" w:type="dxa"/>
            <w:gridSpan w:val="2"/>
            <w:tcMar>
              <w:top w:w="0" w:type="dxa"/>
              <w:left w:w="57" w:type="dxa"/>
              <w:bottom w:w="0" w:type="dxa"/>
              <w:right w:w="57" w:type="dxa"/>
            </w:tcMar>
          </w:tcPr>
          <w:p w14:paraId="01428088" w14:textId="77777777" w:rsidR="00784D05" w:rsidRDefault="00784D05">
            <w:pPr>
              <w:keepNext/>
              <w:keepLines/>
              <w:spacing w:before="50" w:after="50" w:line="240" w:lineRule="exact"/>
              <w:jc w:val="center"/>
              <w:rPr>
                <w:rFonts w:eastAsia="SimSun"/>
                <w:sz w:val="18"/>
                <w:szCs w:val="18"/>
                <w:lang w:val="lv-LV" w:eastAsia="zh-CN"/>
              </w:rPr>
            </w:pPr>
            <w:r>
              <w:rPr>
                <w:rFonts w:eastAsia="SimSun"/>
                <w:sz w:val="18"/>
                <w:szCs w:val="18"/>
                <w:lang w:val="lv-LV" w:eastAsia="zh-CN"/>
              </w:rPr>
              <w:t>0,11</w:t>
            </w:r>
          </w:p>
        </w:tc>
        <w:tc>
          <w:tcPr>
            <w:tcW w:w="1108" w:type="dxa"/>
          </w:tcPr>
          <w:p w14:paraId="6F4985D2" w14:textId="77777777" w:rsidR="00784D05" w:rsidRDefault="00784D05">
            <w:pPr>
              <w:keepNext/>
              <w:keepLines/>
              <w:spacing w:before="50" w:after="50" w:line="240" w:lineRule="exact"/>
              <w:jc w:val="center"/>
              <w:rPr>
                <w:rFonts w:eastAsia="SimSun"/>
                <w:sz w:val="18"/>
                <w:szCs w:val="18"/>
                <w:lang w:val="lv-LV" w:eastAsia="zh-CN"/>
              </w:rPr>
            </w:pPr>
            <w:r>
              <w:rPr>
                <w:rFonts w:eastAsia="SimSun"/>
                <w:sz w:val="18"/>
                <w:szCs w:val="18"/>
                <w:lang w:val="lv-LV" w:eastAsia="zh-CN"/>
              </w:rPr>
              <w:t>0,17</w:t>
            </w:r>
          </w:p>
        </w:tc>
        <w:tc>
          <w:tcPr>
            <w:tcW w:w="1171" w:type="dxa"/>
            <w:tcMar>
              <w:top w:w="0" w:type="dxa"/>
              <w:left w:w="57" w:type="dxa"/>
              <w:bottom w:w="0" w:type="dxa"/>
              <w:right w:w="57" w:type="dxa"/>
            </w:tcMar>
          </w:tcPr>
          <w:p w14:paraId="729FADC4" w14:textId="77777777" w:rsidR="00784D05" w:rsidRDefault="00784D05">
            <w:pPr>
              <w:keepNext/>
              <w:keepLines/>
              <w:spacing w:before="50" w:after="50" w:line="240" w:lineRule="exact"/>
              <w:jc w:val="center"/>
              <w:rPr>
                <w:rFonts w:eastAsia="SimSun"/>
                <w:sz w:val="18"/>
                <w:szCs w:val="18"/>
                <w:lang w:val="lv-LV" w:eastAsia="zh-CN"/>
              </w:rPr>
            </w:pPr>
            <w:r>
              <w:rPr>
                <w:rFonts w:eastAsia="SimSun"/>
                <w:sz w:val="18"/>
                <w:szCs w:val="18"/>
                <w:lang w:val="lv-LV" w:eastAsia="zh-CN"/>
              </w:rPr>
              <w:t>0,51</w:t>
            </w:r>
          </w:p>
        </w:tc>
      </w:tr>
      <w:tr w:rsidR="00B47B7D" w14:paraId="55291B69" w14:textId="77777777" w:rsidTr="00707120">
        <w:trPr>
          <w:cantSplit/>
        </w:trPr>
        <w:tc>
          <w:tcPr>
            <w:tcW w:w="4232" w:type="dxa"/>
            <w:tcMar>
              <w:top w:w="0" w:type="dxa"/>
              <w:left w:w="57" w:type="dxa"/>
              <w:bottom w:w="0" w:type="dxa"/>
              <w:right w:w="57" w:type="dxa"/>
            </w:tcMar>
          </w:tcPr>
          <w:p w14:paraId="3806474A" w14:textId="14BA7A7C" w:rsidR="00784D05" w:rsidRDefault="00784D05" w:rsidP="009F510D">
            <w:pPr>
              <w:keepNext/>
              <w:keepLines/>
              <w:spacing w:before="50" w:after="50" w:line="240" w:lineRule="exact"/>
              <w:jc w:val="right"/>
              <w:rPr>
                <w:rFonts w:eastAsia="SimSun"/>
                <w:sz w:val="18"/>
                <w:szCs w:val="18"/>
                <w:lang w:val="lv-LV" w:eastAsia="zh-CN"/>
              </w:rPr>
            </w:pPr>
            <w:r>
              <w:rPr>
                <w:rFonts w:eastAsia="SimSun"/>
                <w:sz w:val="18"/>
                <w:szCs w:val="18"/>
                <w:lang w:val="lv-LV" w:eastAsia="zh-CN"/>
              </w:rPr>
              <w:t>Rentgenogrāfiska neprogresēšana n (%) (mTSS</w:t>
            </w:r>
            <w:r w:rsidR="00B47B7D">
              <w:rPr>
                <w:rFonts w:eastAsia="SimSun"/>
                <w:sz w:val="18"/>
                <w:szCs w:val="18"/>
                <w:lang w:val="lv-LV" w:eastAsia="zh-CN"/>
              </w:rPr>
              <w:t> ≤ 0</w:t>
            </w:r>
            <w:r>
              <w:rPr>
                <w:rFonts w:eastAsia="SimSun"/>
                <w:sz w:val="18"/>
                <w:szCs w:val="18"/>
                <w:lang w:val="lv-LV" w:eastAsia="zh-CN"/>
              </w:rPr>
              <w:t xml:space="preserve"> izmaiņa</w:t>
            </w:r>
            <w:r w:rsidR="00B47B7D">
              <w:rPr>
                <w:rFonts w:eastAsia="SimSun"/>
                <w:sz w:val="18"/>
                <w:szCs w:val="18"/>
                <w:lang w:val="lv-LV" w:eastAsia="zh-CN"/>
              </w:rPr>
              <w:t>s</w:t>
            </w:r>
            <w:r>
              <w:rPr>
                <w:rFonts w:eastAsia="SimSun"/>
                <w:sz w:val="18"/>
                <w:szCs w:val="18"/>
                <w:lang w:val="lv-LV" w:eastAsia="zh-CN"/>
              </w:rPr>
              <w:t xml:space="preserve">, salīdzinot ar pētījuma sākumu) </w:t>
            </w:r>
          </w:p>
        </w:tc>
        <w:tc>
          <w:tcPr>
            <w:tcW w:w="1111" w:type="dxa"/>
            <w:gridSpan w:val="2"/>
            <w:tcMar>
              <w:top w:w="0" w:type="dxa"/>
              <w:left w:w="57" w:type="dxa"/>
              <w:bottom w:w="0" w:type="dxa"/>
              <w:right w:w="57" w:type="dxa"/>
            </w:tcMar>
          </w:tcPr>
          <w:p w14:paraId="63E9AD09" w14:textId="77777777" w:rsidR="00784D05" w:rsidRDefault="00784D05">
            <w:pPr>
              <w:keepNext/>
              <w:keepLines/>
              <w:spacing w:before="50" w:after="50" w:line="240" w:lineRule="exact"/>
              <w:jc w:val="center"/>
              <w:rPr>
                <w:rFonts w:eastAsia="SimSun"/>
                <w:sz w:val="18"/>
                <w:szCs w:val="18"/>
                <w:lang w:val="lv-LV" w:eastAsia="zh-CN"/>
              </w:rPr>
            </w:pPr>
            <w:r>
              <w:rPr>
                <w:rFonts w:eastAsia="SimSun"/>
                <w:sz w:val="18"/>
                <w:szCs w:val="18"/>
                <w:lang w:val="lv-LV" w:eastAsia="zh-CN"/>
              </w:rPr>
              <w:t>226 (83)</w:t>
            </w:r>
            <w:r>
              <w:rPr>
                <w:rFonts w:cs="Arial"/>
                <w:b/>
                <w:sz w:val="20"/>
                <w:vertAlign w:val="superscript"/>
                <w:lang w:val="lv-LV" w:eastAsia="en-US"/>
              </w:rPr>
              <w:t>‡</w:t>
            </w:r>
          </w:p>
        </w:tc>
        <w:tc>
          <w:tcPr>
            <w:tcW w:w="1110" w:type="dxa"/>
            <w:gridSpan w:val="2"/>
            <w:tcMar>
              <w:top w:w="0" w:type="dxa"/>
              <w:left w:w="57" w:type="dxa"/>
              <w:bottom w:w="0" w:type="dxa"/>
              <w:right w:w="57" w:type="dxa"/>
            </w:tcMar>
          </w:tcPr>
          <w:p w14:paraId="16A0133B" w14:textId="77777777" w:rsidR="00784D05" w:rsidRDefault="00784D05">
            <w:pPr>
              <w:keepNext/>
              <w:keepLines/>
              <w:spacing w:before="50" w:after="50" w:line="240" w:lineRule="exact"/>
              <w:jc w:val="center"/>
              <w:rPr>
                <w:rFonts w:eastAsia="SimSun"/>
                <w:sz w:val="18"/>
                <w:szCs w:val="18"/>
                <w:lang w:val="lv-LV" w:eastAsia="zh-CN"/>
              </w:rPr>
            </w:pPr>
            <w:r>
              <w:rPr>
                <w:rFonts w:eastAsia="SimSun"/>
                <w:sz w:val="18"/>
                <w:szCs w:val="18"/>
                <w:lang w:val="lv-LV" w:eastAsia="zh-CN"/>
              </w:rPr>
              <w:t>226 (82)</w:t>
            </w:r>
            <w:r>
              <w:rPr>
                <w:rFonts w:cs="Arial"/>
                <w:b/>
                <w:sz w:val="20"/>
                <w:vertAlign w:val="superscript"/>
                <w:lang w:val="lv-LV" w:eastAsia="en-US"/>
              </w:rPr>
              <w:t>‡</w:t>
            </w:r>
          </w:p>
        </w:tc>
        <w:tc>
          <w:tcPr>
            <w:tcW w:w="1385" w:type="dxa"/>
            <w:gridSpan w:val="2"/>
          </w:tcPr>
          <w:p w14:paraId="160E7390" w14:textId="77777777" w:rsidR="00784D05" w:rsidRDefault="00784D05">
            <w:pPr>
              <w:keepNext/>
              <w:keepLines/>
              <w:spacing w:before="50" w:after="50" w:line="240" w:lineRule="exact"/>
              <w:jc w:val="center"/>
              <w:rPr>
                <w:rFonts w:eastAsia="SimSun"/>
                <w:sz w:val="18"/>
                <w:szCs w:val="18"/>
                <w:lang w:val="lv-LV" w:eastAsia="zh-CN"/>
              </w:rPr>
            </w:pPr>
            <w:r>
              <w:rPr>
                <w:rFonts w:eastAsia="SimSun"/>
                <w:sz w:val="18"/>
                <w:szCs w:val="18"/>
                <w:lang w:val="lv-LV" w:eastAsia="zh-CN"/>
              </w:rPr>
              <w:t>211 (79)</w:t>
            </w:r>
          </w:p>
        </w:tc>
        <w:tc>
          <w:tcPr>
            <w:tcW w:w="1171" w:type="dxa"/>
            <w:tcMar>
              <w:top w:w="0" w:type="dxa"/>
              <w:left w:w="57" w:type="dxa"/>
              <w:bottom w:w="0" w:type="dxa"/>
              <w:right w:w="57" w:type="dxa"/>
            </w:tcMar>
          </w:tcPr>
          <w:p w14:paraId="43740679" w14:textId="77777777" w:rsidR="00784D05" w:rsidRDefault="00784D05">
            <w:pPr>
              <w:keepNext/>
              <w:keepLines/>
              <w:spacing w:before="50" w:after="50" w:line="240" w:lineRule="exact"/>
              <w:jc w:val="center"/>
              <w:rPr>
                <w:rFonts w:eastAsia="SimSun"/>
                <w:sz w:val="18"/>
                <w:szCs w:val="18"/>
                <w:lang w:val="lv-LV" w:eastAsia="zh-CN"/>
              </w:rPr>
            </w:pPr>
            <w:r>
              <w:rPr>
                <w:rFonts w:eastAsia="SimSun"/>
                <w:sz w:val="18"/>
                <w:szCs w:val="18"/>
                <w:lang w:val="lv-LV" w:eastAsia="zh-CN"/>
              </w:rPr>
              <w:t>194 (73)</w:t>
            </w:r>
          </w:p>
        </w:tc>
      </w:tr>
      <w:tr w:rsidR="003B3144" w14:paraId="328A45A8" w14:textId="77777777" w:rsidTr="00707120">
        <w:trPr>
          <w:cantSplit/>
        </w:trPr>
        <w:tc>
          <w:tcPr>
            <w:tcW w:w="9009" w:type="dxa"/>
            <w:gridSpan w:val="8"/>
          </w:tcPr>
          <w:p w14:paraId="0D668F0B" w14:textId="77777777" w:rsidR="003B3144" w:rsidRDefault="003B3144">
            <w:pPr>
              <w:keepNext/>
              <w:keepLines/>
              <w:spacing w:before="50" w:after="50" w:line="240" w:lineRule="exact"/>
              <w:rPr>
                <w:rFonts w:eastAsia="SimSun"/>
                <w:b/>
                <w:sz w:val="18"/>
                <w:szCs w:val="18"/>
                <w:lang w:val="lv-LV" w:eastAsia="zh-CN"/>
              </w:rPr>
            </w:pPr>
            <w:r>
              <w:rPr>
                <w:rFonts w:eastAsia="SimSun"/>
                <w:b/>
                <w:sz w:val="18"/>
                <w:szCs w:val="18"/>
                <w:lang w:val="lv-LV" w:eastAsia="zh-CN"/>
              </w:rPr>
              <w:t>Izpētes mērķa kritēriji</w:t>
            </w:r>
          </w:p>
        </w:tc>
      </w:tr>
      <w:tr w:rsidR="00B47B7D" w14:paraId="668C2269" w14:textId="77777777" w:rsidTr="00707120">
        <w:trPr>
          <w:cantSplit/>
        </w:trPr>
        <w:tc>
          <w:tcPr>
            <w:tcW w:w="4509" w:type="dxa"/>
            <w:gridSpan w:val="2"/>
            <w:tcMar>
              <w:top w:w="0" w:type="dxa"/>
              <w:left w:w="57" w:type="dxa"/>
              <w:bottom w:w="0" w:type="dxa"/>
              <w:right w:w="57" w:type="dxa"/>
            </w:tcMar>
          </w:tcPr>
          <w:p w14:paraId="7D9EFB65" w14:textId="1BB9AD36" w:rsidR="00784D05" w:rsidRDefault="00784D05" w:rsidP="00707120">
            <w:pPr>
              <w:keepNext/>
              <w:keepLines/>
              <w:spacing w:before="50" w:after="50" w:line="240" w:lineRule="exact"/>
              <w:ind w:left="482"/>
              <w:rPr>
                <w:rFonts w:eastAsia="SimSun"/>
                <w:sz w:val="18"/>
                <w:szCs w:val="18"/>
                <w:lang w:val="lv-LV" w:eastAsia="zh-CN"/>
              </w:rPr>
            </w:pPr>
            <w:r>
              <w:rPr>
                <w:rFonts w:eastAsia="SimSun"/>
                <w:sz w:val="18"/>
                <w:szCs w:val="18"/>
                <w:lang w:val="lv-LV" w:eastAsia="zh-CN"/>
              </w:rPr>
              <w:t xml:space="preserve">24. nedēļa: </w:t>
            </w:r>
            <w:r w:rsidR="00B47B7D">
              <w:rPr>
                <w:rFonts w:eastAsia="SimSun"/>
                <w:szCs w:val="22"/>
                <w:lang w:val="en-GB" w:eastAsia="zh-CN"/>
              </w:rPr>
              <w:tab/>
            </w:r>
            <w:r>
              <w:rPr>
                <w:rFonts w:eastAsia="SimSun"/>
                <w:sz w:val="18"/>
                <w:szCs w:val="18"/>
                <w:lang w:val="lv-LV" w:eastAsia="zh-CN"/>
              </w:rPr>
              <w:t xml:space="preserve">ACR/EULAR </w:t>
            </w:r>
            <w:r>
              <w:rPr>
                <w:rFonts w:eastAsia="SimSun"/>
                <w:i/>
                <w:sz w:val="18"/>
                <w:szCs w:val="18"/>
                <w:lang w:val="lv-LV" w:eastAsia="zh-CN"/>
              </w:rPr>
              <w:t>Boolean</w:t>
            </w:r>
            <w:r>
              <w:rPr>
                <w:rFonts w:eastAsia="SimSun"/>
                <w:sz w:val="18"/>
                <w:szCs w:val="18"/>
                <w:lang w:val="lv-LV" w:eastAsia="zh-CN"/>
              </w:rPr>
              <w:t xml:space="preserve"> remisija, n (%)</w:t>
            </w:r>
          </w:p>
        </w:tc>
        <w:tc>
          <w:tcPr>
            <w:tcW w:w="1111" w:type="dxa"/>
            <w:gridSpan w:val="2"/>
            <w:tcMar>
              <w:top w:w="0" w:type="dxa"/>
              <w:left w:w="57" w:type="dxa"/>
              <w:bottom w:w="0" w:type="dxa"/>
              <w:right w:w="57" w:type="dxa"/>
            </w:tcMar>
            <w:vAlign w:val="center"/>
          </w:tcPr>
          <w:p w14:paraId="571F48D4" w14:textId="77777777" w:rsidR="00784D05" w:rsidRDefault="00784D05" w:rsidP="00B47B7D">
            <w:pPr>
              <w:keepNext/>
              <w:keepLines/>
              <w:spacing w:before="50" w:after="50" w:line="240" w:lineRule="exact"/>
              <w:jc w:val="center"/>
              <w:rPr>
                <w:rFonts w:eastAsia="SimSun"/>
                <w:sz w:val="18"/>
                <w:szCs w:val="18"/>
                <w:lang w:val="lv-LV" w:eastAsia="zh-CN"/>
              </w:rPr>
            </w:pPr>
            <w:r>
              <w:rPr>
                <w:rFonts w:eastAsia="SimSun"/>
                <w:sz w:val="18"/>
                <w:szCs w:val="18"/>
                <w:lang w:val="lv-LV" w:eastAsia="zh-CN"/>
              </w:rPr>
              <w:t>47 (18,4)</w:t>
            </w:r>
            <w:r>
              <w:rPr>
                <w:rFonts w:cs="Arial"/>
                <w:b/>
                <w:sz w:val="20"/>
                <w:vertAlign w:val="superscript"/>
                <w:lang w:val="lv-LV" w:eastAsia="en-US"/>
              </w:rPr>
              <w:t xml:space="preserve"> ‡</w:t>
            </w:r>
          </w:p>
        </w:tc>
        <w:tc>
          <w:tcPr>
            <w:tcW w:w="1110" w:type="dxa"/>
            <w:gridSpan w:val="2"/>
            <w:tcMar>
              <w:top w:w="0" w:type="dxa"/>
              <w:left w:w="57" w:type="dxa"/>
              <w:bottom w:w="0" w:type="dxa"/>
              <w:right w:w="57" w:type="dxa"/>
            </w:tcMar>
            <w:vAlign w:val="center"/>
          </w:tcPr>
          <w:p w14:paraId="6639BFA9" w14:textId="77777777" w:rsidR="00784D05" w:rsidRDefault="00784D05" w:rsidP="00B47B7D">
            <w:pPr>
              <w:keepNext/>
              <w:keepLines/>
              <w:spacing w:before="50" w:after="50" w:line="240" w:lineRule="exact"/>
              <w:jc w:val="center"/>
              <w:rPr>
                <w:rFonts w:eastAsia="SimSun"/>
                <w:sz w:val="18"/>
                <w:szCs w:val="18"/>
                <w:lang w:val="lv-LV" w:eastAsia="zh-CN"/>
              </w:rPr>
            </w:pPr>
            <w:r>
              <w:rPr>
                <w:rFonts w:eastAsia="SimSun"/>
                <w:sz w:val="18"/>
                <w:szCs w:val="18"/>
                <w:lang w:val="lv-LV" w:eastAsia="zh-CN"/>
              </w:rPr>
              <w:t>38 (14,2)</w:t>
            </w:r>
          </w:p>
        </w:tc>
        <w:tc>
          <w:tcPr>
            <w:tcW w:w="1108" w:type="dxa"/>
            <w:vAlign w:val="center"/>
          </w:tcPr>
          <w:p w14:paraId="507A9DA5" w14:textId="77777777" w:rsidR="00784D05" w:rsidRDefault="00784D05" w:rsidP="00B47B7D">
            <w:pPr>
              <w:keepNext/>
              <w:keepLines/>
              <w:spacing w:before="50" w:after="50" w:line="240" w:lineRule="exact"/>
              <w:jc w:val="center"/>
              <w:rPr>
                <w:rFonts w:eastAsia="SimSun"/>
                <w:sz w:val="18"/>
                <w:szCs w:val="18"/>
                <w:lang w:val="lv-LV" w:eastAsia="zh-CN"/>
              </w:rPr>
            </w:pPr>
            <w:r>
              <w:rPr>
                <w:rFonts w:eastAsia="SimSun"/>
                <w:sz w:val="18"/>
                <w:szCs w:val="18"/>
                <w:lang w:val="lv-LV" w:eastAsia="zh-CN"/>
              </w:rPr>
              <w:t>43 (16,7)</w:t>
            </w:r>
            <w:r>
              <w:rPr>
                <w:rFonts w:cs="Arial"/>
                <w:b/>
                <w:sz w:val="20"/>
                <w:vertAlign w:val="superscript"/>
                <w:lang w:val="lv-LV" w:eastAsia="en-US"/>
              </w:rPr>
              <w:t xml:space="preserve"> ‡</w:t>
            </w:r>
          </w:p>
        </w:tc>
        <w:tc>
          <w:tcPr>
            <w:tcW w:w="1171" w:type="dxa"/>
            <w:tcMar>
              <w:top w:w="0" w:type="dxa"/>
              <w:left w:w="57" w:type="dxa"/>
              <w:bottom w:w="0" w:type="dxa"/>
              <w:right w:w="57" w:type="dxa"/>
            </w:tcMar>
            <w:vAlign w:val="center"/>
          </w:tcPr>
          <w:p w14:paraId="0AFEA853" w14:textId="77777777" w:rsidR="00784D05" w:rsidRDefault="00784D05" w:rsidP="00B47B7D">
            <w:pPr>
              <w:keepNext/>
              <w:keepLines/>
              <w:spacing w:before="50" w:after="50" w:line="240" w:lineRule="exact"/>
              <w:jc w:val="center"/>
              <w:rPr>
                <w:rFonts w:eastAsia="SimSun"/>
                <w:sz w:val="18"/>
                <w:szCs w:val="18"/>
                <w:lang w:val="lv-LV" w:eastAsia="zh-CN"/>
              </w:rPr>
            </w:pPr>
            <w:r>
              <w:rPr>
                <w:rFonts w:eastAsia="SimSun"/>
                <w:sz w:val="18"/>
                <w:szCs w:val="18"/>
                <w:lang w:val="lv-LV" w:eastAsia="zh-CN"/>
              </w:rPr>
              <w:t>25 (10,0)</w:t>
            </w:r>
          </w:p>
        </w:tc>
      </w:tr>
      <w:tr w:rsidR="00B47B7D" w14:paraId="66A2C80B" w14:textId="77777777" w:rsidTr="00707120">
        <w:trPr>
          <w:cantSplit/>
        </w:trPr>
        <w:tc>
          <w:tcPr>
            <w:tcW w:w="4509" w:type="dxa"/>
            <w:gridSpan w:val="2"/>
            <w:tcMar>
              <w:top w:w="0" w:type="dxa"/>
              <w:left w:w="57" w:type="dxa"/>
              <w:bottom w:w="0" w:type="dxa"/>
              <w:right w:w="57" w:type="dxa"/>
            </w:tcMar>
            <w:vAlign w:val="center"/>
          </w:tcPr>
          <w:p w14:paraId="29110112" w14:textId="50F991D5" w:rsidR="00784D05" w:rsidRDefault="00B47B7D" w:rsidP="00707120">
            <w:pPr>
              <w:keepNext/>
              <w:keepLines/>
              <w:spacing w:before="50" w:after="50" w:line="240" w:lineRule="exact"/>
              <w:ind w:left="482"/>
              <w:rPr>
                <w:rFonts w:eastAsia="SimSun"/>
                <w:sz w:val="18"/>
                <w:szCs w:val="18"/>
                <w:lang w:val="lv-LV" w:eastAsia="zh-CN"/>
              </w:rPr>
            </w:pPr>
            <w:r w:rsidRPr="00707120">
              <w:rPr>
                <w:rFonts w:eastAsia="SimSun"/>
                <w:szCs w:val="22"/>
                <w:lang w:val="pt-PT" w:eastAsia="zh-CN"/>
              </w:rPr>
              <w:tab/>
            </w:r>
            <w:r w:rsidRPr="00707120">
              <w:rPr>
                <w:rFonts w:eastAsia="SimSun"/>
                <w:szCs w:val="22"/>
                <w:lang w:val="pt-PT" w:eastAsia="zh-CN"/>
              </w:rPr>
              <w:tab/>
            </w:r>
            <w:r w:rsidRPr="00707120">
              <w:rPr>
                <w:rFonts w:eastAsia="SimSun"/>
                <w:szCs w:val="22"/>
                <w:lang w:val="pt-PT" w:eastAsia="zh-CN"/>
              </w:rPr>
              <w:tab/>
            </w:r>
            <w:r w:rsidR="00784D05">
              <w:rPr>
                <w:rFonts w:eastAsia="SimSun"/>
                <w:sz w:val="18"/>
                <w:szCs w:val="18"/>
                <w:lang w:val="lv-LV" w:eastAsia="zh-CN"/>
              </w:rPr>
              <w:t xml:space="preserve">ACR/EULAR </w:t>
            </w:r>
            <w:r w:rsidR="00784D05">
              <w:rPr>
                <w:rFonts w:eastAsia="SimSun"/>
                <w:i/>
                <w:sz w:val="18"/>
                <w:szCs w:val="18"/>
                <w:lang w:val="lv-LV" w:eastAsia="zh-CN"/>
              </w:rPr>
              <w:t>Index</w:t>
            </w:r>
            <w:r w:rsidR="00784D05">
              <w:rPr>
                <w:rFonts w:eastAsia="SimSun"/>
                <w:sz w:val="18"/>
                <w:szCs w:val="18"/>
                <w:lang w:val="lv-LV" w:eastAsia="zh-CN"/>
              </w:rPr>
              <w:t xml:space="preserve"> remisija, n (%)</w:t>
            </w:r>
          </w:p>
        </w:tc>
        <w:tc>
          <w:tcPr>
            <w:tcW w:w="1111" w:type="dxa"/>
            <w:gridSpan w:val="2"/>
            <w:tcMar>
              <w:top w:w="0" w:type="dxa"/>
              <w:left w:w="57" w:type="dxa"/>
              <w:bottom w:w="0" w:type="dxa"/>
              <w:right w:w="57" w:type="dxa"/>
            </w:tcMar>
            <w:vAlign w:val="center"/>
          </w:tcPr>
          <w:p w14:paraId="0C62CABC" w14:textId="77777777" w:rsidR="00784D05" w:rsidRDefault="00784D05" w:rsidP="00B47B7D">
            <w:pPr>
              <w:keepNext/>
              <w:keepLines/>
              <w:spacing w:before="50" w:after="50" w:line="240" w:lineRule="exact"/>
              <w:jc w:val="center"/>
              <w:rPr>
                <w:rFonts w:eastAsia="SimSun"/>
                <w:sz w:val="18"/>
                <w:szCs w:val="18"/>
                <w:lang w:val="lv-LV" w:eastAsia="zh-CN"/>
              </w:rPr>
            </w:pPr>
            <w:r>
              <w:rPr>
                <w:rFonts w:eastAsia="SimSun"/>
                <w:sz w:val="18"/>
                <w:szCs w:val="18"/>
                <w:lang w:val="lv-LV" w:eastAsia="zh-CN"/>
              </w:rPr>
              <w:t>73 (28,5)</w:t>
            </w:r>
            <w:r>
              <w:rPr>
                <w:rFonts w:cs="Arial"/>
                <w:b/>
                <w:sz w:val="20"/>
                <w:vertAlign w:val="superscript"/>
                <w:lang w:val="lv-LV" w:eastAsia="en-US"/>
              </w:rPr>
              <w:t xml:space="preserve"> ‡</w:t>
            </w:r>
          </w:p>
        </w:tc>
        <w:tc>
          <w:tcPr>
            <w:tcW w:w="1110" w:type="dxa"/>
            <w:gridSpan w:val="2"/>
            <w:tcMar>
              <w:top w:w="0" w:type="dxa"/>
              <w:left w:w="57" w:type="dxa"/>
              <w:bottom w:w="0" w:type="dxa"/>
              <w:right w:w="57" w:type="dxa"/>
            </w:tcMar>
            <w:vAlign w:val="center"/>
          </w:tcPr>
          <w:p w14:paraId="450854CE" w14:textId="77777777" w:rsidR="00784D05" w:rsidRDefault="00784D05" w:rsidP="00B47B7D">
            <w:pPr>
              <w:keepNext/>
              <w:keepLines/>
              <w:spacing w:before="50" w:after="50" w:line="240" w:lineRule="exact"/>
              <w:jc w:val="center"/>
              <w:rPr>
                <w:rFonts w:eastAsia="SimSun"/>
                <w:sz w:val="18"/>
                <w:szCs w:val="18"/>
                <w:lang w:val="lv-LV" w:eastAsia="zh-CN"/>
              </w:rPr>
            </w:pPr>
            <w:r>
              <w:rPr>
                <w:rFonts w:eastAsia="SimSun"/>
                <w:sz w:val="18"/>
                <w:szCs w:val="18"/>
                <w:lang w:val="lv-LV" w:eastAsia="zh-CN"/>
              </w:rPr>
              <w:t>60 (22,6)</w:t>
            </w:r>
          </w:p>
        </w:tc>
        <w:tc>
          <w:tcPr>
            <w:tcW w:w="1108" w:type="dxa"/>
            <w:vAlign w:val="center"/>
          </w:tcPr>
          <w:p w14:paraId="6BAA39C0" w14:textId="77777777" w:rsidR="00784D05" w:rsidRDefault="00784D05" w:rsidP="00B47B7D">
            <w:pPr>
              <w:keepNext/>
              <w:keepLines/>
              <w:spacing w:before="50" w:after="50" w:line="240" w:lineRule="exact"/>
              <w:jc w:val="center"/>
              <w:rPr>
                <w:rFonts w:eastAsia="SimSun"/>
                <w:sz w:val="18"/>
                <w:szCs w:val="18"/>
                <w:lang w:val="lv-LV" w:eastAsia="zh-CN"/>
              </w:rPr>
            </w:pPr>
            <w:r>
              <w:rPr>
                <w:rFonts w:eastAsia="SimSun"/>
                <w:sz w:val="18"/>
                <w:szCs w:val="18"/>
                <w:lang w:val="lv-LV" w:eastAsia="zh-CN"/>
              </w:rPr>
              <w:t>58 (22,6)</w:t>
            </w:r>
          </w:p>
        </w:tc>
        <w:tc>
          <w:tcPr>
            <w:tcW w:w="1171" w:type="dxa"/>
            <w:tcMar>
              <w:top w:w="0" w:type="dxa"/>
              <w:left w:w="57" w:type="dxa"/>
              <w:bottom w:w="0" w:type="dxa"/>
              <w:right w:w="57" w:type="dxa"/>
            </w:tcMar>
            <w:vAlign w:val="center"/>
          </w:tcPr>
          <w:p w14:paraId="7C766F8F" w14:textId="77777777" w:rsidR="00784D05" w:rsidRDefault="00784D05" w:rsidP="00B47B7D">
            <w:pPr>
              <w:keepNext/>
              <w:keepLines/>
              <w:spacing w:before="50" w:after="50" w:line="240" w:lineRule="exact"/>
              <w:jc w:val="center"/>
              <w:rPr>
                <w:rFonts w:eastAsia="SimSun"/>
                <w:sz w:val="18"/>
                <w:szCs w:val="18"/>
                <w:lang w:val="lv-LV" w:eastAsia="zh-CN"/>
              </w:rPr>
            </w:pPr>
            <w:r>
              <w:rPr>
                <w:rFonts w:eastAsia="SimSun"/>
                <w:sz w:val="18"/>
                <w:szCs w:val="18"/>
                <w:lang w:val="lv-LV" w:eastAsia="zh-CN"/>
              </w:rPr>
              <w:t>41 (16,4)</w:t>
            </w:r>
          </w:p>
        </w:tc>
      </w:tr>
      <w:tr w:rsidR="00B47B7D" w14:paraId="5FC5E62B" w14:textId="77777777" w:rsidTr="00707120">
        <w:trPr>
          <w:cantSplit/>
        </w:trPr>
        <w:tc>
          <w:tcPr>
            <w:tcW w:w="4509" w:type="dxa"/>
            <w:gridSpan w:val="2"/>
            <w:tcMar>
              <w:top w:w="0" w:type="dxa"/>
              <w:left w:w="57" w:type="dxa"/>
              <w:bottom w:w="0" w:type="dxa"/>
              <w:right w:w="57" w:type="dxa"/>
            </w:tcMar>
            <w:vAlign w:val="center"/>
          </w:tcPr>
          <w:p w14:paraId="0DE13B05" w14:textId="632F0FEF" w:rsidR="00784D05" w:rsidRDefault="00784D05" w:rsidP="00707120">
            <w:pPr>
              <w:keepNext/>
              <w:keepLines/>
              <w:spacing w:before="50" w:after="50" w:line="240" w:lineRule="exact"/>
              <w:ind w:left="482"/>
              <w:rPr>
                <w:rFonts w:eastAsia="SimSun"/>
                <w:sz w:val="18"/>
                <w:szCs w:val="18"/>
                <w:lang w:val="lv-LV" w:eastAsia="zh-CN"/>
              </w:rPr>
            </w:pPr>
            <w:r>
              <w:rPr>
                <w:rFonts w:eastAsia="SimSun"/>
                <w:sz w:val="18"/>
                <w:szCs w:val="18"/>
                <w:lang w:val="lv-LV" w:eastAsia="zh-CN"/>
              </w:rPr>
              <w:t xml:space="preserve">52. nedēļa: </w:t>
            </w:r>
            <w:r w:rsidR="00B47B7D">
              <w:rPr>
                <w:rFonts w:eastAsia="SimSun"/>
                <w:szCs w:val="22"/>
                <w:lang w:val="en-GB" w:eastAsia="zh-CN"/>
              </w:rPr>
              <w:tab/>
            </w:r>
            <w:r>
              <w:rPr>
                <w:rFonts w:eastAsia="SimSun"/>
                <w:sz w:val="18"/>
                <w:szCs w:val="18"/>
                <w:lang w:val="lv-LV" w:eastAsia="zh-CN"/>
              </w:rPr>
              <w:t xml:space="preserve">ACR/EULAR </w:t>
            </w:r>
            <w:r>
              <w:rPr>
                <w:rFonts w:eastAsia="SimSun"/>
                <w:i/>
                <w:sz w:val="18"/>
                <w:szCs w:val="18"/>
                <w:lang w:val="lv-LV" w:eastAsia="zh-CN"/>
              </w:rPr>
              <w:t>Boolean</w:t>
            </w:r>
            <w:r>
              <w:rPr>
                <w:rFonts w:eastAsia="SimSun"/>
                <w:sz w:val="18"/>
                <w:szCs w:val="18"/>
                <w:lang w:val="lv-LV" w:eastAsia="zh-CN"/>
              </w:rPr>
              <w:t xml:space="preserve"> remisija, n (%)</w:t>
            </w:r>
          </w:p>
        </w:tc>
        <w:tc>
          <w:tcPr>
            <w:tcW w:w="1111" w:type="dxa"/>
            <w:gridSpan w:val="2"/>
            <w:tcMar>
              <w:top w:w="0" w:type="dxa"/>
              <w:left w:w="57" w:type="dxa"/>
              <w:bottom w:w="0" w:type="dxa"/>
              <w:right w:w="57" w:type="dxa"/>
            </w:tcMar>
            <w:vAlign w:val="center"/>
          </w:tcPr>
          <w:p w14:paraId="14A1ED4F" w14:textId="77777777" w:rsidR="00784D05" w:rsidRDefault="00784D05" w:rsidP="00B47B7D">
            <w:pPr>
              <w:keepNext/>
              <w:keepLines/>
              <w:spacing w:before="50" w:after="50" w:line="240" w:lineRule="exact"/>
              <w:jc w:val="center"/>
              <w:rPr>
                <w:rFonts w:eastAsia="SimSun"/>
                <w:sz w:val="18"/>
                <w:szCs w:val="18"/>
                <w:lang w:val="lv-LV" w:eastAsia="zh-CN"/>
              </w:rPr>
            </w:pPr>
            <w:r>
              <w:rPr>
                <w:rFonts w:eastAsia="SimSun"/>
                <w:sz w:val="18"/>
                <w:szCs w:val="18"/>
                <w:lang w:val="lv-LV" w:eastAsia="zh-CN"/>
              </w:rPr>
              <w:t>59 (25,7)</w:t>
            </w:r>
            <w:r>
              <w:rPr>
                <w:rFonts w:cs="Arial"/>
                <w:b/>
                <w:sz w:val="20"/>
                <w:vertAlign w:val="superscript"/>
                <w:lang w:val="lv-LV" w:eastAsia="en-US"/>
              </w:rPr>
              <w:t xml:space="preserve"> ‡</w:t>
            </w:r>
          </w:p>
        </w:tc>
        <w:tc>
          <w:tcPr>
            <w:tcW w:w="1110" w:type="dxa"/>
            <w:gridSpan w:val="2"/>
            <w:tcMar>
              <w:top w:w="0" w:type="dxa"/>
              <w:left w:w="57" w:type="dxa"/>
              <w:bottom w:w="0" w:type="dxa"/>
              <w:right w:w="57" w:type="dxa"/>
            </w:tcMar>
            <w:vAlign w:val="center"/>
          </w:tcPr>
          <w:p w14:paraId="2319B5E9" w14:textId="77777777" w:rsidR="00784D05" w:rsidRDefault="00784D05" w:rsidP="00B47B7D">
            <w:pPr>
              <w:keepNext/>
              <w:keepLines/>
              <w:spacing w:before="50" w:after="50" w:line="240" w:lineRule="exact"/>
              <w:jc w:val="center"/>
              <w:rPr>
                <w:rFonts w:eastAsia="SimSun"/>
                <w:sz w:val="18"/>
                <w:szCs w:val="18"/>
                <w:lang w:val="lv-LV" w:eastAsia="zh-CN"/>
              </w:rPr>
            </w:pPr>
            <w:r>
              <w:rPr>
                <w:rFonts w:eastAsia="SimSun"/>
                <w:sz w:val="18"/>
                <w:szCs w:val="18"/>
                <w:lang w:val="lv-LV" w:eastAsia="zh-CN"/>
              </w:rPr>
              <w:t>43 (18,7)</w:t>
            </w:r>
          </w:p>
        </w:tc>
        <w:tc>
          <w:tcPr>
            <w:tcW w:w="1108" w:type="dxa"/>
            <w:vAlign w:val="center"/>
          </w:tcPr>
          <w:p w14:paraId="2C6466B1" w14:textId="77777777" w:rsidR="00784D05" w:rsidRDefault="00784D05" w:rsidP="00B47B7D">
            <w:pPr>
              <w:keepNext/>
              <w:keepLines/>
              <w:spacing w:before="50" w:after="50" w:line="240" w:lineRule="exact"/>
              <w:jc w:val="center"/>
              <w:rPr>
                <w:rFonts w:eastAsia="SimSun"/>
                <w:sz w:val="18"/>
                <w:szCs w:val="18"/>
                <w:lang w:val="lv-LV" w:eastAsia="zh-CN"/>
              </w:rPr>
            </w:pPr>
            <w:r>
              <w:rPr>
                <w:rFonts w:eastAsia="SimSun"/>
                <w:sz w:val="18"/>
                <w:szCs w:val="18"/>
                <w:lang w:val="lv-LV" w:eastAsia="zh-CN"/>
              </w:rPr>
              <w:t>48 (21,1)</w:t>
            </w:r>
          </w:p>
        </w:tc>
        <w:tc>
          <w:tcPr>
            <w:tcW w:w="1171" w:type="dxa"/>
            <w:tcMar>
              <w:top w:w="0" w:type="dxa"/>
              <w:left w:w="57" w:type="dxa"/>
              <w:bottom w:w="0" w:type="dxa"/>
              <w:right w:w="57" w:type="dxa"/>
            </w:tcMar>
            <w:vAlign w:val="center"/>
          </w:tcPr>
          <w:p w14:paraId="22C44CE0" w14:textId="77777777" w:rsidR="00784D05" w:rsidRDefault="00784D05" w:rsidP="00B47B7D">
            <w:pPr>
              <w:keepNext/>
              <w:keepLines/>
              <w:spacing w:before="50" w:after="50" w:line="240" w:lineRule="exact"/>
              <w:jc w:val="center"/>
              <w:rPr>
                <w:rFonts w:eastAsia="SimSun"/>
                <w:sz w:val="18"/>
                <w:szCs w:val="18"/>
                <w:lang w:val="lv-LV" w:eastAsia="zh-CN"/>
              </w:rPr>
            </w:pPr>
            <w:r>
              <w:rPr>
                <w:rFonts w:eastAsia="SimSun"/>
                <w:sz w:val="18"/>
                <w:szCs w:val="18"/>
                <w:lang w:val="lv-LV" w:eastAsia="zh-CN"/>
              </w:rPr>
              <w:t>34 (15,5)</w:t>
            </w:r>
          </w:p>
        </w:tc>
      </w:tr>
      <w:tr w:rsidR="00B47B7D" w14:paraId="78DA687F" w14:textId="77777777" w:rsidTr="00707120">
        <w:trPr>
          <w:cantSplit/>
        </w:trPr>
        <w:tc>
          <w:tcPr>
            <w:tcW w:w="4509" w:type="dxa"/>
            <w:gridSpan w:val="2"/>
            <w:tcMar>
              <w:top w:w="0" w:type="dxa"/>
              <w:left w:w="57" w:type="dxa"/>
              <w:bottom w:w="0" w:type="dxa"/>
              <w:right w:w="57" w:type="dxa"/>
            </w:tcMar>
            <w:vAlign w:val="center"/>
          </w:tcPr>
          <w:p w14:paraId="461BF3AF" w14:textId="115C675B" w:rsidR="00784D05" w:rsidRDefault="00B47B7D" w:rsidP="00707120">
            <w:pPr>
              <w:keepNext/>
              <w:keepLines/>
              <w:spacing w:before="50" w:after="50" w:line="240" w:lineRule="exact"/>
              <w:ind w:left="482"/>
              <w:rPr>
                <w:rFonts w:eastAsia="SimSun"/>
                <w:sz w:val="18"/>
                <w:szCs w:val="18"/>
                <w:lang w:val="lv-LV" w:eastAsia="zh-CN"/>
              </w:rPr>
            </w:pPr>
            <w:r w:rsidRPr="00707120">
              <w:rPr>
                <w:rFonts w:eastAsia="SimSun"/>
                <w:szCs w:val="22"/>
                <w:lang w:val="pt-PT" w:eastAsia="zh-CN"/>
              </w:rPr>
              <w:tab/>
            </w:r>
            <w:r w:rsidRPr="00707120">
              <w:rPr>
                <w:rFonts w:eastAsia="SimSun"/>
                <w:szCs w:val="22"/>
                <w:lang w:val="pt-PT" w:eastAsia="zh-CN"/>
              </w:rPr>
              <w:tab/>
            </w:r>
            <w:r w:rsidRPr="00707120">
              <w:rPr>
                <w:rFonts w:eastAsia="SimSun"/>
                <w:szCs w:val="22"/>
                <w:lang w:val="pt-PT" w:eastAsia="zh-CN"/>
              </w:rPr>
              <w:tab/>
            </w:r>
            <w:r w:rsidR="00784D05">
              <w:rPr>
                <w:rFonts w:eastAsia="SimSun"/>
                <w:sz w:val="18"/>
                <w:szCs w:val="18"/>
                <w:lang w:val="lv-LV" w:eastAsia="zh-CN"/>
              </w:rPr>
              <w:t xml:space="preserve">ACR/EULAR </w:t>
            </w:r>
            <w:r w:rsidR="00784D05">
              <w:rPr>
                <w:rFonts w:eastAsia="SimSun"/>
                <w:i/>
                <w:sz w:val="18"/>
                <w:szCs w:val="18"/>
                <w:lang w:val="lv-LV" w:eastAsia="zh-CN"/>
              </w:rPr>
              <w:t>Index</w:t>
            </w:r>
            <w:r w:rsidR="00784D05">
              <w:rPr>
                <w:rFonts w:eastAsia="SimSun"/>
                <w:sz w:val="18"/>
                <w:szCs w:val="18"/>
                <w:lang w:val="lv-LV" w:eastAsia="zh-CN"/>
              </w:rPr>
              <w:t xml:space="preserve"> remisija, n (%)</w:t>
            </w:r>
          </w:p>
        </w:tc>
        <w:tc>
          <w:tcPr>
            <w:tcW w:w="1111" w:type="dxa"/>
            <w:gridSpan w:val="2"/>
            <w:tcMar>
              <w:top w:w="0" w:type="dxa"/>
              <w:left w:w="57" w:type="dxa"/>
              <w:bottom w:w="0" w:type="dxa"/>
              <w:right w:w="57" w:type="dxa"/>
            </w:tcMar>
            <w:vAlign w:val="center"/>
          </w:tcPr>
          <w:p w14:paraId="39606847" w14:textId="77777777" w:rsidR="00784D05" w:rsidRDefault="00784D05" w:rsidP="00B47B7D">
            <w:pPr>
              <w:keepNext/>
              <w:keepLines/>
              <w:spacing w:before="50" w:after="50" w:line="240" w:lineRule="exact"/>
              <w:jc w:val="center"/>
              <w:rPr>
                <w:rFonts w:eastAsia="SimSun"/>
                <w:sz w:val="18"/>
                <w:szCs w:val="18"/>
                <w:lang w:val="lv-LV" w:eastAsia="zh-CN"/>
              </w:rPr>
            </w:pPr>
            <w:r>
              <w:rPr>
                <w:rFonts w:eastAsia="SimSun"/>
                <w:sz w:val="18"/>
                <w:szCs w:val="18"/>
                <w:lang w:val="lv-LV" w:eastAsia="zh-CN"/>
              </w:rPr>
              <w:t>83 (36,1)</w:t>
            </w:r>
            <w:r>
              <w:rPr>
                <w:rFonts w:cs="Arial"/>
                <w:b/>
                <w:sz w:val="20"/>
                <w:vertAlign w:val="superscript"/>
                <w:lang w:val="lv-LV" w:eastAsia="en-US"/>
              </w:rPr>
              <w:t xml:space="preserve"> ‡</w:t>
            </w:r>
          </w:p>
        </w:tc>
        <w:tc>
          <w:tcPr>
            <w:tcW w:w="1110" w:type="dxa"/>
            <w:gridSpan w:val="2"/>
            <w:tcMar>
              <w:top w:w="0" w:type="dxa"/>
              <w:left w:w="57" w:type="dxa"/>
              <w:bottom w:w="0" w:type="dxa"/>
              <w:right w:w="57" w:type="dxa"/>
            </w:tcMar>
            <w:vAlign w:val="center"/>
          </w:tcPr>
          <w:p w14:paraId="428D2E41" w14:textId="77777777" w:rsidR="00784D05" w:rsidRDefault="00784D05" w:rsidP="00B47B7D">
            <w:pPr>
              <w:keepNext/>
              <w:keepLines/>
              <w:spacing w:before="50" w:after="50" w:line="240" w:lineRule="exact"/>
              <w:jc w:val="center"/>
              <w:rPr>
                <w:rFonts w:eastAsia="SimSun"/>
                <w:sz w:val="18"/>
                <w:szCs w:val="18"/>
                <w:lang w:val="lv-LV" w:eastAsia="zh-CN"/>
              </w:rPr>
            </w:pPr>
            <w:r>
              <w:rPr>
                <w:rFonts w:eastAsia="SimSun"/>
                <w:sz w:val="18"/>
                <w:szCs w:val="18"/>
                <w:lang w:val="lv-LV" w:eastAsia="zh-CN"/>
              </w:rPr>
              <w:t>69 (30,0)</w:t>
            </w:r>
          </w:p>
        </w:tc>
        <w:tc>
          <w:tcPr>
            <w:tcW w:w="1108" w:type="dxa"/>
            <w:vAlign w:val="center"/>
          </w:tcPr>
          <w:p w14:paraId="3D3451E0" w14:textId="77777777" w:rsidR="00784D05" w:rsidRDefault="00784D05" w:rsidP="00B47B7D">
            <w:pPr>
              <w:keepNext/>
              <w:keepLines/>
              <w:spacing w:before="50" w:after="50" w:line="240" w:lineRule="exact"/>
              <w:jc w:val="center"/>
              <w:rPr>
                <w:rFonts w:eastAsia="SimSun"/>
                <w:sz w:val="18"/>
                <w:szCs w:val="18"/>
                <w:lang w:val="lv-LV" w:eastAsia="zh-CN"/>
              </w:rPr>
            </w:pPr>
            <w:r>
              <w:rPr>
                <w:rFonts w:eastAsia="SimSun"/>
                <w:sz w:val="18"/>
                <w:szCs w:val="18"/>
                <w:lang w:val="lv-LV" w:eastAsia="zh-CN"/>
              </w:rPr>
              <w:t>66 (29,3)</w:t>
            </w:r>
          </w:p>
        </w:tc>
        <w:tc>
          <w:tcPr>
            <w:tcW w:w="1171" w:type="dxa"/>
            <w:tcMar>
              <w:top w:w="0" w:type="dxa"/>
              <w:left w:w="57" w:type="dxa"/>
              <w:bottom w:w="0" w:type="dxa"/>
              <w:right w:w="57" w:type="dxa"/>
            </w:tcMar>
            <w:vAlign w:val="center"/>
          </w:tcPr>
          <w:p w14:paraId="1B35C52F" w14:textId="77777777" w:rsidR="00784D05" w:rsidRDefault="00784D05" w:rsidP="00B47B7D">
            <w:pPr>
              <w:keepNext/>
              <w:keepLines/>
              <w:spacing w:before="50" w:after="50" w:line="240" w:lineRule="exact"/>
              <w:jc w:val="center"/>
              <w:rPr>
                <w:rFonts w:eastAsia="SimSun"/>
                <w:sz w:val="18"/>
                <w:szCs w:val="18"/>
                <w:lang w:val="lv-LV" w:eastAsia="zh-CN"/>
              </w:rPr>
            </w:pPr>
            <w:r>
              <w:rPr>
                <w:rFonts w:eastAsia="SimSun"/>
                <w:sz w:val="18"/>
                <w:szCs w:val="18"/>
                <w:lang w:val="lv-LV" w:eastAsia="zh-CN"/>
              </w:rPr>
              <w:t>49 (22,4)</w:t>
            </w:r>
          </w:p>
        </w:tc>
      </w:tr>
    </w:tbl>
    <w:p w14:paraId="6DE7DAD4" w14:textId="20F5D2C5" w:rsidR="00784D05" w:rsidRPr="00707120" w:rsidRDefault="00784D05">
      <w:pPr>
        <w:keepNext/>
        <w:suppressAutoHyphens w:val="0"/>
        <w:rPr>
          <w:iCs/>
          <w:sz w:val="18"/>
          <w:szCs w:val="18"/>
          <w:lang w:val="en-GB" w:eastAsia="ja-JP"/>
        </w:rPr>
      </w:pPr>
      <w:r w:rsidRPr="00707120">
        <w:rPr>
          <w:iCs/>
          <w:sz w:val="18"/>
          <w:szCs w:val="18"/>
          <w:lang w:val="en-GB" w:eastAsia="ja-JP"/>
        </w:rPr>
        <w:t>mTSS</w:t>
      </w:r>
      <w:r w:rsidR="00B47B7D">
        <w:rPr>
          <w:iCs/>
          <w:sz w:val="18"/>
          <w:szCs w:val="18"/>
          <w:lang w:val="en-GB" w:eastAsia="ja-JP"/>
        </w:rPr>
        <w:t xml:space="preserve"> </w:t>
      </w:r>
      <w:r w:rsidRPr="00707120">
        <w:rPr>
          <w:iCs/>
          <w:sz w:val="18"/>
          <w:szCs w:val="18"/>
          <w:lang w:val="en-GB" w:eastAsia="ja-JP"/>
        </w:rPr>
        <w:t xml:space="preserve">- </w:t>
      </w:r>
      <w:r w:rsidRPr="00707120">
        <w:rPr>
          <w:rFonts w:eastAsia="MS Mincho"/>
          <w:iCs/>
          <w:sz w:val="18"/>
          <w:szCs w:val="18"/>
          <w:lang w:val="lv-LV"/>
        </w:rPr>
        <w:t xml:space="preserve">modificēts kopējais </w:t>
      </w:r>
      <w:r w:rsidRPr="00B47B7D">
        <w:rPr>
          <w:rFonts w:eastAsia="MS Mincho"/>
          <w:i/>
          <w:sz w:val="18"/>
          <w:szCs w:val="18"/>
          <w:lang w:val="lv-LV"/>
        </w:rPr>
        <w:t>Sharp</w:t>
      </w:r>
      <w:r w:rsidRPr="00707120">
        <w:rPr>
          <w:rFonts w:eastAsia="MS Mincho"/>
          <w:iCs/>
          <w:sz w:val="18"/>
          <w:szCs w:val="18"/>
          <w:lang w:val="lv-LV"/>
        </w:rPr>
        <w:t xml:space="preserve"> vērtējums</w:t>
      </w:r>
      <w:r w:rsidR="00C53AA6" w:rsidRPr="00707120">
        <w:rPr>
          <w:rFonts w:eastAsia="MS Mincho"/>
          <w:iCs/>
          <w:sz w:val="18"/>
          <w:szCs w:val="18"/>
          <w:lang w:val="lv-LV"/>
        </w:rPr>
        <w:t>.</w:t>
      </w:r>
    </w:p>
    <w:p w14:paraId="72C2D93E" w14:textId="11A398B3" w:rsidR="00784D05" w:rsidRDefault="00784D05" w:rsidP="00707120">
      <w:pPr>
        <w:keepNext/>
        <w:rPr>
          <w:bCs/>
          <w:iCs/>
          <w:sz w:val="18"/>
          <w:szCs w:val="18"/>
          <w:lang w:val="lv-LV"/>
        </w:rPr>
      </w:pPr>
      <w:r w:rsidRPr="00707120">
        <w:rPr>
          <w:iCs/>
          <w:sz w:val="18"/>
          <w:szCs w:val="18"/>
          <w:lang w:val="en-GB" w:eastAsia="ja-JP"/>
        </w:rPr>
        <w:t>LSS</w:t>
      </w:r>
      <w:r w:rsidR="00B47B7D">
        <w:rPr>
          <w:iCs/>
          <w:sz w:val="18"/>
          <w:szCs w:val="18"/>
          <w:lang w:val="en-GB" w:eastAsia="ja-JP"/>
        </w:rPr>
        <w:t xml:space="preserve"> </w:t>
      </w:r>
      <w:r w:rsidRPr="00707120">
        <w:rPr>
          <w:iCs/>
          <w:sz w:val="18"/>
          <w:szCs w:val="18"/>
          <w:lang w:val="en-GB" w:eastAsia="ja-JP"/>
        </w:rPr>
        <w:t xml:space="preserve">- </w:t>
      </w:r>
      <w:r w:rsidRPr="00707120">
        <w:rPr>
          <w:bCs/>
          <w:iCs/>
          <w:sz w:val="18"/>
          <w:szCs w:val="18"/>
          <w:lang w:val="lv-LV"/>
        </w:rPr>
        <w:t>locītavas spraugas sašaurināšanās</w:t>
      </w:r>
      <w:r w:rsidR="00C53AA6" w:rsidRPr="00707120">
        <w:rPr>
          <w:bCs/>
          <w:iCs/>
          <w:sz w:val="18"/>
          <w:szCs w:val="18"/>
          <w:lang w:val="lv-LV"/>
        </w:rPr>
        <w:t>.</w:t>
      </w:r>
    </w:p>
    <w:p w14:paraId="2C8C4F19" w14:textId="56288499" w:rsidR="00B47B7D" w:rsidRDefault="00B47B7D" w:rsidP="00707120">
      <w:pPr>
        <w:keepNext/>
        <w:rPr>
          <w:bCs/>
          <w:iCs/>
          <w:sz w:val="18"/>
          <w:szCs w:val="18"/>
          <w:lang w:val="lv-LV"/>
        </w:rPr>
      </w:pPr>
      <w:r>
        <w:rPr>
          <w:bCs/>
          <w:iCs/>
          <w:sz w:val="18"/>
          <w:szCs w:val="18"/>
          <w:lang w:val="lv-LV"/>
        </w:rPr>
        <w:t>TCZ – tocilizumabs.</w:t>
      </w:r>
    </w:p>
    <w:p w14:paraId="5051BC95" w14:textId="5BCD57D6" w:rsidR="00B47B7D" w:rsidRDefault="00B47B7D" w:rsidP="00707120">
      <w:pPr>
        <w:keepNext/>
        <w:rPr>
          <w:bCs/>
          <w:iCs/>
          <w:sz w:val="18"/>
          <w:szCs w:val="18"/>
          <w:lang w:val="lv-LV"/>
        </w:rPr>
      </w:pPr>
      <w:r>
        <w:rPr>
          <w:bCs/>
          <w:iCs/>
          <w:sz w:val="18"/>
          <w:szCs w:val="18"/>
          <w:lang w:val="lv-LV"/>
        </w:rPr>
        <w:t xml:space="preserve">MTX – metotreksāts. </w:t>
      </w:r>
    </w:p>
    <w:p w14:paraId="7D67FD9A" w14:textId="7CC394CA" w:rsidR="00B47B7D" w:rsidRPr="00B47B7D" w:rsidRDefault="00B47B7D" w:rsidP="00707120">
      <w:pPr>
        <w:keepNext/>
        <w:rPr>
          <w:iCs/>
          <w:sz w:val="18"/>
          <w:szCs w:val="18"/>
          <w:lang w:val="lv-LV" w:eastAsia="en-US"/>
        </w:rPr>
      </w:pPr>
      <w:r>
        <w:rPr>
          <w:bCs/>
          <w:iCs/>
          <w:sz w:val="18"/>
          <w:szCs w:val="18"/>
          <w:lang w:val="lv-LV"/>
        </w:rPr>
        <w:t xml:space="preserve">ACR – Amerikas Reimatoloģijas kolēģijas (ACR) kritēriji. </w:t>
      </w:r>
    </w:p>
    <w:p w14:paraId="1E326B86" w14:textId="3AFED952" w:rsidR="00784D05" w:rsidRDefault="00784D05" w:rsidP="00707120">
      <w:pPr>
        <w:keepNext/>
        <w:rPr>
          <w:sz w:val="18"/>
          <w:szCs w:val="18"/>
          <w:lang w:val="lv-LV" w:eastAsia="en-US"/>
        </w:rPr>
      </w:pPr>
      <w:r>
        <w:rPr>
          <w:sz w:val="18"/>
          <w:szCs w:val="18"/>
          <w:lang w:val="lv-LV" w:eastAsia="en-US"/>
        </w:rPr>
        <w:t>Visi efektivitātes salīdzinājumi ar placebo + MTX. ***p</w:t>
      </w:r>
      <w:r w:rsidR="00B47B7D">
        <w:rPr>
          <w:sz w:val="18"/>
          <w:szCs w:val="18"/>
          <w:lang w:val="lv-LV" w:eastAsia="en-US"/>
        </w:rPr>
        <w:t> ≤ </w:t>
      </w:r>
      <w:r>
        <w:rPr>
          <w:sz w:val="18"/>
          <w:szCs w:val="18"/>
          <w:lang w:val="lv-LV" w:eastAsia="en-US"/>
        </w:rPr>
        <w:t>0,0001; **p</w:t>
      </w:r>
      <w:r w:rsidR="00B47B7D">
        <w:rPr>
          <w:sz w:val="18"/>
          <w:szCs w:val="18"/>
          <w:lang w:val="lv-LV" w:eastAsia="en-US"/>
        </w:rPr>
        <w:t> ˂ </w:t>
      </w:r>
      <w:r>
        <w:rPr>
          <w:sz w:val="18"/>
          <w:szCs w:val="18"/>
          <w:lang w:val="lv-LV" w:eastAsia="en-US"/>
        </w:rPr>
        <w:t>0,001; *p</w:t>
      </w:r>
      <w:r w:rsidR="00B47B7D">
        <w:rPr>
          <w:sz w:val="18"/>
          <w:szCs w:val="18"/>
          <w:lang w:val="lv-LV" w:eastAsia="en-US"/>
        </w:rPr>
        <w:t> ˂ </w:t>
      </w:r>
      <w:r>
        <w:rPr>
          <w:sz w:val="18"/>
          <w:szCs w:val="18"/>
          <w:lang w:val="lv-LV" w:eastAsia="en-US"/>
        </w:rPr>
        <w:t>0,05</w:t>
      </w:r>
      <w:r w:rsidR="00B47B7D">
        <w:rPr>
          <w:sz w:val="18"/>
          <w:szCs w:val="18"/>
          <w:lang w:val="lv-LV" w:eastAsia="en-US"/>
        </w:rPr>
        <w:t>.</w:t>
      </w:r>
    </w:p>
    <w:p w14:paraId="0F53C85A" w14:textId="5DE3E226" w:rsidR="00784D05" w:rsidRDefault="00784D05">
      <w:pPr>
        <w:rPr>
          <w:sz w:val="18"/>
          <w:szCs w:val="18"/>
          <w:lang w:val="lv-LV"/>
        </w:rPr>
      </w:pPr>
      <w:r>
        <w:rPr>
          <w:sz w:val="18"/>
          <w:szCs w:val="18"/>
          <w:lang w:val="lv-LV" w:eastAsia="en-US"/>
        </w:rPr>
        <w:t>‡p vērtība</w:t>
      </w:r>
      <w:r w:rsidR="00B47B7D">
        <w:rPr>
          <w:sz w:val="18"/>
          <w:szCs w:val="18"/>
          <w:lang w:val="lv-LV" w:eastAsia="en-US"/>
        </w:rPr>
        <w:t> ˂ </w:t>
      </w:r>
      <w:r>
        <w:rPr>
          <w:sz w:val="18"/>
          <w:szCs w:val="18"/>
          <w:lang w:val="lv-LV" w:eastAsia="en-US"/>
        </w:rPr>
        <w:t>0,05, salīdzinot ar placebo + MTX, taču mērķa kritērijs bija izpētes (nebija iekļauts statistiskās analīzes hierarhijā, tādēļ nebija iespējams kontrolēt tā dažādību).</w:t>
      </w:r>
    </w:p>
    <w:p w14:paraId="1C39E1EA" w14:textId="2FA8951F" w:rsidR="00784D05" w:rsidRDefault="00784D05">
      <w:pPr>
        <w:ind w:right="-2"/>
        <w:rPr>
          <w:lang w:val="lv-LV"/>
        </w:rPr>
      </w:pPr>
    </w:p>
    <w:p w14:paraId="07B65E69" w14:textId="0A67B0F6" w:rsidR="00727752" w:rsidRPr="00707120" w:rsidRDefault="00727752" w:rsidP="00727752">
      <w:pPr>
        <w:keepNext/>
        <w:keepLines/>
        <w:rPr>
          <w:rFonts w:eastAsia="MS PGothic"/>
          <w:iCs/>
          <w:color w:val="000000"/>
          <w:szCs w:val="22"/>
          <w:u w:val="single"/>
          <w:lang w:val="lv-LV"/>
        </w:rPr>
      </w:pPr>
      <w:r w:rsidRPr="00707120">
        <w:rPr>
          <w:iCs/>
          <w:color w:val="000000"/>
          <w:szCs w:val="22"/>
          <w:u w:val="single"/>
          <w:lang w:val="lv-LV"/>
        </w:rPr>
        <w:t>COVID</w:t>
      </w:r>
      <w:r w:rsidR="00D447E7">
        <w:rPr>
          <w:iCs/>
          <w:color w:val="000000"/>
          <w:szCs w:val="22"/>
          <w:u w:val="single"/>
          <w:lang w:val="lv-LV"/>
        </w:rPr>
        <w:noBreakHyphen/>
      </w:r>
      <w:r w:rsidRPr="00707120">
        <w:rPr>
          <w:iCs/>
          <w:color w:val="000000"/>
          <w:szCs w:val="22"/>
          <w:u w:val="single"/>
          <w:lang w:val="lv-LV"/>
        </w:rPr>
        <w:t xml:space="preserve">19 </w:t>
      </w:r>
    </w:p>
    <w:p w14:paraId="7A508FEC" w14:textId="77777777" w:rsidR="00727752" w:rsidRPr="00707120" w:rsidRDefault="00727752" w:rsidP="00727752">
      <w:pPr>
        <w:keepNext/>
        <w:keepLines/>
        <w:rPr>
          <w:rFonts w:eastAsia="MS PGothic"/>
          <w:i/>
          <w:iCs/>
          <w:color w:val="000000"/>
          <w:szCs w:val="22"/>
          <w:lang w:val="lv-LV"/>
        </w:rPr>
      </w:pPr>
      <w:r w:rsidRPr="00707120">
        <w:rPr>
          <w:i/>
          <w:iCs/>
          <w:color w:val="000000"/>
          <w:szCs w:val="22"/>
          <w:lang w:val="lv-LV"/>
        </w:rPr>
        <w:t>Klīniskā efektivitāte</w:t>
      </w:r>
    </w:p>
    <w:p w14:paraId="5D49FA2C" w14:textId="389EAE71" w:rsidR="00727752" w:rsidRPr="00707120" w:rsidRDefault="00727752" w:rsidP="00727752">
      <w:pPr>
        <w:keepNext/>
        <w:keepLines/>
        <w:rPr>
          <w:bCs/>
          <w:color w:val="000000"/>
          <w:szCs w:val="22"/>
          <w:lang w:val="lv-LV"/>
        </w:rPr>
      </w:pPr>
      <w:r w:rsidRPr="00707120">
        <w:rPr>
          <w:bCs/>
          <w:color w:val="000000"/>
          <w:szCs w:val="22"/>
          <w:lang w:val="lv-LV"/>
        </w:rPr>
        <w:t>RECOVERY (</w:t>
      </w:r>
      <w:r w:rsidRPr="00707120">
        <w:rPr>
          <w:bCs/>
          <w:i/>
          <w:iCs/>
          <w:color w:val="000000"/>
          <w:szCs w:val="22"/>
          <w:lang w:val="lv-LV"/>
        </w:rPr>
        <w:t>Randomised Evaluation of COVID</w:t>
      </w:r>
      <w:r w:rsidR="00D447E7">
        <w:rPr>
          <w:bCs/>
          <w:i/>
          <w:iCs/>
          <w:color w:val="000000"/>
          <w:szCs w:val="22"/>
          <w:lang w:val="lv-LV"/>
        </w:rPr>
        <w:noBreakHyphen/>
      </w:r>
      <w:r w:rsidRPr="00707120">
        <w:rPr>
          <w:bCs/>
          <w:i/>
          <w:iCs/>
          <w:color w:val="000000"/>
          <w:szCs w:val="22"/>
          <w:lang w:val="lv-LV"/>
        </w:rPr>
        <w:t>19 Therapy</w:t>
      </w:r>
      <w:r w:rsidRPr="00707120">
        <w:rPr>
          <w:bCs/>
          <w:color w:val="000000"/>
          <w:szCs w:val="22"/>
          <w:lang w:val="lv-LV"/>
        </w:rPr>
        <w:t>; COVID</w:t>
      </w:r>
      <w:r w:rsidR="00D447E7">
        <w:rPr>
          <w:bCs/>
          <w:color w:val="000000"/>
          <w:szCs w:val="22"/>
          <w:lang w:val="lv-LV"/>
        </w:rPr>
        <w:noBreakHyphen/>
      </w:r>
      <w:r w:rsidRPr="00707120">
        <w:rPr>
          <w:bCs/>
          <w:color w:val="000000"/>
          <w:szCs w:val="22"/>
          <w:lang w:val="lv-LV"/>
        </w:rPr>
        <w:t xml:space="preserve">19 terapijas randomizēts novērtējums) sadarbības grupas pētījums </w:t>
      </w:r>
      <w:r w:rsidR="00D447E7">
        <w:rPr>
          <w:bCs/>
          <w:color w:val="000000"/>
          <w:szCs w:val="22"/>
          <w:lang w:val="lv-LV"/>
        </w:rPr>
        <w:t xml:space="preserve">par </w:t>
      </w:r>
      <w:r w:rsidRPr="00707120">
        <w:rPr>
          <w:bCs/>
          <w:color w:val="000000"/>
          <w:szCs w:val="22"/>
          <w:lang w:val="lv-LV"/>
        </w:rPr>
        <w:t>hospitalizētiem pieaugušajiem ar COVID</w:t>
      </w:r>
      <w:r w:rsidR="00D447E7">
        <w:rPr>
          <w:bCs/>
          <w:color w:val="000000"/>
          <w:szCs w:val="22"/>
          <w:lang w:val="lv-LV"/>
        </w:rPr>
        <w:noBreakHyphen/>
      </w:r>
      <w:r w:rsidRPr="00707120">
        <w:rPr>
          <w:bCs/>
          <w:color w:val="000000"/>
          <w:szCs w:val="22"/>
          <w:lang w:val="lv-LV"/>
        </w:rPr>
        <w:t>19 diagnozi</w:t>
      </w:r>
    </w:p>
    <w:p w14:paraId="7E0E3611" w14:textId="77777777" w:rsidR="00592DB1" w:rsidRPr="00707120" w:rsidRDefault="00592DB1">
      <w:pPr>
        <w:rPr>
          <w:rFonts w:eastAsia="MS PGothic"/>
          <w:color w:val="000000"/>
          <w:szCs w:val="22"/>
          <w:lang w:val="lv-LV"/>
        </w:rPr>
        <w:pPrChange w:id="287" w:author="Author">
          <w:pPr>
            <w:keepNext/>
            <w:keepLines/>
          </w:pPr>
        </w:pPrChange>
      </w:pPr>
    </w:p>
    <w:p w14:paraId="7A0F501C" w14:textId="6FA35A70" w:rsidR="00727752" w:rsidRPr="00F855CA" w:rsidRDefault="00727752" w:rsidP="00727752">
      <w:pPr>
        <w:rPr>
          <w:lang w:val="lv-LV"/>
        </w:rPr>
      </w:pPr>
      <w:r w:rsidRPr="00F855CA">
        <w:rPr>
          <w:lang w:val="lv-LV"/>
        </w:rPr>
        <w:t xml:space="preserve">RECOVERY bija liels, randomizēts, kontrolēts, </w:t>
      </w:r>
      <w:r w:rsidR="00C11690">
        <w:rPr>
          <w:lang w:val="lv-LV"/>
        </w:rPr>
        <w:t>atklāts</w:t>
      </w:r>
      <w:r w:rsidRPr="00F855CA">
        <w:rPr>
          <w:lang w:val="lv-LV"/>
        </w:rPr>
        <w:t>, daudzcentru platformas pētījums Apvienotajā Karalistē par iespējamo terapij</w:t>
      </w:r>
      <w:r w:rsidR="00C11690">
        <w:rPr>
          <w:lang w:val="lv-LV"/>
        </w:rPr>
        <w:t>u</w:t>
      </w:r>
      <w:r w:rsidRPr="00F855CA">
        <w:rPr>
          <w:lang w:val="lv-LV"/>
        </w:rPr>
        <w:t xml:space="preserve"> efektivitāti un drošumu hospitalizētiem pieaugušiem pacientiem ar smagu COVID</w:t>
      </w:r>
      <w:r w:rsidR="00D447E7">
        <w:rPr>
          <w:lang w:val="lv-LV"/>
        </w:rPr>
        <w:noBreakHyphen/>
      </w:r>
      <w:r w:rsidRPr="00F855CA">
        <w:rPr>
          <w:lang w:val="lv-LV"/>
        </w:rPr>
        <w:t>19. Visi dalībai pētījumā piemērotie pacienti saņēma parasto aprūpi, un tika veikta šo pacientu sākotnējā (galvenā) randomizētā iedalīšana grupās. Dalībai klīniskajā pētījumā bija piemēroti pacienti, kuriem bija klīniski varbūtēja vai laboratoriski apstiprināta SARS</w:t>
      </w:r>
      <w:r w:rsidR="00D447E7">
        <w:rPr>
          <w:lang w:val="lv-LV"/>
        </w:rPr>
        <w:noBreakHyphen/>
      </w:r>
      <w:r w:rsidRPr="00F855CA">
        <w:rPr>
          <w:lang w:val="lv-LV"/>
        </w:rPr>
        <w:t>CoV</w:t>
      </w:r>
      <w:r w:rsidR="00D447E7">
        <w:rPr>
          <w:lang w:val="lv-LV"/>
        </w:rPr>
        <w:noBreakHyphen/>
      </w:r>
      <w:r w:rsidRPr="00F855CA">
        <w:rPr>
          <w:lang w:val="lv-LV"/>
        </w:rPr>
        <w:t>2 infekcija un nebija medicīnisku kontrindikāciju nevienas pētītās terapijas lietošanai. Otrajai randomizētajai iedalīšanai grupās intravenoz</w:t>
      </w:r>
      <w:r w:rsidR="0046093A" w:rsidRPr="00F855CA">
        <w:rPr>
          <w:lang w:val="lv-LV"/>
        </w:rPr>
        <w:t>ai</w:t>
      </w:r>
      <w:r w:rsidRPr="00F855CA">
        <w:rPr>
          <w:lang w:val="lv-LV"/>
        </w:rPr>
        <w:t xml:space="preserve"> terapij</w:t>
      </w:r>
      <w:r w:rsidR="0046093A" w:rsidRPr="00F855CA">
        <w:rPr>
          <w:lang w:val="lv-LV"/>
        </w:rPr>
        <w:t>ai</w:t>
      </w:r>
      <w:r w:rsidRPr="00F855CA">
        <w:rPr>
          <w:lang w:val="lv-LV"/>
        </w:rPr>
        <w:t xml:space="preserve"> ar tocilizumabu vai tikai parast</w:t>
      </w:r>
      <w:r w:rsidR="0046093A" w:rsidRPr="00F855CA">
        <w:rPr>
          <w:lang w:val="lv-LV"/>
        </w:rPr>
        <w:t>ajai</w:t>
      </w:r>
      <w:r w:rsidRPr="00F855CA">
        <w:rPr>
          <w:lang w:val="lv-LV"/>
        </w:rPr>
        <w:t xml:space="preserve"> aprūp</w:t>
      </w:r>
      <w:r w:rsidR="0046093A" w:rsidRPr="00F855CA">
        <w:rPr>
          <w:lang w:val="lv-LV"/>
        </w:rPr>
        <w:t>e</w:t>
      </w:r>
      <w:r w:rsidRPr="00F855CA">
        <w:rPr>
          <w:lang w:val="lv-LV"/>
        </w:rPr>
        <w:t>i bija piemēroti pacienti ar klīniskiem pierādījumiem par progresējošu COVID</w:t>
      </w:r>
      <w:r w:rsidR="00D447E7">
        <w:rPr>
          <w:lang w:val="lv-LV"/>
        </w:rPr>
        <w:noBreakHyphen/>
      </w:r>
      <w:r w:rsidRPr="00F855CA">
        <w:rPr>
          <w:lang w:val="lv-LV"/>
        </w:rPr>
        <w:t>19 (kas bija definēt</w:t>
      </w:r>
      <w:r w:rsidR="00C11690">
        <w:rPr>
          <w:lang w:val="lv-LV"/>
        </w:rPr>
        <w:t>s</w:t>
      </w:r>
      <w:r w:rsidRPr="00F855CA">
        <w:rPr>
          <w:lang w:val="lv-LV"/>
        </w:rPr>
        <w:t xml:space="preserve"> kā skābekļa piesātinājums asinīs </w:t>
      </w:r>
      <w:r w:rsidR="00D447E7">
        <w:rPr>
          <w:lang w:val="lv-LV"/>
        </w:rPr>
        <w:t>˂ </w:t>
      </w:r>
      <w:r w:rsidRPr="00F855CA">
        <w:rPr>
          <w:lang w:val="lv-LV"/>
        </w:rPr>
        <w:t xml:space="preserve">92% </w:t>
      </w:r>
      <w:r w:rsidR="00A439C3" w:rsidRPr="00F855CA">
        <w:rPr>
          <w:lang w:val="lv-LV"/>
        </w:rPr>
        <w:t xml:space="preserve">telpas </w:t>
      </w:r>
      <w:r w:rsidRPr="00F855CA">
        <w:rPr>
          <w:lang w:val="lv-LV"/>
        </w:rPr>
        <w:t>gaisā vai skābekļa terapijas laikā un CRO</w:t>
      </w:r>
      <w:r w:rsidR="00D447E7">
        <w:rPr>
          <w:lang w:val="lv-LV"/>
        </w:rPr>
        <w:t> ≥ </w:t>
      </w:r>
      <w:r w:rsidRPr="00F855CA">
        <w:rPr>
          <w:lang w:val="lv-LV"/>
        </w:rPr>
        <w:t>75 mg/l).</w:t>
      </w:r>
    </w:p>
    <w:p w14:paraId="3881321E" w14:textId="77777777" w:rsidR="00727752" w:rsidRPr="00F855CA" w:rsidRDefault="00727752" w:rsidP="00727752">
      <w:pPr>
        <w:rPr>
          <w:szCs w:val="22"/>
          <w:lang w:val="lv-LV"/>
        </w:rPr>
      </w:pPr>
    </w:p>
    <w:p w14:paraId="4F6C6AC3" w14:textId="1AFEC8C5" w:rsidR="00727752" w:rsidRPr="00F855CA" w:rsidRDefault="00727752" w:rsidP="00727752">
      <w:pPr>
        <w:rPr>
          <w:lang w:val="lv-LV"/>
        </w:rPr>
      </w:pPr>
      <w:r w:rsidRPr="00F855CA">
        <w:rPr>
          <w:lang w:val="lv-LV"/>
        </w:rPr>
        <w:t>Efektivitātes analīze tika veikta par ārstēt paredzēto (</w:t>
      </w:r>
      <w:r w:rsidR="006952A3" w:rsidRPr="00F855CA">
        <w:rPr>
          <w:i/>
          <w:szCs w:val="22"/>
          <w:lang w:val="lv-LV" w:eastAsia="ja-JP"/>
        </w:rPr>
        <w:t xml:space="preserve">intent-to-treat, </w:t>
      </w:r>
      <w:r w:rsidRPr="00F855CA">
        <w:rPr>
          <w:i/>
          <w:iCs/>
          <w:lang w:val="lv-LV"/>
        </w:rPr>
        <w:t>ITT</w:t>
      </w:r>
      <w:r w:rsidRPr="00F855CA">
        <w:rPr>
          <w:lang w:val="lv-LV"/>
        </w:rPr>
        <w:t xml:space="preserve">) pacientu populāciju, kuru veidoja pavisam 4116 pacienti </w:t>
      </w:r>
      <w:r w:rsidR="00D447E7">
        <w:rPr>
          <w:lang w:val="lv-LV"/>
        </w:rPr>
        <w:t>–</w:t>
      </w:r>
      <w:r w:rsidRPr="00F855CA">
        <w:rPr>
          <w:lang w:val="lv-LV"/>
        </w:rPr>
        <w:t xml:space="preserve"> 2022</w:t>
      </w:r>
      <w:r w:rsidR="00D447E7">
        <w:rPr>
          <w:lang w:val="lv-LV"/>
        </w:rPr>
        <w:t> </w:t>
      </w:r>
      <w:r w:rsidRPr="00F855CA">
        <w:rPr>
          <w:lang w:val="lv-LV"/>
        </w:rPr>
        <w:t xml:space="preserve">pacienti tika randomizēti tocilizumaba + parastās aprūpes grupā, bet 2094 pacienti </w:t>
      </w:r>
      <w:r w:rsidR="0046093A" w:rsidRPr="00F855CA">
        <w:rPr>
          <w:lang w:val="lv-LV"/>
        </w:rPr>
        <w:t>–</w:t>
      </w:r>
      <w:r w:rsidRPr="00F855CA">
        <w:rPr>
          <w:lang w:val="lv-LV"/>
        </w:rPr>
        <w:t xml:space="preserve"> parastās aprūpes grupā. Demogrāfisk</w:t>
      </w:r>
      <w:r w:rsidR="00C11690">
        <w:rPr>
          <w:lang w:val="lv-LV"/>
        </w:rPr>
        <w:t>ie</w:t>
      </w:r>
      <w:r w:rsidRPr="00F855CA">
        <w:rPr>
          <w:lang w:val="lv-LV"/>
        </w:rPr>
        <w:t xml:space="preserve"> un </w:t>
      </w:r>
      <w:r w:rsidR="00C11690">
        <w:rPr>
          <w:lang w:val="lv-LV"/>
        </w:rPr>
        <w:t>slimīb</w:t>
      </w:r>
      <w:ins w:id="288" w:author="Regulatory LV" w:date="2026-03-17T11:17:00Z">
        <w:r w:rsidR="00E45E04">
          <w:rPr>
            <w:lang w:val="lv-LV"/>
          </w:rPr>
          <w:t>u raksturojošie rādītāji</w:t>
        </w:r>
      </w:ins>
      <w:del w:id="289" w:author="Regulatory LV" w:date="2026-03-17T11:17:00Z">
        <w:r w:rsidR="00C11690" w:rsidDel="00E45E04">
          <w:rPr>
            <w:lang w:val="lv-LV"/>
          </w:rPr>
          <w:delText>as</w:delText>
        </w:r>
        <w:r w:rsidRPr="00F855CA" w:rsidDel="00E45E04">
          <w:rPr>
            <w:lang w:val="lv-LV"/>
          </w:rPr>
          <w:delText xml:space="preserve"> rakstur</w:delText>
        </w:r>
        <w:r w:rsidR="00C11690" w:rsidDel="00E45E04">
          <w:rPr>
            <w:lang w:val="lv-LV"/>
          </w:rPr>
          <w:delText>lielumi</w:delText>
        </w:r>
      </w:del>
      <w:r w:rsidRPr="00F855CA">
        <w:rPr>
          <w:lang w:val="lv-LV"/>
        </w:rPr>
        <w:t xml:space="preserve"> terapijas sākumā </w:t>
      </w:r>
      <w:r w:rsidRPr="00F855CA">
        <w:rPr>
          <w:i/>
          <w:iCs/>
          <w:lang w:val="lv-LV"/>
        </w:rPr>
        <w:t>ITT</w:t>
      </w:r>
      <w:r w:rsidRPr="00F855CA">
        <w:rPr>
          <w:lang w:val="lv-LV"/>
        </w:rPr>
        <w:t xml:space="preserve"> populācijā starp pētījuma grupām bija labi līdzsvarot</w:t>
      </w:r>
      <w:r w:rsidR="00C11690">
        <w:rPr>
          <w:lang w:val="lv-LV"/>
        </w:rPr>
        <w:t>i</w:t>
      </w:r>
      <w:r w:rsidRPr="00F855CA">
        <w:rPr>
          <w:lang w:val="lv-LV"/>
        </w:rPr>
        <w:t>. Dalībnieku vidējais vecums bija 63,6 gadi (standartnovirze [SN] 13,6 gadi). Vairums pacientu bija vīrieši (67%) un baltā</w:t>
      </w:r>
      <w:ins w:id="290" w:author="Regulatory LV" w:date="2026-03-17T11:18:00Z">
        <w:r w:rsidR="00E45E04">
          <w:rPr>
            <w:lang w:val="lv-LV"/>
          </w:rPr>
          <w:t>s</w:t>
        </w:r>
      </w:ins>
      <w:del w:id="291" w:author="Regulatory LV" w:date="2026-03-17T11:19:00Z">
        <w:r w:rsidRPr="00F855CA" w:rsidDel="00E45E04">
          <w:rPr>
            <w:lang w:val="lv-LV"/>
          </w:rPr>
          <w:delText>dainie</w:delText>
        </w:r>
      </w:del>
      <w:ins w:id="292" w:author="Regulatory LV" w:date="2026-03-17T11:19:00Z">
        <w:r w:rsidR="00E45E04">
          <w:rPr>
            <w:lang w:val="lv-LV"/>
          </w:rPr>
          <w:t xml:space="preserve"> rases pārstāvji</w:t>
        </w:r>
      </w:ins>
      <w:r w:rsidRPr="00F855CA">
        <w:rPr>
          <w:lang w:val="lv-LV"/>
        </w:rPr>
        <w:t xml:space="preserve"> (76%). CRO</w:t>
      </w:r>
      <w:r w:rsidR="009F4345" w:rsidRPr="00F855CA">
        <w:rPr>
          <w:lang w:val="lv-LV"/>
        </w:rPr>
        <w:t> </w:t>
      </w:r>
      <w:r w:rsidRPr="00F855CA">
        <w:rPr>
          <w:lang w:val="lv-LV"/>
        </w:rPr>
        <w:t xml:space="preserve">līmeņa mediāna </w:t>
      </w:r>
      <w:r w:rsidR="006952A3" w:rsidRPr="00F855CA">
        <w:rPr>
          <w:lang w:val="lv-LV"/>
        </w:rPr>
        <w:t xml:space="preserve">(diapazons) </w:t>
      </w:r>
      <w:r w:rsidRPr="00F855CA">
        <w:rPr>
          <w:lang w:val="lv-LV"/>
        </w:rPr>
        <w:t>bija 143 mg/l (75</w:t>
      </w:r>
      <w:r w:rsidR="00D447E7">
        <w:rPr>
          <w:lang w:val="lv-LV"/>
        </w:rPr>
        <w:noBreakHyphen/>
      </w:r>
      <w:r w:rsidRPr="00F855CA">
        <w:rPr>
          <w:lang w:val="lv-LV"/>
        </w:rPr>
        <w:t>982).</w:t>
      </w:r>
    </w:p>
    <w:p w14:paraId="0D4887B8" w14:textId="77777777" w:rsidR="00727752" w:rsidRPr="00F855CA" w:rsidRDefault="00727752" w:rsidP="00727752">
      <w:pPr>
        <w:rPr>
          <w:szCs w:val="22"/>
          <w:lang w:val="lv-LV"/>
        </w:rPr>
      </w:pPr>
    </w:p>
    <w:p w14:paraId="328B5F42" w14:textId="0FB2FE87" w:rsidR="00727752" w:rsidRPr="00F855CA" w:rsidRDefault="00727752" w:rsidP="00727752">
      <w:pPr>
        <w:rPr>
          <w:szCs w:val="22"/>
          <w:lang w:val="lv-LV"/>
        </w:rPr>
      </w:pPr>
      <w:r w:rsidRPr="00F855CA">
        <w:rPr>
          <w:lang w:val="lv-LV"/>
        </w:rPr>
        <w:t xml:space="preserve">Terapijas sākumā 0,2% (n=9) pacientu nesaņēma papildu skābekli, 45% pacientu saņēma </w:t>
      </w:r>
      <w:r w:rsidR="00C11690">
        <w:rPr>
          <w:lang w:val="lv-LV"/>
        </w:rPr>
        <w:t>zemas</w:t>
      </w:r>
      <w:r w:rsidRPr="00F855CA">
        <w:rPr>
          <w:lang w:val="lv-LV"/>
        </w:rPr>
        <w:t xml:space="preserve"> plūsmas skābekļa terapiju, 41% pacientu bija nepieciešama neinvazīva plaušu ventilācija vai </w:t>
      </w:r>
      <w:r w:rsidR="00C11690">
        <w:rPr>
          <w:lang w:val="lv-LV"/>
        </w:rPr>
        <w:t>augstas</w:t>
      </w:r>
      <w:r w:rsidRPr="00F855CA">
        <w:rPr>
          <w:lang w:val="lv-LV"/>
        </w:rPr>
        <w:t xml:space="preserve"> plūsmas skābekļa terapija, bet 14% pacientu – invazīva mehāniskā plaušu ventilācija; 82% pacientu saņēma terapiju ar sistēmiski lietojamiem kortikosteroīdiem</w:t>
      </w:r>
      <w:r w:rsidR="001C013B">
        <w:rPr>
          <w:lang w:val="lv-LV"/>
        </w:rPr>
        <w:t xml:space="preserve"> (definēt</w:t>
      </w:r>
      <w:r w:rsidR="00D447E7">
        <w:rPr>
          <w:lang w:val="lv-LV"/>
        </w:rPr>
        <w:t>i</w:t>
      </w:r>
      <w:r w:rsidR="001C013B">
        <w:rPr>
          <w:lang w:val="lv-LV"/>
        </w:rPr>
        <w:t xml:space="preserve"> kā pacienti, kuri</w:t>
      </w:r>
      <w:r w:rsidR="00C11690">
        <w:rPr>
          <w:lang w:val="lv-LV"/>
        </w:rPr>
        <w:t>em</w:t>
      </w:r>
      <w:r w:rsidR="001C013B">
        <w:rPr>
          <w:lang w:val="lv-LV"/>
        </w:rPr>
        <w:t xml:space="preserve"> uzsāka terapiju ar</w:t>
      </w:r>
      <w:r w:rsidR="001C013B" w:rsidRPr="001C013B">
        <w:rPr>
          <w:lang w:val="lv-LV"/>
        </w:rPr>
        <w:t xml:space="preserve"> sistēmiski lietojamiem kortikosteroīdiem</w:t>
      </w:r>
      <w:r w:rsidR="001C013B">
        <w:rPr>
          <w:lang w:val="lv-LV"/>
        </w:rPr>
        <w:t xml:space="preserve"> vai nu pirms randomizācijas</w:t>
      </w:r>
      <w:r w:rsidR="00C11690">
        <w:rPr>
          <w:lang w:val="lv-LV"/>
        </w:rPr>
        <w:t>,</w:t>
      </w:r>
      <w:r w:rsidR="001C013B">
        <w:rPr>
          <w:lang w:val="lv-LV"/>
        </w:rPr>
        <w:t xml:space="preserve"> vai tās laikā)</w:t>
      </w:r>
      <w:r w:rsidRPr="00F855CA">
        <w:rPr>
          <w:lang w:val="lv-LV"/>
        </w:rPr>
        <w:t>. Biežākās blakusslimības bija cukura diabēts (28,4%), sirds slimība (22,6%) un hroniska plaušu slimība (23,3%).</w:t>
      </w:r>
    </w:p>
    <w:p w14:paraId="27D23068" w14:textId="77777777" w:rsidR="00727752" w:rsidRPr="00F855CA" w:rsidRDefault="00727752" w:rsidP="00727752">
      <w:pPr>
        <w:rPr>
          <w:szCs w:val="22"/>
          <w:lang w:val="lv-LV" w:eastAsia="ja-JP"/>
        </w:rPr>
      </w:pPr>
    </w:p>
    <w:p w14:paraId="4597DFEC" w14:textId="60DB3C76" w:rsidR="00727752" w:rsidRPr="00F855CA" w:rsidRDefault="00727752" w:rsidP="00727752">
      <w:pPr>
        <w:rPr>
          <w:lang w:val="lv-LV"/>
        </w:rPr>
      </w:pPr>
      <w:r w:rsidRPr="00F855CA">
        <w:rPr>
          <w:lang w:val="lv-LV"/>
        </w:rPr>
        <w:t xml:space="preserve">Primārais iznākums bija laiks līdz nāves iestāšanās brīdim 28 dienu periodā. </w:t>
      </w:r>
      <w:r w:rsidR="0061623F">
        <w:rPr>
          <w:lang w:val="lv-LV"/>
        </w:rPr>
        <w:t>Risk</w:t>
      </w:r>
      <w:r w:rsidR="002D6CF8">
        <w:rPr>
          <w:lang w:val="lv-LV"/>
        </w:rPr>
        <w:t>a</w:t>
      </w:r>
      <w:r w:rsidRPr="00F855CA">
        <w:rPr>
          <w:lang w:val="lv-LV"/>
        </w:rPr>
        <w:t xml:space="preserve"> attiecība tocilizumaba un parastās aprūpes grupā salīdzinājumā ar tikai parastās aprūpes grupu bija 0,85 (95%</w:t>
      </w:r>
      <w:r w:rsidR="00D447E7">
        <w:rPr>
          <w:lang w:val="lv-LV"/>
        </w:rPr>
        <w:t> </w:t>
      </w:r>
      <w:r w:rsidRPr="00F855CA">
        <w:rPr>
          <w:lang w:val="lv-LV"/>
        </w:rPr>
        <w:t xml:space="preserve">TI: no 0,76 līdz 0,94), un šis rezultāts bija statistiski nozīmīgs (p=0,0028). Aplēstā nāves iestāšanās varbūtība laikā līdz 28. dienai tocilizumaba un parastās aprūpes grupā bija attiecīgi 30,7% un 34,9%. Aplēstā risku starpība bija </w:t>
      </w:r>
      <w:r w:rsidRPr="00F855CA">
        <w:rPr>
          <w:lang w:val="lv-LV"/>
        </w:rPr>
        <w:noBreakHyphen/>
        <w:t xml:space="preserve">4,1% (95% TI: no </w:t>
      </w:r>
      <w:r w:rsidRPr="00F855CA">
        <w:rPr>
          <w:lang w:val="lv-LV"/>
        </w:rPr>
        <w:noBreakHyphen/>
        <w:t xml:space="preserve">7,0% līdz </w:t>
      </w:r>
      <w:r w:rsidRPr="00F855CA">
        <w:rPr>
          <w:lang w:val="lv-LV"/>
        </w:rPr>
        <w:noBreakHyphen/>
        <w:t xml:space="preserve">1,3%), un šis rezultāts bija </w:t>
      </w:r>
      <w:r w:rsidR="00C11690">
        <w:rPr>
          <w:lang w:val="lv-LV"/>
        </w:rPr>
        <w:t>atbilstošs</w:t>
      </w:r>
      <w:r w:rsidRPr="00F855CA">
        <w:rPr>
          <w:lang w:val="lv-LV"/>
        </w:rPr>
        <w:t xml:space="preserve"> primār</w:t>
      </w:r>
      <w:r w:rsidR="00C11690">
        <w:rPr>
          <w:lang w:val="lv-LV"/>
        </w:rPr>
        <w:t>ajai</w:t>
      </w:r>
      <w:r w:rsidRPr="00F855CA">
        <w:rPr>
          <w:lang w:val="lv-LV"/>
        </w:rPr>
        <w:t xml:space="preserve"> analīze</w:t>
      </w:r>
      <w:r w:rsidR="00C11690">
        <w:rPr>
          <w:lang w:val="lv-LV"/>
        </w:rPr>
        <w:t>i</w:t>
      </w:r>
      <w:r w:rsidRPr="00F855CA">
        <w:rPr>
          <w:lang w:val="lv-LV"/>
        </w:rPr>
        <w:t xml:space="preserve">. Iepriekš definētajā to pacientu apakšgrupā, </w:t>
      </w:r>
      <w:r w:rsidR="00C11690">
        <w:rPr>
          <w:lang w:val="lv-LV"/>
        </w:rPr>
        <w:t>kuri</w:t>
      </w:r>
      <w:r w:rsidRPr="00F855CA">
        <w:rPr>
          <w:lang w:val="lv-LV"/>
        </w:rPr>
        <w:t xml:space="preserve"> terapijas sākumā saņēma sistēmiski lietojamus kortikosteroīdus, </w:t>
      </w:r>
      <w:r w:rsidR="002D6CF8">
        <w:rPr>
          <w:lang w:val="lv-LV"/>
        </w:rPr>
        <w:t>riska</w:t>
      </w:r>
      <w:r w:rsidRPr="00F855CA">
        <w:rPr>
          <w:lang w:val="lv-LV"/>
        </w:rPr>
        <w:t xml:space="preserve"> attiecība bija 0,79 (95% TI: no 0,70 līdz 0,89), bet iepriekš definētajā to pacientu apakšgrupā, </w:t>
      </w:r>
      <w:r w:rsidR="00C11690">
        <w:rPr>
          <w:lang w:val="lv-LV"/>
        </w:rPr>
        <w:t>kuri</w:t>
      </w:r>
      <w:r w:rsidRPr="00F855CA">
        <w:rPr>
          <w:lang w:val="lv-LV"/>
        </w:rPr>
        <w:t xml:space="preserve"> ārstēšanas sākumā terapiju ar sistēmiski lietojamiem kortikosteroīdiem nesaņēma, tā bija 1,16 (95% TI: no 0,91 līdz 1,48).</w:t>
      </w:r>
    </w:p>
    <w:p w14:paraId="6E7627EA" w14:textId="77777777" w:rsidR="00727752" w:rsidRPr="00F855CA" w:rsidRDefault="00727752" w:rsidP="00727752">
      <w:pPr>
        <w:rPr>
          <w:szCs w:val="22"/>
          <w:lang w:val="lv-LV"/>
        </w:rPr>
      </w:pPr>
    </w:p>
    <w:p w14:paraId="45E62B47" w14:textId="5EB55FB1" w:rsidR="00727752" w:rsidRPr="00F855CA" w:rsidRDefault="00727752" w:rsidP="00727752">
      <w:pPr>
        <w:rPr>
          <w:lang w:val="lv-LV"/>
        </w:rPr>
      </w:pPr>
      <w:r w:rsidRPr="00F855CA">
        <w:rPr>
          <w:lang w:val="lv-LV"/>
        </w:rPr>
        <w:t>Laika mediāna līdz izrakstīšanai no slimnīcas tocilizumaba</w:t>
      </w:r>
      <w:r w:rsidR="00236CD1">
        <w:rPr>
          <w:lang w:val="lv-LV"/>
        </w:rPr>
        <w:t> </w:t>
      </w:r>
      <w:r w:rsidRPr="00F855CA">
        <w:rPr>
          <w:lang w:val="lv-LV"/>
        </w:rPr>
        <w:t>+</w:t>
      </w:r>
      <w:r w:rsidR="00236CD1">
        <w:rPr>
          <w:lang w:val="lv-LV"/>
        </w:rPr>
        <w:t> </w:t>
      </w:r>
      <w:r w:rsidRPr="00F855CA">
        <w:rPr>
          <w:lang w:val="lv-LV"/>
        </w:rPr>
        <w:t xml:space="preserve">parastās aprūpes grupā bija 19 dienas, bet tikai parastās aprūpes grupā </w:t>
      </w:r>
      <w:r w:rsidR="00D447E7">
        <w:rPr>
          <w:lang w:val="lv-LV"/>
        </w:rPr>
        <w:t>˃ </w:t>
      </w:r>
      <w:r w:rsidRPr="00F855CA">
        <w:rPr>
          <w:lang w:val="lv-LV"/>
        </w:rPr>
        <w:t>28 dienas (</w:t>
      </w:r>
      <w:r w:rsidR="002D6CF8">
        <w:rPr>
          <w:lang w:val="lv-LV"/>
        </w:rPr>
        <w:t>riska</w:t>
      </w:r>
      <w:r w:rsidRPr="00F855CA">
        <w:rPr>
          <w:lang w:val="lv-LV"/>
        </w:rPr>
        <w:t xml:space="preserve"> attiecība [95% TI] = 1,22 [no 1,12 līdz 1,33]).</w:t>
      </w:r>
    </w:p>
    <w:p w14:paraId="2A171298" w14:textId="77777777" w:rsidR="00727752" w:rsidRPr="00F855CA" w:rsidRDefault="00727752" w:rsidP="00727752">
      <w:pPr>
        <w:rPr>
          <w:szCs w:val="22"/>
          <w:lang w:val="lv-LV"/>
        </w:rPr>
      </w:pPr>
    </w:p>
    <w:p w14:paraId="523115DA" w14:textId="7BB72343" w:rsidR="00727752" w:rsidRPr="00F855CA" w:rsidRDefault="00727752" w:rsidP="00727752">
      <w:pPr>
        <w:rPr>
          <w:szCs w:val="22"/>
          <w:lang w:val="lv-LV"/>
        </w:rPr>
      </w:pPr>
      <w:r w:rsidRPr="00F855CA">
        <w:rPr>
          <w:lang w:val="lv-LV"/>
        </w:rPr>
        <w:t xml:space="preserve">Starp pacientiem, kuriem ārstēšanas sākumā mehāniskā plaušu ventilācija nebija nepieciešama, tādu </w:t>
      </w:r>
      <w:r w:rsidR="002D6CF8">
        <w:rPr>
          <w:lang w:val="lv-LV"/>
        </w:rPr>
        <w:t>pacientu</w:t>
      </w:r>
      <w:r w:rsidRPr="00F855CA">
        <w:rPr>
          <w:lang w:val="lv-LV"/>
        </w:rPr>
        <w:t xml:space="preserve"> īpatsvars, k</w:t>
      </w:r>
      <w:r w:rsidR="002D6CF8">
        <w:rPr>
          <w:lang w:val="lv-LV"/>
        </w:rPr>
        <w:t>uriem</w:t>
      </w:r>
      <w:r w:rsidRPr="00F855CA">
        <w:rPr>
          <w:lang w:val="lv-LV"/>
        </w:rPr>
        <w:t xml:space="preserve"> laikā līdz 28. dienai </w:t>
      </w:r>
      <w:ins w:id="293" w:author="Regulatory LV" w:date="2026-03-17T11:19:00Z">
        <w:r w:rsidR="00E45E04">
          <w:rPr>
            <w:lang w:val="lv-LV"/>
          </w:rPr>
          <w:t>bija nepieciešama</w:t>
        </w:r>
      </w:ins>
      <w:del w:id="294" w:author="Regulatory LV" w:date="2026-03-17T11:19:00Z">
        <w:r w:rsidRPr="00F855CA" w:rsidDel="00E45E04">
          <w:rPr>
            <w:lang w:val="lv-LV"/>
          </w:rPr>
          <w:delText>radās</w:delText>
        </w:r>
      </w:del>
      <w:r w:rsidRPr="00F855CA">
        <w:rPr>
          <w:lang w:val="lv-LV"/>
        </w:rPr>
        <w:t xml:space="preserve"> mehāniskā</w:t>
      </w:r>
      <w:del w:id="295" w:author="Regulatory LV" w:date="2026-03-17T11:19:00Z">
        <w:r w:rsidRPr="00F855CA" w:rsidDel="00E45E04">
          <w:rPr>
            <w:lang w:val="lv-LV"/>
          </w:rPr>
          <w:delText>s</w:delText>
        </w:r>
      </w:del>
      <w:r w:rsidRPr="00F855CA">
        <w:rPr>
          <w:lang w:val="lv-LV"/>
        </w:rPr>
        <w:t xml:space="preserve"> ventilācija</w:t>
      </w:r>
      <w:del w:id="296" w:author="Regulatory LV" w:date="2026-03-17T11:19:00Z">
        <w:r w:rsidRPr="00F855CA" w:rsidDel="00E45E04">
          <w:rPr>
            <w:lang w:val="lv-LV"/>
          </w:rPr>
          <w:delText>s nepieciešamība</w:delText>
        </w:r>
      </w:del>
      <w:r w:rsidRPr="00F855CA">
        <w:rPr>
          <w:lang w:val="lv-LV"/>
        </w:rPr>
        <w:t xml:space="preserve"> vai iestājās nāve, tocilizumaba</w:t>
      </w:r>
      <w:r w:rsidR="00236CD1">
        <w:rPr>
          <w:lang w:val="lv-LV"/>
        </w:rPr>
        <w:t> </w:t>
      </w:r>
      <w:r w:rsidRPr="00F855CA">
        <w:rPr>
          <w:lang w:val="lv-LV"/>
        </w:rPr>
        <w:t>+</w:t>
      </w:r>
      <w:r w:rsidR="00236CD1">
        <w:rPr>
          <w:lang w:val="lv-LV"/>
        </w:rPr>
        <w:t> </w:t>
      </w:r>
      <w:r w:rsidRPr="00F855CA">
        <w:rPr>
          <w:lang w:val="lv-LV"/>
        </w:rPr>
        <w:t>parastās aprūpes grupā bija 35% (619/1754), bet tikai parastās aprūpes grupā – 42% (754/1800) (risk</w:t>
      </w:r>
      <w:r w:rsidR="002D6CF8">
        <w:rPr>
          <w:lang w:val="lv-LV"/>
        </w:rPr>
        <w:t>a</w:t>
      </w:r>
      <w:r w:rsidRPr="00F855CA">
        <w:rPr>
          <w:lang w:val="lv-LV"/>
        </w:rPr>
        <w:t xml:space="preserve"> attiecība [95% TI] = 0,84 [no 0,77 līdz 0,92], p</w:t>
      </w:r>
      <w:r w:rsidR="00D447E7">
        <w:rPr>
          <w:lang w:val="lv-LV"/>
        </w:rPr>
        <w:t> ˂ </w:t>
      </w:r>
      <w:r w:rsidRPr="00F855CA">
        <w:rPr>
          <w:lang w:val="lv-LV"/>
        </w:rPr>
        <w:t>0,0001).</w:t>
      </w:r>
    </w:p>
    <w:p w14:paraId="38658606" w14:textId="77777777" w:rsidR="00727752" w:rsidRPr="003B3144" w:rsidRDefault="00727752">
      <w:pPr>
        <w:ind w:right="-2"/>
        <w:rPr>
          <w:lang w:val="lv-LV"/>
        </w:rPr>
      </w:pPr>
    </w:p>
    <w:p w14:paraId="739C90D7" w14:textId="151E213E" w:rsidR="00784D05" w:rsidRDefault="00784D05" w:rsidP="00707120">
      <w:pPr>
        <w:keepNext/>
        <w:rPr>
          <w:szCs w:val="22"/>
          <w:lang w:val="lv-LV"/>
        </w:rPr>
      </w:pPr>
      <w:r>
        <w:rPr>
          <w:bCs/>
          <w:u w:val="single"/>
          <w:lang w:val="lv-LV"/>
        </w:rPr>
        <w:t>Pediatrisk</w:t>
      </w:r>
      <w:r w:rsidR="00C05EC4">
        <w:rPr>
          <w:bCs/>
          <w:u w:val="single"/>
          <w:lang w:val="lv-LV"/>
        </w:rPr>
        <w:t>ie pacienti ar sJIA</w:t>
      </w:r>
    </w:p>
    <w:p w14:paraId="7D358EE4" w14:textId="77777777" w:rsidR="00784D05" w:rsidRPr="00707120" w:rsidRDefault="00784D05" w:rsidP="00707120">
      <w:pPr>
        <w:keepNext/>
        <w:ind w:right="-2"/>
        <w:rPr>
          <w:i/>
          <w:iCs/>
          <w:szCs w:val="22"/>
          <w:lang w:val="lv-LV"/>
        </w:rPr>
      </w:pPr>
      <w:r w:rsidRPr="00707120">
        <w:rPr>
          <w:i/>
          <w:iCs/>
          <w:szCs w:val="22"/>
          <w:lang w:val="lv-LV"/>
        </w:rPr>
        <w:t>Klīniskā efektivitāte</w:t>
      </w:r>
    </w:p>
    <w:p w14:paraId="0AB7BC77" w14:textId="4D04E3C6" w:rsidR="00784D05" w:rsidRDefault="00784D05">
      <w:pPr>
        <w:ind w:right="-2"/>
        <w:rPr>
          <w:szCs w:val="22"/>
          <w:lang w:val="lv-LV"/>
        </w:rPr>
      </w:pPr>
      <w:r>
        <w:rPr>
          <w:szCs w:val="22"/>
          <w:lang w:val="lv-LV"/>
        </w:rPr>
        <w:t xml:space="preserve">Tocilizumaba efektivitāte, ārstējot aktīvu sJIA, tika vērtēta 12 nedēļas ilgā randomizētā, dubultmaskētā, </w:t>
      </w:r>
      <w:del w:id="297" w:author="Regulatory LV" w:date="2026-03-17T11:36:00Z">
        <w:r w:rsidR="00723655" w:rsidDel="0089110E">
          <w:rPr>
            <w:szCs w:val="22"/>
            <w:lang w:val="lv-LV"/>
          </w:rPr>
          <w:delText xml:space="preserve">ar </w:delText>
        </w:r>
      </w:del>
      <w:r>
        <w:rPr>
          <w:szCs w:val="22"/>
          <w:lang w:val="lv-LV"/>
        </w:rPr>
        <w:t>placebo kontrolētā, divu paralēlu grupu pētījumā. Pētījumā iekļautiem pacientiem bija aktīva slimība, un kopējais slimības ilgums vismaz 6</w:t>
      </w:r>
      <w:r w:rsidR="00C05EC4">
        <w:rPr>
          <w:szCs w:val="22"/>
          <w:lang w:val="lv-LV"/>
        </w:rPr>
        <w:t> </w:t>
      </w:r>
      <w:r>
        <w:rPr>
          <w:szCs w:val="22"/>
          <w:lang w:val="lv-LV"/>
        </w:rPr>
        <w:t xml:space="preserve">mēneši, bet nebija bijis akūts paasinājums, kura dēļ jālieto par 0,5 mg/kg prednizona devām līdzvērtīgas lielākas kortikosteroīdu devas. Makrofāgu </w:t>
      </w:r>
      <w:r w:rsidR="00DD1CEF" w:rsidRPr="00DD1CEF">
        <w:rPr>
          <w:szCs w:val="22"/>
          <w:lang w:val="lv-LV"/>
        </w:rPr>
        <w:t>aktivācijas</w:t>
      </w:r>
      <w:r>
        <w:rPr>
          <w:szCs w:val="22"/>
          <w:lang w:val="lv-LV"/>
        </w:rPr>
        <w:t xml:space="preserve"> sindroma </w:t>
      </w:r>
      <w:r w:rsidR="00C05EC4">
        <w:rPr>
          <w:szCs w:val="22"/>
          <w:lang w:val="lv-LV"/>
        </w:rPr>
        <w:t xml:space="preserve">(MAS) </w:t>
      </w:r>
      <w:r>
        <w:rPr>
          <w:szCs w:val="22"/>
          <w:lang w:val="lv-LV"/>
        </w:rPr>
        <w:t>ārstēšanas efektivitāte nav pētīta.</w:t>
      </w:r>
    </w:p>
    <w:p w14:paraId="45C5C99E" w14:textId="77777777" w:rsidR="00784D05" w:rsidRDefault="00784D05">
      <w:pPr>
        <w:ind w:right="-2"/>
        <w:rPr>
          <w:szCs w:val="22"/>
          <w:lang w:val="lv-LV"/>
        </w:rPr>
      </w:pPr>
    </w:p>
    <w:p w14:paraId="4FD48891" w14:textId="2DDCAB60" w:rsidR="00784D05" w:rsidRDefault="00784D05">
      <w:pPr>
        <w:ind w:right="-2"/>
        <w:rPr>
          <w:szCs w:val="22"/>
          <w:lang w:val="lv-LV"/>
        </w:rPr>
      </w:pPr>
      <w:r>
        <w:rPr>
          <w:szCs w:val="22"/>
          <w:lang w:val="lv-LV"/>
        </w:rPr>
        <w:t xml:space="preserve">Pacienti (ārstēti ar vai bez MTX) tika randomizēti (tocilizumabs:placebo = 2:1) vienā no divām terapijas grupām. 75 pacienti ik pēc divām nedēļām saņēma tocilizumaba infūzijas (pacienti ar ķermeņa masu </w:t>
      </w:r>
      <w:r w:rsidR="00C05EC4">
        <w:rPr>
          <w:szCs w:val="22"/>
          <w:lang w:val="lv-LV"/>
        </w:rPr>
        <w:t>≥ </w:t>
      </w:r>
      <w:r>
        <w:rPr>
          <w:szCs w:val="22"/>
          <w:lang w:val="lv-LV"/>
        </w:rPr>
        <w:t xml:space="preserve">30 kg saņēma 8 mg/kg, bet pacienti ar ķermeņa </w:t>
      </w:r>
      <w:r w:rsidR="00C05EC4">
        <w:rPr>
          <w:szCs w:val="22"/>
          <w:lang w:val="lv-LV"/>
        </w:rPr>
        <w:t>masu ˂ </w:t>
      </w:r>
      <w:r>
        <w:rPr>
          <w:szCs w:val="22"/>
          <w:lang w:val="lv-LV"/>
        </w:rPr>
        <w:t>30 kg saņēma 12 mg/kg), savukārt 37 pacienti ik pēc divām nedēļām saņēma placebo infūzijas. Pacientiem, kuri sasniedza JIA ACR 70 atbildes reakciju, sākot ar sesto nedēļu bija atļauts pakāpeniski samazināt kortikosteroīdu devas. Pēc 12 nedēļām vai tad, kad slimības saasināšanās dēļ ārstēšana tika pārtraukta, pacienti ar ķermeņa masai atbilstošām devām tika ārstēti nemaskētajā fāzē.</w:t>
      </w:r>
    </w:p>
    <w:p w14:paraId="2787F82C" w14:textId="77777777" w:rsidR="00784D05" w:rsidRDefault="00784D05">
      <w:pPr>
        <w:ind w:right="-2"/>
        <w:rPr>
          <w:szCs w:val="22"/>
          <w:lang w:val="lv-LV"/>
        </w:rPr>
      </w:pPr>
    </w:p>
    <w:p w14:paraId="26486D21" w14:textId="77777777" w:rsidR="00784D05" w:rsidRDefault="00784D05">
      <w:pPr>
        <w:keepNext/>
        <w:keepLines/>
        <w:rPr>
          <w:szCs w:val="22"/>
          <w:lang w:val="lv-LV"/>
        </w:rPr>
      </w:pPr>
      <w:r>
        <w:rPr>
          <w:i/>
          <w:iCs/>
          <w:szCs w:val="22"/>
          <w:lang w:val="lv-LV"/>
        </w:rPr>
        <w:t>Klīniskā atbildes reakcija</w:t>
      </w:r>
    </w:p>
    <w:p w14:paraId="438F46DB" w14:textId="5DF0068F" w:rsidR="00784D05" w:rsidRDefault="00784D05">
      <w:pPr>
        <w:ind w:right="-2"/>
        <w:rPr>
          <w:szCs w:val="22"/>
          <w:lang w:val="lv-LV"/>
        </w:rPr>
      </w:pPr>
      <w:r>
        <w:rPr>
          <w:szCs w:val="22"/>
          <w:lang w:val="lv-LV"/>
        </w:rPr>
        <w:t>Primārais mērķa kritērijs bija pacientu īpatsvars, kuriem pēc 12 nedēļām par vismaz 30% uzlabojās galvenie JIA</w:t>
      </w:r>
      <w:r w:rsidR="00C05EC4">
        <w:rPr>
          <w:szCs w:val="22"/>
          <w:lang w:val="lv-LV"/>
        </w:rPr>
        <w:t> </w:t>
      </w:r>
      <w:r>
        <w:rPr>
          <w:szCs w:val="22"/>
          <w:lang w:val="lv-LV"/>
        </w:rPr>
        <w:t xml:space="preserve">ACR rādītāji (tika novērota JIA ACR 30 atbildes reakcija) un nebija drudža (iepriekšējo septiņu dienu laikā nebija fiksēta ķermeņa temperatūra </w:t>
      </w:r>
      <w:r w:rsidR="00C05EC4">
        <w:rPr>
          <w:szCs w:val="22"/>
          <w:lang w:val="lv-LV"/>
        </w:rPr>
        <w:t>≥ </w:t>
      </w:r>
      <w:r>
        <w:rPr>
          <w:szCs w:val="22"/>
          <w:lang w:val="lv-LV"/>
        </w:rPr>
        <w:t>37,5 °C). Šo rezultātu sasniedza 85% (64 no 75) ar tocilizumabu ārstēto pacientu un 24,3% (9 no 37) pacientu, kuri saņēma placebo. Šī īpatsvara atšķirības bija ļoti nozīmīgas (p &lt; 0,0001).</w:t>
      </w:r>
    </w:p>
    <w:p w14:paraId="6A9E1E6A" w14:textId="77777777" w:rsidR="00784D05" w:rsidRDefault="00784D05">
      <w:pPr>
        <w:ind w:right="-2"/>
        <w:rPr>
          <w:szCs w:val="22"/>
          <w:lang w:val="lv-LV"/>
        </w:rPr>
      </w:pPr>
    </w:p>
    <w:p w14:paraId="4F01C710" w14:textId="5C388F43" w:rsidR="00784D05" w:rsidRDefault="00784D05">
      <w:pPr>
        <w:keepNext/>
        <w:ind w:right="-2"/>
        <w:rPr>
          <w:szCs w:val="22"/>
          <w:lang w:val="lv-LV"/>
        </w:rPr>
      </w:pPr>
      <w:r>
        <w:rPr>
          <w:szCs w:val="22"/>
          <w:lang w:val="lv-LV"/>
        </w:rPr>
        <w:t>Pacientu īpatsvars, kas sasniedza attiecīgi JIA ACR 30, 50, 70</w:t>
      </w:r>
      <w:r w:rsidR="00C05EC4">
        <w:rPr>
          <w:szCs w:val="22"/>
          <w:lang w:val="lv-LV"/>
        </w:rPr>
        <w:t> </w:t>
      </w:r>
      <w:r>
        <w:rPr>
          <w:szCs w:val="22"/>
          <w:lang w:val="lv-LV"/>
        </w:rPr>
        <w:t xml:space="preserve">un 90 atbildes reakcijas, parādītas </w:t>
      </w:r>
      <w:r w:rsidR="003B3144">
        <w:rPr>
          <w:szCs w:val="22"/>
          <w:lang w:val="lv-LV"/>
        </w:rPr>
        <w:t>8</w:t>
      </w:r>
      <w:r>
        <w:rPr>
          <w:szCs w:val="22"/>
          <w:lang w:val="lv-LV"/>
        </w:rPr>
        <w:t>.</w:t>
      </w:r>
      <w:r w:rsidR="00D64177">
        <w:rPr>
          <w:szCs w:val="22"/>
          <w:lang w:val="lv-LV"/>
        </w:rPr>
        <w:t> </w:t>
      </w:r>
      <w:r>
        <w:rPr>
          <w:szCs w:val="22"/>
          <w:lang w:val="lv-LV"/>
        </w:rPr>
        <w:t xml:space="preserve">tabulā. </w:t>
      </w:r>
    </w:p>
    <w:p w14:paraId="123E82A3" w14:textId="77777777" w:rsidR="00784D05" w:rsidRDefault="00784D05">
      <w:pPr>
        <w:ind w:right="-2"/>
        <w:rPr>
          <w:szCs w:val="22"/>
          <w:lang w:val="lv-LV"/>
        </w:rPr>
      </w:pPr>
    </w:p>
    <w:p w14:paraId="0326682F" w14:textId="6A8B499F" w:rsidR="00784D05" w:rsidRDefault="003B3144">
      <w:pPr>
        <w:keepNext/>
        <w:ind w:right="-2"/>
        <w:rPr>
          <w:i/>
          <w:iCs/>
          <w:szCs w:val="22"/>
          <w:lang w:val="lv-LV"/>
        </w:rPr>
      </w:pPr>
      <w:r>
        <w:rPr>
          <w:i/>
          <w:iCs/>
          <w:szCs w:val="22"/>
          <w:lang w:val="lv-LV"/>
        </w:rPr>
        <w:t>8</w:t>
      </w:r>
      <w:r w:rsidR="00784D05">
        <w:rPr>
          <w:i/>
          <w:iCs/>
          <w:szCs w:val="22"/>
          <w:lang w:val="lv-LV"/>
        </w:rPr>
        <w:t>. tabula. JIA ACR atbildes reakcijas rādītāji 12. nedēļā (% pacientu)</w:t>
      </w:r>
    </w:p>
    <w:p w14:paraId="61DCECE4" w14:textId="77777777" w:rsidR="00C05EC4" w:rsidRDefault="00C05EC4">
      <w:pPr>
        <w:keepNext/>
        <w:ind w:right="-2"/>
        <w:rPr>
          <w:b/>
          <w:bCs/>
          <w:color w:val="000000"/>
          <w:szCs w:val="22"/>
          <w:lang w:val="lv-LV"/>
        </w:rPr>
      </w:pPr>
    </w:p>
    <w:tbl>
      <w:tblPr>
        <w:tblW w:w="0" w:type="auto"/>
        <w:tblInd w:w="-15" w:type="dxa"/>
        <w:tblLayout w:type="fixed"/>
        <w:tblLook w:val="0000" w:firstRow="0" w:lastRow="0" w:firstColumn="0" w:lastColumn="0" w:noHBand="0" w:noVBand="0"/>
      </w:tblPr>
      <w:tblGrid>
        <w:gridCol w:w="2987"/>
        <w:gridCol w:w="2474"/>
        <w:gridCol w:w="2474"/>
      </w:tblGrid>
      <w:tr w:rsidR="00784D05" w14:paraId="4D51FD95" w14:textId="77777777" w:rsidTr="00707120">
        <w:tc>
          <w:tcPr>
            <w:tcW w:w="2987" w:type="dxa"/>
            <w:tcBorders>
              <w:top w:val="single" w:sz="4" w:space="0" w:color="000000"/>
              <w:left w:val="single" w:sz="4" w:space="0" w:color="000000"/>
              <w:bottom w:val="single" w:sz="4" w:space="0" w:color="000000"/>
            </w:tcBorders>
          </w:tcPr>
          <w:p w14:paraId="737772B1" w14:textId="00DCEC17" w:rsidR="00784D05" w:rsidRDefault="00784D05" w:rsidP="00846FA5">
            <w:pPr>
              <w:pStyle w:val="TextTi12"/>
              <w:keepNext/>
              <w:spacing w:after="0" w:line="240" w:lineRule="auto"/>
              <w:rPr>
                <w:b/>
                <w:bCs/>
                <w:sz w:val="22"/>
                <w:szCs w:val="22"/>
                <w:lang w:val="lv-LV"/>
              </w:rPr>
            </w:pPr>
            <w:r>
              <w:rPr>
                <w:b/>
                <w:bCs/>
                <w:color w:val="000000"/>
                <w:sz w:val="22"/>
                <w:szCs w:val="22"/>
                <w:lang w:val="lv-LV"/>
              </w:rPr>
              <w:t xml:space="preserve">Atbildes reakcijas rādītājs </w:t>
            </w:r>
          </w:p>
        </w:tc>
        <w:tc>
          <w:tcPr>
            <w:tcW w:w="2474" w:type="dxa"/>
            <w:tcBorders>
              <w:top w:val="single" w:sz="4" w:space="0" w:color="000000"/>
              <w:left w:val="single" w:sz="4" w:space="0" w:color="000000"/>
              <w:bottom w:val="single" w:sz="4" w:space="0" w:color="000000"/>
            </w:tcBorders>
          </w:tcPr>
          <w:p w14:paraId="4877E32B" w14:textId="77777777" w:rsidR="00784D05" w:rsidRDefault="00784D05" w:rsidP="00846FA5">
            <w:pPr>
              <w:pStyle w:val="TextTi12"/>
              <w:keepNext/>
              <w:spacing w:after="0" w:line="240" w:lineRule="auto"/>
              <w:jc w:val="center"/>
              <w:rPr>
                <w:b/>
                <w:bCs/>
                <w:sz w:val="22"/>
                <w:szCs w:val="22"/>
                <w:lang w:val="lv-LV"/>
              </w:rPr>
            </w:pPr>
            <w:r>
              <w:rPr>
                <w:b/>
                <w:bCs/>
                <w:sz w:val="22"/>
                <w:szCs w:val="22"/>
                <w:lang w:val="lv-LV"/>
              </w:rPr>
              <w:t>Tocilizumabs</w:t>
            </w:r>
          </w:p>
          <w:p w14:paraId="3A52C48F" w14:textId="106F98E3" w:rsidR="00784D05" w:rsidRDefault="00C05EC4" w:rsidP="00846FA5">
            <w:pPr>
              <w:pStyle w:val="TextTi12"/>
              <w:keepNext/>
              <w:spacing w:after="0" w:line="240" w:lineRule="auto"/>
              <w:jc w:val="center"/>
              <w:rPr>
                <w:b/>
                <w:bCs/>
                <w:sz w:val="22"/>
                <w:szCs w:val="22"/>
                <w:lang w:val="lv-LV"/>
              </w:rPr>
            </w:pPr>
            <w:del w:id="298" w:author="Author">
              <w:r w:rsidDel="00717152">
                <w:rPr>
                  <w:b/>
                  <w:bCs/>
                  <w:sz w:val="22"/>
                  <w:szCs w:val="22"/>
                  <w:lang w:val="lv-LV"/>
                </w:rPr>
                <w:delText>N</w:delText>
              </w:r>
            </w:del>
            <w:ins w:id="299" w:author="Author">
              <w:r w:rsidR="00717152">
                <w:rPr>
                  <w:b/>
                  <w:bCs/>
                  <w:sz w:val="22"/>
                  <w:szCs w:val="22"/>
                  <w:lang w:val="lv-LV"/>
                </w:rPr>
                <w:t>n</w:t>
              </w:r>
            </w:ins>
            <w:r w:rsidR="00784D05">
              <w:rPr>
                <w:b/>
                <w:bCs/>
                <w:sz w:val="22"/>
                <w:szCs w:val="22"/>
                <w:lang w:val="lv-LV"/>
              </w:rPr>
              <w:t>=75</w:t>
            </w:r>
          </w:p>
        </w:tc>
        <w:tc>
          <w:tcPr>
            <w:tcW w:w="2474" w:type="dxa"/>
            <w:tcBorders>
              <w:top w:val="single" w:sz="4" w:space="0" w:color="000000"/>
              <w:left w:val="single" w:sz="4" w:space="0" w:color="000000"/>
              <w:bottom w:val="single" w:sz="4" w:space="0" w:color="000000"/>
              <w:right w:val="single" w:sz="4" w:space="0" w:color="000000"/>
            </w:tcBorders>
          </w:tcPr>
          <w:p w14:paraId="144B76EC" w14:textId="77777777" w:rsidR="00784D05" w:rsidRDefault="00784D05" w:rsidP="00846FA5">
            <w:pPr>
              <w:pStyle w:val="TextTi12"/>
              <w:keepNext/>
              <w:spacing w:after="0" w:line="240" w:lineRule="auto"/>
              <w:jc w:val="center"/>
              <w:rPr>
                <w:b/>
                <w:bCs/>
                <w:sz w:val="22"/>
                <w:szCs w:val="22"/>
                <w:lang w:val="lv-LV"/>
              </w:rPr>
            </w:pPr>
            <w:r>
              <w:rPr>
                <w:b/>
                <w:bCs/>
                <w:sz w:val="22"/>
                <w:szCs w:val="22"/>
                <w:lang w:val="lv-LV"/>
              </w:rPr>
              <w:t>Placebo</w:t>
            </w:r>
          </w:p>
          <w:p w14:paraId="2E1DEE76" w14:textId="644EBEF5" w:rsidR="00784D05" w:rsidRDefault="00C05EC4" w:rsidP="00846FA5">
            <w:pPr>
              <w:pStyle w:val="TextTi12"/>
              <w:keepNext/>
              <w:spacing w:after="0" w:line="240" w:lineRule="auto"/>
              <w:jc w:val="center"/>
              <w:rPr>
                <w:sz w:val="22"/>
                <w:szCs w:val="22"/>
                <w:lang w:val="lv-LV"/>
              </w:rPr>
            </w:pPr>
            <w:del w:id="300" w:author="Author">
              <w:r w:rsidDel="00717152">
                <w:rPr>
                  <w:b/>
                  <w:bCs/>
                  <w:sz w:val="22"/>
                  <w:szCs w:val="22"/>
                  <w:lang w:val="lv-LV"/>
                </w:rPr>
                <w:delText>N</w:delText>
              </w:r>
            </w:del>
            <w:ins w:id="301" w:author="Author">
              <w:r w:rsidR="00717152">
                <w:rPr>
                  <w:b/>
                  <w:bCs/>
                  <w:sz w:val="22"/>
                  <w:szCs w:val="22"/>
                  <w:lang w:val="lv-LV"/>
                </w:rPr>
                <w:t>n</w:t>
              </w:r>
            </w:ins>
            <w:r w:rsidR="00784D05">
              <w:rPr>
                <w:b/>
                <w:bCs/>
                <w:sz w:val="22"/>
                <w:szCs w:val="22"/>
                <w:lang w:val="lv-LV"/>
              </w:rPr>
              <w:t>=37</w:t>
            </w:r>
          </w:p>
        </w:tc>
      </w:tr>
      <w:tr w:rsidR="00784D05" w14:paraId="037374F0" w14:textId="77777777" w:rsidTr="00707120">
        <w:tc>
          <w:tcPr>
            <w:tcW w:w="2987" w:type="dxa"/>
            <w:tcBorders>
              <w:top w:val="single" w:sz="4" w:space="0" w:color="000000"/>
              <w:left w:val="single" w:sz="4" w:space="0" w:color="000000"/>
              <w:bottom w:val="single" w:sz="4" w:space="0" w:color="000000"/>
            </w:tcBorders>
          </w:tcPr>
          <w:p w14:paraId="5D7A195D" w14:textId="16A126D6" w:rsidR="00784D05" w:rsidRDefault="00784D05" w:rsidP="00846FA5">
            <w:pPr>
              <w:pStyle w:val="TextTi12"/>
              <w:keepNext/>
              <w:spacing w:after="0" w:line="240" w:lineRule="auto"/>
              <w:rPr>
                <w:sz w:val="22"/>
                <w:szCs w:val="22"/>
                <w:lang w:val="lv-LV"/>
              </w:rPr>
            </w:pPr>
            <w:r>
              <w:rPr>
                <w:sz w:val="22"/>
                <w:szCs w:val="22"/>
                <w:lang w:val="lv-LV"/>
              </w:rPr>
              <w:t>JIA ACR</w:t>
            </w:r>
            <w:r w:rsidR="00C05EC4">
              <w:rPr>
                <w:sz w:val="22"/>
                <w:szCs w:val="22"/>
                <w:lang w:val="lv-LV"/>
              </w:rPr>
              <w:t> </w:t>
            </w:r>
            <w:r>
              <w:rPr>
                <w:sz w:val="22"/>
                <w:szCs w:val="22"/>
                <w:lang w:val="lv-LV"/>
              </w:rPr>
              <w:t>30</w:t>
            </w:r>
          </w:p>
        </w:tc>
        <w:tc>
          <w:tcPr>
            <w:tcW w:w="2474" w:type="dxa"/>
            <w:tcBorders>
              <w:top w:val="single" w:sz="4" w:space="0" w:color="000000"/>
              <w:left w:val="single" w:sz="4" w:space="0" w:color="000000"/>
              <w:bottom w:val="single" w:sz="4" w:space="0" w:color="000000"/>
            </w:tcBorders>
          </w:tcPr>
          <w:p w14:paraId="302BF5A1" w14:textId="77777777" w:rsidR="00784D05" w:rsidRDefault="00784D05" w:rsidP="00846FA5">
            <w:pPr>
              <w:pStyle w:val="TextTi12"/>
              <w:keepNext/>
              <w:spacing w:after="0" w:line="240" w:lineRule="auto"/>
              <w:jc w:val="center"/>
              <w:rPr>
                <w:sz w:val="22"/>
                <w:szCs w:val="22"/>
                <w:lang w:val="lv-LV"/>
              </w:rPr>
            </w:pPr>
            <w:r>
              <w:rPr>
                <w:sz w:val="22"/>
                <w:szCs w:val="22"/>
                <w:lang w:val="lv-LV"/>
              </w:rPr>
              <w:t>90,7%</w:t>
            </w:r>
            <w:r>
              <w:rPr>
                <w:sz w:val="22"/>
                <w:szCs w:val="22"/>
                <w:vertAlign w:val="superscript"/>
                <w:lang w:val="lv-LV"/>
              </w:rPr>
              <w:t>1</w:t>
            </w:r>
          </w:p>
        </w:tc>
        <w:tc>
          <w:tcPr>
            <w:tcW w:w="2474" w:type="dxa"/>
            <w:tcBorders>
              <w:top w:val="single" w:sz="4" w:space="0" w:color="000000"/>
              <w:left w:val="single" w:sz="4" w:space="0" w:color="000000"/>
              <w:bottom w:val="single" w:sz="4" w:space="0" w:color="000000"/>
              <w:right w:val="single" w:sz="4" w:space="0" w:color="000000"/>
            </w:tcBorders>
          </w:tcPr>
          <w:p w14:paraId="217AEA19" w14:textId="77777777" w:rsidR="00784D05" w:rsidRDefault="00784D05" w:rsidP="00846FA5">
            <w:pPr>
              <w:pStyle w:val="TextTi12"/>
              <w:keepNext/>
              <w:spacing w:after="0" w:line="240" w:lineRule="auto"/>
              <w:jc w:val="center"/>
              <w:rPr>
                <w:sz w:val="22"/>
                <w:szCs w:val="22"/>
                <w:lang w:val="lv-LV"/>
              </w:rPr>
            </w:pPr>
            <w:r>
              <w:rPr>
                <w:sz w:val="22"/>
                <w:szCs w:val="22"/>
                <w:lang w:val="lv-LV"/>
              </w:rPr>
              <w:t>24,3%</w:t>
            </w:r>
          </w:p>
        </w:tc>
      </w:tr>
      <w:tr w:rsidR="00784D05" w14:paraId="4805F508" w14:textId="77777777" w:rsidTr="00707120">
        <w:tc>
          <w:tcPr>
            <w:tcW w:w="2987" w:type="dxa"/>
            <w:tcBorders>
              <w:top w:val="single" w:sz="4" w:space="0" w:color="000000"/>
              <w:left w:val="single" w:sz="4" w:space="0" w:color="000000"/>
              <w:bottom w:val="single" w:sz="4" w:space="0" w:color="000000"/>
            </w:tcBorders>
          </w:tcPr>
          <w:p w14:paraId="7F59C2F9" w14:textId="3F5BA5BA" w:rsidR="00784D05" w:rsidRDefault="00784D05" w:rsidP="00846FA5">
            <w:pPr>
              <w:pStyle w:val="TextTi12"/>
              <w:keepNext/>
              <w:spacing w:after="0" w:line="240" w:lineRule="auto"/>
              <w:rPr>
                <w:sz w:val="22"/>
                <w:szCs w:val="22"/>
                <w:lang w:val="lv-LV"/>
              </w:rPr>
            </w:pPr>
            <w:r>
              <w:rPr>
                <w:sz w:val="22"/>
                <w:szCs w:val="22"/>
                <w:lang w:val="lv-LV"/>
              </w:rPr>
              <w:t>JIA ACR</w:t>
            </w:r>
            <w:r w:rsidR="00C05EC4">
              <w:rPr>
                <w:sz w:val="22"/>
                <w:szCs w:val="22"/>
                <w:lang w:val="lv-LV"/>
              </w:rPr>
              <w:t> </w:t>
            </w:r>
            <w:r>
              <w:rPr>
                <w:sz w:val="22"/>
                <w:szCs w:val="22"/>
                <w:lang w:val="lv-LV"/>
              </w:rPr>
              <w:t>50</w:t>
            </w:r>
          </w:p>
        </w:tc>
        <w:tc>
          <w:tcPr>
            <w:tcW w:w="2474" w:type="dxa"/>
            <w:tcBorders>
              <w:top w:val="single" w:sz="4" w:space="0" w:color="000000"/>
              <w:left w:val="single" w:sz="4" w:space="0" w:color="000000"/>
              <w:bottom w:val="single" w:sz="4" w:space="0" w:color="000000"/>
            </w:tcBorders>
          </w:tcPr>
          <w:p w14:paraId="3199B59B" w14:textId="77777777" w:rsidR="00784D05" w:rsidRDefault="00784D05" w:rsidP="00846FA5">
            <w:pPr>
              <w:pStyle w:val="TextTi12"/>
              <w:keepNext/>
              <w:spacing w:after="0" w:line="240" w:lineRule="auto"/>
              <w:jc w:val="center"/>
              <w:rPr>
                <w:sz w:val="22"/>
                <w:szCs w:val="22"/>
                <w:lang w:val="lv-LV"/>
              </w:rPr>
            </w:pPr>
            <w:r>
              <w:rPr>
                <w:sz w:val="22"/>
                <w:szCs w:val="22"/>
                <w:lang w:val="lv-LV"/>
              </w:rPr>
              <w:t>85,3%</w:t>
            </w:r>
            <w:r>
              <w:rPr>
                <w:sz w:val="22"/>
                <w:szCs w:val="22"/>
                <w:vertAlign w:val="superscript"/>
                <w:lang w:val="lv-LV"/>
              </w:rPr>
              <w:t>1</w:t>
            </w:r>
          </w:p>
        </w:tc>
        <w:tc>
          <w:tcPr>
            <w:tcW w:w="2474" w:type="dxa"/>
            <w:tcBorders>
              <w:top w:val="single" w:sz="4" w:space="0" w:color="000000"/>
              <w:left w:val="single" w:sz="4" w:space="0" w:color="000000"/>
              <w:bottom w:val="single" w:sz="4" w:space="0" w:color="000000"/>
              <w:right w:val="single" w:sz="4" w:space="0" w:color="000000"/>
            </w:tcBorders>
          </w:tcPr>
          <w:p w14:paraId="70D8CB8E" w14:textId="77777777" w:rsidR="00784D05" w:rsidRDefault="00784D05" w:rsidP="00846FA5">
            <w:pPr>
              <w:pStyle w:val="TextTi12"/>
              <w:keepNext/>
              <w:spacing w:after="0" w:line="240" w:lineRule="auto"/>
              <w:jc w:val="center"/>
              <w:rPr>
                <w:sz w:val="22"/>
                <w:szCs w:val="22"/>
                <w:lang w:val="lv-LV"/>
              </w:rPr>
            </w:pPr>
            <w:r>
              <w:rPr>
                <w:sz w:val="22"/>
                <w:szCs w:val="22"/>
                <w:lang w:val="lv-LV"/>
              </w:rPr>
              <w:t>10,8%</w:t>
            </w:r>
          </w:p>
        </w:tc>
      </w:tr>
      <w:tr w:rsidR="00784D05" w14:paraId="6BEC5D90" w14:textId="77777777" w:rsidTr="00707120">
        <w:tc>
          <w:tcPr>
            <w:tcW w:w="2987" w:type="dxa"/>
            <w:tcBorders>
              <w:top w:val="single" w:sz="4" w:space="0" w:color="000000"/>
              <w:left w:val="single" w:sz="4" w:space="0" w:color="000000"/>
              <w:bottom w:val="single" w:sz="4" w:space="0" w:color="000000"/>
            </w:tcBorders>
          </w:tcPr>
          <w:p w14:paraId="279603DB" w14:textId="39F19D13" w:rsidR="00784D05" w:rsidRDefault="00784D05" w:rsidP="00846FA5">
            <w:pPr>
              <w:pStyle w:val="TextTi12"/>
              <w:keepNext/>
              <w:spacing w:after="0" w:line="240" w:lineRule="auto"/>
              <w:rPr>
                <w:sz w:val="22"/>
                <w:szCs w:val="22"/>
                <w:lang w:val="lv-LV"/>
              </w:rPr>
            </w:pPr>
            <w:r>
              <w:rPr>
                <w:sz w:val="22"/>
                <w:szCs w:val="22"/>
                <w:lang w:val="lv-LV"/>
              </w:rPr>
              <w:t>JIA ACR</w:t>
            </w:r>
            <w:r w:rsidR="00C05EC4">
              <w:rPr>
                <w:sz w:val="22"/>
                <w:szCs w:val="22"/>
                <w:lang w:val="lv-LV"/>
              </w:rPr>
              <w:t> </w:t>
            </w:r>
            <w:r>
              <w:rPr>
                <w:sz w:val="22"/>
                <w:szCs w:val="22"/>
                <w:lang w:val="lv-LV"/>
              </w:rPr>
              <w:t>70</w:t>
            </w:r>
          </w:p>
        </w:tc>
        <w:tc>
          <w:tcPr>
            <w:tcW w:w="2474" w:type="dxa"/>
            <w:tcBorders>
              <w:top w:val="single" w:sz="4" w:space="0" w:color="000000"/>
              <w:left w:val="single" w:sz="4" w:space="0" w:color="000000"/>
              <w:bottom w:val="single" w:sz="4" w:space="0" w:color="000000"/>
            </w:tcBorders>
          </w:tcPr>
          <w:p w14:paraId="411EBB21" w14:textId="77777777" w:rsidR="00784D05" w:rsidRDefault="00784D05" w:rsidP="00846FA5">
            <w:pPr>
              <w:pStyle w:val="TextTi12"/>
              <w:keepNext/>
              <w:spacing w:after="0" w:line="240" w:lineRule="auto"/>
              <w:jc w:val="center"/>
              <w:rPr>
                <w:sz w:val="22"/>
                <w:szCs w:val="22"/>
                <w:lang w:val="lv-LV"/>
              </w:rPr>
            </w:pPr>
            <w:r>
              <w:rPr>
                <w:sz w:val="22"/>
                <w:szCs w:val="22"/>
                <w:lang w:val="lv-LV"/>
              </w:rPr>
              <w:t>70,7%</w:t>
            </w:r>
            <w:r>
              <w:rPr>
                <w:sz w:val="22"/>
                <w:szCs w:val="22"/>
                <w:vertAlign w:val="superscript"/>
                <w:lang w:val="lv-LV"/>
              </w:rPr>
              <w:t>1</w:t>
            </w:r>
          </w:p>
        </w:tc>
        <w:tc>
          <w:tcPr>
            <w:tcW w:w="2474" w:type="dxa"/>
            <w:tcBorders>
              <w:top w:val="single" w:sz="4" w:space="0" w:color="000000"/>
              <w:left w:val="single" w:sz="4" w:space="0" w:color="000000"/>
              <w:bottom w:val="single" w:sz="4" w:space="0" w:color="000000"/>
              <w:right w:val="single" w:sz="4" w:space="0" w:color="000000"/>
            </w:tcBorders>
          </w:tcPr>
          <w:p w14:paraId="52FDC145" w14:textId="77777777" w:rsidR="00784D05" w:rsidRDefault="00784D05" w:rsidP="00846FA5">
            <w:pPr>
              <w:pStyle w:val="TextTi12"/>
              <w:keepNext/>
              <w:spacing w:after="0" w:line="240" w:lineRule="auto"/>
              <w:jc w:val="center"/>
              <w:rPr>
                <w:sz w:val="22"/>
                <w:szCs w:val="22"/>
                <w:lang w:val="lv-LV"/>
              </w:rPr>
            </w:pPr>
            <w:r>
              <w:rPr>
                <w:sz w:val="22"/>
                <w:szCs w:val="22"/>
                <w:lang w:val="lv-LV"/>
              </w:rPr>
              <w:t>8,1%</w:t>
            </w:r>
          </w:p>
        </w:tc>
      </w:tr>
      <w:tr w:rsidR="00784D05" w14:paraId="182E7F1E" w14:textId="77777777" w:rsidTr="00707120">
        <w:tc>
          <w:tcPr>
            <w:tcW w:w="2987" w:type="dxa"/>
            <w:tcBorders>
              <w:top w:val="single" w:sz="4" w:space="0" w:color="000000"/>
              <w:left w:val="single" w:sz="4" w:space="0" w:color="000000"/>
              <w:bottom w:val="single" w:sz="4" w:space="0" w:color="000000"/>
            </w:tcBorders>
          </w:tcPr>
          <w:p w14:paraId="65CE53EC" w14:textId="0523A6D7" w:rsidR="00784D05" w:rsidRDefault="00784D05">
            <w:pPr>
              <w:pStyle w:val="TextTi12"/>
              <w:spacing w:after="0" w:line="240" w:lineRule="auto"/>
              <w:rPr>
                <w:sz w:val="22"/>
                <w:szCs w:val="22"/>
                <w:lang w:val="lv-LV"/>
              </w:rPr>
            </w:pPr>
            <w:r>
              <w:rPr>
                <w:sz w:val="22"/>
                <w:szCs w:val="22"/>
                <w:lang w:val="lv-LV"/>
              </w:rPr>
              <w:t>JIA ACR</w:t>
            </w:r>
            <w:r w:rsidR="00C05EC4">
              <w:rPr>
                <w:sz w:val="22"/>
                <w:szCs w:val="22"/>
                <w:lang w:val="lv-LV"/>
              </w:rPr>
              <w:t> </w:t>
            </w:r>
            <w:r>
              <w:rPr>
                <w:sz w:val="22"/>
                <w:szCs w:val="22"/>
                <w:lang w:val="lv-LV"/>
              </w:rPr>
              <w:t>90</w:t>
            </w:r>
          </w:p>
        </w:tc>
        <w:tc>
          <w:tcPr>
            <w:tcW w:w="2474" w:type="dxa"/>
            <w:tcBorders>
              <w:top w:val="single" w:sz="4" w:space="0" w:color="000000"/>
              <w:left w:val="single" w:sz="4" w:space="0" w:color="000000"/>
              <w:bottom w:val="single" w:sz="4" w:space="0" w:color="000000"/>
            </w:tcBorders>
          </w:tcPr>
          <w:p w14:paraId="37767341" w14:textId="77777777" w:rsidR="00784D05" w:rsidRDefault="00784D05">
            <w:pPr>
              <w:pStyle w:val="TextTi12"/>
              <w:spacing w:after="0" w:line="240" w:lineRule="auto"/>
              <w:jc w:val="center"/>
              <w:rPr>
                <w:sz w:val="22"/>
                <w:szCs w:val="22"/>
                <w:lang w:val="lv-LV"/>
              </w:rPr>
            </w:pPr>
            <w:r>
              <w:rPr>
                <w:sz w:val="22"/>
                <w:szCs w:val="22"/>
                <w:lang w:val="lv-LV"/>
              </w:rPr>
              <w:t>37,3%</w:t>
            </w:r>
            <w:r>
              <w:rPr>
                <w:sz w:val="22"/>
                <w:szCs w:val="22"/>
                <w:vertAlign w:val="superscript"/>
                <w:lang w:val="lv-LV"/>
              </w:rPr>
              <w:t>1</w:t>
            </w:r>
          </w:p>
        </w:tc>
        <w:tc>
          <w:tcPr>
            <w:tcW w:w="2474" w:type="dxa"/>
            <w:tcBorders>
              <w:top w:val="single" w:sz="4" w:space="0" w:color="000000"/>
              <w:left w:val="single" w:sz="4" w:space="0" w:color="000000"/>
              <w:bottom w:val="single" w:sz="4" w:space="0" w:color="000000"/>
              <w:right w:val="single" w:sz="4" w:space="0" w:color="000000"/>
            </w:tcBorders>
          </w:tcPr>
          <w:p w14:paraId="56305B61" w14:textId="77777777" w:rsidR="00784D05" w:rsidRDefault="00784D05">
            <w:pPr>
              <w:pStyle w:val="TextTi12"/>
              <w:spacing w:after="0" w:line="240" w:lineRule="auto"/>
              <w:jc w:val="center"/>
              <w:rPr>
                <w:sz w:val="18"/>
                <w:szCs w:val="18"/>
                <w:vertAlign w:val="superscript"/>
                <w:lang w:val="lv-LV"/>
              </w:rPr>
            </w:pPr>
            <w:r>
              <w:rPr>
                <w:sz w:val="22"/>
                <w:szCs w:val="22"/>
                <w:lang w:val="lv-LV"/>
              </w:rPr>
              <w:t>5,4%</w:t>
            </w:r>
          </w:p>
        </w:tc>
      </w:tr>
    </w:tbl>
    <w:p w14:paraId="4ACF646F" w14:textId="43C43DC7" w:rsidR="00784D05" w:rsidRDefault="00784D05">
      <w:pPr>
        <w:keepNext/>
        <w:rPr>
          <w:szCs w:val="22"/>
          <w:lang w:val="lv-LV"/>
        </w:rPr>
      </w:pPr>
      <w:r>
        <w:rPr>
          <w:sz w:val="18"/>
          <w:szCs w:val="18"/>
          <w:vertAlign w:val="superscript"/>
          <w:lang w:val="lv-LV"/>
        </w:rPr>
        <w:t>1</w:t>
      </w:r>
      <w:r w:rsidRPr="00707120">
        <w:rPr>
          <w:sz w:val="18"/>
          <w:szCs w:val="18"/>
          <w:vertAlign w:val="subscript"/>
          <w:lang w:val="lv-LV"/>
        </w:rPr>
        <w:t> </w:t>
      </w:r>
      <w:r>
        <w:rPr>
          <w:i/>
          <w:iCs/>
          <w:sz w:val="18"/>
          <w:szCs w:val="18"/>
          <w:lang w:val="lv-LV"/>
        </w:rPr>
        <w:t>p </w:t>
      </w:r>
      <w:r w:rsidR="00C05EC4">
        <w:rPr>
          <w:i/>
          <w:iCs/>
          <w:sz w:val="18"/>
          <w:szCs w:val="18"/>
          <w:lang w:val="lv-LV"/>
        </w:rPr>
        <w:t>˂</w:t>
      </w:r>
      <w:r>
        <w:rPr>
          <w:i/>
          <w:iCs/>
          <w:sz w:val="18"/>
          <w:szCs w:val="18"/>
          <w:lang w:val="lv-LV"/>
        </w:rPr>
        <w:t> 0,0001, tocilizumabs, salīdzinot ar placebo</w:t>
      </w:r>
      <w:r w:rsidR="00C05EC4">
        <w:rPr>
          <w:i/>
          <w:iCs/>
          <w:sz w:val="18"/>
          <w:szCs w:val="18"/>
          <w:lang w:val="lv-LV"/>
        </w:rPr>
        <w:t>.</w:t>
      </w:r>
    </w:p>
    <w:p w14:paraId="114CDB8E" w14:textId="77777777" w:rsidR="00784D05" w:rsidRDefault="00784D05">
      <w:pPr>
        <w:ind w:right="-2"/>
        <w:rPr>
          <w:szCs w:val="22"/>
          <w:lang w:val="lv-LV"/>
        </w:rPr>
      </w:pPr>
    </w:p>
    <w:p w14:paraId="4C8F9946" w14:textId="77777777" w:rsidR="00784D05" w:rsidRDefault="00784D05">
      <w:pPr>
        <w:keepNext/>
        <w:keepLines/>
        <w:rPr>
          <w:szCs w:val="22"/>
          <w:lang w:val="lv-LV"/>
        </w:rPr>
      </w:pPr>
      <w:r>
        <w:rPr>
          <w:i/>
          <w:iCs/>
          <w:szCs w:val="22"/>
          <w:lang w:val="lv-LV"/>
        </w:rPr>
        <w:t>Sistēmiskā iedarbība</w:t>
      </w:r>
    </w:p>
    <w:p w14:paraId="3BF7DF3B" w14:textId="67FAEDBD" w:rsidR="00784D05" w:rsidRPr="00C05EC4" w:rsidRDefault="00784D05">
      <w:pPr>
        <w:rPr>
          <w:szCs w:val="22"/>
          <w:lang w:val="lv-LV"/>
        </w:rPr>
      </w:pPr>
      <w:r w:rsidRPr="00C05EC4">
        <w:rPr>
          <w:szCs w:val="22"/>
          <w:lang w:val="lv-LV"/>
        </w:rPr>
        <w:t xml:space="preserve">85% ar tocilizumabu ārstēto pacientu, kuriem pirms ārstēšanas sākuma bija sJIA izraisīts drudzis, pēc 12 nedēļām drudža nebija (iepriekšējo 14 dienu laikā nebija fiksēta ķermeņa temperatūra </w:t>
      </w:r>
      <w:r w:rsidR="00C05EC4" w:rsidRPr="00707120">
        <w:rPr>
          <w:szCs w:val="22"/>
          <w:lang w:val="lv-LV"/>
        </w:rPr>
        <w:t>≥</w:t>
      </w:r>
      <w:r w:rsidRPr="00C05EC4">
        <w:rPr>
          <w:szCs w:val="22"/>
          <w:lang w:val="lv-LV"/>
        </w:rPr>
        <w:t> 37,5 °C), bet placebo grupā bija tikai 21% šādu pacientu (p </w:t>
      </w:r>
      <w:r w:rsidR="00C05EC4">
        <w:rPr>
          <w:szCs w:val="22"/>
          <w:lang w:val="lv-LV"/>
        </w:rPr>
        <w:t>˂</w:t>
      </w:r>
      <w:r w:rsidRPr="00C05EC4">
        <w:rPr>
          <w:szCs w:val="22"/>
          <w:lang w:val="lv-LV"/>
        </w:rPr>
        <w:t xml:space="preserve"> 0,0001). </w:t>
      </w:r>
    </w:p>
    <w:p w14:paraId="2F3BBB3E" w14:textId="77777777" w:rsidR="00784D05" w:rsidRPr="00C05EC4" w:rsidRDefault="00784D05">
      <w:pPr>
        <w:rPr>
          <w:szCs w:val="22"/>
          <w:lang w:val="lv-LV"/>
        </w:rPr>
      </w:pPr>
    </w:p>
    <w:p w14:paraId="218B0714" w14:textId="207F4EDE" w:rsidR="00784D05" w:rsidRPr="00C05EC4" w:rsidRDefault="00784D05">
      <w:pPr>
        <w:rPr>
          <w:szCs w:val="22"/>
          <w:lang w:val="lv-LV"/>
        </w:rPr>
      </w:pPr>
      <w:r w:rsidRPr="00C05EC4">
        <w:rPr>
          <w:szCs w:val="22"/>
          <w:lang w:val="lv-LV"/>
        </w:rPr>
        <w:t>Ārstējot ar tocilizumabu, pēc 12 nedēļām vidējās koriģētās pēc VAS noteiktās sāpju intensitātes izmaiņas bija novērtējuma punktu samazināšanās par 41 punktu 0–100 punktu skalā, salīdzinot ar samazināšanos par 1 punktu pacientiem, kuri saņēma placebo (p</w:t>
      </w:r>
      <w:r w:rsidR="00C05EC4" w:rsidRPr="00C05EC4">
        <w:rPr>
          <w:szCs w:val="22"/>
          <w:lang w:val="lv-LV"/>
        </w:rPr>
        <w:t> ˂ </w:t>
      </w:r>
      <w:r w:rsidRPr="00C05EC4">
        <w:rPr>
          <w:szCs w:val="22"/>
          <w:lang w:val="lv-LV"/>
        </w:rPr>
        <w:t>0,0001).</w:t>
      </w:r>
    </w:p>
    <w:p w14:paraId="6D9B3DAA" w14:textId="77777777" w:rsidR="00784D05" w:rsidRDefault="00784D05">
      <w:pPr>
        <w:rPr>
          <w:szCs w:val="22"/>
          <w:lang w:val="lv-LV"/>
        </w:rPr>
      </w:pPr>
    </w:p>
    <w:p w14:paraId="779993D2" w14:textId="77777777" w:rsidR="00784D05" w:rsidRDefault="00784D05">
      <w:pPr>
        <w:keepNext/>
        <w:rPr>
          <w:szCs w:val="22"/>
          <w:lang w:val="lv-LV"/>
        </w:rPr>
        <w:pPrChange w:id="302" w:author="Author">
          <w:pPr/>
        </w:pPrChange>
      </w:pPr>
      <w:r>
        <w:rPr>
          <w:i/>
          <w:iCs/>
          <w:szCs w:val="22"/>
          <w:lang w:val="lv-LV"/>
        </w:rPr>
        <w:t>Pakāpeniska kortikosteroīdu devu samazināšana</w:t>
      </w:r>
    </w:p>
    <w:p w14:paraId="59C8E33D" w14:textId="4F016101" w:rsidR="00784D05" w:rsidRDefault="00784D05">
      <w:pPr>
        <w:rPr>
          <w:i/>
          <w:iCs/>
          <w:szCs w:val="22"/>
          <w:lang w:val="lv-LV"/>
        </w:rPr>
      </w:pPr>
      <w:r>
        <w:rPr>
          <w:szCs w:val="22"/>
          <w:lang w:val="lv-LV"/>
        </w:rPr>
        <w:t>Pacientiem, kas sasniedza JIA ACR</w:t>
      </w:r>
      <w:r w:rsidR="00C05EC4">
        <w:rPr>
          <w:szCs w:val="22"/>
          <w:lang w:val="lv-LV"/>
        </w:rPr>
        <w:t> </w:t>
      </w:r>
      <w:r>
        <w:rPr>
          <w:szCs w:val="22"/>
          <w:lang w:val="lv-LV"/>
        </w:rPr>
        <w:t>70 atbildes reakciju, varēja samazināt kortikosteroīdu devu. Līdz 12. nedēļai 17 (24%) ar tocilizumabu ārstēto pacientu salīdzinājumā ar vienu (3%) pacientu, kurš saņēma placebo, varēja savu kortikosteroīda devu samazināt par vismaz 20%, neizraisot vēlāku JIA ACR 30 uzliesmojumu vai sistēmiskus simptomus (p = 0,028). Kortikosteroīdu devu samazināšanu turpināja, un pēc 44</w:t>
      </w:r>
      <w:r w:rsidR="00C05EC4">
        <w:rPr>
          <w:szCs w:val="22"/>
          <w:lang w:val="lv-LV"/>
        </w:rPr>
        <w:t> </w:t>
      </w:r>
      <w:r>
        <w:rPr>
          <w:szCs w:val="22"/>
          <w:lang w:val="lv-LV"/>
        </w:rPr>
        <w:t>nedēļām perorālos kortikosteroīdus nelietoja 44 pacienti, tomēr JIA ACR atbildes reakcija saglabājās.</w:t>
      </w:r>
    </w:p>
    <w:p w14:paraId="0AC2700F" w14:textId="77777777" w:rsidR="00784D05" w:rsidRDefault="00784D05">
      <w:pPr>
        <w:rPr>
          <w:i/>
          <w:iCs/>
          <w:szCs w:val="22"/>
          <w:lang w:val="lv-LV"/>
        </w:rPr>
      </w:pPr>
    </w:p>
    <w:p w14:paraId="60519B35" w14:textId="77777777" w:rsidR="00784D05" w:rsidRDefault="00784D05">
      <w:pPr>
        <w:keepNext/>
        <w:rPr>
          <w:szCs w:val="22"/>
          <w:lang w:val="lv-LV"/>
        </w:rPr>
        <w:pPrChange w:id="303" w:author="Author">
          <w:pPr/>
        </w:pPrChange>
      </w:pPr>
      <w:r>
        <w:rPr>
          <w:i/>
          <w:iCs/>
          <w:szCs w:val="22"/>
          <w:lang w:val="lv-LV"/>
        </w:rPr>
        <w:t>Ar veselību un dzīves kvalitāti saistītie iznākumi</w:t>
      </w:r>
    </w:p>
    <w:p w14:paraId="35BC1D17" w14:textId="01280ED1" w:rsidR="00784D05" w:rsidRDefault="00784D05">
      <w:pPr>
        <w:rPr>
          <w:szCs w:val="22"/>
          <w:lang w:val="lv-LV"/>
        </w:rPr>
      </w:pPr>
      <w:r>
        <w:rPr>
          <w:szCs w:val="22"/>
          <w:lang w:val="lv-LV"/>
        </w:rPr>
        <w:t xml:space="preserve">Pēc 12 nedēļām ar tocilizumabu ārstēto pacientu īpatsvars, kuriem pēc Bērnu veselības novērtēšanas anketas – invaliditātes indeksa </w:t>
      </w:r>
      <w:r w:rsidR="00C05EC4">
        <w:rPr>
          <w:szCs w:val="22"/>
          <w:lang w:val="lv-LV"/>
        </w:rPr>
        <w:t>(</w:t>
      </w:r>
      <w:r>
        <w:rPr>
          <w:i/>
          <w:iCs/>
          <w:szCs w:val="22"/>
          <w:lang w:val="lv-LV"/>
        </w:rPr>
        <w:t>Childhood Health Assessment Questionnaire – Disability Index</w:t>
      </w:r>
      <w:r w:rsidR="00C05EC4">
        <w:rPr>
          <w:szCs w:val="22"/>
          <w:lang w:val="lv-LV"/>
        </w:rPr>
        <w:t>)</w:t>
      </w:r>
      <w:r>
        <w:rPr>
          <w:szCs w:val="22"/>
          <w:lang w:val="lv-LV"/>
        </w:rPr>
        <w:t xml:space="preserve"> tika novērota minimāla klīniski nozīmīga stāvokļa uzlabošanās (definēta kā individuālā kopējā </w:t>
      </w:r>
      <w:r w:rsidRPr="00C05EC4">
        <w:rPr>
          <w:szCs w:val="22"/>
          <w:lang w:val="lv-LV"/>
        </w:rPr>
        <w:t xml:space="preserve">novērtējuma punktu skaita uzlabošanās par </w:t>
      </w:r>
      <w:r w:rsidR="00C05EC4" w:rsidRPr="00C05EC4">
        <w:rPr>
          <w:szCs w:val="22"/>
          <w:lang w:val="lv-LV"/>
        </w:rPr>
        <w:t>≥ </w:t>
      </w:r>
      <w:r w:rsidRPr="00C05EC4">
        <w:rPr>
          <w:szCs w:val="22"/>
          <w:lang w:val="lv-LV"/>
        </w:rPr>
        <w:t xml:space="preserve">0,13), bija ievērojami lielāka nekā starp pacientiem, </w:t>
      </w:r>
      <w:r>
        <w:rPr>
          <w:szCs w:val="22"/>
          <w:lang w:val="lv-LV"/>
        </w:rPr>
        <w:t>kuri saņēma placebo, 77% , salīdzinot ar 19% (p </w:t>
      </w:r>
      <w:r w:rsidR="00C05EC4">
        <w:rPr>
          <w:szCs w:val="22"/>
          <w:lang w:val="lv-LV"/>
        </w:rPr>
        <w:t>˂</w:t>
      </w:r>
      <w:r>
        <w:rPr>
          <w:szCs w:val="22"/>
          <w:lang w:val="lv-LV"/>
        </w:rPr>
        <w:t xml:space="preserve"> 0,0001). </w:t>
      </w:r>
    </w:p>
    <w:p w14:paraId="0CB4D739" w14:textId="77777777" w:rsidR="00784D05" w:rsidRDefault="00784D05">
      <w:pPr>
        <w:rPr>
          <w:szCs w:val="22"/>
          <w:lang w:val="lv-LV"/>
        </w:rPr>
      </w:pPr>
    </w:p>
    <w:p w14:paraId="10B14D59" w14:textId="77777777" w:rsidR="00784D05" w:rsidRDefault="00784D05">
      <w:pPr>
        <w:keepNext/>
        <w:rPr>
          <w:szCs w:val="22"/>
          <w:lang w:val="lv-LV"/>
        </w:rPr>
        <w:pPrChange w:id="304" w:author="Author">
          <w:pPr/>
        </w:pPrChange>
      </w:pPr>
      <w:r>
        <w:rPr>
          <w:i/>
          <w:iCs/>
          <w:szCs w:val="22"/>
          <w:lang w:val="lv-LV"/>
        </w:rPr>
        <w:t>Laboratoriskie rādītāji</w:t>
      </w:r>
    </w:p>
    <w:p w14:paraId="7CF1062D" w14:textId="4419E871" w:rsidR="00784D05" w:rsidRDefault="00784D05">
      <w:pPr>
        <w:rPr>
          <w:szCs w:val="22"/>
          <w:lang w:val="lv-LV"/>
        </w:rPr>
      </w:pPr>
      <w:r>
        <w:rPr>
          <w:szCs w:val="22"/>
          <w:lang w:val="lv-LV"/>
        </w:rPr>
        <w:t>50 no 75 (67%) ar tocilizumabu ārstētajiem pacientiem pirms ārstēšanas sākuma hemoglobīna līmenis bija zem normas zemākās robežas jeb NZR. 40 (80%) no šiem pacientiem pēc 12 nedēļām hemoglobīna līmenis paaugstinājās un atjaunojās normas robežās, salīdzinot ar 2 pacientiem no 29</w:t>
      </w:r>
      <w:r w:rsidR="00C05EC4">
        <w:rPr>
          <w:szCs w:val="22"/>
          <w:lang w:val="lv-LV"/>
        </w:rPr>
        <w:t> </w:t>
      </w:r>
      <w:r>
        <w:rPr>
          <w:szCs w:val="22"/>
          <w:lang w:val="lv-LV"/>
        </w:rPr>
        <w:t xml:space="preserve">(7%), kuri saņēma placebo un kuriem pirms ārstēšanas bija pazemināts hemoglobīna līmenis </w:t>
      </w:r>
      <w:r w:rsidR="00C05EC4">
        <w:rPr>
          <w:szCs w:val="22"/>
          <w:lang w:val="lv-LV"/>
        </w:rPr>
        <w:t>˂ </w:t>
      </w:r>
      <w:r w:rsidR="004F76A0">
        <w:rPr>
          <w:szCs w:val="22"/>
          <w:lang w:val="lv-LV"/>
        </w:rPr>
        <w:t xml:space="preserve">NZR </w:t>
      </w:r>
      <w:r>
        <w:rPr>
          <w:szCs w:val="22"/>
          <w:lang w:val="lv-LV"/>
        </w:rPr>
        <w:t>(p </w:t>
      </w:r>
      <w:r w:rsidR="00C05EC4">
        <w:rPr>
          <w:szCs w:val="22"/>
          <w:lang w:val="lv-LV"/>
        </w:rPr>
        <w:t>˂</w:t>
      </w:r>
      <w:r>
        <w:rPr>
          <w:szCs w:val="22"/>
          <w:lang w:val="lv-LV"/>
        </w:rPr>
        <w:t> 0,0001).</w:t>
      </w:r>
    </w:p>
    <w:p w14:paraId="4586EB0D" w14:textId="77777777" w:rsidR="00784D05" w:rsidRDefault="00784D05">
      <w:pPr>
        <w:rPr>
          <w:szCs w:val="22"/>
          <w:lang w:val="lv-LV"/>
        </w:rPr>
      </w:pPr>
    </w:p>
    <w:p w14:paraId="63F4318E" w14:textId="30F70E0B" w:rsidR="00784D05" w:rsidRPr="00707120" w:rsidRDefault="00C05EC4" w:rsidP="00707120">
      <w:pPr>
        <w:keepNext/>
        <w:ind w:right="-2"/>
        <w:rPr>
          <w:iCs/>
          <w:szCs w:val="22"/>
          <w:u w:val="single"/>
          <w:lang w:val="lv-LV"/>
        </w:rPr>
      </w:pPr>
      <w:r w:rsidRPr="00707120">
        <w:rPr>
          <w:iCs/>
          <w:szCs w:val="22"/>
          <w:u w:val="single"/>
          <w:lang w:val="lv-LV"/>
        </w:rPr>
        <w:t>Pediatriskie p</w:t>
      </w:r>
      <w:r w:rsidR="00784D05" w:rsidRPr="00707120">
        <w:rPr>
          <w:iCs/>
          <w:szCs w:val="22"/>
          <w:u w:val="single"/>
          <w:lang w:val="lv-LV"/>
        </w:rPr>
        <w:t>acienti ar pJIA</w:t>
      </w:r>
    </w:p>
    <w:p w14:paraId="2A1DFAA4" w14:textId="77777777" w:rsidR="00784D05" w:rsidRPr="00707120" w:rsidRDefault="00784D05" w:rsidP="00707120">
      <w:pPr>
        <w:keepNext/>
        <w:ind w:right="-2"/>
        <w:rPr>
          <w:i/>
          <w:iCs/>
          <w:szCs w:val="22"/>
          <w:lang w:val="lv-LV"/>
        </w:rPr>
      </w:pPr>
      <w:r w:rsidRPr="00707120">
        <w:rPr>
          <w:i/>
          <w:iCs/>
          <w:szCs w:val="22"/>
          <w:lang w:val="lv-LV"/>
        </w:rPr>
        <w:t>Klīniskā efektivitāte</w:t>
      </w:r>
    </w:p>
    <w:p w14:paraId="5B252830" w14:textId="70D96764" w:rsidR="00784D05" w:rsidRDefault="00784D05">
      <w:pPr>
        <w:rPr>
          <w:lang w:val="lv-LV"/>
        </w:rPr>
      </w:pPr>
      <w:r>
        <w:rPr>
          <w:szCs w:val="22"/>
          <w:lang w:val="lv-LV"/>
        </w:rPr>
        <w:t>Tocilizumaba efektivitāte, ārstējot bērnus ar aktīvu pJIA, tika vērtēta trīsdaļīgā WA19977 pētījumā, kas ietvēra arī atklātas lietošanas pagarinājumu. Pirmo daļu veidoja</w:t>
      </w:r>
      <w:r>
        <w:rPr>
          <w:lang w:val="lv-LV"/>
        </w:rPr>
        <w:t xml:space="preserve"> 16</w:t>
      </w:r>
      <w:r w:rsidR="00CD68FA">
        <w:rPr>
          <w:lang w:val="lv-LV"/>
        </w:rPr>
        <w:t> </w:t>
      </w:r>
      <w:r>
        <w:rPr>
          <w:lang w:val="lv-LV"/>
        </w:rPr>
        <w:t>nedēļu aktīvas ārstēšanas ar tocilizumabu ievadperiods (n=188), pēc tam bija 2.</w:t>
      </w:r>
      <w:r w:rsidR="00CD68FA">
        <w:rPr>
          <w:lang w:val="lv-LV"/>
        </w:rPr>
        <w:t> </w:t>
      </w:r>
      <w:r>
        <w:rPr>
          <w:lang w:val="lv-LV"/>
        </w:rPr>
        <w:t>daļa – 24</w:t>
      </w:r>
      <w:r w:rsidR="00CD68FA">
        <w:rPr>
          <w:lang w:val="lv-LV"/>
        </w:rPr>
        <w:t> </w:t>
      </w:r>
      <w:r>
        <w:rPr>
          <w:lang w:val="lv-LV"/>
        </w:rPr>
        <w:t xml:space="preserve">nedēļu randomizēts, dubultmaskēts, </w:t>
      </w:r>
      <w:del w:id="305" w:author="Regulatory LV" w:date="2026-03-17T11:37:00Z">
        <w:r w:rsidR="00CD68FA" w:rsidDel="0089110E">
          <w:rPr>
            <w:lang w:val="lv-LV"/>
          </w:rPr>
          <w:delText xml:space="preserve">ar </w:delText>
        </w:r>
      </w:del>
      <w:r>
        <w:rPr>
          <w:lang w:val="lv-LV"/>
        </w:rPr>
        <w:t xml:space="preserve">placebo kontrolēts lietošanas pārtraukšanas periods (n=163) un tad </w:t>
      </w:r>
      <w:r w:rsidR="00CD68FA">
        <w:rPr>
          <w:lang w:val="lv-LV"/>
        </w:rPr>
        <w:t xml:space="preserve">- </w:t>
      </w:r>
      <w:r>
        <w:rPr>
          <w:lang w:val="lv-LV"/>
        </w:rPr>
        <w:t>3.</w:t>
      </w:r>
      <w:r w:rsidR="00CD68FA">
        <w:rPr>
          <w:lang w:val="lv-LV"/>
        </w:rPr>
        <w:t> </w:t>
      </w:r>
      <w:r>
        <w:rPr>
          <w:lang w:val="lv-LV"/>
        </w:rPr>
        <w:t>daļa – 64</w:t>
      </w:r>
      <w:r w:rsidR="00CD68FA">
        <w:rPr>
          <w:lang w:val="lv-LV"/>
        </w:rPr>
        <w:t> </w:t>
      </w:r>
      <w:r>
        <w:rPr>
          <w:lang w:val="lv-LV"/>
        </w:rPr>
        <w:t xml:space="preserve">nedēļu atklāts periods. Pirmajā daļā piemērotie pacienti ar ķermeņa masu </w:t>
      </w:r>
      <w:r w:rsidR="00CD68FA">
        <w:rPr>
          <w:lang w:val="lv-LV"/>
        </w:rPr>
        <w:t>≥ </w:t>
      </w:r>
      <w:r>
        <w:rPr>
          <w:lang w:val="lv-LV"/>
        </w:rPr>
        <w:t xml:space="preserve">30 kg </w:t>
      </w:r>
      <w:r w:rsidR="00CD68FA">
        <w:rPr>
          <w:lang w:val="lv-LV"/>
        </w:rPr>
        <w:t>intravenozi</w:t>
      </w:r>
      <w:r>
        <w:rPr>
          <w:lang w:val="lv-LV"/>
        </w:rPr>
        <w:t xml:space="preserve"> saņēma tocilizumabu 8 mg/kg ik pēc 4</w:t>
      </w:r>
      <w:r w:rsidR="00CD68FA">
        <w:rPr>
          <w:lang w:val="lv-LV"/>
        </w:rPr>
        <w:t> </w:t>
      </w:r>
      <w:r>
        <w:rPr>
          <w:lang w:val="lv-LV"/>
        </w:rPr>
        <w:t>nedēļām – 4</w:t>
      </w:r>
      <w:r w:rsidR="00CD68FA">
        <w:rPr>
          <w:lang w:val="lv-LV"/>
        </w:rPr>
        <w:t> </w:t>
      </w:r>
      <w:r>
        <w:rPr>
          <w:lang w:val="lv-LV"/>
        </w:rPr>
        <w:t xml:space="preserve">devas. Pacienti ar ķermeņa masu </w:t>
      </w:r>
      <w:r w:rsidR="00CD68FA">
        <w:rPr>
          <w:lang w:val="lv-LV"/>
        </w:rPr>
        <w:t>˂ </w:t>
      </w:r>
      <w:r>
        <w:rPr>
          <w:lang w:val="lv-LV"/>
        </w:rPr>
        <w:t xml:space="preserve">30 kg tika randomizēti attiecībā 1:1, lai </w:t>
      </w:r>
      <w:r w:rsidR="00CD68FA">
        <w:rPr>
          <w:lang w:val="lv-LV"/>
        </w:rPr>
        <w:t xml:space="preserve">intravenozi </w:t>
      </w:r>
      <w:r>
        <w:rPr>
          <w:lang w:val="lv-LV"/>
        </w:rPr>
        <w:t>saņemtu vai nu tocilizumabu pa 8 mg/kg, vai pa 10 mg/kg ik pēc 4</w:t>
      </w:r>
      <w:r w:rsidR="00236CD1">
        <w:rPr>
          <w:lang w:val="lv-LV"/>
        </w:rPr>
        <w:t> </w:t>
      </w:r>
      <w:r>
        <w:rPr>
          <w:lang w:val="lv-LV"/>
        </w:rPr>
        <w:t>nedēļām – kopā 4</w:t>
      </w:r>
      <w:r w:rsidR="00CD68FA">
        <w:rPr>
          <w:lang w:val="lv-LV"/>
        </w:rPr>
        <w:t> </w:t>
      </w:r>
      <w:r>
        <w:rPr>
          <w:lang w:val="lv-LV"/>
        </w:rPr>
        <w:t>devas. Pacienti, kuri pabeidza pētījuma pirmo daļu un sasniedza vismaz JIA ACR</w:t>
      </w:r>
      <w:r w:rsidR="00CD68FA">
        <w:rPr>
          <w:lang w:val="lv-LV"/>
        </w:rPr>
        <w:t> </w:t>
      </w:r>
      <w:r>
        <w:rPr>
          <w:lang w:val="lv-LV"/>
        </w:rPr>
        <w:t>30 atbildes reakciju 16.</w:t>
      </w:r>
      <w:r w:rsidR="00CD68FA">
        <w:rPr>
          <w:lang w:val="lv-LV"/>
        </w:rPr>
        <w:t> </w:t>
      </w:r>
      <w:r>
        <w:rPr>
          <w:lang w:val="lv-LV"/>
        </w:rPr>
        <w:t>nedēļā, salīdzinot ar sākumstāvokli, bija piemēroti, lai turpinātu pētījuma maskēto lietošanas pārtraukšanas periodu (2.</w:t>
      </w:r>
      <w:r w:rsidR="00CD68FA">
        <w:rPr>
          <w:lang w:val="lv-LV"/>
        </w:rPr>
        <w:t> </w:t>
      </w:r>
      <w:r>
        <w:rPr>
          <w:lang w:val="lv-LV"/>
        </w:rPr>
        <w:t>daļu). Otrajā daļā pacienti tika randomizēti, lai saņemtu tocilizumabu (tādā pašā devā, kā saņēma 1.</w:t>
      </w:r>
      <w:r w:rsidR="00CD68FA">
        <w:rPr>
          <w:lang w:val="lv-LV"/>
        </w:rPr>
        <w:t> </w:t>
      </w:r>
      <w:r>
        <w:rPr>
          <w:lang w:val="lv-LV"/>
        </w:rPr>
        <w:t>daļā) vai placebo attiecībā 1:1, stratificēti pēc vienlaicīgas MTX lietošanas un vienlaicīgas kortikosteroīdu lietošanas. Katrs pacients turpināja pētījuma 2.</w:t>
      </w:r>
      <w:r w:rsidR="00CD68FA">
        <w:rPr>
          <w:lang w:val="lv-LV"/>
        </w:rPr>
        <w:t> </w:t>
      </w:r>
      <w:r>
        <w:rPr>
          <w:lang w:val="lv-LV"/>
        </w:rPr>
        <w:t>daļu līdz 40.</w:t>
      </w:r>
      <w:r w:rsidR="00CD68FA">
        <w:rPr>
          <w:lang w:val="lv-LV"/>
        </w:rPr>
        <w:t> </w:t>
      </w:r>
      <w:r>
        <w:rPr>
          <w:lang w:val="lv-LV"/>
        </w:rPr>
        <w:t>nedēļai vai līdz brīdim, kad pacients atbilda JIA ACR</w:t>
      </w:r>
      <w:r w:rsidR="00CD68FA">
        <w:rPr>
          <w:lang w:val="lv-LV"/>
        </w:rPr>
        <w:t> </w:t>
      </w:r>
      <w:r>
        <w:rPr>
          <w:lang w:val="lv-LV"/>
        </w:rPr>
        <w:t>30 uzliesmojuma kritērijiem (attiecībā pret 16.</w:t>
      </w:r>
      <w:r w:rsidR="00CD68FA">
        <w:rPr>
          <w:lang w:val="lv-LV"/>
        </w:rPr>
        <w:t> </w:t>
      </w:r>
      <w:r>
        <w:rPr>
          <w:lang w:val="lv-LV"/>
        </w:rPr>
        <w:t>nedēļu) un kvalificējās pārejai uz tocilizumaba terapiju (tādā pašā devā, kā saņēma 1.</w:t>
      </w:r>
      <w:r w:rsidR="00CD68FA">
        <w:rPr>
          <w:lang w:val="lv-LV"/>
        </w:rPr>
        <w:t> </w:t>
      </w:r>
      <w:r>
        <w:rPr>
          <w:lang w:val="lv-LV"/>
        </w:rPr>
        <w:t>daļā).</w:t>
      </w:r>
    </w:p>
    <w:p w14:paraId="3B83A5A2" w14:textId="77777777" w:rsidR="00784D05" w:rsidRDefault="00784D05">
      <w:pPr>
        <w:rPr>
          <w:lang w:val="lv-LV"/>
        </w:rPr>
      </w:pPr>
    </w:p>
    <w:p w14:paraId="44761CC8" w14:textId="77777777" w:rsidR="00784D05" w:rsidRDefault="00784D05">
      <w:pPr>
        <w:keepNext/>
        <w:keepLines/>
        <w:rPr>
          <w:szCs w:val="22"/>
          <w:lang w:val="lv-LV"/>
        </w:rPr>
      </w:pPr>
      <w:r>
        <w:rPr>
          <w:i/>
          <w:iCs/>
          <w:szCs w:val="22"/>
          <w:lang w:val="lv-LV"/>
        </w:rPr>
        <w:t>Klīniskā atbildes reakcija</w:t>
      </w:r>
    </w:p>
    <w:p w14:paraId="023AF1D6" w14:textId="265F1D54" w:rsidR="00784D05" w:rsidRDefault="00784D05">
      <w:pPr>
        <w:rPr>
          <w:lang w:val="lv-LV"/>
        </w:rPr>
      </w:pPr>
      <w:r>
        <w:rPr>
          <w:szCs w:val="22"/>
          <w:lang w:val="lv-LV"/>
        </w:rPr>
        <w:t>Primārais mērķa kritērijs bija pacientu īpatsvars, kuriem 40.</w:t>
      </w:r>
      <w:r w:rsidR="00CD68FA">
        <w:rPr>
          <w:szCs w:val="22"/>
          <w:lang w:val="lv-LV"/>
        </w:rPr>
        <w:t> </w:t>
      </w:r>
      <w:r>
        <w:rPr>
          <w:szCs w:val="22"/>
          <w:lang w:val="lv-LV"/>
        </w:rPr>
        <w:t>nedēļā bija</w:t>
      </w:r>
      <w:r>
        <w:rPr>
          <w:lang w:val="lv-LV"/>
        </w:rPr>
        <w:t xml:space="preserve"> JIA ACR</w:t>
      </w:r>
      <w:r w:rsidR="00CD68FA">
        <w:rPr>
          <w:lang w:val="lv-LV"/>
        </w:rPr>
        <w:t> </w:t>
      </w:r>
      <w:r>
        <w:rPr>
          <w:lang w:val="lv-LV"/>
        </w:rPr>
        <w:t>30 uzliesmojums attiecībā pret 16.</w:t>
      </w:r>
      <w:r w:rsidR="00CD68FA">
        <w:rPr>
          <w:lang w:val="lv-LV"/>
        </w:rPr>
        <w:t> </w:t>
      </w:r>
      <w:r>
        <w:rPr>
          <w:lang w:val="lv-LV"/>
        </w:rPr>
        <w:t>nedēļu. 48% (48,1%, 39/81) pacientu, kas tika ārstēti ar placebo, bija uzliesmojums, salīdzinot ar 25,6% (21/82) pacientu, kuri tika ārstēti ar tocilizumabu. Šī īpatsvara atšķirības bija statistiski ticamas (p</w:t>
      </w:r>
      <w:r w:rsidR="00CD68FA">
        <w:rPr>
          <w:lang w:val="lv-LV"/>
        </w:rPr>
        <w:t> </w:t>
      </w:r>
      <w:r>
        <w:rPr>
          <w:lang w:val="lv-LV"/>
        </w:rPr>
        <w:t>=</w:t>
      </w:r>
      <w:r w:rsidR="00CD68FA">
        <w:rPr>
          <w:lang w:val="lv-LV"/>
        </w:rPr>
        <w:t> </w:t>
      </w:r>
      <w:r>
        <w:rPr>
          <w:lang w:val="lv-LV"/>
        </w:rPr>
        <w:t xml:space="preserve">0,0024). </w:t>
      </w:r>
    </w:p>
    <w:p w14:paraId="2A5C55AB" w14:textId="77777777" w:rsidR="00784D05" w:rsidRDefault="00784D05">
      <w:pPr>
        <w:rPr>
          <w:lang w:val="lv-LV"/>
        </w:rPr>
      </w:pPr>
    </w:p>
    <w:p w14:paraId="334F3A12" w14:textId="29F4F2EA" w:rsidR="00784D05" w:rsidRDefault="00784D05">
      <w:pPr>
        <w:rPr>
          <w:lang w:val="lv-LV"/>
        </w:rPr>
      </w:pPr>
      <w:r>
        <w:rPr>
          <w:lang w:val="lv-LV"/>
        </w:rPr>
        <w:t>Pirmās daļas beigās JIA ACR</w:t>
      </w:r>
      <w:r w:rsidR="00CD68FA">
        <w:rPr>
          <w:lang w:val="lv-LV"/>
        </w:rPr>
        <w:t> </w:t>
      </w:r>
      <w:r>
        <w:rPr>
          <w:lang w:val="lv-LV"/>
        </w:rPr>
        <w:t>30/50/70/90 atbildes reakcija bija attiecīgi 89,4%, 83,0%, 62,2% un 26,1%.</w:t>
      </w:r>
    </w:p>
    <w:p w14:paraId="017390D2" w14:textId="77777777" w:rsidR="00784D05" w:rsidRDefault="00784D05">
      <w:pPr>
        <w:rPr>
          <w:lang w:val="lv-LV"/>
        </w:rPr>
      </w:pPr>
    </w:p>
    <w:p w14:paraId="49877851" w14:textId="06080F72" w:rsidR="00784D05" w:rsidRDefault="00784D05">
      <w:pPr>
        <w:rPr>
          <w:szCs w:val="22"/>
          <w:shd w:val="clear" w:color="auto" w:fill="FFFF00"/>
          <w:lang w:val="lv-LV"/>
        </w:rPr>
      </w:pPr>
      <w:r>
        <w:rPr>
          <w:lang w:val="lv-LV"/>
        </w:rPr>
        <w:t>Lietošanas pārtraukšanas fāzē (2.</w:t>
      </w:r>
      <w:r w:rsidR="00CD68FA">
        <w:rPr>
          <w:lang w:val="lv-LV"/>
        </w:rPr>
        <w:t> </w:t>
      </w:r>
      <w:r>
        <w:rPr>
          <w:lang w:val="lv-LV"/>
        </w:rPr>
        <w:t>daļa) procentuālais pacientu skaits, kuri sasniedza JIA ACR</w:t>
      </w:r>
      <w:r w:rsidR="00CD68FA">
        <w:rPr>
          <w:lang w:val="lv-LV"/>
        </w:rPr>
        <w:t> </w:t>
      </w:r>
      <w:r>
        <w:rPr>
          <w:lang w:val="lv-LV"/>
        </w:rPr>
        <w:t>30, 50 un 70</w:t>
      </w:r>
      <w:r w:rsidR="00236CD1">
        <w:rPr>
          <w:lang w:val="lv-LV"/>
        </w:rPr>
        <w:t> </w:t>
      </w:r>
      <w:r>
        <w:rPr>
          <w:lang w:val="lv-LV"/>
        </w:rPr>
        <w:t>atbildes reakciju 40.</w:t>
      </w:r>
      <w:r w:rsidR="00CD68FA">
        <w:rPr>
          <w:lang w:val="lv-LV"/>
        </w:rPr>
        <w:t> </w:t>
      </w:r>
      <w:r>
        <w:rPr>
          <w:lang w:val="lv-LV"/>
        </w:rPr>
        <w:t xml:space="preserve">nedēļā, salīdzinājumā ar sākumstāvokli, ir redzams </w:t>
      </w:r>
      <w:r w:rsidR="003B3144">
        <w:rPr>
          <w:lang w:val="lv-LV"/>
        </w:rPr>
        <w:t>9</w:t>
      </w:r>
      <w:r>
        <w:rPr>
          <w:lang w:val="lv-LV"/>
        </w:rPr>
        <w:t>.</w:t>
      </w:r>
      <w:r w:rsidR="00CD68FA">
        <w:rPr>
          <w:lang w:val="lv-LV"/>
        </w:rPr>
        <w:t> </w:t>
      </w:r>
      <w:r>
        <w:rPr>
          <w:lang w:val="lv-LV"/>
        </w:rPr>
        <w:t>tabulā. Šajā statistiskā analīzē pacienti, kuriem 2.</w:t>
      </w:r>
      <w:r w:rsidR="00CD68FA">
        <w:rPr>
          <w:lang w:val="lv-LV"/>
        </w:rPr>
        <w:t> </w:t>
      </w:r>
      <w:r>
        <w:rPr>
          <w:lang w:val="lv-LV"/>
        </w:rPr>
        <w:t xml:space="preserve">daļas laikā bija uzliesmojums (un kas pārgāja uz </w:t>
      </w:r>
      <w:r w:rsidR="00CD68FA">
        <w:rPr>
          <w:lang w:val="lv-LV"/>
        </w:rPr>
        <w:t xml:space="preserve">tocilizumaba </w:t>
      </w:r>
      <w:r>
        <w:rPr>
          <w:lang w:val="lv-LV"/>
        </w:rPr>
        <w:t xml:space="preserve">lietošanu) vai kas pārtrauca terapiju, tika klasificēti kā pacienti bez atbildes reakcijas. </w:t>
      </w:r>
      <w:r>
        <w:rPr>
          <w:szCs w:val="22"/>
          <w:lang w:val="lv-LV"/>
        </w:rPr>
        <w:t>JIA ACR atbildes reakcijas papildu analīzes, ņemot vērā 40.</w:t>
      </w:r>
      <w:r w:rsidR="00CD68FA">
        <w:rPr>
          <w:szCs w:val="22"/>
          <w:lang w:val="lv-LV"/>
        </w:rPr>
        <w:t> </w:t>
      </w:r>
      <w:r>
        <w:rPr>
          <w:szCs w:val="22"/>
          <w:lang w:val="lv-LV"/>
        </w:rPr>
        <w:t>nedēļā konstatētos datus, neatkarīgi no uzliesmojuma esamības liecināja, ka 40.</w:t>
      </w:r>
      <w:r w:rsidR="00CD68FA">
        <w:rPr>
          <w:szCs w:val="22"/>
          <w:lang w:val="lv-LV"/>
        </w:rPr>
        <w:t> </w:t>
      </w:r>
      <w:r>
        <w:rPr>
          <w:szCs w:val="22"/>
          <w:lang w:val="lv-LV"/>
        </w:rPr>
        <w:t xml:space="preserve">nedēļā 95,1% pacientu, kuri nepārtraukti bija saņēmuši </w:t>
      </w:r>
      <w:r w:rsidR="00CD68FA">
        <w:rPr>
          <w:szCs w:val="22"/>
          <w:lang w:val="lv-LV"/>
        </w:rPr>
        <w:t xml:space="preserve">tocilizumaba </w:t>
      </w:r>
      <w:r>
        <w:rPr>
          <w:szCs w:val="22"/>
          <w:lang w:val="lv-LV"/>
        </w:rPr>
        <w:t>terapiju, bija sasnieguši JIA ACR</w:t>
      </w:r>
      <w:r w:rsidR="00CD68FA">
        <w:rPr>
          <w:szCs w:val="22"/>
          <w:lang w:val="lv-LV"/>
        </w:rPr>
        <w:t> </w:t>
      </w:r>
      <w:r>
        <w:rPr>
          <w:szCs w:val="22"/>
          <w:lang w:val="lv-LV"/>
        </w:rPr>
        <w:t>30 vai augstākas pakāpes atbildes reakciju.</w:t>
      </w:r>
    </w:p>
    <w:p w14:paraId="6D1FA5D3" w14:textId="77777777" w:rsidR="00784D05" w:rsidRDefault="00784D05">
      <w:pPr>
        <w:rPr>
          <w:szCs w:val="22"/>
          <w:shd w:val="clear" w:color="auto" w:fill="FFFF00"/>
          <w:lang w:val="lv-LV"/>
        </w:rPr>
      </w:pPr>
    </w:p>
    <w:p w14:paraId="72297241" w14:textId="61EF46DC" w:rsidR="00784D05" w:rsidRDefault="003B3144">
      <w:pPr>
        <w:keepNext/>
        <w:ind w:right="-2"/>
        <w:rPr>
          <w:i/>
          <w:iCs/>
          <w:szCs w:val="22"/>
          <w:lang w:val="lv-LV"/>
        </w:rPr>
      </w:pPr>
      <w:r>
        <w:rPr>
          <w:i/>
          <w:iCs/>
          <w:szCs w:val="22"/>
          <w:lang w:val="lv-LV"/>
        </w:rPr>
        <w:t>9</w:t>
      </w:r>
      <w:r w:rsidR="00784D05">
        <w:rPr>
          <w:i/>
          <w:iCs/>
          <w:szCs w:val="22"/>
          <w:lang w:val="lv-LV"/>
        </w:rPr>
        <w:t xml:space="preserve">. tabula. JIA ACR atbildes reakcijas rādītājs 40. nedēļā, salīdzinot ar sākumstāvokli (% pacientu) </w:t>
      </w:r>
    </w:p>
    <w:p w14:paraId="2EB651B8" w14:textId="77777777" w:rsidR="00D64177" w:rsidRDefault="00D64177">
      <w:pPr>
        <w:keepNext/>
        <w:ind w:right="-2"/>
        <w:rPr>
          <w:b/>
          <w:color w:val="000000"/>
          <w:szCs w:val="22"/>
          <w:lang w:val="lv-LV"/>
        </w:rPr>
      </w:pPr>
    </w:p>
    <w:tbl>
      <w:tblPr>
        <w:tblW w:w="0" w:type="auto"/>
        <w:tblInd w:w="-15" w:type="dxa"/>
        <w:tblLayout w:type="fixed"/>
        <w:tblLook w:val="0000" w:firstRow="0" w:lastRow="0" w:firstColumn="0" w:lastColumn="0" w:noHBand="0" w:noVBand="0"/>
      </w:tblPr>
      <w:tblGrid>
        <w:gridCol w:w="2704"/>
        <w:gridCol w:w="2204"/>
        <w:gridCol w:w="2205"/>
      </w:tblGrid>
      <w:tr w:rsidR="00784D05" w14:paraId="75275EFD" w14:textId="77777777" w:rsidTr="00707120">
        <w:tc>
          <w:tcPr>
            <w:tcW w:w="2704" w:type="dxa"/>
            <w:tcBorders>
              <w:top w:val="single" w:sz="4" w:space="0" w:color="000000"/>
              <w:left w:val="single" w:sz="4" w:space="0" w:color="000000"/>
              <w:bottom w:val="single" w:sz="4" w:space="0" w:color="000000"/>
            </w:tcBorders>
          </w:tcPr>
          <w:p w14:paraId="3B112951" w14:textId="77777777" w:rsidR="00784D05" w:rsidRDefault="00784D05">
            <w:pPr>
              <w:pStyle w:val="TextTi12"/>
              <w:spacing w:after="0" w:line="240" w:lineRule="auto"/>
              <w:jc w:val="left"/>
              <w:rPr>
                <w:b/>
                <w:sz w:val="22"/>
                <w:szCs w:val="22"/>
                <w:lang w:val="lv-LV"/>
              </w:rPr>
            </w:pPr>
            <w:r>
              <w:rPr>
                <w:b/>
                <w:color w:val="000000"/>
                <w:sz w:val="22"/>
                <w:szCs w:val="22"/>
                <w:lang w:val="lv-LV"/>
              </w:rPr>
              <w:t>Atbildes reakcijas rādītājs</w:t>
            </w:r>
          </w:p>
        </w:tc>
        <w:tc>
          <w:tcPr>
            <w:tcW w:w="2204" w:type="dxa"/>
            <w:tcBorders>
              <w:top w:val="single" w:sz="4" w:space="0" w:color="000000"/>
              <w:left w:val="single" w:sz="4" w:space="0" w:color="000000"/>
              <w:bottom w:val="single" w:sz="4" w:space="0" w:color="000000"/>
              <w:right w:val="single" w:sz="4" w:space="0" w:color="000000"/>
            </w:tcBorders>
          </w:tcPr>
          <w:p w14:paraId="1C6ACC17" w14:textId="77777777" w:rsidR="00784D05" w:rsidRPr="00C61FD9" w:rsidRDefault="00784D05" w:rsidP="00707120">
            <w:pPr>
              <w:pStyle w:val="TextTi12"/>
              <w:spacing w:after="0" w:line="240" w:lineRule="auto"/>
              <w:jc w:val="center"/>
              <w:rPr>
                <w:sz w:val="22"/>
                <w:szCs w:val="22"/>
                <w:lang w:val="lv-LV"/>
              </w:rPr>
            </w:pPr>
            <w:r w:rsidRPr="00C61FD9">
              <w:rPr>
                <w:sz w:val="22"/>
                <w:szCs w:val="22"/>
                <w:lang w:val="lv-LV"/>
              </w:rPr>
              <w:t>Tocilizumabs</w:t>
            </w:r>
          </w:p>
          <w:p w14:paraId="482442A8" w14:textId="27860984" w:rsidR="00784D05" w:rsidRPr="001C0E94" w:rsidRDefault="00784D05" w:rsidP="00707120">
            <w:pPr>
              <w:pStyle w:val="TextTi12"/>
              <w:spacing w:after="0" w:line="240" w:lineRule="auto"/>
              <w:jc w:val="center"/>
              <w:rPr>
                <w:sz w:val="22"/>
                <w:szCs w:val="22"/>
                <w:lang w:val="lv-LV"/>
              </w:rPr>
            </w:pPr>
            <w:del w:id="306" w:author="Author">
              <w:r w:rsidRPr="001C0E94" w:rsidDel="00717152">
                <w:rPr>
                  <w:sz w:val="22"/>
                  <w:szCs w:val="22"/>
                  <w:lang w:val="lv-LV"/>
                </w:rPr>
                <w:delText xml:space="preserve">N </w:delText>
              </w:r>
            </w:del>
            <w:ins w:id="307" w:author="Author">
              <w:r w:rsidR="00717152">
                <w:rPr>
                  <w:sz w:val="22"/>
                  <w:szCs w:val="22"/>
                  <w:lang w:val="lv-LV"/>
                </w:rPr>
                <w:t>n</w:t>
              </w:r>
            </w:ins>
            <w:r w:rsidRPr="001C0E94">
              <w:rPr>
                <w:sz w:val="22"/>
                <w:szCs w:val="22"/>
                <w:lang w:val="lv-LV"/>
              </w:rPr>
              <w:t>=</w:t>
            </w:r>
            <w:del w:id="308" w:author="Author">
              <w:r w:rsidRPr="001C0E94" w:rsidDel="00C05EDC">
                <w:rPr>
                  <w:sz w:val="22"/>
                  <w:szCs w:val="22"/>
                  <w:lang w:val="lv-LV"/>
                </w:rPr>
                <w:delText xml:space="preserve"> </w:delText>
              </w:r>
            </w:del>
            <w:r w:rsidRPr="001C0E94">
              <w:rPr>
                <w:sz w:val="22"/>
                <w:szCs w:val="22"/>
                <w:lang w:val="lv-LV"/>
              </w:rPr>
              <w:t>82</w:t>
            </w:r>
          </w:p>
        </w:tc>
        <w:tc>
          <w:tcPr>
            <w:tcW w:w="2205" w:type="dxa"/>
            <w:tcBorders>
              <w:top w:val="single" w:sz="4" w:space="0" w:color="000000"/>
              <w:left w:val="single" w:sz="4" w:space="0" w:color="000000"/>
              <w:bottom w:val="single" w:sz="4" w:space="0" w:color="000000"/>
              <w:right w:val="single" w:sz="4" w:space="0" w:color="000000"/>
            </w:tcBorders>
          </w:tcPr>
          <w:p w14:paraId="321DF8A1" w14:textId="77777777" w:rsidR="00784D05" w:rsidRPr="00FB280D" w:rsidRDefault="00784D05" w:rsidP="00707120">
            <w:pPr>
              <w:pStyle w:val="TextTi12"/>
              <w:spacing w:after="0" w:line="240" w:lineRule="auto"/>
              <w:jc w:val="center"/>
              <w:rPr>
                <w:sz w:val="22"/>
                <w:szCs w:val="22"/>
                <w:lang w:val="lv-LV"/>
              </w:rPr>
            </w:pPr>
            <w:r w:rsidRPr="00FB280D">
              <w:rPr>
                <w:sz w:val="22"/>
                <w:szCs w:val="22"/>
                <w:lang w:val="lv-LV"/>
              </w:rPr>
              <w:t>Placebo</w:t>
            </w:r>
          </w:p>
          <w:p w14:paraId="42D80AE9" w14:textId="23FC9734" w:rsidR="00784D05" w:rsidRPr="00FB280D" w:rsidRDefault="00784D05" w:rsidP="00707120">
            <w:pPr>
              <w:pStyle w:val="TextTi12"/>
              <w:spacing w:after="0" w:line="240" w:lineRule="auto"/>
              <w:jc w:val="center"/>
              <w:rPr>
                <w:sz w:val="22"/>
                <w:szCs w:val="22"/>
                <w:lang w:val="lv-LV"/>
              </w:rPr>
            </w:pPr>
            <w:del w:id="309" w:author="Author">
              <w:r w:rsidRPr="00FB280D" w:rsidDel="00717152">
                <w:rPr>
                  <w:sz w:val="22"/>
                  <w:szCs w:val="22"/>
                  <w:lang w:val="lv-LV"/>
                </w:rPr>
                <w:delText xml:space="preserve">N </w:delText>
              </w:r>
            </w:del>
            <w:ins w:id="310" w:author="Author">
              <w:r w:rsidR="00717152">
                <w:rPr>
                  <w:sz w:val="22"/>
                  <w:szCs w:val="22"/>
                  <w:lang w:val="lv-LV"/>
                </w:rPr>
                <w:t>n</w:t>
              </w:r>
            </w:ins>
            <w:r w:rsidRPr="00FB280D">
              <w:rPr>
                <w:sz w:val="22"/>
                <w:szCs w:val="22"/>
                <w:lang w:val="lv-LV"/>
              </w:rPr>
              <w:t>=</w:t>
            </w:r>
            <w:del w:id="311" w:author="Author">
              <w:r w:rsidRPr="00FB280D" w:rsidDel="00C05EDC">
                <w:rPr>
                  <w:sz w:val="22"/>
                  <w:szCs w:val="22"/>
                  <w:lang w:val="lv-LV"/>
                </w:rPr>
                <w:delText xml:space="preserve"> </w:delText>
              </w:r>
            </w:del>
            <w:r w:rsidRPr="00FB280D">
              <w:rPr>
                <w:sz w:val="22"/>
                <w:szCs w:val="22"/>
                <w:lang w:val="lv-LV"/>
              </w:rPr>
              <w:t>81</w:t>
            </w:r>
          </w:p>
        </w:tc>
      </w:tr>
      <w:tr w:rsidR="00784D05" w14:paraId="12F3A7D2" w14:textId="77777777" w:rsidTr="00707120">
        <w:tc>
          <w:tcPr>
            <w:tcW w:w="2704" w:type="dxa"/>
            <w:tcBorders>
              <w:top w:val="single" w:sz="4" w:space="0" w:color="000000"/>
              <w:left w:val="single" w:sz="4" w:space="0" w:color="000000"/>
              <w:bottom w:val="single" w:sz="4" w:space="0" w:color="000000"/>
            </w:tcBorders>
          </w:tcPr>
          <w:p w14:paraId="027401A8" w14:textId="7E454CD2" w:rsidR="00784D05" w:rsidRDefault="00784D05">
            <w:pPr>
              <w:pStyle w:val="TextTi12"/>
              <w:spacing w:after="0" w:line="240" w:lineRule="auto"/>
              <w:jc w:val="left"/>
              <w:rPr>
                <w:rFonts w:cs="Arial"/>
                <w:sz w:val="22"/>
                <w:szCs w:val="22"/>
                <w:lang w:val="en-GB"/>
              </w:rPr>
            </w:pPr>
            <w:r>
              <w:rPr>
                <w:sz w:val="22"/>
                <w:szCs w:val="22"/>
                <w:lang w:val="lv-LV"/>
              </w:rPr>
              <w:t>ACR</w:t>
            </w:r>
            <w:r w:rsidR="00CD68FA">
              <w:rPr>
                <w:sz w:val="22"/>
                <w:szCs w:val="22"/>
                <w:lang w:val="lv-LV"/>
              </w:rPr>
              <w:t> </w:t>
            </w:r>
            <w:r>
              <w:rPr>
                <w:sz w:val="22"/>
                <w:szCs w:val="22"/>
                <w:lang w:val="lv-LV"/>
              </w:rPr>
              <w:t>30</w:t>
            </w:r>
          </w:p>
        </w:tc>
        <w:tc>
          <w:tcPr>
            <w:tcW w:w="2204" w:type="dxa"/>
            <w:tcBorders>
              <w:top w:val="single" w:sz="4" w:space="0" w:color="000000"/>
              <w:left w:val="single" w:sz="4" w:space="0" w:color="000000"/>
              <w:bottom w:val="single" w:sz="4" w:space="0" w:color="000000"/>
              <w:right w:val="single" w:sz="4" w:space="0" w:color="000000"/>
            </w:tcBorders>
          </w:tcPr>
          <w:p w14:paraId="37703351" w14:textId="77777777" w:rsidR="00784D05" w:rsidRDefault="00784D05" w:rsidP="00707120">
            <w:pPr>
              <w:pStyle w:val="TextTi12"/>
              <w:spacing w:after="0" w:line="240" w:lineRule="auto"/>
              <w:jc w:val="center"/>
              <w:rPr>
                <w:sz w:val="22"/>
                <w:szCs w:val="22"/>
                <w:lang w:val="lv-LV"/>
              </w:rPr>
            </w:pPr>
            <w:r>
              <w:rPr>
                <w:rFonts w:cs="Arial"/>
                <w:sz w:val="22"/>
                <w:szCs w:val="22"/>
                <w:lang w:val="en-GB"/>
              </w:rPr>
              <w:t>74,4%*</w:t>
            </w:r>
          </w:p>
        </w:tc>
        <w:tc>
          <w:tcPr>
            <w:tcW w:w="2205" w:type="dxa"/>
            <w:tcBorders>
              <w:top w:val="single" w:sz="4" w:space="0" w:color="000000"/>
              <w:left w:val="single" w:sz="4" w:space="0" w:color="000000"/>
              <w:bottom w:val="single" w:sz="4" w:space="0" w:color="000000"/>
              <w:right w:val="single" w:sz="4" w:space="0" w:color="000000"/>
            </w:tcBorders>
          </w:tcPr>
          <w:p w14:paraId="666D877D" w14:textId="77777777" w:rsidR="00784D05" w:rsidRDefault="00784D05" w:rsidP="00707120">
            <w:pPr>
              <w:pStyle w:val="TextTi12"/>
              <w:spacing w:after="0" w:line="240" w:lineRule="auto"/>
              <w:jc w:val="center"/>
              <w:rPr>
                <w:rFonts w:cs="Arial"/>
                <w:sz w:val="22"/>
                <w:szCs w:val="22"/>
                <w:lang w:val="en-GB"/>
              </w:rPr>
            </w:pPr>
            <w:r>
              <w:rPr>
                <w:rFonts w:cs="Arial"/>
                <w:sz w:val="22"/>
                <w:szCs w:val="22"/>
                <w:lang w:val="en-GB"/>
              </w:rPr>
              <w:t>54,3%*</w:t>
            </w:r>
          </w:p>
        </w:tc>
      </w:tr>
      <w:tr w:rsidR="00784D05" w14:paraId="6428DB37" w14:textId="77777777" w:rsidTr="00707120">
        <w:tc>
          <w:tcPr>
            <w:tcW w:w="2704" w:type="dxa"/>
            <w:tcBorders>
              <w:top w:val="single" w:sz="4" w:space="0" w:color="000000"/>
              <w:left w:val="single" w:sz="4" w:space="0" w:color="000000"/>
              <w:bottom w:val="single" w:sz="4" w:space="0" w:color="000000"/>
            </w:tcBorders>
          </w:tcPr>
          <w:p w14:paraId="2879DBDD" w14:textId="43A10E46" w:rsidR="00784D05" w:rsidRDefault="00784D05">
            <w:pPr>
              <w:pStyle w:val="TextTi12"/>
              <w:spacing w:after="0" w:line="240" w:lineRule="auto"/>
              <w:jc w:val="left"/>
              <w:rPr>
                <w:rFonts w:cs="Arial"/>
                <w:sz w:val="22"/>
                <w:szCs w:val="22"/>
                <w:lang w:val="en-GB"/>
              </w:rPr>
            </w:pPr>
            <w:r>
              <w:rPr>
                <w:sz w:val="22"/>
                <w:szCs w:val="22"/>
                <w:lang w:val="lv-LV"/>
              </w:rPr>
              <w:t>ACR</w:t>
            </w:r>
            <w:r w:rsidR="00CD68FA">
              <w:rPr>
                <w:sz w:val="22"/>
                <w:szCs w:val="22"/>
                <w:lang w:val="lv-LV"/>
              </w:rPr>
              <w:t> </w:t>
            </w:r>
            <w:r>
              <w:rPr>
                <w:sz w:val="22"/>
                <w:szCs w:val="22"/>
                <w:lang w:val="lv-LV"/>
              </w:rPr>
              <w:t>50</w:t>
            </w:r>
          </w:p>
        </w:tc>
        <w:tc>
          <w:tcPr>
            <w:tcW w:w="2204" w:type="dxa"/>
            <w:tcBorders>
              <w:top w:val="single" w:sz="4" w:space="0" w:color="000000"/>
              <w:left w:val="single" w:sz="4" w:space="0" w:color="000000"/>
              <w:bottom w:val="single" w:sz="4" w:space="0" w:color="000000"/>
              <w:right w:val="single" w:sz="4" w:space="0" w:color="000000"/>
            </w:tcBorders>
          </w:tcPr>
          <w:p w14:paraId="65F46614" w14:textId="77777777" w:rsidR="00784D05" w:rsidRDefault="00784D05" w:rsidP="00707120">
            <w:pPr>
              <w:pStyle w:val="TextTi12"/>
              <w:spacing w:after="0" w:line="240" w:lineRule="auto"/>
              <w:jc w:val="center"/>
              <w:rPr>
                <w:sz w:val="22"/>
                <w:szCs w:val="22"/>
                <w:lang w:val="lv-LV"/>
              </w:rPr>
            </w:pPr>
            <w:r>
              <w:rPr>
                <w:rFonts w:cs="Arial"/>
                <w:sz w:val="22"/>
                <w:szCs w:val="22"/>
                <w:lang w:val="en-GB"/>
              </w:rPr>
              <w:t>73,2%*</w:t>
            </w:r>
          </w:p>
        </w:tc>
        <w:tc>
          <w:tcPr>
            <w:tcW w:w="2205" w:type="dxa"/>
            <w:tcBorders>
              <w:top w:val="single" w:sz="4" w:space="0" w:color="000000"/>
              <w:left w:val="single" w:sz="4" w:space="0" w:color="000000"/>
              <w:bottom w:val="single" w:sz="4" w:space="0" w:color="000000"/>
              <w:right w:val="single" w:sz="4" w:space="0" w:color="000000"/>
            </w:tcBorders>
          </w:tcPr>
          <w:p w14:paraId="6BFD0154" w14:textId="77777777" w:rsidR="00784D05" w:rsidRDefault="00784D05" w:rsidP="00707120">
            <w:pPr>
              <w:pStyle w:val="TextTi12"/>
              <w:spacing w:after="0" w:line="240" w:lineRule="auto"/>
              <w:jc w:val="center"/>
              <w:rPr>
                <w:rFonts w:cs="Arial"/>
                <w:sz w:val="22"/>
                <w:szCs w:val="22"/>
                <w:lang w:val="en-GB"/>
              </w:rPr>
            </w:pPr>
            <w:r>
              <w:rPr>
                <w:rFonts w:cs="Arial"/>
                <w:sz w:val="22"/>
                <w:szCs w:val="22"/>
                <w:lang w:val="en-GB"/>
              </w:rPr>
              <w:t>51,9%*</w:t>
            </w:r>
          </w:p>
        </w:tc>
      </w:tr>
      <w:tr w:rsidR="00784D05" w14:paraId="7B5F3640" w14:textId="77777777" w:rsidTr="00707120">
        <w:tc>
          <w:tcPr>
            <w:tcW w:w="2704" w:type="dxa"/>
            <w:tcBorders>
              <w:top w:val="single" w:sz="4" w:space="0" w:color="000000"/>
              <w:left w:val="single" w:sz="4" w:space="0" w:color="000000"/>
              <w:bottom w:val="single" w:sz="4" w:space="0" w:color="000000"/>
            </w:tcBorders>
          </w:tcPr>
          <w:p w14:paraId="0E6EB5CF" w14:textId="14AD622F" w:rsidR="00784D05" w:rsidRDefault="00784D05">
            <w:pPr>
              <w:pStyle w:val="TextTi12"/>
              <w:spacing w:after="0" w:line="240" w:lineRule="auto"/>
              <w:jc w:val="left"/>
              <w:rPr>
                <w:rFonts w:cs="Arial"/>
                <w:sz w:val="22"/>
                <w:szCs w:val="22"/>
                <w:lang w:val="en-GB"/>
              </w:rPr>
            </w:pPr>
            <w:r>
              <w:rPr>
                <w:sz w:val="22"/>
                <w:szCs w:val="22"/>
                <w:lang w:val="lv-LV"/>
              </w:rPr>
              <w:t>ACR</w:t>
            </w:r>
            <w:r w:rsidR="00CD68FA">
              <w:rPr>
                <w:sz w:val="22"/>
                <w:szCs w:val="22"/>
                <w:lang w:val="lv-LV"/>
              </w:rPr>
              <w:t> </w:t>
            </w:r>
            <w:r>
              <w:rPr>
                <w:sz w:val="22"/>
                <w:szCs w:val="22"/>
                <w:lang w:val="lv-LV"/>
              </w:rPr>
              <w:t>70</w:t>
            </w:r>
          </w:p>
        </w:tc>
        <w:tc>
          <w:tcPr>
            <w:tcW w:w="2204" w:type="dxa"/>
            <w:tcBorders>
              <w:top w:val="single" w:sz="4" w:space="0" w:color="000000"/>
              <w:left w:val="single" w:sz="4" w:space="0" w:color="000000"/>
              <w:bottom w:val="single" w:sz="4" w:space="0" w:color="000000"/>
              <w:right w:val="single" w:sz="4" w:space="0" w:color="000000"/>
            </w:tcBorders>
          </w:tcPr>
          <w:p w14:paraId="48417E18" w14:textId="77777777" w:rsidR="00784D05" w:rsidRDefault="00784D05" w:rsidP="00707120">
            <w:pPr>
              <w:pStyle w:val="TextTi12"/>
              <w:spacing w:after="0" w:line="240" w:lineRule="auto"/>
              <w:jc w:val="center"/>
              <w:rPr>
                <w:sz w:val="22"/>
                <w:szCs w:val="22"/>
                <w:lang w:val="lv-LV"/>
              </w:rPr>
            </w:pPr>
            <w:r>
              <w:rPr>
                <w:rFonts w:cs="Arial"/>
                <w:sz w:val="22"/>
                <w:szCs w:val="22"/>
                <w:lang w:val="en-GB"/>
              </w:rPr>
              <w:t>64,6%*</w:t>
            </w:r>
          </w:p>
        </w:tc>
        <w:tc>
          <w:tcPr>
            <w:tcW w:w="2205" w:type="dxa"/>
            <w:tcBorders>
              <w:top w:val="single" w:sz="4" w:space="0" w:color="000000"/>
              <w:left w:val="single" w:sz="4" w:space="0" w:color="000000"/>
              <w:bottom w:val="single" w:sz="4" w:space="0" w:color="000000"/>
              <w:right w:val="single" w:sz="4" w:space="0" w:color="000000"/>
            </w:tcBorders>
          </w:tcPr>
          <w:p w14:paraId="138F4BE4" w14:textId="77777777" w:rsidR="00784D05" w:rsidRDefault="00784D05" w:rsidP="00707120">
            <w:pPr>
              <w:pStyle w:val="TextTi12"/>
              <w:spacing w:after="0" w:line="240" w:lineRule="auto"/>
              <w:jc w:val="center"/>
              <w:rPr>
                <w:rFonts w:cs="Arial"/>
                <w:sz w:val="22"/>
                <w:szCs w:val="22"/>
                <w:lang w:val="en-GB"/>
              </w:rPr>
            </w:pPr>
            <w:r>
              <w:rPr>
                <w:rFonts w:cs="Arial"/>
                <w:sz w:val="22"/>
                <w:szCs w:val="22"/>
                <w:lang w:val="en-GB"/>
              </w:rPr>
              <w:t>42,0%*</w:t>
            </w:r>
          </w:p>
        </w:tc>
      </w:tr>
    </w:tbl>
    <w:p w14:paraId="0EB13FF2" w14:textId="5A9C54E1" w:rsidR="00784D05" w:rsidRPr="00707120" w:rsidRDefault="00784D05">
      <w:pPr>
        <w:ind w:right="-2"/>
        <w:rPr>
          <w:sz w:val="18"/>
          <w:szCs w:val="18"/>
          <w:lang w:val="pt-PT"/>
        </w:rPr>
      </w:pPr>
      <w:r w:rsidRPr="00707120">
        <w:rPr>
          <w:sz w:val="18"/>
          <w:szCs w:val="18"/>
          <w:lang w:val="pt-PT"/>
        </w:rPr>
        <w:t>* p</w:t>
      </w:r>
      <w:r w:rsidR="00CD68FA" w:rsidRPr="00707120">
        <w:rPr>
          <w:sz w:val="18"/>
          <w:szCs w:val="18"/>
          <w:lang w:val="pt-PT"/>
        </w:rPr>
        <w:t> ˂ </w:t>
      </w:r>
      <w:r w:rsidRPr="00707120">
        <w:rPr>
          <w:sz w:val="18"/>
          <w:szCs w:val="18"/>
          <w:lang w:val="pt-PT"/>
        </w:rPr>
        <w:t>0,01, tocilizumabs, salīdzinot ar placebo.</w:t>
      </w:r>
    </w:p>
    <w:p w14:paraId="40EEE2C8" w14:textId="77777777" w:rsidR="00784D05" w:rsidRPr="00707120" w:rsidRDefault="00784D05">
      <w:pPr>
        <w:ind w:right="-2"/>
        <w:rPr>
          <w:lang w:val="pt-PT"/>
        </w:rPr>
      </w:pPr>
    </w:p>
    <w:p w14:paraId="277EF184" w14:textId="5B527672" w:rsidR="00784D05" w:rsidRDefault="00784D05">
      <w:pPr>
        <w:rPr>
          <w:rFonts w:eastAsia="SimSun"/>
          <w:szCs w:val="22"/>
          <w:lang w:val="lv-LV"/>
        </w:rPr>
      </w:pPr>
      <w:r>
        <w:rPr>
          <w:rFonts w:eastAsia="SimSun"/>
          <w:szCs w:val="22"/>
          <w:lang w:val="lv-LV"/>
        </w:rPr>
        <w:t xml:space="preserve">Pacientiem, kuri saņēma tocilizumabu, aktīvas slimības skarto locītavu skaits bija nozīmīgi mazāks nekā placebo grupā (koriģētā vidējā rādītāja izmaiņas </w:t>
      </w:r>
      <w:r w:rsidR="00CD68FA">
        <w:rPr>
          <w:rFonts w:eastAsia="SimSun"/>
          <w:szCs w:val="22"/>
          <w:lang w:val="lv-LV"/>
        </w:rPr>
        <w:noBreakHyphen/>
      </w:r>
      <w:r>
        <w:rPr>
          <w:rFonts w:eastAsia="SimSun"/>
          <w:szCs w:val="22"/>
          <w:lang w:val="lv-LV"/>
        </w:rPr>
        <w:t xml:space="preserve">14,3, salīdzinot ar </w:t>
      </w:r>
      <w:r w:rsidR="00CD68FA">
        <w:rPr>
          <w:rFonts w:eastAsia="SimSun"/>
          <w:szCs w:val="22"/>
          <w:lang w:val="lv-LV"/>
        </w:rPr>
        <w:noBreakHyphen/>
      </w:r>
      <w:r>
        <w:rPr>
          <w:rFonts w:eastAsia="SimSun"/>
          <w:szCs w:val="22"/>
          <w:lang w:val="lv-LV"/>
        </w:rPr>
        <w:t>11,4, p</w:t>
      </w:r>
      <w:r w:rsidR="00CD68FA">
        <w:rPr>
          <w:rFonts w:eastAsia="SimSun"/>
          <w:szCs w:val="22"/>
          <w:lang w:val="lv-LV"/>
        </w:rPr>
        <w:t> </w:t>
      </w:r>
      <w:r>
        <w:rPr>
          <w:rFonts w:eastAsia="SimSun"/>
          <w:szCs w:val="22"/>
          <w:lang w:val="lv-LV"/>
        </w:rPr>
        <w:t>=</w:t>
      </w:r>
      <w:r w:rsidR="00CD68FA">
        <w:rPr>
          <w:rFonts w:eastAsia="SimSun"/>
          <w:szCs w:val="22"/>
          <w:lang w:val="lv-LV"/>
        </w:rPr>
        <w:t> </w:t>
      </w:r>
      <w:r>
        <w:rPr>
          <w:rFonts w:eastAsia="SimSun"/>
          <w:szCs w:val="22"/>
          <w:lang w:val="lv-LV"/>
        </w:rPr>
        <w:t xml:space="preserve">0,0435). Ārsta vispārējais slimības aktivitātes vērtējums pēc 0–100 mm skalas liecināja par lielāku slimības aktivitātes samazināšanos tocilizumaba lietotājiem, salīdzinot ar placebo lietotājiem (koriģētā vidējā rādītāja izmaiņas </w:t>
      </w:r>
      <w:r w:rsidR="00CD68FA">
        <w:rPr>
          <w:rFonts w:eastAsia="SimSun"/>
          <w:szCs w:val="22"/>
          <w:lang w:val="lv-LV"/>
        </w:rPr>
        <w:noBreakHyphen/>
      </w:r>
      <w:r>
        <w:rPr>
          <w:rFonts w:eastAsia="SimSun"/>
          <w:szCs w:val="22"/>
          <w:lang w:val="lv-LV"/>
        </w:rPr>
        <w:t xml:space="preserve">45,2 mm, salīdzinot ar </w:t>
      </w:r>
      <w:r w:rsidR="00CD68FA">
        <w:rPr>
          <w:rFonts w:eastAsia="SimSun"/>
          <w:szCs w:val="22"/>
          <w:lang w:val="lv-LV"/>
        </w:rPr>
        <w:noBreakHyphen/>
      </w:r>
      <w:r>
        <w:rPr>
          <w:rFonts w:eastAsia="SimSun"/>
          <w:szCs w:val="22"/>
          <w:lang w:val="lv-LV"/>
        </w:rPr>
        <w:t>35,3 mm, p</w:t>
      </w:r>
      <w:r w:rsidR="00CD68FA">
        <w:rPr>
          <w:rFonts w:eastAsia="SimSun"/>
          <w:szCs w:val="22"/>
          <w:lang w:val="lv-LV"/>
        </w:rPr>
        <w:t> </w:t>
      </w:r>
      <w:r>
        <w:rPr>
          <w:rFonts w:eastAsia="SimSun"/>
          <w:szCs w:val="22"/>
          <w:lang w:val="lv-LV"/>
        </w:rPr>
        <w:t>=</w:t>
      </w:r>
      <w:r w:rsidR="00CD68FA">
        <w:rPr>
          <w:rFonts w:eastAsia="SimSun"/>
          <w:szCs w:val="22"/>
          <w:lang w:val="lv-LV"/>
        </w:rPr>
        <w:t> </w:t>
      </w:r>
      <w:r>
        <w:rPr>
          <w:rFonts w:eastAsia="SimSun"/>
          <w:szCs w:val="22"/>
          <w:lang w:val="lv-LV"/>
        </w:rPr>
        <w:t>0,0031).</w:t>
      </w:r>
    </w:p>
    <w:p w14:paraId="4C042D25" w14:textId="77777777" w:rsidR="00784D05" w:rsidRDefault="00784D05">
      <w:pPr>
        <w:rPr>
          <w:rFonts w:eastAsia="SimSun"/>
          <w:szCs w:val="22"/>
          <w:lang w:val="lv-LV"/>
        </w:rPr>
      </w:pPr>
    </w:p>
    <w:p w14:paraId="5744B643" w14:textId="0596DABE" w:rsidR="00784D05" w:rsidRDefault="00784D05">
      <w:pPr>
        <w:rPr>
          <w:rFonts w:eastAsia="SimSun"/>
          <w:lang w:val="lv-LV"/>
        </w:rPr>
      </w:pPr>
      <w:r>
        <w:rPr>
          <w:rFonts w:eastAsia="SimSun"/>
          <w:lang w:val="lv-LV"/>
        </w:rPr>
        <w:t>Koriģētā vidējā rādītāja izmaiņas sāpju VAS pēc 40</w:t>
      </w:r>
      <w:r w:rsidR="00CD68FA">
        <w:rPr>
          <w:rFonts w:eastAsia="SimSun"/>
          <w:lang w:val="lv-LV"/>
        </w:rPr>
        <w:t> </w:t>
      </w:r>
      <w:r>
        <w:rPr>
          <w:rFonts w:eastAsia="SimSun"/>
          <w:lang w:val="lv-LV"/>
        </w:rPr>
        <w:t xml:space="preserve">nedēļu ārstēšanas ar </w:t>
      </w:r>
      <w:r>
        <w:rPr>
          <w:rFonts w:eastAsia="SimSun"/>
          <w:szCs w:val="22"/>
          <w:lang w:val="lv-LV"/>
        </w:rPr>
        <w:t>tocilizumabu</w:t>
      </w:r>
      <w:r>
        <w:rPr>
          <w:rFonts w:eastAsia="SimSun"/>
          <w:lang w:val="lv-LV"/>
        </w:rPr>
        <w:t xml:space="preserve"> bija 32,4 mm 0</w:t>
      </w:r>
      <w:r>
        <w:rPr>
          <w:rFonts w:eastAsia="SimSun"/>
          <w:lang w:val="lv-LV"/>
        </w:rPr>
        <w:noBreakHyphen/>
        <w:t>100 mm skalā, salīdzinot ar 22,3 mm samazināšanos placebo lietojušiem pacientiem (liela statistiskā ticamība; p</w:t>
      </w:r>
      <w:r w:rsidR="00CD68FA">
        <w:rPr>
          <w:rFonts w:eastAsia="SimSun"/>
          <w:lang w:val="lv-LV"/>
        </w:rPr>
        <w:t> </w:t>
      </w:r>
      <w:r>
        <w:rPr>
          <w:rFonts w:eastAsia="SimSun"/>
          <w:lang w:val="lv-LV"/>
        </w:rPr>
        <w:t>=</w:t>
      </w:r>
      <w:r w:rsidR="00CD68FA">
        <w:rPr>
          <w:rFonts w:eastAsia="SimSun"/>
          <w:lang w:val="lv-LV"/>
        </w:rPr>
        <w:t> </w:t>
      </w:r>
      <w:r>
        <w:rPr>
          <w:rFonts w:eastAsia="SimSun"/>
          <w:lang w:val="lv-LV"/>
        </w:rPr>
        <w:t xml:space="preserve">0,0076). </w:t>
      </w:r>
    </w:p>
    <w:p w14:paraId="02110FAC" w14:textId="77777777" w:rsidR="00784D05" w:rsidRDefault="00784D05">
      <w:pPr>
        <w:rPr>
          <w:szCs w:val="22"/>
          <w:lang w:val="lv-LV"/>
        </w:rPr>
      </w:pPr>
    </w:p>
    <w:p w14:paraId="6392D91A" w14:textId="6BF0E901" w:rsidR="00784D05" w:rsidRDefault="00784D05">
      <w:pPr>
        <w:rPr>
          <w:rFonts w:cs="Arial"/>
          <w:lang w:val="lv-LV"/>
        </w:rPr>
      </w:pPr>
      <w:r>
        <w:rPr>
          <w:rFonts w:cs="Arial"/>
          <w:lang w:val="lv-LV"/>
        </w:rPr>
        <w:t xml:space="preserve">Kā parādīts turpmāk </w:t>
      </w:r>
      <w:r w:rsidR="003B3144">
        <w:rPr>
          <w:rFonts w:cs="Arial"/>
          <w:lang w:val="lv-LV"/>
        </w:rPr>
        <w:t>10</w:t>
      </w:r>
      <w:r>
        <w:rPr>
          <w:rFonts w:cs="Arial"/>
          <w:lang w:val="lv-LV"/>
        </w:rPr>
        <w:t>. tabulā, ACR atbildes reakcijas rādītājs bija skaitliski mazāks pacientiem, kas bija iepriekš ārstēti ar bioloģiskajām zālēm.</w:t>
      </w:r>
    </w:p>
    <w:p w14:paraId="092F4D54" w14:textId="7FC0C9CB" w:rsidR="00784D05" w:rsidRDefault="00784D05">
      <w:pPr>
        <w:rPr>
          <w:rFonts w:cs="Arial"/>
          <w:lang w:val="lv-LV"/>
        </w:rPr>
      </w:pPr>
    </w:p>
    <w:p w14:paraId="6FC8B1FF" w14:textId="2C2BF5B0" w:rsidR="00784D05" w:rsidRDefault="003B3144">
      <w:pPr>
        <w:keepNext/>
        <w:keepLines/>
        <w:rPr>
          <w:rFonts w:eastAsia="MS Mincho" w:cs="Arial"/>
          <w:lang w:val="lv-LV"/>
        </w:rPr>
      </w:pPr>
      <w:r>
        <w:rPr>
          <w:rFonts w:eastAsia="Arial" w:cs="Arial"/>
          <w:bCs/>
          <w:i/>
          <w:lang w:val="lv-LV"/>
        </w:rPr>
        <w:t>10</w:t>
      </w:r>
      <w:r w:rsidR="00784D05">
        <w:rPr>
          <w:rFonts w:eastAsia="Arial" w:cs="Arial"/>
          <w:bCs/>
          <w:i/>
          <w:lang w:val="lv-LV"/>
        </w:rPr>
        <w:t>. tabula. Pacientu, kuriem bija J</w:t>
      </w:r>
      <w:r w:rsidR="00784D05">
        <w:rPr>
          <w:rFonts w:eastAsia="Arial" w:cs="Arial"/>
          <w:bCs/>
          <w:i/>
          <w:spacing w:val="3"/>
          <w:lang w:val="lv-LV"/>
        </w:rPr>
        <w:t>I</w:t>
      </w:r>
      <w:r w:rsidR="00784D05">
        <w:rPr>
          <w:rFonts w:eastAsia="Arial" w:cs="Arial"/>
          <w:bCs/>
          <w:i/>
          <w:lang w:val="lv-LV"/>
        </w:rPr>
        <w:t>A</w:t>
      </w:r>
      <w:r w:rsidR="00784D05">
        <w:rPr>
          <w:rFonts w:eastAsia="Arial" w:cs="Arial"/>
          <w:bCs/>
          <w:i/>
          <w:spacing w:val="-6"/>
          <w:lang w:val="lv-LV"/>
        </w:rPr>
        <w:t xml:space="preserve"> </w:t>
      </w:r>
      <w:r w:rsidR="00784D05">
        <w:rPr>
          <w:rFonts w:eastAsia="Arial" w:cs="Arial"/>
          <w:bCs/>
          <w:i/>
          <w:spacing w:val="-5"/>
          <w:lang w:val="lv-LV"/>
        </w:rPr>
        <w:t>A</w:t>
      </w:r>
      <w:r w:rsidR="00784D05">
        <w:rPr>
          <w:rFonts w:eastAsia="Arial" w:cs="Arial"/>
          <w:bCs/>
          <w:i/>
          <w:spacing w:val="2"/>
          <w:lang w:val="lv-LV"/>
        </w:rPr>
        <w:t>C</w:t>
      </w:r>
      <w:r w:rsidR="00784D05">
        <w:rPr>
          <w:rFonts w:eastAsia="Arial" w:cs="Arial"/>
          <w:bCs/>
          <w:i/>
          <w:lang w:val="lv-LV"/>
        </w:rPr>
        <w:t>R</w:t>
      </w:r>
      <w:r w:rsidR="00CD68FA">
        <w:rPr>
          <w:rFonts w:eastAsia="Arial" w:cs="Arial"/>
          <w:bCs/>
          <w:i/>
          <w:lang w:val="lv-LV"/>
        </w:rPr>
        <w:t> </w:t>
      </w:r>
      <w:r w:rsidR="00784D05">
        <w:rPr>
          <w:rFonts w:eastAsia="Arial" w:cs="Arial"/>
          <w:bCs/>
          <w:i/>
          <w:lang w:val="lv-LV"/>
        </w:rPr>
        <w:t>30</w:t>
      </w:r>
      <w:r w:rsidR="00784D05">
        <w:rPr>
          <w:rFonts w:eastAsia="Arial" w:cs="Arial"/>
          <w:bCs/>
          <w:i/>
          <w:spacing w:val="-7"/>
          <w:lang w:val="lv-LV"/>
        </w:rPr>
        <w:t xml:space="preserve"> </w:t>
      </w:r>
      <w:r w:rsidR="00784D05">
        <w:rPr>
          <w:rFonts w:eastAsia="Arial" w:cs="Arial"/>
          <w:bCs/>
          <w:i/>
          <w:lang w:val="lv-LV"/>
        </w:rPr>
        <w:t xml:space="preserve">uzliesmojums, skaits un īpatsvars, un pacientu ar </w:t>
      </w:r>
      <w:r w:rsidR="00784D05">
        <w:rPr>
          <w:rFonts w:eastAsia="Arial" w:cs="Arial"/>
          <w:bCs/>
          <w:i/>
          <w:spacing w:val="1"/>
          <w:lang w:val="lv-LV"/>
        </w:rPr>
        <w:t>J</w:t>
      </w:r>
      <w:r w:rsidR="00784D05">
        <w:rPr>
          <w:rFonts w:eastAsia="Arial" w:cs="Arial"/>
          <w:bCs/>
          <w:i/>
          <w:spacing w:val="3"/>
          <w:lang w:val="lv-LV"/>
        </w:rPr>
        <w:t>I</w:t>
      </w:r>
      <w:r w:rsidR="00784D05">
        <w:rPr>
          <w:rFonts w:eastAsia="Arial" w:cs="Arial"/>
          <w:bCs/>
          <w:i/>
          <w:lang w:val="lv-LV"/>
        </w:rPr>
        <w:t>A</w:t>
      </w:r>
      <w:r w:rsidR="00784D05">
        <w:rPr>
          <w:rFonts w:eastAsia="Arial" w:cs="Arial"/>
          <w:bCs/>
          <w:i/>
          <w:spacing w:val="-6"/>
          <w:lang w:val="lv-LV"/>
        </w:rPr>
        <w:t xml:space="preserve"> </w:t>
      </w:r>
      <w:r w:rsidR="00784D05">
        <w:rPr>
          <w:rFonts w:eastAsia="Arial" w:cs="Arial"/>
          <w:bCs/>
          <w:i/>
          <w:spacing w:val="-5"/>
          <w:lang w:val="lv-LV"/>
        </w:rPr>
        <w:t>A</w:t>
      </w:r>
      <w:r w:rsidR="00784D05">
        <w:rPr>
          <w:rFonts w:eastAsia="Arial" w:cs="Arial"/>
          <w:bCs/>
          <w:i/>
          <w:spacing w:val="2"/>
          <w:lang w:val="lv-LV"/>
        </w:rPr>
        <w:t>C</w:t>
      </w:r>
      <w:r w:rsidR="00784D05">
        <w:rPr>
          <w:rFonts w:eastAsia="Arial" w:cs="Arial"/>
          <w:bCs/>
          <w:i/>
          <w:lang w:val="lv-LV"/>
        </w:rPr>
        <w:t>R</w:t>
      </w:r>
      <w:r w:rsidR="00CD68FA">
        <w:rPr>
          <w:rFonts w:eastAsia="Arial" w:cs="Arial"/>
          <w:bCs/>
          <w:i/>
          <w:lang w:val="lv-LV"/>
        </w:rPr>
        <w:t> </w:t>
      </w:r>
      <w:r w:rsidR="00784D05">
        <w:rPr>
          <w:rFonts w:eastAsia="Arial" w:cs="Arial"/>
          <w:bCs/>
          <w:i/>
          <w:spacing w:val="1"/>
          <w:lang w:val="lv-LV"/>
        </w:rPr>
        <w:t>30/</w:t>
      </w:r>
      <w:r w:rsidR="00784D05">
        <w:rPr>
          <w:rFonts w:eastAsia="Arial" w:cs="Arial"/>
          <w:bCs/>
          <w:i/>
          <w:spacing w:val="-1"/>
          <w:lang w:val="lv-LV"/>
        </w:rPr>
        <w:t>5</w:t>
      </w:r>
      <w:r w:rsidR="00784D05">
        <w:rPr>
          <w:rFonts w:eastAsia="Arial" w:cs="Arial"/>
          <w:bCs/>
          <w:i/>
          <w:spacing w:val="1"/>
          <w:lang w:val="lv-LV"/>
        </w:rPr>
        <w:t>0/7</w:t>
      </w:r>
      <w:r w:rsidR="00784D05">
        <w:rPr>
          <w:rFonts w:eastAsia="Arial" w:cs="Arial"/>
          <w:bCs/>
          <w:i/>
          <w:spacing w:val="-1"/>
          <w:lang w:val="lv-LV"/>
        </w:rPr>
        <w:t>0</w:t>
      </w:r>
      <w:r w:rsidR="00784D05">
        <w:rPr>
          <w:rFonts w:eastAsia="Arial" w:cs="Arial"/>
          <w:bCs/>
          <w:i/>
          <w:spacing w:val="1"/>
          <w:lang w:val="lv-LV"/>
        </w:rPr>
        <w:t>/9</w:t>
      </w:r>
      <w:r w:rsidR="00784D05">
        <w:rPr>
          <w:rFonts w:eastAsia="Arial" w:cs="Arial"/>
          <w:bCs/>
          <w:i/>
          <w:lang w:val="lv-LV"/>
        </w:rPr>
        <w:t>0</w:t>
      </w:r>
      <w:r w:rsidR="00784D05">
        <w:rPr>
          <w:rFonts w:eastAsia="Arial" w:cs="Arial"/>
          <w:bCs/>
          <w:i/>
          <w:spacing w:val="-19"/>
          <w:lang w:val="lv-LV"/>
        </w:rPr>
        <w:t xml:space="preserve"> </w:t>
      </w:r>
      <w:r w:rsidR="00784D05">
        <w:rPr>
          <w:rFonts w:eastAsia="Arial" w:cs="Arial"/>
          <w:bCs/>
          <w:i/>
          <w:lang w:val="lv-LV"/>
        </w:rPr>
        <w:t xml:space="preserve">atbildes reakciju </w:t>
      </w:r>
      <w:r w:rsidR="00784D05">
        <w:rPr>
          <w:rFonts w:eastAsia="Arial" w:cs="Arial"/>
          <w:bCs/>
          <w:i/>
          <w:spacing w:val="1"/>
          <w:lang w:val="lv-LV"/>
        </w:rPr>
        <w:t>4</w:t>
      </w:r>
      <w:r w:rsidR="00784D05">
        <w:rPr>
          <w:rFonts w:eastAsia="Arial" w:cs="Arial"/>
          <w:bCs/>
          <w:i/>
          <w:spacing w:val="-1"/>
          <w:lang w:val="lv-LV"/>
        </w:rPr>
        <w:t>0. nedēļā</w:t>
      </w:r>
      <w:r w:rsidR="00784D05">
        <w:rPr>
          <w:rFonts w:eastAsia="Arial" w:cs="Arial"/>
          <w:bCs/>
          <w:i/>
          <w:spacing w:val="-2"/>
          <w:lang w:val="lv-LV"/>
        </w:rPr>
        <w:t xml:space="preserve"> īpatsvars atkarībā no iepriekšējas </w:t>
      </w:r>
      <w:r w:rsidR="00784D05">
        <w:rPr>
          <w:rFonts w:eastAsia="Arial" w:cs="Arial"/>
          <w:bCs/>
          <w:i/>
          <w:spacing w:val="2"/>
          <w:lang w:val="lv-LV"/>
        </w:rPr>
        <w:t xml:space="preserve">bioloģisko zāļu lietošanas </w:t>
      </w:r>
      <w:r w:rsidR="00784D05">
        <w:rPr>
          <w:rFonts w:eastAsia="Arial" w:cs="Arial"/>
          <w:bCs/>
          <w:i/>
          <w:lang w:val="lv-LV"/>
        </w:rPr>
        <w:t>(</w:t>
      </w:r>
      <w:r w:rsidR="00784D05">
        <w:rPr>
          <w:rFonts w:eastAsia="Arial" w:cs="Arial"/>
          <w:bCs/>
          <w:i/>
          <w:spacing w:val="-2"/>
          <w:lang w:val="lv-LV"/>
        </w:rPr>
        <w:t xml:space="preserve">ārstēt paredzēto pacientu populācija </w:t>
      </w:r>
      <w:r w:rsidR="00784D05">
        <w:rPr>
          <w:rFonts w:eastAsia="Arial" w:cs="Arial"/>
          <w:bCs/>
          <w:i/>
          <w:lang w:val="lv-LV"/>
        </w:rPr>
        <w:t>–</w:t>
      </w:r>
      <w:r w:rsidR="00784D05">
        <w:rPr>
          <w:rFonts w:eastAsia="Arial" w:cs="Arial"/>
          <w:bCs/>
          <w:i/>
          <w:spacing w:val="-1"/>
          <w:lang w:val="lv-LV"/>
        </w:rPr>
        <w:t xml:space="preserve"> </w:t>
      </w:r>
      <w:ins w:id="312" w:author="Author">
        <w:r w:rsidR="00BB1145">
          <w:rPr>
            <w:rFonts w:eastAsia="Arial" w:cs="Arial"/>
            <w:bCs/>
            <w:i/>
            <w:lang w:val="lv-LV"/>
          </w:rPr>
          <w:t>p</w:t>
        </w:r>
      </w:ins>
      <w:del w:id="313" w:author="Author">
        <w:r w:rsidR="00784D05" w:rsidDel="00BB1145">
          <w:rPr>
            <w:rFonts w:eastAsia="Arial" w:cs="Arial"/>
            <w:bCs/>
            <w:i/>
            <w:lang w:val="lv-LV"/>
          </w:rPr>
          <w:delText>P</w:delText>
        </w:r>
      </w:del>
      <w:r w:rsidR="00784D05">
        <w:rPr>
          <w:rFonts w:eastAsia="Arial" w:cs="Arial"/>
          <w:bCs/>
          <w:i/>
          <w:lang w:val="lv-LV"/>
        </w:rPr>
        <w:t>ētījuma 2. daļa)</w:t>
      </w:r>
    </w:p>
    <w:p w14:paraId="01617EF9" w14:textId="77777777" w:rsidR="00784D05" w:rsidRDefault="00784D05">
      <w:pPr>
        <w:keepNext/>
        <w:keepLines/>
        <w:rPr>
          <w:rFonts w:eastAsia="MS Mincho" w:cs="Arial"/>
          <w:lang w:val="lv-LV"/>
        </w:rPr>
      </w:pPr>
    </w:p>
    <w:tbl>
      <w:tblPr>
        <w:tblW w:w="9062" w:type="dxa"/>
        <w:tblInd w:w="5" w:type="dxa"/>
        <w:tblLayout w:type="fixed"/>
        <w:tblCellMar>
          <w:left w:w="0" w:type="dxa"/>
          <w:right w:w="0" w:type="dxa"/>
        </w:tblCellMar>
        <w:tblLook w:val="0000" w:firstRow="0" w:lastRow="0" w:firstColumn="0" w:lastColumn="0" w:noHBand="0" w:noVBand="0"/>
      </w:tblPr>
      <w:tblGrid>
        <w:gridCol w:w="2542"/>
        <w:gridCol w:w="1368"/>
        <w:gridCol w:w="1615"/>
        <w:gridCol w:w="1613"/>
        <w:gridCol w:w="1924"/>
      </w:tblGrid>
      <w:tr w:rsidR="00784D05" w:rsidRPr="00FB280D" w14:paraId="64D79FE8" w14:textId="77777777" w:rsidTr="00707120">
        <w:tc>
          <w:tcPr>
            <w:tcW w:w="2542" w:type="dxa"/>
            <w:tcBorders>
              <w:top w:val="single" w:sz="4" w:space="0" w:color="000000"/>
              <w:left w:val="single" w:sz="4" w:space="0" w:color="000000"/>
              <w:bottom w:val="single" w:sz="4" w:space="0" w:color="000000"/>
            </w:tcBorders>
          </w:tcPr>
          <w:p w14:paraId="1450C956" w14:textId="77777777" w:rsidR="00784D05" w:rsidRPr="00707120" w:rsidRDefault="00784D05" w:rsidP="00CD68FA">
            <w:pPr>
              <w:keepNext/>
              <w:keepLines/>
              <w:snapToGrid w:val="0"/>
              <w:rPr>
                <w:szCs w:val="22"/>
                <w:lang w:val="lv-LV"/>
              </w:rPr>
            </w:pPr>
          </w:p>
        </w:tc>
        <w:tc>
          <w:tcPr>
            <w:tcW w:w="2983" w:type="dxa"/>
            <w:gridSpan w:val="2"/>
            <w:tcBorders>
              <w:top w:val="single" w:sz="4" w:space="0" w:color="000000"/>
              <w:left w:val="single" w:sz="4" w:space="0" w:color="000000"/>
              <w:bottom w:val="single" w:sz="4" w:space="0" w:color="000000"/>
            </w:tcBorders>
          </w:tcPr>
          <w:p w14:paraId="7A48A887" w14:textId="77777777" w:rsidR="00784D05" w:rsidRPr="00707120" w:rsidRDefault="00784D05" w:rsidP="00CD68FA">
            <w:pPr>
              <w:keepNext/>
              <w:keepLines/>
              <w:spacing w:before="51"/>
              <w:ind w:left="1069" w:right="-20"/>
              <w:rPr>
                <w:rFonts w:eastAsia="Arial" w:cs="Arial"/>
                <w:b/>
                <w:bCs/>
                <w:spacing w:val="-5"/>
                <w:szCs w:val="22"/>
              </w:rPr>
            </w:pPr>
            <w:r w:rsidRPr="00707120">
              <w:rPr>
                <w:rFonts w:eastAsia="Arial" w:cs="Arial"/>
                <w:b/>
                <w:bCs/>
                <w:spacing w:val="-1"/>
                <w:szCs w:val="22"/>
              </w:rPr>
              <w:t>P</w:t>
            </w:r>
            <w:r w:rsidRPr="00707120">
              <w:rPr>
                <w:rFonts w:eastAsia="Arial" w:cs="Arial"/>
                <w:b/>
                <w:bCs/>
                <w:spacing w:val="2"/>
                <w:szCs w:val="22"/>
              </w:rPr>
              <w:t>l</w:t>
            </w:r>
            <w:r w:rsidRPr="00707120">
              <w:rPr>
                <w:rFonts w:eastAsia="Arial" w:cs="Arial"/>
                <w:b/>
                <w:bCs/>
                <w:szCs w:val="22"/>
              </w:rPr>
              <w:t>ace</w:t>
            </w:r>
            <w:r w:rsidRPr="00707120">
              <w:rPr>
                <w:rFonts w:eastAsia="Arial" w:cs="Arial"/>
                <w:b/>
                <w:bCs/>
                <w:spacing w:val="1"/>
                <w:szCs w:val="22"/>
              </w:rPr>
              <w:t>b</w:t>
            </w:r>
            <w:r w:rsidRPr="00707120">
              <w:rPr>
                <w:rFonts w:eastAsia="Arial" w:cs="Arial"/>
                <w:b/>
                <w:bCs/>
                <w:szCs w:val="22"/>
              </w:rPr>
              <w:t>o</w:t>
            </w:r>
          </w:p>
        </w:tc>
        <w:tc>
          <w:tcPr>
            <w:tcW w:w="3537" w:type="dxa"/>
            <w:gridSpan w:val="2"/>
            <w:tcBorders>
              <w:top w:val="single" w:sz="4" w:space="0" w:color="000000"/>
              <w:left w:val="single" w:sz="4" w:space="0" w:color="000000"/>
              <w:bottom w:val="single" w:sz="4" w:space="0" w:color="000000"/>
              <w:right w:val="single" w:sz="4" w:space="0" w:color="000000"/>
            </w:tcBorders>
          </w:tcPr>
          <w:p w14:paraId="507648E7" w14:textId="77777777" w:rsidR="00784D05" w:rsidRPr="00707120" w:rsidRDefault="00784D05" w:rsidP="00CD68FA">
            <w:pPr>
              <w:keepNext/>
              <w:keepLines/>
              <w:spacing w:before="51"/>
              <w:ind w:left="1222" w:right="1205"/>
              <w:jc w:val="center"/>
              <w:rPr>
                <w:rFonts w:eastAsia="Arial" w:cs="Arial"/>
                <w:b/>
                <w:bCs/>
                <w:szCs w:val="22"/>
              </w:rPr>
            </w:pPr>
            <w:r w:rsidRPr="00707120">
              <w:rPr>
                <w:rFonts w:eastAsia="Arial" w:cs="Arial"/>
                <w:b/>
                <w:bCs/>
                <w:spacing w:val="-5"/>
                <w:szCs w:val="22"/>
              </w:rPr>
              <w:t>Visi TCZ</w:t>
            </w:r>
          </w:p>
        </w:tc>
      </w:tr>
      <w:tr w:rsidR="00784D05" w:rsidRPr="00FB280D" w14:paraId="44A2C280" w14:textId="77777777" w:rsidTr="00707120">
        <w:tc>
          <w:tcPr>
            <w:tcW w:w="2542" w:type="dxa"/>
            <w:tcBorders>
              <w:top w:val="single" w:sz="4" w:space="0" w:color="000000"/>
              <w:left w:val="single" w:sz="4" w:space="0" w:color="000000"/>
              <w:bottom w:val="single" w:sz="4" w:space="0" w:color="000000"/>
            </w:tcBorders>
          </w:tcPr>
          <w:p w14:paraId="3F1E66E4" w14:textId="77777777" w:rsidR="00784D05" w:rsidRPr="00707120" w:rsidRDefault="00784D05" w:rsidP="00CD68FA">
            <w:pPr>
              <w:keepNext/>
              <w:keepLines/>
              <w:spacing w:before="51"/>
              <w:ind w:left="52" w:right="-20"/>
              <w:rPr>
                <w:rFonts w:eastAsia="Arial" w:cs="Arial"/>
                <w:b/>
                <w:bCs/>
                <w:spacing w:val="2"/>
                <w:szCs w:val="22"/>
              </w:rPr>
            </w:pPr>
            <w:r w:rsidRPr="00707120">
              <w:rPr>
                <w:rFonts w:eastAsia="Arial" w:cs="Arial"/>
                <w:b/>
                <w:bCs/>
                <w:szCs w:val="22"/>
              </w:rPr>
              <w:t>Lietotas bioloģiskās zāles</w:t>
            </w:r>
          </w:p>
        </w:tc>
        <w:tc>
          <w:tcPr>
            <w:tcW w:w="1368" w:type="dxa"/>
            <w:tcBorders>
              <w:top w:val="single" w:sz="4" w:space="0" w:color="000000"/>
              <w:left w:val="single" w:sz="4" w:space="0" w:color="000000"/>
              <w:bottom w:val="single" w:sz="4" w:space="0" w:color="000000"/>
            </w:tcBorders>
            <w:vAlign w:val="center"/>
          </w:tcPr>
          <w:p w14:paraId="0C5E09FB" w14:textId="7859F593" w:rsidR="00784D05" w:rsidRPr="00707120" w:rsidRDefault="00784D05" w:rsidP="00707120">
            <w:pPr>
              <w:keepNext/>
              <w:keepLines/>
              <w:spacing w:before="51"/>
              <w:ind w:right="-23"/>
              <w:jc w:val="center"/>
              <w:rPr>
                <w:rFonts w:eastAsia="Arial" w:cs="Arial"/>
                <w:b/>
                <w:bCs/>
                <w:szCs w:val="22"/>
              </w:rPr>
            </w:pPr>
            <w:r w:rsidRPr="00707120">
              <w:rPr>
                <w:rFonts w:eastAsia="Arial" w:cs="Arial"/>
                <w:b/>
                <w:bCs/>
                <w:spacing w:val="2"/>
                <w:szCs w:val="22"/>
              </w:rPr>
              <w:t>Jā</w:t>
            </w:r>
            <w:r w:rsidRPr="00707120">
              <w:rPr>
                <w:rFonts w:eastAsia="Arial" w:cs="Arial"/>
                <w:b/>
                <w:bCs/>
                <w:spacing w:val="-4"/>
                <w:szCs w:val="22"/>
              </w:rPr>
              <w:t xml:space="preserve"> </w:t>
            </w:r>
            <w:r w:rsidRPr="00707120">
              <w:rPr>
                <w:rFonts w:eastAsia="Arial" w:cs="Arial"/>
                <w:b/>
                <w:bCs/>
                <w:spacing w:val="1"/>
                <w:szCs w:val="22"/>
              </w:rPr>
              <w:t>(</w:t>
            </w:r>
            <w:del w:id="314" w:author="Author">
              <w:r w:rsidRPr="00707120" w:rsidDel="00717152">
                <w:rPr>
                  <w:rFonts w:eastAsia="Arial" w:cs="Arial"/>
                  <w:b/>
                  <w:bCs/>
                  <w:szCs w:val="22"/>
                </w:rPr>
                <w:delText>N</w:delText>
              </w:r>
            </w:del>
            <w:ins w:id="315" w:author="Author">
              <w:r w:rsidR="00717152">
                <w:rPr>
                  <w:rFonts w:eastAsia="Arial" w:cs="Arial"/>
                  <w:b/>
                  <w:bCs/>
                  <w:szCs w:val="22"/>
                </w:rPr>
                <w:t>n</w:t>
              </w:r>
            </w:ins>
            <w:del w:id="316" w:author="Author">
              <w:r w:rsidRPr="00707120" w:rsidDel="00C05EDC">
                <w:rPr>
                  <w:rFonts w:eastAsia="Arial" w:cs="Arial"/>
                  <w:b/>
                  <w:bCs/>
                  <w:spacing w:val="-2"/>
                  <w:szCs w:val="22"/>
                </w:rPr>
                <w:delText xml:space="preserve"> </w:delText>
              </w:r>
            </w:del>
            <w:r w:rsidRPr="00707120">
              <w:rPr>
                <w:szCs w:val="22"/>
              </w:rPr>
              <w:t>=</w:t>
            </w:r>
            <w:del w:id="317" w:author="Author">
              <w:r w:rsidRPr="00707120" w:rsidDel="00C05EDC">
                <w:rPr>
                  <w:spacing w:val="4"/>
                  <w:szCs w:val="22"/>
                </w:rPr>
                <w:delText xml:space="preserve"> </w:delText>
              </w:r>
            </w:del>
            <w:r w:rsidRPr="00707120">
              <w:rPr>
                <w:rFonts w:eastAsia="Arial" w:cs="Arial"/>
                <w:b/>
                <w:bCs/>
                <w:szCs w:val="22"/>
              </w:rPr>
              <w:t>23)</w:t>
            </w:r>
          </w:p>
        </w:tc>
        <w:tc>
          <w:tcPr>
            <w:tcW w:w="1615" w:type="dxa"/>
            <w:tcBorders>
              <w:top w:val="single" w:sz="4" w:space="0" w:color="000000"/>
              <w:left w:val="single" w:sz="4" w:space="0" w:color="000000"/>
              <w:bottom w:val="single" w:sz="4" w:space="0" w:color="000000"/>
            </w:tcBorders>
            <w:vAlign w:val="center"/>
          </w:tcPr>
          <w:p w14:paraId="0EB18ACC" w14:textId="302C4EC0" w:rsidR="00784D05" w:rsidRPr="00707120" w:rsidRDefault="00784D05" w:rsidP="00717152">
            <w:pPr>
              <w:keepNext/>
              <w:keepLines/>
              <w:spacing w:before="51"/>
              <w:ind w:right="-23"/>
              <w:jc w:val="center"/>
              <w:rPr>
                <w:rFonts w:eastAsia="Arial" w:cs="Arial"/>
                <w:b/>
                <w:bCs/>
                <w:spacing w:val="2"/>
                <w:szCs w:val="22"/>
              </w:rPr>
            </w:pPr>
            <w:r w:rsidRPr="00707120">
              <w:rPr>
                <w:rFonts w:eastAsia="Arial" w:cs="Arial"/>
                <w:b/>
                <w:bCs/>
                <w:szCs w:val="22"/>
              </w:rPr>
              <w:t>Nē</w:t>
            </w:r>
            <w:r w:rsidRPr="00707120">
              <w:rPr>
                <w:rFonts w:eastAsia="Arial" w:cs="Arial"/>
                <w:b/>
                <w:bCs/>
                <w:spacing w:val="-3"/>
                <w:szCs w:val="22"/>
              </w:rPr>
              <w:t xml:space="preserve"> </w:t>
            </w:r>
            <w:r w:rsidRPr="00707120">
              <w:rPr>
                <w:rFonts w:eastAsia="Arial" w:cs="Arial"/>
                <w:b/>
                <w:bCs/>
                <w:spacing w:val="1"/>
                <w:szCs w:val="22"/>
              </w:rPr>
              <w:t>(</w:t>
            </w:r>
            <w:del w:id="318" w:author="Author">
              <w:r w:rsidRPr="00707120" w:rsidDel="00717152">
                <w:rPr>
                  <w:rFonts w:eastAsia="Arial" w:cs="Arial"/>
                  <w:b/>
                  <w:bCs/>
                  <w:szCs w:val="22"/>
                </w:rPr>
                <w:delText>N</w:delText>
              </w:r>
              <w:r w:rsidRPr="00707120" w:rsidDel="00717152">
                <w:rPr>
                  <w:rFonts w:eastAsia="Arial" w:cs="Arial"/>
                  <w:b/>
                  <w:bCs/>
                  <w:spacing w:val="-2"/>
                  <w:szCs w:val="22"/>
                </w:rPr>
                <w:delText xml:space="preserve"> </w:delText>
              </w:r>
            </w:del>
            <w:ins w:id="319" w:author="Author">
              <w:r w:rsidR="00717152">
                <w:rPr>
                  <w:rFonts w:eastAsia="Arial" w:cs="Arial"/>
                  <w:b/>
                  <w:bCs/>
                  <w:szCs w:val="22"/>
                </w:rPr>
                <w:t>n</w:t>
              </w:r>
              <w:del w:id="320" w:author="Author">
                <w:r w:rsidR="00717152" w:rsidRPr="00707120" w:rsidDel="00C05EDC">
                  <w:rPr>
                    <w:rFonts w:eastAsia="Arial" w:cs="Arial"/>
                    <w:b/>
                    <w:bCs/>
                    <w:spacing w:val="-2"/>
                    <w:szCs w:val="22"/>
                  </w:rPr>
                  <w:delText xml:space="preserve"> </w:delText>
                </w:r>
              </w:del>
            </w:ins>
            <w:r w:rsidRPr="00707120">
              <w:rPr>
                <w:szCs w:val="22"/>
              </w:rPr>
              <w:t>=</w:t>
            </w:r>
            <w:del w:id="321" w:author="Author">
              <w:r w:rsidRPr="00707120" w:rsidDel="00C05EDC">
                <w:rPr>
                  <w:spacing w:val="4"/>
                  <w:szCs w:val="22"/>
                </w:rPr>
                <w:delText xml:space="preserve"> </w:delText>
              </w:r>
            </w:del>
            <w:r w:rsidRPr="00707120">
              <w:rPr>
                <w:rFonts w:eastAsia="Arial" w:cs="Arial"/>
                <w:b/>
                <w:bCs/>
                <w:szCs w:val="22"/>
              </w:rPr>
              <w:t>58)</w:t>
            </w:r>
          </w:p>
        </w:tc>
        <w:tc>
          <w:tcPr>
            <w:tcW w:w="1613" w:type="dxa"/>
            <w:tcBorders>
              <w:top w:val="single" w:sz="4" w:space="0" w:color="000000"/>
              <w:left w:val="single" w:sz="4" w:space="0" w:color="000000"/>
              <w:bottom w:val="single" w:sz="4" w:space="0" w:color="000000"/>
            </w:tcBorders>
            <w:vAlign w:val="center"/>
          </w:tcPr>
          <w:p w14:paraId="4C2678D1" w14:textId="7D463A3E" w:rsidR="00784D05" w:rsidRPr="00707120" w:rsidRDefault="00784D05" w:rsidP="00717152">
            <w:pPr>
              <w:keepNext/>
              <w:keepLines/>
              <w:spacing w:before="51"/>
              <w:ind w:right="-23"/>
              <w:jc w:val="center"/>
              <w:rPr>
                <w:rFonts w:eastAsia="Arial" w:cs="Arial"/>
                <w:b/>
                <w:bCs/>
                <w:szCs w:val="22"/>
              </w:rPr>
            </w:pPr>
            <w:r w:rsidRPr="00707120">
              <w:rPr>
                <w:rFonts w:eastAsia="Arial" w:cs="Arial"/>
                <w:b/>
                <w:bCs/>
                <w:spacing w:val="2"/>
                <w:szCs w:val="22"/>
              </w:rPr>
              <w:t>Jā</w:t>
            </w:r>
            <w:r w:rsidRPr="00707120">
              <w:rPr>
                <w:rFonts w:eastAsia="Arial" w:cs="Arial"/>
                <w:b/>
                <w:bCs/>
                <w:spacing w:val="-5"/>
                <w:szCs w:val="22"/>
              </w:rPr>
              <w:t xml:space="preserve"> </w:t>
            </w:r>
            <w:r w:rsidRPr="00707120">
              <w:rPr>
                <w:rFonts w:eastAsia="Arial" w:cs="Arial"/>
                <w:b/>
                <w:bCs/>
                <w:spacing w:val="1"/>
                <w:szCs w:val="22"/>
              </w:rPr>
              <w:t>(</w:t>
            </w:r>
            <w:del w:id="322" w:author="Author">
              <w:r w:rsidRPr="00707120" w:rsidDel="00717152">
                <w:rPr>
                  <w:rFonts w:eastAsia="Arial" w:cs="Arial"/>
                  <w:b/>
                  <w:bCs/>
                  <w:szCs w:val="22"/>
                </w:rPr>
                <w:delText>N</w:delText>
              </w:r>
              <w:r w:rsidRPr="00707120" w:rsidDel="00717152">
                <w:rPr>
                  <w:rFonts w:eastAsia="Arial" w:cs="Arial"/>
                  <w:b/>
                  <w:bCs/>
                  <w:spacing w:val="-2"/>
                  <w:szCs w:val="22"/>
                </w:rPr>
                <w:delText xml:space="preserve"> </w:delText>
              </w:r>
            </w:del>
            <w:ins w:id="323" w:author="Author">
              <w:r w:rsidR="00717152">
                <w:rPr>
                  <w:rFonts w:eastAsia="Arial" w:cs="Arial"/>
                  <w:b/>
                  <w:bCs/>
                  <w:szCs w:val="22"/>
                </w:rPr>
                <w:t>n</w:t>
              </w:r>
              <w:del w:id="324" w:author="Author">
                <w:r w:rsidR="00717152" w:rsidRPr="00707120" w:rsidDel="00C05EDC">
                  <w:rPr>
                    <w:rFonts w:eastAsia="Arial" w:cs="Arial"/>
                    <w:b/>
                    <w:bCs/>
                    <w:spacing w:val="-2"/>
                    <w:szCs w:val="22"/>
                  </w:rPr>
                  <w:delText xml:space="preserve"> </w:delText>
                </w:r>
              </w:del>
            </w:ins>
            <w:r w:rsidRPr="00707120">
              <w:rPr>
                <w:szCs w:val="22"/>
              </w:rPr>
              <w:t>=</w:t>
            </w:r>
            <w:del w:id="325" w:author="Author">
              <w:r w:rsidRPr="00707120" w:rsidDel="00C05EDC">
                <w:rPr>
                  <w:spacing w:val="4"/>
                  <w:szCs w:val="22"/>
                </w:rPr>
                <w:delText xml:space="preserve"> </w:delText>
              </w:r>
            </w:del>
            <w:r w:rsidRPr="00707120">
              <w:rPr>
                <w:rFonts w:eastAsia="Arial" w:cs="Arial"/>
                <w:b/>
                <w:bCs/>
                <w:szCs w:val="22"/>
              </w:rPr>
              <w:t>27)</w:t>
            </w:r>
          </w:p>
        </w:tc>
        <w:tc>
          <w:tcPr>
            <w:tcW w:w="1924" w:type="dxa"/>
            <w:tcBorders>
              <w:top w:val="single" w:sz="4" w:space="0" w:color="000000"/>
              <w:left w:val="single" w:sz="4" w:space="0" w:color="000000"/>
              <w:bottom w:val="single" w:sz="4" w:space="0" w:color="000000"/>
              <w:right w:val="single" w:sz="4" w:space="0" w:color="000000"/>
            </w:tcBorders>
            <w:vAlign w:val="center"/>
          </w:tcPr>
          <w:p w14:paraId="7AF5D96A" w14:textId="0309354F" w:rsidR="00784D05" w:rsidRPr="00707120" w:rsidRDefault="00784D05" w:rsidP="00717152">
            <w:pPr>
              <w:keepNext/>
              <w:keepLines/>
              <w:spacing w:before="51"/>
              <w:ind w:right="-23"/>
              <w:jc w:val="center"/>
              <w:rPr>
                <w:rFonts w:eastAsia="Arial" w:cs="Arial"/>
                <w:spacing w:val="1"/>
                <w:szCs w:val="22"/>
              </w:rPr>
            </w:pPr>
            <w:r w:rsidRPr="00707120">
              <w:rPr>
                <w:rFonts w:eastAsia="Arial" w:cs="Arial"/>
                <w:b/>
                <w:bCs/>
                <w:szCs w:val="22"/>
              </w:rPr>
              <w:t>Nē</w:t>
            </w:r>
            <w:r w:rsidRPr="00707120">
              <w:rPr>
                <w:rFonts w:eastAsia="Arial" w:cs="Arial"/>
                <w:b/>
                <w:bCs/>
                <w:spacing w:val="-3"/>
                <w:szCs w:val="22"/>
              </w:rPr>
              <w:t xml:space="preserve"> </w:t>
            </w:r>
            <w:r w:rsidRPr="00707120">
              <w:rPr>
                <w:rFonts w:eastAsia="Arial" w:cs="Arial"/>
                <w:b/>
                <w:bCs/>
                <w:spacing w:val="1"/>
                <w:szCs w:val="22"/>
              </w:rPr>
              <w:t>(</w:t>
            </w:r>
            <w:del w:id="326" w:author="Author">
              <w:r w:rsidRPr="00707120" w:rsidDel="00717152">
                <w:rPr>
                  <w:rFonts w:eastAsia="Arial" w:cs="Arial"/>
                  <w:b/>
                  <w:bCs/>
                  <w:szCs w:val="22"/>
                </w:rPr>
                <w:delText>N</w:delText>
              </w:r>
              <w:r w:rsidRPr="00707120" w:rsidDel="00717152">
                <w:rPr>
                  <w:rFonts w:eastAsia="Arial" w:cs="Arial"/>
                  <w:b/>
                  <w:bCs/>
                  <w:spacing w:val="-2"/>
                  <w:szCs w:val="22"/>
                </w:rPr>
                <w:delText xml:space="preserve"> </w:delText>
              </w:r>
            </w:del>
            <w:ins w:id="327" w:author="Author">
              <w:r w:rsidR="00717152">
                <w:rPr>
                  <w:rFonts w:eastAsia="Arial" w:cs="Arial"/>
                  <w:b/>
                  <w:bCs/>
                  <w:szCs w:val="22"/>
                </w:rPr>
                <w:t>n</w:t>
              </w:r>
              <w:del w:id="328" w:author="Author">
                <w:r w:rsidR="00717152" w:rsidRPr="00707120" w:rsidDel="00C05EDC">
                  <w:rPr>
                    <w:rFonts w:eastAsia="Arial" w:cs="Arial"/>
                    <w:b/>
                    <w:bCs/>
                    <w:spacing w:val="-2"/>
                    <w:szCs w:val="22"/>
                  </w:rPr>
                  <w:delText xml:space="preserve"> </w:delText>
                </w:r>
              </w:del>
            </w:ins>
            <w:r w:rsidRPr="00707120">
              <w:rPr>
                <w:szCs w:val="22"/>
              </w:rPr>
              <w:t>=</w:t>
            </w:r>
            <w:del w:id="329" w:author="Author">
              <w:r w:rsidRPr="00707120" w:rsidDel="00C05EDC">
                <w:rPr>
                  <w:spacing w:val="4"/>
                  <w:szCs w:val="22"/>
                </w:rPr>
                <w:delText xml:space="preserve"> </w:delText>
              </w:r>
            </w:del>
            <w:r w:rsidRPr="00707120">
              <w:rPr>
                <w:rFonts w:eastAsia="Arial" w:cs="Arial"/>
                <w:b/>
                <w:bCs/>
                <w:szCs w:val="22"/>
              </w:rPr>
              <w:t>55)</w:t>
            </w:r>
          </w:p>
        </w:tc>
      </w:tr>
      <w:tr w:rsidR="00784D05" w:rsidRPr="00FB280D" w14:paraId="14546E5B" w14:textId="77777777" w:rsidTr="00707120">
        <w:tc>
          <w:tcPr>
            <w:tcW w:w="2542" w:type="dxa"/>
            <w:tcBorders>
              <w:top w:val="single" w:sz="4" w:space="0" w:color="000000"/>
              <w:left w:val="single" w:sz="4" w:space="0" w:color="000000"/>
              <w:bottom w:val="single" w:sz="4" w:space="0" w:color="000000"/>
            </w:tcBorders>
          </w:tcPr>
          <w:p w14:paraId="330C803E" w14:textId="6E8ADBEB" w:rsidR="00784D05" w:rsidRPr="00707120" w:rsidRDefault="00784D05" w:rsidP="00CD68FA">
            <w:pPr>
              <w:keepNext/>
              <w:keepLines/>
              <w:spacing w:before="51"/>
              <w:ind w:left="52" w:right="-20"/>
              <w:rPr>
                <w:rFonts w:eastAsia="Arial" w:cs="Arial"/>
                <w:szCs w:val="22"/>
              </w:rPr>
            </w:pPr>
            <w:r w:rsidRPr="00707120">
              <w:rPr>
                <w:rFonts w:eastAsia="Arial" w:cs="Arial"/>
                <w:spacing w:val="1"/>
                <w:szCs w:val="22"/>
              </w:rPr>
              <w:t>J</w:t>
            </w:r>
            <w:r w:rsidRPr="00707120">
              <w:rPr>
                <w:rFonts w:eastAsia="Arial" w:cs="Arial"/>
                <w:szCs w:val="22"/>
              </w:rPr>
              <w:t>IA</w:t>
            </w:r>
            <w:r w:rsidRPr="00707120">
              <w:rPr>
                <w:rFonts w:eastAsia="Arial" w:cs="Arial"/>
                <w:spacing w:val="-4"/>
                <w:szCs w:val="22"/>
              </w:rPr>
              <w:t xml:space="preserve"> </w:t>
            </w:r>
            <w:r w:rsidRPr="00707120">
              <w:rPr>
                <w:rFonts w:eastAsia="Arial" w:cs="Arial"/>
                <w:szCs w:val="22"/>
              </w:rPr>
              <w:t>A</w:t>
            </w:r>
            <w:r w:rsidRPr="00707120">
              <w:rPr>
                <w:rFonts w:eastAsia="Arial" w:cs="Arial"/>
                <w:spacing w:val="3"/>
                <w:szCs w:val="22"/>
              </w:rPr>
              <w:t>C</w:t>
            </w:r>
            <w:r w:rsidRPr="00707120">
              <w:rPr>
                <w:rFonts w:eastAsia="Arial" w:cs="Arial"/>
                <w:szCs w:val="22"/>
              </w:rPr>
              <w:t>R</w:t>
            </w:r>
            <w:r w:rsidR="00CD68FA" w:rsidRPr="00707120">
              <w:rPr>
                <w:rFonts w:eastAsia="Arial" w:cs="Arial"/>
                <w:szCs w:val="22"/>
              </w:rPr>
              <w:t> </w:t>
            </w:r>
            <w:r w:rsidRPr="00707120">
              <w:rPr>
                <w:rFonts w:eastAsia="Arial" w:cs="Arial"/>
                <w:szCs w:val="22"/>
              </w:rPr>
              <w:t>30</w:t>
            </w:r>
            <w:r w:rsidRPr="00707120">
              <w:rPr>
                <w:rFonts w:eastAsia="Arial" w:cs="Arial"/>
                <w:spacing w:val="-7"/>
                <w:szCs w:val="22"/>
              </w:rPr>
              <w:t xml:space="preserve"> </w:t>
            </w:r>
            <w:r w:rsidRPr="00707120">
              <w:rPr>
                <w:rFonts w:eastAsia="Arial" w:cs="Arial"/>
                <w:spacing w:val="3"/>
                <w:szCs w:val="22"/>
              </w:rPr>
              <w:t>uzliesmojums</w:t>
            </w:r>
          </w:p>
        </w:tc>
        <w:tc>
          <w:tcPr>
            <w:tcW w:w="1368" w:type="dxa"/>
            <w:tcBorders>
              <w:top w:val="single" w:sz="4" w:space="0" w:color="000000"/>
              <w:left w:val="single" w:sz="4" w:space="0" w:color="000000"/>
              <w:bottom w:val="single" w:sz="4" w:space="0" w:color="000000"/>
            </w:tcBorders>
            <w:vAlign w:val="center"/>
          </w:tcPr>
          <w:p w14:paraId="01A098E7" w14:textId="77777777" w:rsidR="00784D05" w:rsidRPr="00707120" w:rsidRDefault="00784D05" w:rsidP="00707120">
            <w:pPr>
              <w:keepNext/>
              <w:keepLines/>
              <w:spacing w:before="51"/>
              <w:ind w:right="-23"/>
              <w:jc w:val="center"/>
              <w:rPr>
                <w:rFonts w:eastAsia="Arial" w:cs="Arial"/>
                <w:szCs w:val="22"/>
              </w:rPr>
            </w:pPr>
            <w:r w:rsidRPr="00707120">
              <w:rPr>
                <w:rFonts w:eastAsia="Arial" w:cs="Arial"/>
                <w:szCs w:val="22"/>
              </w:rPr>
              <w:t>18</w:t>
            </w:r>
            <w:r w:rsidRPr="00707120">
              <w:rPr>
                <w:rFonts w:eastAsia="Arial" w:cs="Arial"/>
                <w:spacing w:val="-3"/>
                <w:szCs w:val="22"/>
              </w:rPr>
              <w:t xml:space="preserve"> </w:t>
            </w:r>
            <w:r w:rsidRPr="00707120">
              <w:rPr>
                <w:rFonts w:eastAsia="Arial" w:cs="Arial"/>
                <w:spacing w:val="1"/>
                <w:szCs w:val="22"/>
              </w:rPr>
              <w:t>(</w:t>
            </w:r>
            <w:r w:rsidRPr="00707120">
              <w:rPr>
                <w:rFonts w:eastAsia="Arial" w:cs="Arial"/>
                <w:szCs w:val="22"/>
              </w:rPr>
              <w:t>78,3)</w:t>
            </w:r>
          </w:p>
        </w:tc>
        <w:tc>
          <w:tcPr>
            <w:tcW w:w="1615" w:type="dxa"/>
            <w:tcBorders>
              <w:top w:val="single" w:sz="4" w:space="0" w:color="000000"/>
              <w:left w:val="single" w:sz="4" w:space="0" w:color="000000"/>
              <w:bottom w:val="single" w:sz="4" w:space="0" w:color="000000"/>
            </w:tcBorders>
            <w:vAlign w:val="center"/>
          </w:tcPr>
          <w:p w14:paraId="0916893F" w14:textId="77777777" w:rsidR="00784D05" w:rsidRPr="00707120" w:rsidRDefault="00784D05" w:rsidP="00707120">
            <w:pPr>
              <w:keepNext/>
              <w:keepLines/>
              <w:spacing w:before="51"/>
              <w:ind w:right="-23"/>
              <w:jc w:val="center"/>
              <w:rPr>
                <w:rFonts w:eastAsia="Arial" w:cs="Arial"/>
                <w:szCs w:val="22"/>
              </w:rPr>
            </w:pPr>
            <w:r w:rsidRPr="00707120">
              <w:rPr>
                <w:rFonts w:eastAsia="Arial" w:cs="Arial"/>
                <w:szCs w:val="22"/>
              </w:rPr>
              <w:t>21</w:t>
            </w:r>
            <w:r w:rsidRPr="00707120">
              <w:rPr>
                <w:rFonts w:eastAsia="Arial" w:cs="Arial"/>
                <w:spacing w:val="-3"/>
                <w:szCs w:val="22"/>
              </w:rPr>
              <w:t xml:space="preserve"> </w:t>
            </w:r>
            <w:r w:rsidRPr="00707120">
              <w:rPr>
                <w:rFonts w:eastAsia="Arial" w:cs="Arial"/>
                <w:spacing w:val="1"/>
                <w:szCs w:val="22"/>
              </w:rPr>
              <w:t>(</w:t>
            </w:r>
            <w:r w:rsidRPr="00707120">
              <w:rPr>
                <w:rFonts w:eastAsia="Arial" w:cs="Arial"/>
                <w:szCs w:val="22"/>
              </w:rPr>
              <w:t>36,2)</w:t>
            </w:r>
          </w:p>
        </w:tc>
        <w:tc>
          <w:tcPr>
            <w:tcW w:w="1613" w:type="dxa"/>
            <w:tcBorders>
              <w:top w:val="single" w:sz="4" w:space="0" w:color="000000"/>
              <w:left w:val="single" w:sz="4" w:space="0" w:color="000000"/>
              <w:bottom w:val="single" w:sz="4" w:space="0" w:color="000000"/>
            </w:tcBorders>
            <w:vAlign w:val="center"/>
          </w:tcPr>
          <w:p w14:paraId="409BF9A0" w14:textId="77777777" w:rsidR="00784D05" w:rsidRPr="00707120" w:rsidRDefault="00784D05" w:rsidP="00707120">
            <w:pPr>
              <w:keepNext/>
              <w:keepLines/>
              <w:spacing w:before="51"/>
              <w:ind w:right="-23"/>
              <w:jc w:val="center"/>
              <w:rPr>
                <w:rFonts w:eastAsia="Arial" w:cs="Arial"/>
                <w:szCs w:val="22"/>
              </w:rPr>
            </w:pPr>
            <w:r w:rsidRPr="00707120">
              <w:rPr>
                <w:rFonts w:eastAsia="Arial" w:cs="Arial"/>
                <w:szCs w:val="22"/>
              </w:rPr>
              <w:t>12</w:t>
            </w:r>
            <w:r w:rsidRPr="00707120">
              <w:rPr>
                <w:rFonts w:eastAsia="Arial" w:cs="Arial"/>
                <w:spacing w:val="-3"/>
                <w:szCs w:val="22"/>
              </w:rPr>
              <w:t xml:space="preserve"> </w:t>
            </w:r>
            <w:r w:rsidRPr="00707120">
              <w:rPr>
                <w:rFonts w:eastAsia="Arial" w:cs="Arial"/>
                <w:spacing w:val="1"/>
                <w:szCs w:val="22"/>
              </w:rPr>
              <w:t>(</w:t>
            </w:r>
            <w:r w:rsidRPr="00707120">
              <w:rPr>
                <w:rFonts w:eastAsia="Arial" w:cs="Arial"/>
                <w:szCs w:val="22"/>
              </w:rPr>
              <w:t>44,4)</w:t>
            </w:r>
          </w:p>
        </w:tc>
        <w:tc>
          <w:tcPr>
            <w:tcW w:w="1924" w:type="dxa"/>
            <w:tcBorders>
              <w:top w:val="single" w:sz="4" w:space="0" w:color="000000"/>
              <w:left w:val="single" w:sz="4" w:space="0" w:color="000000"/>
              <w:bottom w:val="single" w:sz="4" w:space="0" w:color="000000"/>
              <w:right w:val="single" w:sz="4" w:space="0" w:color="000000"/>
            </w:tcBorders>
            <w:vAlign w:val="center"/>
          </w:tcPr>
          <w:p w14:paraId="3AC435E5" w14:textId="77777777" w:rsidR="00784D05" w:rsidRPr="00707120" w:rsidRDefault="00784D05" w:rsidP="00707120">
            <w:pPr>
              <w:keepNext/>
              <w:keepLines/>
              <w:spacing w:before="51"/>
              <w:ind w:right="-23"/>
              <w:jc w:val="center"/>
              <w:rPr>
                <w:rFonts w:eastAsia="Arial" w:cs="Arial"/>
                <w:spacing w:val="1"/>
                <w:szCs w:val="22"/>
              </w:rPr>
            </w:pPr>
            <w:r w:rsidRPr="00707120">
              <w:rPr>
                <w:rFonts w:eastAsia="Arial" w:cs="Arial"/>
                <w:szCs w:val="22"/>
              </w:rPr>
              <w:t>9</w:t>
            </w:r>
            <w:r w:rsidRPr="00707120">
              <w:rPr>
                <w:rFonts w:eastAsia="Arial" w:cs="Arial"/>
                <w:spacing w:val="-2"/>
                <w:szCs w:val="22"/>
              </w:rPr>
              <w:t xml:space="preserve"> </w:t>
            </w:r>
            <w:r w:rsidRPr="00707120">
              <w:rPr>
                <w:rFonts w:eastAsia="Arial" w:cs="Arial"/>
                <w:spacing w:val="1"/>
                <w:szCs w:val="22"/>
              </w:rPr>
              <w:t>(</w:t>
            </w:r>
            <w:r w:rsidRPr="00707120">
              <w:rPr>
                <w:rFonts w:eastAsia="Arial" w:cs="Arial"/>
                <w:szCs w:val="22"/>
              </w:rPr>
              <w:t>16,4)</w:t>
            </w:r>
          </w:p>
        </w:tc>
      </w:tr>
      <w:tr w:rsidR="00784D05" w:rsidRPr="00FB280D" w14:paraId="27836548" w14:textId="77777777" w:rsidTr="00707120">
        <w:tc>
          <w:tcPr>
            <w:tcW w:w="2542" w:type="dxa"/>
            <w:tcBorders>
              <w:top w:val="single" w:sz="4" w:space="0" w:color="000000"/>
              <w:left w:val="single" w:sz="4" w:space="0" w:color="000000"/>
              <w:bottom w:val="single" w:sz="4" w:space="0" w:color="000000"/>
            </w:tcBorders>
          </w:tcPr>
          <w:p w14:paraId="061A5C93" w14:textId="7B71A28E" w:rsidR="00784D05" w:rsidRPr="00707120" w:rsidRDefault="00784D05" w:rsidP="00707120">
            <w:pPr>
              <w:keepNext/>
              <w:spacing w:before="51"/>
              <w:ind w:left="52" w:right="-20"/>
              <w:rPr>
                <w:rFonts w:eastAsia="Arial" w:cs="Arial"/>
                <w:szCs w:val="22"/>
              </w:rPr>
            </w:pPr>
            <w:r w:rsidRPr="00707120">
              <w:rPr>
                <w:rFonts w:eastAsia="Arial" w:cs="Arial"/>
                <w:spacing w:val="1"/>
                <w:szCs w:val="22"/>
              </w:rPr>
              <w:t>J</w:t>
            </w:r>
            <w:r w:rsidRPr="00707120">
              <w:rPr>
                <w:rFonts w:eastAsia="Arial" w:cs="Arial"/>
                <w:szCs w:val="22"/>
              </w:rPr>
              <w:t>IA</w:t>
            </w:r>
            <w:r w:rsidRPr="00707120">
              <w:rPr>
                <w:rFonts w:eastAsia="Arial" w:cs="Arial"/>
                <w:spacing w:val="-4"/>
                <w:szCs w:val="22"/>
              </w:rPr>
              <w:t xml:space="preserve"> </w:t>
            </w:r>
            <w:r w:rsidRPr="00707120">
              <w:rPr>
                <w:rFonts w:eastAsia="Arial" w:cs="Arial"/>
                <w:szCs w:val="22"/>
              </w:rPr>
              <w:t>A</w:t>
            </w:r>
            <w:r w:rsidRPr="00707120">
              <w:rPr>
                <w:rFonts w:eastAsia="Arial" w:cs="Arial"/>
                <w:spacing w:val="3"/>
                <w:szCs w:val="22"/>
              </w:rPr>
              <w:t>C</w:t>
            </w:r>
            <w:r w:rsidRPr="00707120">
              <w:rPr>
                <w:rFonts w:eastAsia="Arial" w:cs="Arial"/>
                <w:szCs w:val="22"/>
              </w:rPr>
              <w:t>R</w:t>
            </w:r>
            <w:r w:rsidR="00CD68FA" w:rsidRPr="00707120">
              <w:rPr>
                <w:rFonts w:eastAsia="Arial" w:cs="Arial"/>
                <w:szCs w:val="22"/>
              </w:rPr>
              <w:t> </w:t>
            </w:r>
            <w:r w:rsidRPr="00707120">
              <w:rPr>
                <w:rFonts w:eastAsia="Arial" w:cs="Arial"/>
                <w:szCs w:val="22"/>
              </w:rPr>
              <w:t>30</w:t>
            </w:r>
            <w:r w:rsidRPr="00707120">
              <w:rPr>
                <w:rFonts w:eastAsia="Arial" w:cs="Arial"/>
                <w:spacing w:val="-4"/>
                <w:szCs w:val="22"/>
              </w:rPr>
              <w:t xml:space="preserve"> </w:t>
            </w:r>
            <w:r w:rsidRPr="00707120">
              <w:rPr>
                <w:rFonts w:eastAsia="Arial" w:cs="Arial"/>
                <w:szCs w:val="22"/>
              </w:rPr>
              <w:t>atbildes reakcija</w:t>
            </w:r>
          </w:p>
        </w:tc>
        <w:tc>
          <w:tcPr>
            <w:tcW w:w="1368" w:type="dxa"/>
            <w:tcBorders>
              <w:top w:val="single" w:sz="4" w:space="0" w:color="000000"/>
              <w:left w:val="single" w:sz="4" w:space="0" w:color="000000"/>
              <w:bottom w:val="single" w:sz="4" w:space="0" w:color="000000"/>
            </w:tcBorders>
            <w:vAlign w:val="center"/>
          </w:tcPr>
          <w:p w14:paraId="3C5E19C4" w14:textId="77777777" w:rsidR="00784D05" w:rsidRPr="00707120" w:rsidRDefault="00784D05" w:rsidP="00707120">
            <w:pPr>
              <w:keepNext/>
              <w:spacing w:before="51"/>
              <w:ind w:right="-23"/>
              <w:jc w:val="center"/>
              <w:rPr>
                <w:rFonts w:eastAsia="Arial" w:cs="Arial"/>
                <w:szCs w:val="22"/>
              </w:rPr>
            </w:pPr>
            <w:r w:rsidRPr="00707120">
              <w:rPr>
                <w:rFonts w:eastAsia="Arial" w:cs="Arial"/>
                <w:szCs w:val="22"/>
              </w:rPr>
              <w:t>6</w:t>
            </w:r>
            <w:r w:rsidRPr="00707120">
              <w:rPr>
                <w:rFonts w:eastAsia="Arial" w:cs="Arial"/>
                <w:spacing w:val="-2"/>
                <w:szCs w:val="22"/>
              </w:rPr>
              <w:t xml:space="preserve"> </w:t>
            </w:r>
            <w:r w:rsidRPr="00707120">
              <w:rPr>
                <w:rFonts w:eastAsia="Arial" w:cs="Arial"/>
                <w:spacing w:val="1"/>
                <w:szCs w:val="22"/>
              </w:rPr>
              <w:t>(</w:t>
            </w:r>
            <w:r w:rsidRPr="00707120">
              <w:rPr>
                <w:rFonts w:eastAsia="Arial" w:cs="Arial"/>
                <w:szCs w:val="22"/>
              </w:rPr>
              <w:t>26,1)</w:t>
            </w:r>
          </w:p>
        </w:tc>
        <w:tc>
          <w:tcPr>
            <w:tcW w:w="1615" w:type="dxa"/>
            <w:tcBorders>
              <w:top w:val="single" w:sz="4" w:space="0" w:color="000000"/>
              <w:left w:val="single" w:sz="4" w:space="0" w:color="000000"/>
              <w:bottom w:val="single" w:sz="4" w:space="0" w:color="000000"/>
            </w:tcBorders>
            <w:vAlign w:val="center"/>
          </w:tcPr>
          <w:p w14:paraId="010F4E0C" w14:textId="77777777" w:rsidR="00784D05" w:rsidRPr="00707120" w:rsidRDefault="00784D05" w:rsidP="00707120">
            <w:pPr>
              <w:keepNext/>
              <w:spacing w:before="51"/>
              <w:ind w:right="-23"/>
              <w:jc w:val="center"/>
              <w:rPr>
                <w:rFonts w:eastAsia="Arial" w:cs="Arial"/>
                <w:szCs w:val="22"/>
              </w:rPr>
            </w:pPr>
            <w:r w:rsidRPr="00707120">
              <w:rPr>
                <w:rFonts w:eastAsia="Arial" w:cs="Arial"/>
                <w:szCs w:val="22"/>
              </w:rPr>
              <w:t>38</w:t>
            </w:r>
            <w:r w:rsidRPr="00707120">
              <w:rPr>
                <w:rFonts w:eastAsia="Arial" w:cs="Arial"/>
                <w:spacing w:val="-3"/>
                <w:szCs w:val="22"/>
              </w:rPr>
              <w:t xml:space="preserve"> </w:t>
            </w:r>
            <w:r w:rsidRPr="00707120">
              <w:rPr>
                <w:rFonts w:eastAsia="Arial" w:cs="Arial"/>
                <w:spacing w:val="1"/>
                <w:szCs w:val="22"/>
              </w:rPr>
              <w:t>(</w:t>
            </w:r>
            <w:r w:rsidRPr="00707120">
              <w:rPr>
                <w:rFonts w:eastAsia="Arial" w:cs="Arial"/>
                <w:szCs w:val="22"/>
              </w:rPr>
              <w:t>65,5)</w:t>
            </w:r>
          </w:p>
        </w:tc>
        <w:tc>
          <w:tcPr>
            <w:tcW w:w="1613" w:type="dxa"/>
            <w:tcBorders>
              <w:top w:val="single" w:sz="4" w:space="0" w:color="000000"/>
              <w:left w:val="single" w:sz="4" w:space="0" w:color="000000"/>
              <w:bottom w:val="single" w:sz="4" w:space="0" w:color="000000"/>
            </w:tcBorders>
            <w:vAlign w:val="center"/>
          </w:tcPr>
          <w:p w14:paraId="4331CDAB" w14:textId="77777777" w:rsidR="00784D05" w:rsidRPr="00707120" w:rsidRDefault="00784D05" w:rsidP="00707120">
            <w:pPr>
              <w:keepNext/>
              <w:spacing w:before="51"/>
              <w:ind w:right="-23"/>
              <w:jc w:val="center"/>
              <w:rPr>
                <w:rFonts w:eastAsia="Arial" w:cs="Arial"/>
                <w:szCs w:val="22"/>
              </w:rPr>
            </w:pPr>
            <w:r w:rsidRPr="00707120">
              <w:rPr>
                <w:rFonts w:eastAsia="Arial" w:cs="Arial"/>
                <w:szCs w:val="22"/>
              </w:rPr>
              <w:t>15</w:t>
            </w:r>
            <w:r w:rsidRPr="00707120">
              <w:rPr>
                <w:rFonts w:eastAsia="Arial" w:cs="Arial"/>
                <w:spacing w:val="-3"/>
                <w:szCs w:val="22"/>
              </w:rPr>
              <w:t xml:space="preserve"> </w:t>
            </w:r>
            <w:r w:rsidRPr="00707120">
              <w:rPr>
                <w:rFonts w:eastAsia="Arial" w:cs="Arial"/>
                <w:spacing w:val="1"/>
                <w:szCs w:val="22"/>
              </w:rPr>
              <w:t>(</w:t>
            </w:r>
            <w:r w:rsidRPr="00707120">
              <w:rPr>
                <w:rFonts w:eastAsia="Arial" w:cs="Arial"/>
                <w:szCs w:val="22"/>
              </w:rPr>
              <w:t>55,6)</w:t>
            </w:r>
          </w:p>
        </w:tc>
        <w:tc>
          <w:tcPr>
            <w:tcW w:w="1924" w:type="dxa"/>
            <w:tcBorders>
              <w:top w:val="single" w:sz="4" w:space="0" w:color="000000"/>
              <w:left w:val="single" w:sz="4" w:space="0" w:color="000000"/>
              <w:bottom w:val="single" w:sz="4" w:space="0" w:color="000000"/>
              <w:right w:val="single" w:sz="4" w:space="0" w:color="000000"/>
            </w:tcBorders>
            <w:vAlign w:val="center"/>
          </w:tcPr>
          <w:p w14:paraId="68ABF282" w14:textId="77777777" w:rsidR="00784D05" w:rsidRPr="00707120" w:rsidRDefault="00784D05" w:rsidP="00707120">
            <w:pPr>
              <w:keepNext/>
              <w:spacing w:before="51"/>
              <w:ind w:right="-23"/>
              <w:jc w:val="center"/>
              <w:rPr>
                <w:rFonts w:eastAsia="Arial" w:cs="Arial"/>
                <w:spacing w:val="1"/>
                <w:szCs w:val="22"/>
              </w:rPr>
            </w:pPr>
            <w:r w:rsidRPr="00707120">
              <w:rPr>
                <w:rFonts w:eastAsia="Arial" w:cs="Arial"/>
                <w:szCs w:val="22"/>
              </w:rPr>
              <w:t>46</w:t>
            </w:r>
            <w:r w:rsidRPr="00707120">
              <w:rPr>
                <w:rFonts w:eastAsia="Arial" w:cs="Arial"/>
                <w:spacing w:val="-3"/>
                <w:szCs w:val="22"/>
              </w:rPr>
              <w:t xml:space="preserve"> </w:t>
            </w:r>
            <w:r w:rsidRPr="00707120">
              <w:rPr>
                <w:rFonts w:eastAsia="Arial" w:cs="Arial"/>
                <w:spacing w:val="1"/>
                <w:szCs w:val="22"/>
              </w:rPr>
              <w:t>(</w:t>
            </w:r>
            <w:r w:rsidRPr="00707120">
              <w:rPr>
                <w:rFonts w:eastAsia="Arial" w:cs="Arial"/>
                <w:szCs w:val="22"/>
              </w:rPr>
              <w:t>83,6)</w:t>
            </w:r>
          </w:p>
        </w:tc>
      </w:tr>
      <w:tr w:rsidR="00784D05" w:rsidRPr="00FB280D" w14:paraId="315FDFA0" w14:textId="77777777" w:rsidTr="00707120">
        <w:tc>
          <w:tcPr>
            <w:tcW w:w="2542" w:type="dxa"/>
            <w:tcBorders>
              <w:top w:val="single" w:sz="4" w:space="0" w:color="000000"/>
              <w:left w:val="single" w:sz="4" w:space="0" w:color="000000"/>
              <w:bottom w:val="single" w:sz="4" w:space="0" w:color="000000"/>
            </w:tcBorders>
          </w:tcPr>
          <w:p w14:paraId="76D13EE3" w14:textId="403809FB" w:rsidR="00784D05" w:rsidRPr="00707120" w:rsidRDefault="00784D05" w:rsidP="00707120">
            <w:pPr>
              <w:keepNext/>
              <w:spacing w:before="51"/>
              <w:ind w:left="52" w:right="-20"/>
              <w:rPr>
                <w:rFonts w:eastAsia="Arial" w:cs="Arial"/>
                <w:szCs w:val="22"/>
              </w:rPr>
            </w:pPr>
            <w:r w:rsidRPr="00707120">
              <w:rPr>
                <w:rFonts w:eastAsia="Arial" w:cs="Arial"/>
                <w:spacing w:val="1"/>
                <w:szCs w:val="22"/>
              </w:rPr>
              <w:t>J</w:t>
            </w:r>
            <w:r w:rsidRPr="00707120">
              <w:rPr>
                <w:rFonts w:eastAsia="Arial" w:cs="Arial"/>
                <w:szCs w:val="22"/>
              </w:rPr>
              <w:t>IA</w:t>
            </w:r>
            <w:r w:rsidRPr="00707120">
              <w:rPr>
                <w:rFonts w:eastAsia="Arial" w:cs="Arial"/>
                <w:spacing w:val="-4"/>
                <w:szCs w:val="22"/>
              </w:rPr>
              <w:t xml:space="preserve"> </w:t>
            </w:r>
            <w:r w:rsidRPr="00707120">
              <w:rPr>
                <w:rFonts w:eastAsia="Arial" w:cs="Arial"/>
                <w:szCs w:val="22"/>
              </w:rPr>
              <w:t>A</w:t>
            </w:r>
            <w:r w:rsidRPr="00707120">
              <w:rPr>
                <w:rFonts w:eastAsia="Arial" w:cs="Arial"/>
                <w:spacing w:val="3"/>
                <w:szCs w:val="22"/>
              </w:rPr>
              <w:t>C</w:t>
            </w:r>
            <w:r w:rsidRPr="00707120">
              <w:rPr>
                <w:rFonts w:eastAsia="Arial" w:cs="Arial"/>
                <w:szCs w:val="22"/>
              </w:rPr>
              <w:t>R</w:t>
            </w:r>
            <w:r w:rsidR="00CD68FA" w:rsidRPr="00707120">
              <w:rPr>
                <w:rFonts w:eastAsia="Arial" w:cs="Arial"/>
                <w:szCs w:val="22"/>
              </w:rPr>
              <w:t> </w:t>
            </w:r>
            <w:r w:rsidRPr="00707120">
              <w:rPr>
                <w:rFonts w:eastAsia="Arial" w:cs="Arial"/>
                <w:szCs w:val="22"/>
              </w:rPr>
              <w:t>50</w:t>
            </w:r>
            <w:r w:rsidRPr="00707120">
              <w:rPr>
                <w:rFonts w:eastAsia="Arial" w:cs="Arial"/>
                <w:spacing w:val="-4"/>
                <w:szCs w:val="22"/>
              </w:rPr>
              <w:t xml:space="preserve"> </w:t>
            </w:r>
            <w:r w:rsidRPr="00707120">
              <w:rPr>
                <w:rFonts w:eastAsia="Arial" w:cs="Arial"/>
                <w:szCs w:val="22"/>
              </w:rPr>
              <w:t>atbildes reakcija</w:t>
            </w:r>
          </w:p>
        </w:tc>
        <w:tc>
          <w:tcPr>
            <w:tcW w:w="1368" w:type="dxa"/>
            <w:tcBorders>
              <w:top w:val="single" w:sz="4" w:space="0" w:color="000000"/>
              <w:left w:val="single" w:sz="4" w:space="0" w:color="000000"/>
              <w:bottom w:val="single" w:sz="4" w:space="0" w:color="000000"/>
            </w:tcBorders>
            <w:vAlign w:val="center"/>
          </w:tcPr>
          <w:p w14:paraId="54669275" w14:textId="77777777" w:rsidR="00784D05" w:rsidRPr="00707120" w:rsidRDefault="00784D05" w:rsidP="00707120">
            <w:pPr>
              <w:keepNext/>
              <w:spacing w:before="51"/>
              <w:ind w:right="-23"/>
              <w:jc w:val="center"/>
              <w:rPr>
                <w:rFonts w:eastAsia="Arial" w:cs="Arial"/>
                <w:szCs w:val="22"/>
              </w:rPr>
            </w:pPr>
            <w:r w:rsidRPr="00707120">
              <w:rPr>
                <w:rFonts w:eastAsia="Arial" w:cs="Arial"/>
                <w:szCs w:val="22"/>
              </w:rPr>
              <w:t>5</w:t>
            </w:r>
            <w:r w:rsidRPr="00707120">
              <w:rPr>
                <w:rFonts w:eastAsia="Arial" w:cs="Arial"/>
                <w:spacing w:val="-2"/>
                <w:szCs w:val="22"/>
              </w:rPr>
              <w:t xml:space="preserve"> </w:t>
            </w:r>
            <w:r w:rsidRPr="00707120">
              <w:rPr>
                <w:rFonts w:eastAsia="Arial" w:cs="Arial"/>
                <w:spacing w:val="1"/>
                <w:szCs w:val="22"/>
              </w:rPr>
              <w:t>(</w:t>
            </w:r>
            <w:r w:rsidRPr="00707120">
              <w:rPr>
                <w:rFonts w:eastAsia="Arial" w:cs="Arial"/>
                <w:szCs w:val="22"/>
              </w:rPr>
              <w:t>21,7)</w:t>
            </w:r>
          </w:p>
        </w:tc>
        <w:tc>
          <w:tcPr>
            <w:tcW w:w="1615" w:type="dxa"/>
            <w:tcBorders>
              <w:top w:val="single" w:sz="4" w:space="0" w:color="000000"/>
              <w:left w:val="single" w:sz="4" w:space="0" w:color="000000"/>
              <w:bottom w:val="single" w:sz="4" w:space="0" w:color="000000"/>
            </w:tcBorders>
            <w:vAlign w:val="center"/>
          </w:tcPr>
          <w:p w14:paraId="7E0D866A" w14:textId="77777777" w:rsidR="00784D05" w:rsidRPr="00707120" w:rsidRDefault="00784D05" w:rsidP="00707120">
            <w:pPr>
              <w:keepNext/>
              <w:spacing w:before="51"/>
              <w:ind w:right="-23"/>
              <w:jc w:val="center"/>
              <w:rPr>
                <w:rFonts w:eastAsia="Arial" w:cs="Arial"/>
                <w:szCs w:val="22"/>
              </w:rPr>
            </w:pPr>
            <w:r w:rsidRPr="00707120">
              <w:rPr>
                <w:rFonts w:eastAsia="Arial" w:cs="Arial"/>
                <w:szCs w:val="22"/>
              </w:rPr>
              <w:t>37</w:t>
            </w:r>
            <w:r w:rsidRPr="00707120">
              <w:rPr>
                <w:rFonts w:eastAsia="Arial" w:cs="Arial"/>
                <w:spacing w:val="-3"/>
                <w:szCs w:val="22"/>
              </w:rPr>
              <w:t xml:space="preserve"> </w:t>
            </w:r>
            <w:r w:rsidRPr="00707120">
              <w:rPr>
                <w:rFonts w:eastAsia="Arial" w:cs="Arial"/>
                <w:spacing w:val="1"/>
                <w:szCs w:val="22"/>
              </w:rPr>
              <w:t>(</w:t>
            </w:r>
            <w:r w:rsidRPr="00707120">
              <w:rPr>
                <w:rFonts w:eastAsia="Arial" w:cs="Arial"/>
                <w:szCs w:val="22"/>
              </w:rPr>
              <w:t>63,8)</w:t>
            </w:r>
          </w:p>
        </w:tc>
        <w:tc>
          <w:tcPr>
            <w:tcW w:w="1613" w:type="dxa"/>
            <w:tcBorders>
              <w:top w:val="single" w:sz="4" w:space="0" w:color="000000"/>
              <w:left w:val="single" w:sz="4" w:space="0" w:color="000000"/>
              <w:bottom w:val="single" w:sz="4" w:space="0" w:color="000000"/>
            </w:tcBorders>
            <w:vAlign w:val="center"/>
          </w:tcPr>
          <w:p w14:paraId="67EA90A2" w14:textId="77777777" w:rsidR="00784D05" w:rsidRPr="00707120" w:rsidRDefault="00784D05" w:rsidP="00707120">
            <w:pPr>
              <w:keepNext/>
              <w:spacing w:before="51"/>
              <w:ind w:right="-23"/>
              <w:jc w:val="center"/>
              <w:rPr>
                <w:rFonts w:eastAsia="Arial" w:cs="Arial"/>
                <w:szCs w:val="22"/>
              </w:rPr>
            </w:pPr>
            <w:r w:rsidRPr="00707120">
              <w:rPr>
                <w:rFonts w:eastAsia="Arial" w:cs="Arial"/>
                <w:szCs w:val="22"/>
              </w:rPr>
              <w:t>14</w:t>
            </w:r>
            <w:r w:rsidRPr="00707120">
              <w:rPr>
                <w:rFonts w:eastAsia="Arial" w:cs="Arial"/>
                <w:spacing w:val="-3"/>
                <w:szCs w:val="22"/>
              </w:rPr>
              <w:t xml:space="preserve"> </w:t>
            </w:r>
            <w:r w:rsidRPr="00707120">
              <w:rPr>
                <w:rFonts w:eastAsia="Arial" w:cs="Arial"/>
                <w:spacing w:val="1"/>
                <w:szCs w:val="22"/>
              </w:rPr>
              <w:t>(</w:t>
            </w:r>
            <w:r w:rsidRPr="00707120">
              <w:rPr>
                <w:rFonts w:eastAsia="Arial" w:cs="Arial"/>
                <w:szCs w:val="22"/>
              </w:rPr>
              <w:t>51,9)</w:t>
            </w:r>
          </w:p>
        </w:tc>
        <w:tc>
          <w:tcPr>
            <w:tcW w:w="1924" w:type="dxa"/>
            <w:tcBorders>
              <w:top w:val="single" w:sz="4" w:space="0" w:color="000000"/>
              <w:left w:val="single" w:sz="4" w:space="0" w:color="000000"/>
              <w:bottom w:val="single" w:sz="4" w:space="0" w:color="000000"/>
              <w:right w:val="single" w:sz="4" w:space="0" w:color="000000"/>
            </w:tcBorders>
            <w:vAlign w:val="center"/>
          </w:tcPr>
          <w:p w14:paraId="2CBB8812" w14:textId="77777777" w:rsidR="00784D05" w:rsidRPr="00707120" w:rsidRDefault="00784D05" w:rsidP="00707120">
            <w:pPr>
              <w:keepNext/>
              <w:spacing w:before="51"/>
              <w:ind w:right="-23"/>
              <w:jc w:val="center"/>
              <w:rPr>
                <w:rFonts w:eastAsia="Arial" w:cs="Arial"/>
                <w:spacing w:val="1"/>
                <w:szCs w:val="22"/>
              </w:rPr>
            </w:pPr>
            <w:r w:rsidRPr="00707120">
              <w:rPr>
                <w:rFonts w:eastAsia="Arial" w:cs="Arial"/>
                <w:szCs w:val="22"/>
              </w:rPr>
              <w:t>46</w:t>
            </w:r>
            <w:r w:rsidRPr="00707120">
              <w:rPr>
                <w:rFonts w:eastAsia="Arial" w:cs="Arial"/>
                <w:spacing w:val="-3"/>
                <w:szCs w:val="22"/>
              </w:rPr>
              <w:t xml:space="preserve"> </w:t>
            </w:r>
            <w:r w:rsidRPr="00707120">
              <w:rPr>
                <w:rFonts w:eastAsia="Arial" w:cs="Arial"/>
                <w:spacing w:val="1"/>
                <w:szCs w:val="22"/>
              </w:rPr>
              <w:t>(</w:t>
            </w:r>
            <w:r w:rsidRPr="00707120">
              <w:rPr>
                <w:rFonts w:eastAsia="Arial" w:cs="Arial"/>
                <w:szCs w:val="22"/>
              </w:rPr>
              <w:t>83,6)</w:t>
            </w:r>
          </w:p>
        </w:tc>
      </w:tr>
      <w:tr w:rsidR="00784D05" w:rsidRPr="00FB280D" w14:paraId="09B1CAF0" w14:textId="77777777" w:rsidTr="00707120">
        <w:tc>
          <w:tcPr>
            <w:tcW w:w="2542" w:type="dxa"/>
            <w:tcBorders>
              <w:top w:val="single" w:sz="4" w:space="0" w:color="000000"/>
              <w:left w:val="single" w:sz="4" w:space="0" w:color="000000"/>
              <w:bottom w:val="single" w:sz="4" w:space="0" w:color="000000"/>
            </w:tcBorders>
          </w:tcPr>
          <w:p w14:paraId="4612C2BC" w14:textId="48E2878F" w:rsidR="00784D05" w:rsidRPr="00707120" w:rsidRDefault="00784D05" w:rsidP="00707120">
            <w:pPr>
              <w:keepNext/>
              <w:spacing w:before="51"/>
              <w:ind w:left="52" w:right="-20"/>
              <w:rPr>
                <w:rFonts w:eastAsia="Arial" w:cs="Arial"/>
                <w:szCs w:val="22"/>
              </w:rPr>
            </w:pPr>
            <w:r w:rsidRPr="00707120">
              <w:rPr>
                <w:rFonts w:eastAsia="Arial" w:cs="Arial"/>
                <w:spacing w:val="1"/>
                <w:szCs w:val="22"/>
              </w:rPr>
              <w:t>J</w:t>
            </w:r>
            <w:r w:rsidRPr="00707120">
              <w:rPr>
                <w:rFonts w:eastAsia="Arial" w:cs="Arial"/>
                <w:szCs w:val="22"/>
              </w:rPr>
              <w:t>IA</w:t>
            </w:r>
            <w:r w:rsidRPr="00707120">
              <w:rPr>
                <w:rFonts w:eastAsia="Arial" w:cs="Arial"/>
                <w:spacing w:val="-4"/>
                <w:szCs w:val="22"/>
              </w:rPr>
              <w:t xml:space="preserve"> </w:t>
            </w:r>
            <w:r w:rsidRPr="00707120">
              <w:rPr>
                <w:rFonts w:eastAsia="Arial" w:cs="Arial"/>
                <w:szCs w:val="22"/>
              </w:rPr>
              <w:t>A</w:t>
            </w:r>
            <w:r w:rsidRPr="00707120">
              <w:rPr>
                <w:rFonts w:eastAsia="Arial" w:cs="Arial"/>
                <w:spacing w:val="3"/>
                <w:szCs w:val="22"/>
              </w:rPr>
              <w:t>C</w:t>
            </w:r>
            <w:r w:rsidRPr="00707120">
              <w:rPr>
                <w:rFonts w:eastAsia="Arial" w:cs="Arial"/>
                <w:szCs w:val="22"/>
              </w:rPr>
              <w:t>R</w:t>
            </w:r>
            <w:r w:rsidR="00CD68FA" w:rsidRPr="00707120">
              <w:rPr>
                <w:rFonts w:eastAsia="Arial" w:cs="Arial"/>
                <w:szCs w:val="22"/>
              </w:rPr>
              <w:t> </w:t>
            </w:r>
            <w:r w:rsidRPr="00707120">
              <w:rPr>
                <w:rFonts w:eastAsia="Arial" w:cs="Arial"/>
                <w:szCs w:val="22"/>
              </w:rPr>
              <w:t>70</w:t>
            </w:r>
            <w:r w:rsidRPr="00707120">
              <w:rPr>
                <w:rFonts w:eastAsia="Arial" w:cs="Arial"/>
                <w:spacing w:val="-4"/>
                <w:szCs w:val="22"/>
              </w:rPr>
              <w:t xml:space="preserve"> </w:t>
            </w:r>
            <w:r w:rsidRPr="00707120">
              <w:rPr>
                <w:rFonts w:eastAsia="Arial" w:cs="Arial"/>
                <w:szCs w:val="22"/>
              </w:rPr>
              <w:t>atbildes reakcija</w:t>
            </w:r>
          </w:p>
        </w:tc>
        <w:tc>
          <w:tcPr>
            <w:tcW w:w="1368" w:type="dxa"/>
            <w:tcBorders>
              <w:top w:val="single" w:sz="4" w:space="0" w:color="000000"/>
              <w:left w:val="single" w:sz="4" w:space="0" w:color="000000"/>
              <w:bottom w:val="single" w:sz="4" w:space="0" w:color="000000"/>
            </w:tcBorders>
            <w:vAlign w:val="center"/>
          </w:tcPr>
          <w:p w14:paraId="58C57652" w14:textId="77777777" w:rsidR="00784D05" w:rsidRPr="00707120" w:rsidRDefault="00784D05" w:rsidP="00707120">
            <w:pPr>
              <w:keepNext/>
              <w:spacing w:before="51"/>
              <w:ind w:right="-23"/>
              <w:jc w:val="center"/>
              <w:rPr>
                <w:rFonts w:eastAsia="Arial" w:cs="Arial"/>
                <w:szCs w:val="22"/>
              </w:rPr>
            </w:pPr>
            <w:r w:rsidRPr="00707120">
              <w:rPr>
                <w:rFonts w:eastAsia="Arial" w:cs="Arial"/>
                <w:szCs w:val="22"/>
              </w:rPr>
              <w:t>2</w:t>
            </w:r>
            <w:r w:rsidRPr="00707120">
              <w:rPr>
                <w:rFonts w:eastAsia="Arial" w:cs="Arial"/>
                <w:spacing w:val="-2"/>
                <w:szCs w:val="22"/>
              </w:rPr>
              <w:t xml:space="preserve"> </w:t>
            </w:r>
            <w:r w:rsidRPr="00707120">
              <w:rPr>
                <w:rFonts w:eastAsia="Arial" w:cs="Arial"/>
                <w:spacing w:val="1"/>
                <w:szCs w:val="22"/>
              </w:rPr>
              <w:t>(</w:t>
            </w:r>
            <w:r w:rsidRPr="00707120">
              <w:rPr>
                <w:rFonts w:eastAsia="Arial" w:cs="Arial"/>
                <w:szCs w:val="22"/>
              </w:rPr>
              <w:t>8,7)</w:t>
            </w:r>
          </w:p>
        </w:tc>
        <w:tc>
          <w:tcPr>
            <w:tcW w:w="1615" w:type="dxa"/>
            <w:tcBorders>
              <w:top w:val="single" w:sz="4" w:space="0" w:color="000000"/>
              <w:left w:val="single" w:sz="4" w:space="0" w:color="000000"/>
              <w:bottom w:val="single" w:sz="4" w:space="0" w:color="000000"/>
            </w:tcBorders>
            <w:vAlign w:val="center"/>
          </w:tcPr>
          <w:p w14:paraId="2A590154" w14:textId="77777777" w:rsidR="00784D05" w:rsidRPr="00707120" w:rsidRDefault="00784D05" w:rsidP="00707120">
            <w:pPr>
              <w:keepNext/>
              <w:spacing w:before="51"/>
              <w:ind w:right="-23"/>
              <w:jc w:val="center"/>
              <w:rPr>
                <w:rFonts w:eastAsia="Arial" w:cs="Arial"/>
                <w:szCs w:val="22"/>
              </w:rPr>
            </w:pPr>
            <w:r w:rsidRPr="00707120">
              <w:rPr>
                <w:rFonts w:eastAsia="Arial" w:cs="Arial"/>
                <w:szCs w:val="22"/>
              </w:rPr>
              <w:t>32</w:t>
            </w:r>
            <w:r w:rsidRPr="00707120">
              <w:rPr>
                <w:rFonts w:eastAsia="Arial" w:cs="Arial"/>
                <w:spacing w:val="-3"/>
                <w:szCs w:val="22"/>
              </w:rPr>
              <w:t xml:space="preserve"> </w:t>
            </w:r>
            <w:r w:rsidRPr="00707120">
              <w:rPr>
                <w:rFonts w:eastAsia="Arial" w:cs="Arial"/>
                <w:spacing w:val="1"/>
                <w:szCs w:val="22"/>
              </w:rPr>
              <w:t>(</w:t>
            </w:r>
            <w:r w:rsidRPr="00707120">
              <w:rPr>
                <w:rFonts w:eastAsia="Arial" w:cs="Arial"/>
                <w:szCs w:val="22"/>
              </w:rPr>
              <w:t>55,2)</w:t>
            </w:r>
          </w:p>
        </w:tc>
        <w:tc>
          <w:tcPr>
            <w:tcW w:w="1613" w:type="dxa"/>
            <w:tcBorders>
              <w:top w:val="single" w:sz="4" w:space="0" w:color="000000"/>
              <w:left w:val="single" w:sz="4" w:space="0" w:color="000000"/>
              <w:bottom w:val="single" w:sz="4" w:space="0" w:color="000000"/>
            </w:tcBorders>
            <w:vAlign w:val="center"/>
          </w:tcPr>
          <w:p w14:paraId="3394CFAE" w14:textId="77777777" w:rsidR="00784D05" w:rsidRPr="00707120" w:rsidRDefault="00784D05" w:rsidP="00707120">
            <w:pPr>
              <w:keepNext/>
              <w:spacing w:before="51"/>
              <w:ind w:right="-23"/>
              <w:jc w:val="center"/>
              <w:rPr>
                <w:rFonts w:eastAsia="Arial" w:cs="Arial"/>
                <w:szCs w:val="22"/>
              </w:rPr>
            </w:pPr>
            <w:r w:rsidRPr="00707120">
              <w:rPr>
                <w:rFonts w:eastAsia="Arial" w:cs="Arial"/>
                <w:szCs w:val="22"/>
              </w:rPr>
              <w:t>13</w:t>
            </w:r>
            <w:r w:rsidRPr="00707120">
              <w:rPr>
                <w:rFonts w:eastAsia="Arial" w:cs="Arial"/>
                <w:spacing w:val="-3"/>
                <w:szCs w:val="22"/>
              </w:rPr>
              <w:t xml:space="preserve"> </w:t>
            </w:r>
            <w:r w:rsidRPr="00707120">
              <w:rPr>
                <w:rFonts w:eastAsia="Arial" w:cs="Arial"/>
                <w:spacing w:val="1"/>
                <w:szCs w:val="22"/>
              </w:rPr>
              <w:t>(</w:t>
            </w:r>
            <w:r w:rsidRPr="00707120">
              <w:rPr>
                <w:rFonts w:eastAsia="Arial" w:cs="Arial"/>
                <w:szCs w:val="22"/>
              </w:rPr>
              <w:t>48,1)</w:t>
            </w:r>
          </w:p>
        </w:tc>
        <w:tc>
          <w:tcPr>
            <w:tcW w:w="1924" w:type="dxa"/>
            <w:tcBorders>
              <w:top w:val="single" w:sz="4" w:space="0" w:color="000000"/>
              <w:left w:val="single" w:sz="4" w:space="0" w:color="000000"/>
              <w:bottom w:val="single" w:sz="4" w:space="0" w:color="000000"/>
              <w:right w:val="single" w:sz="4" w:space="0" w:color="000000"/>
            </w:tcBorders>
            <w:vAlign w:val="center"/>
          </w:tcPr>
          <w:p w14:paraId="6EF009B8" w14:textId="77777777" w:rsidR="00784D05" w:rsidRPr="00707120" w:rsidRDefault="00784D05" w:rsidP="00707120">
            <w:pPr>
              <w:keepNext/>
              <w:spacing w:before="51"/>
              <w:ind w:right="-23"/>
              <w:jc w:val="center"/>
              <w:rPr>
                <w:rFonts w:eastAsia="Arial" w:cs="Arial"/>
                <w:spacing w:val="1"/>
                <w:szCs w:val="22"/>
              </w:rPr>
            </w:pPr>
            <w:r w:rsidRPr="00707120">
              <w:rPr>
                <w:rFonts w:eastAsia="Arial" w:cs="Arial"/>
                <w:szCs w:val="22"/>
              </w:rPr>
              <w:t>40</w:t>
            </w:r>
            <w:r w:rsidRPr="00707120">
              <w:rPr>
                <w:rFonts w:eastAsia="Arial" w:cs="Arial"/>
                <w:spacing w:val="-3"/>
                <w:szCs w:val="22"/>
              </w:rPr>
              <w:t xml:space="preserve"> </w:t>
            </w:r>
            <w:r w:rsidRPr="00707120">
              <w:rPr>
                <w:rFonts w:eastAsia="Arial" w:cs="Arial"/>
                <w:spacing w:val="1"/>
                <w:szCs w:val="22"/>
              </w:rPr>
              <w:t>(</w:t>
            </w:r>
            <w:r w:rsidRPr="00707120">
              <w:rPr>
                <w:rFonts w:eastAsia="Arial" w:cs="Arial"/>
                <w:szCs w:val="22"/>
              </w:rPr>
              <w:t>72,7)</w:t>
            </w:r>
          </w:p>
        </w:tc>
      </w:tr>
      <w:tr w:rsidR="00784D05" w:rsidRPr="00FB280D" w14:paraId="48C78663" w14:textId="77777777" w:rsidTr="00707120">
        <w:tc>
          <w:tcPr>
            <w:tcW w:w="2542" w:type="dxa"/>
            <w:tcBorders>
              <w:top w:val="single" w:sz="4" w:space="0" w:color="000000"/>
              <w:left w:val="single" w:sz="4" w:space="0" w:color="000000"/>
              <w:bottom w:val="single" w:sz="4" w:space="0" w:color="000000"/>
            </w:tcBorders>
          </w:tcPr>
          <w:p w14:paraId="04C30CAB" w14:textId="0973522B" w:rsidR="00784D05" w:rsidRPr="00707120" w:rsidRDefault="00784D05" w:rsidP="00707120">
            <w:pPr>
              <w:keepNext/>
              <w:spacing w:before="51"/>
              <w:ind w:left="52" w:right="-20"/>
              <w:rPr>
                <w:rFonts w:eastAsia="Arial" w:cs="Arial"/>
                <w:szCs w:val="22"/>
              </w:rPr>
            </w:pPr>
            <w:r w:rsidRPr="00707120">
              <w:rPr>
                <w:rFonts w:eastAsia="Arial" w:cs="Arial"/>
                <w:spacing w:val="1"/>
                <w:szCs w:val="22"/>
              </w:rPr>
              <w:t>J</w:t>
            </w:r>
            <w:r w:rsidRPr="00707120">
              <w:rPr>
                <w:rFonts w:eastAsia="Arial" w:cs="Arial"/>
                <w:szCs w:val="22"/>
              </w:rPr>
              <w:t>IA</w:t>
            </w:r>
            <w:r w:rsidRPr="00707120">
              <w:rPr>
                <w:rFonts w:eastAsia="Arial" w:cs="Arial"/>
                <w:spacing w:val="-4"/>
                <w:szCs w:val="22"/>
              </w:rPr>
              <w:t xml:space="preserve"> </w:t>
            </w:r>
            <w:r w:rsidRPr="00707120">
              <w:rPr>
                <w:rFonts w:eastAsia="Arial" w:cs="Arial"/>
                <w:szCs w:val="22"/>
              </w:rPr>
              <w:t>A</w:t>
            </w:r>
            <w:r w:rsidRPr="00707120">
              <w:rPr>
                <w:rFonts w:eastAsia="Arial" w:cs="Arial"/>
                <w:spacing w:val="3"/>
                <w:szCs w:val="22"/>
              </w:rPr>
              <w:t>C</w:t>
            </w:r>
            <w:r w:rsidRPr="00707120">
              <w:rPr>
                <w:rFonts w:eastAsia="Arial" w:cs="Arial"/>
                <w:szCs w:val="22"/>
              </w:rPr>
              <w:t>R</w:t>
            </w:r>
            <w:r w:rsidR="00CD68FA" w:rsidRPr="00707120">
              <w:rPr>
                <w:rFonts w:eastAsia="Arial" w:cs="Arial"/>
                <w:szCs w:val="22"/>
              </w:rPr>
              <w:t> </w:t>
            </w:r>
            <w:r w:rsidRPr="00707120">
              <w:rPr>
                <w:rFonts w:eastAsia="Arial" w:cs="Arial"/>
                <w:szCs w:val="22"/>
              </w:rPr>
              <w:t>90</w:t>
            </w:r>
            <w:r w:rsidRPr="00707120">
              <w:rPr>
                <w:rFonts w:eastAsia="Arial" w:cs="Arial"/>
                <w:spacing w:val="-4"/>
                <w:szCs w:val="22"/>
              </w:rPr>
              <w:t xml:space="preserve"> </w:t>
            </w:r>
            <w:r w:rsidRPr="00707120">
              <w:rPr>
                <w:rFonts w:eastAsia="Arial" w:cs="Arial"/>
                <w:szCs w:val="22"/>
              </w:rPr>
              <w:t>atbildes reakcija</w:t>
            </w:r>
          </w:p>
        </w:tc>
        <w:tc>
          <w:tcPr>
            <w:tcW w:w="1368" w:type="dxa"/>
            <w:tcBorders>
              <w:top w:val="single" w:sz="4" w:space="0" w:color="000000"/>
              <w:left w:val="single" w:sz="4" w:space="0" w:color="000000"/>
              <w:bottom w:val="single" w:sz="4" w:space="0" w:color="000000"/>
            </w:tcBorders>
            <w:vAlign w:val="center"/>
          </w:tcPr>
          <w:p w14:paraId="49C9A76E" w14:textId="77777777" w:rsidR="00784D05" w:rsidRPr="00707120" w:rsidRDefault="00784D05" w:rsidP="00707120">
            <w:pPr>
              <w:keepNext/>
              <w:spacing w:before="51"/>
              <w:ind w:right="-23"/>
              <w:jc w:val="center"/>
              <w:rPr>
                <w:rFonts w:eastAsia="Arial" w:cs="Arial"/>
                <w:szCs w:val="22"/>
              </w:rPr>
            </w:pPr>
            <w:r w:rsidRPr="00707120">
              <w:rPr>
                <w:rFonts w:eastAsia="Arial" w:cs="Arial"/>
                <w:szCs w:val="22"/>
              </w:rPr>
              <w:t>2</w:t>
            </w:r>
            <w:r w:rsidRPr="00707120">
              <w:rPr>
                <w:rFonts w:eastAsia="Arial" w:cs="Arial"/>
                <w:spacing w:val="-2"/>
                <w:szCs w:val="22"/>
              </w:rPr>
              <w:t xml:space="preserve"> </w:t>
            </w:r>
            <w:r w:rsidRPr="00707120">
              <w:rPr>
                <w:rFonts w:eastAsia="Arial" w:cs="Arial"/>
                <w:spacing w:val="1"/>
                <w:szCs w:val="22"/>
              </w:rPr>
              <w:t>(</w:t>
            </w:r>
            <w:r w:rsidRPr="00707120">
              <w:rPr>
                <w:rFonts w:eastAsia="Arial" w:cs="Arial"/>
                <w:szCs w:val="22"/>
              </w:rPr>
              <w:t>8,7)</w:t>
            </w:r>
          </w:p>
        </w:tc>
        <w:tc>
          <w:tcPr>
            <w:tcW w:w="1615" w:type="dxa"/>
            <w:tcBorders>
              <w:top w:val="single" w:sz="4" w:space="0" w:color="000000"/>
              <w:left w:val="single" w:sz="4" w:space="0" w:color="000000"/>
              <w:bottom w:val="single" w:sz="4" w:space="0" w:color="000000"/>
            </w:tcBorders>
            <w:vAlign w:val="center"/>
          </w:tcPr>
          <w:p w14:paraId="58290059" w14:textId="77777777" w:rsidR="00784D05" w:rsidRPr="00707120" w:rsidRDefault="00784D05" w:rsidP="00707120">
            <w:pPr>
              <w:keepNext/>
              <w:spacing w:before="51"/>
              <w:ind w:right="-23"/>
              <w:jc w:val="center"/>
              <w:rPr>
                <w:rFonts w:eastAsia="Arial" w:cs="Arial"/>
                <w:szCs w:val="22"/>
              </w:rPr>
            </w:pPr>
            <w:r w:rsidRPr="00707120">
              <w:rPr>
                <w:rFonts w:eastAsia="Arial" w:cs="Arial"/>
                <w:szCs w:val="22"/>
              </w:rPr>
              <w:t>17</w:t>
            </w:r>
            <w:r w:rsidRPr="00707120">
              <w:rPr>
                <w:rFonts w:eastAsia="Arial" w:cs="Arial"/>
                <w:spacing w:val="-3"/>
                <w:szCs w:val="22"/>
              </w:rPr>
              <w:t xml:space="preserve"> </w:t>
            </w:r>
            <w:r w:rsidRPr="00707120">
              <w:rPr>
                <w:rFonts w:eastAsia="Arial" w:cs="Arial"/>
                <w:spacing w:val="1"/>
                <w:szCs w:val="22"/>
              </w:rPr>
              <w:t>(</w:t>
            </w:r>
            <w:r w:rsidRPr="00707120">
              <w:rPr>
                <w:rFonts w:eastAsia="Arial" w:cs="Arial"/>
                <w:szCs w:val="22"/>
              </w:rPr>
              <w:t>29,3)</w:t>
            </w:r>
          </w:p>
        </w:tc>
        <w:tc>
          <w:tcPr>
            <w:tcW w:w="1613" w:type="dxa"/>
            <w:tcBorders>
              <w:top w:val="single" w:sz="4" w:space="0" w:color="000000"/>
              <w:left w:val="single" w:sz="4" w:space="0" w:color="000000"/>
              <w:bottom w:val="single" w:sz="4" w:space="0" w:color="000000"/>
            </w:tcBorders>
            <w:vAlign w:val="center"/>
          </w:tcPr>
          <w:p w14:paraId="37FF4AEC" w14:textId="77777777" w:rsidR="00784D05" w:rsidRPr="00707120" w:rsidRDefault="00784D05" w:rsidP="00707120">
            <w:pPr>
              <w:keepNext/>
              <w:spacing w:before="51"/>
              <w:ind w:right="-23"/>
              <w:jc w:val="center"/>
              <w:rPr>
                <w:rFonts w:eastAsia="Arial" w:cs="Arial"/>
                <w:szCs w:val="22"/>
              </w:rPr>
            </w:pPr>
            <w:r w:rsidRPr="00707120">
              <w:rPr>
                <w:rFonts w:eastAsia="Arial" w:cs="Arial"/>
                <w:szCs w:val="22"/>
              </w:rPr>
              <w:t>5</w:t>
            </w:r>
            <w:r w:rsidRPr="00707120">
              <w:rPr>
                <w:rFonts w:eastAsia="Arial" w:cs="Arial"/>
                <w:spacing w:val="-2"/>
                <w:szCs w:val="22"/>
              </w:rPr>
              <w:t xml:space="preserve"> </w:t>
            </w:r>
            <w:r w:rsidRPr="00707120">
              <w:rPr>
                <w:rFonts w:eastAsia="Arial" w:cs="Arial"/>
                <w:spacing w:val="1"/>
                <w:szCs w:val="22"/>
              </w:rPr>
              <w:t>(</w:t>
            </w:r>
            <w:r w:rsidRPr="00707120">
              <w:rPr>
                <w:rFonts w:eastAsia="Arial" w:cs="Arial"/>
                <w:szCs w:val="22"/>
              </w:rPr>
              <w:t>18,5)</w:t>
            </w:r>
          </w:p>
        </w:tc>
        <w:tc>
          <w:tcPr>
            <w:tcW w:w="1924" w:type="dxa"/>
            <w:tcBorders>
              <w:top w:val="single" w:sz="4" w:space="0" w:color="000000"/>
              <w:left w:val="single" w:sz="4" w:space="0" w:color="000000"/>
              <w:bottom w:val="single" w:sz="4" w:space="0" w:color="000000"/>
              <w:right w:val="single" w:sz="4" w:space="0" w:color="000000"/>
            </w:tcBorders>
            <w:vAlign w:val="center"/>
          </w:tcPr>
          <w:p w14:paraId="57EA0B7C" w14:textId="77777777" w:rsidR="00784D05" w:rsidRPr="0001182F" w:rsidRDefault="00784D05" w:rsidP="00707120">
            <w:pPr>
              <w:keepNext/>
              <w:spacing w:before="51"/>
              <w:ind w:right="-23"/>
              <w:jc w:val="center"/>
              <w:rPr>
                <w:szCs w:val="22"/>
              </w:rPr>
            </w:pPr>
            <w:r w:rsidRPr="00707120">
              <w:rPr>
                <w:rFonts w:eastAsia="Arial" w:cs="Arial"/>
                <w:szCs w:val="22"/>
              </w:rPr>
              <w:t>32</w:t>
            </w:r>
            <w:r w:rsidRPr="00707120">
              <w:rPr>
                <w:rFonts w:eastAsia="Arial" w:cs="Arial"/>
                <w:spacing w:val="-3"/>
                <w:szCs w:val="22"/>
              </w:rPr>
              <w:t xml:space="preserve"> </w:t>
            </w:r>
            <w:r w:rsidRPr="00707120">
              <w:rPr>
                <w:rFonts w:eastAsia="Arial" w:cs="Arial"/>
                <w:spacing w:val="1"/>
                <w:szCs w:val="22"/>
              </w:rPr>
              <w:t>(</w:t>
            </w:r>
            <w:r w:rsidRPr="00707120">
              <w:rPr>
                <w:rFonts w:eastAsia="Arial" w:cs="Arial"/>
                <w:szCs w:val="22"/>
              </w:rPr>
              <w:t>58,2)</w:t>
            </w:r>
          </w:p>
        </w:tc>
      </w:tr>
    </w:tbl>
    <w:p w14:paraId="297B64D9" w14:textId="25B6AAF1" w:rsidR="00784D05" w:rsidRPr="00707120" w:rsidRDefault="00CD68FA">
      <w:pPr>
        <w:rPr>
          <w:sz w:val="18"/>
          <w:szCs w:val="18"/>
        </w:rPr>
      </w:pPr>
      <w:r w:rsidRPr="00707120">
        <w:rPr>
          <w:sz w:val="18"/>
          <w:szCs w:val="18"/>
        </w:rPr>
        <w:t>TCZ = tocilizumabs.</w:t>
      </w:r>
    </w:p>
    <w:p w14:paraId="4B4FA9F1" w14:textId="77777777" w:rsidR="00CD68FA" w:rsidRDefault="00CD68FA"/>
    <w:p w14:paraId="7DD8AD59" w14:textId="6AFF9726" w:rsidR="00784D05" w:rsidRDefault="00784D05">
      <w:pPr>
        <w:rPr>
          <w:i/>
          <w:szCs w:val="22"/>
          <w:lang w:val="en-GB"/>
        </w:rPr>
      </w:pPr>
      <w:r>
        <w:rPr>
          <w:rFonts w:cs="Arial"/>
        </w:rPr>
        <w:t>Pacientiem, kas pēc randomizācijas lietoja tocilizumabu, bija mazāks ACR</w:t>
      </w:r>
      <w:r w:rsidR="00CD68FA">
        <w:rPr>
          <w:rFonts w:cs="Arial"/>
        </w:rPr>
        <w:t> </w:t>
      </w:r>
      <w:r>
        <w:rPr>
          <w:rFonts w:cs="Arial"/>
        </w:rPr>
        <w:t xml:space="preserve">30 uzliesmojumu skaits un lielāks vispārējais ACR atbildes reakcijas gadījumu skaits nekā pacientiem, kas saņēma placebo, neatkarīgi no iepriekšējas bioloģisko zāļu lietošanas. </w:t>
      </w:r>
    </w:p>
    <w:p w14:paraId="7C7F2B56" w14:textId="77777777" w:rsidR="00784D05" w:rsidRDefault="00784D05">
      <w:pPr>
        <w:rPr>
          <w:szCs w:val="22"/>
        </w:rPr>
      </w:pPr>
    </w:p>
    <w:p w14:paraId="35AE73C2" w14:textId="77777777" w:rsidR="0017030A" w:rsidRPr="00385B1F" w:rsidRDefault="0017030A" w:rsidP="00707120">
      <w:pPr>
        <w:keepNext/>
        <w:rPr>
          <w:u w:val="single"/>
          <w:lang w:val="lv-LV"/>
        </w:rPr>
      </w:pPr>
      <w:r w:rsidRPr="00385B1F">
        <w:rPr>
          <w:u w:val="single"/>
          <w:lang w:val="lv-LV"/>
        </w:rPr>
        <w:t>CRS</w:t>
      </w:r>
    </w:p>
    <w:p w14:paraId="009BBA83" w14:textId="4DC78431" w:rsidR="00FE23EF" w:rsidRPr="00E1075D" w:rsidRDefault="00CD68FA" w:rsidP="0017030A">
      <w:pPr>
        <w:rPr>
          <w:lang w:val="lv-LV"/>
        </w:rPr>
      </w:pPr>
      <w:r>
        <w:rPr>
          <w:lang w:val="lv-LV"/>
        </w:rPr>
        <w:t>Tocilizumaba</w:t>
      </w:r>
      <w:r w:rsidRPr="00385B1F">
        <w:rPr>
          <w:lang w:val="lv-LV"/>
        </w:rPr>
        <w:t xml:space="preserve"> </w:t>
      </w:r>
      <w:r w:rsidR="0017030A" w:rsidRPr="00385B1F">
        <w:rPr>
          <w:lang w:val="lv-LV"/>
        </w:rPr>
        <w:t>efektivitāte CRS ārstēšanā tika vērtēta retrospektīvā analīzē, kurā izmantoja datus no klīniskajiem pētījumiem par CAR</w:t>
      </w:r>
      <w:r>
        <w:rPr>
          <w:lang w:val="lv-LV"/>
        </w:rPr>
        <w:t> </w:t>
      </w:r>
      <w:r w:rsidR="0017030A" w:rsidRPr="00385B1F">
        <w:rPr>
          <w:lang w:val="lv-LV"/>
        </w:rPr>
        <w:t>T</w:t>
      </w:r>
      <w:r>
        <w:rPr>
          <w:lang w:val="lv-LV"/>
        </w:rPr>
        <w:t> </w:t>
      </w:r>
      <w:r w:rsidR="0017030A" w:rsidRPr="00385B1F">
        <w:rPr>
          <w:lang w:val="lv-LV"/>
        </w:rPr>
        <w:t>limfocītu terapiju (tisagenle</w:t>
      </w:r>
      <w:r w:rsidR="005770FB" w:rsidRPr="00385B1F">
        <w:rPr>
          <w:lang w:val="lv-LV"/>
        </w:rPr>
        <w:t>k</w:t>
      </w:r>
      <w:r w:rsidR="0017030A" w:rsidRPr="00385B1F">
        <w:rPr>
          <w:lang w:val="lv-LV"/>
        </w:rPr>
        <w:t>le</w:t>
      </w:r>
      <w:r w:rsidR="005770FB" w:rsidRPr="00385B1F">
        <w:rPr>
          <w:lang w:val="lv-LV"/>
        </w:rPr>
        <w:t>i</w:t>
      </w:r>
      <w:r w:rsidR="005342EF" w:rsidRPr="00385B1F">
        <w:rPr>
          <w:lang w:val="lv-LV"/>
        </w:rPr>
        <w:t>c</w:t>
      </w:r>
      <w:r w:rsidR="0017030A" w:rsidRPr="00385B1F">
        <w:rPr>
          <w:lang w:val="lv-LV"/>
        </w:rPr>
        <w:t>el</w:t>
      </w:r>
      <w:r w:rsidR="005770FB" w:rsidRPr="00385B1F">
        <w:rPr>
          <w:lang w:val="lv-LV"/>
        </w:rPr>
        <w:t xml:space="preserve">u un </w:t>
      </w:r>
      <w:r w:rsidR="0017030A" w:rsidRPr="00385B1F">
        <w:rPr>
          <w:lang w:val="lv-LV"/>
        </w:rPr>
        <w:t>a</w:t>
      </w:r>
      <w:r w:rsidR="005770FB" w:rsidRPr="00385B1F">
        <w:rPr>
          <w:lang w:val="lv-LV"/>
        </w:rPr>
        <w:t>ks</w:t>
      </w:r>
      <w:r w:rsidR="0017030A" w:rsidRPr="00385B1F">
        <w:rPr>
          <w:lang w:val="lv-LV"/>
        </w:rPr>
        <w:t>i</w:t>
      </w:r>
      <w:r w:rsidR="005770FB" w:rsidRPr="00385B1F">
        <w:rPr>
          <w:lang w:val="lv-LV"/>
        </w:rPr>
        <w:t>k</w:t>
      </w:r>
      <w:r w:rsidR="0017030A" w:rsidRPr="00385B1F">
        <w:rPr>
          <w:lang w:val="lv-LV"/>
        </w:rPr>
        <w:t>abtag</w:t>
      </w:r>
      <w:r w:rsidR="005770FB" w:rsidRPr="00385B1F">
        <w:rPr>
          <w:lang w:val="lv-LV"/>
        </w:rPr>
        <w:t xml:space="preserve">ēna </w:t>
      </w:r>
      <w:r w:rsidR="0017030A" w:rsidRPr="00385B1F">
        <w:rPr>
          <w:lang w:val="lv-LV"/>
        </w:rPr>
        <w:t>cilole</w:t>
      </w:r>
      <w:r w:rsidR="005770FB" w:rsidRPr="00385B1F">
        <w:rPr>
          <w:lang w:val="lv-LV"/>
        </w:rPr>
        <w:t>i</w:t>
      </w:r>
      <w:r w:rsidR="005342EF" w:rsidRPr="00385B1F">
        <w:rPr>
          <w:lang w:val="lv-LV"/>
        </w:rPr>
        <w:t>c</w:t>
      </w:r>
      <w:r w:rsidR="005770FB" w:rsidRPr="00385B1F">
        <w:rPr>
          <w:lang w:val="lv-LV"/>
        </w:rPr>
        <w:t>elu</w:t>
      </w:r>
      <w:r w:rsidR="0017030A" w:rsidRPr="00385B1F">
        <w:rPr>
          <w:lang w:val="lv-LV"/>
        </w:rPr>
        <w:t>) hematoloģisku ļaundabīgo slimību ārstēšanā. Novērtējamie pacienti bija saņēmuši tocilizumabu devā 8</w:t>
      </w:r>
      <w:r w:rsidR="006B36A3" w:rsidRPr="00385B1F">
        <w:rPr>
          <w:lang w:val="lv-LV"/>
        </w:rPr>
        <w:t> </w:t>
      </w:r>
      <w:r w:rsidR="0017030A" w:rsidRPr="00385B1F">
        <w:rPr>
          <w:lang w:val="lv-LV"/>
        </w:rPr>
        <w:t>mg/kg (12</w:t>
      </w:r>
      <w:r w:rsidR="006B36A3" w:rsidRPr="00385B1F">
        <w:rPr>
          <w:lang w:val="lv-LV"/>
        </w:rPr>
        <w:t> </w:t>
      </w:r>
      <w:r w:rsidR="0017030A" w:rsidRPr="00385B1F">
        <w:rPr>
          <w:lang w:val="lv-LV"/>
        </w:rPr>
        <w:t xml:space="preserve">mg/kg pacientiem, kuru ķermeņa masa bija </w:t>
      </w:r>
      <w:r>
        <w:rPr>
          <w:lang w:val="lv-LV"/>
        </w:rPr>
        <w:t>˂ </w:t>
      </w:r>
      <w:r w:rsidR="0017030A" w:rsidRPr="00385B1F">
        <w:rPr>
          <w:lang w:val="lv-LV"/>
        </w:rPr>
        <w:t>30</w:t>
      </w:r>
      <w:r w:rsidR="006B36A3" w:rsidRPr="00385B1F">
        <w:rPr>
          <w:lang w:val="lv-LV"/>
        </w:rPr>
        <w:t> </w:t>
      </w:r>
      <w:r w:rsidR="0017030A" w:rsidRPr="00385B1F">
        <w:rPr>
          <w:lang w:val="lv-LV"/>
        </w:rPr>
        <w:t>kg) kopā ar papildus lietotiem kortikosteroīdiem lielā dev</w:t>
      </w:r>
      <w:r w:rsidR="006B36A3" w:rsidRPr="00385B1F">
        <w:rPr>
          <w:lang w:val="lv-LV"/>
        </w:rPr>
        <w:t>ā</w:t>
      </w:r>
      <w:r w:rsidR="0017030A" w:rsidRPr="00385B1F">
        <w:rPr>
          <w:lang w:val="lv-LV"/>
        </w:rPr>
        <w:t xml:space="preserve"> vai bez tiem, lai ārstētu smagu vai dzīvībai bīstamu CRS; analīzē bija iekļauta tikai pirmā CRS epizode. </w:t>
      </w:r>
      <w:r w:rsidR="008C75D1" w:rsidRPr="00385B1F">
        <w:rPr>
          <w:lang w:val="lv-LV"/>
        </w:rPr>
        <w:t xml:space="preserve">Efektivitātes vērtēšanas populācija </w:t>
      </w:r>
      <w:r w:rsidR="0017030A" w:rsidRPr="00385B1F">
        <w:rPr>
          <w:lang w:val="lv-LV"/>
        </w:rPr>
        <w:t>tisagenle</w:t>
      </w:r>
      <w:r w:rsidR="008C75D1" w:rsidRPr="00385B1F">
        <w:rPr>
          <w:lang w:val="lv-LV"/>
        </w:rPr>
        <w:t>k</w:t>
      </w:r>
      <w:r w:rsidR="0017030A" w:rsidRPr="00385B1F">
        <w:rPr>
          <w:lang w:val="lv-LV"/>
        </w:rPr>
        <w:t>le</w:t>
      </w:r>
      <w:r w:rsidR="008C75D1" w:rsidRPr="00385B1F">
        <w:rPr>
          <w:lang w:val="lv-LV"/>
        </w:rPr>
        <w:t>i</w:t>
      </w:r>
      <w:r w:rsidR="006B36A3" w:rsidRPr="00385B1F">
        <w:rPr>
          <w:lang w:val="lv-LV"/>
        </w:rPr>
        <w:t>c</w:t>
      </w:r>
      <w:r w:rsidR="008C75D1" w:rsidRPr="00385B1F">
        <w:rPr>
          <w:lang w:val="lv-LV"/>
        </w:rPr>
        <w:t xml:space="preserve">ela kohortā ietvēra </w:t>
      </w:r>
      <w:r w:rsidR="0017030A" w:rsidRPr="00385B1F">
        <w:rPr>
          <w:lang w:val="lv-LV"/>
        </w:rPr>
        <w:t>28</w:t>
      </w:r>
      <w:r>
        <w:rPr>
          <w:lang w:val="lv-LV"/>
        </w:rPr>
        <w:t> </w:t>
      </w:r>
      <w:r w:rsidR="008C75D1" w:rsidRPr="00385B1F">
        <w:rPr>
          <w:lang w:val="lv-LV"/>
        </w:rPr>
        <w:t xml:space="preserve">vīriešus un </w:t>
      </w:r>
      <w:r w:rsidR="0017030A" w:rsidRPr="00385B1F">
        <w:rPr>
          <w:lang w:val="lv-LV"/>
        </w:rPr>
        <w:t>23</w:t>
      </w:r>
      <w:r>
        <w:rPr>
          <w:lang w:val="lv-LV"/>
        </w:rPr>
        <w:t> </w:t>
      </w:r>
      <w:r w:rsidR="008C75D1" w:rsidRPr="00385B1F">
        <w:rPr>
          <w:lang w:val="lv-LV"/>
        </w:rPr>
        <w:t xml:space="preserve">sievietes </w:t>
      </w:r>
      <w:r w:rsidR="0017030A" w:rsidRPr="00385B1F">
        <w:rPr>
          <w:lang w:val="lv-LV"/>
        </w:rPr>
        <w:t>(</w:t>
      </w:r>
      <w:r w:rsidR="008C75D1" w:rsidRPr="00385B1F">
        <w:rPr>
          <w:lang w:val="lv-LV"/>
        </w:rPr>
        <w:t xml:space="preserve">kopumā </w:t>
      </w:r>
      <w:r w:rsidR="0017030A" w:rsidRPr="00385B1F">
        <w:rPr>
          <w:lang w:val="lv-LV"/>
        </w:rPr>
        <w:t>51</w:t>
      </w:r>
      <w:r>
        <w:rPr>
          <w:lang w:val="lv-LV"/>
        </w:rPr>
        <w:t> </w:t>
      </w:r>
      <w:r w:rsidR="008C75D1" w:rsidRPr="00385B1F">
        <w:rPr>
          <w:lang w:val="lv-LV"/>
        </w:rPr>
        <w:t>pacientu</w:t>
      </w:r>
      <w:r w:rsidR="0017030A" w:rsidRPr="00385B1F">
        <w:rPr>
          <w:lang w:val="lv-LV"/>
        </w:rPr>
        <w:t xml:space="preserve">) </w:t>
      </w:r>
      <w:r w:rsidR="008C75D1" w:rsidRPr="00385B1F">
        <w:rPr>
          <w:lang w:val="lv-LV"/>
        </w:rPr>
        <w:t xml:space="preserve">ar vecuma mediānu </w:t>
      </w:r>
      <w:r w:rsidR="0017030A" w:rsidRPr="00385B1F">
        <w:rPr>
          <w:lang w:val="lv-LV"/>
        </w:rPr>
        <w:t>17</w:t>
      </w:r>
      <w:r>
        <w:rPr>
          <w:lang w:val="lv-LV"/>
        </w:rPr>
        <w:t> </w:t>
      </w:r>
      <w:r w:rsidR="008C75D1" w:rsidRPr="00385B1F">
        <w:rPr>
          <w:lang w:val="lv-LV"/>
        </w:rPr>
        <w:t xml:space="preserve">gadi </w:t>
      </w:r>
      <w:r w:rsidR="0017030A" w:rsidRPr="00385B1F">
        <w:rPr>
          <w:lang w:val="lv-LV"/>
        </w:rPr>
        <w:t>(</w:t>
      </w:r>
      <w:r w:rsidR="008C75D1" w:rsidRPr="00385B1F">
        <w:rPr>
          <w:lang w:val="lv-LV"/>
        </w:rPr>
        <w:t>diapazons</w:t>
      </w:r>
      <w:r>
        <w:rPr>
          <w:lang w:val="lv-LV"/>
        </w:rPr>
        <w:t>:</w:t>
      </w:r>
      <w:r w:rsidR="008C75D1" w:rsidRPr="00385B1F">
        <w:rPr>
          <w:lang w:val="lv-LV"/>
        </w:rPr>
        <w:t xml:space="preserve"> no </w:t>
      </w:r>
      <w:r w:rsidR="0017030A" w:rsidRPr="00385B1F">
        <w:rPr>
          <w:lang w:val="lv-LV"/>
        </w:rPr>
        <w:t>3</w:t>
      </w:r>
      <w:r>
        <w:rPr>
          <w:lang w:val="lv-LV"/>
        </w:rPr>
        <w:t> </w:t>
      </w:r>
      <w:r w:rsidR="008C75D1" w:rsidRPr="00385B1F">
        <w:rPr>
          <w:lang w:val="lv-LV"/>
        </w:rPr>
        <w:t xml:space="preserve">līdz </w:t>
      </w:r>
      <w:r w:rsidR="0017030A" w:rsidRPr="00385B1F">
        <w:rPr>
          <w:lang w:val="lv-LV"/>
        </w:rPr>
        <w:t>68</w:t>
      </w:r>
      <w:r w:rsidR="008C75D1" w:rsidRPr="00385B1F">
        <w:rPr>
          <w:lang w:val="lv-LV"/>
        </w:rPr>
        <w:t> gadiem</w:t>
      </w:r>
      <w:r w:rsidR="0017030A" w:rsidRPr="00385B1F">
        <w:rPr>
          <w:lang w:val="lv-LV"/>
        </w:rPr>
        <w:t xml:space="preserve">). </w:t>
      </w:r>
      <w:r w:rsidR="005770FB" w:rsidRPr="00E1075D">
        <w:rPr>
          <w:lang w:val="lv-LV"/>
        </w:rPr>
        <w:t xml:space="preserve">Laika mediāna no CRS sākuma līdz pirmajai </w:t>
      </w:r>
      <w:r w:rsidR="0017030A" w:rsidRPr="00E1075D">
        <w:rPr>
          <w:lang w:val="lv-LV"/>
        </w:rPr>
        <w:t>tocilizumab</w:t>
      </w:r>
      <w:r w:rsidR="005770FB" w:rsidRPr="00E1075D">
        <w:rPr>
          <w:lang w:val="lv-LV"/>
        </w:rPr>
        <w:t xml:space="preserve">a devai bija </w:t>
      </w:r>
      <w:r w:rsidR="0017030A" w:rsidRPr="00E1075D">
        <w:rPr>
          <w:lang w:val="lv-LV"/>
        </w:rPr>
        <w:t>3</w:t>
      </w:r>
      <w:r>
        <w:rPr>
          <w:lang w:val="lv-LV"/>
        </w:rPr>
        <w:t> </w:t>
      </w:r>
      <w:r w:rsidR="005770FB" w:rsidRPr="00E1075D">
        <w:rPr>
          <w:lang w:val="lv-LV"/>
        </w:rPr>
        <w:t xml:space="preserve">dienas </w:t>
      </w:r>
      <w:r w:rsidR="0017030A" w:rsidRPr="00E1075D">
        <w:rPr>
          <w:lang w:val="lv-LV"/>
        </w:rPr>
        <w:t>(</w:t>
      </w:r>
      <w:r w:rsidR="005770FB" w:rsidRPr="00E1075D">
        <w:rPr>
          <w:lang w:val="lv-LV"/>
        </w:rPr>
        <w:t>diapazons</w:t>
      </w:r>
      <w:r>
        <w:rPr>
          <w:lang w:val="lv-LV"/>
        </w:rPr>
        <w:t>:</w:t>
      </w:r>
      <w:r w:rsidR="005770FB" w:rsidRPr="00E1075D">
        <w:rPr>
          <w:lang w:val="lv-LV"/>
        </w:rPr>
        <w:t xml:space="preserve"> </w:t>
      </w:r>
      <w:r w:rsidR="0017030A" w:rsidRPr="00E1075D">
        <w:rPr>
          <w:lang w:val="lv-LV"/>
        </w:rPr>
        <w:t>0–18</w:t>
      </w:r>
      <w:ins w:id="330" w:author="Author">
        <w:r w:rsidR="00C05EDC">
          <w:rPr>
            <w:lang w:val="lv-LV"/>
          </w:rPr>
          <w:t> </w:t>
        </w:r>
      </w:ins>
      <w:del w:id="331" w:author="Author">
        <w:r w:rsidR="0017030A" w:rsidRPr="00E1075D" w:rsidDel="00C05EDC">
          <w:rPr>
            <w:lang w:val="lv-LV"/>
          </w:rPr>
          <w:delText xml:space="preserve"> </w:delText>
        </w:r>
      </w:del>
      <w:r w:rsidR="005770FB" w:rsidRPr="00E1075D">
        <w:rPr>
          <w:lang w:val="lv-LV"/>
        </w:rPr>
        <w:t>dienas</w:t>
      </w:r>
      <w:r w:rsidR="0017030A" w:rsidRPr="00E1075D">
        <w:rPr>
          <w:lang w:val="lv-LV"/>
        </w:rPr>
        <w:t xml:space="preserve">). </w:t>
      </w:r>
      <w:r w:rsidR="0017030A" w:rsidRPr="00E1075D">
        <w:rPr>
          <w:szCs w:val="22"/>
          <w:lang w:val="lv-LV" w:eastAsia="en-GB"/>
        </w:rPr>
        <w:t xml:space="preserve">CRS </w:t>
      </w:r>
      <w:r w:rsidR="005770FB" w:rsidRPr="00E1075D">
        <w:rPr>
          <w:szCs w:val="22"/>
          <w:lang w:val="lv-LV" w:eastAsia="en-GB"/>
        </w:rPr>
        <w:t xml:space="preserve">izzušanu definēja kā drudža neesamību un vazopresoru nelietošanu vismaz </w:t>
      </w:r>
      <w:r w:rsidR="0017030A" w:rsidRPr="00E1075D">
        <w:rPr>
          <w:szCs w:val="22"/>
          <w:lang w:val="lv-LV" w:eastAsia="en-GB"/>
        </w:rPr>
        <w:t>24</w:t>
      </w:r>
      <w:r w:rsidR="006B36A3" w:rsidRPr="00E1075D">
        <w:rPr>
          <w:szCs w:val="22"/>
          <w:lang w:val="lv-LV" w:eastAsia="en-GB"/>
        </w:rPr>
        <w:t> </w:t>
      </w:r>
      <w:r w:rsidR="005770FB" w:rsidRPr="00E1075D">
        <w:rPr>
          <w:szCs w:val="22"/>
          <w:lang w:val="lv-LV" w:eastAsia="en-GB"/>
        </w:rPr>
        <w:t>stund</w:t>
      </w:r>
      <w:r w:rsidR="006B36A3" w:rsidRPr="00E1075D">
        <w:rPr>
          <w:szCs w:val="22"/>
          <w:lang w:val="lv-LV" w:eastAsia="en-GB"/>
        </w:rPr>
        <w:t>as</w:t>
      </w:r>
      <w:r w:rsidR="0017030A" w:rsidRPr="00E1075D">
        <w:rPr>
          <w:szCs w:val="22"/>
          <w:lang w:val="lv-LV"/>
        </w:rPr>
        <w:t>.</w:t>
      </w:r>
      <w:r w:rsidR="0017030A" w:rsidRPr="00E1075D">
        <w:rPr>
          <w:lang w:val="lv-LV"/>
        </w:rPr>
        <w:t xml:space="preserve"> </w:t>
      </w:r>
      <w:r w:rsidR="005770FB" w:rsidRPr="00E1075D">
        <w:rPr>
          <w:lang w:val="lv-LV"/>
        </w:rPr>
        <w:t xml:space="preserve">Uzskatīja, ka pacientiem ir atbildes reakcija, ja </w:t>
      </w:r>
      <w:r w:rsidR="0017030A" w:rsidRPr="00E1075D">
        <w:rPr>
          <w:lang w:val="lv-LV"/>
        </w:rPr>
        <w:t xml:space="preserve">CRS </w:t>
      </w:r>
      <w:r w:rsidR="005770FB" w:rsidRPr="00E1075D">
        <w:rPr>
          <w:lang w:val="lv-LV"/>
        </w:rPr>
        <w:t xml:space="preserve">izzuda 14 dienu laikā pēc </w:t>
      </w:r>
      <w:r w:rsidR="0017030A" w:rsidRPr="00E1075D">
        <w:rPr>
          <w:lang w:val="lv-LV"/>
        </w:rPr>
        <w:t>tocilizumab</w:t>
      </w:r>
      <w:r w:rsidR="005770FB" w:rsidRPr="00E1075D">
        <w:rPr>
          <w:lang w:val="lv-LV"/>
        </w:rPr>
        <w:t>a</w:t>
      </w:r>
      <w:r w:rsidR="006B36A3" w:rsidRPr="00E1075D">
        <w:rPr>
          <w:lang w:val="lv-LV"/>
        </w:rPr>
        <w:t xml:space="preserve"> pirmās</w:t>
      </w:r>
      <w:r w:rsidR="005770FB" w:rsidRPr="00E1075D">
        <w:rPr>
          <w:lang w:val="lv-LV"/>
        </w:rPr>
        <w:t xml:space="preserve"> devas lietošanas</w:t>
      </w:r>
      <w:r w:rsidR="0017030A" w:rsidRPr="00E1075D">
        <w:rPr>
          <w:lang w:val="lv-LV"/>
        </w:rPr>
        <w:t xml:space="preserve">, </w:t>
      </w:r>
      <w:r w:rsidR="005770FB" w:rsidRPr="00E1075D">
        <w:rPr>
          <w:lang w:val="lv-LV"/>
        </w:rPr>
        <w:t xml:space="preserve">ja nebija nepieciešams vairāk par </w:t>
      </w:r>
      <w:r w:rsidR="0017030A" w:rsidRPr="00E1075D">
        <w:rPr>
          <w:lang w:val="lv-LV"/>
        </w:rPr>
        <w:t>2</w:t>
      </w:r>
      <w:r>
        <w:rPr>
          <w:lang w:val="lv-LV"/>
        </w:rPr>
        <w:t> </w:t>
      </w:r>
      <w:r w:rsidR="005770FB" w:rsidRPr="00E1075D">
        <w:rPr>
          <w:lang w:val="lv-LV"/>
        </w:rPr>
        <w:t xml:space="preserve">devām un ja ārstēšanai neizmantoja nekādas citas zāles, izņemot </w:t>
      </w:r>
      <w:r>
        <w:rPr>
          <w:lang w:val="lv-LV"/>
        </w:rPr>
        <w:t>tocilizumabu</w:t>
      </w:r>
      <w:r w:rsidRPr="00E1075D">
        <w:rPr>
          <w:lang w:val="lv-LV"/>
        </w:rPr>
        <w:t xml:space="preserve"> </w:t>
      </w:r>
      <w:r w:rsidR="005770FB" w:rsidRPr="00E1075D">
        <w:rPr>
          <w:lang w:val="lv-LV"/>
        </w:rPr>
        <w:t>un kortikosteroīdus</w:t>
      </w:r>
      <w:r w:rsidR="0017030A" w:rsidRPr="00E1075D">
        <w:rPr>
          <w:lang w:val="lv-LV"/>
        </w:rPr>
        <w:t xml:space="preserve">. </w:t>
      </w:r>
      <w:r w:rsidR="008C75D1" w:rsidRPr="00E1075D">
        <w:rPr>
          <w:lang w:val="lv-LV"/>
        </w:rPr>
        <w:t xml:space="preserve">Atbildes reakcija bija konstatējama trīsdesmit deviņiem pacientiem </w:t>
      </w:r>
      <w:r w:rsidR="0017030A" w:rsidRPr="00E1075D">
        <w:rPr>
          <w:lang w:val="lv-LV"/>
        </w:rPr>
        <w:t>(76</w:t>
      </w:r>
      <w:r w:rsidR="008C75D1" w:rsidRPr="00E1075D">
        <w:rPr>
          <w:lang w:val="lv-LV"/>
        </w:rPr>
        <w:t>,</w:t>
      </w:r>
      <w:r w:rsidR="0017030A" w:rsidRPr="00E1075D">
        <w:rPr>
          <w:lang w:val="lv-LV"/>
        </w:rPr>
        <w:t xml:space="preserve">5%; 95% </w:t>
      </w:r>
      <w:r w:rsidR="008C75D1" w:rsidRPr="00E1075D">
        <w:rPr>
          <w:lang w:val="lv-LV"/>
        </w:rPr>
        <w:t>T</w:t>
      </w:r>
      <w:r w:rsidR="0017030A" w:rsidRPr="00E1075D">
        <w:rPr>
          <w:lang w:val="lv-LV"/>
        </w:rPr>
        <w:t>I: 62</w:t>
      </w:r>
      <w:r w:rsidR="008C75D1" w:rsidRPr="00E1075D">
        <w:rPr>
          <w:lang w:val="lv-LV"/>
        </w:rPr>
        <w:t>,</w:t>
      </w:r>
      <w:r w:rsidR="0017030A" w:rsidRPr="00E1075D">
        <w:rPr>
          <w:lang w:val="lv-LV"/>
        </w:rPr>
        <w:t>5%–87</w:t>
      </w:r>
      <w:r w:rsidR="008C75D1" w:rsidRPr="00E1075D">
        <w:rPr>
          <w:lang w:val="lv-LV"/>
        </w:rPr>
        <w:t>,</w:t>
      </w:r>
      <w:r w:rsidR="0017030A" w:rsidRPr="00E1075D">
        <w:rPr>
          <w:lang w:val="lv-LV"/>
        </w:rPr>
        <w:t xml:space="preserve">2%). </w:t>
      </w:r>
      <w:r w:rsidR="009A3CF8" w:rsidRPr="00E1075D">
        <w:rPr>
          <w:lang w:val="lv-LV"/>
        </w:rPr>
        <w:t xml:space="preserve">Neatkarīgā 15 pacientu kohortā </w:t>
      </w:r>
      <w:r w:rsidR="0017030A" w:rsidRPr="00E1075D">
        <w:rPr>
          <w:lang w:val="lv-LV"/>
        </w:rPr>
        <w:t>(</w:t>
      </w:r>
      <w:r w:rsidR="009A3CF8" w:rsidRPr="00E1075D">
        <w:rPr>
          <w:lang w:val="lv-LV"/>
        </w:rPr>
        <w:t>vecuma diapazons</w:t>
      </w:r>
      <w:r>
        <w:rPr>
          <w:lang w:val="lv-LV"/>
        </w:rPr>
        <w:t>:</w:t>
      </w:r>
      <w:r w:rsidR="009A3CF8" w:rsidRPr="00E1075D">
        <w:rPr>
          <w:lang w:val="lv-LV"/>
        </w:rPr>
        <w:t xml:space="preserve"> </w:t>
      </w:r>
      <w:r w:rsidR="0017030A" w:rsidRPr="00E1075D">
        <w:rPr>
          <w:lang w:val="lv-LV"/>
        </w:rPr>
        <w:t>9–75</w:t>
      </w:r>
      <w:ins w:id="332" w:author="Author">
        <w:r w:rsidR="00065CD4">
          <w:rPr>
            <w:lang w:val="lv-LV"/>
          </w:rPr>
          <w:t> </w:t>
        </w:r>
      </w:ins>
      <w:del w:id="333" w:author="Author">
        <w:r w:rsidR="0017030A" w:rsidRPr="00E1075D" w:rsidDel="00065CD4">
          <w:rPr>
            <w:lang w:val="lv-LV"/>
          </w:rPr>
          <w:delText xml:space="preserve"> </w:delText>
        </w:r>
      </w:del>
      <w:r w:rsidR="009A3CF8" w:rsidRPr="00E1075D">
        <w:rPr>
          <w:lang w:val="lv-LV"/>
        </w:rPr>
        <w:t>gadi</w:t>
      </w:r>
      <w:r w:rsidR="0017030A" w:rsidRPr="00E1075D">
        <w:rPr>
          <w:lang w:val="lv-LV"/>
        </w:rPr>
        <w:t>)</w:t>
      </w:r>
      <w:r w:rsidR="009A3CF8" w:rsidRPr="00E1075D">
        <w:rPr>
          <w:lang w:val="lv-LV"/>
        </w:rPr>
        <w:t xml:space="preserve"> ar </w:t>
      </w:r>
      <w:r w:rsidR="0017030A" w:rsidRPr="00E1075D">
        <w:rPr>
          <w:lang w:val="lv-LV"/>
        </w:rPr>
        <w:t>a</w:t>
      </w:r>
      <w:r w:rsidR="009A3CF8" w:rsidRPr="00E1075D">
        <w:rPr>
          <w:lang w:val="lv-LV"/>
        </w:rPr>
        <w:t>ks</w:t>
      </w:r>
      <w:r w:rsidR="0017030A" w:rsidRPr="00E1075D">
        <w:rPr>
          <w:lang w:val="lv-LV"/>
        </w:rPr>
        <w:t>i</w:t>
      </w:r>
      <w:r w:rsidR="009A3CF8" w:rsidRPr="00E1075D">
        <w:rPr>
          <w:lang w:val="lv-LV"/>
        </w:rPr>
        <w:t>k</w:t>
      </w:r>
      <w:r w:rsidR="0017030A" w:rsidRPr="00E1075D">
        <w:rPr>
          <w:lang w:val="lv-LV"/>
        </w:rPr>
        <w:t>abtag</w:t>
      </w:r>
      <w:r w:rsidR="009A3CF8" w:rsidRPr="00E1075D">
        <w:rPr>
          <w:lang w:val="lv-LV"/>
        </w:rPr>
        <w:t xml:space="preserve">ēna </w:t>
      </w:r>
      <w:r w:rsidR="0017030A" w:rsidRPr="00E1075D">
        <w:rPr>
          <w:lang w:val="lv-LV"/>
        </w:rPr>
        <w:t>cilole</w:t>
      </w:r>
      <w:r w:rsidR="009A3CF8" w:rsidRPr="00E1075D">
        <w:rPr>
          <w:lang w:val="lv-LV"/>
        </w:rPr>
        <w:t>i</w:t>
      </w:r>
      <w:r w:rsidR="006B36A3" w:rsidRPr="00E1075D">
        <w:rPr>
          <w:lang w:val="lv-LV"/>
        </w:rPr>
        <w:t>c</w:t>
      </w:r>
      <w:r w:rsidR="009A3CF8" w:rsidRPr="00E1075D">
        <w:rPr>
          <w:lang w:val="lv-LV"/>
        </w:rPr>
        <w:t xml:space="preserve">ela inducētu </w:t>
      </w:r>
      <w:r w:rsidR="0017030A" w:rsidRPr="00E1075D">
        <w:rPr>
          <w:lang w:val="lv-LV"/>
        </w:rPr>
        <w:t>CRS</w:t>
      </w:r>
      <w:r w:rsidR="009A3CF8" w:rsidRPr="00E1075D">
        <w:rPr>
          <w:lang w:val="lv-LV"/>
        </w:rPr>
        <w:t xml:space="preserve"> atbildes reakcija bija konstatējama </w:t>
      </w:r>
      <w:r w:rsidR="0017030A" w:rsidRPr="00E1075D">
        <w:rPr>
          <w:lang w:val="lv-LV"/>
        </w:rPr>
        <w:t xml:space="preserve">53% </w:t>
      </w:r>
      <w:r w:rsidR="009A3CF8" w:rsidRPr="00E1075D">
        <w:rPr>
          <w:lang w:val="lv-LV"/>
        </w:rPr>
        <w:t>pacientu</w:t>
      </w:r>
      <w:r w:rsidR="0017030A" w:rsidRPr="00E1075D">
        <w:rPr>
          <w:lang w:val="lv-LV"/>
        </w:rPr>
        <w:t>.</w:t>
      </w:r>
    </w:p>
    <w:p w14:paraId="714EEFAE" w14:textId="77777777" w:rsidR="0017030A" w:rsidRPr="00E1075D" w:rsidRDefault="0017030A" w:rsidP="0017030A">
      <w:pPr>
        <w:rPr>
          <w:lang w:val="lv-LV"/>
        </w:rPr>
      </w:pPr>
    </w:p>
    <w:p w14:paraId="7C4DD9F9" w14:textId="5E248B59" w:rsidR="00FE23EF" w:rsidRPr="00FE23EF" w:rsidRDefault="00FE23EF" w:rsidP="00FE23EF">
      <w:pPr>
        <w:rPr>
          <w:szCs w:val="22"/>
          <w:lang w:val="lv-LV"/>
        </w:rPr>
      </w:pPr>
      <w:r w:rsidRPr="00FE23EF">
        <w:rPr>
          <w:szCs w:val="22"/>
          <w:lang w:val="lv-LV"/>
        </w:rPr>
        <w:t xml:space="preserve">Eiropas Zāļu Aģentūra atbrīvojusi no pienākuma iesniegt </w:t>
      </w:r>
      <w:r w:rsidR="00CD68FA">
        <w:rPr>
          <w:szCs w:val="22"/>
          <w:lang w:val="lv-LV"/>
        </w:rPr>
        <w:t>tocilizumaba</w:t>
      </w:r>
      <w:r w:rsidR="00CD68FA" w:rsidRPr="00FE23EF">
        <w:rPr>
          <w:szCs w:val="22"/>
          <w:lang w:val="lv-LV"/>
        </w:rPr>
        <w:t xml:space="preserve"> </w:t>
      </w:r>
      <w:r w:rsidRPr="00FE23EF">
        <w:rPr>
          <w:szCs w:val="22"/>
          <w:lang w:val="lv-LV"/>
        </w:rPr>
        <w:t xml:space="preserve">pētījumu rezultātus visās pediatriskās populācijas apakšgrupās citokīnu atbrīvošanās sindroma, ko inducējuši </w:t>
      </w:r>
      <w:r>
        <w:rPr>
          <w:szCs w:val="22"/>
          <w:lang w:val="lv-LV"/>
        </w:rPr>
        <w:t>CAR</w:t>
      </w:r>
      <w:r w:rsidR="00CD68FA">
        <w:rPr>
          <w:szCs w:val="22"/>
          <w:lang w:val="lv-LV"/>
        </w:rPr>
        <w:t> </w:t>
      </w:r>
      <w:del w:id="334" w:author="Author">
        <w:r w:rsidDel="00CE6B8D">
          <w:rPr>
            <w:szCs w:val="22"/>
            <w:lang w:val="lv-LV"/>
          </w:rPr>
          <w:delText xml:space="preserve"> </w:delText>
        </w:r>
      </w:del>
      <w:r>
        <w:rPr>
          <w:szCs w:val="22"/>
          <w:lang w:val="lv-LV"/>
        </w:rPr>
        <w:t>T</w:t>
      </w:r>
      <w:r w:rsidR="00CD68FA">
        <w:rPr>
          <w:szCs w:val="22"/>
          <w:lang w:val="lv-LV"/>
        </w:rPr>
        <w:t> </w:t>
      </w:r>
      <w:r>
        <w:rPr>
          <w:szCs w:val="22"/>
          <w:lang w:val="lv-LV"/>
        </w:rPr>
        <w:t>limfocīti, ārstēšanā.</w:t>
      </w:r>
    </w:p>
    <w:p w14:paraId="651C3519" w14:textId="5707A260" w:rsidR="00D64177" w:rsidRDefault="00D64177" w:rsidP="00D64177">
      <w:pPr>
        <w:rPr>
          <w:lang w:val="lv-LV"/>
        </w:rPr>
      </w:pPr>
    </w:p>
    <w:p w14:paraId="5AED344F" w14:textId="3B02AE9C" w:rsidR="00D64177" w:rsidRPr="00D64177" w:rsidRDefault="00D64177">
      <w:pPr>
        <w:keepNext/>
        <w:rPr>
          <w:lang w:val="lv-LV"/>
        </w:rPr>
        <w:pPrChange w:id="335" w:author="Author">
          <w:pPr/>
        </w:pPrChange>
      </w:pPr>
      <w:r>
        <w:rPr>
          <w:u w:val="single"/>
          <w:lang w:val="lv-LV"/>
        </w:rPr>
        <w:t>COVID</w:t>
      </w:r>
      <w:r w:rsidR="00CD68FA">
        <w:rPr>
          <w:u w:val="single"/>
          <w:lang w:val="lv-LV"/>
        </w:rPr>
        <w:noBreakHyphen/>
      </w:r>
      <w:r>
        <w:rPr>
          <w:u w:val="single"/>
          <w:lang w:val="lv-LV"/>
        </w:rPr>
        <w:t>19</w:t>
      </w:r>
    </w:p>
    <w:p w14:paraId="062DE863" w14:textId="7906084D" w:rsidR="00D64177" w:rsidRPr="00FE23EF" w:rsidRDefault="00D64177" w:rsidP="00D64177">
      <w:pPr>
        <w:rPr>
          <w:szCs w:val="22"/>
          <w:lang w:val="lv-LV"/>
        </w:rPr>
      </w:pPr>
      <w:r w:rsidRPr="00FE23EF">
        <w:rPr>
          <w:szCs w:val="22"/>
          <w:lang w:val="lv-LV"/>
        </w:rPr>
        <w:t xml:space="preserve">Eiropas Zāļu Aģentūra </w:t>
      </w:r>
      <w:r w:rsidR="009F4345">
        <w:rPr>
          <w:szCs w:val="22"/>
          <w:lang w:val="lv-LV"/>
        </w:rPr>
        <w:t>atliek</w:t>
      </w:r>
      <w:r w:rsidRPr="00FE23EF">
        <w:rPr>
          <w:szCs w:val="22"/>
          <w:lang w:val="lv-LV"/>
        </w:rPr>
        <w:t xml:space="preserve"> pienākum</w:t>
      </w:r>
      <w:r>
        <w:rPr>
          <w:szCs w:val="22"/>
          <w:lang w:val="lv-LV"/>
        </w:rPr>
        <w:t>u</w:t>
      </w:r>
      <w:r w:rsidRPr="00FE23EF">
        <w:rPr>
          <w:szCs w:val="22"/>
          <w:lang w:val="lv-LV"/>
        </w:rPr>
        <w:t xml:space="preserve"> iesniegt </w:t>
      </w:r>
      <w:r w:rsidR="00CD68FA">
        <w:rPr>
          <w:szCs w:val="22"/>
          <w:lang w:val="lv-LV"/>
        </w:rPr>
        <w:t>tocilizumaba</w:t>
      </w:r>
      <w:r w:rsidR="00CD68FA" w:rsidRPr="00FE23EF">
        <w:rPr>
          <w:szCs w:val="22"/>
          <w:lang w:val="lv-LV"/>
        </w:rPr>
        <w:t xml:space="preserve"> </w:t>
      </w:r>
      <w:r w:rsidRPr="00FE23EF">
        <w:rPr>
          <w:szCs w:val="22"/>
          <w:lang w:val="lv-LV"/>
        </w:rPr>
        <w:t xml:space="preserve">pētījumu rezultātus </w:t>
      </w:r>
      <w:r>
        <w:rPr>
          <w:szCs w:val="22"/>
          <w:lang w:val="lv-LV"/>
        </w:rPr>
        <w:t>par COVID</w:t>
      </w:r>
      <w:r w:rsidR="00CD68FA">
        <w:rPr>
          <w:szCs w:val="22"/>
          <w:lang w:val="lv-LV"/>
        </w:rPr>
        <w:noBreakHyphen/>
      </w:r>
      <w:r>
        <w:rPr>
          <w:szCs w:val="22"/>
          <w:lang w:val="lv-LV"/>
        </w:rPr>
        <w:t xml:space="preserve">19 ārstēšanu vienā vai vairākās </w:t>
      </w:r>
      <w:r w:rsidRPr="00FE23EF">
        <w:rPr>
          <w:szCs w:val="22"/>
          <w:lang w:val="lv-LV"/>
        </w:rPr>
        <w:t>pediatriskās populācijas apakšgrupā</w:t>
      </w:r>
      <w:r>
        <w:rPr>
          <w:szCs w:val="22"/>
          <w:lang w:val="lv-LV"/>
        </w:rPr>
        <w:t>s.</w:t>
      </w:r>
    </w:p>
    <w:p w14:paraId="51B02343" w14:textId="77777777" w:rsidR="0017030A" w:rsidRDefault="0017030A">
      <w:pPr>
        <w:rPr>
          <w:szCs w:val="22"/>
          <w:lang w:val="lv-LV"/>
        </w:rPr>
      </w:pPr>
    </w:p>
    <w:p w14:paraId="6D459A47" w14:textId="77777777" w:rsidR="00784D05" w:rsidRDefault="00784D05">
      <w:pPr>
        <w:keepNext/>
        <w:keepLines/>
        <w:rPr>
          <w:szCs w:val="22"/>
          <w:lang w:val="lv-LV"/>
        </w:rPr>
      </w:pPr>
      <w:r>
        <w:rPr>
          <w:b/>
          <w:szCs w:val="22"/>
          <w:lang w:val="lv-LV"/>
        </w:rPr>
        <w:t>5.2.</w:t>
      </w:r>
      <w:r>
        <w:rPr>
          <w:b/>
          <w:szCs w:val="22"/>
          <w:lang w:val="lv-LV"/>
        </w:rPr>
        <w:tab/>
        <w:t xml:space="preserve">Farmakokinētiskās īpašības </w:t>
      </w:r>
    </w:p>
    <w:p w14:paraId="412130CF" w14:textId="77777777" w:rsidR="00784D05" w:rsidRPr="00707120" w:rsidRDefault="00784D05">
      <w:pPr>
        <w:keepNext/>
        <w:rPr>
          <w:bCs/>
          <w:szCs w:val="22"/>
          <w:u w:val="single"/>
          <w:lang w:val="lv-LV"/>
        </w:rPr>
      </w:pPr>
    </w:p>
    <w:p w14:paraId="54EB1447" w14:textId="77777777" w:rsidR="00D64177" w:rsidRDefault="00D64177" w:rsidP="00D64177">
      <w:pPr>
        <w:keepNext/>
        <w:rPr>
          <w:bCs/>
          <w:szCs w:val="22"/>
          <w:u w:val="single"/>
          <w:lang w:val="lv-LV"/>
        </w:rPr>
      </w:pPr>
      <w:r>
        <w:rPr>
          <w:bCs/>
          <w:szCs w:val="22"/>
          <w:u w:val="single"/>
          <w:lang w:val="lv-LV"/>
        </w:rPr>
        <w:t>Pacienti ar RA</w:t>
      </w:r>
    </w:p>
    <w:p w14:paraId="6DD3E41E" w14:textId="618CBAE5" w:rsidR="00784D05" w:rsidRDefault="00784D05" w:rsidP="00270A92">
      <w:pPr>
        <w:keepNext/>
        <w:rPr>
          <w:szCs w:val="22"/>
          <w:lang w:val="lv-LV"/>
        </w:rPr>
      </w:pPr>
      <w:r>
        <w:rPr>
          <w:szCs w:val="22"/>
          <w:lang w:val="lv-LV"/>
        </w:rPr>
        <w:t>Tocilizumaba farmakokinētika tika noteikta, izmantojot populācijas farmakokinētikas analīzi datu bāzei, kurā iekļauti 3552</w:t>
      </w:r>
      <w:r w:rsidR="00CD68FA">
        <w:rPr>
          <w:szCs w:val="22"/>
          <w:lang w:val="lv-LV"/>
        </w:rPr>
        <w:t> </w:t>
      </w:r>
      <w:r>
        <w:rPr>
          <w:szCs w:val="22"/>
          <w:lang w:val="lv-LV"/>
        </w:rPr>
        <w:t>RA slimnieki, kas ārstēti ar vienu stundu ilgu 4 vai 8 mg/kg tocilizumaba infūziju ik pēc 4 nedēļām 24 nedēļas vai ar 162</w:t>
      </w:r>
      <w:r w:rsidR="0066410C">
        <w:rPr>
          <w:szCs w:val="22"/>
          <w:lang w:val="lv-LV"/>
        </w:rPr>
        <w:t> </w:t>
      </w:r>
      <w:r>
        <w:rPr>
          <w:szCs w:val="22"/>
          <w:lang w:val="lv-LV"/>
        </w:rPr>
        <w:t>mg subkutāni ievadītu tocilizumabu vienu reizi nedēļā vai katru otro nedēļu 24</w:t>
      </w:r>
      <w:r w:rsidR="00CD68FA">
        <w:rPr>
          <w:szCs w:val="22"/>
          <w:lang w:val="lv-LV"/>
        </w:rPr>
        <w:t> </w:t>
      </w:r>
      <w:r>
        <w:rPr>
          <w:szCs w:val="22"/>
          <w:lang w:val="lv-LV"/>
        </w:rPr>
        <w:t xml:space="preserve">nedēļas. </w:t>
      </w:r>
    </w:p>
    <w:p w14:paraId="74E33C9F" w14:textId="77777777" w:rsidR="00784D05" w:rsidRDefault="00784D05">
      <w:pPr>
        <w:rPr>
          <w:szCs w:val="22"/>
          <w:lang w:val="lv-LV"/>
        </w:rPr>
      </w:pPr>
    </w:p>
    <w:p w14:paraId="4C9984FD" w14:textId="2521B927" w:rsidR="00784D05" w:rsidRDefault="00784D05">
      <w:pPr>
        <w:rPr>
          <w:szCs w:val="22"/>
          <w:lang w:val="lv-LV"/>
        </w:rPr>
      </w:pPr>
      <w:r>
        <w:rPr>
          <w:szCs w:val="22"/>
          <w:lang w:val="lv-LV"/>
        </w:rPr>
        <w:t>Lietojot 8 mg/kg tocilizumaba ik pēc 4</w:t>
      </w:r>
      <w:r w:rsidR="00CD68FA">
        <w:rPr>
          <w:szCs w:val="22"/>
          <w:lang w:val="lv-LV"/>
        </w:rPr>
        <w:t> </w:t>
      </w:r>
      <w:r>
        <w:rPr>
          <w:szCs w:val="22"/>
          <w:lang w:val="lv-LV"/>
        </w:rPr>
        <w:t xml:space="preserve">nedēļām, iegūti šādi dati: (paredzamais vidējais </w:t>
      </w:r>
      <w:r w:rsidR="00CD68FA">
        <w:rPr>
          <w:szCs w:val="22"/>
          <w:lang w:val="lv-LV"/>
        </w:rPr>
        <w:t>±</w:t>
      </w:r>
      <w:r>
        <w:rPr>
          <w:szCs w:val="22"/>
          <w:lang w:val="lv-LV"/>
        </w:rPr>
        <w:t> SN): tocilizumaba laukums zem līknes (AUC)</w:t>
      </w:r>
      <w:del w:id="336" w:author="Author">
        <w:r w:rsidDel="00C05EDC">
          <w:rPr>
            <w:szCs w:val="22"/>
            <w:lang w:val="lv-LV"/>
          </w:rPr>
          <w:delText xml:space="preserve"> </w:delText>
        </w:r>
      </w:del>
      <w:r>
        <w:rPr>
          <w:szCs w:val="22"/>
          <w:lang w:val="lv-LV"/>
        </w:rPr>
        <w:t>=</w:t>
      </w:r>
      <w:ins w:id="337" w:author="Author">
        <w:r w:rsidR="00C05EDC">
          <w:rPr>
            <w:szCs w:val="22"/>
            <w:lang w:val="lv-LV"/>
          </w:rPr>
          <w:t> </w:t>
        </w:r>
      </w:ins>
      <w:del w:id="338" w:author="Author">
        <w:r w:rsidDel="00C05EDC">
          <w:rPr>
            <w:szCs w:val="22"/>
            <w:lang w:val="lv-LV"/>
          </w:rPr>
          <w:delText xml:space="preserve"> </w:delText>
        </w:r>
      </w:del>
      <w:r>
        <w:rPr>
          <w:iCs/>
          <w:lang w:val="lv-LV"/>
        </w:rPr>
        <w:t>38</w:t>
      </w:r>
      <w:r w:rsidR="00CD68FA">
        <w:rPr>
          <w:iCs/>
          <w:lang w:val="lv-LV"/>
        </w:rPr>
        <w:t> </w:t>
      </w:r>
      <w:r>
        <w:rPr>
          <w:iCs/>
          <w:lang w:val="lv-LV"/>
        </w:rPr>
        <w:t>000 </w:t>
      </w:r>
      <w:r w:rsidR="00C91811" w:rsidRPr="00C91811">
        <w:rPr>
          <w:iCs/>
          <w:lang w:val="lv-LV"/>
        </w:rPr>
        <w:t>±</w:t>
      </w:r>
      <w:r>
        <w:rPr>
          <w:iCs/>
          <w:lang w:val="lv-LV"/>
        </w:rPr>
        <w:t> 13</w:t>
      </w:r>
      <w:r w:rsidR="00CD68FA">
        <w:rPr>
          <w:iCs/>
          <w:lang w:val="lv-LV"/>
        </w:rPr>
        <w:t> </w:t>
      </w:r>
      <w:r>
        <w:rPr>
          <w:iCs/>
          <w:lang w:val="lv-LV"/>
        </w:rPr>
        <w:t>000 h</w:t>
      </w:r>
      <w:r w:rsidR="00C91811">
        <w:rPr>
          <w:iCs/>
          <w:lang w:val="lv-LV"/>
        </w:rPr>
        <w:t>·</w:t>
      </w:r>
      <w:r>
        <w:rPr>
          <w:iCs/>
          <w:lang w:val="lv-LV"/>
        </w:rPr>
        <w:t>µg/ml</w:t>
      </w:r>
      <w:r>
        <w:rPr>
          <w:szCs w:val="22"/>
          <w:lang w:val="lv-LV"/>
        </w:rPr>
        <w:t>, vidējā minimālā koncentrācija (C</w:t>
      </w:r>
      <w:r>
        <w:rPr>
          <w:szCs w:val="22"/>
          <w:vertAlign w:val="subscript"/>
          <w:lang w:val="lv-LV"/>
        </w:rPr>
        <w:t>min</w:t>
      </w:r>
      <w:r>
        <w:rPr>
          <w:szCs w:val="22"/>
          <w:lang w:val="lv-LV"/>
        </w:rPr>
        <w:t>)</w:t>
      </w:r>
      <w:del w:id="339" w:author="Author">
        <w:r w:rsidDel="00C90263">
          <w:rPr>
            <w:szCs w:val="22"/>
            <w:lang w:val="lv-LV"/>
          </w:rPr>
          <w:delText xml:space="preserve"> </w:delText>
        </w:r>
      </w:del>
      <w:r>
        <w:rPr>
          <w:iCs/>
          <w:lang w:val="lv-LV"/>
        </w:rPr>
        <w:t>=</w:t>
      </w:r>
      <w:ins w:id="340" w:author="Author">
        <w:r w:rsidR="00C90263">
          <w:rPr>
            <w:iCs/>
            <w:lang w:val="lv-LV"/>
          </w:rPr>
          <w:t> </w:t>
        </w:r>
      </w:ins>
      <w:del w:id="341" w:author="Author">
        <w:r w:rsidDel="00C90263">
          <w:rPr>
            <w:iCs/>
            <w:lang w:val="lv-LV"/>
          </w:rPr>
          <w:delText xml:space="preserve"> </w:delText>
        </w:r>
      </w:del>
      <w:r>
        <w:rPr>
          <w:iCs/>
          <w:lang w:val="lv-LV"/>
        </w:rPr>
        <w:t>15,9</w:t>
      </w:r>
      <w:r w:rsidR="00CD68FA">
        <w:rPr>
          <w:iCs/>
          <w:lang w:val="lv-LV"/>
        </w:rPr>
        <w:t> </w:t>
      </w:r>
      <w:r w:rsidR="00C91811" w:rsidRPr="00C91811">
        <w:rPr>
          <w:iCs/>
          <w:lang w:val="lv-LV"/>
        </w:rPr>
        <w:t>±</w:t>
      </w:r>
      <w:r>
        <w:rPr>
          <w:iCs/>
          <w:lang w:val="lv-LV"/>
        </w:rPr>
        <w:t> 13,1 </w:t>
      </w:r>
      <w:r w:rsidR="00C91811" w:rsidRPr="00C91811">
        <w:rPr>
          <w:iCs/>
          <w:lang w:val="lv-LV"/>
        </w:rPr>
        <w:t>μ</w:t>
      </w:r>
      <w:r>
        <w:rPr>
          <w:iCs/>
          <w:lang w:val="lv-LV"/>
        </w:rPr>
        <w:t>g/ml</w:t>
      </w:r>
      <w:r>
        <w:rPr>
          <w:szCs w:val="22"/>
          <w:lang w:val="lv-LV"/>
        </w:rPr>
        <w:t xml:space="preserve"> un maksimālā koncentrācija (C</w:t>
      </w:r>
      <w:r>
        <w:rPr>
          <w:szCs w:val="22"/>
          <w:vertAlign w:val="subscript"/>
          <w:lang w:val="lv-LV"/>
        </w:rPr>
        <w:t>max</w:t>
      </w:r>
      <w:r>
        <w:rPr>
          <w:szCs w:val="22"/>
          <w:lang w:val="lv-LV"/>
        </w:rPr>
        <w:t>)</w:t>
      </w:r>
      <w:del w:id="342" w:author="Author">
        <w:r w:rsidDel="00C90263">
          <w:rPr>
            <w:szCs w:val="22"/>
            <w:lang w:val="lv-LV"/>
          </w:rPr>
          <w:delText xml:space="preserve"> </w:delText>
        </w:r>
      </w:del>
      <w:r>
        <w:rPr>
          <w:iCs/>
          <w:lang w:val="lv-LV"/>
        </w:rPr>
        <w:t>=</w:t>
      </w:r>
      <w:ins w:id="343" w:author="Author">
        <w:r w:rsidR="00C90263">
          <w:rPr>
            <w:iCs/>
            <w:lang w:val="lv-LV"/>
          </w:rPr>
          <w:t> </w:t>
        </w:r>
      </w:ins>
      <w:del w:id="344" w:author="Author">
        <w:r w:rsidDel="00C90263">
          <w:rPr>
            <w:iCs/>
            <w:lang w:val="lv-LV"/>
          </w:rPr>
          <w:delText xml:space="preserve"> </w:delText>
        </w:r>
      </w:del>
      <w:r>
        <w:rPr>
          <w:iCs/>
          <w:lang w:val="lv-LV"/>
        </w:rPr>
        <w:t>182</w:t>
      </w:r>
      <w:r w:rsidR="00CD68FA">
        <w:rPr>
          <w:iCs/>
          <w:lang w:val="lv-LV"/>
        </w:rPr>
        <w:t> </w:t>
      </w:r>
      <w:r w:rsidR="00C91811" w:rsidRPr="00C91811">
        <w:rPr>
          <w:iCs/>
          <w:lang w:val="lv-LV"/>
        </w:rPr>
        <w:t>±</w:t>
      </w:r>
      <w:r>
        <w:rPr>
          <w:iCs/>
          <w:lang w:val="lv-LV"/>
        </w:rPr>
        <w:t xml:space="preserve"> 50,4 µg/ml </w:t>
      </w:r>
      <w:r>
        <w:rPr>
          <w:szCs w:val="22"/>
          <w:lang w:val="lv-LV"/>
        </w:rPr>
        <w:t>(līdzsvara apstākļos), un AUC un C</w:t>
      </w:r>
      <w:r>
        <w:rPr>
          <w:szCs w:val="22"/>
          <w:vertAlign w:val="subscript"/>
          <w:lang w:val="lv-LV"/>
        </w:rPr>
        <w:t>max</w:t>
      </w:r>
      <w:r>
        <w:rPr>
          <w:szCs w:val="22"/>
          <w:lang w:val="lv-LV"/>
        </w:rPr>
        <w:t xml:space="preserve"> akumulācijas pakāpe bija neliela, attiecīgi 1,32 un 1,09. Akumulācijas pakāpe bija lielāka C</w:t>
      </w:r>
      <w:r>
        <w:rPr>
          <w:szCs w:val="22"/>
          <w:vertAlign w:val="subscript"/>
          <w:lang w:val="lv-LV"/>
        </w:rPr>
        <w:t>min</w:t>
      </w:r>
      <w:r>
        <w:rPr>
          <w:szCs w:val="22"/>
          <w:lang w:val="lv-LV"/>
        </w:rPr>
        <w:t xml:space="preserve"> (2,49), kas bija paredzams, ņemot vērā nelineārā klīrensa apjomu pie mazākas koncentrācijas. C</w:t>
      </w:r>
      <w:r>
        <w:rPr>
          <w:szCs w:val="22"/>
          <w:vertAlign w:val="subscript"/>
          <w:lang w:val="lv-LV"/>
        </w:rPr>
        <w:t>max</w:t>
      </w:r>
      <w:r>
        <w:rPr>
          <w:szCs w:val="22"/>
          <w:lang w:val="lv-LV"/>
        </w:rPr>
        <w:t>, AUC un C</w:t>
      </w:r>
      <w:r>
        <w:rPr>
          <w:szCs w:val="22"/>
          <w:vertAlign w:val="subscript"/>
          <w:lang w:val="lv-LV"/>
        </w:rPr>
        <w:t>min</w:t>
      </w:r>
      <w:r>
        <w:rPr>
          <w:szCs w:val="22"/>
          <w:lang w:val="lv-LV"/>
        </w:rPr>
        <w:t xml:space="preserve"> līdzsvara koncentrāciju sasniedza attiecīgi pēc pirmās lietošanas, pēc 8</w:t>
      </w:r>
      <w:r w:rsidR="00CD68FA">
        <w:rPr>
          <w:szCs w:val="22"/>
          <w:lang w:val="lv-LV"/>
        </w:rPr>
        <w:t> </w:t>
      </w:r>
      <w:r>
        <w:rPr>
          <w:szCs w:val="22"/>
          <w:lang w:val="lv-LV"/>
        </w:rPr>
        <w:t>un 20</w:t>
      </w:r>
      <w:r w:rsidR="00CD68FA">
        <w:rPr>
          <w:szCs w:val="22"/>
          <w:lang w:val="lv-LV"/>
        </w:rPr>
        <w:t> </w:t>
      </w:r>
      <w:r>
        <w:rPr>
          <w:szCs w:val="22"/>
          <w:lang w:val="lv-LV"/>
        </w:rPr>
        <w:t>nedēļām. Tocilizumaba AUC, C</w:t>
      </w:r>
      <w:r>
        <w:rPr>
          <w:szCs w:val="22"/>
          <w:vertAlign w:val="subscript"/>
          <w:lang w:val="lv-LV"/>
        </w:rPr>
        <w:t>min</w:t>
      </w:r>
      <w:r>
        <w:rPr>
          <w:szCs w:val="22"/>
          <w:lang w:val="lv-LV"/>
        </w:rPr>
        <w:t xml:space="preserve"> un C</w:t>
      </w:r>
      <w:r>
        <w:rPr>
          <w:szCs w:val="22"/>
          <w:vertAlign w:val="subscript"/>
          <w:lang w:val="lv-LV"/>
        </w:rPr>
        <w:t>max</w:t>
      </w:r>
      <w:r>
        <w:rPr>
          <w:szCs w:val="22"/>
          <w:lang w:val="lv-LV"/>
        </w:rPr>
        <w:t xml:space="preserve"> vērtības palielinājās, </w:t>
      </w:r>
      <w:r w:rsidRPr="00CD68FA">
        <w:rPr>
          <w:szCs w:val="22"/>
          <w:lang w:val="lv-LV"/>
        </w:rPr>
        <w:t xml:space="preserve">palielinoties pacientu ķermeņa masai. Ja pacienta ķermeņa masa bija </w:t>
      </w:r>
      <w:r w:rsidR="00CD68FA" w:rsidRPr="00CD68FA">
        <w:rPr>
          <w:szCs w:val="22"/>
          <w:lang w:val="lv-LV"/>
        </w:rPr>
        <w:t>≥ </w:t>
      </w:r>
      <w:r w:rsidRPr="00CD68FA">
        <w:rPr>
          <w:szCs w:val="22"/>
          <w:lang w:val="lv-LV"/>
        </w:rPr>
        <w:t xml:space="preserve">100 kg, paredzētās </w:t>
      </w:r>
      <w:r>
        <w:rPr>
          <w:szCs w:val="22"/>
          <w:lang w:val="lv-LV"/>
        </w:rPr>
        <w:t>tocilizumaba AUC, C</w:t>
      </w:r>
      <w:r>
        <w:rPr>
          <w:szCs w:val="22"/>
          <w:vertAlign w:val="subscript"/>
          <w:lang w:val="lv-LV"/>
        </w:rPr>
        <w:t>min</w:t>
      </w:r>
      <w:r>
        <w:rPr>
          <w:szCs w:val="22"/>
          <w:lang w:val="lv-LV"/>
        </w:rPr>
        <w:t xml:space="preserve"> un C</w:t>
      </w:r>
      <w:r>
        <w:rPr>
          <w:szCs w:val="22"/>
          <w:vertAlign w:val="subscript"/>
          <w:lang w:val="lv-LV"/>
        </w:rPr>
        <w:t>max</w:t>
      </w:r>
      <w:r>
        <w:rPr>
          <w:szCs w:val="22"/>
          <w:lang w:val="lv-LV"/>
        </w:rPr>
        <w:t xml:space="preserve"> vērtības (</w:t>
      </w:r>
      <w:r w:rsidR="00C91811" w:rsidRPr="00C91811">
        <w:rPr>
          <w:szCs w:val="22"/>
          <w:lang w:val="lv-LV"/>
        </w:rPr>
        <w:t>±</w:t>
      </w:r>
      <w:r>
        <w:rPr>
          <w:szCs w:val="22"/>
          <w:lang w:val="lv-LV"/>
        </w:rPr>
        <w:t> SN) līdzsvara koncentrācijas apstākļos bija attiecīgi 50</w:t>
      </w:r>
      <w:r w:rsidR="00CD68FA">
        <w:rPr>
          <w:szCs w:val="22"/>
          <w:lang w:val="lv-LV"/>
        </w:rPr>
        <w:t> </w:t>
      </w:r>
      <w:r>
        <w:rPr>
          <w:szCs w:val="22"/>
          <w:lang w:val="lv-LV"/>
        </w:rPr>
        <w:t>000 ± 16</w:t>
      </w:r>
      <w:r w:rsidR="00CD68FA">
        <w:rPr>
          <w:szCs w:val="22"/>
          <w:lang w:val="lv-LV"/>
        </w:rPr>
        <w:t> </w:t>
      </w:r>
      <w:r>
        <w:rPr>
          <w:szCs w:val="22"/>
          <w:lang w:val="lv-LV"/>
        </w:rPr>
        <w:t>800</w:t>
      </w:r>
      <w:r w:rsidR="00CD68FA">
        <w:rPr>
          <w:szCs w:val="22"/>
          <w:lang w:val="lv-LV"/>
        </w:rPr>
        <w:t> </w:t>
      </w:r>
      <w:r>
        <w:rPr>
          <w:szCs w:val="22"/>
          <w:lang w:val="lv-LV"/>
        </w:rPr>
        <w:t>μg</w:t>
      </w:r>
      <w:ins w:id="345" w:author="Author">
        <w:r w:rsidR="001D0A34" w:rsidRPr="00DD58C9">
          <w:rPr>
            <w:szCs w:val="22"/>
            <w:lang w:val="lv-LV"/>
            <w:rPrChange w:id="346" w:author="Author">
              <w:rPr>
                <w:szCs w:val="22"/>
                <w:lang w:val="en-GB"/>
              </w:rPr>
            </w:rPrChange>
          </w:rPr>
          <w:t>×</w:t>
        </w:r>
      </w:ins>
      <w:del w:id="347" w:author="Author">
        <w:r w:rsidDel="001D0A34">
          <w:rPr>
            <w:szCs w:val="22"/>
            <w:lang w:val="lv-LV"/>
          </w:rPr>
          <w:delText>•</w:delText>
        </w:r>
      </w:del>
      <w:r>
        <w:rPr>
          <w:szCs w:val="22"/>
          <w:lang w:val="lv-LV"/>
        </w:rPr>
        <w:t>h/ml, 24,4 ± 17,5 μg/ml un 226 ± 50,3 μg/ml, kas bija lielākas par vidējām vērtībām augstākminētā zāļu iedarbībai pakļauto pacientu populācijā (t.i.</w:t>
      </w:r>
      <w:r w:rsidR="00CD68FA">
        <w:rPr>
          <w:szCs w:val="22"/>
          <w:lang w:val="lv-LV"/>
        </w:rPr>
        <w:t>,</w:t>
      </w:r>
      <w:r>
        <w:rPr>
          <w:szCs w:val="22"/>
          <w:lang w:val="lv-LV"/>
        </w:rPr>
        <w:t xml:space="preserve"> visām ķermeņa masām). Lielākas iedarbības intensitātes gadījumā devas/atbildes reakcijas attiecības līkne izlīdzinās, kā rezultātā pēc katra tocilizumaba koncentrācijas paaugstināšanās soļa tā efektivitāte palielinās mazāk, tādēļ attiecībā uz pacientiem, kuri ārstēti ar tocilizumaba devām, kas lielākas par 800 mg, klīniski nozīmīga efektivitātes palielināšanās nav pierādīta. Tādēļ vienas infūzijas laikā ievadīt tocilizumaba devas, kas lielākas par 800 mg, nav ieteicams (skatīt 4.2. apakšpunktu).</w:t>
      </w:r>
    </w:p>
    <w:p w14:paraId="2653FE2A" w14:textId="77777777" w:rsidR="00D64177" w:rsidRPr="0018021A" w:rsidRDefault="00D64177" w:rsidP="00D64177">
      <w:pPr>
        <w:pStyle w:val="Standard1"/>
        <w:numPr>
          <w:ilvl w:val="12"/>
          <w:numId w:val="0"/>
        </w:numPr>
        <w:ind w:right="-2"/>
        <w:rPr>
          <w:szCs w:val="22"/>
        </w:rPr>
      </w:pPr>
    </w:p>
    <w:p w14:paraId="7F4A4661" w14:textId="7E586AA6" w:rsidR="00D64177" w:rsidRPr="0018021A" w:rsidRDefault="00D64177" w:rsidP="00D64177">
      <w:pPr>
        <w:pStyle w:val="Standard1"/>
        <w:numPr>
          <w:ilvl w:val="12"/>
          <w:numId w:val="0"/>
        </w:numPr>
        <w:ind w:right="-2"/>
        <w:rPr>
          <w:szCs w:val="22"/>
          <w:u w:val="single"/>
        </w:rPr>
      </w:pPr>
      <w:r>
        <w:rPr>
          <w:szCs w:val="22"/>
          <w:u w:val="single"/>
        </w:rPr>
        <w:t>Pacienti ar COVID</w:t>
      </w:r>
      <w:r w:rsidR="00CD68FA">
        <w:rPr>
          <w:szCs w:val="22"/>
          <w:u w:val="single"/>
        </w:rPr>
        <w:noBreakHyphen/>
      </w:r>
      <w:r>
        <w:rPr>
          <w:szCs w:val="22"/>
          <w:u w:val="single"/>
        </w:rPr>
        <w:t>19</w:t>
      </w:r>
    </w:p>
    <w:p w14:paraId="5F7AEF1F" w14:textId="0E1E469F" w:rsidR="00D64177" w:rsidRPr="0018021A" w:rsidRDefault="00D64177" w:rsidP="00D64177">
      <w:pPr>
        <w:pStyle w:val="Standard1"/>
        <w:numPr>
          <w:ilvl w:val="12"/>
          <w:numId w:val="0"/>
        </w:numPr>
        <w:ind w:right="-2"/>
        <w:rPr>
          <w:szCs w:val="22"/>
        </w:rPr>
      </w:pPr>
      <w:r>
        <w:t>Tocilizumaba farmakokinētika tika raksturota populācijas farmakokinētikas analīzē, kas tika veikta, izmantojot datu bāzi par 380 pieaugušiem COVID</w:t>
      </w:r>
      <w:r w:rsidR="00CD68FA">
        <w:noBreakHyphen/>
      </w:r>
      <w:r>
        <w:t xml:space="preserve">19 </w:t>
      </w:r>
      <w:r w:rsidR="0044037B">
        <w:t>pacientiem</w:t>
      </w:r>
      <w:r>
        <w:t xml:space="preserve"> no pētījuma WA42380 (COVACTA) un pētījuma CA42481 (MARIPOSA), kuri bija saņēmuši vienu tocilizumaba infūziju 8 mg/kg devā vai divas infūzijas ar vismaz 8 stundu starplaiku. Tocilizumaba 8 mg/kg devai tika aprēķināti šādi </w:t>
      </w:r>
      <w:r w:rsidR="00A9017A">
        <w:t>rādītāji</w:t>
      </w:r>
      <w:r>
        <w:t xml:space="preserve"> (</w:t>
      </w:r>
      <w:r w:rsidR="00297E99">
        <w:t>prognozētā</w:t>
      </w:r>
      <w:r>
        <w:t xml:space="preserve"> vidējā vērtība</w:t>
      </w:r>
      <w:r w:rsidR="00CD68FA">
        <w:t> </w:t>
      </w:r>
      <w:r>
        <w:t>±</w:t>
      </w:r>
      <w:r w:rsidR="00CD68FA">
        <w:t> </w:t>
      </w:r>
      <w:r>
        <w:t>SN): zemlīknes laukums 28 dienu laikā (AUC</w:t>
      </w:r>
      <w:r>
        <w:rPr>
          <w:szCs w:val="22"/>
          <w:vertAlign w:val="subscript"/>
        </w:rPr>
        <w:t>0</w:t>
      </w:r>
      <w:r w:rsidR="00CD68FA">
        <w:rPr>
          <w:szCs w:val="22"/>
          <w:vertAlign w:val="subscript"/>
        </w:rPr>
        <w:noBreakHyphen/>
      </w:r>
      <w:r>
        <w:rPr>
          <w:szCs w:val="22"/>
          <w:vertAlign w:val="subscript"/>
        </w:rPr>
        <w:t>28</w:t>
      </w:r>
      <w:r>
        <w:t>)</w:t>
      </w:r>
      <w:r w:rsidR="00CD68FA">
        <w:t> </w:t>
      </w:r>
      <w:r>
        <w:t>=</w:t>
      </w:r>
      <w:r w:rsidR="00CD68FA">
        <w:t> </w:t>
      </w:r>
      <w:r>
        <w:t>18 312 (5184) h</w:t>
      </w:r>
      <w:ins w:id="348" w:author="Author">
        <w:r w:rsidR="001D0A34" w:rsidRPr="00DD58C9">
          <w:rPr>
            <w:szCs w:val="22"/>
            <w:rPrChange w:id="349" w:author="Author">
              <w:rPr>
                <w:szCs w:val="22"/>
                <w:lang w:val="en-GB"/>
              </w:rPr>
            </w:rPrChange>
          </w:rPr>
          <w:t>×</w:t>
        </w:r>
      </w:ins>
      <w:del w:id="350" w:author="Author">
        <w:r w:rsidDel="001D0A34">
          <w:delText>•</w:delText>
        </w:r>
      </w:del>
      <w:r>
        <w:t>µg/ml, koncentrācija 28. dienā (C</w:t>
      </w:r>
      <w:r>
        <w:rPr>
          <w:vertAlign w:val="subscript"/>
        </w:rPr>
        <w:t>d28</w:t>
      </w:r>
      <w:r>
        <w:t>) = 0,934</w:t>
      </w:r>
      <w:r w:rsidR="00CD68FA">
        <w:t> </w:t>
      </w:r>
      <w:r>
        <w:t>(1,93)</w:t>
      </w:r>
      <w:r w:rsidR="00CD68FA">
        <w:t> </w:t>
      </w:r>
      <w:r>
        <w:t>µg/ml un maksimālā koncentrācija (C</w:t>
      </w:r>
      <w:r>
        <w:rPr>
          <w:vertAlign w:val="subscript"/>
        </w:rPr>
        <w:t>max</w:t>
      </w:r>
      <w:r>
        <w:t>)</w:t>
      </w:r>
      <w:r w:rsidR="00CD68FA">
        <w:t> </w:t>
      </w:r>
      <w:r>
        <w:t>=</w:t>
      </w:r>
      <w:r w:rsidR="00CD68FA">
        <w:t> </w:t>
      </w:r>
      <w:r>
        <w:t>154 (34,9)</w:t>
      </w:r>
      <w:r w:rsidR="00CD68FA">
        <w:t> </w:t>
      </w:r>
      <w:r>
        <w:t>µg/ml. Tika aprēķināts arī AUC</w:t>
      </w:r>
      <w:r>
        <w:rPr>
          <w:szCs w:val="22"/>
          <w:vertAlign w:val="subscript"/>
        </w:rPr>
        <w:t>0-28</w:t>
      </w:r>
      <w:r>
        <w:t>,C</w:t>
      </w:r>
      <w:r>
        <w:rPr>
          <w:szCs w:val="22"/>
          <w:vertAlign w:val="subscript"/>
        </w:rPr>
        <w:t>d28</w:t>
      </w:r>
      <w:r>
        <w:t xml:space="preserve"> un C</w:t>
      </w:r>
      <w:r>
        <w:rPr>
          <w:szCs w:val="22"/>
          <w:vertAlign w:val="subscript"/>
        </w:rPr>
        <w:t>max</w:t>
      </w:r>
      <w:r>
        <w:t xml:space="preserve"> pēc divām tocilizumaba 8 mg/kg devām </w:t>
      </w:r>
      <w:r w:rsidR="005B7D36">
        <w:t>ar 8</w:t>
      </w:r>
      <w:r w:rsidR="00CD68FA">
        <w:t> </w:t>
      </w:r>
      <w:r w:rsidR="005B7D36">
        <w:t xml:space="preserve">stundu starplaiku </w:t>
      </w:r>
      <w:r>
        <w:t>(</w:t>
      </w:r>
      <w:r w:rsidR="00297E99">
        <w:t>prognozētā</w:t>
      </w:r>
      <w:r>
        <w:t xml:space="preserve"> vidējā vērtība</w:t>
      </w:r>
      <w:r w:rsidR="00CD68FA">
        <w:t> </w:t>
      </w:r>
      <w:r>
        <w:t>±</w:t>
      </w:r>
      <w:r w:rsidR="00CD68FA">
        <w:t> </w:t>
      </w:r>
      <w:r>
        <w:t xml:space="preserve">SN) </w:t>
      </w:r>
      <w:r w:rsidR="00CD68FA">
        <w:noBreakHyphen/>
      </w:r>
      <w:r>
        <w:t xml:space="preserve"> vērtības bija attiecīgi 42 240 (11 520)</w:t>
      </w:r>
      <w:r w:rsidR="00CD68FA">
        <w:t> </w:t>
      </w:r>
      <w:r>
        <w:t>h</w:t>
      </w:r>
      <w:ins w:id="351" w:author="Author">
        <w:r w:rsidR="001D0A34" w:rsidRPr="00DD58C9">
          <w:rPr>
            <w:szCs w:val="22"/>
            <w:rPrChange w:id="352" w:author="Author">
              <w:rPr>
                <w:szCs w:val="22"/>
                <w:lang w:val="en-GB"/>
              </w:rPr>
            </w:rPrChange>
          </w:rPr>
          <w:t>×</w:t>
        </w:r>
      </w:ins>
      <w:del w:id="353" w:author="Author">
        <w:r w:rsidDel="001D0A34">
          <w:delText>•</w:delText>
        </w:r>
      </w:del>
      <w:r>
        <w:t>µg/ml, 8,94</w:t>
      </w:r>
      <w:r w:rsidR="00CD68FA">
        <w:t> </w:t>
      </w:r>
      <w:r>
        <w:t>(8,5)</w:t>
      </w:r>
      <w:r w:rsidR="00CD68FA">
        <w:t> </w:t>
      </w:r>
      <w:r>
        <w:t>µg/ml un 296</w:t>
      </w:r>
      <w:r w:rsidR="00CD68FA">
        <w:t> </w:t>
      </w:r>
      <w:r>
        <w:t>(64,7) µg/ml.</w:t>
      </w:r>
    </w:p>
    <w:p w14:paraId="388FC709" w14:textId="77777777" w:rsidR="00784D05" w:rsidRDefault="00784D05">
      <w:pPr>
        <w:rPr>
          <w:szCs w:val="22"/>
          <w:lang w:val="lv-LV"/>
        </w:rPr>
      </w:pPr>
    </w:p>
    <w:p w14:paraId="7ED37809" w14:textId="77777777" w:rsidR="00784D05" w:rsidRDefault="00784D05">
      <w:pPr>
        <w:keepNext/>
        <w:keepLines/>
        <w:rPr>
          <w:szCs w:val="22"/>
          <w:lang w:val="lv-LV"/>
        </w:rPr>
      </w:pPr>
      <w:r>
        <w:rPr>
          <w:szCs w:val="22"/>
          <w:u w:val="single"/>
          <w:lang w:val="lv-LV"/>
        </w:rPr>
        <w:t>Izkliede</w:t>
      </w:r>
    </w:p>
    <w:p w14:paraId="11B0F453" w14:textId="595A628F" w:rsidR="00784D05" w:rsidRDefault="00784D05">
      <w:pPr>
        <w:rPr>
          <w:szCs w:val="22"/>
          <w:lang w:val="lv-LV"/>
        </w:rPr>
      </w:pPr>
      <w:r>
        <w:rPr>
          <w:szCs w:val="22"/>
          <w:lang w:val="lv-LV"/>
        </w:rPr>
        <w:t>RA slimniekiem centrālais izkliedes tilpums bija 3,72</w:t>
      </w:r>
      <w:r w:rsidR="009F4345">
        <w:rPr>
          <w:szCs w:val="22"/>
          <w:lang w:val="lv-LV"/>
        </w:rPr>
        <w:t> l</w:t>
      </w:r>
      <w:r>
        <w:rPr>
          <w:szCs w:val="22"/>
          <w:lang w:val="lv-LV"/>
        </w:rPr>
        <w:t>, perifēriskais izkliedes tilpums bija 3,35</w:t>
      </w:r>
      <w:r w:rsidR="009F4345">
        <w:rPr>
          <w:szCs w:val="22"/>
          <w:lang w:val="lv-LV"/>
        </w:rPr>
        <w:t> l</w:t>
      </w:r>
      <w:r>
        <w:rPr>
          <w:szCs w:val="22"/>
          <w:lang w:val="lv-LV"/>
        </w:rPr>
        <w:t>, un kopējais izkliedes tilpums līdzsvara koncentrācijā bija 7,07</w:t>
      </w:r>
      <w:r w:rsidR="009F4345">
        <w:rPr>
          <w:szCs w:val="22"/>
          <w:lang w:val="lv-LV"/>
        </w:rPr>
        <w:t> l</w:t>
      </w:r>
      <w:r>
        <w:rPr>
          <w:szCs w:val="22"/>
          <w:lang w:val="lv-LV"/>
        </w:rPr>
        <w:t>.</w:t>
      </w:r>
    </w:p>
    <w:p w14:paraId="268A72D3" w14:textId="77777777" w:rsidR="00D64177" w:rsidRPr="0018021A" w:rsidRDefault="00D64177" w:rsidP="00D64177">
      <w:pPr>
        <w:pStyle w:val="Standard1"/>
        <w:numPr>
          <w:ilvl w:val="12"/>
          <w:numId w:val="0"/>
        </w:numPr>
        <w:ind w:right="-2"/>
        <w:rPr>
          <w:iCs/>
          <w:szCs w:val="22"/>
        </w:rPr>
      </w:pPr>
    </w:p>
    <w:p w14:paraId="2863D0A9" w14:textId="71D3BDB9" w:rsidR="00D64177" w:rsidRPr="0018021A" w:rsidRDefault="00D64177" w:rsidP="00D64177">
      <w:pPr>
        <w:pStyle w:val="Standard1"/>
        <w:numPr>
          <w:ilvl w:val="12"/>
          <w:numId w:val="0"/>
        </w:numPr>
        <w:ind w:right="-2"/>
        <w:rPr>
          <w:iCs/>
          <w:szCs w:val="22"/>
        </w:rPr>
      </w:pPr>
      <w:r>
        <w:t>Pieaugušiem pacientiem ar COVID</w:t>
      </w:r>
      <w:r w:rsidR="00CD68FA">
        <w:noBreakHyphen/>
      </w:r>
      <w:r>
        <w:t>19 centrālais izkliedes tilpums bija 4,52 l un perifēriskais izkliedes tilpums bija 4,23 l, tādēļ kopējais izkliedes tilpums bija 8,75</w:t>
      </w:r>
      <w:r w:rsidR="00CD68FA">
        <w:t> </w:t>
      </w:r>
      <w:r>
        <w:t>l.</w:t>
      </w:r>
    </w:p>
    <w:p w14:paraId="4C99BBCA" w14:textId="77777777" w:rsidR="00784D05" w:rsidRDefault="00784D05">
      <w:pPr>
        <w:rPr>
          <w:szCs w:val="22"/>
          <w:lang w:val="lv-LV"/>
        </w:rPr>
      </w:pPr>
    </w:p>
    <w:p w14:paraId="40C61198" w14:textId="77777777" w:rsidR="00784D05" w:rsidRDefault="00784D05">
      <w:pPr>
        <w:keepNext/>
        <w:rPr>
          <w:szCs w:val="22"/>
          <w:lang w:val="lv-LV"/>
        </w:rPr>
        <w:pPrChange w:id="354" w:author="Author">
          <w:pPr/>
        </w:pPrChange>
      </w:pPr>
      <w:r>
        <w:rPr>
          <w:szCs w:val="22"/>
          <w:u w:val="single"/>
          <w:lang w:val="lv-LV"/>
        </w:rPr>
        <w:t>Eliminācija</w:t>
      </w:r>
    </w:p>
    <w:p w14:paraId="05BD69B6" w14:textId="7C6C865E" w:rsidR="00784D05" w:rsidRDefault="00784D05" w:rsidP="006F2DEA">
      <w:pPr>
        <w:rPr>
          <w:szCs w:val="22"/>
          <w:lang w:val="lv-LV"/>
        </w:rPr>
      </w:pPr>
      <w:r>
        <w:rPr>
          <w:szCs w:val="22"/>
          <w:lang w:val="lv-LV"/>
        </w:rPr>
        <w:t>Pēc intravenozas ievadīšanas tocilizumab</w:t>
      </w:r>
      <w:r w:rsidR="006F2DEA">
        <w:rPr>
          <w:szCs w:val="22"/>
          <w:lang w:val="lv-LV"/>
        </w:rPr>
        <w:t>am</w:t>
      </w:r>
      <w:r>
        <w:rPr>
          <w:szCs w:val="22"/>
          <w:lang w:val="lv-LV"/>
        </w:rPr>
        <w:t xml:space="preserve"> </w:t>
      </w:r>
      <w:r w:rsidR="006F2DEA">
        <w:rPr>
          <w:szCs w:val="22"/>
          <w:lang w:val="lv-LV"/>
        </w:rPr>
        <w:t>ir raksturīga</w:t>
      </w:r>
      <w:r>
        <w:rPr>
          <w:szCs w:val="22"/>
          <w:lang w:val="lv-LV"/>
        </w:rPr>
        <w:t xml:space="preserve"> </w:t>
      </w:r>
      <w:r w:rsidR="006F2DEA">
        <w:rPr>
          <w:szCs w:val="22"/>
          <w:lang w:val="lv-LV"/>
        </w:rPr>
        <w:t xml:space="preserve">divējāda </w:t>
      </w:r>
      <w:r>
        <w:rPr>
          <w:szCs w:val="22"/>
          <w:lang w:val="lv-LV"/>
        </w:rPr>
        <w:t>eliminācija no asinsrites</w:t>
      </w:r>
      <w:r w:rsidR="00D64177">
        <w:rPr>
          <w:szCs w:val="22"/>
          <w:lang w:val="lv-LV"/>
        </w:rPr>
        <w:t xml:space="preserve"> – </w:t>
      </w:r>
      <w:r w:rsidR="006F2DEA">
        <w:rPr>
          <w:szCs w:val="22"/>
          <w:lang w:val="lv-LV"/>
        </w:rPr>
        <w:t>saskaņā ar vienu mehānismu</w:t>
      </w:r>
      <w:r w:rsidR="00D64177">
        <w:rPr>
          <w:szCs w:val="22"/>
          <w:lang w:val="lv-LV"/>
        </w:rPr>
        <w:t xml:space="preserve"> klīrenss ir lineārs, bet </w:t>
      </w:r>
      <w:r w:rsidR="006F2DEA">
        <w:rPr>
          <w:szCs w:val="22"/>
          <w:lang w:val="lv-LV"/>
        </w:rPr>
        <w:t xml:space="preserve">saskaņā ar otru – </w:t>
      </w:r>
      <w:r>
        <w:rPr>
          <w:szCs w:val="22"/>
          <w:lang w:val="lv-LV"/>
        </w:rPr>
        <w:t>atkarīgs no koncentrācijas un nelineār</w:t>
      </w:r>
      <w:r w:rsidR="006F2DEA">
        <w:rPr>
          <w:szCs w:val="22"/>
          <w:lang w:val="lv-LV"/>
        </w:rPr>
        <w:t>s</w:t>
      </w:r>
      <w:r>
        <w:rPr>
          <w:szCs w:val="22"/>
          <w:lang w:val="lv-LV"/>
        </w:rPr>
        <w:t xml:space="preserve">. </w:t>
      </w:r>
      <w:r w:rsidR="006F2DEA">
        <w:rPr>
          <w:szCs w:val="22"/>
          <w:lang w:val="lv-LV"/>
        </w:rPr>
        <w:t>Pacientiem ar RA l</w:t>
      </w:r>
      <w:r>
        <w:rPr>
          <w:szCs w:val="22"/>
          <w:lang w:val="lv-LV"/>
        </w:rPr>
        <w:t xml:space="preserve">ineārais klīrenss bija 9,5 ml/h. </w:t>
      </w:r>
      <w:r w:rsidR="006F2DEA" w:rsidRPr="006F2DEA">
        <w:rPr>
          <w:lang w:val="lv-LV"/>
        </w:rPr>
        <w:t>Pieauguš</w:t>
      </w:r>
      <w:r w:rsidR="00C11690">
        <w:rPr>
          <w:lang w:val="lv-LV"/>
        </w:rPr>
        <w:t>iem</w:t>
      </w:r>
      <w:r w:rsidR="006F2DEA" w:rsidRPr="006F2DEA">
        <w:rPr>
          <w:lang w:val="lv-LV"/>
        </w:rPr>
        <w:t xml:space="preserve"> COVID</w:t>
      </w:r>
      <w:r w:rsidR="00CD68FA">
        <w:rPr>
          <w:lang w:val="lv-LV"/>
        </w:rPr>
        <w:noBreakHyphen/>
      </w:r>
      <w:r w:rsidR="006F2DEA" w:rsidRPr="006F2DEA">
        <w:rPr>
          <w:lang w:val="lv-LV"/>
        </w:rPr>
        <w:t xml:space="preserve">19 </w:t>
      </w:r>
      <w:r w:rsidR="00297E99">
        <w:rPr>
          <w:lang w:val="lv-LV"/>
        </w:rPr>
        <w:t>pacient</w:t>
      </w:r>
      <w:r w:rsidR="00C11690">
        <w:rPr>
          <w:lang w:val="lv-LV"/>
        </w:rPr>
        <w:t>iem</w:t>
      </w:r>
      <w:r w:rsidR="006F2DEA">
        <w:rPr>
          <w:lang w:val="lv-LV"/>
        </w:rPr>
        <w:t xml:space="preserve"> </w:t>
      </w:r>
      <w:r w:rsidR="006F2DEA" w:rsidRPr="006F2DEA">
        <w:rPr>
          <w:lang w:val="lv-LV"/>
        </w:rPr>
        <w:t xml:space="preserve">lineārais klīrenss </w:t>
      </w:r>
      <w:r w:rsidR="00C11690">
        <w:rPr>
          <w:lang w:val="lv-LV"/>
        </w:rPr>
        <w:t xml:space="preserve">tiem </w:t>
      </w:r>
      <w:r w:rsidR="006F2DEA" w:rsidRPr="006F2DEA">
        <w:rPr>
          <w:lang w:val="lv-LV"/>
        </w:rPr>
        <w:t>pacientiem</w:t>
      </w:r>
      <w:r w:rsidR="006F2DEA">
        <w:rPr>
          <w:lang w:val="lv-LV"/>
        </w:rPr>
        <w:t xml:space="preserve">, kuru klīniskais stāvoklis </w:t>
      </w:r>
      <w:r w:rsidR="00C11690">
        <w:rPr>
          <w:lang w:val="lv-LV"/>
        </w:rPr>
        <w:t xml:space="preserve">sākotnēji </w:t>
      </w:r>
      <w:r w:rsidR="006F2DEA">
        <w:rPr>
          <w:lang w:val="lv-LV"/>
        </w:rPr>
        <w:t>atbilda</w:t>
      </w:r>
      <w:r w:rsidR="006F2DEA" w:rsidRPr="006F2DEA">
        <w:rPr>
          <w:lang w:val="lv-LV"/>
        </w:rPr>
        <w:t xml:space="preserve"> </w:t>
      </w:r>
      <w:r w:rsidR="009F4345" w:rsidRPr="006F2DEA">
        <w:rPr>
          <w:lang w:val="lv-LV"/>
        </w:rPr>
        <w:t>kārtas skal</w:t>
      </w:r>
      <w:r w:rsidR="009F4345">
        <w:rPr>
          <w:lang w:val="lv-LV"/>
        </w:rPr>
        <w:t>as</w:t>
      </w:r>
      <w:r w:rsidR="009F4345" w:rsidRPr="006F2DEA">
        <w:rPr>
          <w:lang w:val="lv-LV"/>
        </w:rPr>
        <w:t xml:space="preserve"> </w:t>
      </w:r>
      <w:r w:rsidR="006F2DEA" w:rsidRPr="006F2DEA">
        <w:rPr>
          <w:lang w:val="lv-LV"/>
        </w:rPr>
        <w:t>3</w:t>
      </w:r>
      <w:r w:rsidR="006F2DEA">
        <w:rPr>
          <w:lang w:val="lv-LV"/>
        </w:rPr>
        <w:t>. </w:t>
      </w:r>
      <w:r w:rsidR="006F2DEA" w:rsidRPr="006F2DEA">
        <w:rPr>
          <w:lang w:val="lv-LV"/>
        </w:rPr>
        <w:t>kategorij</w:t>
      </w:r>
      <w:r w:rsidR="006F2DEA">
        <w:rPr>
          <w:lang w:val="lv-LV"/>
        </w:rPr>
        <w:t>ai</w:t>
      </w:r>
      <w:r w:rsidR="006F2DEA" w:rsidRPr="006F2DEA">
        <w:rPr>
          <w:lang w:val="lv-LV"/>
        </w:rPr>
        <w:t xml:space="preserve"> (</w:t>
      </w:r>
      <w:r w:rsidR="009F4345" w:rsidRPr="006F2DEA">
        <w:rPr>
          <w:lang w:val="lv-LV"/>
        </w:rPr>
        <w:t>KS</w:t>
      </w:r>
      <w:r w:rsidR="00CD68FA">
        <w:rPr>
          <w:lang w:val="lv-LV"/>
        </w:rPr>
        <w:t> </w:t>
      </w:r>
      <w:r w:rsidR="006F2DEA">
        <w:rPr>
          <w:lang w:val="lv-LV"/>
        </w:rPr>
        <w:t>3.</w:t>
      </w:r>
      <w:r w:rsidR="009F4345">
        <w:rPr>
          <w:lang w:val="lv-LV"/>
        </w:rPr>
        <w:t> </w:t>
      </w:r>
      <w:r w:rsidR="006F2DEA">
        <w:rPr>
          <w:lang w:val="lv-LV"/>
        </w:rPr>
        <w:t xml:space="preserve">kategorija – </w:t>
      </w:r>
      <w:r w:rsidR="006F2DEA" w:rsidRPr="006F2DEA">
        <w:rPr>
          <w:lang w:val="lv-LV"/>
        </w:rPr>
        <w:t>pacienti, kuriem nepieciešama papildu skābekļa terapija)</w:t>
      </w:r>
      <w:r w:rsidR="006F2DEA">
        <w:rPr>
          <w:lang w:val="lv-LV"/>
        </w:rPr>
        <w:t>,</w:t>
      </w:r>
      <w:r w:rsidR="006F2DEA" w:rsidRPr="006F2DEA">
        <w:rPr>
          <w:lang w:val="lv-LV"/>
        </w:rPr>
        <w:t xml:space="preserve"> bija 17,6 ml/h, </w:t>
      </w:r>
      <w:r w:rsidR="00C11690">
        <w:rPr>
          <w:lang w:val="lv-LV"/>
        </w:rPr>
        <w:t xml:space="preserve">pacientiem, </w:t>
      </w:r>
      <w:r w:rsidR="00C11690" w:rsidRPr="00C11690">
        <w:rPr>
          <w:lang w:val="lv-LV"/>
        </w:rPr>
        <w:t>kuru klīniskais stāvoklis sākotnēji atbilda KS</w:t>
      </w:r>
      <w:r w:rsidR="00CD68FA">
        <w:rPr>
          <w:lang w:val="lv-LV"/>
        </w:rPr>
        <w:t> </w:t>
      </w:r>
      <w:r w:rsidR="00C11690" w:rsidRPr="00C11690">
        <w:rPr>
          <w:lang w:val="lv-LV"/>
        </w:rPr>
        <w:t>4.</w:t>
      </w:r>
      <w:r w:rsidR="00CD68FA">
        <w:rPr>
          <w:lang w:val="lv-LV"/>
        </w:rPr>
        <w:t> </w:t>
      </w:r>
      <w:r w:rsidR="00C11690" w:rsidRPr="00C11690">
        <w:rPr>
          <w:lang w:val="lv-LV"/>
        </w:rPr>
        <w:t xml:space="preserve">kategorijai </w:t>
      </w:r>
      <w:r w:rsidR="00C11690">
        <w:rPr>
          <w:lang w:val="lv-LV"/>
        </w:rPr>
        <w:t>(pacienti</w:t>
      </w:r>
      <w:r w:rsidR="00C11690" w:rsidRPr="00C11690">
        <w:rPr>
          <w:lang w:val="lv-LV"/>
        </w:rPr>
        <w:t>, kuriem nepieciešams augstas plūsmas skābekļa terapija vai neinvazīvā ventilācija)</w:t>
      </w:r>
      <w:r w:rsidR="00CD68FA">
        <w:rPr>
          <w:lang w:val="lv-LV"/>
        </w:rPr>
        <w:t>,</w:t>
      </w:r>
      <w:r w:rsidR="00C11690">
        <w:rPr>
          <w:lang w:val="lv-LV"/>
        </w:rPr>
        <w:t xml:space="preserve"> tas bija 22,5 ml</w:t>
      </w:r>
      <w:r w:rsidR="00152A33">
        <w:rPr>
          <w:lang w:val="lv-LV"/>
        </w:rPr>
        <w:t>/h</w:t>
      </w:r>
      <w:r w:rsidR="00C11690">
        <w:rPr>
          <w:lang w:val="lv-LV"/>
        </w:rPr>
        <w:t xml:space="preserve">, </w:t>
      </w:r>
      <w:r w:rsidR="006F2DEA" w:rsidRPr="006F2DEA">
        <w:rPr>
          <w:lang w:val="lv-LV"/>
        </w:rPr>
        <w:t>pacientiem</w:t>
      </w:r>
      <w:r w:rsidR="00C11690">
        <w:rPr>
          <w:lang w:val="lv-LV"/>
        </w:rPr>
        <w:t>,</w:t>
      </w:r>
      <w:r w:rsidR="006F2DEA" w:rsidRPr="006F2DEA">
        <w:rPr>
          <w:lang w:val="lv-LV"/>
        </w:rPr>
        <w:t xml:space="preserve"> </w:t>
      </w:r>
      <w:r w:rsidR="00C11690" w:rsidRPr="00C11690">
        <w:rPr>
          <w:lang w:val="lv-LV"/>
        </w:rPr>
        <w:t>kuru klīniskais stāvokli</w:t>
      </w:r>
      <w:r w:rsidR="00C11690">
        <w:rPr>
          <w:lang w:val="lv-LV"/>
        </w:rPr>
        <w:t>s sākotnēji atbilda</w:t>
      </w:r>
      <w:r w:rsidR="006F2DEA" w:rsidRPr="006F2DEA">
        <w:rPr>
          <w:lang w:val="lv-LV"/>
        </w:rPr>
        <w:t xml:space="preserve"> </w:t>
      </w:r>
      <w:r w:rsidR="009F4345">
        <w:rPr>
          <w:lang w:val="lv-LV"/>
        </w:rPr>
        <w:t>KS</w:t>
      </w:r>
      <w:r w:rsidR="00CD68FA">
        <w:rPr>
          <w:lang w:val="lv-LV"/>
        </w:rPr>
        <w:t> </w:t>
      </w:r>
      <w:r w:rsidR="006F2DEA">
        <w:rPr>
          <w:lang w:val="lv-LV"/>
        </w:rPr>
        <w:t>5. kategorij</w:t>
      </w:r>
      <w:r w:rsidR="00C11690">
        <w:rPr>
          <w:lang w:val="lv-LV"/>
        </w:rPr>
        <w:t>ai</w:t>
      </w:r>
      <w:r w:rsidR="006F2DEA">
        <w:rPr>
          <w:lang w:val="lv-LV"/>
        </w:rPr>
        <w:t xml:space="preserve"> </w:t>
      </w:r>
      <w:r w:rsidR="006F2DEA" w:rsidRPr="006F2DEA">
        <w:rPr>
          <w:lang w:val="lv-LV"/>
        </w:rPr>
        <w:t>(pacienti, kuriem nepieciešama plaušu mehāniskā ventilācija)</w:t>
      </w:r>
      <w:r w:rsidR="00C11690">
        <w:rPr>
          <w:lang w:val="lv-LV"/>
        </w:rPr>
        <w:t xml:space="preserve">, tas bija </w:t>
      </w:r>
      <w:r w:rsidR="006F2DEA" w:rsidRPr="006F2DEA">
        <w:rPr>
          <w:lang w:val="lv-LV"/>
        </w:rPr>
        <w:t>29 ml/h, bet pacientiem</w:t>
      </w:r>
      <w:r w:rsidR="00C11690">
        <w:rPr>
          <w:lang w:val="lv-LV"/>
        </w:rPr>
        <w:t xml:space="preserve">, </w:t>
      </w:r>
      <w:r w:rsidR="00C11690" w:rsidRPr="00C11690">
        <w:rPr>
          <w:lang w:val="lv-LV"/>
        </w:rPr>
        <w:t>kuru klīniskais stāvokli</w:t>
      </w:r>
      <w:r w:rsidR="00C11690">
        <w:rPr>
          <w:lang w:val="lv-LV"/>
        </w:rPr>
        <w:t>s sākotnēji atbilda</w:t>
      </w:r>
      <w:r w:rsidR="00524825">
        <w:rPr>
          <w:lang w:val="lv-LV"/>
        </w:rPr>
        <w:t xml:space="preserve"> KS</w:t>
      </w:r>
      <w:r w:rsidR="00CD68FA">
        <w:rPr>
          <w:lang w:val="lv-LV"/>
        </w:rPr>
        <w:t> </w:t>
      </w:r>
      <w:r w:rsidR="006F2DEA">
        <w:rPr>
          <w:lang w:val="lv-LV"/>
        </w:rPr>
        <w:t>6. kategorij</w:t>
      </w:r>
      <w:r w:rsidR="00C11690">
        <w:rPr>
          <w:lang w:val="lv-LV"/>
        </w:rPr>
        <w:t>ai</w:t>
      </w:r>
      <w:r w:rsidR="006F2DEA" w:rsidRPr="006F2DEA">
        <w:rPr>
          <w:lang w:val="lv-LV"/>
        </w:rPr>
        <w:t xml:space="preserve"> (pacienti, kuriem nepieciešama ekstrakorporeālā membrānas oksigenizācija (</w:t>
      </w:r>
      <w:r w:rsidR="006F2DEA" w:rsidRPr="006F2DEA">
        <w:rPr>
          <w:i/>
          <w:iCs/>
          <w:lang w:val="lv-LV"/>
        </w:rPr>
        <w:t>ECMO</w:t>
      </w:r>
      <w:r w:rsidR="006F2DEA" w:rsidRPr="006F2DEA">
        <w:rPr>
          <w:lang w:val="lv-LV"/>
        </w:rPr>
        <w:t>) vai plaušu mehāniska ventilācija un papildu terapija</w:t>
      </w:r>
      <w:r w:rsidR="00C11690">
        <w:rPr>
          <w:lang w:val="lv-LV"/>
        </w:rPr>
        <w:t xml:space="preserve"> orgānu darbības atbalstam</w:t>
      </w:r>
      <w:r w:rsidR="006F2DEA" w:rsidRPr="006F2DEA">
        <w:rPr>
          <w:lang w:val="lv-LV"/>
        </w:rPr>
        <w:t>)</w:t>
      </w:r>
      <w:r w:rsidR="00C11690">
        <w:rPr>
          <w:lang w:val="lv-LV"/>
        </w:rPr>
        <w:t>, tas bija</w:t>
      </w:r>
      <w:r w:rsidR="006F2DEA" w:rsidRPr="006F2DEA">
        <w:rPr>
          <w:lang w:val="lv-LV"/>
        </w:rPr>
        <w:t xml:space="preserve"> 35,4 ml/h.</w:t>
      </w:r>
      <w:r w:rsidR="006F2DEA">
        <w:rPr>
          <w:lang w:val="lv-LV"/>
        </w:rPr>
        <w:t xml:space="preserve"> </w:t>
      </w:r>
      <w:r>
        <w:rPr>
          <w:szCs w:val="22"/>
          <w:lang w:val="lv-LV"/>
        </w:rPr>
        <w:t xml:space="preserve">No koncentrācijas atkarīgajam nelineārajam klīrensam ir liela nozīme mazas tocilizumaba koncentrācijas gadījumā. Kad nelineārā klīrensa izvadceļš ir piesātināts, lielākas tocilizumaba koncentrācijas gadījumā klīrensu nosaka galvenokārt lineārais klīrenss. </w:t>
      </w:r>
    </w:p>
    <w:p w14:paraId="4E8D23D6" w14:textId="77777777" w:rsidR="00784D05" w:rsidRDefault="00784D05">
      <w:pPr>
        <w:rPr>
          <w:szCs w:val="22"/>
          <w:lang w:val="lv-LV"/>
        </w:rPr>
      </w:pPr>
    </w:p>
    <w:p w14:paraId="17A4B5D7" w14:textId="6A6BB5F6" w:rsidR="00784D05" w:rsidRDefault="006F2DEA">
      <w:pPr>
        <w:rPr>
          <w:szCs w:val="22"/>
          <w:lang w:val="lv-LV"/>
        </w:rPr>
      </w:pPr>
      <w:r>
        <w:rPr>
          <w:szCs w:val="22"/>
          <w:lang w:val="lv-LV"/>
        </w:rPr>
        <w:t>Pacientiem ar RA t</w:t>
      </w:r>
      <w:r w:rsidR="00784D05">
        <w:rPr>
          <w:szCs w:val="22"/>
          <w:lang w:val="lv-LV"/>
        </w:rPr>
        <w:t>ocilizumaba eliminācijas pusperiods (t</w:t>
      </w:r>
      <w:r w:rsidR="00784D05">
        <w:rPr>
          <w:szCs w:val="22"/>
          <w:vertAlign w:val="subscript"/>
          <w:lang w:val="lv-LV"/>
        </w:rPr>
        <w:t>1/2</w:t>
      </w:r>
      <w:r w:rsidR="00784D05">
        <w:rPr>
          <w:szCs w:val="22"/>
          <w:lang w:val="lv-LV"/>
        </w:rPr>
        <w:t>) bija atkarīgs no koncentrācijas. Līdzsvara stāvoklī pēc 8 mg/kg devas lietošanas ik pēc 4 nedēļām efektīvais t</w:t>
      </w:r>
      <w:r w:rsidR="00784D05">
        <w:rPr>
          <w:szCs w:val="22"/>
          <w:vertAlign w:val="subscript"/>
          <w:lang w:val="lv-LV"/>
        </w:rPr>
        <w:t>1/2</w:t>
      </w:r>
      <w:r w:rsidR="00784D05">
        <w:rPr>
          <w:szCs w:val="22"/>
          <w:lang w:val="lv-LV"/>
        </w:rPr>
        <w:t xml:space="preserve"> samazinājās, samazinoties koncentrācijai, dozēšanas intervālā 18</w:t>
      </w:r>
      <w:r w:rsidR="00CD68FA">
        <w:rPr>
          <w:szCs w:val="22"/>
          <w:lang w:val="lv-LV"/>
        </w:rPr>
        <w:noBreakHyphen/>
      </w:r>
      <w:r w:rsidR="00784D05">
        <w:rPr>
          <w:szCs w:val="22"/>
          <w:lang w:val="lv-LV"/>
        </w:rPr>
        <w:t>6 dienas.</w:t>
      </w:r>
    </w:p>
    <w:p w14:paraId="7620803F" w14:textId="77777777" w:rsidR="006F2DEA" w:rsidRPr="008F505F" w:rsidRDefault="006F2DEA" w:rsidP="006F2DEA">
      <w:pPr>
        <w:pStyle w:val="Standard1"/>
        <w:numPr>
          <w:ilvl w:val="12"/>
          <w:numId w:val="0"/>
        </w:numPr>
        <w:ind w:right="-2"/>
        <w:rPr>
          <w:szCs w:val="22"/>
        </w:rPr>
      </w:pPr>
    </w:p>
    <w:p w14:paraId="57E4E39A" w14:textId="1EE6A452" w:rsidR="006F2DEA" w:rsidRPr="0018021A" w:rsidRDefault="006F2DEA" w:rsidP="006F2DEA">
      <w:pPr>
        <w:pStyle w:val="Standard1"/>
        <w:numPr>
          <w:ilvl w:val="12"/>
          <w:numId w:val="0"/>
        </w:numPr>
        <w:ind w:right="-2"/>
        <w:rPr>
          <w:szCs w:val="22"/>
        </w:rPr>
      </w:pPr>
      <w:r>
        <w:t>Tocilizumaba koncentrācija COVID</w:t>
      </w:r>
      <w:r w:rsidR="00CD68FA">
        <w:noBreakHyphen/>
      </w:r>
      <w:r>
        <w:t xml:space="preserve">19 </w:t>
      </w:r>
      <w:r w:rsidR="00297E99">
        <w:t>pacientu</w:t>
      </w:r>
      <w:r>
        <w:t xml:space="preserve"> serumā par kvantitatīvās noteikšanas slieksni mazāku vērtību sasniedza vidēji 35. dienā pēc vienas tocilizumaba</w:t>
      </w:r>
      <w:r w:rsidR="00CD68FA">
        <w:t xml:space="preserve"> 8 mg/kg devas</w:t>
      </w:r>
      <w:r>
        <w:t xml:space="preserve"> </w:t>
      </w:r>
      <w:r w:rsidR="00CD68FA">
        <w:t>intravenozas</w:t>
      </w:r>
      <w:r w:rsidR="005B7D36">
        <w:t xml:space="preserve"> </w:t>
      </w:r>
      <w:r>
        <w:t>infūzijas.</w:t>
      </w:r>
    </w:p>
    <w:p w14:paraId="24E0BE91" w14:textId="77777777" w:rsidR="00784D05" w:rsidRDefault="00784D05">
      <w:pPr>
        <w:rPr>
          <w:szCs w:val="22"/>
          <w:lang w:val="lv-LV"/>
        </w:rPr>
      </w:pPr>
    </w:p>
    <w:p w14:paraId="5CFB82C3" w14:textId="77777777" w:rsidR="00784D05" w:rsidRDefault="00784D05">
      <w:pPr>
        <w:keepNext/>
        <w:rPr>
          <w:szCs w:val="22"/>
          <w:lang w:val="lv-LV"/>
        </w:rPr>
      </w:pPr>
      <w:r>
        <w:rPr>
          <w:szCs w:val="22"/>
          <w:u w:val="single"/>
          <w:lang w:val="lv-LV"/>
        </w:rPr>
        <w:t>Linearitāte</w:t>
      </w:r>
    </w:p>
    <w:p w14:paraId="37D4549F" w14:textId="5533B66F" w:rsidR="00784D05" w:rsidRDefault="00784D05">
      <w:pPr>
        <w:rPr>
          <w:szCs w:val="22"/>
          <w:lang w:val="lv-LV"/>
        </w:rPr>
      </w:pPr>
      <w:r>
        <w:rPr>
          <w:szCs w:val="22"/>
          <w:lang w:val="lv-LV"/>
        </w:rPr>
        <w:t>Tocilizumaba farmakokinētiskie rādītāji laika gaitā nemainījās. Lietojot 4 un 8 mg/kg devu ik pēc 4</w:t>
      </w:r>
      <w:r w:rsidR="00CD68FA">
        <w:rPr>
          <w:szCs w:val="22"/>
          <w:lang w:val="lv-LV"/>
        </w:rPr>
        <w:t> </w:t>
      </w:r>
      <w:r>
        <w:rPr>
          <w:szCs w:val="22"/>
          <w:lang w:val="lv-LV"/>
        </w:rPr>
        <w:t>nedēļām, novēroja vairāk nekā devai proporcionālu laukuma zem līknes (AUC) un C</w:t>
      </w:r>
      <w:r>
        <w:rPr>
          <w:szCs w:val="22"/>
          <w:vertAlign w:val="subscript"/>
          <w:lang w:val="lv-LV"/>
        </w:rPr>
        <w:t>min</w:t>
      </w:r>
      <w:r>
        <w:rPr>
          <w:szCs w:val="22"/>
          <w:lang w:val="lv-LV"/>
        </w:rPr>
        <w:t xml:space="preserve"> palielināšanos. C</w:t>
      </w:r>
      <w:r>
        <w:rPr>
          <w:szCs w:val="22"/>
          <w:vertAlign w:val="subscript"/>
          <w:lang w:val="lv-LV"/>
        </w:rPr>
        <w:t>max</w:t>
      </w:r>
      <w:r>
        <w:rPr>
          <w:szCs w:val="22"/>
          <w:lang w:val="lv-LV"/>
        </w:rPr>
        <w:t xml:space="preserve"> palielinājās proporcionāli devai. Līdzsvara apstākļos paredzamais AUC un C</w:t>
      </w:r>
      <w:r>
        <w:rPr>
          <w:szCs w:val="22"/>
          <w:vertAlign w:val="subscript"/>
          <w:lang w:val="lv-LV"/>
        </w:rPr>
        <w:t>min</w:t>
      </w:r>
      <w:r>
        <w:rPr>
          <w:szCs w:val="22"/>
          <w:lang w:val="lv-LV"/>
        </w:rPr>
        <w:t xml:space="preserve"> 8 mg/kg devai bija attiecīgi 3,2</w:t>
      </w:r>
      <w:r w:rsidR="00CD68FA">
        <w:rPr>
          <w:szCs w:val="22"/>
          <w:lang w:val="lv-LV"/>
        </w:rPr>
        <w:t> </w:t>
      </w:r>
      <w:r>
        <w:rPr>
          <w:szCs w:val="22"/>
          <w:lang w:val="lv-LV"/>
        </w:rPr>
        <w:t>un 30</w:t>
      </w:r>
      <w:r w:rsidR="00CD68FA">
        <w:rPr>
          <w:szCs w:val="22"/>
          <w:lang w:val="lv-LV"/>
        </w:rPr>
        <w:t> </w:t>
      </w:r>
      <w:r>
        <w:rPr>
          <w:szCs w:val="22"/>
          <w:lang w:val="lv-LV"/>
        </w:rPr>
        <w:t>reizes lielāks nekā 4 mg/kg devai.</w:t>
      </w:r>
    </w:p>
    <w:p w14:paraId="67BF332C" w14:textId="77777777" w:rsidR="00784D05" w:rsidRDefault="00784D05">
      <w:pPr>
        <w:rPr>
          <w:szCs w:val="22"/>
          <w:lang w:val="lv-LV"/>
        </w:rPr>
      </w:pPr>
    </w:p>
    <w:p w14:paraId="2D1B0FE7" w14:textId="77777777" w:rsidR="00784D05" w:rsidRDefault="00784D05">
      <w:pPr>
        <w:keepNext/>
        <w:keepLines/>
        <w:rPr>
          <w:i/>
          <w:iCs/>
          <w:lang w:val="lv-LV"/>
        </w:rPr>
      </w:pPr>
      <w:r>
        <w:rPr>
          <w:u w:val="single"/>
          <w:lang w:val="lv-LV"/>
        </w:rPr>
        <w:t>Īpašas pacientu grupas</w:t>
      </w:r>
    </w:p>
    <w:p w14:paraId="4B2717DB" w14:textId="3BEA9BED" w:rsidR="00CD68FA" w:rsidRDefault="00784D05">
      <w:pPr>
        <w:keepNext/>
        <w:rPr>
          <w:lang w:val="lv-LV"/>
        </w:rPr>
        <w:pPrChange w:id="355" w:author="Author">
          <w:pPr/>
        </w:pPrChange>
      </w:pPr>
      <w:r>
        <w:rPr>
          <w:i/>
          <w:iCs/>
          <w:lang w:val="lv-LV"/>
        </w:rPr>
        <w:t>Nieru darbības traucējumi</w:t>
      </w:r>
      <w:r>
        <w:rPr>
          <w:lang w:val="lv-LV"/>
        </w:rPr>
        <w:t xml:space="preserve"> </w:t>
      </w:r>
    </w:p>
    <w:p w14:paraId="023DE07F" w14:textId="168CFE43" w:rsidR="00784D05" w:rsidRPr="00CD68FA" w:rsidRDefault="00CD68FA">
      <w:pPr>
        <w:rPr>
          <w:szCs w:val="22"/>
          <w:lang w:val="lv-LV"/>
        </w:rPr>
      </w:pPr>
      <w:r>
        <w:rPr>
          <w:lang w:val="lv-LV"/>
        </w:rPr>
        <w:t>F</w:t>
      </w:r>
      <w:r w:rsidR="00784D05">
        <w:rPr>
          <w:lang w:val="lv-LV"/>
        </w:rPr>
        <w:t xml:space="preserve">ormāli pētījumi par nieru darbības traucējumu ietekmi uz </w:t>
      </w:r>
      <w:r w:rsidR="00784D05">
        <w:rPr>
          <w:szCs w:val="22"/>
          <w:lang w:val="lv-LV"/>
        </w:rPr>
        <w:t>tocilizumaba farmakokinētiku nav veikti.</w:t>
      </w:r>
      <w:r w:rsidR="00784D05">
        <w:rPr>
          <w:rFonts w:eastAsia="PMingLiU"/>
          <w:iCs/>
          <w:szCs w:val="22"/>
          <w:lang w:val="lv-LV"/>
        </w:rPr>
        <w:t xml:space="preserve"> Lielākai daļai pacientu populācijas farmakokinētikas analīzē bija normāla nieru darbība vai viegli nieru darbības traucējumi. Viegli nieru darbības traucējumi (kreatinīna klīrenss pēc </w:t>
      </w:r>
      <w:r w:rsidR="00784D05">
        <w:rPr>
          <w:rFonts w:eastAsia="PMingLiU"/>
          <w:i/>
          <w:szCs w:val="22"/>
          <w:lang w:val="lv-LV"/>
        </w:rPr>
        <w:t>Cockcroft</w:t>
      </w:r>
      <w:r>
        <w:rPr>
          <w:rFonts w:eastAsia="PMingLiU"/>
          <w:i/>
          <w:szCs w:val="22"/>
          <w:lang w:val="lv-LV"/>
        </w:rPr>
        <w:noBreakHyphen/>
      </w:r>
      <w:r w:rsidR="00784D05">
        <w:rPr>
          <w:rFonts w:eastAsia="PMingLiU"/>
          <w:i/>
          <w:szCs w:val="22"/>
          <w:lang w:val="lv-LV"/>
        </w:rPr>
        <w:t>Gault</w:t>
      </w:r>
      <w:r w:rsidR="00784D05">
        <w:rPr>
          <w:rFonts w:eastAsia="PMingLiU"/>
          <w:iCs/>
          <w:szCs w:val="22"/>
          <w:lang w:val="lv-LV"/>
        </w:rPr>
        <w:t xml:space="preserve"> </w:t>
      </w:r>
      <w:r w:rsidR="00784D05" w:rsidRPr="00CD68FA">
        <w:rPr>
          <w:rFonts w:eastAsia="PMingLiU"/>
          <w:iCs/>
          <w:szCs w:val="22"/>
          <w:lang w:val="lv-LV"/>
        </w:rPr>
        <w:t xml:space="preserve">formulas </w:t>
      </w:r>
      <w:r w:rsidRPr="00CD68FA">
        <w:rPr>
          <w:rFonts w:eastAsia="PMingLiU"/>
          <w:iCs/>
          <w:szCs w:val="22"/>
          <w:lang w:val="lv-LV"/>
        </w:rPr>
        <w:t>˂</w:t>
      </w:r>
      <w:r w:rsidR="00784D05" w:rsidRPr="00CD68FA">
        <w:rPr>
          <w:rFonts w:eastAsia="PMingLiU"/>
          <w:iCs/>
          <w:szCs w:val="22"/>
          <w:lang w:val="lv-LV"/>
        </w:rPr>
        <w:t xml:space="preserve"> 80 ml/min un </w:t>
      </w:r>
      <w:r w:rsidRPr="00CD68FA">
        <w:rPr>
          <w:szCs w:val="22"/>
          <w:lang w:val="lv-LV"/>
        </w:rPr>
        <w:t>≥</w:t>
      </w:r>
      <w:r w:rsidR="00784D05" w:rsidRPr="00CD68FA">
        <w:rPr>
          <w:i/>
          <w:iCs/>
          <w:szCs w:val="22"/>
          <w:lang w:val="lv-LV"/>
        </w:rPr>
        <w:t> </w:t>
      </w:r>
      <w:r w:rsidR="00784D05" w:rsidRPr="00CD68FA">
        <w:rPr>
          <w:rFonts w:eastAsia="PMingLiU"/>
          <w:iCs/>
          <w:szCs w:val="22"/>
          <w:lang w:val="lv-LV"/>
        </w:rPr>
        <w:t xml:space="preserve">50 ml/min) neietekmēja </w:t>
      </w:r>
      <w:r w:rsidR="00784D05" w:rsidRPr="00CD68FA">
        <w:rPr>
          <w:szCs w:val="22"/>
          <w:lang w:val="lv-LV"/>
        </w:rPr>
        <w:t>tocilizumaba</w:t>
      </w:r>
      <w:r w:rsidR="00784D05" w:rsidRPr="00CD68FA">
        <w:rPr>
          <w:rFonts w:eastAsia="PMingLiU"/>
          <w:iCs/>
          <w:szCs w:val="22"/>
          <w:lang w:val="lv-LV"/>
        </w:rPr>
        <w:t xml:space="preserve"> farmakokinētiku.</w:t>
      </w:r>
    </w:p>
    <w:p w14:paraId="1ADA17DE" w14:textId="77777777" w:rsidR="00784D05" w:rsidRDefault="00784D05">
      <w:pPr>
        <w:rPr>
          <w:szCs w:val="22"/>
          <w:lang w:val="lv-LV"/>
        </w:rPr>
      </w:pPr>
    </w:p>
    <w:p w14:paraId="7B43E0F1" w14:textId="236AFB6F" w:rsidR="00CD68FA" w:rsidRDefault="00784D05">
      <w:pPr>
        <w:keepNext/>
        <w:rPr>
          <w:bCs/>
          <w:i/>
          <w:iCs/>
          <w:szCs w:val="22"/>
          <w:lang w:val="lv-LV"/>
        </w:rPr>
        <w:pPrChange w:id="356" w:author="Author">
          <w:pPr/>
        </w:pPrChange>
      </w:pPr>
      <w:r>
        <w:rPr>
          <w:bCs/>
          <w:i/>
          <w:iCs/>
          <w:szCs w:val="22"/>
          <w:lang w:val="lv-LV"/>
        </w:rPr>
        <w:t>Aknu darbības traucējumi</w:t>
      </w:r>
    </w:p>
    <w:p w14:paraId="3BD26E2D" w14:textId="5A3C889F" w:rsidR="00784D05" w:rsidRDefault="00CD68FA">
      <w:pPr>
        <w:rPr>
          <w:szCs w:val="22"/>
          <w:lang w:val="lv-LV"/>
        </w:rPr>
      </w:pPr>
      <w:r>
        <w:rPr>
          <w:szCs w:val="22"/>
          <w:lang w:val="lv-LV"/>
        </w:rPr>
        <w:t>F</w:t>
      </w:r>
      <w:r w:rsidR="00784D05">
        <w:rPr>
          <w:szCs w:val="22"/>
          <w:lang w:val="lv-LV"/>
        </w:rPr>
        <w:t xml:space="preserve">ormāli pētījumi par aknu darbības traucējumu ietekmi uz tocilizumaba farmakokinētiku nav veikti. </w:t>
      </w:r>
    </w:p>
    <w:p w14:paraId="12D98C9E" w14:textId="77777777" w:rsidR="00784D05" w:rsidRDefault="00784D05">
      <w:pPr>
        <w:rPr>
          <w:szCs w:val="22"/>
          <w:lang w:val="lv-LV"/>
        </w:rPr>
      </w:pPr>
    </w:p>
    <w:p w14:paraId="47213351" w14:textId="5F52178C" w:rsidR="00CD68FA" w:rsidRDefault="00784D05">
      <w:pPr>
        <w:keepNext/>
        <w:rPr>
          <w:rFonts w:eastAsia="PMingLiU"/>
          <w:iCs/>
          <w:szCs w:val="22"/>
          <w:lang w:val="lv-LV"/>
        </w:rPr>
        <w:pPrChange w:id="357" w:author="Author">
          <w:pPr/>
        </w:pPrChange>
      </w:pPr>
      <w:r>
        <w:rPr>
          <w:rFonts w:eastAsia="PMingLiU"/>
          <w:i/>
          <w:iCs/>
          <w:szCs w:val="22"/>
          <w:lang w:val="lv-LV"/>
        </w:rPr>
        <w:t>Vecums, dzimums un etniskā piederība</w:t>
      </w:r>
      <w:r>
        <w:rPr>
          <w:rFonts w:eastAsia="PMingLiU"/>
          <w:iCs/>
          <w:szCs w:val="22"/>
          <w:lang w:val="lv-LV"/>
        </w:rPr>
        <w:t xml:space="preserve"> </w:t>
      </w:r>
    </w:p>
    <w:p w14:paraId="3EF43BD3" w14:textId="1A46F5F3" w:rsidR="00784D05" w:rsidRDefault="00CD68FA">
      <w:pPr>
        <w:rPr>
          <w:szCs w:val="22"/>
          <w:lang w:val="lv-LV"/>
        </w:rPr>
      </w:pPr>
      <w:r>
        <w:rPr>
          <w:rFonts w:eastAsia="PMingLiU"/>
          <w:lang w:val="lv-LV"/>
        </w:rPr>
        <w:t>P</w:t>
      </w:r>
      <w:r w:rsidR="00784D05">
        <w:rPr>
          <w:rFonts w:eastAsia="PMingLiU"/>
          <w:lang w:val="lv-LV"/>
        </w:rPr>
        <w:t xml:space="preserve">opulācijas farmakokinētikas analīze </w:t>
      </w:r>
      <w:r w:rsidR="006F2DEA">
        <w:rPr>
          <w:rFonts w:eastAsia="PMingLiU"/>
          <w:lang w:val="lv-LV"/>
        </w:rPr>
        <w:t xml:space="preserve">par </w:t>
      </w:r>
      <w:r w:rsidR="00784D05">
        <w:rPr>
          <w:rFonts w:eastAsia="PMingLiU"/>
          <w:lang w:val="lv-LV"/>
        </w:rPr>
        <w:t xml:space="preserve">RA </w:t>
      </w:r>
      <w:r w:rsidR="006F2DEA">
        <w:rPr>
          <w:rFonts w:eastAsia="PMingLiU"/>
          <w:lang w:val="lv-LV"/>
        </w:rPr>
        <w:t>un COVID</w:t>
      </w:r>
      <w:r>
        <w:rPr>
          <w:rFonts w:eastAsia="PMingLiU"/>
          <w:lang w:val="lv-LV"/>
        </w:rPr>
        <w:noBreakHyphen/>
      </w:r>
      <w:r w:rsidR="006F2DEA">
        <w:rPr>
          <w:rFonts w:eastAsia="PMingLiU"/>
          <w:lang w:val="lv-LV"/>
        </w:rPr>
        <w:t xml:space="preserve">19 </w:t>
      </w:r>
      <w:r w:rsidR="00297E99">
        <w:rPr>
          <w:rFonts w:eastAsia="PMingLiU"/>
          <w:lang w:val="lv-LV"/>
        </w:rPr>
        <w:t xml:space="preserve">pacientiem </w:t>
      </w:r>
      <w:r w:rsidR="00784D05">
        <w:rPr>
          <w:rFonts w:eastAsia="PMingLiU"/>
          <w:lang w:val="lv-LV"/>
        </w:rPr>
        <w:t xml:space="preserve">liecināja, ka vecums, dzimums un rase neietekmē </w:t>
      </w:r>
      <w:r w:rsidR="00784D05">
        <w:rPr>
          <w:lang w:val="lv-LV"/>
        </w:rPr>
        <w:t>tocilizumaba farmakokinētiku</w:t>
      </w:r>
      <w:r w:rsidR="00784D05">
        <w:rPr>
          <w:rFonts w:eastAsia="PMingLiU"/>
          <w:lang w:val="lv-LV"/>
        </w:rPr>
        <w:t xml:space="preserve">. </w:t>
      </w:r>
    </w:p>
    <w:p w14:paraId="4BA47DA3" w14:textId="77777777" w:rsidR="006F2DEA" w:rsidRPr="008F505F" w:rsidRDefault="006F2DEA" w:rsidP="006F2DEA">
      <w:pPr>
        <w:pStyle w:val="Standard1"/>
        <w:numPr>
          <w:ilvl w:val="12"/>
          <w:numId w:val="0"/>
        </w:numPr>
        <w:ind w:right="-2"/>
        <w:rPr>
          <w:szCs w:val="22"/>
        </w:rPr>
      </w:pPr>
    </w:p>
    <w:p w14:paraId="0074A45F" w14:textId="2F561CF5" w:rsidR="006F2DEA" w:rsidRPr="0018021A" w:rsidRDefault="006F2DEA" w:rsidP="006F2DEA">
      <w:pPr>
        <w:pStyle w:val="Standard1"/>
        <w:numPr>
          <w:ilvl w:val="12"/>
          <w:numId w:val="0"/>
        </w:numPr>
        <w:ind w:right="-2"/>
        <w:rPr>
          <w:szCs w:val="22"/>
        </w:rPr>
      </w:pPr>
      <w:r>
        <w:t>COVID</w:t>
      </w:r>
      <w:r w:rsidR="00CD68FA">
        <w:noBreakHyphen/>
      </w:r>
      <w:r>
        <w:t xml:space="preserve">19 </w:t>
      </w:r>
      <w:r w:rsidR="0044037B">
        <w:t>pacientu</w:t>
      </w:r>
      <w:r>
        <w:t xml:space="preserve"> populācijas FK analīze apliecināja, ka ķermeņa masa un slimības smaguma pakāpe ir kovariāti, kuriem ir būtiska ietekme uz tocilizumaba lineāro klīrensu.</w:t>
      </w:r>
    </w:p>
    <w:p w14:paraId="3AA7F0DC" w14:textId="77777777" w:rsidR="00784D05" w:rsidRDefault="00784D05">
      <w:pPr>
        <w:rPr>
          <w:szCs w:val="22"/>
          <w:lang w:val="lv-LV"/>
        </w:rPr>
      </w:pPr>
    </w:p>
    <w:p w14:paraId="57CFEE47" w14:textId="77777777" w:rsidR="00784D05" w:rsidRDefault="00784D05" w:rsidP="00385B1F">
      <w:pPr>
        <w:keepNext/>
        <w:keepLines/>
        <w:rPr>
          <w:lang w:val="lv-LV"/>
        </w:rPr>
      </w:pPr>
      <w:r>
        <w:rPr>
          <w:i/>
          <w:iCs/>
          <w:szCs w:val="22"/>
          <w:lang w:val="lv-LV"/>
        </w:rPr>
        <w:t>Pacienti ar sJIA</w:t>
      </w:r>
    </w:p>
    <w:p w14:paraId="5EF50923" w14:textId="494CBCF7" w:rsidR="00784D05" w:rsidRDefault="00784D05" w:rsidP="00385B1F">
      <w:pPr>
        <w:keepNext/>
        <w:keepLines/>
        <w:rPr>
          <w:iCs/>
          <w:szCs w:val="22"/>
          <w:lang w:val="lv-LV"/>
        </w:rPr>
      </w:pPr>
      <w:r>
        <w:rPr>
          <w:szCs w:val="22"/>
          <w:lang w:val="lv-LV"/>
        </w:rPr>
        <w:t xml:space="preserve">Tocilizumaba farmakokinētiskās īpašības tika noteiktas populācijas farmakokinētikas analīzē, izmantojot datubāzi par </w:t>
      </w:r>
      <w:r w:rsidR="004F76A0">
        <w:rPr>
          <w:szCs w:val="22"/>
          <w:lang w:val="lv-LV"/>
        </w:rPr>
        <w:t>140</w:t>
      </w:r>
      <w:r>
        <w:rPr>
          <w:szCs w:val="22"/>
          <w:lang w:val="lv-LV"/>
        </w:rPr>
        <w:t xml:space="preserve"> pacientiem ar sJIA, kuri tika ārstēti ar </w:t>
      </w:r>
      <w:r w:rsidR="00CD68FA">
        <w:rPr>
          <w:szCs w:val="22"/>
          <w:lang w:val="lv-LV"/>
        </w:rPr>
        <w:t xml:space="preserve">intravenozi ievadītu </w:t>
      </w:r>
      <w:r>
        <w:rPr>
          <w:szCs w:val="22"/>
          <w:lang w:val="lv-LV"/>
        </w:rPr>
        <w:t xml:space="preserve">8 mg/kg </w:t>
      </w:r>
      <w:r w:rsidR="00CD68FA" w:rsidRPr="00CD68FA">
        <w:rPr>
          <w:szCs w:val="22"/>
          <w:lang w:val="lv-LV"/>
        </w:rPr>
        <w:t>devu</w:t>
      </w:r>
      <w:r w:rsidR="004F76A0" w:rsidRPr="00CD68FA">
        <w:rPr>
          <w:szCs w:val="22"/>
          <w:lang w:val="lv-LV"/>
        </w:rPr>
        <w:t xml:space="preserve"> ik pēc 2 nedēļām </w:t>
      </w:r>
      <w:r w:rsidRPr="00CD68FA">
        <w:rPr>
          <w:szCs w:val="22"/>
          <w:lang w:val="lv-LV"/>
        </w:rPr>
        <w:t xml:space="preserve">(pacienti ar ķermeņa masu </w:t>
      </w:r>
      <w:r w:rsidR="00CD68FA" w:rsidRPr="00CD68FA">
        <w:rPr>
          <w:szCs w:val="22"/>
          <w:lang w:val="lv-LV"/>
        </w:rPr>
        <w:t>≥</w:t>
      </w:r>
      <w:r w:rsidRPr="00CD68FA">
        <w:rPr>
          <w:szCs w:val="22"/>
          <w:lang w:val="lv-LV"/>
        </w:rPr>
        <w:t> 30 kg)</w:t>
      </w:r>
      <w:r w:rsidR="004F76A0" w:rsidRPr="00CD68FA">
        <w:rPr>
          <w:szCs w:val="22"/>
          <w:lang w:val="lv-LV"/>
        </w:rPr>
        <w:t>,</w:t>
      </w:r>
      <w:r w:rsidRPr="00CD68FA">
        <w:rPr>
          <w:szCs w:val="22"/>
          <w:lang w:val="lv-LV"/>
        </w:rPr>
        <w:t xml:space="preserve"> </w:t>
      </w:r>
      <w:r w:rsidR="00CD68FA">
        <w:rPr>
          <w:szCs w:val="22"/>
          <w:lang w:val="lv-LV"/>
        </w:rPr>
        <w:t xml:space="preserve">intravenozi ievadītu </w:t>
      </w:r>
      <w:r w:rsidRPr="00CD68FA">
        <w:rPr>
          <w:szCs w:val="22"/>
          <w:lang w:val="lv-LV"/>
        </w:rPr>
        <w:t xml:space="preserve">12 mg/kg </w:t>
      </w:r>
      <w:r w:rsidR="00CD68FA">
        <w:rPr>
          <w:szCs w:val="22"/>
          <w:lang w:val="lv-LV"/>
        </w:rPr>
        <w:t>devu</w:t>
      </w:r>
      <w:r w:rsidR="004F76A0" w:rsidRPr="00CD68FA">
        <w:rPr>
          <w:szCs w:val="22"/>
          <w:lang w:val="lv-LV"/>
        </w:rPr>
        <w:t xml:space="preserve"> ik pēc 2 nedēļām </w:t>
      </w:r>
      <w:r>
        <w:rPr>
          <w:szCs w:val="22"/>
          <w:lang w:val="lv-LV"/>
        </w:rPr>
        <w:t>(pacienti ar ķermeņa masu</w:t>
      </w:r>
      <w:r w:rsidR="00CD68FA">
        <w:rPr>
          <w:szCs w:val="22"/>
          <w:lang w:val="lv-LV"/>
        </w:rPr>
        <w:t>˂</w:t>
      </w:r>
      <w:r>
        <w:rPr>
          <w:szCs w:val="22"/>
          <w:lang w:val="lv-LV"/>
        </w:rPr>
        <w:t> 30 kg)</w:t>
      </w:r>
      <w:r w:rsidR="004F76A0">
        <w:rPr>
          <w:szCs w:val="22"/>
          <w:lang w:val="lv-LV"/>
        </w:rPr>
        <w:t xml:space="preserve">, </w:t>
      </w:r>
      <w:r w:rsidR="00CD68FA">
        <w:rPr>
          <w:szCs w:val="22"/>
          <w:lang w:val="lv-LV"/>
        </w:rPr>
        <w:t xml:space="preserve">subkutāni lietotu </w:t>
      </w:r>
      <w:r w:rsidR="004F76A0" w:rsidRPr="003B051A">
        <w:rPr>
          <w:szCs w:val="22"/>
          <w:lang w:val="lv-LV"/>
        </w:rPr>
        <w:t xml:space="preserve">162 mg </w:t>
      </w:r>
      <w:r w:rsidR="00CD68FA">
        <w:rPr>
          <w:szCs w:val="22"/>
          <w:lang w:val="lv-LV"/>
        </w:rPr>
        <w:t>devu</w:t>
      </w:r>
      <w:r w:rsidR="004F76A0" w:rsidRPr="003B051A">
        <w:rPr>
          <w:szCs w:val="22"/>
          <w:lang w:val="lv-LV"/>
        </w:rPr>
        <w:t xml:space="preserve"> </w:t>
      </w:r>
      <w:r w:rsidR="004F76A0" w:rsidRPr="00CD68FA">
        <w:rPr>
          <w:szCs w:val="22"/>
          <w:lang w:val="lv-LV"/>
        </w:rPr>
        <w:t xml:space="preserve">katru nedēļu (pacienti ar ķermeņa masu </w:t>
      </w:r>
      <w:r w:rsidR="00CD68FA" w:rsidRPr="00CD68FA">
        <w:rPr>
          <w:szCs w:val="22"/>
          <w:lang w:val="lv-LV"/>
        </w:rPr>
        <w:t>≥ </w:t>
      </w:r>
      <w:r w:rsidR="004F76A0" w:rsidRPr="00CD68FA">
        <w:rPr>
          <w:szCs w:val="22"/>
          <w:lang w:val="lv-LV"/>
        </w:rPr>
        <w:t>30</w:t>
      </w:r>
      <w:r w:rsidR="002061E6" w:rsidRPr="00CD68FA">
        <w:rPr>
          <w:szCs w:val="22"/>
          <w:lang w:val="lv-LV"/>
        </w:rPr>
        <w:t> </w:t>
      </w:r>
      <w:r w:rsidR="004F76A0" w:rsidRPr="00CD68FA">
        <w:rPr>
          <w:szCs w:val="22"/>
          <w:lang w:val="lv-LV"/>
        </w:rPr>
        <w:t xml:space="preserve">kg), </w:t>
      </w:r>
      <w:r w:rsidR="00CD68FA">
        <w:rPr>
          <w:szCs w:val="22"/>
          <w:lang w:val="lv-LV"/>
        </w:rPr>
        <w:t xml:space="preserve">subkutāni lietotu </w:t>
      </w:r>
      <w:r w:rsidR="004F76A0" w:rsidRPr="00CD68FA">
        <w:rPr>
          <w:szCs w:val="22"/>
          <w:lang w:val="lv-LV"/>
        </w:rPr>
        <w:t>162</w:t>
      </w:r>
      <w:r w:rsidR="002061E6" w:rsidRPr="00CD68FA">
        <w:rPr>
          <w:szCs w:val="22"/>
          <w:lang w:val="lv-LV"/>
        </w:rPr>
        <w:t> </w:t>
      </w:r>
      <w:r w:rsidR="004F76A0" w:rsidRPr="00CD68FA">
        <w:rPr>
          <w:szCs w:val="22"/>
          <w:lang w:val="lv-LV"/>
        </w:rPr>
        <w:t xml:space="preserve">mg </w:t>
      </w:r>
      <w:r w:rsidR="00CD68FA">
        <w:rPr>
          <w:szCs w:val="22"/>
          <w:lang w:val="lv-LV"/>
        </w:rPr>
        <w:t>devu</w:t>
      </w:r>
      <w:r w:rsidR="004F76A0" w:rsidRPr="00CD68FA">
        <w:rPr>
          <w:szCs w:val="22"/>
          <w:lang w:val="lv-LV"/>
        </w:rPr>
        <w:t xml:space="preserve"> ik pēc 10</w:t>
      </w:r>
      <w:r w:rsidR="00CD68FA">
        <w:rPr>
          <w:szCs w:val="22"/>
          <w:lang w:val="lv-LV"/>
        </w:rPr>
        <w:t> </w:t>
      </w:r>
      <w:r w:rsidR="004F76A0" w:rsidRPr="00CD68FA">
        <w:rPr>
          <w:szCs w:val="22"/>
          <w:lang w:val="lv-LV"/>
        </w:rPr>
        <w:t xml:space="preserve">dienām vai ik pēc 2 nedēļām </w:t>
      </w:r>
      <w:r w:rsidR="004F76A0" w:rsidRPr="003B051A">
        <w:rPr>
          <w:szCs w:val="22"/>
          <w:lang w:val="lv-LV"/>
        </w:rPr>
        <w:t>(pacienti ar ķermeņa masu zem 30</w:t>
      </w:r>
      <w:r w:rsidR="00CD68FA">
        <w:rPr>
          <w:szCs w:val="22"/>
          <w:lang w:val="lv-LV"/>
        </w:rPr>
        <w:t> </w:t>
      </w:r>
      <w:r w:rsidR="004F76A0" w:rsidRPr="003B051A">
        <w:rPr>
          <w:szCs w:val="22"/>
          <w:lang w:val="lv-LV"/>
        </w:rPr>
        <w:t>kg)</w:t>
      </w:r>
      <w:r>
        <w:rPr>
          <w:szCs w:val="22"/>
          <w:lang w:val="lv-LV"/>
        </w:rPr>
        <w:t xml:space="preserve">. </w:t>
      </w:r>
    </w:p>
    <w:p w14:paraId="796C5A67" w14:textId="77777777" w:rsidR="00784D05" w:rsidRDefault="00784D05">
      <w:pPr>
        <w:ind w:right="-2"/>
        <w:rPr>
          <w:iCs/>
          <w:szCs w:val="22"/>
          <w:lang w:val="lv-LV"/>
        </w:rPr>
      </w:pPr>
    </w:p>
    <w:p w14:paraId="4CD527B0" w14:textId="61092402" w:rsidR="00F10BC2" w:rsidRDefault="003B3144" w:rsidP="00F10BC2">
      <w:pPr>
        <w:keepNext/>
        <w:keepLines/>
        <w:numPr>
          <w:ilvl w:val="12"/>
          <w:numId w:val="0"/>
        </w:numPr>
        <w:ind w:right="-2"/>
        <w:rPr>
          <w:i/>
          <w:lang w:val="lv-LV"/>
        </w:rPr>
      </w:pPr>
      <w:r>
        <w:rPr>
          <w:i/>
          <w:lang w:val="lv-LV"/>
        </w:rPr>
        <w:t>11</w:t>
      </w:r>
      <w:r w:rsidR="00F10BC2" w:rsidRPr="003B051A">
        <w:rPr>
          <w:i/>
          <w:lang w:val="lv-LV"/>
        </w:rPr>
        <w:t>.</w:t>
      </w:r>
      <w:r w:rsidR="00CD68FA">
        <w:rPr>
          <w:i/>
          <w:lang w:val="lv-LV"/>
        </w:rPr>
        <w:t> </w:t>
      </w:r>
      <w:r w:rsidR="00F10BC2" w:rsidRPr="003B051A">
        <w:rPr>
          <w:i/>
          <w:lang w:val="lv-LV"/>
        </w:rPr>
        <w:t>tabula</w:t>
      </w:r>
      <w:r w:rsidR="00F10BC2" w:rsidRPr="002474BC">
        <w:rPr>
          <w:i/>
          <w:lang w:val="lv-LV"/>
        </w:rPr>
        <w:t xml:space="preserve">. FK </w:t>
      </w:r>
      <w:r w:rsidRPr="002474BC">
        <w:rPr>
          <w:i/>
          <w:lang w:val="lv-LV"/>
        </w:rPr>
        <w:t xml:space="preserve">rādītāju </w:t>
      </w:r>
      <w:r w:rsidR="00F10BC2" w:rsidRPr="002474BC">
        <w:rPr>
          <w:i/>
          <w:lang w:val="lv-LV"/>
        </w:rPr>
        <w:t>prognozētās vidējās vērtības ±</w:t>
      </w:r>
      <w:r w:rsidR="00CD68FA" w:rsidRPr="002474BC">
        <w:rPr>
          <w:i/>
          <w:lang w:val="lv-LV"/>
        </w:rPr>
        <w:t> </w:t>
      </w:r>
      <w:r w:rsidR="00F10BC2" w:rsidRPr="002474BC">
        <w:rPr>
          <w:i/>
          <w:lang w:val="lv-LV"/>
        </w:rPr>
        <w:t xml:space="preserve">SN līdzsvara </w:t>
      </w:r>
      <w:ins w:id="358" w:author="Regulatory LV" w:date="2026-03-17T11:20:00Z">
        <w:r w:rsidR="00E45E04">
          <w:rPr>
            <w:i/>
            <w:lang w:val="lv-LV"/>
          </w:rPr>
          <w:t xml:space="preserve">koncentrācijas </w:t>
        </w:r>
      </w:ins>
      <w:r w:rsidR="00F10BC2" w:rsidRPr="002474BC">
        <w:rPr>
          <w:i/>
          <w:lang w:val="lv-LV"/>
        </w:rPr>
        <w:t xml:space="preserve">stāvoklī pēc </w:t>
      </w:r>
      <w:r w:rsidR="00CD68FA" w:rsidRPr="002474BC">
        <w:rPr>
          <w:i/>
          <w:lang w:val="lv-LV"/>
        </w:rPr>
        <w:t>intravenozas</w:t>
      </w:r>
      <w:r w:rsidR="00F10BC2" w:rsidRPr="002474BC">
        <w:rPr>
          <w:i/>
          <w:lang w:val="lv-LV"/>
        </w:rPr>
        <w:t xml:space="preserve"> ievadīšanas pacientiem ar</w:t>
      </w:r>
      <w:r w:rsidR="00F10BC2" w:rsidRPr="003B051A">
        <w:rPr>
          <w:i/>
          <w:lang w:val="lv-LV"/>
        </w:rPr>
        <w:t xml:space="preserve"> sJIA</w:t>
      </w:r>
    </w:p>
    <w:p w14:paraId="24BA320E" w14:textId="77777777" w:rsidR="00524825" w:rsidRPr="003B051A" w:rsidRDefault="00524825" w:rsidP="00F10BC2">
      <w:pPr>
        <w:keepNext/>
        <w:keepLines/>
        <w:numPr>
          <w:ilvl w:val="12"/>
          <w:numId w:val="0"/>
        </w:numPr>
        <w:ind w:right="-2"/>
        <w:rPr>
          <w:bCs/>
          <w:i/>
          <w:lang w:val="lv-LV"/>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977"/>
        <w:gridCol w:w="2977"/>
      </w:tblGrid>
      <w:tr w:rsidR="00F10BC2" w:rsidRPr="00707120" w14:paraId="1F1FDF66" w14:textId="77777777" w:rsidTr="002474BC">
        <w:trPr>
          <w:cantSplit/>
          <w:trHeight w:val="452"/>
        </w:trPr>
        <w:tc>
          <w:tcPr>
            <w:tcW w:w="2835" w:type="dxa"/>
            <w:tcBorders>
              <w:top w:val="single" w:sz="4" w:space="0" w:color="auto"/>
              <w:left w:val="single" w:sz="4" w:space="0" w:color="auto"/>
              <w:bottom w:val="single" w:sz="4" w:space="0" w:color="auto"/>
              <w:right w:val="single" w:sz="4" w:space="0" w:color="auto"/>
            </w:tcBorders>
            <w:hideMark/>
          </w:tcPr>
          <w:p w14:paraId="286077F6" w14:textId="3DD3F57F" w:rsidR="00F10BC2" w:rsidRPr="00707120" w:rsidRDefault="00CD68FA" w:rsidP="003B3144">
            <w:pPr>
              <w:pStyle w:val="TextTi9"/>
              <w:keepNext/>
              <w:keepLines/>
              <w:spacing w:after="0"/>
              <w:rPr>
                <w:rFonts w:ascii="Times New Roman" w:hAnsi="Times New Roman"/>
                <w:sz w:val="22"/>
              </w:rPr>
            </w:pPr>
            <w:r w:rsidRPr="00707120">
              <w:rPr>
                <w:rFonts w:ascii="Times New Roman" w:hAnsi="Times New Roman"/>
                <w:b/>
                <w:sz w:val="22"/>
              </w:rPr>
              <w:t xml:space="preserve">Tocilizumaba </w:t>
            </w:r>
            <w:r w:rsidR="00F10BC2" w:rsidRPr="00707120">
              <w:rPr>
                <w:rFonts w:ascii="Times New Roman" w:hAnsi="Times New Roman"/>
                <w:b/>
                <w:sz w:val="22"/>
              </w:rPr>
              <w:t xml:space="preserve">FK </w:t>
            </w:r>
            <w:r w:rsidR="003B3144" w:rsidRPr="00707120">
              <w:rPr>
                <w:rFonts w:ascii="Times New Roman" w:hAnsi="Times New Roman"/>
                <w:b/>
                <w:sz w:val="22"/>
              </w:rPr>
              <w:t>rādītājs</w:t>
            </w:r>
          </w:p>
        </w:tc>
        <w:tc>
          <w:tcPr>
            <w:tcW w:w="2977" w:type="dxa"/>
            <w:tcBorders>
              <w:top w:val="single" w:sz="4" w:space="0" w:color="auto"/>
              <w:left w:val="single" w:sz="4" w:space="0" w:color="auto"/>
              <w:bottom w:val="single" w:sz="4" w:space="0" w:color="auto"/>
              <w:right w:val="single" w:sz="4" w:space="0" w:color="auto"/>
            </w:tcBorders>
            <w:hideMark/>
          </w:tcPr>
          <w:p w14:paraId="17E6D6DC" w14:textId="10FD6099" w:rsidR="00F10BC2" w:rsidRPr="00707120" w:rsidRDefault="00F10BC2" w:rsidP="0070769E">
            <w:pPr>
              <w:pStyle w:val="TextTi9"/>
              <w:keepNext/>
              <w:keepLines/>
              <w:spacing w:after="0"/>
              <w:jc w:val="center"/>
              <w:rPr>
                <w:rFonts w:ascii="Times New Roman" w:hAnsi="Times New Roman"/>
                <w:b/>
                <w:sz w:val="22"/>
              </w:rPr>
            </w:pPr>
            <w:r w:rsidRPr="00707120">
              <w:rPr>
                <w:rFonts w:ascii="Times New Roman" w:hAnsi="Times New Roman"/>
                <w:b/>
                <w:sz w:val="22"/>
              </w:rPr>
              <w:t>8</w:t>
            </w:r>
            <w:r w:rsidR="00896EE1" w:rsidRPr="00707120">
              <w:rPr>
                <w:rFonts w:ascii="Times New Roman" w:hAnsi="Times New Roman"/>
                <w:b/>
                <w:sz w:val="22"/>
              </w:rPr>
              <w:t> </w:t>
            </w:r>
            <w:r w:rsidRPr="00707120">
              <w:rPr>
                <w:rFonts w:ascii="Times New Roman" w:hAnsi="Times New Roman"/>
                <w:b/>
                <w:sz w:val="22"/>
              </w:rPr>
              <w:t>mg/kg Q2W</w:t>
            </w:r>
            <w:ins w:id="359" w:author="Author">
              <w:r w:rsidR="00C90263">
                <w:rPr>
                  <w:rFonts w:ascii="Times New Roman" w:hAnsi="Times New Roman"/>
                  <w:b/>
                  <w:sz w:val="22"/>
                </w:rPr>
                <w:t> </w:t>
              </w:r>
            </w:ins>
            <w:del w:id="360" w:author="Author">
              <w:r w:rsidRPr="00707120" w:rsidDel="00C90263">
                <w:rPr>
                  <w:rFonts w:ascii="Times New Roman" w:hAnsi="Times New Roman"/>
                  <w:b/>
                  <w:sz w:val="22"/>
                </w:rPr>
                <w:delText xml:space="preserve"> </w:delText>
              </w:r>
            </w:del>
            <w:r w:rsidR="00CD68FA" w:rsidRPr="00707120">
              <w:rPr>
                <w:rFonts w:ascii="Times New Roman" w:hAnsi="Times New Roman"/>
                <w:b/>
                <w:sz w:val="22"/>
              </w:rPr>
              <w:t>≥ </w:t>
            </w:r>
            <w:r w:rsidRPr="00707120">
              <w:rPr>
                <w:rFonts w:ascii="Times New Roman" w:hAnsi="Times New Roman"/>
                <w:b/>
                <w:sz w:val="22"/>
              </w:rPr>
              <w:t>30</w:t>
            </w:r>
            <w:r w:rsidR="00896EE1" w:rsidRPr="00707120">
              <w:rPr>
                <w:rFonts w:ascii="Times New Roman" w:hAnsi="Times New Roman"/>
                <w:b/>
                <w:sz w:val="22"/>
              </w:rPr>
              <w:t> </w:t>
            </w:r>
            <w:r w:rsidRPr="00707120">
              <w:rPr>
                <w:rFonts w:ascii="Times New Roman" w:hAnsi="Times New Roman"/>
                <w:b/>
                <w:sz w:val="22"/>
              </w:rPr>
              <w:t>kg</w:t>
            </w:r>
          </w:p>
        </w:tc>
        <w:tc>
          <w:tcPr>
            <w:tcW w:w="2977" w:type="dxa"/>
            <w:tcBorders>
              <w:top w:val="single" w:sz="4" w:space="0" w:color="auto"/>
              <w:left w:val="single" w:sz="4" w:space="0" w:color="auto"/>
              <w:bottom w:val="single" w:sz="4" w:space="0" w:color="auto"/>
              <w:right w:val="single" w:sz="4" w:space="0" w:color="auto"/>
            </w:tcBorders>
            <w:hideMark/>
          </w:tcPr>
          <w:p w14:paraId="0DCD7C22" w14:textId="77777777" w:rsidR="00F10BC2" w:rsidRPr="00707120" w:rsidRDefault="00F10BC2" w:rsidP="0070769E">
            <w:pPr>
              <w:pStyle w:val="TextTi9"/>
              <w:keepNext/>
              <w:keepLines/>
              <w:spacing w:after="0"/>
              <w:jc w:val="center"/>
              <w:rPr>
                <w:rFonts w:ascii="Times New Roman" w:hAnsi="Times New Roman"/>
                <w:b/>
                <w:sz w:val="22"/>
                <w:lang w:val="de-DE"/>
              </w:rPr>
            </w:pPr>
            <w:r w:rsidRPr="00707120">
              <w:rPr>
                <w:rFonts w:ascii="Times New Roman" w:hAnsi="Times New Roman"/>
                <w:b/>
                <w:sz w:val="22"/>
                <w:lang w:val="de-DE"/>
              </w:rPr>
              <w:t>12</w:t>
            </w:r>
            <w:r w:rsidR="00896EE1" w:rsidRPr="00707120">
              <w:rPr>
                <w:rFonts w:ascii="Times New Roman" w:hAnsi="Times New Roman"/>
                <w:b/>
                <w:sz w:val="22"/>
                <w:lang w:val="de-DE"/>
              </w:rPr>
              <w:t> </w:t>
            </w:r>
            <w:r w:rsidRPr="00707120">
              <w:rPr>
                <w:rFonts w:ascii="Times New Roman" w:hAnsi="Times New Roman"/>
                <w:b/>
                <w:sz w:val="22"/>
                <w:lang w:val="de-DE"/>
              </w:rPr>
              <w:t>mg/kg Q2W zem 30</w:t>
            </w:r>
            <w:r w:rsidR="00896EE1" w:rsidRPr="00707120">
              <w:rPr>
                <w:rFonts w:ascii="Times New Roman" w:hAnsi="Times New Roman"/>
                <w:b/>
                <w:sz w:val="22"/>
                <w:lang w:val="de-DE"/>
              </w:rPr>
              <w:t> </w:t>
            </w:r>
            <w:r w:rsidRPr="00707120">
              <w:rPr>
                <w:rFonts w:ascii="Times New Roman" w:hAnsi="Times New Roman"/>
                <w:b/>
                <w:sz w:val="22"/>
                <w:lang w:val="de-DE"/>
              </w:rPr>
              <w:t>kg</w:t>
            </w:r>
          </w:p>
        </w:tc>
      </w:tr>
      <w:tr w:rsidR="00F10BC2" w:rsidRPr="00FB280D" w14:paraId="3B1EC71F" w14:textId="77777777" w:rsidTr="002474BC">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24CA04A1" w14:textId="0553DAC8" w:rsidR="00F10BC2" w:rsidRPr="00707120" w:rsidRDefault="00F10BC2" w:rsidP="0070769E">
            <w:pPr>
              <w:pStyle w:val="TextTi9"/>
              <w:keepNext/>
              <w:keepLines/>
              <w:spacing w:after="0"/>
              <w:rPr>
                <w:rFonts w:ascii="Times New Roman" w:hAnsi="Times New Roman"/>
                <w:sz w:val="22"/>
              </w:rPr>
            </w:pPr>
            <w:r w:rsidRPr="00707120">
              <w:rPr>
                <w:rFonts w:ascii="Times New Roman" w:hAnsi="Times New Roman"/>
                <w:sz w:val="22"/>
              </w:rPr>
              <w:t>C</w:t>
            </w:r>
            <w:r w:rsidRPr="00707120">
              <w:rPr>
                <w:rFonts w:ascii="Times New Roman" w:hAnsi="Times New Roman"/>
                <w:sz w:val="22"/>
                <w:vertAlign w:val="subscript"/>
              </w:rPr>
              <w:t>maks.</w:t>
            </w:r>
            <w:r w:rsidRPr="00707120">
              <w:rPr>
                <w:rFonts w:ascii="Times New Roman" w:hAnsi="Times New Roman"/>
                <w:sz w:val="22"/>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75204D48" w14:textId="7A8FEEC8" w:rsidR="00F10BC2" w:rsidRPr="00707120" w:rsidRDefault="00F10BC2" w:rsidP="0070769E">
            <w:pPr>
              <w:pStyle w:val="TextTi9"/>
              <w:keepNext/>
              <w:keepLines/>
              <w:spacing w:after="0"/>
              <w:jc w:val="center"/>
              <w:rPr>
                <w:rFonts w:ascii="Times New Roman" w:hAnsi="Times New Roman"/>
                <w:sz w:val="22"/>
              </w:rPr>
            </w:pPr>
            <w:r w:rsidRPr="00707120">
              <w:rPr>
                <w:rFonts w:ascii="Times New Roman" w:hAnsi="Times New Roman"/>
                <w:sz w:val="22"/>
              </w:rPr>
              <w:t>256</w:t>
            </w:r>
            <w:r w:rsidR="00CD68FA" w:rsidRPr="00707120">
              <w:rPr>
                <w:rFonts w:ascii="Times New Roman" w:hAnsi="Times New Roman"/>
                <w:sz w:val="22"/>
              </w:rPr>
              <w:t> </w:t>
            </w:r>
            <w:r w:rsidRPr="00707120">
              <w:rPr>
                <w:rFonts w:ascii="Times New Roman" w:hAnsi="Times New Roman"/>
                <w:sz w:val="22"/>
              </w:rPr>
              <w:t>±</w:t>
            </w:r>
            <w:r w:rsidR="00CD68FA" w:rsidRPr="00707120">
              <w:rPr>
                <w:rFonts w:ascii="Times New Roman" w:hAnsi="Times New Roman"/>
                <w:sz w:val="22"/>
              </w:rPr>
              <w:t> </w:t>
            </w:r>
            <w:r w:rsidRPr="00707120">
              <w:rPr>
                <w:rFonts w:ascii="Times New Roman" w:hAnsi="Times New Roman"/>
                <w:sz w:val="22"/>
              </w:rPr>
              <w:t>60,8</w:t>
            </w:r>
          </w:p>
        </w:tc>
        <w:tc>
          <w:tcPr>
            <w:tcW w:w="2977" w:type="dxa"/>
            <w:tcBorders>
              <w:top w:val="single" w:sz="4" w:space="0" w:color="auto"/>
              <w:left w:val="single" w:sz="4" w:space="0" w:color="auto"/>
              <w:bottom w:val="single" w:sz="4" w:space="0" w:color="auto"/>
              <w:right w:val="single" w:sz="4" w:space="0" w:color="auto"/>
            </w:tcBorders>
            <w:hideMark/>
          </w:tcPr>
          <w:p w14:paraId="7341B738" w14:textId="7EC868A3" w:rsidR="00F10BC2" w:rsidRPr="00707120" w:rsidRDefault="00F10BC2" w:rsidP="0070769E">
            <w:pPr>
              <w:pStyle w:val="TextTi9"/>
              <w:keepNext/>
              <w:keepLines/>
              <w:spacing w:after="0"/>
              <w:jc w:val="center"/>
              <w:rPr>
                <w:rFonts w:ascii="Times New Roman" w:eastAsia="SimSun" w:hAnsi="Times New Roman"/>
                <w:sz w:val="22"/>
              </w:rPr>
            </w:pPr>
            <w:r w:rsidRPr="00707120">
              <w:rPr>
                <w:rFonts w:ascii="Times New Roman" w:hAnsi="Times New Roman"/>
                <w:sz w:val="22"/>
              </w:rPr>
              <w:t>274</w:t>
            </w:r>
            <w:r w:rsidR="00CD68FA" w:rsidRPr="00707120">
              <w:rPr>
                <w:rFonts w:ascii="Times New Roman" w:hAnsi="Times New Roman"/>
                <w:sz w:val="22"/>
              </w:rPr>
              <w:t> </w:t>
            </w:r>
            <w:r w:rsidRPr="00707120">
              <w:rPr>
                <w:rFonts w:ascii="Times New Roman" w:hAnsi="Times New Roman"/>
                <w:sz w:val="22"/>
              </w:rPr>
              <w:sym w:font="Symbol" w:char="F0B1"/>
            </w:r>
            <w:r w:rsidRPr="00707120">
              <w:rPr>
                <w:rFonts w:ascii="Times New Roman" w:hAnsi="Times New Roman"/>
                <w:sz w:val="22"/>
              </w:rPr>
              <w:t> 63,8</w:t>
            </w:r>
          </w:p>
        </w:tc>
      </w:tr>
      <w:tr w:rsidR="00F10BC2" w:rsidRPr="00FB280D" w14:paraId="3A7431E8" w14:textId="77777777" w:rsidTr="002474BC">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26C9B9C5" w14:textId="01FA231E" w:rsidR="00F10BC2" w:rsidRPr="00707120" w:rsidRDefault="00F10BC2" w:rsidP="0070769E">
            <w:pPr>
              <w:pStyle w:val="TextTi9"/>
              <w:keepNext/>
              <w:keepLines/>
              <w:spacing w:after="0"/>
              <w:rPr>
                <w:rFonts w:ascii="Times New Roman" w:hAnsi="Times New Roman"/>
                <w:sz w:val="22"/>
              </w:rPr>
            </w:pPr>
            <w:r w:rsidRPr="00707120">
              <w:rPr>
                <w:rFonts w:ascii="Times New Roman" w:hAnsi="Times New Roman"/>
                <w:sz w:val="22"/>
              </w:rPr>
              <w:t>C</w:t>
            </w:r>
            <w:r w:rsidRPr="00707120">
              <w:rPr>
                <w:rFonts w:ascii="Times New Roman" w:hAnsi="Times New Roman"/>
                <w:sz w:val="22"/>
                <w:vertAlign w:val="subscript"/>
              </w:rPr>
              <w:t>zemākā</w:t>
            </w:r>
            <w:r w:rsidRPr="00707120">
              <w:rPr>
                <w:rFonts w:ascii="Times New Roman" w:hAnsi="Times New Roman"/>
                <w:sz w:val="22"/>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23E87550" w14:textId="1FD106EE" w:rsidR="00F10BC2" w:rsidRPr="00707120" w:rsidRDefault="00F10BC2" w:rsidP="0070769E">
            <w:pPr>
              <w:pStyle w:val="TextTi9"/>
              <w:keepNext/>
              <w:keepLines/>
              <w:spacing w:after="0"/>
              <w:jc w:val="center"/>
              <w:rPr>
                <w:rFonts w:ascii="Times New Roman" w:hAnsi="Times New Roman"/>
                <w:sz w:val="22"/>
              </w:rPr>
            </w:pPr>
            <w:r w:rsidRPr="00707120">
              <w:rPr>
                <w:rFonts w:ascii="Times New Roman" w:hAnsi="Times New Roman"/>
                <w:sz w:val="22"/>
              </w:rPr>
              <w:t>69,7</w:t>
            </w:r>
            <w:r w:rsidR="00CD68FA" w:rsidRPr="00707120">
              <w:rPr>
                <w:rFonts w:ascii="Times New Roman" w:hAnsi="Times New Roman"/>
                <w:sz w:val="22"/>
                <w:lang w:val="lv-LV"/>
              </w:rPr>
              <w:t> </w:t>
            </w:r>
            <w:r w:rsidRPr="00707120">
              <w:rPr>
                <w:rFonts w:ascii="Times New Roman" w:hAnsi="Times New Roman"/>
                <w:sz w:val="22"/>
              </w:rPr>
              <w:t>±</w:t>
            </w:r>
            <w:r w:rsidR="00CD68FA" w:rsidRPr="00707120">
              <w:rPr>
                <w:rFonts w:ascii="Times New Roman" w:hAnsi="Times New Roman"/>
                <w:sz w:val="22"/>
              </w:rPr>
              <w:t> </w:t>
            </w:r>
            <w:r w:rsidRPr="00707120">
              <w:rPr>
                <w:rFonts w:ascii="Times New Roman" w:hAnsi="Times New Roman"/>
                <w:sz w:val="22"/>
              </w:rPr>
              <w:t>29,1</w:t>
            </w:r>
          </w:p>
        </w:tc>
        <w:tc>
          <w:tcPr>
            <w:tcW w:w="2977" w:type="dxa"/>
            <w:tcBorders>
              <w:top w:val="single" w:sz="4" w:space="0" w:color="auto"/>
              <w:left w:val="single" w:sz="4" w:space="0" w:color="auto"/>
              <w:bottom w:val="single" w:sz="4" w:space="0" w:color="auto"/>
              <w:right w:val="single" w:sz="4" w:space="0" w:color="auto"/>
            </w:tcBorders>
            <w:hideMark/>
          </w:tcPr>
          <w:p w14:paraId="27E94120" w14:textId="31038B43" w:rsidR="00F10BC2" w:rsidRPr="00707120" w:rsidRDefault="00F10BC2" w:rsidP="0070769E">
            <w:pPr>
              <w:pStyle w:val="TextTi9"/>
              <w:keepNext/>
              <w:keepLines/>
              <w:spacing w:after="0"/>
              <w:jc w:val="center"/>
              <w:rPr>
                <w:rFonts w:ascii="Times New Roman" w:hAnsi="Times New Roman"/>
                <w:sz w:val="22"/>
              </w:rPr>
            </w:pPr>
            <w:r w:rsidRPr="00707120">
              <w:rPr>
                <w:rFonts w:ascii="Times New Roman" w:hAnsi="Times New Roman"/>
                <w:sz w:val="22"/>
              </w:rPr>
              <w:t>68,4</w:t>
            </w:r>
            <w:r w:rsidR="00CD68FA" w:rsidRPr="00707120">
              <w:rPr>
                <w:rFonts w:ascii="Times New Roman" w:hAnsi="Times New Roman"/>
                <w:sz w:val="22"/>
              </w:rPr>
              <w:t> </w:t>
            </w:r>
            <w:r w:rsidRPr="00707120">
              <w:rPr>
                <w:rFonts w:ascii="Times New Roman" w:hAnsi="Times New Roman"/>
                <w:sz w:val="22"/>
              </w:rPr>
              <w:sym w:font="Symbol" w:char="F0B1"/>
            </w:r>
            <w:r w:rsidRPr="00707120">
              <w:rPr>
                <w:rFonts w:ascii="Times New Roman" w:hAnsi="Times New Roman"/>
                <w:sz w:val="22"/>
              </w:rPr>
              <w:t> 30,0</w:t>
            </w:r>
          </w:p>
        </w:tc>
      </w:tr>
      <w:tr w:rsidR="00F10BC2" w:rsidRPr="00FB280D" w14:paraId="1982864E" w14:textId="77777777" w:rsidTr="002474BC">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16AB5D7C" w14:textId="77777777" w:rsidR="00F10BC2" w:rsidRPr="00707120" w:rsidRDefault="00F10BC2" w:rsidP="0070769E">
            <w:pPr>
              <w:pStyle w:val="TextTi9"/>
              <w:keepNext/>
              <w:keepLines/>
              <w:spacing w:after="0"/>
              <w:rPr>
                <w:rFonts w:ascii="Times New Roman" w:hAnsi="Times New Roman"/>
                <w:sz w:val="22"/>
              </w:rPr>
            </w:pPr>
            <w:r w:rsidRPr="00707120">
              <w:rPr>
                <w:rFonts w:ascii="Times New Roman" w:hAnsi="Times New Roman"/>
                <w:sz w:val="22"/>
              </w:rPr>
              <w:t>C</w:t>
            </w:r>
            <w:r w:rsidRPr="00707120">
              <w:rPr>
                <w:rFonts w:ascii="Times New Roman" w:hAnsi="Times New Roman"/>
                <w:sz w:val="22"/>
                <w:vertAlign w:val="subscript"/>
              </w:rPr>
              <w:t>vid.</w:t>
            </w:r>
            <w:r w:rsidRPr="00707120">
              <w:rPr>
                <w:rFonts w:ascii="Times New Roman" w:hAnsi="Times New Roman"/>
                <w:sz w:val="22"/>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472E2D79" w14:textId="2783E34C" w:rsidR="00F10BC2" w:rsidRPr="00707120" w:rsidRDefault="00F10BC2" w:rsidP="0070769E">
            <w:pPr>
              <w:pStyle w:val="TextTi9"/>
              <w:keepNext/>
              <w:keepLines/>
              <w:spacing w:after="0"/>
              <w:jc w:val="center"/>
              <w:rPr>
                <w:rFonts w:ascii="Times New Roman" w:hAnsi="Times New Roman"/>
                <w:sz w:val="22"/>
              </w:rPr>
            </w:pPr>
            <w:r w:rsidRPr="00707120">
              <w:rPr>
                <w:rFonts w:ascii="Times New Roman" w:hAnsi="Times New Roman"/>
                <w:sz w:val="22"/>
              </w:rPr>
              <w:t>119</w:t>
            </w:r>
            <w:r w:rsidR="00CD68FA" w:rsidRPr="00707120">
              <w:rPr>
                <w:rFonts w:ascii="Times New Roman" w:hAnsi="Times New Roman"/>
                <w:sz w:val="22"/>
              </w:rPr>
              <w:t> </w:t>
            </w:r>
            <w:r w:rsidRPr="00707120">
              <w:rPr>
                <w:rFonts w:ascii="Times New Roman" w:hAnsi="Times New Roman"/>
                <w:sz w:val="22"/>
              </w:rPr>
              <w:t>±</w:t>
            </w:r>
            <w:r w:rsidR="00CD68FA" w:rsidRPr="00707120">
              <w:rPr>
                <w:rFonts w:ascii="Times New Roman" w:hAnsi="Times New Roman"/>
                <w:sz w:val="22"/>
              </w:rPr>
              <w:t> </w:t>
            </w:r>
            <w:r w:rsidRPr="00707120">
              <w:rPr>
                <w:rFonts w:ascii="Times New Roman" w:hAnsi="Times New Roman"/>
                <w:sz w:val="22"/>
              </w:rPr>
              <w:t>36,0</w:t>
            </w:r>
          </w:p>
        </w:tc>
        <w:tc>
          <w:tcPr>
            <w:tcW w:w="2977" w:type="dxa"/>
            <w:tcBorders>
              <w:top w:val="single" w:sz="4" w:space="0" w:color="auto"/>
              <w:left w:val="single" w:sz="4" w:space="0" w:color="auto"/>
              <w:bottom w:val="single" w:sz="4" w:space="0" w:color="auto"/>
              <w:right w:val="single" w:sz="4" w:space="0" w:color="auto"/>
            </w:tcBorders>
            <w:hideMark/>
          </w:tcPr>
          <w:p w14:paraId="5193431D" w14:textId="4BDF8B50" w:rsidR="00F10BC2" w:rsidRPr="00707120" w:rsidRDefault="00F10BC2" w:rsidP="0070769E">
            <w:pPr>
              <w:pStyle w:val="TextTi9"/>
              <w:keepNext/>
              <w:keepLines/>
              <w:spacing w:after="0"/>
              <w:jc w:val="center"/>
              <w:rPr>
                <w:rFonts w:ascii="Times New Roman" w:hAnsi="Times New Roman"/>
                <w:sz w:val="22"/>
              </w:rPr>
            </w:pPr>
            <w:r w:rsidRPr="00707120">
              <w:rPr>
                <w:rFonts w:ascii="Times New Roman" w:hAnsi="Times New Roman"/>
                <w:sz w:val="22"/>
              </w:rPr>
              <w:t>123</w:t>
            </w:r>
            <w:r w:rsidR="00CD68FA" w:rsidRPr="00707120">
              <w:rPr>
                <w:rFonts w:ascii="Times New Roman" w:hAnsi="Times New Roman"/>
                <w:sz w:val="22"/>
              </w:rPr>
              <w:t> </w:t>
            </w:r>
            <w:r w:rsidRPr="00707120">
              <w:rPr>
                <w:rFonts w:ascii="Times New Roman" w:hAnsi="Times New Roman"/>
                <w:sz w:val="22"/>
              </w:rPr>
              <w:sym w:font="Symbol" w:char="F0B1"/>
            </w:r>
            <w:r w:rsidRPr="00707120">
              <w:rPr>
                <w:rFonts w:ascii="Times New Roman" w:hAnsi="Times New Roman"/>
                <w:sz w:val="22"/>
              </w:rPr>
              <w:t> 36,0</w:t>
            </w:r>
          </w:p>
        </w:tc>
      </w:tr>
      <w:tr w:rsidR="00F10BC2" w:rsidRPr="00FB280D" w14:paraId="1F2F1355" w14:textId="77777777" w:rsidTr="002474BC">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7EF9CB95" w14:textId="3DE88734" w:rsidR="00F10BC2" w:rsidRPr="00707120" w:rsidRDefault="00F10BC2" w:rsidP="0070769E">
            <w:pPr>
              <w:pStyle w:val="TextTi9"/>
              <w:keepNext/>
              <w:keepLines/>
              <w:spacing w:after="0"/>
              <w:rPr>
                <w:rFonts w:ascii="Times New Roman" w:hAnsi="Times New Roman"/>
                <w:sz w:val="22"/>
              </w:rPr>
            </w:pPr>
            <w:r w:rsidRPr="00707120">
              <w:rPr>
                <w:rFonts w:ascii="Times New Roman" w:hAnsi="Times New Roman"/>
                <w:sz w:val="22"/>
              </w:rPr>
              <w:t>Akumulācija, C</w:t>
            </w:r>
            <w:r w:rsidRPr="00707120">
              <w:rPr>
                <w:rFonts w:ascii="Times New Roman" w:hAnsi="Times New Roman"/>
                <w:sz w:val="22"/>
                <w:vertAlign w:val="subscript"/>
              </w:rPr>
              <w:t>maks.</w:t>
            </w:r>
          </w:p>
        </w:tc>
        <w:tc>
          <w:tcPr>
            <w:tcW w:w="2977" w:type="dxa"/>
            <w:tcBorders>
              <w:top w:val="single" w:sz="4" w:space="0" w:color="auto"/>
              <w:left w:val="single" w:sz="4" w:space="0" w:color="auto"/>
              <w:bottom w:val="single" w:sz="4" w:space="0" w:color="auto"/>
              <w:right w:val="single" w:sz="4" w:space="0" w:color="auto"/>
            </w:tcBorders>
          </w:tcPr>
          <w:p w14:paraId="5004162E" w14:textId="77777777" w:rsidR="00F10BC2" w:rsidRPr="00707120" w:rsidRDefault="00F10BC2" w:rsidP="0070769E">
            <w:pPr>
              <w:pStyle w:val="TextTi9"/>
              <w:keepNext/>
              <w:keepLines/>
              <w:spacing w:after="0"/>
              <w:jc w:val="center"/>
              <w:rPr>
                <w:rFonts w:ascii="Times New Roman" w:hAnsi="Times New Roman"/>
                <w:sz w:val="22"/>
              </w:rPr>
            </w:pPr>
            <w:r w:rsidRPr="00707120">
              <w:rPr>
                <w:rFonts w:ascii="Times New Roman" w:hAnsi="Times New Roman"/>
                <w:sz w:val="22"/>
              </w:rPr>
              <w:t>1,42</w:t>
            </w:r>
          </w:p>
        </w:tc>
        <w:tc>
          <w:tcPr>
            <w:tcW w:w="2977" w:type="dxa"/>
            <w:tcBorders>
              <w:top w:val="single" w:sz="4" w:space="0" w:color="auto"/>
              <w:left w:val="single" w:sz="4" w:space="0" w:color="auto"/>
              <w:bottom w:val="single" w:sz="4" w:space="0" w:color="auto"/>
              <w:right w:val="single" w:sz="4" w:space="0" w:color="auto"/>
            </w:tcBorders>
          </w:tcPr>
          <w:p w14:paraId="47D3B0B6" w14:textId="77777777" w:rsidR="00F10BC2" w:rsidRPr="00707120" w:rsidRDefault="00F10BC2" w:rsidP="0070769E">
            <w:pPr>
              <w:pStyle w:val="TextTi9"/>
              <w:keepNext/>
              <w:keepLines/>
              <w:spacing w:after="0"/>
              <w:jc w:val="center"/>
              <w:rPr>
                <w:rFonts w:ascii="Times New Roman" w:hAnsi="Times New Roman"/>
                <w:sz w:val="22"/>
              </w:rPr>
            </w:pPr>
            <w:r w:rsidRPr="00707120">
              <w:rPr>
                <w:rFonts w:ascii="Times New Roman" w:hAnsi="Times New Roman"/>
                <w:sz w:val="22"/>
              </w:rPr>
              <w:t>1,37</w:t>
            </w:r>
          </w:p>
        </w:tc>
      </w:tr>
      <w:tr w:rsidR="00F10BC2" w:rsidRPr="00FB280D" w14:paraId="20978411" w14:textId="77777777" w:rsidTr="002474BC">
        <w:trPr>
          <w:cantSplit/>
          <w:trHeight w:val="331"/>
        </w:trPr>
        <w:tc>
          <w:tcPr>
            <w:tcW w:w="2835" w:type="dxa"/>
            <w:tcBorders>
              <w:top w:val="single" w:sz="4" w:space="0" w:color="auto"/>
              <w:left w:val="single" w:sz="4" w:space="0" w:color="auto"/>
              <w:bottom w:val="single" w:sz="4" w:space="0" w:color="auto"/>
              <w:right w:val="single" w:sz="4" w:space="0" w:color="auto"/>
            </w:tcBorders>
            <w:hideMark/>
          </w:tcPr>
          <w:p w14:paraId="6C0555DB" w14:textId="26142EB3" w:rsidR="00F10BC2" w:rsidRPr="00707120" w:rsidRDefault="00F10BC2" w:rsidP="0070769E">
            <w:pPr>
              <w:pStyle w:val="TextTi9"/>
              <w:keepNext/>
              <w:keepLines/>
              <w:spacing w:after="0"/>
              <w:rPr>
                <w:rFonts w:ascii="Times New Roman" w:hAnsi="Times New Roman"/>
                <w:sz w:val="22"/>
              </w:rPr>
            </w:pPr>
            <w:r w:rsidRPr="00707120">
              <w:rPr>
                <w:rFonts w:ascii="Times New Roman" w:hAnsi="Times New Roman"/>
                <w:sz w:val="22"/>
              </w:rPr>
              <w:t>Akumulācija, C</w:t>
            </w:r>
            <w:r w:rsidRPr="00707120">
              <w:rPr>
                <w:rFonts w:ascii="Times New Roman" w:hAnsi="Times New Roman"/>
                <w:sz w:val="22"/>
                <w:vertAlign w:val="subscript"/>
              </w:rPr>
              <w:t>zemākā</w:t>
            </w:r>
          </w:p>
        </w:tc>
        <w:tc>
          <w:tcPr>
            <w:tcW w:w="2977" w:type="dxa"/>
            <w:tcBorders>
              <w:top w:val="single" w:sz="4" w:space="0" w:color="auto"/>
              <w:left w:val="single" w:sz="4" w:space="0" w:color="auto"/>
              <w:bottom w:val="single" w:sz="4" w:space="0" w:color="auto"/>
              <w:right w:val="single" w:sz="4" w:space="0" w:color="auto"/>
            </w:tcBorders>
          </w:tcPr>
          <w:p w14:paraId="23BB9252" w14:textId="77777777" w:rsidR="00F10BC2" w:rsidRPr="00707120" w:rsidRDefault="00F10BC2" w:rsidP="0070769E">
            <w:pPr>
              <w:pStyle w:val="TextTi9"/>
              <w:keepNext/>
              <w:keepLines/>
              <w:spacing w:after="0"/>
              <w:jc w:val="center"/>
              <w:rPr>
                <w:rFonts w:ascii="Times New Roman" w:hAnsi="Times New Roman"/>
                <w:sz w:val="22"/>
              </w:rPr>
            </w:pPr>
            <w:r w:rsidRPr="00707120">
              <w:rPr>
                <w:rFonts w:ascii="Times New Roman" w:hAnsi="Times New Roman"/>
                <w:sz w:val="22"/>
              </w:rPr>
              <w:t>3,20</w:t>
            </w:r>
          </w:p>
        </w:tc>
        <w:tc>
          <w:tcPr>
            <w:tcW w:w="2977" w:type="dxa"/>
            <w:tcBorders>
              <w:top w:val="single" w:sz="4" w:space="0" w:color="auto"/>
              <w:left w:val="single" w:sz="4" w:space="0" w:color="auto"/>
              <w:bottom w:val="single" w:sz="4" w:space="0" w:color="auto"/>
              <w:right w:val="single" w:sz="4" w:space="0" w:color="auto"/>
            </w:tcBorders>
          </w:tcPr>
          <w:p w14:paraId="6DE90CA8" w14:textId="77777777" w:rsidR="00F10BC2" w:rsidRPr="00707120" w:rsidRDefault="00F10BC2" w:rsidP="0070769E">
            <w:pPr>
              <w:pStyle w:val="TextTi9"/>
              <w:keepNext/>
              <w:keepLines/>
              <w:spacing w:after="0"/>
              <w:jc w:val="center"/>
              <w:rPr>
                <w:rFonts w:ascii="Times New Roman" w:hAnsi="Times New Roman"/>
                <w:sz w:val="22"/>
              </w:rPr>
            </w:pPr>
            <w:r w:rsidRPr="00707120">
              <w:rPr>
                <w:rFonts w:ascii="Times New Roman" w:hAnsi="Times New Roman"/>
                <w:sz w:val="22"/>
              </w:rPr>
              <w:t>3,41</w:t>
            </w:r>
          </w:p>
        </w:tc>
      </w:tr>
      <w:tr w:rsidR="00F10BC2" w:rsidRPr="00FB280D" w14:paraId="5706D05E" w14:textId="77777777" w:rsidTr="002474BC">
        <w:trPr>
          <w:cantSplit/>
          <w:trHeight w:val="331"/>
        </w:trPr>
        <w:tc>
          <w:tcPr>
            <w:tcW w:w="2835" w:type="dxa"/>
            <w:tcBorders>
              <w:top w:val="single" w:sz="4" w:space="0" w:color="auto"/>
              <w:left w:val="single" w:sz="4" w:space="0" w:color="auto"/>
              <w:bottom w:val="single" w:sz="4" w:space="0" w:color="auto"/>
              <w:right w:val="single" w:sz="4" w:space="0" w:color="auto"/>
            </w:tcBorders>
          </w:tcPr>
          <w:p w14:paraId="6FB23D8A" w14:textId="77777777" w:rsidR="00F10BC2" w:rsidRPr="00707120" w:rsidRDefault="00F10BC2" w:rsidP="0070769E">
            <w:pPr>
              <w:pStyle w:val="TextTi9"/>
              <w:spacing w:after="0"/>
              <w:rPr>
                <w:rFonts w:ascii="Times New Roman" w:hAnsi="Times New Roman"/>
                <w:sz w:val="22"/>
              </w:rPr>
            </w:pPr>
            <w:r w:rsidRPr="00707120">
              <w:rPr>
                <w:rFonts w:ascii="Times New Roman" w:hAnsi="Times New Roman"/>
                <w:sz w:val="22"/>
              </w:rPr>
              <w:t>Akumulācija, C</w:t>
            </w:r>
            <w:r w:rsidRPr="00707120">
              <w:rPr>
                <w:rFonts w:ascii="Times New Roman" w:hAnsi="Times New Roman"/>
                <w:sz w:val="22"/>
                <w:vertAlign w:val="subscript"/>
              </w:rPr>
              <w:t>vid.</w:t>
            </w:r>
            <w:r w:rsidRPr="00707120">
              <w:rPr>
                <w:rFonts w:ascii="Times New Roman" w:hAnsi="Times New Roman"/>
                <w:sz w:val="22"/>
              </w:rPr>
              <w:t xml:space="preserve"> vai AUC</w:t>
            </w:r>
            <w:r w:rsidRPr="00707120">
              <w:rPr>
                <w:rFonts w:ascii="Times New Roman" w:hAnsi="Times New Roman"/>
                <w:sz w:val="22"/>
                <w:vertAlign w:val="subscript"/>
              </w:rPr>
              <w:t>τ</w:t>
            </w:r>
            <w:r w:rsidRPr="00707120">
              <w:rPr>
                <w:rFonts w:ascii="Times New Roman" w:hAnsi="Times New Roman"/>
                <w:sz w:val="22"/>
              </w:rPr>
              <w:t>*</w:t>
            </w:r>
          </w:p>
        </w:tc>
        <w:tc>
          <w:tcPr>
            <w:tcW w:w="2977" w:type="dxa"/>
            <w:tcBorders>
              <w:top w:val="single" w:sz="4" w:space="0" w:color="auto"/>
              <w:left w:val="single" w:sz="4" w:space="0" w:color="auto"/>
              <w:bottom w:val="single" w:sz="4" w:space="0" w:color="auto"/>
              <w:right w:val="single" w:sz="4" w:space="0" w:color="auto"/>
            </w:tcBorders>
          </w:tcPr>
          <w:p w14:paraId="23EFCE45" w14:textId="77777777" w:rsidR="00F10BC2" w:rsidRPr="00707120" w:rsidRDefault="00F10BC2" w:rsidP="0070769E">
            <w:pPr>
              <w:pStyle w:val="TextTi9"/>
              <w:spacing w:after="0"/>
              <w:jc w:val="center"/>
              <w:rPr>
                <w:rFonts w:ascii="Times New Roman" w:hAnsi="Times New Roman"/>
                <w:sz w:val="22"/>
              </w:rPr>
            </w:pPr>
            <w:r w:rsidRPr="00707120">
              <w:rPr>
                <w:rFonts w:ascii="Times New Roman" w:hAnsi="Times New Roman"/>
                <w:sz w:val="22"/>
              </w:rPr>
              <w:t>2,01</w:t>
            </w:r>
          </w:p>
        </w:tc>
        <w:tc>
          <w:tcPr>
            <w:tcW w:w="2977" w:type="dxa"/>
            <w:tcBorders>
              <w:top w:val="single" w:sz="4" w:space="0" w:color="auto"/>
              <w:left w:val="single" w:sz="4" w:space="0" w:color="auto"/>
              <w:bottom w:val="single" w:sz="4" w:space="0" w:color="auto"/>
              <w:right w:val="single" w:sz="4" w:space="0" w:color="auto"/>
            </w:tcBorders>
          </w:tcPr>
          <w:p w14:paraId="41C8FFB6" w14:textId="77777777" w:rsidR="00F10BC2" w:rsidRPr="00707120" w:rsidRDefault="00F10BC2" w:rsidP="0070769E">
            <w:pPr>
              <w:pStyle w:val="TextTi9"/>
              <w:spacing w:after="0"/>
              <w:jc w:val="center"/>
              <w:rPr>
                <w:rFonts w:ascii="Times New Roman" w:hAnsi="Times New Roman"/>
                <w:sz w:val="22"/>
              </w:rPr>
            </w:pPr>
            <w:r w:rsidRPr="00707120">
              <w:rPr>
                <w:rFonts w:ascii="Times New Roman" w:hAnsi="Times New Roman"/>
                <w:sz w:val="22"/>
              </w:rPr>
              <w:t>1,95</w:t>
            </w:r>
          </w:p>
        </w:tc>
      </w:tr>
    </w:tbl>
    <w:p w14:paraId="3B748B87" w14:textId="5C88D874" w:rsidR="00F10BC2" w:rsidRPr="00707120" w:rsidRDefault="00F10BC2" w:rsidP="004E5BAA">
      <w:pPr>
        <w:jc w:val="both"/>
        <w:rPr>
          <w:sz w:val="18"/>
          <w:szCs w:val="18"/>
          <w:lang w:val="es-ES"/>
        </w:rPr>
      </w:pPr>
      <w:r w:rsidRPr="00707120">
        <w:rPr>
          <w:sz w:val="18"/>
          <w:lang w:val="es-ES"/>
        </w:rPr>
        <w:t>*</w:t>
      </w:r>
      <w:r w:rsidRPr="00707120">
        <w:rPr>
          <w:sz w:val="18"/>
        </w:rPr>
        <w:t>τ</w:t>
      </w:r>
      <w:r w:rsidRPr="00707120">
        <w:rPr>
          <w:sz w:val="18"/>
          <w:lang w:val="es-ES"/>
        </w:rPr>
        <w:t xml:space="preserve"> = 2</w:t>
      </w:r>
      <w:r w:rsidR="00CD68FA" w:rsidRPr="00707120">
        <w:rPr>
          <w:sz w:val="18"/>
          <w:lang w:val="es-ES"/>
        </w:rPr>
        <w:t> </w:t>
      </w:r>
      <w:r w:rsidRPr="00707120">
        <w:rPr>
          <w:sz w:val="18"/>
          <w:lang w:val="es-ES"/>
        </w:rPr>
        <w:t xml:space="preserve">nedēļas </w:t>
      </w:r>
      <w:r w:rsidR="00CD68FA" w:rsidRPr="00707120">
        <w:rPr>
          <w:sz w:val="18"/>
          <w:lang w:val="es-ES"/>
        </w:rPr>
        <w:t>intravenozas lietošanas</w:t>
      </w:r>
      <w:r w:rsidRPr="00707120">
        <w:rPr>
          <w:sz w:val="18"/>
          <w:lang w:val="es-ES"/>
        </w:rPr>
        <w:t xml:space="preserve"> shēmām</w:t>
      </w:r>
      <w:r w:rsidR="00C53AA6" w:rsidRPr="00707120">
        <w:rPr>
          <w:sz w:val="18"/>
          <w:lang w:val="es-ES"/>
        </w:rPr>
        <w:t>.</w:t>
      </w:r>
      <w:r w:rsidRPr="00707120">
        <w:rPr>
          <w:sz w:val="18"/>
          <w:lang w:val="es-ES"/>
        </w:rPr>
        <w:t xml:space="preserve"> </w:t>
      </w:r>
    </w:p>
    <w:p w14:paraId="01198AAC" w14:textId="77777777" w:rsidR="00F10BC2" w:rsidRPr="00707120" w:rsidRDefault="00F10BC2" w:rsidP="00F10BC2">
      <w:pPr>
        <w:numPr>
          <w:ilvl w:val="12"/>
          <w:numId w:val="0"/>
        </w:numPr>
        <w:ind w:right="-2"/>
        <w:rPr>
          <w:lang w:val="es-ES"/>
        </w:rPr>
      </w:pPr>
    </w:p>
    <w:p w14:paraId="4BE986AE" w14:textId="55E4557F" w:rsidR="00F10BC2" w:rsidRPr="00707120" w:rsidRDefault="00F10BC2" w:rsidP="00F10BC2">
      <w:pPr>
        <w:numPr>
          <w:ilvl w:val="12"/>
          <w:numId w:val="0"/>
        </w:numPr>
        <w:ind w:right="-2"/>
        <w:rPr>
          <w:lang w:val="es-ES"/>
        </w:rPr>
      </w:pPr>
      <w:r w:rsidRPr="00707120">
        <w:rPr>
          <w:lang w:val="es-ES"/>
        </w:rPr>
        <w:t xml:space="preserve">Pēc </w:t>
      </w:r>
      <w:r w:rsidR="00CD68FA" w:rsidRPr="00707120">
        <w:rPr>
          <w:lang w:val="es-ES"/>
        </w:rPr>
        <w:t>intravenozas</w:t>
      </w:r>
      <w:r w:rsidRPr="00707120">
        <w:rPr>
          <w:lang w:val="es-ES"/>
        </w:rPr>
        <w:t xml:space="preserve"> lietošanas gan ar 12 mg/kg</w:t>
      </w:r>
      <w:r w:rsidR="003D1B01" w:rsidRPr="00707120">
        <w:rPr>
          <w:lang w:val="es-ES"/>
        </w:rPr>
        <w:t xml:space="preserve"> (</w:t>
      </w:r>
      <w:r w:rsidR="00CD68FA" w:rsidRPr="00707120">
        <w:rPr>
          <w:lang w:val="es-ES"/>
        </w:rPr>
        <w:t>ķermeņa masa ˂ </w:t>
      </w:r>
      <w:r w:rsidR="003D1B01" w:rsidRPr="00707120">
        <w:rPr>
          <w:lang w:val="es-ES"/>
        </w:rPr>
        <w:t>30</w:t>
      </w:r>
      <w:r w:rsidR="00CD68FA" w:rsidRPr="00707120">
        <w:rPr>
          <w:lang w:val="es-ES"/>
        </w:rPr>
        <w:t> </w:t>
      </w:r>
      <w:r w:rsidR="003D1B01" w:rsidRPr="00707120">
        <w:rPr>
          <w:lang w:val="es-ES"/>
        </w:rPr>
        <w:t>kg)</w:t>
      </w:r>
      <w:r w:rsidRPr="00707120">
        <w:rPr>
          <w:lang w:val="es-ES"/>
        </w:rPr>
        <w:t xml:space="preserve">, gan 8 mg/kg </w:t>
      </w:r>
      <w:r w:rsidR="003D1B01" w:rsidRPr="00707120">
        <w:rPr>
          <w:lang w:val="es-ES"/>
        </w:rPr>
        <w:t>(</w:t>
      </w:r>
      <w:r w:rsidR="00CD68FA" w:rsidRPr="00707120">
        <w:rPr>
          <w:lang w:val="es-ES"/>
        </w:rPr>
        <w:t>ķermeņa masa ≥ </w:t>
      </w:r>
      <w:r w:rsidR="003D1B01" w:rsidRPr="00707120">
        <w:rPr>
          <w:lang w:val="es-ES"/>
        </w:rPr>
        <w:t>30</w:t>
      </w:r>
      <w:r w:rsidR="00CD68FA" w:rsidRPr="00707120">
        <w:rPr>
          <w:lang w:val="es-ES"/>
        </w:rPr>
        <w:t> </w:t>
      </w:r>
      <w:r w:rsidR="003D1B01" w:rsidRPr="00707120">
        <w:rPr>
          <w:lang w:val="es-ES"/>
        </w:rPr>
        <w:t xml:space="preserve">kg) </w:t>
      </w:r>
      <w:r w:rsidR="00CD68FA" w:rsidRPr="00707120">
        <w:rPr>
          <w:lang w:val="es-ES"/>
        </w:rPr>
        <w:t xml:space="preserve">Q2W </w:t>
      </w:r>
      <w:r w:rsidRPr="00707120">
        <w:rPr>
          <w:lang w:val="es-ES"/>
        </w:rPr>
        <w:t>shēmu aptuveni 90% no līdzsvara stāvokļa tika sasniegts līdz 8.</w:t>
      </w:r>
      <w:r w:rsidR="00CD68FA" w:rsidRPr="00707120">
        <w:rPr>
          <w:lang w:val="es-ES"/>
        </w:rPr>
        <w:t> </w:t>
      </w:r>
      <w:r w:rsidRPr="00707120">
        <w:rPr>
          <w:lang w:val="es-ES"/>
        </w:rPr>
        <w:t>nedēļai.</w:t>
      </w:r>
    </w:p>
    <w:p w14:paraId="58E0A2C4" w14:textId="77777777" w:rsidR="00F10BC2" w:rsidRDefault="00F10BC2">
      <w:pPr>
        <w:ind w:right="-2"/>
        <w:rPr>
          <w:iCs/>
          <w:szCs w:val="22"/>
          <w:lang w:val="lv-LV"/>
        </w:rPr>
      </w:pPr>
    </w:p>
    <w:p w14:paraId="3CD1318A" w14:textId="77777777" w:rsidR="00784D05" w:rsidRDefault="00784D05">
      <w:pPr>
        <w:ind w:right="-2"/>
        <w:rPr>
          <w:iCs/>
          <w:szCs w:val="22"/>
          <w:lang w:val="lv-LV"/>
        </w:rPr>
      </w:pPr>
      <w:r>
        <w:rPr>
          <w:iCs/>
          <w:szCs w:val="22"/>
          <w:lang w:val="lv-LV"/>
        </w:rPr>
        <w:t xml:space="preserve">Pacientiem ar sJIA centrālais izkliedes tilpums bija </w:t>
      </w:r>
      <w:r w:rsidR="00F10BC2">
        <w:rPr>
          <w:iCs/>
          <w:szCs w:val="22"/>
          <w:lang w:val="lv-LV"/>
        </w:rPr>
        <w:t>1,87 l</w:t>
      </w:r>
      <w:r>
        <w:rPr>
          <w:iCs/>
          <w:szCs w:val="22"/>
          <w:lang w:val="lv-LV"/>
        </w:rPr>
        <w:t xml:space="preserve">, perifērais izkliedes tilpums bija </w:t>
      </w:r>
      <w:r w:rsidR="00F10BC2">
        <w:rPr>
          <w:iCs/>
          <w:szCs w:val="22"/>
          <w:lang w:val="lv-LV"/>
        </w:rPr>
        <w:t>2,14 l</w:t>
      </w:r>
      <w:r>
        <w:rPr>
          <w:iCs/>
          <w:szCs w:val="22"/>
          <w:lang w:val="lv-LV"/>
        </w:rPr>
        <w:t xml:space="preserve">, kas rada līdzsvara stāvokļa izkliedes tilpumu </w:t>
      </w:r>
      <w:r w:rsidR="00F10BC2">
        <w:rPr>
          <w:iCs/>
          <w:szCs w:val="22"/>
          <w:lang w:val="lv-LV"/>
        </w:rPr>
        <w:t>4,01 l</w:t>
      </w:r>
      <w:r>
        <w:rPr>
          <w:iCs/>
          <w:szCs w:val="22"/>
          <w:lang w:val="lv-LV"/>
        </w:rPr>
        <w:t xml:space="preserve">. Lineārais klīrenss, kas vērtēts par populācijas farmakokinētiskās analīzes raksturlielumu, bija </w:t>
      </w:r>
      <w:r w:rsidR="00F10BC2">
        <w:rPr>
          <w:iCs/>
          <w:szCs w:val="22"/>
          <w:lang w:val="lv-LV"/>
        </w:rPr>
        <w:t>5,7 </w:t>
      </w:r>
      <w:r>
        <w:rPr>
          <w:iCs/>
          <w:szCs w:val="22"/>
          <w:lang w:val="lv-LV"/>
        </w:rPr>
        <w:t>ml/h.</w:t>
      </w:r>
    </w:p>
    <w:p w14:paraId="40664A08" w14:textId="77777777" w:rsidR="00784D05" w:rsidRDefault="00784D05">
      <w:pPr>
        <w:ind w:right="-2"/>
        <w:rPr>
          <w:iCs/>
          <w:szCs w:val="22"/>
          <w:lang w:val="lv-LV"/>
        </w:rPr>
      </w:pPr>
    </w:p>
    <w:p w14:paraId="2F32F903" w14:textId="1E406D7D" w:rsidR="00784D05" w:rsidRDefault="00784D05">
      <w:pPr>
        <w:rPr>
          <w:szCs w:val="22"/>
          <w:lang w:val="lv-LV"/>
        </w:rPr>
      </w:pPr>
      <w:bookmarkStart w:id="361" w:name="OLE_LINK23"/>
      <w:bookmarkStart w:id="362" w:name="OLE_LINK22"/>
      <w:r>
        <w:rPr>
          <w:szCs w:val="22"/>
          <w:lang w:val="lv-LV"/>
        </w:rPr>
        <w:t xml:space="preserve">Abās šajās pēc ķermeņa masas definētajās sJIA slimnieku grupās pēc 12 nedēļām tocilizumaba </w:t>
      </w:r>
      <w:r w:rsidRPr="00CD68FA">
        <w:rPr>
          <w:szCs w:val="22"/>
          <w:lang w:val="lv-LV"/>
        </w:rPr>
        <w:t xml:space="preserve">eliminācijas pusperiods ir līdz </w:t>
      </w:r>
      <w:r w:rsidR="00F10BC2" w:rsidRPr="00CD68FA">
        <w:rPr>
          <w:szCs w:val="22"/>
          <w:lang w:val="lv-LV"/>
        </w:rPr>
        <w:t>1</w:t>
      </w:r>
      <w:r w:rsidR="00896EE1" w:rsidRPr="00CD68FA">
        <w:rPr>
          <w:szCs w:val="22"/>
          <w:lang w:val="lv-LV"/>
        </w:rPr>
        <w:t>6</w:t>
      </w:r>
      <w:r w:rsidRPr="00CD68FA">
        <w:rPr>
          <w:szCs w:val="22"/>
          <w:lang w:val="lv-LV"/>
        </w:rPr>
        <w:t xml:space="preserve"> dienām (pacientiem ar ķermeņa masu </w:t>
      </w:r>
      <w:r w:rsidR="00CD68FA" w:rsidRPr="00707120">
        <w:rPr>
          <w:szCs w:val="22"/>
          <w:lang w:val="lv-LV"/>
        </w:rPr>
        <w:t>≥</w:t>
      </w:r>
      <w:r w:rsidRPr="00CD68FA">
        <w:rPr>
          <w:szCs w:val="22"/>
          <w:lang w:val="lv-LV"/>
        </w:rPr>
        <w:t> 30 kg lietojot pa 8 mg/kg</w:t>
      </w:r>
      <w:r>
        <w:rPr>
          <w:szCs w:val="22"/>
          <w:lang w:val="lv-LV"/>
        </w:rPr>
        <w:t xml:space="preserve"> vai pacientiem ar ķermeņa masu </w:t>
      </w:r>
      <w:r w:rsidR="00CD68FA">
        <w:rPr>
          <w:szCs w:val="22"/>
          <w:lang w:val="lv-LV"/>
        </w:rPr>
        <w:t>˂ </w:t>
      </w:r>
      <w:r>
        <w:rPr>
          <w:szCs w:val="22"/>
          <w:lang w:val="lv-LV"/>
        </w:rPr>
        <w:t>30 kg lietojot pa 12 mg/kg).</w:t>
      </w:r>
      <w:bookmarkEnd w:id="361"/>
      <w:bookmarkEnd w:id="362"/>
    </w:p>
    <w:p w14:paraId="5187B557" w14:textId="77777777" w:rsidR="00784D05" w:rsidRDefault="00784D05">
      <w:pPr>
        <w:rPr>
          <w:szCs w:val="22"/>
          <w:lang w:val="lv-LV"/>
        </w:rPr>
      </w:pPr>
    </w:p>
    <w:p w14:paraId="5E44AEDC" w14:textId="77777777" w:rsidR="00784D05" w:rsidRDefault="00784D05">
      <w:pPr>
        <w:keepNext/>
        <w:rPr>
          <w:iCs/>
          <w:szCs w:val="22"/>
          <w:lang w:val="lv-LV"/>
        </w:rPr>
        <w:pPrChange w:id="363" w:author="Author">
          <w:pPr/>
        </w:pPrChange>
      </w:pPr>
      <w:r>
        <w:rPr>
          <w:i/>
          <w:lang w:val="lv-LV"/>
        </w:rPr>
        <w:t>Pacienti ar pJIA</w:t>
      </w:r>
    </w:p>
    <w:p w14:paraId="0BF5091D" w14:textId="54479A7B" w:rsidR="00784D05" w:rsidRDefault="00784D05">
      <w:pPr>
        <w:rPr>
          <w:lang w:val="lv-LV"/>
        </w:rPr>
      </w:pPr>
      <w:r>
        <w:rPr>
          <w:iCs/>
          <w:szCs w:val="22"/>
          <w:lang w:val="lv-LV"/>
        </w:rPr>
        <w:t>T</w:t>
      </w:r>
      <w:r>
        <w:rPr>
          <w:szCs w:val="22"/>
          <w:lang w:val="lv-LV"/>
        </w:rPr>
        <w:t xml:space="preserve">ocilizumaba farmakokinētiskās īpašības </w:t>
      </w:r>
      <w:r w:rsidR="00F10BC2">
        <w:rPr>
          <w:szCs w:val="22"/>
          <w:lang w:val="lv-LV"/>
        </w:rPr>
        <w:t xml:space="preserve">pacientiem ar pJIA </w:t>
      </w:r>
      <w:r>
        <w:rPr>
          <w:szCs w:val="22"/>
          <w:lang w:val="lv-LV"/>
        </w:rPr>
        <w:t xml:space="preserve">tika </w:t>
      </w:r>
      <w:r w:rsidR="00F10BC2">
        <w:rPr>
          <w:szCs w:val="22"/>
          <w:lang w:val="lv-LV"/>
        </w:rPr>
        <w:t xml:space="preserve">raksturotas </w:t>
      </w:r>
      <w:r>
        <w:rPr>
          <w:szCs w:val="22"/>
          <w:lang w:val="lv-LV"/>
        </w:rPr>
        <w:t xml:space="preserve">populācijas farmakokinētikas analīzē, </w:t>
      </w:r>
      <w:r w:rsidR="00F10BC2" w:rsidRPr="003B051A">
        <w:rPr>
          <w:lang w:val="lv-LV"/>
        </w:rPr>
        <w:t>kurā piedalījās 237</w:t>
      </w:r>
      <w:r w:rsidR="00CD68FA">
        <w:rPr>
          <w:lang w:val="lv-LV"/>
        </w:rPr>
        <w:t> </w:t>
      </w:r>
      <w:r w:rsidR="00F10BC2" w:rsidRPr="003B051A">
        <w:rPr>
          <w:lang w:val="lv-LV"/>
        </w:rPr>
        <w:t xml:space="preserve">pacienti, kuri </w:t>
      </w:r>
      <w:r w:rsidR="00CD68FA">
        <w:rPr>
          <w:lang w:val="lv-LV"/>
        </w:rPr>
        <w:t xml:space="preserve">intravenozi </w:t>
      </w:r>
      <w:r w:rsidR="00F10BC2" w:rsidRPr="003B051A">
        <w:rPr>
          <w:lang w:val="lv-LV"/>
        </w:rPr>
        <w:t>saņēma 8</w:t>
      </w:r>
      <w:r w:rsidR="00896EE1" w:rsidRPr="003B051A">
        <w:rPr>
          <w:lang w:val="lv-LV"/>
        </w:rPr>
        <w:t> </w:t>
      </w:r>
      <w:r w:rsidR="00F10BC2" w:rsidRPr="003B051A">
        <w:rPr>
          <w:lang w:val="lv-LV"/>
        </w:rPr>
        <w:t xml:space="preserve">mg/kg </w:t>
      </w:r>
      <w:r w:rsidR="00CD68FA">
        <w:rPr>
          <w:lang w:val="lv-LV"/>
        </w:rPr>
        <w:t>devu</w:t>
      </w:r>
      <w:r w:rsidR="00F10BC2" w:rsidRPr="003B051A">
        <w:rPr>
          <w:lang w:val="lv-LV"/>
        </w:rPr>
        <w:t xml:space="preserve"> ik pēc 4 nedēļām (pacienti ar ķermeņa masu ≥</w:t>
      </w:r>
      <w:r w:rsidR="00CD68FA">
        <w:rPr>
          <w:lang w:val="lv-LV"/>
        </w:rPr>
        <w:t> </w:t>
      </w:r>
      <w:r w:rsidR="00F10BC2" w:rsidRPr="003B051A">
        <w:rPr>
          <w:lang w:val="lv-LV"/>
        </w:rPr>
        <w:t>30</w:t>
      </w:r>
      <w:r w:rsidR="00896EE1" w:rsidRPr="003B051A">
        <w:rPr>
          <w:lang w:val="lv-LV"/>
        </w:rPr>
        <w:t> </w:t>
      </w:r>
      <w:r w:rsidR="00F10BC2" w:rsidRPr="003B051A">
        <w:rPr>
          <w:lang w:val="lv-LV"/>
        </w:rPr>
        <w:t xml:space="preserve">kg), </w:t>
      </w:r>
      <w:r w:rsidR="00CD68FA">
        <w:rPr>
          <w:lang w:val="lv-LV"/>
        </w:rPr>
        <w:t xml:space="preserve">intravenozi saņēma </w:t>
      </w:r>
      <w:r w:rsidR="00F10BC2" w:rsidRPr="003B051A">
        <w:rPr>
          <w:lang w:val="lv-LV"/>
        </w:rPr>
        <w:t>10</w:t>
      </w:r>
      <w:r w:rsidR="00896EE1" w:rsidRPr="003B051A">
        <w:rPr>
          <w:lang w:val="lv-LV"/>
        </w:rPr>
        <w:t> </w:t>
      </w:r>
      <w:r w:rsidR="00F10BC2" w:rsidRPr="003B051A">
        <w:rPr>
          <w:lang w:val="lv-LV"/>
        </w:rPr>
        <w:t xml:space="preserve">mg/kg </w:t>
      </w:r>
      <w:r w:rsidR="00CD68FA">
        <w:rPr>
          <w:lang w:val="lv-LV"/>
        </w:rPr>
        <w:t>devu</w:t>
      </w:r>
      <w:r w:rsidR="00F10BC2" w:rsidRPr="003B051A">
        <w:rPr>
          <w:lang w:val="lv-LV"/>
        </w:rPr>
        <w:t xml:space="preserve"> ik pēc 4</w:t>
      </w:r>
      <w:r w:rsidR="00CD68FA">
        <w:rPr>
          <w:lang w:val="lv-LV"/>
        </w:rPr>
        <w:t> </w:t>
      </w:r>
      <w:r w:rsidR="00F10BC2" w:rsidRPr="003B051A">
        <w:rPr>
          <w:lang w:val="lv-LV"/>
        </w:rPr>
        <w:t>nedēļām (pacienti ar ķermeņa masu zem 30</w:t>
      </w:r>
      <w:r w:rsidR="00896EE1" w:rsidRPr="003B051A">
        <w:rPr>
          <w:lang w:val="lv-LV"/>
        </w:rPr>
        <w:t> </w:t>
      </w:r>
      <w:r w:rsidR="00F10BC2" w:rsidRPr="003B051A">
        <w:rPr>
          <w:lang w:val="lv-LV"/>
        </w:rPr>
        <w:t xml:space="preserve">kg), </w:t>
      </w:r>
      <w:r w:rsidR="00CD68FA">
        <w:rPr>
          <w:lang w:val="lv-LV"/>
        </w:rPr>
        <w:t xml:space="preserve">subkutāni saņēma </w:t>
      </w:r>
      <w:r w:rsidR="00F10BC2" w:rsidRPr="003B051A">
        <w:rPr>
          <w:lang w:val="lv-LV"/>
        </w:rPr>
        <w:t>162</w:t>
      </w:r>
      <w:r w:rsidR="00896EE1" w:rsidRPr="003B051A">
        <w:rPr>
          <w:lang w:val="lv-LV"/>
        </w:rPr>
        <w:t> </w:t>
      </w:r>
      <w:r w:rsidR="00F10BC2" w:rsidRPr="003B051A">
        <w:rPr>
          <w:lang w:val="lv-LV"/>
        </w:rPr>
        <w:t xml:space="preserve">mg </w:t>
      </w:r>
      <w:r w:rsidR="00CD68FA">
        <w:rPr>
          <w:lang w:val="lv-LV"/>
        </w:rPr>
        <w:t>devu</w:t>
      </w:r>
      <w:r w:rsidR="00F10BC2" w:rsidRPr="003B051A">
        <w:rPr>
          <w:lang w:val="lv-LV"/>
        </w:rPr>
        <w:t xml:space="preserve"> ik pēc 2</w:t>
      </w:r>
      <w:r w:rsidR="00CD68FA">
        <w:rPr>
          <w:lang w:val="lv-LV"/>
        </w:rPr>
        <w:t> </w:t>
      </w:r>
      <w:r w:rsidR="00F10BC2" w:rsidRPr="003B051A">
        <w:rPr>
          <w:lang w:val="lv-LV"/>
        </w:rPr>
        <w:t>nedēļām (pacienti ar ķermeņa masu ≥</w:t>
      </w:r>
      <w:r w:rsidR="00CD68FA">
        <w:rPr>
          <w:lang w:val="lv-LV"/>
        </w:rPr>
        <w:t> </w:t>
      </w:r>
      <w:r w:rsidR="00F10BC2" w:rsidRPr="003B051A">
        <w:rPr>
          <w:lang w:val="lv-LV"/>
        </w:rPr>
        <w:t>30</w:t>
      </w:r>
      <w:r w:rsidR="00896EE1" w:rsidRPr="003B051A">
        <w:rPr>
          <w:lang w:val="lv-LV"/>
        </w:rPr>
        <w:t> </w:t>
      </w:r>
      <w:r w:rsidR="00F10BC2" w:rsidRPr="003B051A">
        <w:rPr>
          <w:lang w:val="lv-LV"/>
        </w:rPr>
        <w:t xml:space="preserve">kg) vai </w:t>
      </w:r>
      <w:r w:rsidR="00CD68FA">
        <w:rPr>
          <w:lang w:val="lv-LV"/>
        </w:rPr>
        <w:t xml:space="preserve">subkutāni saņēma </w:t>
      </w:r>
      <w:r w:rsidR="00F10BC2" w:rsidRPr="003B051A">
        <w:rPr>
          <w:lang w:val="lv-LV"/>
        </w:rPr>
        <w:t>162</w:t>
      </w:r>
      <w:r w:rsidR="00896EE1" w:rsidRPr="003B051A">
        <w:rPr>
          <w:lang w:val="lv-LV"/>
        </w:rPr>
        <w:t> </w:t>
      </w:r>
      <w:r w:rsidR="00F10BC2" w:rsidRPr="003B051A">
        <w:rPr>
          <w:lang w:val="lv-LV"/>
        </w:rPr>
        <w:t xml:space="preserve">mg </w:t>
      </w:r>
      <w:r w:rsidR="00CD68FA">
        <w:rPr>
          <w:lang w:val="lv-LV"/>
        </w:rPr>
        <w:t>devu</w:t>
      </w:r>
      <w:r w:rsidR="00F10BC2" w:rsidRPr="003B051A">
        <w:rPr>
          <w:lang w:val="lv-LV"/>
        </w:rPr>
        <w:t xml:space="preserve"> ik pēc 3</w:t>
      </w:r>
      <w:r w:rsidR="00CD68FA">
        <w:rPr>
          <w:lang w:val="lv-LV"/>
        </w:rPr>
        <w:t> </w:t>
      </w:r>
      <w:r w:rsidR="00F10BC2" w:rsidRPr="003B051A">
        <w:rPr>
          <w:lang w:val="lv-LV"/>
        </w:rPr>
        <w:t>nedēļām (pacienti ar ķermeņa masu zem 30</w:t>
      </w:r>
      <w:r w:rsidR="00896EE1" w:rsidRPr="003B051A">
        <w:rPr>
          <w:lang w:val="lv-LV"/>
        </w:rPr>
        <w:t> </w:t>
      </w:r>
      <w:r w:rsidR="00F10BC2" w:rsidRPr="003B051A">
        <w:rPr>
          <w:lang w:val="lv-LV"/>
        </w:rPr>
        <w:t>kg)</w:t>
      </w:r>
      <w:r>
        <w:rPr>
          <w:szCs w:val="22"/>
          <w:lang w:val="lv-LV"/>
        </w:rPr>
        <w:t>.</w:t>
      </w:r>
    </w:p>
    <w:p w14:paraId="526B532F" w14:textId="77777777" w:rsidR="00784D05" w:rsidRDefault="00784D05">
      <w:pPr>
        <w:rPr>
          <w:lang w:val="lv-LV"/>
        </w:rPr>
      </w:pPr>
    </w:p>
    <w:p w14:paraId="7A630E02" w14:textId="330190A3" w:rsidR="00F10BC2" w:rsidRDefault="003B3144" w:rsidP="00F10BC2">
      <w:pPr>
        <w:keepNext/>
        <w:keepLines/>
        <w:numPr>
          <w:ilvl w:val="12"/>
          <w:numId w:val="0"/>
        </w:numPr>
        <w:ind w:right="-2"/>
        <w:rPr>
          <w:i/>
          <w:lang w:val="lv-LV"/>
        </w:rPr>
      </w:pPr>
      <w:r>
        <w:rPr>
          <w:i/>
          <w:lang w:val="lv-LV"/>
        </w:rPr>
        <w:t>12</w:t>
      </w:r>
      <w:r w:rsidR="00F10BC2" w:rsidRPr="000100C4">
        <w:rPr>
          <w:i/>
          <w:lang w:val="lv-LV"/>
        </w:rPr>
        <w:t>.</w:t>
      </w:r>
      <w:r w:rsidR="00CD68FA">
        <w:rPr>
          <w:i/>
          <w:lang w:val="lv-LV"/>
        </w:rPr>
        <w:t> </w:t>
      </w:r>
      <w:r w:rsidR="00F10BC2" w:rsidRPr="000100C4">
        <w:rPr>
          <w:i/>
          <w:lang w:val="lv-LV"/>
        </w:rPr>
        <w:t xml:space="preserve">tabula. FK </w:t>
      </w:r>
      <w:r>
        <w:rPr>
          <w:i/>
          <w:lang w:val="lv-LV"/>
        </w:rPr>
        <w:t>rādītāju</w:t>
      </w:r>
      <w:r w:rsidRPr="000100C4">
        <w:rPr>
          <w:i/>
          <w:lang w:val="lv-LV"/>
        </w:rPr>
        <w:t xml:space="preserve"> </w:t>
      </w:r>
      <w:r w:rsidR="00F10BC2" w:rsidRPr="000100C4">
        <w:rPr>
          <w:i/>
          <w:lang w:val="lv-LV"/>
        </w:rPr>
        <w:t>prognozētās vidējās vērtības ±</w:t>
      </w:r>
      <w:r w:rsidR="00CD68FA">
        <w:rPr>
          <w:i/>
          <w:lang w:val="lv-LV"/>
        </w:rPr>
        <w:t> </w:t>
      </w:r>
      <w:r w:rsidR="00F10BC2" w:rsidRPr="000100C4">
        <w:rPr>
          <w:i/>
          <w:lang w:val="lv-LV"/>
        </w:rPr>
        <w:t xml:space="preserve">SN līdzsvara </w:t>
      </w:r>
      <w:ins w:id="364" w:author="Regulatory LV" w:date="2026-03-17T11:43:00Z">
        <w:r w:rsidR="000C7FC8">
          <w:rPr>
            <w:i/>
            <w:lang w:val="lv-LV"/>
          </w:rPr>
          <w:t xml:space="preserve">koncentrācijas </w:t>
        </w:r>
      </w:ins>
      <w:r w:rsidR="00F10BC2" w:rsidRPr="000100C4">
        <w:rPr>
          <w:i/>
          <w:lang w:val="lv-LV"/>
        </w:rPr>
        <w:t xml:space="preserve">stāvoklī pēc </w:t>
      </w:r>
      <w:r w:rsidR="00CD68FA">
        <w:rPr>
          <w:i/>
          <w:lang w:val="lv-LV"/>
        </w:rPr>
        <w:t>intravenozas</w:t>
      </w:r>
      <w:r w:rsidR="00F10BC2" w:rsidRPr="000100C4">
        <w:rPr>
          <w:i/>
          <w:lang w:val="lv-LV"/>
        </w:rPr>
        <w:t xml:space="preserve"> ievadīšanas pacientiem ar pJIA</w:t>
      </w:r>
    </w:p>
    <w:p w14:paraId="56BEA479" w14:textId="77777777" w:rsidR="00524825" w:rsidRPr="000100C4" w:rsidRDefault="00524825" w:rsidP="00F10BC2">
      <w:pPr>
        <w:keepNext/>
        <w:keepLines/>
        <w:numPr>
          <w:ilvl w:val="12"/>
          <w:numId w:val="0"/>
        </w:numPr>
        <w:ind w:right="-2"/>
        <w:rPr>
          <w:bCs/>
          <w:i/>
          <w:lang w:val="lv-LV"/>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2835"/>
        <w:gridCol w:w="2835"/>
      </w:tblGrid>
      <w:tr w:rsidR="00F10BC2" w:rsidRPr="00707120" w14:paraId="5D6090D9" w14:textId="77777777" w:rsidTr="00707120">
        <w:trPr>
          <w:cantSplit/>
          <w:trHeight w:val="452"/>
        </w:trPr>
        <w:tc>
          <w:tcPr>
            <w:tcW w:w="3289" w:type="dxa"/>
            <w:tcBorders>
              <w:top w:val="single" w:sz="4" w:space="0" w:color="auto"/>
              <w:left w:val="single" w:sz="4" w:space="0" w:color="auto"/>
              <w:bottom w:val="single" w:sz="4" w:space="0" w:color="auto"/>
              <w:right w:val="single" w:sz="4" w:space="0" w:color="auto"/>
            </w:tcBorders>
            <w:hideMark/>
          </w:tcPr>
          <w:p w14:paraId="451D5E0F" w14:textId="3A3349F0" w:rsidR="00F10BC2" w:rsidRPr="00707120" w:rsidRDefault="00CD68FA" w:rsidP="003B3144">
            <w:pPr>
              <w:pStyle w:val="TextTi9"/>
              <w:keepNext/>
              <w:spacing w:after="0"/>
              <w:rPr>
                <w:rFonts w:ascii="Times New Roman" w:hAnsi="Times New Roman"/>
                <w:sz w:val="22"/>
              </w:rPr>
            </w:pPr>
            <w:r w:rsidRPr="00707120">
              <w:rPr>
                <w:rFonts w:ascii="Times New Roman" w:hAnsi="Times New Roman"/>
                <w:b/>
                <w:sz w:val="22"/>
              </w:rPr>
              <w:t xml:space="preserve">Tocilizumaba </w:t>
            </w:r>
            <w:r w:rsidR="00F10BC2" w:rsidRPr="00707120">
              <w:rPr>
                <w:rFonts w:ascii="Times New Roman" w:hAnsi="Times New Roman"/>
                <w:b/>
                <w:sz w:val="22"/>
              </w:rPr>
              <w:t xml:space="preserve">FK </w:t>
            </w:r>
            <w:r w:rsidR="003B3144" w:rsidRPr="00707120">
              <w:rPr>
                <w:rFonts w:ascii="Times New Roman" w:hAnsi="Times New Roman"/>
                <w:b/>
                <w:sz w:val="22"/>
              </w:rPr>
              <w:t>rādītāj</w:t>
            </w:r>
            <w:r w:rsidR="004E5BAA" w:rsidRPr="00707120">
              <w:rPr>
                <w:rFonts w:ascii="Times New Roman" w:hAnsi="Times New Roman"/>
                <w:b/>
                <w:sz w:val="22"/>
              </w:rPr>
              <w:t>s</w:t>
            </w:r>
          </w:p>
        </w:tc>
        <w:tc>
          <w:tcPr>
            <w:tcW w:w="2835" w:type="dxa"/>
            <w:tcBorders>
              <w:top w:val="single" w:sz="4" w:space="0" w:color="auto"/>
              <w:left w:val="single" w:sz="4" w:space="0" w:color="auto"/>
              <w:bottom w:val="single" w:sz="4" w:space="0" w:color="auto"/>
              <w:right w:val="single" w:sz="4" w:space="0" w:color="auto"/>
            </w:tcBorders>
            <w:hideMark/>
          </w:tcPr>
          <w:p w14:paraId="12AE3EB1" w14:textId="1BFD627C" w:rsidR="00F10BC2" w:rsidRPr="00707120" w:rsidRDefault="00F10BC2" w:rsidP="0001182F">
            <w:pPr>
              <w:pStyle w:val="TextTi9"/>
              <w:keepNext/>
              <w:spacing w:after="0"/>
              <w:jc w:val="center"/>
              <w:rPr>
                <w:rFonts w:ascii="Times New Roman" w:hAnsi="Times New Roman"/>
                <w:b/>
                <w:sz w:val="22"/>
              </w:rPr>
            </w:pPr>
            <w:r w:rsidRPr="00707120">
              <w:rPr>
                <w:rFonts w:ascii="Times New Roman" w:hAnsi="Times New Roman"/>
                <w:b/>
                <w:sz w:val="22"/>
              </w:rPr>
              <w:t>8</w:t>
            </w:r>
            <w:r w:rsidR="00896EE1" w:rsidRPr="00707120">
              <w:rPr>
                <w:rFonts w:ascii="Times New Roman" w:hAnsi="Times New Roman"/>
                <w:b/>
                <w:sz w:val="22"/>
              </w:rPr>
              <w:t> </w:t>
            </w:r>
            <w:r w:rsidRPr="00707120">
              <w:rPr>
                <w:rFonts w:ascii="Times New Roman" w:hAnsi="Times New Roman"/>
                <w:b/>
                <w:sz w:val="22"/>
              </w:rPr>
              <w:t>mg/kg Q</w:t>
            </w:r>
            <w:r w:rsidR="000100C4" w:rsidRPr="00707120">
              <w:rPr>
                <w:rFonts w:ascii="Times New Roman" w:hAnsi="Times New Roman"/>
                <w:b/>
                <w:sz w:val="22"/>
              </w:rPr>
              <w:t>4</w:t>
            </w:r>
            <w:r w:rsidRPr="00707120">
              <w:rPr>
                <w:rFonts w:ascii="Times New Roman" w:hAnsi="Times New Roman"/>
                <w:b/>
                <w:sz w:val="22"/>
              </w:rPr>
              <w:t>W</w:t>
            </w:r>
            <w:ins w:id="365" w:author="Author">
              <w:r w:rsidR="00C90263">
                <w:rPr>
                  <w:rFonts w:ascii="Times New Roman" w:hAnsi="Times New Roman"/>
                  <w:b/>
                  <w:sz w:val="22"/>
                </w:rPr>
                <w:t> </w:t>
              </w:r>
            </w:ins>
            <w:del w:id="366" w:author="Author">
              <w:r w:rsidRPr="00707120" w:rsidDel="00C90263">
                <w:rPr>
                  <w:rFonts w:ascii="Times New Roman" w:hAnsi="Times New Roman"/>
                  <w:b/>
                  <w:sz w:val="22"/>
                </w:rPr>
                <w:delText xml:space="preserve"> </w:delText>
              </w:r>
            </w:del>
            <w:r w:rsidRPr="00707120">
              <w:rPr>
                <w:rFonts w:ascii="Times New Roman" w:hAnsi="Times New Roman"/>
                <w:b/>
                <w:sz w:val="22"/>
              </w:rPr>
              <w:t>≥</w:t>
            </w:r>
            <w:r w:rsidR="0001182F">
              <w:rPr>
                <w:rFonts w:ascii="Times New Roman" w:hAnsi="Times New Roman"/>
                <w:b/>
                <w:sz w:val="22"/>
              </w:rPr>
              <w:t> </w:t>
            </w:r>
            <w:r w:rsidRPr="00707120">
              <w:rPr>
                <w:rFonts w:ascii="Times New Roman" w:hAnsi="Times New Roman"/>
                <w:b/>
                <w:sz w:val="22"/>
              </w:rPr>
              <w:t>30</w:t>
            </w:r>
            <w:r w:rsidR="00896EE1" w:rsidRPr="00707120">
              <w:rPr>
                <w:rFonts w:ascii="Times New Roman" w:hAnsi="Times New Roman"/>
                <w:b/>
                <w:sz w:val="22"/>
              </w:rPr>
              <w:t> </w:t>
            </w:r>
            <w:r w:rsidRPr="00707120">
              <w:rPr>
                <w:rFonts w:ascii="Times New Roman" w:hAnsi="Times New Roman"/>
                <w:b/>
                <w:sz w:val="22"/>
              </w:rPr>
              <w:t>kg</w:t>
            </w:r>
          </w:p>
        </w:tc>
        <w:tc>
          <w:tcPr>
            <w:tcW w:w="2835" w:type="dxa"/>
            <w:tcBorders>
              <w:top w:val="single" w:sz="4" w:space="0" w:color="auto"/>
              <w:left w:val="single" w:sz="4" w:space="0" w:color="auto"/>
              <w:bottom w:val="single" w:sz="4" w:space="0" w:color="auto"/>
              <w:right w:val="single" w:sz="4" w:space="0" w:color="auto"/>
            </w:tcBorders>
            <w:hideMark/>
          </w:tcPr>
          <w:p w14:paraId="41A7CC97" w14:textId="77777777" w:rsidR="00F10BC2" w:rsidRPr="00707120" w:rsidRDefault="00F10BC2" w:rsidP="000100C4">
            <w:pPr>
              <w:pStyle w:val="TextTi9"/>
              <w:keepNext/>
              <w:spacing w:after="0"/>
              <w:jc w:val="center"/>
              <w:rPr>
                <w:rFonts w:ascii="Times New Roman" w:hAnsi="Times New Roman"/>
                <w:b/>
                <w:sz w:val="22"/>
                <w:lang w:val="de-CH"/>
              </w:rPr>
            </w:pPr>
            <w:r w:rsidRPr="00707120">
              <w:rPr>
                <w:rFonts w:ascii="Times New Roman" w:hAnsi="Times New Roman"/>
                <w:b/>
                <w:sz w:val="22"/>
                <w:lang w:val="de-CH"/>
              </w:rPr>
              <w:t>1</w:t>
            </w:r>
            <w:r w:rsidR="000100C4" w:rsidRPr="00707120">
              <w:rPr>
                <w:rFonts w:ascii="Times New Roman" w:hAnsi="Times New Roman"/>
                <w:b/>
                <w:sz w:val="22"/>
                <w:lang w:val="de-CH"/>
              </w:rPr>
              <w:t>0</w:t>
            </w:r>
            <w:r w:rsidR="00896EE1" w:rsidRPr="00707120">
              <w:rPr>
                <w:rFonts w:ascii="Times New Roman" w:hAnsi="Times New Roman"/>
                <w:b/>
                <w:sz w:val="22"/>
                <w:lang w:val="de-CH"/>
              </w:rPr>
              <w:t> </w:t>
            </w:r>
            <w:r w:rsidRPr="00707120">
              <w:rPr>
                <w:rFonts w:ascii="Times New Roman" w:hAnsi="Times New Roman"/>
                <w:b/>
                <w:sz w:val="22"/>
                <w:lang w:val="de-CH"/>
              </w:rPr>
              <w:t>mg/kg Q</w:t>
            </w:r>
            <w:r w:rsidR="000100C4" w:rsidRPr="00707120">
              <w:rPr>
                <w:rFonts w:ascii="Times New Roman" w:hAnsi="Times New Roman"/>
                <w:b/>
                <w:sz w:val="22"/>
                <w:lang w:val="de-CH"/>
              </w:rPr>
              <w:t>4</w:t>
            </w:r>
            <w:r w:rsidRPr="00707120">
              <w:rPr>
                <w:rFonts w:ascii="Times New Roman" w:hAnsi="Times New Roman"/>
                <w:b/>
                <w:sz w:val="22"/>
                <w:lang w:val="de-CH"/>
              </w:rPr>
              <w:t>W zem 30</w:t>
            </w:r>
            <w:r w:rsidR="00896EE1" w:rsidRPr="00707120">
              <w:rPr>
                <w:rFonts w:ascii="Times New Roman" w:hAnsi="Times New Roman"/>
                <w:b/>
                <w:sz w:val="22"/>
                <w:lang w:val="de-CH"/>
              </w:rPr>
              <w:t> </w:t>
            </w:r>
            <w:r w:rsidRPr="00707120">
              <w:rPr>
                <w:rFonts w:ascii="Times New Roman" w:hAnsi="Times New Roman"/>
                <w:b/>
                <w:sz w:val="22"/>
                <w:lang w:val="de-CH"/>
              </w:rPr>
              <w:t>kg</w:t>
            </w:r>
          </w:p>
        </w:tc>
      </w:tr>
      <w:tr w:rsidR="00F10BC2" w:rsidRPr="00FB280D" w14:paraId="130F553D" w14:textId="77777777" w:rsidTr="00707120">
        <w:trPr>
          <w:cantSplit/>
          <w:trHeight w:val="195"/>
        </w:trPr>
        <w:tc>
          <w:tcPr>
            <w:tcW w:w="3289" w:type="dxa"/>
            <w:tcBorders>
              <w:top w:val="single" w:sz="4" w:space="0" w:color="auto"/>
              <w:left w:val="single" w:sz="4" w:space="0" w:color="auto"/>
              <w:bottom w:val="single" w:sz="4" w:space="0" w:color="auto"/>
              <w:right w:val="single" w:sz="4" w:space="0" w:color="auto"/>
            </w:tcBorders>
            <w:hideMark/>
          </w:tcPr>
          <w:p w14:paraId="5CA1C66C" w14:textId="353343AE" w:rsidR="00F10BC2" w:rsidRPr="00707120" w:rsidRDefault="00F10BC2" w:rsidP="0070769E">
            <w:pPr>
              <w:pStyle w:val="TextTi9"/>
              <w:keepNext/>
              <w:spacing w:after="0"/>
              <w:rPr>
                <w:rFonts w:ascii="Times New Roman" w:hAnsi="Times New Roman"/>
                <w:sz w:val="22"/>
              </w:rPr>
            </w:pPr>
            <w:r w:rsidRPr="00707120">
              <w:rPr>
                <w:rFonts w:ascii="Times New Roman" w:hAnsi="Times New Roman"/>
                <w:sz w:val="22"/>
              </w:rPr>
              <w:t>C</w:t>
            </w:r>
            <w:r w:rsidRPr="00707120">
              <w:rPr>
                <w:rFonts w:ascii="Times New Roman" w:hAnsi="Times New Roman"/>
                <w:sz w:val="22"/>
                <w:vertAlign w:val="subscript"/>
              </w:rPr>
              <w:t>maks.</w:t>
            </w:r>
            <w:r w:rsidRPr="00707120">
              <w:rPr>
                <w:rFonts w:ascii="Times New Roman" w:hAnsi="Times New Roman"/>
                <w:sz w:val="22"/>
              </w:rPr>
              <w:t xml:space="preserve"> (µg/ml)</w:t>
            </w:r>
          </w:p>
        </w:tc>
        <w:tc>
          <w:tcPr>
            <w:tcW w:w="2835" w:type="dxa"/>
            <w:tcBorders>
              <w:top w:val="single" w:sz="4" w:space="0" w:color="auto"/>
              <w:left w:val="single" w:sz="4" w:space="0" w:color="auto"/>
              <w:bottom w:val="single" w:sz="4" w:space="0" w:color="auto"/>
              <w:right w:val="single" w:sz="4" w:space="0" w:color="auto"/>
            </w:tcBorders>
            <w:hideMark/>
          </w:tcPr>
          <w:p w14:paraId="45460529" w14:textId="00442D3D" w:rsidR="00F10BC2" w:rsidRPr="00707120" w:rsidRDefault="00F10BC2" w:rsidP="0070769E">
            <w:pPr>
              <w:pStyle w:val="TextTi9"/>
              <w:keepNext/>
              <w:spacing w:after="0"/>
              <w:jc w:val="center"/>
              <w:rPr>
                <w:rFonts w:ascii="Times New Roman" w:eastAsia="SimSun" w:hAnsi="Times New Roman"/>
                <w:sz w:val="22"/>
              </w:rPr>
            </w:pPr>
            <w:r w:rsidRPr="00707120">
              <w:rPr>
                <w:rFonts w:ascii="Times New Roman" w:hAnsi="Times New Roman"/>
                <w:sz w:val="22"/>
              </w:rPr>
              <w:t>183</w:t>
            </w:r>
            <w:r w:rsidR="00CD68FA" w:rsidRPr="00707120">
              <w:rPr>
                <w:rFonts w:ascii="Times New Roman" w:hAnsi="Times New Roman"/>
                <w:sz w:val="22"/>
              </w:rPr>
              <w:t> </w:t>
            </w:r>
            <w:r w:rsidRPr="00707120">
              <w:rPr>
                <w:rFonts w:ascii="Times New Roman" w:hAnsi="Times New Roman"/>
                <w:sz w:val="22"/>
              </w:rPr>
              <w:t>±</w:t>
            </w:r>
            <w:r w:rsidR="00CD68FA" w:rsidRPr="00707120">
              <w:rPr>
                <w:rFonts w:ascii="Times New Roman" w:hAnsi="Times New Roman"/>
                <w:sz w:val="22"/>
              </w:rPr>
              <w:t> </w:t>
            </w:r>
            <w:r w:rsidRPr="00707120">
              <w:rPr>
                <w:rFonts w:ascii="Times New Roman" w:hAnsi="Times New Roman"/>
                <w:sz w:val="22"/>
              </w:rPr>
              <w:t>42,3</w:t>
            </w:r>
          </w:p>
        </w:tc>
        <w:tc>
          <w:tcPr>
            <w:tcW w:w="2835" w:type="dxa"/>
            <w:tcBorders>
              <w:top w:val="single" w:sz="4" w:space="0" w:color="auto"/>
              <w:left w:val="single" w:sz="4" w:space="0" w:color="auto"/>
              <w:bottom w:val="single" w:sz="4" w:space="0" w:color="auto"/>
              <w:right w:val="single" w:sz="4" w:space="0" w:color="auto"/>
            </w:tcBorders>
            <w:hideMark/>
          </w:tcPr>
          <w:p w14:paraId="2A40CD43" w14:textId="5288283E" w:rsidR="00F10BC2" w:rsidRPr="00707120" w:rsidRDefault="00F10BC2" w:rsidP="0070769E">
            <w:pPr>
              <w:pStyle w:val="TextTi9"/>
              <w:keepNext/>
              <w:spacing w:after="0"/>
              <w:jc w:val="center"/>
              <w:rPr>
                <w:rFonts w:ascii="Times New Roman" w:eastAsia="SimSun" w:hAnsi="Times New Roman"/>
                <w:sz w:val="22"/>
              </w:rPr>
            </w:pPr>
            <w:r w:rsidRPr="00707120">
              <w:rPr>
                <w:rFonts w:ascii="Times New Roman" w:hAnsi="Times New Roman"/>
                <w:sz w:val="22"/>
              </w:rPr>
              <w:t>168</w:t>
            </w:r>
            <w:r w:rsidR="00CD68FA" w:rsidRPr="00707120">
              <w:rPr>
                <w:rFonts w:ascii="Times New Roman" w:hAnsi="Times New Roman"/>
                <w:sz w:val="22"/>
              </w:rPr>
              <w:t> </w:t>
            </w:r>
            <w:r w:rsidRPr="00707120">
              <w:rPr>
                <w:rFonts w:ascii="Times New Roman" w:eastAsia="SimSun" w:hAnsi="Times New Roman"/>
                <w:sz w:val="22"/>
              </w:rPr>
              <w:sym w:font="Symbol" w:char="F0B1"/>
            </w:r>
            <w:r w:rsidRPr="00707120">
              <w:rPr>
                <w:rFonts w:ascii="Times New Roman" w:hAnsi="Times New Roman"/>
                <w:sz w:val="22"/>
              </w:rPr>
              <w:t> 24,8</w:t>
            </w:r>
          </w:p>
        </w:tc>
      </w:tr>
      <w:tr w:rsidR="00F10BC2" w:rsidRPr="00FB280D" w14:paraId="2C83B624" w14:textId="77777777" w:rsidTr="00707120">
        <w:trPr>
          <w:cantSplit/>
          <w:trHeight w:val="195"/>
        </w:trPr>
        <w:tc>
          <w:tcPr>
            <w:tcW w:w="3289" w:type="dxa"/>
            <w:tcBorders>
              <w:top w:val="single" w:sz="4" w:space="0" w:color="auto"/>
              <w:left w:val="single" w:sz="4" w:space="0" w:color="auto"/>
              <w:bottom w:val="single" w:sz="4" w:space="0" w:color="auto"/>
              <w:right w:val="single" w:sz="4" w:space="0" w:color="auto"/>
            </w:tcBorders>
            <w:hideMark/>
          </w:tcPr>
          <w:p w14:paraId="4E45CD17" w14:textId="1233B764" w:rsidR="00F10BC2" w:rsidRPr="00707120" w:rsidRDefault="00F10BC2" w:rsidP="0070769E">
            <w:pPr>
              <w:pStyle w:val="TextTi9"/>
              <w:keepNext/>
              <w:spacing w:after="0"/>
              <w:rPr>
                <w:rFonts w:ascii="Times New Roman" w:hAnsi="Times New Roman"/>
                <w:sz w:val="22"/>
              </w:rPr>
            </w:pPr>
            <w:r w:rsidRPr="00707120">
              <w:rPr>
                <w:rFonts w:ascii="Times New Roman" w:hAnsi="Times New Roman"/>
                <w:sz w:val="22"/>
              </w:rPr>
              <w:t>C</w:t>
            </w:r>
            <w:r w:rsidRPr="00707120">
              <w:rPr>
                <w:rFonts w:ascii="Times New Roman" w:hAnsi="Times New Roman"/>
                <w:sz w:val="22"/>
                <w:vertAlign w:val="subscript"/>
              </w:rPr>
              <w:t>zemākā</w:t>
            </w:r>
            <w:r w:rsidRPr="00707120">
              <w:rPr>
                <w:rFonts w:ascii="Times New Roman" w:hAnsi="Times New Roman"/>
                <w:sz w:val="22"/>
              </w:rPr>
              <w:t xml:space="preserve"> (µg/ml)</w:t>
            </w:r>
          </w:p>
        </w:tc>
        <w:tc>
          <w:tcPr>
            <w:tcW w:w="2835" w:type="dxa"/>
            <w:tcBorders>
              <w:top w:val="single" w:sz="4" w:space="0" w:color="auto"/>
              <w:left w:val="single" w:sz="4" w:space="0" w:color="auto"/>
              <w:bottom w:val="single" w:sz="4" w:space="0" w:color="auto"/>
              <w:right w:val="single" w:sz="4" w:space="0" w:color="auto"/>
            </w:tcBorders>
            <w:hideMark/>
          </w:tcPr>
          <w:p w14:paraId="66D9D394" w14:textId="6879CE7C" w:rsidR="00F10BC2" w:rsidRPr="00707120" w:rsidRDefault="00F10BC2" w:rsidP="0070769E">
            <w:pPr>
              <w:pStyle w:val="TextTi9"/>
              <w:keepNext/>
              <w:spacing w:after="0"/>
              <w:jc w:val="center"/>
              <w:rPr>
                <w:rFonts w:ascii="Times New Roman" w:eastAsia="SimSun" w:hAnsi="Times New Roman"/>
                <w:sz w:val="22"/>
              </w:rPr>
            </w:pPr>
            <w:r w:rsidRPr="00707120">
              <w:rPr>
                <w:rFonts w:ascii="Times New Roman" w:hAnsi="Times New Roman"/>
                <w:sz w:val="22"/>
              </w:rPr>
              <w:t>6,55</w:t>
            </w:r>
            <w:r w:rsidR="00CD68FA" w:rsidRPr="00707120">
              <w:rPr>
                <w:rFonts w:ascii="Times New Roman" w:hAnsi="Times New Roman"/>
                <w:sz w:val="22"/>
              </w:rPr>
              <w:t> </w:t>
            </w:r>
            <w:r w:rsidRPr="00707120">
              <w:rPr>
                <w:rFonts w:ascii="Times New Roman" w:hAnsi="Times New Roman"/>
                <w:sz w:val="22"/>
              </w:rPr>
              <w:t>±</w:t>
            </w:r>
            <w:r w:rsidR="00CD68FA" w:rsidRPr="00707120">
              <w:rPr>
                <w:rFonts w:ascii="Times New Roman" w:hAnsi="Times New Roman"/>
                <w:sz w:val="22"/>
              </w:rPr>
              <w:t> </w:t>
            </w:r>
            <w:r w:rsidRPr="00707120">
              <w:rPr>
                <w:rFonts w:ascii="Times New Roman" w:hAnsi="Times New Roman"/>
                <w:sz w:val="22"/>
              </w:rPr>
              <w:t>7,93</w:t>
            </w:r>
          </w:p>
        </w:tc>
        <w:tc>
          <w:tcPr>
            <w:tcW w:w="2835" w:type="dxa"/>
            <w:tcBorders>
              <w:top w:val="single" w:sz="4" w:space="0" w:color="auto"/>
              <w:left w:val="single" w:sz="4" w:space="0" w:color="auto"/>
              <w:bottom w:val="single" w:sz="4" w:space="0" w:color="auto"/>
              <w:right w:val="single" w:sz="4" w:space="0" w:color="auto"/>
            </w:tcBorders>
            <w:hideMark/>
          </w:tcPr>
          <w:p w14:paraId="4D96C801" w14:textId="23F3573F" w:rsidR="00F10BC2" w:rsidRPr="00707120" w:rsidRDefault="00F10BC2" w:rsidP="0070769E">
            <w:pPr>
              <w:pStyle w:val="TextTi9"/>
              <w:keepNext/>
              <w:spacing w:after="0"/>
              <w:jc w:val="center"/>
              <w:rPr>
                <w:rFonts w:ascii="Times New Roman" w:eastAsia="SimSun" w:hAnsi="Times New Roman"/>
                <w:sz w:val="22"/>
              </w:rPr>
            </w:pPr>
            <w:r w:rsidRPr="00707120">
              <w:rPr>
                <w:rFonts w:ascii="Times New Roman" w:hAnsi="Times New Roman"/>
                <w:sz w:val="22"/>
              </w:rPr>
              <w:t>1,47</w:t>
            </w:r>
            <w:r w:rsidR="00CD68FA" w:rsidRPr="00707120">
              <w:rPr>
                <w:rFonts w:ascii="Times New Roman" w:hAnsi="Times New Roman"/>
                <w:sz w:val="22"/>
              </w:rPr>
              <w:t> </w:t>
            </w:r>
            <w:r w:rsidRPr="00707120">
              <w:rPr>
                <w:rFonts w:ascii="Times New Roman" w:eastAsia="SimSun" w:hAnsi="Times New Roman"/>
                <w:sz w:val="22"/>
              </w:rPr>
              <w:sym w:font="Symbol" w:char="F0B1"/>
            </w:r>
            <w:r w:rsidRPr="00707120">
              <w:rPr>
                <w:rFonts w:ascii="Times New Roman" w:hAnsi="Times New Roman"/>
                <w:sz w:val="22"/>
              </w:rPr>
              <w:t> 2,44</w:t>
            </w:r>
          </w:p>
        </w:tc>
      </w:tr>
      <w:tr w:rsidR="00F10BC2" w:rsidRPr="00FB280D" w14:paraId="41DA07C9" w14:textId="77777777" w:rsidTr="00707120">
        <w:trPr>
          <w:cantSplit/>
          <w:trHeight w:val="324"/>
        </w:trPr>
        <w:tc>
          <w:tcPr>
            <w:tcW w:w="3289" w:type="dxa"/>
            <w:tcBorders>
              <w:top w:val="single" w:sz="4" w:space="0" w:color="auto"/>
              <w:left w:val="single" w:sz="4" w:space="0" w:color="auto"/>
              <w:bottom w:val="single" w:sz="4" w:space="0" w:color="auto"/>
              <w:right w:val="single" w:sz="4" w:space="0" w:color="auto"/>
            </w:tcBorders>
            <w:hideMark/>
          </w:tcPr>
          <w:p w14:paraId="53EF4C82" w14:textId="77777777" w:rsidR="00F10BC2" w:rsidRPr="00707120" w:rsidRDefault="00F10BC2" w:rsidP="0070769E">
            <w:pPr>
              <w:pStyle w:val="TextTi9"/>
              <w:keepNext/>
              <w:spacing w:after="0"/>
              <w:rPr>
                <w:rFonts w:ascii="Times New Roman" w:hAnsi="Times New Roman"/>
                <w:sz w:val="22"/>
              </w:rPr>
            </w:pPr>
            <w:r w:rsidRPr="00707120">
              <w:rPr>
                <w:rFonts w:ascii="Times New Roman" w:hAnsi="Times New Roman"/>
                <w:sz w:val="22"/>
              </w:rPr>
              <w:t>C</w:t>
            </w:r>
            <w:r w:rsidRPr="00707120">
              <w:rPr>
                <w:rFonts w:ascii="Times New Roman" w:hAnsi="Times New Roman"/>
                <w:sz w:val="22"/>
                <w:vertAlign w:val="subscript"/>
              </w:rPr>
              <w:t xml:space="preserve">vid. </w:t>
            </w:r>
            <w:r w:rsidRPr="00707120">
              <w:rPr>
                <w:rFonts w:ascii="Times New Roman" w:hAnsi="Times New Roman"/>
                <w:sz w:val="22"/>
              </w:rPr>
              <w:t>(µg/ml)</w:t>
            </w:r>
          </w:p>
        </w:tc>
        <w:tc>
          <w:tcPr>
            <w:tcW w:w="2835" w:type="dxa"/>
            <w:tcBorders>
              <w:top w:val="single" w:sz="4" w:space="0" w:color="auto"/>
              <w:left w:val="single" w:sz="4" w:space="0" w:color="auto"/>
              <w:bottom w:val="single" w:sz="4" w:space="0" w:color="auto"/>
              <w:right w:val="single" w:sz="4" w:space="0" w:color="auto"/>
            </w:tcBorders>
            <w:hideMark/>
          </w:tcPr>
          <w:p w14:paraId="1E56F15E" w14:textId="07719152" w:rsidR="00F10BC2" w:rsidRPr="00707120" w:rsidRDefault="00F10BC2" w:rsidP="0070769E">
            <w:pPr>
              <w:pStyle w:val="TextTi9"/>
              <w:keepNext/>
              <w:spacing w:after="0"/>
              <w:jc w:val="center"/>
              <w:rPr>
                <w:rFonts w:ascii="Times New Roman" w:eastAsia="SimSun" w:hAnsi="Times New Roman"/>
                <w:sz w:val="22"/>
              </w:rPr>
            </w:pPr>
            <w:r w:rsidRPr="00707120">
              <w:rPr>
                <w:rFonts w:ascii="Times New Roman" w:hAnsi="Times New Roman"/>
                <w:sz w:val="22"/>
              </w:rPr>
              <w:t>42,2</w:t>
            </w:r>
            <w:r w:rsidR="00CD68FA" w:rsidRPr="00707120">
              <w:rPr>
                <w:rFonts w:ascii="Times New Roman" w:hAnsi="Times New Roman"/>
                <w:sz w:val="22"/>
              </w:rPr>
              <w:t> </w:t>
            </w:r>
            <w:r w:rsidRPr="00707120">
              <w:rPr>
                <w:rFonts w:ascii="Times New Roman" w:hAnsi="Times New Roman"/>
                <w:sz w:val="22"/>
              </w:rPr>
              <w:t>±</w:t>
            </w:r>
            <w:r w:rsidR="00CD68FA" w:rsidRPr="00707120">
              <w:rPr>
                <w:rFonts w:ascii="Times New Roman" w:hAnsi="Times New Roman"/>
                <w:sz w:val="22"/>
              </w:rPr>
              <w:t> </w:t>
            </w:r>
            <w:r w:rsidRPr="00707120">
              <w:rPr>
                <w:rFonts w:ascii="Times New Roman" w:hAnsi="Times New Roman"/>
                <w:sz w:val="22"/>
              </w:rPr>
              <w:t>13,4</w:t>
            </w:r>
          </w:p>
        </w:tc>
        <w:tc>
          <w:tcPr>
            <w:tcW w:w="2835" w:type="dxa"/>
            <w:tcBorders>
              <w:top w:val="single" w:sz="4" w:space="0" w:color="auto"/>
              <w:left w:val="single" w:sz="4" w:space="0" w:color="auto"/>
              <w:bottom w:val="single" w:sz="4" w:space="0" w:color="auto"/>
              <w:right w:val="single" w:sz="4" w:space="0" w:color="auto"/>
            </w:tcBorders>
            <w:hideMark/>
          </w:tcPr>
          <w:p w14:paraId="08766A56" w14:textId="0874FE6E" w:rsidR="00F10BC2" w:rsidRPr="00707120" w:rsidRDefault="00F10BC2" w:rsidP="0070769E">
            <w:pPr>
              <w:pStyle w:val="TextTi9"/>
              <w:keepNext/>
              <w:spacing w:after="0"/>
              <w:jc w:val="center"/>
              <w:rPr>
                <w:rFonts w:ascii="Times New Roman" w:eastAsia="SimSun" w:hAnsi="Times New Roman"/>
                <w:sz w:val="22"/>
              </w:rPr>
            </w:pPr>
            <w:r w:rsidRPr="00707120">
              <w:rPr>
                <w:rFonts w:ascii="Times New Roman" w:hAnsi="Times New Roman"/>
                <w:sz w:val="22"/>
              </w:rPr>
              <w:t>31,6</w:t>
            </w:r>
            <w:r w:rsidR="00CD68FA" w:rsidRPr="00707120">
              <w:rPr>
                <w:rFonts w:ascii="Times New Roman" w:hAnsi="Times New Roman"/>
                <w:sz w:val="22"/>
              </w:rPr>
              <w:t> </w:t>
            </w:r>
            <w:r w:rsidRPr="00707120">
              <w:rPr>
                <w:rFonts w:ascii="Times New Roman" w:eastAsia="SimSun" w:hAnsi="Times New Roman"/>
                <w:sz w:val="22"/>
              </w:rPr>
              <w:sym w:font="Symbol" w:char="F0B1"/>
            </w:r>
            <w:r w:rsidRPr="00707120">
              <w:rPr>
                <w:rFonts w:ascii="Times New Roman" w:hAnsi="Times New Roman"/>
                <w:sz w:val="22"/>
              </w:rPr>
              <w:t> 7,84</w:t>
            </w:r>
          </w:p>
        </w:tc>
      </w:tr>
      <w:tr w:rsidR="00F10BC2" w:rsidRPr="00FB280D" w14:paraId="3B04B1D6" w14:textId="77777777" w:rsidTr="00707120">
        <w:trPr>
          <w:cantSplit/>
          <w:trHeight w:val="324"/>
        </w:trPr>
        <w:tc>
          <w:tcPr>
            <w:tcW w:w="3289" w:type="dxa"/>
            <w:tcBorders>
              <w:top w:val="single" w:sz="4" w:space="0" w:color="auto"/>
              <w:left w:val="single" w:sz="4" w:space="0" w:color="auto"/>
              <w:bottom w:val="single" w:sz="4" w:space="0" w:color="auto"/>
              <w:right w:val="single" w:sz="4" w:space="0" w:color="auto"/>
            </w:tcBorders>
            <w:hideMark/>
          </w:tcPr>
          <w:p w14:paraId="1934E67F" w14:textId="1B24FBF5" w:rsidR="00F10BC2" w:rsidRPr="00707120" w:rsidRDefault="00F10BC2" w:rsidP="0070769E">
            <w:pPr>
              <w:pStyle w:val="TextTi9"/>
              <w:keepNext/>
              <w:spacing w:after="0"/>
              <w:rPr>
                <w:rFonts w:ascii="Times New Roman" w:hAnsi="Times New Roman"/>
                <w:sz w:val="22"/>
              </w:rPr>
            </w:pPr>
            <w:r w:rsidRPr="00707120">
              <w:rPr>
                <w:rFonts w:ascii="Times New Roman" w:hAnsi="Times New Roman"/>
                <w:sz w:val="22"/>
              </w:rPr>
              <w:t>Akumulācija, C</w:t>
            </w:r>
            <w:r w:rsidRPr="00707120">
              <w:rPr>
                <w:rFonts w:ascii="Times New Roman" w:hAnsi="Times New Roman"/>
                <w:sz w:val="22"/>
                <w:vertAlign w:val="subscript"/>
              </w:rPr>
              <w:t>maks.</w:t>
            </w:r>
          </w:p>
        </w:tc>
        <w:tc>
          <w:tcPr>
            <w:tcW w:w="2835" w:type="dxa"/>
            <w:tcBorders>
              <w:top w:val="single" w:sz="4" w:space="0" w:color="auto"/>
              <w:left w:val="single" w:sz="4" w:space="0" w:color="auto"/>
              <w:bottom w:val="single" w:sz="4" w:space="0" w:color="auto"/>
              <w:right w:val="single" w:sz="4" w:space="0" w:color="auto"/>
            </w:tcBorders>
          </w:tcPr>
          <w:p w14:paraId="1D7B4F4F" w14:textId="77777777" w:rsidR="00F10BC2" w:rsidRPr="00707120" w:rsidRDefault="00F10BC2" w:rsidP="0070769E">
            <w:pPr>
              <w:pStyle w:val="TextTi9"/>
              <w:keepNext/>
              <w:spacing w:after="0"/>
              <w:jc w:val="center"/>
              <w:rPr>
                <w:rFonts w:ascii="Times New Roman" w:eastAsia="SimSun" w:hAnsi="Times New Roman"/>
                <w:sz w:val="22"/>
              </w:rPr>
            </w:pPr>
            <w:r w:rsidRPr="00707120">
              <w:rPr>
                <w:rFonts w:ascii="Times New Roman" w:hAnsi="Times New Roman"/>
                <w:sz w:val="22"/>
              </w:rPr>
              <w:t>1,04</w:t>
            </w:r>
          </w:p>
        </w:tc>
        <w:tc>
          <w:tcPr>
            <w:tcW w:w="2835" w:type="dxa"/>
            <w:tcBorders>
              <w:top w:val="single" w:sz="4" w:space="0" w:color="auto"/>
              <w:left w:val="single" w:sz="4" w:space="0" w:color="auto"/>
              <w:bottom w:val="single" w:sz="4" w:space="0" w:color="auto"/>
              <w:right w:val="single" w:sz="4" w:space="0" w:color="auto"/>
            </w:tcBorders>
          </w:tcPr>
          <w:p w14:paraId="1E9E53E1" w14:textId="77777777" w:rsidR="00F10BC2" w:rsidRPr="00707120" w:rsidRDefault="00F10BC2" w:rsidP="0070769E">
            <w:pPr>
              <w:pStyle w:val="TextTi9"/>
              <w:keepNext/>
              <w:spacing w:after="0"/>
              <w:jc w:val="center"/>
              <w:rPr>
                <w:rFonts w:ascii="Times New Roman" w:eastAsia="SimSun" w:hAnsi="Times New Roman"/>
                <w:sz w:val="22"/>
              </w:rPr>
            </w:pPr>
            <w:r w:rsidRPr="00707120">
              <w:rPr>
                <w:rFonts w:ascii="Times New Roman" w:hAnsi="Times New Roman"/>
                <w:sz w:val="22"/>
              </w:rPr>
              <w:t>1,01</w:t>
            </w:r>
          </w:p>
        </w:tc>
      </w:tr>
      <w:tr w:rsidR="00F10BC2" w:rsidRPr="00FB280D" w14:paraId="1D66D478" w14:textId="77777777" w:rsidTr="00707120">
        <w:trPr>
          <w:cantSplit/>
          <w:trHeight w:val="331"/>
        </w:trPr>
        <w:tc>
          <w:tcPr>
            <w:tcW w:w="3289" w:type="dxa"/>
            <w:tcBorders>
              <w:top w:val="single" w:sz="4" w:space="0" w:color="auto"/>
              <w:left w:val="single" w:sz="4" w:space="0" w:color="auto"/>
              <w:bottom w:val="single" w:sz="4" w:space="0" w:color="auto"/>
              <w:right w:val="single" w:sz="4" w:space="0" w:color="auto"/>
            </w:tcBorders>
            <w:hideMark/>
          </w:tcPr>
          <w:p w14:paraId="3E272314" w14:textId="1C2E8534" w:rsidR="00F10BC2" w:rsidRPr="00707120" w:rsidRDefault="00F10BC2" w:rsidP="0070769E">
            <w:pPr>
              <w:pStyle w:val="TextTi9"/>
              <w:keepNext/>
              <w:spacing w:after="0"/>
              <w:rPr>
                <w:rFonts w:ascii="Times New Roman" w:hAnsi="Times New Roman"/>
                <w:sz w:val="22"/>
              </w:rPr>
            </w:pPr>
            <w:r w:rsidRPr="00707120">
              <w:rPr>
                <w:rFonts w:ascii="Times New Roman" w:hAnsi="Times New Roman"/>
                <w:sz w:val="22"/>
              </w:rPr>
              <w:t>Akumulācija, C</w:t>
            </w:r>
            <w:r w:rsidRPr="00707120">
              <w:rPr>
                <w:rFonts w:ascii="Times New Roman" w:hAnsi="Times New Roman"/>
                <w:sz w:val="22"/>
                <w:vertAlign w:val="subscript"/>
              </w:rPr>
              <w:t>zemākā</w:t>
            </w:r>
          </w:p>
        </w:tc>
        <w:tc>
          <w:tcPr>
            <w:tcW w:w="2835" w:type="dxa"/>
            <w:tcBorders>
              <w:top w:val="single" w:sz="4" w:space="0" w:color="auto"/>
              <w:left w:val="single" w:sz="4" w:space="0" w:color="auto"/>
              <w:bottom w:val="single" w:sz="4" w:space="0" w:color="auto"/>
              <w:right w:val="single" w:sz="4" w:space="0" w:color="auto"/>
            </w:tcBorders>
          </w:tcPr>
          <w:p w14:paraId="7E7982EA" w14:textId="77777777" w:rsidR="00F10BC2" w:rsidRPr="00707120" w:rsidRDefault="00F10BC2" w:rsidP="0070769E">
            <w:pPr>
              <w:pStyle w:val="TextTi9"/>
              <w:keepNext/>
              <w:spacing w:after="0"/>
              <w:jc w:val="center"/>
              <w:rPr>
                <w:rFonts w:ascii="Times New Roman" w:eastAsia="SimSun" w:hAnsi="Times New Roman"/>
                <w:sz w:val="22"/>
              </w:rPr>
            </w:pPr>
            <w:r w:rsidRPr="00707120">
              <w:rPr>
                <w:rFonts w:ascii="Times New Roman" w:hAnsi="Times New Roman"/>
                <w:sz w:val="22"/>
              </w:rPr>
              <w:t>2,22</w:t>
            </w:r>
          </w:p>
        </w:tc>
        <w:tc>
          <w:tcPr>
            <w:tcW w:w="2835" w:type="dxa"/>
            <w:tcBorders>
              <w:top w:val="single" w:sz="4" w:space="0" w:color="auto"/>
              <w:left w:val="single" w:sz="4" w:space="0" w:color="auto"/>
              <w:bottom w:val="single" w:sz="4" w:space="0" w:color="auto"/>
              <w:right w:val="single" w:sz="4" w:space="0" w:color="auto"/>
            </w:tcBorders>
          </w:tcPr>
          <w:p w14:paraId="16A0443F" w14:textId="77777777" w:rsidR="00F10BC2" w:rsidRPr="00707120" w:rsidRDefault="00F10BC2" w:rsidP="0070769E">
            <w:pPr>
              <w:pStyle w:val="TextTi9"/>
              <w:keepNext/>
              <w:spacing w:after="0"/>
              <w:jc w:val="center"/>
              <w:rPr>
                <w:rFonts w:ascii="Times New Roman" w:eastAsia="SimSun" w:hAnsi="Times New Roman"/>
                <w:sz w:val="22"/>
              </w:rPr>
            </w:pPr>
            <w:r w:rsidRPr="00707120">
              <w:rPr>
                <w:rFonts w:ascii="Times New Roman" w:hAnsi="Times New Roman"/>
                <w:sz w:val="22"/>
              </w:rPr>
              <w:t>1,43</w:t>
            </w:r>
          </w:p>
        </w:tc>
      </w:tr>
      <w:tr w:rsidR="00F10BC2" w:rsidRPr="00FB280D" w14:paraId="1BCC9E70" w14:textId="77777777" w:rsidTr="00707120">
        <w:trPr>
          <w:cantSplit/>
          <w:trHeight w:val="331"/>
        </w:trPr>
        <w:tc>
          <w:tcPr>
            <w:tcW w:w="3289" w:type="dxa"/>
            <w:tcBorders>
              <w:top w:val="single" w:sz="4" w:space="0" w:color="auto"/>
              <w:left w:val="single" w:sz="4" w:space="0" w:color="auto"/>
              <w:bottom w:val="single" w:sz="4" w:space="0" w:color="auto"/>
              <w:right w:val="single" w:sz="4" w:space="0" w:color="auto"/>
            </w:tcBorders>
          </w:tcPr>
          <w:p w14:paraId="0CF1C02F" w14:textId="77777777" w:rsidR="00F10BC2" w:rsidRPr="00707120" w:rsidRDefault="00F10BC2" w:rsidP="0070769E">
            <w:pPr>
              <w:pStyle w:val="TextTi9"/>
              <w:keepNext/>
              <w:spacing w:after="0"/>
              <w:rPr>
                <w:rFonts w:ascii="Times New Roman" w:hAnsi="Times New Roman"/>
                <w:sz w:val="22"/>
              </w:rPr>
            </w:pPr>
            <w:r w:rsidRPr="00707120">
              <w:rPr>
                <w:rFonts w:ascii="Times New Roman" w:hAnsi="Times New Roman"/>
                <w:sz w:val="22"/>
              </w:rPr>
              <w:t>Akumulācija, C</w:t>
            </w:r>
            <w:r w:rsidRPr="00707120">
              <w:rPr>
                <w:rFonts w:ascii="Times New Roman" w:hAnsi="Times New Roman"/>
                <w:sz w:val="22"/>
                <w:vertAlign w:val="subscript"/>
              </w:rPr>
              <w:t>vid.</w:t>
            </w:r>
            <w:r w:rsidRPr="00707120">
              <w:rPr>
                <w:rFonts w:ascii="Times New Roman" w:hAnsi="Times New Roman"/>
                <w:sz w:val="22"/>
              </w:rPr>
              <w:t xml:space="preserve"> vai AUC</w:t>
            </w:r>
            <w:r w:rsidRPr="00707120">
              <w:rPr>
                <w:rFonts w:ascii="Times New Roman" w:hAnsi="Times New Roman"/>
                <w:sz w:val="22"/>
                <w:vertAlign w:val="subscript"/>
              </w:rPr>
              <w:t>τ</w:t>
            </w:r>
            <w:r w:rsidRPr="00707120">
              <w:rPr>
                <w:rFonts w:ascii="Times New Roman" w:hAnsi="Times New Roman"/>
                <w:sz w:val="22"/>
              </w:rPr>
              <w:t>*</w:t>
            </w:r>
          </w:p>
        </w:tc>
        <w:tc>
          <w:tcPr>
            <w:tcW w:w="2835" w:type="dxa"/>
            <w:tcBorders>
              <w:top w:val="single" w:sz="4" w:space="0" w:color="auto"/>
              <w:left w:val="single" w:sz="4" w:space="0" w:color="auto"/>
              <w:bottom w:val="single" w:sz="4" w:space="0" w:color="auto"/>
              <w:right w:val="single" w:sz="4" w:space="0" w:color="auto"/>
            </w:tcBorders>
          </w:tcPr>
          <w:p w14:paraId="31669495" w14:textId="77777777" w:rsidR="00F10BC2" w:rsidRPr="00707120" w:rsidRDefault="00F10BC2" w:rsidP="0070769E">
            <w:pPr>
              <w:pStyle w:val="TextTi9"/>
              <w:keepNext/>
              <w:spacing w:after="0"/>
              <w:jc w:val="center"/>
              <w:rPr>
                <w:rFonts w:ascii="Times New Roman" w:eastAsia="SimSun" w:hAnsi="Times New Roman"/>
                <w:sz w:val="22"/>
              </w:rPr>
            </w:pPr>
            <w:r w:rsidRPr="00707120">
              <w:rPr>
                <w:rFonts w:ascii="Times New Roman" w:hAnsi="Times New Roman"/>
                <w:sz w:val="22"/>
              </w:rPr>
              <w:t>1,16</w:t>
            </w:r>
          </w:p>
        </w:tc>
        <w:tc>
          <w:tcPr>
            <w:tcW w:w="2835" w:type="dxa"/>
            <w:tcBorders>
              <w:top w:val="single" w:sz="4" w:space="0" w:color="auto"/>
              <w:left w:val="single" w:sz="4" w:space="0" w:color="auto"/>
              <w:bottom w:val="single" w:sz="4" w:space="0" w:color="auto"/>
              <w:right w:val="single" w:sz="4" w:space="0" w:color="auto"/>
            </w:tcBorders>
          </w:tcPr>
          <w:p w14:paraId="475ED2DF" w14:textId="77777777" w:rsidR="00F10BC2" w:rsidRPr="00707120" w:rsidRDefault="00F10BC2" w:rsidP="0070769E">
            <w:pPr>
              <w:pStyle w:val="TextTi9"/>
              <w:keepNext/>
              <w:spacing w:after="0"/>
              <w:jc w:val="center"/>
              <w:rPr>
                <w:rFonts w:ascii="Times New Roman" w:eastAsia="SimSun" w:hAnsi="Times New Roman"/>
                <w:sz w:val="22"/>
              </w:rPr>
            </w:pPr>
            <w:r w:rsidRPr="00707120">
              <w:rPr>
                <w:rFonts w:ascii="Times New Roman" w:hAnsi="Times New Roman"/>
                <w:sz w:val="22"/>
              </w:rPr>
              <w:t>1,05</w:t>
            </w:r>
          </w:p>
        </w:tc>
      </w:tr>
    </w:tbl>
    <w:p w14:paraId="13E6F7F8" w14:textId="29296FFE" w:rsidR="00F10BC2" w:rsidRPr="00707120" w:rsidRDefault="00F10BC2" w:rsidP="00F10BC2">
      <w:pPr>
        <w:jc w:val="both"/>
        <w:rPr>
          <w:sz w:val="18"/>
          <w:szCs w:val="18"/>
          <w:lang w:val="es-ES"/>
        </w:rPr>
      </w:pPr>
      <w:r w:rsidRPr="00707120">
        <w:rPr>
          <w:sz w:val="18"/>
          <w:lang w:val="es-ES"/>
        </w:rPr>
        <w:t>*</w:t>
      </w:r>
      <w:r>
        <w:rPr>
          <w:sz w:val="18"/>
        </w:rPr>
        <w:t>τ</w:t>
      </w:r>
      <w:r w:rsidRPr="00707120">
        <w:rPr>
          <w:sz w:val="18"/>
          <w:lang w:val="es-ES"/>
        </w:rPr>
        <w:t xml:space="preserve"> = 4</w:t>
      </w:r>
      <w:r w:rsidR="004E5BAA" w:rsidRPr="00707120">
        <w:rPr>
          <w:sz w:val="18"/>
          <w:lang w:val="es-ES"/>
        </w:rPr>
        <w:t> </w:t>
      </w:r>
      <w:r w:rsidRPr="00707120">
        <w:rPr>
          <w:sz w:val="18"/>
          <w:lang w:val="es-ES"/>
        </w:rPr>
        <w:t xml:space="preserve">nedēļas </w:t>
      </w:r>
      <w:r w:rsidR="004E5BAA" w:rsidRPr="00707120">
        <w:rPr>
          <w:sz w:val="18"/>
          <w:lang w:val="es-ES"/>
        </w:rPr>
        <w:t>intravenozas lietošanas</w:t>
      </w:r>
      <w:r w:rsidRPr="00707120">
        <w:rPr>
          <w:sz w:val="18"/>
          <w:lang w:val="es-ES"/>
        </w:rPr>
        <w:t xml:space="preserve"> shēmām</w:t>
      </w:r>
      <w:r w:rsidR="00C53AA6" w:rsidRPr="00707120">
        <w:rPr>
          <w:sz w:val="18"/>
          <w:lang w:val="es-ES"/>
        </w:rPr>
        <w:t>.</w:t>
      </w:r>
      <w:r w:rsidRPr="00707120">
        <w:rPr>
          <w:sz w:val="18"/>
          <w:lang w:val="es-ES"/>
        </w:rPr>
        <w:t xml:space="preserve"> </w:t>
      </w:r>
    </w:p>
    <w:p w14:paraId="1EC3B14C" w14:textId="77777777" w:rsidR="00F10BC2" w:rsidRPr="00707120" w:rsidRDefault="00F10BC2" w:rsidP="00F10BC2">
      <w:pPr>
        <w:numPr>
          <w:ilvl w:val="12"/>
          <w:numId w:val="0"/>
        </w:numPr>
        <w:ind w:right="-2"/>
        <w:rPr>
          <w:lang w:val="es-ES"/>
        </w:rPr>
      </w:pPr>
    </w:p>
    <w:p w14:paraId="54758008" w14:textId="041D7518" w:rsidR="00F10BC2" w:rsidRPr="00707120" w:rsidRDefault="00F10BC2" w:rsidP="00F10BC2">
      <w:pPr>
        <w:rPr>
          <w:lang w:val="es-ES"/>
        </w:rPr>
      </w:pPr>
      <w:r w:rsidRPr="00707120">
        <w:rPr>
          <w:lang w:val="es-ES"/>
        </w:rPr>
        <w:t xml:space="preserve">Pēc </w:t>
      </w:r>
      <w:r w:rsidR="00CD68FA" w:rsidRPr="00707120">
        <w:rPr>
          <w:lang w:val="es-ES"/>
        </w:rPr>
        <w:t>intravenozas</w:t>
      </w:r>
      <w:r w:rsidRPr="00707120">
        <w:rPr>
          <w:lang w:val="es-ES"/>
        </w:rPr>
        <w:t xml:space="preserve"> lietošanas aptuveni 90% no līdzsvara stāvokļa tika sasniegts līdz 12.</w:t>
      </w:r>
      <w:r w:rsidR="00CD68FA" w:rsidRPr="00707120">
        <w:rPr>
          <w:lang w:val="es-ES"/>
        </w:rPr>
        <w:t> </w:t>
      </w:r>
      <w:r w:rsidRPr="00707120">
        <w:rPr>
          <w:lang w:val="es-ES"/>
        </w:rPr>
        <w:t>nedēļai, lietojot devu 10 mg/kg (</w:t>
      </w:r>
      <w:r w:rsidR="00CD68FA" w:rsidRPr="00707120">
        <w:rPr>
          <w:lang w:val="es-ES"/>
        </w:rPr>
        <w:t xml:space="preserve">ķermeņa masa </w:t>
      </w:r>
      <w:r w:rsidRPr="00707120">
        <w:rPr>
          <w:lang w:val="es-ES"/>
        </w:rPr>
        <w:t>&lt;</w:t>
      </w:r>
      <w:r w:rsidR="00CD68FA" w:rsidRPr="00707120">
        <w:rPr>
          <w:lang w:val="es-ES"/>
        </w:rPr>
        <w:t> </w:t>
      </w:r>
      <w:r w:rsidRPr="00707120">
        <w:rPr>
          <w:lang w:val="es-ES"/>
        </w:rPr>
        <w:t>30 kg), vai līdz 16.</w:t>
      </w:r>
      <w:r w:rsidR="00CD68FA" w:rsidRPr="00707120">
        <w:rPr>
          <w:lang w:val="es-ES"/>
        </w:rPr>
        <w:t> </w:t>
      </w:r>
      <w:r w:rsidRPr="00707120">
        <w:rPr>
          <w:lang w:val="es-ES"/>
        </w:rPr>
        <w:t>nedēļai</w:t>
      </w:r>
      <w:r w:rsidR="00CD68FA" w:rsidRPr="00707120">
        <w:rPr>
          <w:lang w:val="es-ES"/>
        </w:rPr>
        <w:t>,</w:t>
      </w:r>
      <w:r w:rsidRPr="00707120">
        <w:rPr>
          <w:lang w:val="es-ES"/>
        </w:rPr>
        <w:t xml:space="preserve"> lietojot devu 8 mg/kg (</w:t>
      </w:r>
      <w:r w:rsidR="00CD68FA" w:rsidRPr="00707120">
        <w:rPr>
          <w:lang w:val="es-ES"/>
        </w:rPr>
        <w:t>ķermeņa masa</w:t>
      </w:r>
      <w:r w:rsidR="00C4507B" w:rsidRPr="00707120">
        <w:rPr>
          <w:lang w:val="es-ES"/>
        </w:rPr>
        <w:t> </w:t>
      </w:r>
      <w:r w:rsidR="00CD68FA" w:rsidRPr="00707120">
        <w:rPr>
          <w:lang w:val="es-ES"/>
        </w:rPr>
        <w:t>≥</w:t>
      </w:r>
      <w:r w:rsidRPr="00707120">
        <w:rPr>
          <w:lang w:val="es-ES"/>
        </w:rPr>
        <w:t> 30 kg).</w:t>
      </w:r>
    </w:p>
    <w:p w14:paraId="3ABDA16D" w14:textId="77777777" w:rsidR="00784D05" w:rsidRDefault="00784D05">
      <w:pPr>
        <w:rPr>
          <w:szCs w:val="22"/>
          <w:lang w:val="lv-LV"/>
        </w:rPr>
      </w:pPr>
    </w:p>
    <w:p w14:paraId="17E6A95E" w14:textId="7921B943" w:rsidR="00784D05" w:rsidRDefault="00784D05">
      <w:pPr>
        <w:rPr>
          <w:szCs w:val="22"/>
          <w:lang w:val="lv-LV"/>
        </w:rPr>
      </w:pPr>
      <w:r>
        <w:rPr>
          <w:szCs w:val="22"/>
          <w:lang w:val="lv-LV"/>
        </w:rPr>
        <w:t xml:space="preserve">Abās šajās pēc ķermeņa masas definētajās pJIA slimnieku grupās tocilizumaba eliminācijas pusperiods ir līdz 16 dienām (pacientiem ar ķermeņa masu </w:t>
      </w:r>
      <w:r w:rsidR="00CD68FA">
        <w:rPr>
          <w:szCs w:val="22"/>
          <w:lang w:val="lv-LV"/>
        </w:rPr>
        <w:t>≥</w:t>
      </w:r>
      <w:r>
        <w:rPr>
          <w:szCs w:val="22"/>
          <w:lang w:val="lv-LV"/>
        </w:rPr>
        <w:t> 30 kg, lietojot pa 8 mg/kg, vai pacientiem ar ķermeņa masu &lt;</w:t>
      </w:r>
      <w:r w:rsidR="00CD68FA">
        <w:rPr>
          <w:szCs w:val="22"/>
          <w:lang w:val="lv-LV"/>
        </w:rPr>
        <w:t> </w:t>
      </w:r>
      <w:r>
        <w:rPr>
          <w:szCs w:val="22"/>
          <w:lang w:val="lv-LV"/>
        </w:rPr>
        <w:t>30 kg, lietojot pa 10 mg/kg).</w:t>
      </w:r>
    </w:p>
    <w:p w14:paraId="06FC3BAA" w14:textId="77777777" w:rsidR="00784D05" w:rsidRDefault="00784D05">
      <w:pPr>
        <w:rPr>
          <w:szCs w:val="22"/>
          <w:lang w:val="lv-LV"/>
        </w:rPr>
      </w:pPr>
    </w:p>
    <w:p w14:paraId="1589AB4C" w14:textId="77777777" w:rsidR="00784D05" w:rsidRDefault="00784D05">
      <w:pPr>
        <w:keepNext/>
        <w:keepLines/>
        <w:rPr>
          <w:szCs w:val="22"/>
          <w:lang w:val="lv-LV"/>
        </w:rPr>
      </w:pPr>
      <w:r>
        <w:rPr>
          <w:b/>
          <w:szCs w:val="22"/>
          <w:lang w:val="lv-LV"/>
        </w:rPr>
        <w:t>5.3.</w:t>
      </w:r>
      <w:r>
        <w:rPr>
          <w:b/>
          <w:szCs w:val="22"/>
          <w:lang w:val="lv-LV"/>
        </w:rPr>
        <w:tab/>
        <w:t>Preklīniskie dati par drošumu</w:t>
      </w:r>
    </w:p>
    <w:p w14:paraId="5D7D4179" w14:textId="77777777" w:rsidR="00784D05" w:rsidRDefault="00784D05">
      <w:pPr>
        <w:keepNext/>
        <w:keepLines/>
        <w:rPr>
          <w:szCs w:val="22"/>
          <w:lang w:val="lv-LV"/>
        </w:rPr>
      </w:pPr>
    </w:p>
    <w:p w14:paraId="2945A802" w14:textId="77777777" w:rsidR="00784D05" w:rsidRDefault="00784D05">
      <w:pPr>
        <w:rPr>
          <w:rFonts w:eastAsia="PMingLiU"/>
          <w:bCs/>
          <w:szCs w:val="22"/>
          <w:lang w:val="lv-LV"/>
        </w:rPr>
      </w:pPr>
      <w:r>
        <w:rPr>
          <w:lang w:val="lv-LV"/>
        </w:rPr>
        <w:t>Neklīniskajos standartpētījumos iegūtie dati par farmakoloģisko drošumu, atkārtotu devu toksicitāti un genotoksicitāti neliecina par īpašu risku cilvēkam</w:t>
      </w:r>
      <w:r>
        <w:rPr>
          <w:szCs w:val="22"/>
          <w:lang w:val="lv-LV"/>
        </w:rPr>
        <w:t>.</w:t>
      </w:r>
      <w:r>
        <w:rPr>
          <w:rFonts w:eastAsia="PMingLiU"/>
          <w:bCs/>
          <w:szCs w:val="22"/>
          <w:lang w:val="lv-LV"/>
        </w:rPr>
        <w:t xml:space="preserve"> </w:t>
      </w:r>
    </w:p>
    <w:p w14:paraId="704B2187" w14:textId="77777777" w:rsidR="00784D05" w:rsidRDefault="00784D05">
      <w:pPr>
        <w:rPr>
          <w:rFonts w:eastAsia="PMingLiU"/>
          <w:bCs/>
          <w:szCs w:val="22"/>
          <w:lang w:val="lv-LV"/>
        </w:rPr>
      </w:pPr>
    </w:p>
    <w:p w14:paraId="0D5218DB" w14:textId="1F7B41B4" w:rsidR="00784D05" w:rsidRDefault="00784D05">
      <w:pPr>
        <w:rPr>
          <w:rFonts w:eastAsia="PMingLiU"/>
          <w:szCs w:val="22"/>
          <w:lang w:val="lv-LV"/>
        </w:rPr>
      </w:pPr>
      <w:r>
        <w:rPr>
          <w:rFonts w:eastAsia="PMingLiU"/>
          <w:bCs/>
          <w:szCs w:val="22"/>
          <w:lang w:val="lv-LV"/>
        </w:rPr>
        <w:t xml:space="preserve">Kancerogenitātes pētījumi </w:t>
      </w:r>
      <w:r>
        <w:rPr>
          <w:szCs w:val="22"/>
          <w:lang w:val="lv-LV"/>
        </w:rPr>
        <w:t xml:space="preserve">netika veikti, jo netiek uzskatīts, ka </w:t>
      </w:r>
      <w:r>
        <w:rPr>
          <w:bCs/>
          <w:lang w:val="lv-LV"/>
        </w:rPr>
        <w:t>IgG1 monoklonālām antivielām piemīt kancerogēna</w:t>
      </w:r>
      <w:r w:rsidR="00CD68FA">
        <w:rPr>
          <w:bCs/>
          <w:lang w:val="lv-LV"/>
        </w:rPr>
        <w:t>s iedarbības</w:t>
      </w:r>
      <w:r>
        <w:rPr>
          <w:bCs/>
          <w:lang w:val="lv-LV"/>
        </w:rPr>
        <w:t xml:space="preserve"> potenciāls.</w:t>
      </w:r>
    </w:p>
    <w:p w14:paraId="219030C0" w14:textId="77777777" w:rsidR="00784D05" w:rsidRDefault="00784D05">
      <w:pPr>
        <w:rPr>
          <w:rFonts w:eastAsia="PMingLiU"/>
          <w:szCs w:val="22"/>
          <w:lang w:val="lv-LV"/>
        </w:rPr>
      </w:pPr>
    </w:p>
    <w:p w14:paraId="33AAE927" w14:textId="270FF7A5" w:rsidR="00784D05" w:rsidRDefault="00784D05">
      <w:pPr>
        <w:rPr>
          <w:szCs w:val="22"/>
          <w:lang w:val="lv-LV"/>
        </w:rPr>
      </w:pPr>
      <w:r>
        <w:rPr>
          <w:szCs w:val="22"/>
          <w:lang w:val="lv-LV"/>
        </w:rPr>
        <w:t>Pieejamie neklīniskie dati liecināja par IL</w:t>
      </w:r>
      <w:r w:rsidR="00CD68FA">
        <w:rPr>
          <w:szCs w:val="22"/>
          <w:lang w:val="lv-LV"/>
        </w:rPr>
        <w:noBreakHyphen/>
      </w:r>
      <w:r>
        <w:rPr>
          <w:szCs w:val="22"/>
          <w:lang w:val="lv-LV"/>
        </w:rPr>
        <w:t>6 veicinošo ietekmei uz ļaundabīgo audzēju progresēšanu un apoptozes rezistenci dažādiem vēža veidiem. Šie dati neliecina par nozīmīgu vēža attīstības sākšanās un progresēšanas risku tocilizumaba terapijas laikā. Turklāt 6</w:t>
      </w:r>
      <w:r w:rsidR="00CD68FA">
        <w:rPr>
          <w:szCs w:val="22"/>
          <w:lang w:val="lv-LV"/>
        </w:rPr>
        <w:t> </w:t>
      </w:r>
      <w:r>
        <w:rPr>
          <w:szCs w:val="22"/>
          <w:lang w:val="lv-LV"/>
        </w:rPr>
        <w:t xml:space="preserve">mēnešus ilgā hroniskas toksicitātes pētījumā </w:t>
      </w:r>
      <w:r w:rsidR="00A30F49">
        <w:rPr>
          <w:szCs w:val="22"/>
          <w:lang w:val="lv-LV"/>
        </w:rPr>
        <w:t xml:space="preserve">par </w:t>
      </w:r>
      <w:r>
        <w:rPr>
          <w:szCs w:val="22"/>
          <w:lang w:val="lv-LV"/>
        </w:rPr>
        <w:t>makaka sugas pērtiķiem vai pelēm ar IL</w:t>
      </w:r>
      <w:r w:rsidR="00CD68FA">
        <w:rPr>
          <w:szCs w:val="22"/>
          <w:lang w:val="lv-LV"/>
        </w:rPr>
        <w:noBreakHyphen/>
      </w:r>
      <w:r>
        <w:rPr>
          <w:szCs w:val="22"/>
          <w:lang w:val="lv-LV"/>
        </w:rPr>
        <w:t xml:space="preserve">6 trūkumu proliferatīvus bojājumus nekonstatēja. </w:t>
      </w:r>
    </w:p>
    <w:p w14:paraId="3EBF47DF" w14:textId="77777777" w:rsidR="00784D05" w:rsidRDefault="00784D05">
      <w:pPr>
        <w:rPr>
          <w:szCs w:val="22"/>
          <w:lang w:val="lv-LV"/>
        </w:rPr>
      </w:pPr>
    </w:p>
    <w:p w14:paraId="4B351386" w14:textId="5A3FC96A" w:rsidR="00784D05" w:rsidRDefault="00784D05">
      <w:pPr>
        <w:rPr>
          <w:szCs w:val="22"/>
          <w:lang w:val="lv-LV"/>
        </w:rPr>
      </w:pPr>
      <w:r>
        <w:rPr>
          <w:szCs w:val="22"/>
          <w:lang w:val="lv-LV"/>
        </w:rPr>
        <w:t xml:space="preserve">Pieejamie neklīniskie dati neliecina par ietekmi uz </w:t>
      </w:r>
      <w:del w:id="367" w:author="Regulatory LV" w:date="2026-03-17T11:20:00Z">
        <w:r w:rsidDel="00E45E04">
          <w:rPr>
            <w:szCs w:val="22"/>
            <w:lang w:val="lv-LV"/>
          </w:rPr>
          <w:delText>auglību</w:delText>
        </w:r>
      </w:del>
      <w:ins w:id="368" w:author="Regulatory LV" w:date="2026-03-17T11:20:00Z">
        <w:r w:rsidR="00E45E04">
          <w:rPr>
            <w:szCs w:val="22"/>
            <w:lang w:val="lv-LV"/>
          </w:rPr>
          <w:t>fertilitāti</w:t>
        </w:r>
      </w:ins>
      <w:r>
        <w:rPr>
          <w:szCs w:val="22"/>
          <w:lang w:val="lv-LV"/>
        </w:rPr>
        <w:t>, lietojot tocilizumabu. Hroniskas toksicitātes pētījumā ar makaka sugas pērtiķiem nenovēroja ietekmi uz endokrīni aktīviem un reproduktīvās sistēmas orgāniem, un pelēm ar IL</w:t>
      </w:r>
      <w:r w:rsidR="00CD68FA">
        <w:rPr>
          <w:szCs w:val="22"/>
          <w:lang w:val="lv-LV"/>
        </w:rPr>
        <w:noBreakHyphen/>
      </w:r>
      <w:r>
        <w:rPr>
          <w:szCs w:val="22"/>
          <w:lang w:val="lv-LV"/>
        </w:rPr>
        <w:t>6 trūkumu reproduktīvā veiktspēja netika ietekmēta. Lietojot tocilizumabu makaka sugas pērtiķiem agrīnā grūsnības laikā, netika konstatēta tieša vai netieša nelabvēlīga ietekme uz grūsnību vai embrija</w:t>
      </w:r>
      <w:r w:rsidR="00CD68FA">
        <w:rPr>
          <w:szCs w:val="22"/>
          <w:lang w:val="lv-LV"/>
        </w:rPr>
        <w:noBreakHyphen/>
      </w:r>
      <w:r>
        <w:rPr>
          <w:szCs w:val="22"/>
          <w:lang w:val="lv-LV"/>
        </w:rPr>
        <w:t>augļa attīstību. Tomēr lielas sistēmiskas iedarbības gadījumā (&gt;</w:t>
      </w:r>
      <w:r w:rsidR="00CD68FA">
        <w:rPr>
          <w:szCs w:val="22"/>
          <w:lang w:val="lv-LV"/>
        </w:rPr>
        <w:t> </w:t>
      </w:r>
      <w:r>
        <w:rPr>
          <w:szCs w:val="22"/>
          <w:lang w:val="lv-LV"/>
        </w:rPr>
        <w:t>100</w:t>
      </w:r>
      <w:r w:rsidR="00CD68FA">
        <w:rPr>
          <w:szCs w:val="22"/>
          <w:lang w:val="lv-LV"/>
        </w:rPr>
        <w:t> ×</w:t>
      </w:r>
      <w:r w:rsidR="00236CD1">
        <w:rPr>
          <w:szCs w:val="22"/>
          <w:lang w:val="lv-LV"/>
        </w:rPr>
        <w:t> </w:t>
      </w:r>
      <w:r>
        <w:rPr>
          <w:szCs w:val="22"/>
          <w:lang w:val="lv-LV"/>
        </w:rPr>
        <w:t>lielāka iedarbība par iedarbību cilvēkam) 50 mg/kg dienas devas grupā novēroja nelielu aborta/embrija</w:t>
      </w:r>
      <w:r w:rsidR="00CD68FA">
        <w:rPr>
          <w:szCs w:val="22"/>
          <w:lang w:val="lv-LV"/>
        </w:rPr>
        <w:noBreakHyphen/>
      </w:r>
      <w:r>
        <w:rPr>
          <w:szCs w:val="22"/>
          <w:lang w:val="lv-LV"/>
        </w:rPr>
        <w:t>augļa nāves gadījumu skaita palielināšanos, salīdzinot ar placebo un citām mazas devas grupām. Lai gan šķiet, ka IL</w:t>
      </w:r>
      <w:r w:rsidR="00CD68FA">
        <w:rPr>
          <w:szCs w:val="22"/>
          <w:lang w:val="lv-LV"/>
        </w:rPr>
        <w:noBreakHyphen/>
      </w:r>
      <w:r>
        <w:rPr>
          <w:szCs w:val="22"/>
          <w:lang w:val="lv-LV"/>
        </w:rPr>
        <w:t>6 nav kritiski nozīmīgs citokīns augļa augšanai vai mātes/augļa mijiedarbības imunoloģiskai kontrolei, šīs atrades saistību ar tocilizumabu nevar izslēgt.</w:t>
      </w:r>
    </w:p>
    <w:p w14:paraId="4E3AC988" w14:textId="77777777" w:rsidR="00784D05" w:rsidRDefault="00784D05">
      <w:pPr>
        <w:rPr>
          <w:szCs w:val="22"/>
          <w:lang w:val="lv-LV"/>
        </w:rPr>
      </w:pPr>
    </w:p>
    <w:p w14:paraId="405235AE" w14:textId="0E586424" w:rsidR="00784D05" w:rsidRDefault="00784D05">
      <w:pPr>
        <w:rPr>
          <w:szCs w:val="22"/>
          <w:lang w:val="lv-LV"/>
        </w:rPr>
      </w:pPr>
      <w:r>
        <w:rPr>
          <w:szCs w:val="22"/>
          <w:lang w:val="lv-LV"/>
        </w:rPr>
        <w:t>Murīna analoga lietošana peļu mazuļiem toksicitāti neizraisīja. Īpaši jāatzīmē, ka netika novērota ietekme uz skeleta augšanu, imūnās sistēmas darbību un dzimumnobriešanu.</w:t>
      </w:r>
    </w:p>
    <w:p w14:paraId="2CE234CC" w14:textId="77777777" w:rsidR="00784D05" w:rsidRDefault="00784D05">
      <w:pPr>
        <w:rPr>
          <w:szCs w:val="22"/>
          <w:lang w:val="lv-LV"/>
        </w:rPr>
      </w:pPr>
    </w:p>
    <w:p w14:paraId="7D102EC0" w14:textId="77777777" w:rsidR="00784D05" w:rsidRDefault="00784D05">
      <w:pPr>
        <w:rPr>
          <w:szCs w:val="22"/>
          <w:lang w:val="lv-LV"/>
        </w:rPr>
      </w:pPr>
    </w:p>
    <w:p w14:paraId="70DE883D" w14:textId="77777777" w:rsidR="00784D05" w:rsidRDefault="00784D05">
      <w:pPr>
        <w:keepNext/>
        <w:keepLines/>
        <w:ind w:left="567" w:hanging="567"/>
        <w:rPr>
          <w:szCs w:val="22"/>
          <w:lang w:val="lv-LV"/>
        </w:rPr>
      </w:pPr>
      <w:r>
        <w:rPr>
          <w:b/>
          <w:szCs w:val="22"/>
          <w:lang w:val="lv-LV"/>
        </w:rPr>
        <w:t>6.</w:t>
      </w:r>
      <w:r>
        <w:rPr>
          <w:b/>
          <w:szCs w:val="22"/>
          <w:lang w:val="lv-LV"/>
        </w:rPr>
        <w:tab/>
        <w:t>FARMACEITISKĀ INFORMĀCIJA</w:t>
      </w:r>
    </w:p>
    <w:p w14:paraId="241D7C2E" w14:textId="77777777" w:rsidR="00784D05" w:rsidRDefault="00784D05">
      <w:pPr>
        <w:keepNext/>
        <w:rPr>
          <w:szCs w:val="22"/>
          <w:lang w:val="lv-LV"/>
        </w:rPr>
      </w:pPr>
    </w:p>
    <w:p w14:paraId="1A31B978" w14:textId="77777777" w:rsidR="00784D05" w:rsidRDefault="00784D05">
      <w:pPr>
        <w:keepNext/>
        <w:ind w:left="567" w:hanging="567"/>
        <w:rPr>
          <w:rFonts w:eastAsia="PMingLiU"/>
          <w:bCs/>
          <w:szCs w:val="22"/>
          <w:lang w:val="lv-LV"/>
        </w:rPr>
      </w:pPr>
      <w:r>
        <w:rPr>
          <w:b/>
          <w:szCs w:val="22"/>
          <w:lang w:val="lv-LV"/>
        </w:rPr>
        <w:t>6.1.</w:t>
      </w:r>
      <w:r>
        <w:rPr>
          <w:b/>
          <w:szCs w:val="22"/>
          <w:lang w:val="lv-LV"/>
        </w:rPr>
        <w:tab/>
        <w:t>Palīgvielu saraksts</w:t>
      </w:r>
    </w:p>
    <w:p w14:paraId="00A4F263" w14:textId="77777777" w:rsidR="00784D05" w:rsidRDefault="00784D05">
      <w:pPr>
        <w:keepNext/>
        <w:rPr>
          <w:rFonts w:eastAsia="PMingLiU"/>
          <w:bCs/>
          <w:szCs w:val="22"/>
          <w:lang w:val="lv-LV"/>
        </w:rPr>
      </w:pPr>
    </w:p>
    <w:p w14:paraId="52F35F82" w14:textId="77777777" w:rsidR="00784D05" w:rsidRDefault="00784D05">
      <w:pPr>
        <w:keepNext/>
        <w:rPr>
          <w:rFonts w:eastAsia="PMingLiU"/>
          <w:bCs/>
          <w:szCs w:val="22"/>
          <w:lang w:val="lv-LV"/>
        </w:rPr>
      </w:pPr>
      <w:r>
        <w:rPr>
          <w:rFonts w:eastAsia="PMingLiU"/>
          <w:bCs/>
          <w:szCs w:val="22"/>
          <w:lang w:val="lv-LV"/>
        </w:rPr>
        <w:t>Saharoze</w:t>
      </w:r>
    </w:p>
    <w:p w14:paraId="5DA3EA1F" w14:textId="390DCC47" w:rsidR="00784D05" w:rsidRDefault="00784D05">
      <w:pPr>
        <w:keepNext/>
        <w:rPr>
          <w:rFonts w:eastAsia="PMingLiU"/>
          <w:bCs/>
          <w:szCs w:val="22"/>
          <w:lang w:val="lv-LV"/>
        </w:rPr>
      </w:pPr>
      <w:r>
        <w:rPr>
          <w:rFonts w:eastAsia="PMingLiU"/>
          <w:bCs/>
          <w:szCs w:val="22"/>
          <w:lang w:val="lv-LV"/>
        </w:rPr>
        <w:t>Polisorbāts</w:t>
      </w:r>
      <w:ins w:id="369" w:author="Author">
        <w:r w:rsidR="00C90263">
          <w:rPr>
            <w:rFonts w:eastAsia="PMingLiU"/>
            <w:bCs/>
            <w:szCs w:val="22"/>
            <w:lang w:val="lv-LV"/>
          </w:rPr>
          <w:t> </w:t>
        </w:r>
      </w:ins>
      <w:del w:id="370" w:author="Author">
        <w:r w:rsidDel="00C90263">
          <w:rPr>
            <w:rFonts w:eastAsia="PMingLiU"/>
            <w:bCs/>
            <w:szCs w:val="22"/>
            <w:lang w:val="lv-LV"/>
          </w:rPr>
          <w:delText xml:space="preserve"> </w:delText>
        </w:r>
      </w:del>
      <w:r>
        <w:rPr>
          <w:rFonts w:eastAsia="PMingLiU"/>
          <w:bCs/>
          <w:szCs w:val="22"/>
          <w:lang w:val="lv-LV"/>
        </w:rPr>
        <w:t>80</w:t>
      </w:r>
      <w:r w:rsidR="00CD68FA">
        <w:rPr>
          <w:rFonts w:eastAsia="PMingLiU"/>
          <w:bCs/>
          <w:szCs w:val="22"/>
          <w:lang w:val="lv-LV"/>
        </w:rPr>
        <w:t xml:space="preserve"> (E 433)</w:t>
      </w:r>
    </w:p>
    <w:p w14:paraId="7459A224" w14:textId="518C8B6A" w:rsidR="00784D05" w:rsidRDefault="00784D05">
      <w:pPr>
        <w:keepNext/>
        <w:rPr>
          <w:rFonts w:eastAsia="PMingLiU"/>
          <w:bCs/>
          <w:szCs w:val="22"/>
          <w:lang w:val="lv-LV"/>
        </w:rPr>
      </w:pPr>
      <w:r>
        <w:rPr>
          <w:rFonts w:eastAsia="PMingLiU"/>
          <w:bCs/>
          <w:szCs w:val="22"/>
          <w:lang w:val="lv-LV"/>
        </w:rPr>
        <w:t xml:space="preserve">Nātrija hidrogēnfosfāta dodekahidrāts </w:t>
      </w:r>
      <w:r w:rsidR="00CD68FA">
        <w:rPr>
          <w:rFonts w:eastAsia="PMingLiU"/>
          <w:bCs/>
          <w:szCs w:val="22"/>
          <w:lang w:val="lv-LV"/>
        </w:rPr>
        <w:t>(pH pielāgošanai)</w:t>
      </w:r>
    </w:p>
    <w:p w14:paraId="2DAE3B16" w14:textId="05AA8D81" w:rsidR="00784D05" w:rsidRDefault="00784D05">
      <w:pPr>
        <w:keepNext/>
        <w:rPr>
          <w:rFonts w:eastAsia="PMingLiU"/>
          <w:bCs/>
          <w:szCs w:val="22"/>
          <w:lang w:val="lv-LV"/>
        </w:rPr>
      </w:pPr>
      <w:r>
        <w:rPr>
          <w:rFonts w:eastAsia="PMingLiU"/>
          <w:bCs/>
          <w:szCs w:val="22"/>
          <w:lang w:val="lv-LV"/>
        </w:rPr>
        <w:t xml:space="preserve">Nātrija dihidrogēnfosfāta dihidrāts </w:t>
      </w:r>
      <w:r w:rsidR="00CD68FA">
        <w:rPr>
          <w:rFonts w:eastAsia="PMingLiU"/>
          <w:bCs/>
          <w:szCs w:val="22"/>
          <w:lang w:val="lv-LV"/>
        </w:rPr>
        <w:t>(pH pielāgošanai)</w:t>
      </w:r>
    </w:p>
    <w:p w14:paraId="101D8626" w14:textId="77777777" w:rsidR="00784D05" w:rsidRDefault="00784D05">
      <w:pPr>
        <w:rPr>
          <w:iCs/>
          <w:szCs w:val="22"/>
          <w:lang w:val="lv-LV"/>
        </w:rPr>
      </w:pPr>
      <w:r>
        <w:rPr>
          <w:rFonts w:eastAsia="PMingLiU"/>
          <w:bCs/>
          <w:szCs w:val="22"/>
          <w:lang w:val="lv-LV"/>
        </w:rPr>
        <w:t>Ūdens injekcijām</w:t>
      </w:r>
    </w:p>
    <w:p w14:paraId="57B01A66" w14:textId="77777777" w:rsidR="00784D05" w:rsidRDefault="00784D05">
      <w:pPr>
        <w:rPr>
          <w:iCs/>
          <w:szCs w:val="22"/>
          <w:lang w:val="lv-LV"/>
        </w:rPr>
      </w:pPr>
    </w:p>
    <w:p w14:paraId="19F1968B" w14:textId="77777777" w:rsidR="00784D05" w:rsidRDefault="00784D05">
      <w:pPr>
        <w:keepNext/>
        <w:ind w:left="567" w:hanging="567"/>
        <w:rPr>
          <w:rFonts w:eastAsia="PMingLiU"/>
          <w:bCs/>
          <w:szCs w:val="22"/>
          <w:lang w:val="lv-LV"/>
        </w:rPr>
      </w:pPr>
      <w:r>
        <w:rPr>
          <w:b/>
          <w:szCs w:val="22"/>
          <w:lang w:val="lv-LV"/>
        </w:rPr>
        <w:t>6.2.</w:t>
      </w:r>
      <w:r>
        <w:rPr>
          <w:b/>
          <w:szCs w:val="22"/>
          <w:lang w:val="lv-LV"/>
        </w:rPr>
        <w:tab/>
        <w:t>Nesaderība</w:t>
      </w:r>
    </w:p>
    <w:p w14:paraId="64292404" w14:textId="77777777" w:rsidR="00784D05" w:rsidRDefault="00784D05">
      <w:pPr>
        <w:keepNext/>
        <w:rPr>
          <w:rFonts w:eastAsia="PMingLiU"/>
          <w:bCs/>
          <w:szCs w:val="22"/>
          <w:lang w:val="lv-LV"/>
        </w:rPr>
      </w:pPr>
    </w:p>
    <w:p w14:paraId="19579F46" w14:textId="01501343" w:rsidR="00784D05" w:rsidRDefault="00784D05">
      <w:pPr>
        <w:rPr>
          <w:szCs w:val="22"/>
          <w:lang w:val="lv-LV"/>
        </w:rPr>
      </w:pPr>
      <w:r>
        <w:rPr>
          <w:szCs w:val="22"/>
          <w:lang w:val="lv-LV"/>
        </w:rPr>
        <w:t>Šīs zāles nedrīkst sajaukt (lietot maisījumā) ar citām zālēm (izņemot 6.6.</w:t>
      </w:r>
      <w:r w:rsidR="00CD68FA">
        <w:rPr>
          <w:szCs w:val="22"/>
          <w:lang w:val="lv-LV"/>
        </w:rPr>
        <w:t> </w:t>
      </w:r>
      <w:r>
        <w:rPr>
          <w:szCs w:val="22"/>
          <w:lang w:val="lv-LV"/>
        </w:rPr>
        <w:t>apakšpunktā minētās)</w:t>
      </w:r>
      <w:r>
        <w:rPr>
          <w:rFonts w:eastAsia="PMingLiU"/>
          <w:szCs w:val="22"/>
          <w:lang w:val="lv-LV"/>
        </w:rPr>
        <w:t>.</w:t>
      </w:r>
    </w:p>
    <w:p w14:paraId="5185F088" w14:textId="77777777" w:rsidR="00784D05" w:rsidRDefault="00784D05">
      <w:pPr>
        <w:rPr>
          <w:szCs w:val="22"/>
          <w:lang w:val="lv-LV"/>
        </w:rPr>
      </w:pPr>
    </w:p>
    <w:p w14:paraId="1A6982C6" w14:textId="77777777" w:rsidR="00784D05" w:rsidRDefault="00784D05">
      <w:pPr>
        <w:keepNext/>
        <w:ind w:left="567" w:hanging="567"/>
        <w:rPr>
          <w:szCs w:val="22"/>
          <w:lang w:val="lv-LV"/>
        </w:rPr>
        <w:pPrChange w:id="371" w:author="Author">
          <w:pPr>
            <w:ind w:left="567" w:hanging="567"/>
          </w:pPr>
        </w:pPrChange>
      </w:pPr>
      <w:r>
        <w:rPr>
          <w:b/>
          <w:szCs w:val="22"/>
          <w:lang w:val="lv-LV"/>
        </w:rPr>
        <w:t>6.3.</w:t>
      </w:r>
      <w:r>
        <w:rPr>
          <w:b/>
          <w:szCs w:val="22"/>
          <w:lang w:val="lv-LV"/>
        </w:rPr>
        <w:tab/>
        <w:t xml:space="preserve">Uzglabāšanas laiks </w:t>
      </w:r>
    </w:p>
    <w:p w14:paraId="5CCAB8F3" w14:textId="77777777" w:rsidR="00784D05" w:rsidRDefault="00784D05">
      <w:pPr>
        <w:keepNext/>
        <w:rPr>
          <w:szCs w:val="22"/>
          <w:lang w:val="lv-LV"/>
        </w:rPr>
        <w:pPrChange w:id="372" w:author="Author">
          <w:pPr/>
        </w:pPrChange>
      </w:pPr>
    </w:p>
    <w:p w14:paraId="331337F4" w14:textId="7A5F3F83" w:rsidR="00CD68FA" w:rsidRDefault="00784D05">
      <w:pPr>
        <w:keepNext/>
        <w:rPr>
          <w:i/>
          <w:szCs w:val="22"/>
          <w:lang w:val="lv-LV"/>
        </w:rPr>
        <w:pPrChange w:id="373" w:author="Author">
          <w:pPr/>
        </w:pPrChange>
      </w:pPr>
      <w:r w:rsidRPr="00707120">
        <w:rPr>
          <w:iCs/>
          <w:szCs w:val="22"/>
          <w:u w:val="single"/>
          <w:lang w:val="lv-LV"/>
        </w:rPr>
        <w:t>Neatvērt</w:t>
      </w:r>
      <w:r w:rsidR="00CD68FA">
        <w:rPr>
          <w:iCs/>
          <w:szCs w:val="22"/>
          <w:u w:val="single"/>
          <w:lang w:val="lv-LV"/>
        </w:rPr>
        <w:t>s</w:t>
      </w:r>
      <w:r w:rsidRPr="00707120">
        <w:rPr>
          <w:iCs/>
          <w:szCs w:val="22"/>
          <w:u w:val="single"/>
          <w:lang w:val="lv-LV"/>
        </w:rPr>
        <w:t xml:space="preserve"> flakon</w:t>
      </w:r>
      <w:r w:rsidR="00CD68FA">
        <w:rPr>
          <w:iCs/>
          <w:szCs w:val="22"/>
          <w:u w:val="single"/>
          <w:lang w:val="lv-LV"/>
        </w:rPr>
        <w:t>s</w:t>
      </w:r>
    </w:p>
    <w:p w14:paraId="68262601" w14:textId="782E797B" w:rsidR="00784D05" w:rsidRDefault="00CD68FA">
      <w:pPr>
        <w:rPr>
          <w:szCs w:val="22"/>
          <w:lang w:val="lv-LV"/>
        </w:rPr>
      </w:pPr>
      <w:r>
        <w:rPr>
          <w:szCs w:val="22"/>
          <w:lang w:val="lv-LV"/>
        </w:rPr>
        <w:t>3 gadi</w:t>
      </w:r>
    </w:p>
    <w:p w14:paraId="1A8CEB80" w14:textId="77777777" w:rsidR="00784D05" w:rsidRDefault="00784D05">
      <w:pPr>
        <w:rPr>
          <w:szCs w:val="22"/>
          <w:lang w:val="lv-LV"/>
        </w:rPr>
      </w:pPr>
    </w:p>
    <w:p w14:paraId="7E6E6EDE" w14:textId="29F76709" w:rsidR="00AC21FB" w:rsidRDefault="00784D05">
      <w:pPr>
        <w:keepNext/>
        <w:rPr>
          <w:i/>
          <w:szCs w:val="22"/>
          <w:lang w:val="lv-LV"/>
        </w:rPr>
        <w:pPrChange w:id="374" w:author="Author">
          <w:pPr/>
        </w:pPrChange>
      </w:pPr>
      <w:r w:rsidRPr="00707120">
        <w:rPr>
          <w:iCs/>
          <w:szCs w:val="22"/>
          <w:u w:val="single"/>
          <w:lang w:val="lv-LV"/>
        </w:rPr>
        <w:t>Atšķaidīt</w:t>
      </w:r>
      <w:r w:rsidR="00994D69" w:rsidRPr="00707120">
        <w:rPr>
          <w:iCs/>
          <w:szCs w:val="22"/>
          <w:u w:val="single"/>
          <w:lang w:val="lv-LV"/>
        </w:rPr>
        <w:t>as</w:t>
      </w:r>
      <w:r w:rsidRPr="00707120">
        <w:rPr>
          <w:iCs/>
          <w:szCs w:val="22"/>
          <w:u w:val="single"/>
          <w:lang w:val="lv-LV"/>
        </w:rPr>
        <w:t xml:space="preserve"> </w:t>
      </w:r>
      <w:r w:rsidR="00994D69" w:rsidRPr="00707120">
        <w:rPr>
          <w:iCs/>
          <w:szCs w:val="22"/>
          <w:u w:val="single"/>
          <w:lang w:val="lv-LV"/>
        </w:rPr>
        <w:t>zāles</w:t>
      </w:r>
    </w:p>
    <w:p w14:paraId="2B335FFF" w14:textId="5EF01970" w:rsidR="00784D05" w:rsidRDefault="00AC21FB">
      <w:pPr>
        <w:rPr>
          <w:szCs w:val="22"/>
          <w:lang w:val="lv-LV"/>
        </w:rPr>
      </w:pPr>
      <w:r>
        <w:rPr>
          <w:szCs w:val="22"/>
          <w:lang w:val="lv-LV"/>
        </w:rPr>
        <w:t>P</w:t>
      </w:r>
      <w:r w:rsidR="00784D05">
        <w:rPr>
          <w:szCs w:val="22"/>
          <w:lang w:val="lv-LV"/>
        </w:rPr>
        <w:t>ēc atšķaidīšanas ar 9 mg/ml (0,9%) nātrija hlorīda šķīdumu injekcijām pagatavotais šķīdums infūzijām ir fizikāli un ķīmiski stabils</w:t>
      </w:r>
      <w:r w:rsidR="00994D69">
        <w:rPr>
          <w:szCs w:val="22"/>
          <w:lang w:val="lv-LV"/>
        </w:rPr>
        <w:t>. To var uzglabāt 24 stundas</w:t>
      </w:r>
      <w:r w:rsidR="00784D05">
        <w:rPr>
          <w:szCs w:val="22"/>
          <w:lang w:val="lv-LV"/>
        </w:rPr>
        <w:t xml:space="preserve"> 30</w:t>
      </w:r>
      <w:r>
        <w:rPr>
          <w:szCs w:val="22"/>
          <w:lang w:val="lv-LV"/>
        </w:rPr>
        <w:t> </w:t>
      </w:r>
      <w:r w:rsidR="00784D05">
        <w:rPr>
          <w:szCs w:val="22"/>
          <w:lang w:val="lv-LV"/>
        </w:rPr>
        <w:t>ºC temperatūrā</w:t>
      </w:r>
      <w:r w:rsidR="00994D69">
        <w:rPr>
          <w:szCs w:val="22"/>
          <w:lang w:val="lv-LV"/>
        </w:rPr>
        <w:t xml:space="preserve"> un līdz 2 nedēļām ledusskapī 2</w:t>
      </w:r>
      <w:r>
        <w:rPr>
          <w:szCs w:val="22"/>
          <w:lang w:val="lv-LV"/>
        </w:rPr>
        <w:t> </w:t>
      </w:r>
      <w:r w:rsidR="00994D69">
        <w:rPr>
          <w:szCs w:val="22"/>
          <w:lang w:val="lv-LV"/>
        </w:rPr>
        <w:t>°C–8</w:t>
      </w:r>
      <w:r>
        <w:rPr>
          <w:szCs w:val="22"/>
          <w:lang w:val="lv-LV"/>
        </w:rPr>
        <w:t> </w:t>
      </w:r>
      <w:r w:rsidR="00994D69">
        <w:rPr>
          <w:szCs w:val="22"/>
          <w:lang w:val="lv-LV"/>
        </w:rPr>
        <w:t>°C temperatūrā</w:t>
      </w:r>
      <w:r w:rsidR="00784D05">
        <w:rPr>
          <w:szCs w:val="22"/>
          <w:lang w:val="lv-LV"/>
        </w:rPr>
        <w:t>.</w:t>
      </w:r>
    </w:p>
    <w:p w14:paraId="6CF692F3" w14:textId="77777777" w:rsidR="00784D05" w:rsidRDefault="00784D05">
      <w:pPr>
        <w:rPr>
          <w:szCs w:val="22"/>
          <w:lang w:val="lv-LV"/>
        </w:rPr>
      </w:pPr>
    </w:p>
    <w:p w14:paraId="4A7061E6" w14:textId="77276CB2" w:rsidR="00784D05" w:rsidRDefault="00784D05">
      <w:pPr>
        <w:rPr>
          <w:szCs w:val="22"/>
          <w:lang w:val="lv-LV"/>
        </w:rPr>
      </w:pPr>
      <w:r>
        <w:rPr>
          <w:szCs w:val="22"/>
          <w:lang w:val="lv-LV"/>
        </w:rPr>
        <w:t>No mikrobioloģiskā viedokļa pagatavotais šķīdums infūzijām jāizlieto nekavējoties. Ja tas netiek lietots nekavējoties, par uzglabāšanas laiku un apstākļiem līdz lietošanai ir atbildīgs lietotājs, un tas parasti nedrīkst pārsniegt 24 stundas 2</w:t>
      </w:r>
      <w:r w:rsidR="00AC21FB">
        <w:rPr>
          <w:szCs w:val="22"/>
          <w:lang w:val="lv-LV"/>
        </w:rPr>
        <w:t> </w:t>
      </w:r>
      <w:r>
        <w:rPr>
          <w:szCs w:val="22"/>
          <w:lang w:val="lv-LV"/>
        </w:rPr>
        <w:t>°C–8</w:t>
      </w:r>
      <w:r w:rsidR="00AC21FB">
        <w:rPr>
          <w:szCs w:val="22"/>
          <w:lang w:val="lv-LV"/>
        </w:rPr>
        <w:t> </w:t>
      </w:r>
      <w:r>
        <w:rPr>
          <w:szCs w:val="22"/>
          <w:lang w:val="lv-LV"/>
        </w:rPr>
        <w:t xml:space="preserve">°C temperatūrā, ja vien atšķaidīšana </w:t>
      </w:r>
      <w:r w:rsidR="00AC21FB">
        <w:rPr>
          <w:szCs w:val="22"/>
          <w:lang w:val="lv-LV"/>
        </w:rPr>
        <w:t xml:space="preserve">nav </w:t>
      </w:r>
      <w:r>
        <w:rPr>
          <w:szCs w:val="22"/>
          <w:lang w:val="lv-LV"/>
        </w:rPr>
        <w:t xml:space="preserve">veikta kontrolētos un </w:t>
      </w:r>
      <w:r w:rsidR="00AC21FB">
        <w:rPr>
          <w:szCs w:val="22"/>
          <w:lang w:val="lv-LV"/>
        </w:rPr>
        <w:t xml:space="preserve">validētos </w:t>
      </w:r>
      <w:r>
        <w:rPr>
          <w:szCs w:val="22"/>
          <w:lang w:val="lv-LV"/>
        </w:rPr>
        <w:t xml:space="preserve">aseptiskos apstākļos. </w:t>
      </w:r>
    </w:p>
    <w:p w14:paraId="54688481" w14:textId="77777777" w:rsidR="00784D05" w:rsidRDefault="00784D05">
      <w:pPr>
        <w:rPr>
          <w:szCs w:val="22"/>
          <w:lang w:val="lv-LV"/>
        </w:rPr>
      </w:pPr>
    </w:p>
    <w:p w14:paraId="48B01B6F" w14:textId="77777777" w:rsidR="00784D05" w:rsidRDefault="00784D05">
      <w:pPr>
        <w:keepNext/>
        <w:keepLines/>
        <w:rPr>
          <w:szCs w:val="22"/>
          <w:lang w:val="lv-LV"/>
        </w:rPr>
      </w:pPr>
      <w:r>
        <w:rPr>
          <w:b/>
          <w:szCs w:val="22"/>
          <w:lang w:val="lv-LV"/>
        </w:rPr>
        <w:t>6.4.</w:t>
      </w:r>
      <w:r>
        <w:rPr>
          <w:b/>
          <w:szCs w:val="22"/>
          <w:lang w:val="lv-LV"/>
        </w:rPr>
        <w:tab/>
        <w:t>Īpaši uzglabāšanas nosacījumi</w:t>
      </w:r>
    </w:p>
    <w:p w14:paraId="2719519C" w14:textId="77777777" w:rsidR="00784D05" w:rsidRDefault="00784D05">
      <w:pPr>
        <w:keepNext/>
        <w:rPr>
          <w:szCs w:val="22"/>
          <w:lang w:val="lv-LV"/>
        </w:rPr>
        <w:pPrChange w:id="375" w:author="Author">
          <w:pPr/>
        </w:pPrChange>
      </w:pPr>
    </w:p>
    <w:p w14:paraId="115C90D0" w14:textId="16C155FD" w:rsidR="00784D05" w:rsidRDefault="00784D05" w:rsidP="00AC21FB">
      <w:pPr>
        <w:rPr>
          <w:szCs w:val="22"/>
          <w:lang w:val="lv-LV"/>
        </w:rPr>
      </w:pPr>
      <w:r>
        <w:rPr>
          <w:szCs w:val="22"/>
          <w:lang w:val="lv-LV"/>
        </w:rPr>
        <w:t>Uzglabāt flakonus ledusskapī (2</w:t>
      </w:r>
      <w:r w:rsidR="00AC21FB">
        <w:rPr>
          <w:szCs w:val="22"/>
          <w:lang w:val="lv-LV"/>
        </w:rPr>
        <w:t> </w:t>
      </w:r>
      <w:r>
        <w:rPr>
          <w:szCs w:val="22"/>
          <w:lang w:val="lv-LV"/>
        </w:rPr>
        <w:t>°C–8</w:t>
      </w:r>
      <w:r w:rsidR="00AC21FB">
        <w:rPr>
          <w:szCs w:val="22"/>
          <w:lang w:val="lv-LV"/>
        </w:rPr>
        <w:t> </w:t>
      </w:r>
      <w:r>
        <w:rPr>
          <w:szCs w:val="22"/>
          <w:lang w:val="lv-LV"/>
        </w:rPr>
        <w:t xml:space="preserve">°C). Nesasaldēt. </w:t>
      </w:r>
    </w:p>
    <w:p w14:paraId="272C2573" w14:textId="77777777" w:rsidR="00784D05" w:rsidRDefault="00784D05">
      <w:pPr>
        <w:rPr>
          <w:szCs w:val="22"/>
          <w:lang w:val="lv-LV"/>
        </w:rPr>
      </w:pPr>
    </w:p>
    <w:p w14:paraId="63A574DB" w14:textId="22C09CA3" w:rsidR="00784D05" w:rsidRDefault="00784D05">
      <w:pPr>
        <w:rPr>
          <w:szCs w:val="22"/>
          <w:lang w:val="lv-LV"/>
        </w:rPr>
      </w:pPr>
      <w:r>
        <w:rPr>
          <w:szCs w:val="22"/>
          <w:lang w:val="lv-LV"/>
        </w:rPr>
        <w:t>Uzglabāt flakonu(</w:t>
      </w:r>
      <w:r w:rsidR="00AC21FB">
        <w:rPr>
          <w:szCs w:val="22"/>
          <w:lang w:val="lv-LV"/>
        </w:rPr>
        <w:t>-</w:t>
      </w:r>
      <w:r>
        <w:rPr>
          <w:szCs w:val="22"/>
          <w:lang w:val="lv-LV"/>
        </w:rPr>
        <w:t xml:space="preserve">s) ārējā kartona kārbā, lai pasargātu no gaismas. </w:t>
      </w:r>
    </w:p>
    <w:p w14:paraId="5D80EBB8" w14:textId="77777777" w:rsidR="00784D05" w:rsidRDefault="00784D05">
      <w:pPr>
        <w:rPr>
          <w:szCs w:val="22"/>
          <w:lang w:val="lv-LV"/>
        </w:rPr>
      </w:pPr>
    </w:p>
    <w:p w14:paraId="35DFDCD8" w14:textId="77777777" w:rsidR="00784D05" w:rsidRDefault="00784D05">
      <w:pPr>
        <w:rPr>
          <w:szCs w:val="22"/>
          <w:lang w:val="lv-LV"/>
        </w:rPr>
      </w:pPr>
      <w:r>
        <w:rPr>
          <w:szCs w:val="22"/>
          <w:lang w:val="lv-LV"/>
        </w:rPr>
        <w:t>Uzglabāšanas nosacījumus pēc zāļu atšķaidīšanas skatīt 6.3. apakšpunktā.</w:t>
      </w:r>
    </w:p>
    <w:p w14:paraId="68280CA1" w14:textId="77777777" w:rsidR="00784D05" w:rsidRDefault="00784D05">
      <w:pPr>
        <w:rPr>
          <w:szCs w:val="22"/>
          <w:lang w:val="lv-LV"/>
        </w:rPr>
      </w:pPr>
    </w:p>
    <w:p w14:paraId="6379653C" w14:textId="77777777" w:rsidR="00784D05" w:rsidRDefault="00784D05">
      <w:pPr>
        <w:keepNext/>
        <w:rPr>
          <w:szCs w:val="22"/>
          <w:lang w:val="lv-LV"/>
        </w:rPr>
      </w:pPr>
      <w:r>
        <w:rPr>
          <w:b/>
          <w:szCs w:val="22"/>
          <w:lang w:val="lv-LV"/>
        </w:rPr>
        <w:t>6.5.</w:t>
      </w:r>
      <w:r>
        <w:rPr>
          <w:b/>
          <w:szCs w:val="22"/>
          <w:lang w:val="lv-LV"/>
        </w:rPr>
        <w:tab/>
        <w:t>Iepakojuma veids un saturs</w:t>
      </w:r>
    </w:p>
    <w:p w14:paraId="432DAC74" w14:textId="77777777" w:rsidR="00784D05" w:rsidRDefault="00784D05">
      <w:pPr>
        <w:keepNext/>
        <w:rPr>
          <w:szCs w:val="22"/>
          <w:lang w:val="lv-LV"/>
        </w:rPr>
      </w:pPr>
    </w:p>
    <w:p w14:paraId="4A3DA912" w14:textId="0ADAC96B" w:rsidR="00784D05" w:rsidRDefault="00784D05">
      <w:pPr>
        <w:rPr>
          <w:iCs/>
          <w:szCs w:val="22"/>
          <w:lang w:val="lv-LV"/>
        </w:rPr>
      </w:pPr>
      <w:r>
        <w:rPr>
          <w:szCs w:val="22"/>
          <w:lang w:val="lv-LV"/>
        </w:rPr>
        <w:t>RoActemra ir pieejams flakonos (I</w:t>
      </w:r>
      <w:r w:rsidR="00AC21FB">
        <w:rPr>
          <w:szCs w:val="22"/>
          <w:lang w:val="lv-LV"/>
        </w:rPr>
        <w:t> </w:t>
      </w:r>
      <w:r>
        <w:rPr>
          <w:szCs w:val="22"/>
          <w:lang w:val="lv-LV"/>
        </w:rPr>
        <w:t>hidrolītiskās klases stikla) ar aizbāzni (butilgumijas). Flakoni pa</w:t>
      </w:r>
      <w:r>
        <w:rPr>
          <w:iCs/>
          <w:szCs w:val="22"/>
          <w:lang w:val="lv-LV"/>
        </w:rPr>
        <w:t xml:space="preserve"> 4 ml, 10 ml vai 20 ml koncentrāta. Iepakojumā pa 1</w:t>
      </w:r>
      <w:r w:rsidR="00AC21FB">
        <w:rPr>
          <w:iCs/>
          <w:szCs w:val="22"/>
          <w:lang w:val="lv-LV"/>
        </w:rPr>
        <w:t> </w:t>
      </w:r>
      <w:r>
        <w:rPr>
          <w:iCs/>
          <w:szCs w:val="22"/>
          <w:lang w:val="lv-LV"/>
        </w:rPr>
        <w:t>un 4</w:t>
      </w:r>
      <w:r w:rsidR="00AC21FB">
        <w:rPr>
          <w:iCs/>
          <w:szCs w:val="22"/>
          <w:lang w:val="lv-LV"/>
        </w:rPr>
        <w:t> </w:t>
      </w:r>
      <w:r>
        <w:rPr>
          <w:iCs/>
          <w:szCs w:val="22"/>
          <w:lang w:val="lv-LV"/>
        </w:rPr>
        <w:t>flakoniem.</w:t>
      </w:r>
    </w:p>
    <w:p w14:paraId="3A8BE398" w14:textId="77777777" w:rsidR="00784D05" w:rsidRDefault="00784D05">
      <w:pPr>
        <w:rPr>
          <w:iCs/>
          <w:szCs w:val="22"/>
          <w:lang w:val="lv-LV"/>
        </w:rPr>
      </w:pPr>
    </w:p>
    <w:p w14:paraId="23A6FFB5" w14:textId="77777777" w:rsidR="00784D05" w:rsidRDefault="00784D05">
      <w:pPr>
        <w:rPr>
          <w:rFonts w:eastAsia="PMingLiU"/>
          <w:szCs w:val="22"/>
          <w:lang w:val="lv-LV"/>
        </w:rPr>
      </w:pPr>
      <w:r>
        <w:rPr>
          <w:szCs w:val="22"/>
          <w:lang w:val="lv-LV"/>
        </w:rPr>
        <w:t>Visi iepakojuma lielumi tirgū var nebūt pieejami.</w:t>
      </w:r>
    </w:p>
    <w:p w14:paraId="58AC9327" w14:textId="77777777" w:rsidR="00784D05" w:rsidRDefault="00784D05">
      <w:pPr>
        <w:rPr>
          <w:rFonts w:eastAsia="PMingLiU"/>
          <w:szCs w:val="22"/>
          <w:lang w:val="lv-LV"/>
        </w:rPr>
      </w:pPr>
    </w:p>
    <w:p w14:paraId="6F96152F" w14:textId="77777777" w:rsidR="00784D05" w:rsidRDefault="00784D05">
      <w:pPr>
        <w:keepNext/>
        <w:keepLines/>
        <w:rPr>
          <w:szCs w:val="22"/>
          <w:lang w:val="lv-LV"/>
        </w:rPr>
      </w:pPr>
      <w:r>
        <w:rPr>
          <w:b/>
          <w:szCs w:val="22"/>
          <w:lang w:val="lv-LV"/>
        </w:rPr>
        <w:t>6.6.</w:t>
      </w:r>
      <w:r>
        <w:rPr>
          <w:b/>
          <w:szCs w:val="22"/>
          <w:lang w:val="lv-LV"/>
        </w:rPr>
        <w:tab/>
        <w:t xml:space="preserve">Īpaši norādījumi atkritumu likvidēšanai un citi norādījumi par rīkošanos </w:t>
      </w:r>
    </w:p>
    <w:p w14:paraId="6BB799FE" w14:textId="77777777" w:rsidR="00784D05" w:rsidRDefault="00784D05">
      <w:pPr>
        <w:keepNext/>
        <w:rPr>
          <w:szCs w:val="22"/>
          <w:lang w:val="lv-LV"/>
        </w:rPr>
      </w:pPr>
    </w:p>
    <w:p w14:paraId="7D9B9118" w14:textId="77777777" w:rsidR="00784D05" w:rsidRDefault="00784D05">
      <w:pPr>
        <w:keepNext/>
        <w:rPr>
          <w:lang w:val="lv-LV"/>
        </w:rPr>
      </w:pPr>
      <w:r>
        <w:rPr>
          <w:u w:val="single"/>
          <w:lang w:val="lv-LV"/>
        </w:rPr>
        <w:t>Norādījumi par atšķaidīšanu pirms ievadīšanas</w:t>
      </w:r>
    </w:p>
    <w:p w14:paraId="541A2E3E" w14:textId="46FF430A" w:rsidR="00784D05" w:rsidRDefault="00784D05">
      <w:pPr>
        <w:rPr>
          <w:lang w:val="lv-LV"/>
        </w:rPr>
      </w:pPr>
      <w:r>
        <w:rPr>
          <w:lang w:val="lv-LV"/>
        </w:rPr>
        <w:t>Parenterāli lietojamās zāles pirms to ievadīšanas ir vizuāli jāpārbauda attiecībā uz daļiņu klātbūtni vai krāsas maiņu. Atšķaidīt drīkst tikai dzidrus vai opalescējošus, bezkrāsainus vai iedzeltenus šķīdumus, kuros nav redzamas daļiņas.</w:t>
      </w:r>
      <w:r w:rsidR="000A3DE0" w:rsidRPr="000A3DE0">
        <w:rPr>
          <w:lang w:val="lv-LV"/>
        </w:rPr>
        <w:t xml:space="preserve"> </w:t>
      </w:r>
      <w:r w:rsidR="00AC21FB">
        <w:rPr>
          <w:lang w:val="lv-LV"/>
        </w:rPr>
        <w:t>Sagat</w:t>
      </w:r>
      <w:r w:rsidR="008D5D8C">
        <w:rPr>
          <w:lang w:val="lv-LV"/>
        </w:rPr>
        <w:t>a</w:t>
      </w:r>
      <w:r w:rsidR="00AC21FB">
        <w:rPr>
          <w:lang w:val="lv-LV"/>
        </w:rPr>
        <w:t>vojot zāles lietošanai, j</w:t>
      </w:r>
      <w:r w:rsidR="000A3DE0" w:rsidRPr="000A3DE0">
        <w:rPr>
          <w:lang w:val="lv-LV"/>
        </w:rPr>
        <w:t>āizmanto sterila adata un šļirce</w:t>
      </w:r>
      <w:r w:rsidR="00AC21FB">
        <w:rPr>
          <w:lang w:val="lv-LV"/>
        </w:rPr>
        <w:t>.</w:t>
      </w:r>
    </w:p>
    <w:p w14:paraId="0B6CE95A" w14:textId="77777777" w:rsidR="00784D05" w:rsidRDefault="00784D05">
      <w:pPr>
        <w:rPr>
          <w:lang w:val="lv-LV"/>
        </w:rPr>
      </w:pPr>
    </w:p>
    <w:p w14:paraId="6C40D997" w14:textId="142CD405" w:rsidR="00784D05" w:rsidRPr="002007A3" w:rsidRDefault="00131FE3" w:rsidP="00846FA5">
      <w:pPr>
        <w:keepNext/>
        <w:keepLines/>
        <w:rPr>
          <w:i/>
          <w:lang w:val="lv-LV"/>
          <w:rPrChange w:id="376" w:author="Author">
            <w:rPr>
              <w:iCs/>
              <w:lang w:val="lv-LV"/>
            </w:rPr>
          </w:rPrChange>
        </w:rPr>
      </w:pPr>
      <w:r w:rsidRPr="002007A3">
        <w:rPr>
          <w:i/>
          <w:szCs w:val="22"/>
          <w:lang w:val="lv-LV"/>
          <w:rPrChange w:id="377" w:author="Author">
            <w:rPr>
              <w:iCs/>
              <w:szCs w:val="22"/>
              <w:lang w:val="lv-LV"/>
            </w:rPr>
          </w:rPrChange>
        </w:rPr>
        <w:t>P</w:t>
      </w:r>
      <w:r w:rsidR="00AC21FB" w:rsidRPr="002007A3">
        <w:rPr>
          <w:i/>
          <w:szCs w:val="22"/>
          <w:lang w:val="lv-LV"/>
          <w:rPrChange w:id="378" w:author="Author">
            <w:rPr>
              <w:iCs/>
              <w:szCs w:val="22"/>
              <w:lang w:val="lv-LV"/>
            </w:rPr>
          </w:rPrChange>
        </w:rPr>
        <w:t>ieauguši p</w:t>
      </w:r>
      <w:r w:rsidRPr="002007A3">
        <w:rPr>
          <w:i/>
          <w:szCs w:val="22"/>
          <w:lang w:val="lv-LV"/>
          <w:rPrChange w:id="379" w:author="Author">
            <w:rPr>
              <w:iCs/>
              <w:szCs w:val="22"/>
              <w:lang w:val="lv-LV"/>
            </w:rPr>
          </w:rPrChange>
        </w:rPr>
        <w:t>acienti ar RA</w:t>
      </w:r>
      <w:r w:rsidR="006F2DEA" w:rsidRPr="002007A3">
        <w:rPr>
          <w:i/>
          <w:szCs w:val="22"/>
          <w:lang w:val="lv-LV"/>
          <w:rPrChange w:id="380" w:author="Author">
            <w:rPr>
              <w:iCs/>
              <w:szCs w:val="22"/>
              <w:lang w:val="lv-LV"/>
            </w:rPr>
          </w:rPrChange>
        </w:rPr>
        <w:t>,</w:t>
      </w:r>
      <w:r w:rsidRPr="002007A3">
        <w:rPr>
          <w:i/>
          <w:szCs w:val="22"/>
          <w:lang w:val="lv-LV"/>
          <w:rPrChange w:id="381" w:author="Author">
            <w:rPr>
              <w:iCs/>
              <w:szCs w:val="22"/>
              <w:lang w:val="lv-LV"/>
            </w:rPr>
          </w:rPrChange>
        </w:rPr>
        <w:t xml:space="preserve"> CRS</w:t>
      </w:r>
      <w:r w:rsidR="00AC21FB" w:rsidRPr="002007A3">
        <w:rPr>
          <w:i/>
          <w:szCs w:val="22"/>
          <w:lang w:val="lv-LV"/>
          <w:rPrChange w:id="382" w:author="Author">
            <w:rPr>
              <w:iCs/>
              <w:szCs w:val="22"/>
              <w:lang w:val="lv-LV"/>
            </w:rPr>
          </w:rPrChange>
        </w:rPr>
        <w:t xml:space="preserve"> (</w:t>
      </w:r>
      <w:r w:rsidR="00D05073" w:rsidRPr="002007A3">
        <w:rPr>
          <w:i/>
          <w:lang w:val="lv-LV"/>
          <w:rPrChange w:id="383" w:author="Author">
            <w:rPr>
              <w:iCs/>
              <w:lang w:val="lv-LV"/>
            </w:rPr>
          </w:rPrChange>
        </w:rPr>
        <w:t>≥</w:t>
      </w:r>
      <w:r w:rsidR="00AC21FB" w:rsidRPr="002007A3">
        <w:rPr>
          <w:i/>
          <w:lang w:val="lv-LV"/>
          <w:rPrChange w:id="384" w:author="Author">
            <w:rPr>
              <w:iCs/>
              <w:lang w:val="lv-LV"/>
            </w:rPr>
          </w:rPrChange>
        </w:rPr>
        <w:t> </w:t>
      </w:r>
      <w:r w:rsidR="00D05073" w:rsidRPr="002007A3">
        <w:rPr>
          <w:i/>
          <w:lang w:val="lv-LV"/>
          <w:rPrChange w:id="385" w:author="Author">
            <w:rPr>
              <w:iCs/>
              <w:lang w:val="lv-LV"/>
            </w:rPr>
          </w:rPrChange>
        </w:rPr>
        <w:t>30 kg</w:t>
      </w:r>
      <w:r w:rsidR="00AC21FB" w:rsidRPr="002007A3">
        <w:rPr>
          <w:i/>
          <w:lang w:val="lv-LV"/>
          <w:rPrChange w:id="386" w:author="Author">
            <w:rPr>
              <w:iCs/>
              <w:lang w:val="lv-LV"/>
            </w:rPr>
          </w:rPrChange>
        </w:rPr>
        <w:t>)</w:t>
      </w:r>
      <w:r w:rsidR="00D05073" w:rsidRPr="002007A3">
        <w:rPr>
          <w:i/>
          <w:lang w:val="lv-LV"/>
          <w:rPrChange w:id="387" w:author="Author">
            <w:rPr>
              <w:iCs/>
              <w:lang w:val="lv-LV"/>
            </w:rPr>
          </w:rPrChange>
        </w:rPr>
        <w:t xml:space="preserve"> un</w:t>
      </w:r>
      <w:r w:rsidR="00D05073" w:rsidRPr="002007A3">
        <w:rPr>
          <w:i/>
          <w:szCs w:val="22"/>
          <w:lang w:val="lv-LV"/>
          <w:rPrChange w:id="388" w:author="Author">
            <w:rPr>
              <w:iCs/>
              <w:szCs w:val="22"/>
              <w:lang w:val="lv-LV"/>
            </w:rPr>
          </w:rPrChange>
        </w:rPr>
        <w:t xml:space="preserve"> </w:t>
      </w:r>
      <w:r w:rsidR="006F2DEA" w:rsidRPr="002007A3">
        <w:rPr>
          <w:i/>
          <w:szCs w:val="22"/>
          <w:lang w:val="lv-LV"/>
          <w:rPrChange w:id="389" w:author="Author">
            <w:rPr>
              <w:iCs/>
              <w:szCs w:val="22"/>
              <w:lang w:val="lv-LV"/>
            </w:rPr>
          </w:rPrChange>
        </w:rPr>
        <w:t>COVID</w:t>
      </w:r>
      <w:r w:rsidR="00AC21FB" w:rsidRPr="002007A3">
        <w:rPr>
          <w:i/>
          <w:szCs w:val="22"/>
          <w:lang w:val="lv-LV"/>
          <w:rPrChange w:id="390" w:author="Author">
            <w:rPr>
              <w:iCs/>
              <w:szCs w:val="22"/>
              <w:lang w:val="lv-LV"/>
            </w:rPr>
          </w:rPrChange>
        </w:rPr>
        <w:noBreakHyphen/>
      </w:r>
      <w:r w:rsidR="006F2DEA" w:rsidRPr="002007A3">
        <w:rPr>
          <w:i/>
          <w:szCs w:val="22"/>
          <w:lang w:val="lv-LV"/>
          <w:rPrChange w:id="391" w:author="Author">
            <w:rPr>
              <w:iCs/>
              <w:szCs w:val="22"/>
              <w:lang w:val="lv-LV"/>
            </w:rPr>
          </w:rPrChange>
        </w:rPr>
        <w:t>19</w:t>
      </w:r>
    </w:p>
    <w:p w14:paraId="0EE86308" w14:textId="0D5560CC" w:rsidR="00784D05" w:rsidRDefault="00784D05" w:rsidP="00846FA5">
      <w:pPr>
        <w:keepNext/>
        <w:keepLines/>
        <w:rPr>
          <w:szCs w:val="22"/>
          <w:lang w:val="lv-LV"/>
        </w:rPr>
      </w:pPr>
      <w:r>
        <w:rPr>
          <w:lang w:val="lv-LV"/>
        </w:rPr>
        <w:t>Aseptiskos apstākļos no 100 ml tilpuma infūziju maisa paņem sterilu, apirogēnu nātrija hlorīda 9 mg/ml (0,9%) šķīdumu injekcijām, kura tilpums ir vienāds ar koncentrāta tilpumu, kas nepieciešams vienai pacienta devai. Nepieciešamais koncentrāta daudzums (0,4 ml/kg) ir jāpaņem no flakona un jāievada 100 ml tilpuma infūziju maisā ar apirogēnu nātrija hlorīda 9 mg/ml (0,9%) šķīdumu injekcijām. Tam (100 ml) ir jābūt galīgajam tilpumam.</w:t>
      </w:r>
      <w:r>
        <w:rPr>
          <w:rFonts w:eastAsia="PMingLiU"/>
          <w:szCs w:val="22"/>
          <w:lang w:val="lv-LV"/>
        </w:rPr>
        <w:t xml:space="preserve"> Lai sajauktu šķīdumu, viegli apgrieziet infūziju maisu, lai neizraisītu putu veidošanos</w:t>
      </w:r>
      <w:r>
        <w:rPr>
          <w:szCs w:val="22"/>
          <w:lang w:val="lv-LV"/>
        </w:rPr>
        <w:t xml:space="preserve">. </w:t>
      </w:r>
    </w:p>
    <w:p w14:paraId="042BD00C" w14:textId="77777777" w:rsidR="00784D05" w:rsidRDefault="00784D05">
      <w:pPr>
        <w:rPr>
          <w:szCs w:val="22"/>
          <w:lang w:val="lv-LV"/>
        </w:rPr>
      </w:pPr>
    </w:p>
    <w:p w14:paraId="1FD9214C" w14:textId="238E6745" w:rsidR="00784D05" w:rsidRPr="002007A3" w:rsidRDefault="00AC21FB">
      <w:pPr>
        <w:keepNext/>
        <w:keepLines/>
        <w:rPr>
          <w:i/>
          <w:lang w:val="lv-LV"/>
          <w:rPrChange w:id="392" w:author="Author">
            <w:rPr>
              <w:iCs/>
              <w:lang w:val="lv-LV"/>
            </w:rPr>
          </w:rPrChange>
        </w:rPr>
      </w:pPr>
      <w:r w:rsidRPr="002007A3">
        <w:rPr>
          <w:i/>
          <w:lang w:val="lv-LV"/>
          <w:rPrChange w:id="393" w:author="Author">
            <w:rPr>
              <w:iCs/>
              <w:lang w:val="lv-LV"/>
            </w:rPr>
          </w:rPrChange>
        </w:rPr>
        <w:t>P</w:t>
      </w:r>
      <w:r w:rsidR="00784D05" w:rsidRPr="002007A3">
        <w:rPr>
          <w:i/>
          <w:lang w:val="lv-LV"/>
          <w:rPrChange w:id="394" w:author="Author">
            <w:rPr>
              <w:iCs/>
              <w:lang w:val="lv-LV"/>
            </w:rPr>
          </w:rPrChange>
        </w:rPr>
        <w:t>ediatrisk</w:t>
      </w:r>
      <w:r w:rsidRPr="002007A3">
        <w:rPr>
          <w:i/>
          <w:lang w:val="lv-LV"/>
          <w:rPrChange w:id="395" w:author="Author">
            <w:rPr>
              <w:iCs/>
              <w:lang w:val="lv-LV"/>
            </w:rPr>
          </w:rPrChange>
        </w:rPr>
        <w:t>ā</w:t>
      </w:r>
      <w:r w:rsidR="00784D05" w:rsidRPr="002007A3">
        <w:rPr>
          <w:i/>
          <w:lang w:val="lv-LV"/>
          <w:rPrChange w:id="396" w:author="Author">
            <w:rPr>
              <w:iCs/>
              <w:lang w:val="lv-LV"/>
            </w:rPr>
          </w:rPrChange>
        </w:rPr>
        <w:t xml:space="preserve"> populācij</w:t>
      </w:r>
      <w:r w:rsidRPr="002007A3">
        <w:rPr>
          <w:i/>
          <w:lang w:val="lv-LV"/>
          <w:rPrChange w:id="397" w:author="Author">
            <w:rPr>
              <w:iCs/>
              <w:lang w:val="lv-LV"/>
            </w:rPr>
          </w:rPrChange>
        </w:rPr>
        <w:t>a</w:t>
      </w:r>
    </w:p>
    <w:p w14:paraId="74B35A6B" w14:textId="22BB1FDF" w:rsidR="00784D05" w:rsidRPr="00707120" w:rsidRDefault="00784D05">
      <w:pPr>
        <w:keepNext/>
        <w:keepLines/>
        <w:rPr>
          <w:i/>
          <w:iCs/>
          <w:lang w:val="lv-LV"/>
        </w:rPr>
      </w:pPr>
      <w:r w:rsidRPr="00707120">
        <w:rPr>
          <w:i/>
          <w:iCs/>
          <w:u w:val="single"/>
          <w:lang w:val="lv-LV"/>
        </w:rPr>
        <w:t>Pacienti ar sJIA</w:t>
      </w:r>
      <w:r w:rsidR="00131FE3" w:rsidRPr="00707120">
        <w:rPr>
          <w:i/>
          <w:iCs/>
          <w:u w:val="single"/>
          <w:lang w:val="lv-LV"/>
        </w:rPr>
        <w:t>,</w:t>
      </w:r>
      <w:r w:rsidRPr="00707120">
        <w:rPr>
          <w:i/>
          <w:iCs/>
          <w:u w:val="single"/>
          <w:lang w:val="lv-LV"/>
        </w:rPr>
        <w:t xml:space="preserve"> pJIA</w:t>
      </w:r>
      <w:r w:rsidR="00131FE3" w:rsidRPr="00707120">
        <w:rPr>
          <w:i/>
          <w:iCs/>
          <w:u w:val="single"/>
          <w:lang w:val="lv-LV"/>
        </w:rPr>
        <w:t xml:space="preserve"> vai CRS</w:t>
      </w:r>
      <w:r w:rsidRPr="00707120">
        <w:rPr>
          <w:i/>
          <w:iCs/>
          <w:u w:val="single"/>
          <w:lang w:val="lv-LV"/>
        </w:rPr>
        <w:t>, kuru ķermeņa masa ir ≥</w:t>
      </w:r>
      <w:r w:rsidR="00AC21FB">
        <w:rPr>
          <w:i/>
          <w:iCs/>
          <w:u w:val="single"/>
          <w:lang w:val="lv-LV"/>
        </w:rPr>
        <w:t> </w:t>
      </w:r>
      <w:r w:rsidRPr="00707120">
        <w:rPr>
          <w:i/>
          <w:iCs/>
          <w:u w:val="single"/>
          <w:lang w:val="lv-LV"/>
        </w:rPr>
        <w:t>30 kg</w:t>
      </w:r>
    </w:p>
    <w:p w14:paraId="1FA0BA07" w14:textId="48A74FB0" w:rsidR="00784D05" w:rsidRDefault="00784D05">
      <w:pPr>
        <w:rPr>
          <w:szCs w:val="22"/>
          <w:lang w:val="lv-LV"/>
        </w:rPr>
      </w:pPr>
      <w:r>
        <w:rPr>
          <w:lang w:val="lv-LV"/>
        </w:rPr>
        <w:t>Aseptiskos apstākļos no 100 ml tilpuma infūzijas maisa jāpaņem sterila, apirogēna 9 mg/ml (0,9%) nātrija hlorīda injekciju šķīduma tilpums, kas atbilst pacienta devai nepieciešamā koncentrāta tilpumam. No flakona jāpaņem nepieciešamais koncentrāta daudzums (</w:t>
      </w:r>
      <w:r>
        <w:rPr>
          <w:b/>
          <w:lang w:val="lv-LV"/>
        </w:rPr>
        <w:t>0,4 ml/kg</w:t>
      </w:r>
      <w:r>
        <w:rPr>
          <w:lang w:val="lv-LV"/>
        </w:rPr>
        <w:t>) un jāievada 100 ml tilpuma infūzijas maisā. Nepieciešamais galīgais tilpums ir 100 ml. Lai samaisītu šķīdumu, infūzijas maiss uzmanīgi jāapgroza, lai izvairītos no putu veidošanās.</w:t>
      </w:r>
    </w:p>
    <w:p w14:paraId="740D5B75" w14:textId="77777777" w:rsidR="00784D05" w:rsidRDefault="00784D05">
      <w:pPr>
        <w:rPr>
          <w:szCs w:val="22"/>
          <w:lang w:val="lv-LV"/>
        </w:rPr>
      </w:pPr>
    </w:p>
    <w:p w14:paraId="3F7A8B32" w14:textId="77777777" w:rsidR="00784D05" w:rsidRPr="00707120" w:rsidRDefault="00784D05">
      <w:pPr>
        <w:keepNext/>
        <w:keepLines/>
        <w:rPr>
          <w:i/>
          <w:iCs/>
          <w:szCs w:val="22"/>
          <w:lang w:val="lv-LV"/>
        </w:rPr>
      </w:pPr>
      <w:r w:rsidRPr="00707120">
        <w:rPr>
          <w:i/>
          <w:iCs/>
          <w:szCs w:val="22"/>
          <w:u w:val="single"/>
          <w:lang w:val="lv-LV"/>
        </w:rPr>
        <w:t>Pacienti ar sJIA</w:t>
      </w:r>
      <w:r w:rsidR="00131FE3" w:rsidRPr="00707120">
        <w:rPr>
          <w:i/>
          <w:iCs/>
          <w:szCs w:val="22"/>
          <w:u w:val="single"/>
          <w:lang w:val="lv-LV"/>
        </w:rPr>
        <w:t xml:space="preserve"> vai CRS</w:t>
      </w:r>
      <w:r w:rsidRPr="00707120">
        <w:rPr>
          <w:i/>
          <w:iCs/>
          <w:szCs w:val="22"/>
          <w:u w:val="single"/>
          <w:lang w:val="lv-LV"/>
        </w:rPr>
        <w:t>, kuru ķermeņa masa ir &lt; 30 kg</w:t>
      </w:r>
    </w:p>
    <w:p w14:paraId="5B3AC206" w14:textId="4C03864D" w:rsidR="00784D05" w:rsidRDefault="00784D05">
      <w:pPr>
        <w:rPr>
          <w:szCs w:val="22"/>
          <w:lang w:val="lv-LV"/>
        </w:rPr>
      </w:pPr>
      <w:r>
        <w:rPr>
          <w:szCs w:val="22"/>
          <w:lang w:val="lv-LV"/>
        </w:rPr>
        <w:t>Aseptiskos apstākļos no 50 ml tilpuma infūzijas maisa jāpaņem sterila, apirogēna 9 mg/ml (0,9%) nātrija hlorīda injekciju šķīduma tilpums, kas atbilst pacienta devai nepieciešamā koncentrāta tilpumam. No flakona jāpaņem nepieciešamais koncentrāta daudzums (</w:t>
      </w:r>
      <w:r>
        <w:rPr>
          <w:b/>
          <w:szCs w:val="22"/>
          <w:lang w:val="lv-LV"/>
        </w:rPr>
        <w:t>0,6 ml/kg</w:t>
      </w:r>
      <w:r>
        <w:rPr>
          <w:szCs w:val="22"/>
          <w:lang w:val="lv-LV"/>
        </w:rPr>
        <w:t>) un jāievada 50 ml tilpuma infūzijas maisā. Nepieciešamais galīgais tilpums ir 50 ml. Lai samaisītu šķīdumu, infūzijas maiss uzmanīgi jāapgroza, lai izvairītos no putu veidošanās.</w:t>
      </w:r>
    </w:p>
    <w:p w14:paraId="7832373E" w14:textId="77777777" w:rsidR="00784D05" w:rsidRDefault="00784D05">
      <w:pPr>
        <w:rPr>
          <w:szCs w:val="22"/>
          <w:lang w:val="lv-LV"/>
        </w:rPr>
      </w:pPr>
    </w:p>
    <w:p w14:paraId="397E4846" w14:textId="77777777" w:rsidR="00784D05" w:rsidRPr="00707120" w:rsidRDefault="00784D05" w:rsidP="00707120">
      <w:pPr>
        <w:keepNext/>
        <w:rPr>
          <w:i/>
          <w:iCs/>
          <w:szCs w:val="22"/>
          <w:lang w:val="lv-LV"/>
        </w:rPr>
      </w:pPr>
      <w:r w:rsidRPr="00707120">
        <w:rPr>
          <w:i/>
          <w:iCs/>
          <w:szCs w:val="22"/>
          <w:u w:val="single"/>
          <w:lang w:val="lv-LV"/>
        </w:rPr>
        <w:t>Pacienti ar pJIA, kuru ķermeņa masa ir &lt; 30 kg</w:t>
      </w:r>
    </w:p>
    <w:p w14:paraId="3CA77DEC" w14:textId="55DEF98D" w:rsidR="00784D05" w:rsidRDefault="00784D05">
      <w:pPr>
        <w:rPr>
          <w:szCs w:val="22"/>
          <w:lang w:val="lv-LV"/>
        </w:rPr>
      </w:pPr>
      <w:r>
        <w:rPr>
          <w:szCs w:val="22"/>
          <w:lang w:val="lv-LV"/>
        </w:rPr>
        <w:t>Aseptiskos apstākļos no 50 ml tilpuma infūzijas maisa jāpaņem sterila, apirogēna 9 mg/ml (0,9%) nātrija hlorīda injekciju šķīduma tilpums, kas atbilst pacienta devai nepieciešamā koncentrāta tilpumam. No flakona jāpaņem nepieciešamais koncentrāta daudzums (</w:t>
      </w:r>
      <w:r>
        <w:rPr>
          <w:b/>
          <w:szCs w:val="22"/>
          <w:lang w:val="lv-LV"/>
        </w:rPr>
        <w:t>0,5 ml/kg</w:t>
      </w:r>
      <w:r>
        <w:rPr>
          <w:szCs w:val="22"/>
          <w:lang w:val="lv-LV"/>
        </w:rPr>
        <w:t>) un jāievada 50 ml tilpuma infūzijas maisā. Nepieciešamais galīgais tilpums ir 50 ml. Lai samaisītu šķīdumu, infūzijas maiss uzmanīgi jāapgroza, lai izvairītos no putu veidošanās.</w:t>
      </w:r>
    </w:p>
    <w:p w14:paraId="00968E12" w14:textId="77777777" w:rsidR="00784D05" w:rsidRDefault="00784D05">
      <w:pPr>
        <w:rPr>
          <w:szCs w:val="22"/>
          <w:lang w:val="lv-LV"/>
        </w:rPr>
      </w:pPr>
    </w:p>
    <w:p w14:paraId="19256870" w14:textId="014B55C8" w:rsidR="00AC21FB" w:rsidRDefault="00AC21FB">
      <w:pPr>
        <w:rPr>
          <w:szCs w:val="22"/>
          <w:lang w:val="lv-LV"/>
        </w:rPr>
      </w:pPr>
      <w:r>
        <w:rPr>
          <w:szCs w:val="22"/>
          <w:lang w:val="lv-LV"/>
        </w:rPr>
        <w:t xml:space="preserve">Ja atšķaidīšanai izmantots nātrija hlorīda 9 mg/ml (0,9%) šķīdums injekcijām, RoActemra ir saderīgs ar intravenozas infūzijas maisiem, kas sastāv no polivinilhlorīda (PVH), polietilēna (PE), polipropilēna (PP). </w:t>
      </w:r>
    </w:p>
    <w:p w14:paraId="1E7B0D67" w14:textId="77777777" w:rsidR="00AC21FB" w:rsidRDefault="00AC21FB">
      <w:pPr>
        <w:rPr>
          <w:szCs w:val="22"/>
          <w:lang w:val="lv-LV"/>
        </w:rPr>
      </w:pPr>
    </w:p>
    <w:p w14:paraId="2AD4F905" w14:textId="77777777" w:rsidR="00784D05" w:rsidRDefault="00784D05">
      <w:pPr>
        <w:rPr>
          <w:szCs w:val="22"/>
          <w:lang w:val="lv-LV"/>
        </w:rPr>
      </w:pPr>
      <w:r>
        <w:rPr>
          <w:szCs w:val="22"/>
          <w:lang w:val="lv-LV"/>
        </w:rPr>
        <w:t>RoActemra ir paredzēts tikai vienreizējai lietošanai.</w:t>
      </w:r>
    </w:p>
    <w:p w14:paraId="4761FC4D" w14:textId="77777777" w:rsidR="00784D05" w:rsidRDefault="00784D05">
      <w:pPr>
        <w:rPr>
          <w:szCs w:val="22"/>
          <w:lang w:val="lv-LV"/>
        </w:rPr>
      </w:pPr>
      <w:r>
        <w:rPr>
          <w:szCs w:val="22"/>
          <w:lang w:val="lv-LV"/>
        </w:rPr>
        <w:t>Neizlietotās zāles vai izlietotie materiāli jāiznīcina atbilstoši vietējām prasībām.</w:t>
      </w:r>
    </w:p>
    <w:p w14:paraId="1518DFE4" w14:textId="77777777" w:rsidR="00784D05" w:rsidRDefault="00784D05">
      <w:pPr>
        <w:rPr>
          <w:szCs w:val="22"/>
          <w:lang w:val="lv-LV"/>
        </w:rPr>
      </w:pPr>
    </w:p>
    <w:p w14:paraId="7651FBC0" w14:textId="77777777" w:rsidR="00784D05" w:rsidRDefault="00784D05">
      <w:pPr>
        <w:rPr>
          <w:szCs w:val="22"/>
          <w:lang w:val="lv-LV"/>
        </w:rPr>
      </w:pPr>
    </w:p>
    <w:p w14:paraId="4233F15B" w14:textId="77777777" w:rsidR="00784D05" w:rsidRDefault="00784D05">
      <w:pPr>
        <w:keepNext/>
        <w:rPr>
          <w:szCs w:val="22"/>
          <w:lang w:val="lv-LV"/>
        </w:rPr>
      </w:pPr>
      <w:r>
        <w:rPr>
          <w:b/>
          <w:szCs w:val="22"/>
          <w:lang w:val="lv-LV"/>
        </w:rPr>
        <w:t>7.</w:t>
      </w:r>
      <w:r>
        <w:rPr>
          <w:b/>
          <w:szCs w:val="22"/>
          <w:lang w:val="lv-LV"/>
        </w:rPr>
        <w:tab/>
        <w:t>REĢISTRĀCIJAS APLIECĪBAS ĪPAŠNIEKS</w:t>
      </w:r>
    </w:p>
    <w:p w14:paraId="5DBF0C98" w14:textId="77777777" w:rsidR="00784D05" w:rsidRDefault="00784D05">
      <w:pPr>
        <w:keepNext/>
        <w:rPr>
          <w:szCs w:val="22"/>
          <w:lang w:val="lv-LV"/>
        </w:rPr>
      </w:pPr>
    </w:p>
    <w:p w14:paraId="05530993" w14:textId="77777777" w:rsidR="00F1131A" w:rsidRPr="00F1131A" w:rsidRDefault="00F1131A" w:rsidP="00F1131A">
      <w:pPr>
        <w:keepNext/>
        <w:rPr>
          <w:szCs w:val="22"/>
          <w:lang w:val="lv-LV"/>
        </w:rPr>
      </w:pPr>
      <w:r w:rsidRPr="00F1131A">
        <w:rPr>
          <w:szCs w:val="22"/>
          <w:lang w:val="lv-LV"/>
        </w:rPr>
        <w:t xml:space="preserve">Roche Registration GmbH </w:t>
      </w:r>
    </w:p>
    <w:p w14:paraId="5DA30486" w14:textId="77777777" w:rsidR="00F1131A" w:rsidRPr="00F1131A" w:rsidRDefault="00F1131A" w:rsidP="00F1131A">
      <w:pPr>
        <w:keepNext/>
        <w:rPr>
          <w:szCs w:val="22"/>
          <w:lang w:val="lv-LV"/>
        </w:rPr>
      </w:pPr>
      <w:r w:rsidRPr="00F1131A">
        <w:rPr>
          <w:szCs w:val="22"/>
          <w:lang w:val="lv-LV"/>
        </w:rPr>
        <w:t>Emil-Barell-Strasse 1</w:t>
      </w:r>
    </w:p>
    <w:p w14:paraId="51F16464" w14:textId="77777777" w:rsidR="00F1131A" w:rsidRPr="00F1131A" w:rsidRDefault="00F1131A" w:rsidP="00F1131A">
      <w:pPr>
        <w:keepNext/>
        <w:rPr>
          <w:szCs w:val="22"/>
          <w:lang w:val="lv-LV"/>
        </w:rPr>
      </w:pPr>
      <w:r w:rsidRPr="00F1131A">
        <w:rPr>
          <w:szCs w:val="22"/>
          <w:lang w:val="lv-LV"/>
        </w:rPr>
        <w:t>79639 Grenzach-Wyhlen</w:t>
      </w:r>
    </w:p>
    <w:p w14:paraId="34A536C2" w14:textId="77777777" w:rsidR="00784D05" w:rsidRDefault="00F1131A">
      <w:pPr>
        <w:rPr>
          <w:szCs w:val="22"/>
          <w:lang w:val="lv-LV"/>
        </w:rPr>
      </w:pPr>
      <w:r>
        <w:rPr>
          <w:szCs w:val="22"/>
          <w:lang w:val="lv-LV"/>
        </w:rPr>
        <w:t>Vācija</w:t>
      </w:r>
    </w:p>
    <w:p w14:paraId="41326F91" w14:textId="77777777" w:rsidR="00784D05" w:rsidRDefault="00784D05">
      <w:pPr>
        <w:rPr>
          <w:szCs w:val="22"/>
          <w:lang w:val="lv-LV"/>
        </w:rPr>
      </w:pPr>
    </w:p>
    <w:p w14:paraId="46EEE544" w14:textId="77777777" w:rsidR="00784D05" w:rsidRDefault="00784D05">
      <w:pPr>
        <w:rPr>
          <w:szCs w:val="22"/>
          <w:lang w:val="lv-LV"/>
        </w:rPr>
      </w:pPr>
    </w:p>
    <w:p w14:paraId="55DE4881" w14:textId="77777777" w:rsidR="00784D05" w:rsidRDefault="00784D05" w:rsidP="00B864FF">
      <w:pPr>
        <w:keepNext/>
        <w:keepLines/>
        <w:ind w:left="567" w:hanging="567"/>
        <w:rPr>
          <w:szCs w:val="22"/>
          <w:lang w:val="lv-LV"/>
        </w:rPr>
      </w:pPr>
      <w:r>
        <w:rPr>
          <w:b/>
          <w:szCs w:val="22"/>
          <w:lang w:val="lv-LV"/>
        </w:rPr>
        <w:t>8.</w:t>
      </w:r>
      <w:r>
        <w:rPr>
          <w:b/>
          <w:szCs w:val="22"/>
          <w:lang w:val="lv-LV"/>
        </w:rPr>
        <w:tab/>
        <w:t>REĢISTRĀCIJAS APLIECĪBAS NUMURS(-I)</w:t>
      </w:r>
    </w:p>
    <w:p w14:paraId="4B905ECB" w14:textId="77777777" w:rsidR="00784D05" w:rsidRDefault="00784D05" w:rsidP="00385B1F">
      <w:pPr>
        <w:keepNext/>
        <w:keepLines/>
        <w:rPr>
          <w:szCs w:val="22"/>
          <w:lang w:val="lv-LV"/>
        </w:rPr>
      </w:pPr>
    </w:p>
    <w:p w14:paraId="7C917B18" w14:textId="77777777" w:rsidR="00784D05" w:rsidRDefault="00784D05" w:rsidP="00385B1F">
      <w:pPr>
        <w:keepNext/>
        <w:keepLines/>
        <w:rPr>
          <w:lang w:val="pt-BR"/>
        </w:rPr>
      </w:pPr>
      <w:r>
        <w:rPr>
          <w:lang w:val="lv-LV"/>
        </w:rPr>
        <w:t>EU/1/08/492/001</w:t>
      </w:r>
    </w:p>
    <w:p w14:paraId="742C3064" w14:textId="77777777" w:rsidR="00784D05" w:rsidRDefault="00784D05" w:rsidP="00385B1F">
      <w:pPr>
        <w:keepNext/>
        <w:keepLines/>
        <w:rPr>
          <w:lang w:val="pt-BR"/>
        </w:rPr>
      </w:pPr>
      <w:r>
        <w:rPr>
          <w:lang w:val="pt-BR"/>
        </w:rPr>
        <w:t>EU/1/08/492/002</w:t>
      </w:r>
    </w:p>
    <w:p w14:paraId="5E496317" w14:textId="77777777" w:rsidR="00784D05" w:rsidRDefault="00784D05" w:rsidP="00385B1F">
      <w:pPr>
        <w:keepNext/>
        <w:keepLines/>
        <w:rPr>
          <w:lang w:val="pt-BR"/>
        </w:rPr>
      </w:pPr>
      <w:r>
        <w:rPr>
          <w:lang w:val="pt-BR"/>
        </w:rPr>
        <w:t>EU/1/08/492/003</w:t>
      </w:r>
    </w:p>
    <w:p w14:paraId="406B3F73" w14:textId="77777777" w:rsidR="00784D05" w:rsidRDefault="00784D05" w:rsidP="00385B1F">
      <w:pPr>
        <w:keepNext/>
        <w:keepLines/>
        <w:rPr>
          <w:lang w:val="pt-BR"/>
        </w:rPr>
      </w:pPr>
      <w:r>
        <w:rPr>
          <w:lang w:val="pt-BR"/>
        </w:rPr>
        <w:t>EU/1/08/492/004</w:t>
      </w:r>
    </w:p>
    <w:p w14:paraId="6D6DED4D" w14:textId="77777777" w:rsidR="00784D05" w:rsidRDefault="00784D05" w:rsidP="00385B1F">
      <w:pPr>
        <w:keepNext/>
        <w:keepLines/>
        <w:rPr>
          <w:lang w:val="pt-BR"/>
        </w:rPr>
      </w:pPr>
      <w:r>
        <w:rPr>
          <w:lang w:val="pt-BR"/>
        </w:rPr>
        <w:t>EU/1/08/492/005</w:t>
      </w:r>
    </w:p>
    <w:p w14:paraId="2D358A9A" w14:textId="77777777" w:rsidR="00784D05" w:rsidRDefault="00784D05" w:rsidP="00707120">
      <w:pPr>
        <w:keepLines/>
        <w:rPr>
          <w:szCs w:val="22"/>
          <w:lang w:val="lv-LV"/>
        </w:rPr>
      </w:pPr>
      <w:r>
        <w:rPr>
          <w:lang w:val="pt-BR"/>
        </w:rPr>
        <w:t>EU/1/08/492/006</w:t>
      </w:r>
    </w:p>
    <w:p w14:paraId="7A12F183" w14:textId="77777777" w:rsidR="00784D05" w:rsidRDefault="00784D05">
      <w:pPr>
        <w:rPr>
          <w:szCs w:val="22"/>
          <w:lang w:val="lv-LV"/>
        </w:rPr>
      </w:pPr>
    </w:p>
    <w:p w14:paraId="43C817F0" w14:textId="77777777" w:rsidR="00784D05" w:rsidRDefault="00784D05">
      <w:pPr>
        <w:rPr>
          <w:szCs w:val="22"/>
          <w:lang w:val="lv-LV"/>
        </w:rPr>
      </w:pPr>
    </w:p>
    <w:p w14:paraId="6E4B3B02" w14:textId="77777777" w:rsidR="00784D05" w:rsidRDefault="00784D05" w:rsidP="005266F5">
      <w:pPr>
        <w:keepNext/>
        <w:keepLines/>
        <w:ind w:left="567" w:hanging="567"/>
        <w:rPr>
          <w:szCs w:val="22"/>
          <w:lang w:val="lv-LV"/>
        </w:rPr>
      </w:pPr>
      <w:r>
        <w:rPr>
          <w:b/>
          <w:szCs w:val="22"/>
          <w:lang w:val="lv-LV"/>
        </w:rPr>
        <w:t>9.</w:t>
      </w:r>
      <w:r>
        <w:rPr>
          <w:b/>
          <w:szCs w:val="22"/>
          <w:lang w:val="lv-LV"/>
        </w:rPr>
        <w:tab/>
        <w:t>PIRMĀS REĢISTRĀCIJAS / PĒDĒJĀS PĀRREĢISTRĀCIJAS DATUMS</w:t>
      </w:r>
    </w:p>
    <w:p w14:paraId="5723C059" w14:textId="77777777" w:rsidR="00784D05" w:rsidRDefault="00784D05" w:rsidP="005266F5">
      <w:pPr>
        <w:keepNext/>
        <w:keepLines/>
        <w:rPr>
          <w:szCs w:val="22"/>
          <w:lang w:val="lv-LV"/>
        </w:rPr>
      </w:pPr>
    </w:p>
    <w:p w14:paraId="119703A8" w14:textId="2F92A7C2" w:rsidR="00784D05" w:rsidRDefault="00784D05" w:rsidP="005266F5">
      <w:pPr>
        <w:keepNext/>
        <w:keepLines/>
        <w:rPr>
          <w:szCs w:val="22"/>
          <w:lang w:val="lv-LV"/>
        </w:rPr>
      </w:pPr>
      <w:r>
        <w:rPr>
          <w:szCs w:val="22"/>
          <w:lang w:val="lv-LV"/>
        </w:rPr>
        <w:t>Reģistrācijas datums: 2009.</w:t>
      </w:r>
      <w:ins w:id="398" w:author="Author">
        <w:r w:rsidR="00825A07">
          <w:rPr>
            <w:szCs w:val="22"/>
            <w:lang w:val="lv-LV"/>
          </w:rPr>
          <w:t> </w:t>
        </w:r>
      </w:ins>
      <w:del w:id="399" w:author="Author">
        <w:r w:rsidDel="00825A07">
          <w:rPr>
            <w:szCs w:val="22"/>
            <w:lang w:val="lv-LV"/>
          </w:rPr>
          <w:delText xml:space="preserve"> </w:delText>
        </w:r>
      </w:del>
      <w:r>
        <w:rPr>
          <w:szCs w:val="22"/>
          <w:lang w:val="lv-LV"/>
        </w:rPr>
        <w:t>gada 16.</w:t>
      </w:r>
      <w:r w:rsidR="008D5D8C">
        <w:rPr>
          <w:szCs w:val="22"/>
          <w:lang w:val="lv-LV"/>
        </w:rPr>
        <w:t> </w:t>
      </w:r>
      <w:r>
        <w:rPr>
          <w:szCs w:val="22"/>
          <w:lang w:val="lv-LV"/>
        </w:rPr>
        <w:t xml:space="preserve">janvāris </w:t>
      </w:r>
    </w:p>
    <w:p w14:paraId="6973F807" w14:textId="5A5168DE" w:rsidR="00784D05" w:rsidRDefault="00784D05" w:rsidP="00707120">
      <w:pPr>
        <w:keepLines/>
        <w:rPr>
          <w:szCs w:val="22"/>
          <w:lang w:val="lv-LV"/>
        </w:rPr>
      </w:pPr>
      <w:r>
        <w:rPr>
          <w:szCs w:val="22"/>
          <w:lang w:val="lv-LV"/>
        </w:rPr>
        <w:t>Pēdējās pārreģistrācijas datums: 2013.</w:t>
      </w:r>
      <w:ins w:id="400" w:author="Author">
        <w:r w:rsidR="00825A07">
          <w:rPr>
            <w:szCs w:val="22"/>
            <w:lang w:val="lv-LV"/>
          </w:rPr>
          <w:t> </w:t>
        </w:r>
      </w:ins>
      <w:del w:id="401" w:author="Author">
        <w:r w:rsidDel="00825A07">
          <w:rPr>
            <w:szCs w:val="22"/>
            <w:lang w:val="lv-LV"/>
          </w:rPr>
          <w:delText xml:space="preserve"> </w:delText>
        </w:r>
      </w:del>
      <w:r>
        <w:rPr>
          <w:szCs w:val="22"/>
          <w:lang w:val="lv-LV"/>
        </w:rPr>
        <w:t>gada 25.</w:t>
      </w:r>
      <w:r w:rsidR="008D5D8C">
        <w:rPr>
          <w:szCs w:val="22"/>
          <w:lang w:val="lv-LV"/>
        </w:rPr>
        <w:t> </w:t>
      </w:r>
      <w:r w:rsidR="00F1131A">
        <w:rPr>
          <w:szCs w:val="22"/>
          <w:lang w:val="lv-LV"/>
        </w:rPr>
        <w:t>septembris</w:t>
      </w:r>
    </w:p>
    <w:p w14:paraId="20FF26FF" w14:textId="77777777" w:rsidR="00784D05" w:rsidRDefault="00784D05" w:rsidP="00707120">
      <w:pPr>
        <w:keepLines/>
        <w:rPr>
          <w:szCs w:val="22"/>
          <w:lang w:val="lv-LV"/>
        </w:rPr>
      </w:pPr>
    </w:p>
    <w:p w14:paraId="7787C12D" w14:textId="77777777" w:rsidR="00784D05" w:rsidRDefault="00784D05">
      <w:pPr>
        <w:rPr>
          <w:szCs w:val="22"/>
          <w:lang w:val="lv-LV"/>
        </w:rPr>
      </w:pPr>
    </w:p>
    <w:p w14:paraId="2E0AD28F" w14:textId="77777777" w:rsidR="00784D05" w:rsidRDefault="00784D05">
      <w:pPr>
        <w:ind w:left="567" w:hanging="567"/>
        <w:rPr>
          <w:szCs w:val="22"/>
          <w:lang w:val="lv-LV"/>
        </w:rPr>
      </w:pPr>
      <w:r>
        <w:rPr>
          <w:b/>
          <w:szCs w:val="22"/>
          <w:lang w:val="lv-LV"/>
        </w:rPr>
        <w:t>10.</w:t>
      </w:r>
      <w:r>
        <w:rPr>
          <w:b/>
          <w:szCs w:val="22"/>
          <w:lang w:val="lv-LV"/>
        </w:rPr>
        <w:tab/>
        <w:t>TEKSTA PĀRSKATĪŠANAS DATUMS</w:t>
      </w:r>
    </w:p>
    <w:p w14:paraId="703C917C" w14:textId="77777777" w:rsidR="00784D05" w:rsidRDefault="00784D05">
      <w:pPr>
        <w:ind w:right="-2"/>
        <w:rPr>
          <w:szCs w:val="22"/>
          <w:lang w:val="lv-LV"/>
        </w:rPr>
      </w:pPr>
    </w:p>
    <w:p w14:paraId="5EA64492" w14:textId="53EBD337" w:rsidR="00784D05" w:rsidRDefault="00784D05">
      <w:pPr>
        <w:ind w:right="-2"/>
        <w:rPr>
          <w:szCs w:val="22"/>
          <w:lang w:val="lv-LV"/>
        </w:rPr>
      </w:pPr>
      <w:r>
        <w:rPr>
          <w:szCs w:val="22"/>
          <w:lang w:val="lv-LV"/>
        </w:rPr>
        <w:t xml:space="preserve">Sīkāka informācija par šīm zālēm ir pieejama Eiropas Zāļu aģentūras tīmekļa vietnē </w:t>
      </w:r>
      <w:r w:rsidR="007E17F8">
        <w:fldChar w:fldCharType="begin"/>
      </w:r>
      <w:r w:rsidR="007E17F8" w:rsidRPr="00DD58C9">
        <w:rPr>
          <w:lang w:val="lv-LV"/>
          <w:rPrChange w:id="402" w:author="Author">
            <w:rPr/>
          </w:rPrChange>
        </w:rPr>
        <w:instrText xml:space="preserve"> HYPERLINK "https://www.ema.europa.eu/" </w:instrText>
      </w:r>
      <w:r w:rsidR="007E17F8">
        <w:fldChar w:fldCharType="separate"/>
      </w:r>
      <w:r w:rsidR="00AC21FB" w:rsidRPr="00AC21FB">
        <w:rPr>
          <w:rStyle w:val="Hyperlink"/>
        </w:rPr>
        <w:t>https://www.ema.europa.eu/</w:t>
      </w:r>
      <w:r w:rsidR="007E17F8">
        <w:rPr>
          <w:rStyle w:val="Hyperlink"/>
        </w:rPr>
        <w:fldChar w:fldCharType="end"/>
      </w:r>
      <w:r>
        <w:rPr>
          <w:szCs w:val="22"/>
          <w:lang w:val="lv-LV"/>
        </w:rPr>
        <w:t>.</w:t>
      </w:r>
    </w:p>
    <w:p w14:paraId="707F21CB" w14:textId="77777777" w:rsidR="00DE0B96" w:rsidRDefault="00784D05">
      <w:pPr>
        <w:rPr>
          <w:szCs w:val="22"/>
          <w:lang w:val="lv-LV"/>
        </w:rPr>
      </w:pPr>
      <w:r>
        <w:rPr>
          <w:szCs w:val="22"/>
          <w:lang w:val="lv-LV"/>
        </w:rPr>
        <w:br w:type="page"/>
      </w:r>
    </w:p>
    <w:p w14:paraId="59F4AE79" w14:textId="77777777" w:rsidR="00A453C3" w:rsidRDefault="00A453C3" w:rsidP="00A453C3">
      <w:pPr>
        <w:rPr>
          <w:szCs w:val="22"/>
          <w:lang w:val="lv-LV"/>
        </w:rPr>
      </w:pPr>
      <w:r>
        <w:rPr>
          <w:b/>
          <w:szCs w:val="22"/>
          <w:lang w:val="lv-LV"/>
        </w:rPr>
        <w:t>1.</w:t>
      </w:r>
      <w:r>
        <w:rPr>
          <w:b/>
          <w:szCs w:val="22"/>
          <w:lang w:val="lv-LV"/>
        </w:rPr>
        <w:tab/>
        <w:t>ZĀĻU NOSAUKUMS</w:t>
      </w:r>
    </w:p>
    <w:p w14:paraId="1AD64AD3" w14:textId="77777777" w:rsidR="00A453C3" w:rsidRDefault="00A453C3" w:rsidP="00A453C3">
      <w:pPr>
        <w:widowControl w:val="0"/>
        <w:rPr>
          <w:szCs w:val="22"/>
          <w:lang w:val="lv-LV"/>
        </w:rPr>
      </w:pPr>
    </w:p>
    <w:p w14:paraId="2A014597" w14:textId="521E101C" w:rsidR="00A453C3" w:rsidRDefault="00A453C3" w:rsidP="00A453C3">
      <w:pPr>
        <w:widowControl w:val="0"/>
        <w:rPr>
          <w:bCs/>
          <w:szCs w:val="22"/>
          <w:lang w:val="lv-LV"/>
        </w:rPr>
      </w:pPr>
      <w:r>
        <w:rPr>
          <w:iCs/>
          <w:lang w:val="lv-LV"/>
        </w:rPr>
        <w:t xml:space="preserve">RoActemra </w:t>
      </w:r>
      <w:r>
        <w:rPr>
          <w:szCs w:val="22"/>
          <w:lang w:val="lv-LV"/>
        </w:rPr>
        <w:t>162 mg šķīdums injekcijām pilnšļircē</w:t>
      </w:r>
    </w:p>
    <w:p w14:paraId="0DD76988" w14:textId="77777777" w:rsidR="00A453C3" w:rsidRDefault="00A453C3" w:rsidP="00A453C3">
      <w:pPr>
        <w:widowControl w:val="0"/>
        <w:rPr>
          <w:bCs/>
          <w:szCs w:val="22"/>
          <w:lang w:val="lv-LV"/>
        </w:rPr>
      </w:pPr>
    </w:p>
    <w:p w14:paraId="1BF83850" w14:textId="77777777" w:rsidR="00A453C3" w:rsidRDefault="00A453C3" w:rsidP="00A453C3">
      <w:pPr>
        <w:widowControl w:val="0"/>
        <w:ind w:left="567" w:hanging="567"/>
        <w:rPr>
          <w:szCs w:val="22"/>
          <w:lang w:val="lv-LV"/>
        </w:rPr>
      </w:pPr>
    </w:p>
    <w:p w14:paraId="1C95077E" w14:textId="77777777" w:rsidR="00A453C3" w:rsidRDefault="00A453C3" w:rsidP="00A453C3">
      <w:pPr>
        <w:widowControl w:val="0"/>
        <w:ind w:left="567" w:hanging="567"/>
        <w:rPr>
          <w:szCs w:val="22"/>
          <w:lang w:val="lv-LV"/>
        </w:rPr>
      </w:pPr>
      <w:r>
        <w:rPr>
          <w:b/>
          <w:szCs w:val="22"/>
          <w:lang w:val="lv-LV"/>
        </w:rPr>
        <w:t>2.</w:t>
      </w:r>
      <w:r>
        <w:rPr>
          <w:b/>
          <w:szCs w:val="22"/>
          <w:lang w:val="lv-LV"/>
        </w:rPr>
        <w:tab/>
        <w:t>KVALITATĪVAIS UN KVANTITATĪVAIS SASTĀVS</w:t>
      </w:r>
    </w:p>
    <w:p w14:paraId="1C4D299E" w14:textId="77777777" w:rsidR="00A453C3" w:rsidRDefault="00A453C3" w:rsidP="00A453C3">
      <w:pPr>
        <w:rPr>
          <w:szCs w:val="22"/>
          <w:lang w:val="lv-LV"/>
        </w:rPr>
      </w:pPr>
    </w:p>
    <w:p w14:paraId="574258C1" w14:textId="01EAF68E" w:rsidR="00A453C3" w:rsidRDefault="00A24F77" w:rsidP="00A453C3">
      <w:pPr>
        <w:autoSpaceDE w:val="0"/>
        <w:rPr>
          <w:szCs w:val="22"/>
          <w:lang w:val="lv-LV"/>
        </w:rPr>
      </w:pPr>
      <w:r>
        <w:rPr>
          <w:szCs w:val="22"/>
          <w:lang w:val="lv-LV"/>
        </w:rPr>
        <w:t>Katr</w:t>
      </w:r>
      <w:r w:rsidR="00906CDD">
        <w:rPr>
          <w:szCs w:val="22"/>
          <w:lang w:val="lv-LV"/>
        </w:rPr>
        <w:t>a</w:t>
      </w:r>
      <w:r>
        <w:rPr>
          <w:szCs w:val="22"/>
          <w:lang w:val="lv-LV"/>
        </w:rPr>
        <w:t xml:space="preserve"> </w:t>
      </w:r>
      <w:r w:rsidR="00A453C3">
        <w:rPr>
          <w:szCs w:val="22"/>
          <w:lang w:val="lv-LV"/>
        </w:rPr>
        <w:t>pilnšļirc</w:t>
      </w:r>
      <w:r w:rsidR="00906CDD">
        <w:rPr>
          <w:szCs w:val="22"/>
          <w:lang w:val="lv-LV"/>
        </w:rPr>
        <w:t>e</w:t>
      </w:r>
      <w:r w:rsidR="00A453C3">
        <w:rPr>
          <w:szCs w:val="22"/>
          <w:lang w:val="lv-LV"/>
        </w:rPr>
        <w:t xml:space="preserve"> </w:t>
      </w:r>
      <w:r w:rsidR="00906CDD">
        <w:rPr>
          <w:szCs w:val="22"/>
          <w:lang w:val="lv-LV"/>
        </w:rPr>
        <w:t>satur</w:t>
      </w:r>
      <w:r w:rsidR="00A453C3">
        <w:rPr>
          <w:szCs w:val="22"/>
          <w:lang w:val="lv-LV"/>
        </w:rPr>
        <w:t xml:space="preserve"> 162 mg tocilizumaba </w:t>
      </w:r>
      <w:r w:rsidR="00A453C3">
        <w:rPr>
          <w:i/>
          <w:szCs w:val="22"/>
          <w:lang w:val="lv-LV"/>
        </w:rPr>
        <w:t xml:space="preserve">(tocilizumab) </w:t>
      </w:r>
      <w:r w:rsidR="00A453C3">
        <w:rPr>
          <w:szCs w:val="22"/>
          <w:lang w:val="lv-LV"/>
        </w:rPr>
        <w:t>/ 0,9 ml šķīduma.</w:t>
      </w:r>
    </w:p>
    <w:p w14:paraId="2753D375" w14:textId="77777777" w:rsidR="00A453C3" w:rsidRDefault="00A453C3" w:rsidP="00A453C3">
      <w:pPr>
        <w:autoSpaceDE w:val="0"/>
        <w:rPr>
          <w:szCs w:val="22"/>
          <w:lang w:val="lv-LV"/>
        </w:rPr>
      </w:pPr>
    </w:p>
    <w:p w14:paraId="55E40632" w14:textId="2E014428" w:rsidR="00A453C3" w:rsidRDefault="00A453C3" w:rsidP="00A453C3">
      <w:pPr>
        <w:autoSpaceDE w:val="0"/>
        <w:rPr>
          <w:szCs w:val="22"/>
          <w:lang w:val="lv-LV"/>
        </w:rPr>
      </w:pPr>
      <w:r>
        <w:rPr>
          <w:szCs w:val="22"/>
          <w:lang w:val="lv-LV"/>
        </w:rPr>
        <w:t xml:space="preserve">Tocilizumabs ir rekombinanta humanizēta, anti-cilvēka imūnglobulīna G1 (IgG1) apakšklases monoklonāla antiviela. </w:t>
      </w:r>
    </w:p>
    <w:p w14:paraId="27CE8C13" w14:textId="77777777" w:rsidR="00A453C3" w:rsidRDefault="00A453C3" w:rsidP="00A453C3">
      <w:pPr>
        <w:autoSpaceDE w:val="0"/>
        <w:rPr>
          <w:szCs w:val="22"/>
          <w:lang w:val="lv-LV"/>
        </w:rPr>
      </w:pPr>
      <w:bookmarkStart w:id="403" w:name="_Hlk174536973"/>
    </w:p>
    <w:p w14:paraId="39E07B8F" w14:textId="5A71785B" w:rsidR="00A453C3" w:rsidRDefault="00A453C3" w:rsidP="00A453C3">
      <w:pPr>
        <w:autoSpaceDE w:val="0"/>
        <w:rPr>
          <w:lang w:val="lv-LV"/>
        </w:rPr>
      </w:pPr>
      <w:r>
        <w:rPr>
          <w:szCs w:val="22"/>
          <w:u w:val="single"/>
          <w:lang w:val="lv-LV"/>
        </w:rPr>
        <w:t>Palīgviela ar zināmu iedarbību</w:t>
      </w:r>
    </w:p>
    <w:p w14:paraId="73F101CD" w14:textId="5D3F88A3" w:rsidR="00A453C3" w:rsidRDefault="00A24F77" w:rsidP="00A453C3">
      <w:pPr>
        <w:rPr>
          <w:lang w:val="lv-LV"/>
        </w:rPr>
      </w:pPr>
      <w:r>
        <w:rPr>
          <w:lang w:val="lv-LV"/>
        </w:rPr>
        <w:t>Katr</w:t>
      </w:r>
      <w:r w:rsidR="00906CDD">
        <w:rPr>
          <w:lang w:val="lv-LV"/>
        </w:rPr>
        <w:t>a</w:t>
      </w:r>
      <w:r w:rsidR="00A453C3">
        <w:rPr>
          <w:lang w:val="lv-LV"/>
        </w:rPr>
        <w:t xml:space="preserve"> 162 mg/0,9 ml pilnšļirc</w:t>
      </w:r>
      <w:r w:rsidR="00906CDD">
        <w:rPr>
          <w:lang w:val="lv-LV"/>
        </w:rPr>
        <w:t>e</w:t>
      </w:r>
      <w:r w:rsidR="00A453C3">
        <w:rPr>
          <w:lang w:val="lv-LV"/>
        </w:rPr>
        <w:t xml:space="preserve"> </w:t>
      </w:r>
      <w:r w:rsidR="00906CDD">
        <w:rPr>
          <w:lang w:val="lv-LV"/>
        </w:rPr>
        <w:t>satur</w:t>
      </w:r>
      <w:r w:rsidR="00A453C3">
        <w:rPr>
          <w:lang w:val="lv-LV"/>
        </w:rPr>
        <w:t xml:space="preserve"> 0,18 mg (0,2 mg/ml) polisorbāta 80.</w:t>
      </w:r>
    </w:p>
    <w:bookmarkEnd w:id="403"/>
    <w:p w14:paraId="7FDF020A" w14:textId="77777777" w:rsidR="00A453C3" w:rsidRDefault="00A453C3" w:rsidP="00A453C3">
      <w:pPr>
        <w:autoSpaceDE w:val="0"/>
        <w:rPr>
          <w:szCs w:val="22"/>
          <w:lang w:val="lv-LV"/>
        </w:rPr>
      </w:pPr>
    </w:p>
    <w:p w14:paraId="295E417B" w14:textId="187A7E86" w:rsidR="00A453C3" w:rsidRDefault="00A453C3" w:rsidP="00A453C3">
      <w:pPr>
        <w:autoSpaceDE w:val="0"/>
        <w:rPr>
          <w:szCs w:val="22"/>
          <w:lang w:val="lv-LV"/>
        </w:rPr>
      </w:pPr>
      <w:r>
        <w:rPr>
          <w:szCs w:val="22"/>
          <w:lang w:val="lv-LV"/>
        </w:rPr>
        <w:t>Pilnu palīgvielu sarakstu skatīt 6.1. apakšpunktā.</w:t>
      </w:r>
    </w:p>
    <w:p w14:paraId="2002CB4D" w14:textId="77777777" w:rsidR="00A453C3" w:rsidRDefault="00A453C3" w:rsidP="00A453C3">
      <w:pPr>
        <w:rPr>
          <w:szCs w:val="22"/>
          <w:lang w:val="lv-LV"/>
        </w:rPr>
      </w:pPr>
    </w:p>
    <w:p w14:paraId="263E049E" w14:textId="77777777" w:rsidR="00A453C3" w:rsidRDefault="00A453C3" w:rsidP="00A453C3">
      <w:pPr>
        <w:rPr>
          <w:szCs w:val="22"/>
          <w:lang w:val="lv-LV"/>
        </w:rPr>
      </w:pPr>
    </w:p>
    <w:p w14:paraId="3443EB5B" w14:textId="77777777" w:rsidR="00A453C3" w:rsidRDefault="00A453C3" w:rsidP="00A453C3">
      <w:pPr>
        <w:ind w:left="567" w:hanging="567"/>
        <w:rPr>
          <w:szCs w:val="22"/>
          <w:lang w:val="lv-LV"/>
        </w:rPr>
      </w:pPr>
      <w:r>
        <w:rPr>
          <w:b/>
          <w:szCs w:val="22"/>
          <w:lang w:val="lv-LV"/>
        </w:rPr>
        <w:t>3.</w:t>
      </w:r>
      <w:r>
        <w:rPr>
          <w:b/>
          <w:szCs w:val="22"/>
          <w:lang w:val="lv-LV"/>
        </w:rPr>
        <w:tab/>
        <w:t>ZĀĻU FORMA</w:t>
      </w:r>
    </w:p>
    <w:p w14:paraId="2CA8C040" w14:textId="77777777" w:rsidR="00A453C3" w:rsidRDefault="00A453C3" w:rsidP="00A453C3">
      <w:pPr>
        <w:rPr>
          <w:szCs w:val="22"/>
          <w:lang w:val="lv-LV"/>
        </w:rPr>
      </w:pPr>
    </w:p>
    <w:p w14:paraId="60E427F2" w14:textId="2E54908E" w:rsidR="00A453C3" w:rsidRDefault="00A453C3" w:rsidP="00A453C3">
      <w:pPr>
        <w:rPr>
          <w:szCs w:val="22"/>
          <w:lang w:val="lv-LV"/>
        </w:rPr>
      </w:pPr>
      <w:r>
        <w:rPr>
          <w:szCs w:val="22"/>
          <w:lang w:val="lv-LV"/>
        </w:rPr>
        <w:t>Šķīdums injekcijām (injekcija)</w:t>
      </w:r>
    </w:p>
    <w:p w14:paraId="2BDD60CE" w14:textId="77777777" w:rsidR="00A453C3" w:rsidRDefault="00A453C3" w:rsidP="00A453C3">
      <w:pPr>
        <w:rPr>
          <w:szCs w:val="22"/>
          <w:lang w:val="lv-LV"/>
        </w:rPr>
      </w:pPr>
    </w:p>
    <w:p w14:paraId="66D79C45" w14:textId="77777777" w:rsidR="00A453C3" w:rsidRDefault="00A453C3" w:rsidP="00A453C3">
      <w:pPr>
        <w:rPr>
          <w:szCs w:val="22"/>
          <w:lang w:val="lv-LV"/>
        </w:rPr>
      </w:pPr>
      <w:r>
        <w:rPr>
          <w:szCs w:val="22"/>
          <w:lang w:val="lv-LV"/>
        </w:rPr>
        <w:t>Bezkrāsains vai nedaudz iedzeltens šķīdums</w:t>
      </w:r>
      <w:bookmarkStart w:id="404" w:name="_Hlk174537047"/>
      <w:r>
        <w:rPr>
          <w:szCs w:val="22"/>
          <w:lang w:val="lv-LV"/>
        </w:rPr>
        <w:t xml:space="preserve"> ar pH 5,5</w:t>
      </w:r>
      <w:r>
        <w:rPr>
          <w:szCs w:val="22"/>
          <w:lang w:val="lv-LV"/>
        </w:rPr>
        <w:noBreakHyphen/>
        <w:t>6,5 un osmolalitāti 200</w:t>
      </w:r>
      <w:r>
        <w:rPr>
          <w:szCs w:val="22"/>
          <w:lang w:val="lv-LV"/>
        </w:rPr>
        <w:noBreakHyphen/>
        <w:t>372 mOsm/kg</w:t>
      </w:r>
      <w:bookmarkEnd w:id="404"/>
      <w:r>
        <w:rPr>
          <w:szCs w:val="22"/>
          <w:lang w:val="lv-LV"/>
        </w:rPr>
        <w:t xml:space="preserve">. </w:t>
      </w:r>
    </w:p>
    <w:p w14:paraId="7892F04F" w14:textId="77777777" w:rsidR="00A453C3" w:rsidRDefault="00A453C3" w:rsidP="00A453C3">
      <w:pPr>
        <w:rPr>
          <w:szCs w:val="22"/>
          <w:lang w:val="lv-LV"/>
        </w:rPr>
      </w:pPr>
    </w:p>
    <w:p w14:paraId="381A0075" w14:textId="77777777" w:rsidR="00A453C3" w:rsidRDefault="00A453C3" w:rsidP="00A453C3">
      <w:pPr>
        <w:rPr>
          <w:szCs w:val="22"/>
          <w:lang w:val="lv-LV"/>
        </w:rPr>
      </w:pPr>
    </w:p>
    <w:p w14:paraId="589068C9" w14:textId="77777777" w:rsidR="00A453C3" w:rsidRDefault="00A453C3" w:rsidP="00A453C3">
      <w:pPr>
        <w:ind w:left="567" w:hanging="567"/>
        <w:rPr>
          <w:szCs w:val="22"/>
          <w:lang w:val="lv-LV"/>
        </w:rPr>
      </w:pPr>
      <w:r>
        <w:rPr>
          <w:b/>
          <w:caps/>
          <w:szCs w:val="22"/>
          <w:lang w:val="lv-LV"/>
        </w:rPr>
        <w:t>4.</w:t>
      </w:r>
      <w:r>
        <w:rPr>
          <w:b/>
          <w:caps/>
          <w:szCs w:val="22"/>
          <w:lang w:val="lv-LV"/>
        </w:rPr>
        <w:tab/>
        <w:t>KLĪNISKĀ INFORMĀCIJA</w:t>
      </w:r>
    </w:p>
    <w:p w14:paraId="3710D085" w14:textId="77777777" w:rsidR="00A453C3" w:rsidRDefault="00A453C3" w:rsidP="00A453C3">
      <w:pPr>
        <w:rPr>
          <w:szCs w:val="22"/>
          <w:lang w:val="lv-LV"/>
        </w:rPr>
      </w:pPr>
    </w:p>
    <w:p w14:paraId="1B1C4E91" w14:textId="77777777" w:rsidR="00A453C3" w:rsidRDefault="00A453C3" w:rsidP="00A453C3">
      <w:pPr>
        <w:rPr>
          <w:rFonts w:eastAsia="PMingLiU"/>
          <w:szCs w:val="22"/>
          <w:lang w:val="lv-LV"/>
        </w:rPr>
      </w:pPr>
      <w:r>
        <w:rPr>
          <w:b/>
          <w:szCs w:val="22"/>
          <w:lang w:val="lv-LV"/>
        </w:rPr>
        <w:t>4.1.</w:t>
      </w:r>
      <w:r>
        <w:rPr>
          <w:b/>
          <w:szCs w:val="22"/>
          <w:lang w:val="lv-LV"/>
        </w:rPr>
        <w:tab/>
        <w:t>Terapeitiskās indikācijas</w:t>
      </w:r>
    </w:p>
    <w:p w14:paraId="27FED8C2" w14:textId="77777777" w:rsidR="00A453C3" w:rsidRDefault="00A453C3" w:rsidP="00A453C3">
      <w:pPr>
        <w:autoSpaceDE w:val="0"/>
        <w:rPr>
          <w:rFonts w:eastAsia="PMingLiU"/>
          <w:szCs w:val="22"/>
          <w:lang w:val="lv-LV"/>
        </w:rPr>
      </w:pPr>
      <w:bookmarkStart w:id="405" w:name="_Hlk174537075"/>
    </w:p>
    <w:p w14:paraId="76CE5A46" w14:textId="77777777" w:rsidR="00A453C3" w:rsidRDefault="00A453C3" w:rsidP="00A453C3">
      <w:pPr>
        <w:autoSpaceDE w:val="0"/>
        <w:rPr>
          <w:rFonts w:eastAsia="PMingLiU"/>
          <w:szCs w:val="22"/>
          <w:lang w:val="lv-LV"/>
        </w:rPr>
      </w:pPr>
      <w:r>
        <w:rPr>
          <w:rFonts w:eastAsia="PMingLiU"/>
          <w:szCs w:val="22"/>
          <w:u w:val="single"/>
          <w:lang w:val="lv-LV"/>
        </w:rPr>
        <w:t>Reimatoīdais artrīts (RA)</w:t>
      </w:r>
    </w:p>
    <w:bookmarkEnd w:id="405"/>
    <w:p w14:paraId="656A1A6D" w14:textId="48213348" w:rsidR="00A453C3" w:rsidRDefault="00A453C3" w:rsidP="00A453C3">
      <w:pPr>
        <w:autoSpaceDE w:val="0"/>
        <w:rPr>
          <w:rFonts w:eastAsia="PMingLiU"/>
          <w:szCs w:val="22"/>
          <w:lang w:val="lv-LV"/>
        </w:rPr>
      </w:pPr>
      <w:r>
        <w:rPr>
          <w:rFonts w:eastAsia="PMingLiU"/>
          <w:szCs w:val="22"/>
          <w:lang w:val="lv-LV"/>
        </w:rPr>
        <w:t xml:space="preserve">RoActemra kombinācijā ar metotreksātu (MTX) </w:t>
      </w:r>
      <w:del w:id="406" w:author="Regulatory LV" w:date="2026-03-17T11:08:00Z">
        <w:r w:rsidDel="00514E28">
          <w:rPr>
            <w:rFonts w:eastAsia="PMingLiU"/>
            <w:szCs w:val="22"/>
            <w:lang w:val="lv-LV"/>
          </w:rPr>
          <w:delText xml:space="preserve">indicēts </w:delText>
        </w:r>
      </w:del>
      <w:ins w:id="407" w:author="Regulatory LV" w:date="2026-03-17T11:08:00Z">
        <w:r w:rsidR="00514E28">
          <w:rPr>
            <w:rFonts w:eastAsia="PMingLiU"/>
            <w:szCs w:val="22"/>
            <w:lang w:val="lv-LV"/>
          </w:rPr>
          <w:t>ir paredzēts</w:t>
        </w:r>
      </w:ins>
    </w:p>
    <w:p w14:paraId="3284B020" w14:textId="77777777" w:rsidR="00A453C3" w:rsidRDefault="00A453C3" w:rsidP="00A453C3">
      <w:pPr>
        <w:autoSpaceDE w:val="0"/>
        <w:rPr>
          <w:rFonts w:eastAsia="PMingLiU"/>
          <w:szCs w:val="22"/>
          <w:lang w:val="lv-LV"/>
        </w:rPr>
      </w:pPr>
    </w:p>
    <w:p w14:paraId="27657E03" w14:textId="517C5E5D" w:rsidR="00A453C3" w:rsidRPr="000F1CFA" w:rsidRDefault="006334B7" w:rsidP="00707120">
      <w:pPr>
        <w:pStyle w:val="ListParagraph"/>
        <w:autoSpaceDE w:val="0"/>
        <w:ind w:left="567" w:hanging="567"/>
        <w:rPr>
          <w:rFonts w:eastAsia="PMingLiU"/>
          <w:szCs w:val="22"/>
          <w:lang w:val="lv-LV"/>
        </w:rPr>
      </w:pPr>
      <w:r>
        <w:rPr>
          <w:lang w:val="nb-NO"/>
        </w:rPr>
        <w:sym w:font="Symbol" w:char="F0B7"/>
      </w:r>
      <w:r>
        <w:rPr>
          <w:lang w:val="nb-NO"/>
        </w:rPr>
        <w:tab/>
      </w:r>
      <w:r w:rsidR="00A453C3" w:rsidRPr="000F1CFA">
        <w:rPr>
          <w:rFonts w:eastAsia="PMingLiU"/>
          <w:szCs w:val="22"/>
          <w:lang w:val="lv-LV"/>
        </w:rPr>
        <w:t xml:space="preserve">smaga, aktīva un progresējoša RA ārstēšanai pieaugušajiem pacientiem, kuri iepriekš nav ārstēti ar MTX; </w:t>
      </w:r>
    </w:p>
    <w:p w14:paraId="7BA01061" w14:textId="5C3329B9" w:rsidR="00A453C3" w:rsidRPr="000F1CFA" w:rsidRDefault="006334B7" w:rsidP="00707120">
      <w:pPr>
        <w:pStyle w:val="ListParagraph"/>
        <w:autoSpaceDE w:val="0"/>
        <w:ind w:left="567" w:hanging="567"/>
        <w:rPr>
          <w:rFonts w:eastAsia="PMingLiU"/>
          <w:szCs w:val="22"/>
          <w:lang w:val="lv-LV"/>
        </w:rPr>
      </w:pPr>
      <w:r>
        <w:rPr>
          <w:lang w:val="nb-NO"/>
        </w:rPr>
        <w:sym w:font="Symbol" w:char="F0B7"/>
      </w:r>
      <w:r>
        <w:rPr>
          <w:lang w:val="nb-NO"/>
        </w:rPr>
        <w:tab/>
      </w:r>
      <w:r w:rsidR="00A453C3" w:rsidRPr="000F1CFA">
        <w:rPr>
          <w:rFonts w:eastAsia="PMingLiU"/>
          <w:szCs w:val="22"/>
          <w:lang w:val="lv-LV"/>
        </w:rPr>
        <w:t>vidēji smaga vai smaga aktīva RA ārstēšanai pieaugušajiem pacientiem, kuriem vai nu nav bijusi adekvāta reakcija uz iepriekšējo terapiju ar vienu vai vairākiem slimības gaitu modificējošajiem pretreimatisma līdzekļiem (DMARD -</w:t>
      </w:r>
      <w:r w:rsidR="00A453C3" w:rsidRPr="000F1CFA">
        <w:rPr>
          <w:lang w:val="lv-LV"/>
        </w:rPr>
        <w:t xml:space="preserve"> </w:t>
      </w:r>
      <w:r w:rsidR="00A453C3" w:rsidRPr="000F1CFA">
        <w:rPr>
          <w:i/>
          <w:iCs/>
          <w:lang w:val="lv-LV"/>
        </w:rPr>
        <w:t>disease-modifying anti-rheumatic drugs</w:t>
      </w:r>
      <w:r w:rsidR="00A453C3" w:rsidRPr="000F1CFA">
        <w:rPr>
          <w:rFonts w:eastAsia="PMingLiU"/>
          <w:szCs w:val="22"/>
          <w:lang w:val="lv-LV"/>
        </w:rPr>
        <w:t xml:space="preserve">) vai audzēja nekrozes faktora (TNF – </w:t>
      </w:r>
      <w:r w:rsidR="00A453C3" w:rsidRPr="000F1CFA">
        <w:rPr>
          <w:rFonts w:eastAsia="PMingLiU"/>
          <w:i/>
          <w:iCs/>
          <w:szCs w:val="22"/>
          <w:lang w:val="lv-LV"/>
        </w:rPr>
        <w:t>tumour necrosis factor</w:t>
      </w:r>
      <w:r w:rsidR="00A453C3" w:rsidRPr="000F1CFA">
        <w:rPr>
          <w:rFonts w:eastAsia="PMingLiU"/>
          <w:szCs w:val="22"/>
          <w:lang w:val="lv-LV"/>
        </w:rPr>
        <w:t xml:space="preserve">) antagonistiem, vai bija šo terapiju nepanesamība. </w:t>
      </w:r>
    </w:p>
    <w:p w14:paraId="46A14A88" w14:textId="77777777" w:rsidR="00A453C3" w:rsidRDefault="00A453C3" w:rsidP="00A453C3">
      <w:pPr>
        <w:autoSpaceDE w:val="0"/>
        <w:rPr>
          <w:rFonts w:ascii="Symbol" w:hAnsi="Symbol" w:cs="Symbol"/>
          <w:lang w:val="lv-LV"/>
        </w:rPr>
      </w:pPr>
    </w:p>
    <w:p w14:paraId="34B50F76" w14:textId="77777777" w:rsidR="00A453C3" w:rsidRDefault="00A453C3" w:rsidP="00A453C3">
      <w:pPr>
        <w:autoSpaceDE w:val="0"/>
        <w:rPr>
          <w:rFonts w:eastAsia="PMingLiU"/>
          <w:szCs w:val="22"/>
          <w:lang w:val="lv-LV"/>
        </w:rPr>
      </w:pPr>
      <w:r>
        <w:rPr>
          <w:rFonts w:eastAsia="PMingLiU"/>
          <w:szCs w:val="22"/>
          <w:lang w:val="lv-LV"/>
        </w:rPr>
        <w:t xml:space="preserve">Šiem pacientiem RoActemra var ievadīt monoterapijas veidā gadījumos, kad viņiem ir MTX nepanesamība vai turpmākā terapija ar MTX ir nepiemērota. </w:t>
      </w:r>
    </w:p>
    <w:p w14:paraId="211EE35B" w14:textId="77777777" w:rsidR="00A453C3" w:rsidRDefault="00A453C3" w:rsidP="00A453C3">
      <w:pPr>
        <w:autoSpaceDE w:val="0"/>
        <w:rPr>
          <w:szCs w:val="22"/>
          <w:lang w:val="lv-LV"/>
        </w:rPr>
      </w:pPr>
    </w:p>
    <w:p w14:paraId="3904EA75" w14:textId="77777777" w:rsidR="00A453C3" w:rsidRDefault="00A453C3" w:rsidP="00A453C3">
      <w:pPr>
        <w:autoSpaceDE w:val="0"/>
        <w:rPr>
          <w:szCs w:val="22"/>
          <w:lang w:val="lv-LV"/>
        </w:rPr>
      </w:pPr>
      <w:r>
        <w:rPr>
          <w:szCs w:val="22"/>
          <w:lang w:val="lv-LV"/>
        </w:rPr>
        <w:t>Ir pierādīts, ka RoActemra, lietojot kombinācijā ar metotreksātu, mazina locītavu bojājuma progresēšanas ātrumu (rentgenoloģiski) un uzlabo fiziskās funkcijas.</w:t>
      </w:r>
    </w:p>
    <w:p w14:paraId="0CA36086" w14:textId="77777777" w:rsidR="00A453C3" w:rsidRDefault="00A453C3" w:rsidP="00A453C3">
      <w:pPr>
        <w:rPr>
          <w:rFonts w:eastAsia="PMingLiU"/>
          <w:szCs w:val="22"/>
          <w:lang w:val="lv-LV"/>
        </w:rPr>
      </w:pPr>
      <w:bookmarkStart w:id="408" w:name="_Hlk174537174"/>
    </w:p>
    <w:p w14:paraId="72BABC3C" w14:textId="77777777" w:rsidR="00A453C3" w:rsidRDefault="00A453C3">
      <w:pPr>
        <w:keepNext/>
        <w:rPr>
          <w:szCs w:val="22"/>
          <w:lang w:val="lv-LV"/>
        </w:rPr>
        <w:pPrChange w:id="409" w:author="Author">
          <w:pPr/>
        </w:pPrChange>
      </w:pPr>
      <w:r>
        <w:rPr>
          <w:szCs w:val="22"/>
          <w:u w:val="single"/>
          <w:lang w:val="lv-LV"/>
        </w:rPr>
        <w:t>Sistēmisks juvenils idiopātisks artrīts (sJIA)</w:t>
      </w:r>
      <w:bookmarkEnd w:id="408"/>
    </w:p>
    <w:p w14:paraId="00D4358C" w14:textId="282CCD0A" w:rsidR="00A453C3" w:rsidRPr="000100C4" w:rsidRDefault="00A453C3" w:rsidP="00A453C3">
      <w:pPr>
        <w:rPr>
          <w:lang w:val="lv-LV"/>
        </w:rPr>
      </w:pPr>
      <w:r w:rsidRPr="000100C4">
        <w:rPr>
          <w:lang w:val="lv-LV"/>
        </w:rPr>
        <w:t xml:space="preserve">RoActemra </w:t>
      </w:r>
      <w:del w:id="410" w:author="Regulatory LV" w:date="2026-03-17T11:08:00Z">
        <w:r w:rsidRPr="000100C4" w:rsidDel="00514E28">
          <w:rPr>
            <w:lang w:val="lv-LV"/>
          </w:rPr>
          <w:delText xml:space="preserve">indicēts </w:delText>
        </w:r>
      </w:del>
      <w:ins w:id="411" w:author="Regulatory LV" w:date="2026-03-17T11:08:00Z">
        <w:r w:rsidR="00514E28">
          <w:rPr>
            <w:lang w:val="lv-LV"/>
          </w:rPr>
          <w:t>ir paredzēts</w:t>
        </w:r>
        <w:r w:rsidR="00514E28" w:rsidRPr="000100C4">
          <w:rPr>
            <w:lang w:val="lv-LV"/>
          </w:rPr>
          <w:t xml:space="preserve"> </w:t>
        </w:r>
      </w:ins>
      <w:r w:rsidRPr="000100C4">
        <w:rPr>
          <w:lang w:val="lv-LV"/>
        </w:rPr>
        <w:t>aktīva sJIA ārstēšanai pacientiem no 1</w:t>
      </w:r>
      <w:r>
        <w:rPr>
          <w:lang w:val="lv-LV"/>
        </w:rPr>
        <w:t> </w:t>
      </w:r>
      <w:r w:rsidRPr="000100C4">
        <w:rPr>
          <w:lang w:val="lv-LV"/>
        </w:rPr>
        <w:t xml:space="preserve">gada vecuma, kuriem bijusi </w:t>
      </w:r>
      <w:r>
        <w:rPr>
          <w:lang w:val="lv-LV"/>
        </w:rPr>
        <w:t>nepietiekama</w:t>
      </w:r>
      <w:r w:rsidRPr="000100C4">
        <w:rPr>
          <w:lang w:val="lv-LV"/>
        </w:rPr>
        <w:t xml:space="preserve"> atbildes reakcija uz iepriekš</w:t>
      </w:r>
      <w:r>
        <w:rPr>
          <w:lang w:val="lv-LV"/>
        </w:rPr>
        <w:t>ēju ārstēšanu</w:t>
      </w:r>
      <w:r w:rsidRPr="000100C4">
        <w:rPr>
          <w:lang w:val="lv-LV"/>
        </w:rPr>
        <w:t xml:space="preserve"> ar </w:t>
      </w:r>
      <w:r>
        <w:rPr>
          <w:lang w:val="lv-LV"/>
        </w:rPr>
        <w:t>nesteroīdiem pretiekaisuma līdzekļiem (</w:t>
      </w:r>
      <w:r w:rsidRPr="000100C4">
        <w:rPr>
          <w:lang w:val="lv-LV"/>
        </w:rPr>
        <w:t>N</w:t>
      </w:r>
      <w:r>
        <w:rPr>
          <w:lang w:val="lv-LV"/>
        </w:rPr>
        <w:t>S</w:t>
      </w:r>
      <w:r w:rsidRPr="000100C4">
        <w:rPr>
          <w:lang w:val="lv-LV"/>
        </w:rPr>
        <w:t>PL</w:t>
      </w:r>
      <w:r>
        <w:rPr>
          <w:lang w:val="lv-LV"/>
        </w:rPr>
        <w:t>)</w:t>
      </w:r>
      <w:r w:rsidRPr="000100C4">
        <w:rPr>
          <w:lang w:val="lv-LV"/>
        </w:rPr>
        <w:t xml:space="preserve"> un sistēmiskiem kortikosteroīdiem. RoActemra var lietot </w:t>
      </w:r>
      <w:r>
        <w:rPr>
          <w:lang w:val="lv-LV"/>
        </w:rPr>
        <w:t>monoterapijas veidā</w:t>
      </w:r>
      <w:r w:rsidRPr="000100C4">
        <w:rPr>
          <w:lang w:val="lv-LV"/>
        </w:rPr>
        <w:t xml:space="preserve"> (ja ir MTX nepanesība vai ārstēšana ar MTX nav piemērota) vai kombinācijā ar MTX. </w:t>
      </w:r>
    </w:p>
    <w:p w14:paraId="6816F720" w14:textId="77777777" w:rsidR="00A453C3" w:rsidRDefault="00A453C3" w:rsidP="00A453C3">
      <w:pPr>
        <w:rPr>
          <w:szCs w:val="22"/>
          <w:lang w:val="lv-LV"/>
        </w:rPr>
      </w:pPr>
      <w:bookmarkStart w:id="412" w:name="_Hlk174537243"/>
    </w:p>
    <w:p w14:paraId="54137A77" w14:textId="77777777" w:rsidR="00A453C3" w:rsidRDefault="00A453C3" w:rsidP="00707120">
      <w:pPr>
        <w:keepNext/>
        <w:rPr>
          <w:szCs w:val="22"/>
          <w:lang w:val="lv-LV"/>
        </w:rPr>
      </w:pPr>
      <w:r>
        <w:rPr>
          <w:rFonts w:eastAsia="PMingLiU"/>
          <w:szCs w:val="22"/>
          <w:u w:val="single"/>
          <w:lang w:val="lv-LV"/>
        </w:rPr>
        <w:t>Juvenils idiopātisks poliartrīts (pJIA)</w:t>
      </w:r>
      <w:bookmarkEnd w:id="412"/>
    </w:p>
    <w:p w14:paraId="1486158F" w14:textId="31B03E69" w:rsidR="00A453C3" w:rsidRDefault="00A453C3" w:rsidP="00A453C3">
      <w:pPr>
        <w:rPr>
          <w:szCs w:val="22"/>
          <w:lang w:val="lv-LV"/>
        </w:rPr>
      </w:pPr>
      <w:r w:rsidRPr="00700C92">
        <w:rPr>
          <w:rFonts w:eastAsia="PMingLiU"/>
          <w:bCs/>
          <w:iCs/>
          <w:color w:val="000000"/>
          <w:szCs w:val="22"/>
          <w:lang w:val="lv-LV"/>
        </w:rPr>
        <w:t xml:space="preserve">RoActemra kombinācijā ar MTX </w:t>
      </w:r>
      <w:del w:id="413" w:author="Regulatory LV" w:date="2026-03-17T11:08:00Z">
        <w:r w:rsidRPr="00700C92" w:rsidDel="00514E28">
          <w:rPr>
            <w:rFonts w:eastAsia="PMingLiU"/>
            <w:bCs/>
            <w:iCs/>
            <w:color w:val="000000"/>
            <w:szCs w:val="22"/>
            <w:lang w:val="lv-LV"/>
          </w:rPr>
          <w:delText xml:space="preserve">indicēts </w:delText>
        </w:r>
      </w:del>
      <w:ins w:id="414" w:author="Regulatory LV" w:date="2026-03-17T11:08:00Z">
        <w:r w:rsidR="00514E28">
          <w:rPr>
            <w:rFonts w:eastAsia="PMingLiU"/>
            <w:bCs/>
            <w:iCs/>
            <w:color w:val="000000"/>
            <w:szCs w:val="22"/>
            <w:lang w:val="lv-LV"/>
          </w:rPr>
          <w:t>ir paredzēts</w:t>
        </w:r>
        <w:r w:rsidR="00514E28" w:rsidRPr="00700C92">
          <w:rPr>
            <w:rFonts w:eastAsia="PMingLiU"/>
            <w:bCs/>
            <w:iCs/>
            <w:color w:val="000000"/>
            <w:szCs w:val="22"/>
            <w:lang w:val="lv-LV"/>
          </w:rPr>
          <w:t xml:space="preserve"> </w:t>
        </w:r>
      </w:ins>
      <w:r w:rsidRPr="00700C92">
        <w:rPr>
          <w:rFonts w:eastAsia="PMingLiU"/>
          <w:bCs/>
          <w:iCs/>
          <w:color w:val="000000"/>
          <w:szCs w:val="22"/>
          <w:lang w:val="lv-LV"/>
        </w:rPr>
        <w:t xml:space="preserve">pJIA </w:t>
      </w:r>
      <w:r>
        <w:rPr>
          <w:rFonts w:eastAsia="PMingLiU"/>
          <w:bCs/>
          <w:iCs/>
          <w:color w:val="000000"/>
          <w:szCs w:val="22"/>
          <w:lang w:val="lv-LV"/>
        </w:rPr>
        <w:t xml:space="preserve">(negatīva vai pozitīva reimatoīdā faktora atrade un paplašināts </w:t>
      </w:r>
      <w:r w:rsidRPr="00700C92">
        <w:rPr>
          <w:rFonts w:eastAsia="PMingLiU"/>
          <w:bCs/>
          <w:iCs/>
          <w:color w:val="000000"/>
          <w:szCs w:val="22"/>
          <w:lang w:val="lv-LV"/>
        </w:rPr>
        <w:t>oligoart</w:t>
      </w:r>
      <w:r>
        <w:rPr>
          <w:rFonts w:eastAsia="PMingLiU"/>
          <w:bCs/>
          <w:iCs/>
          <w:color w:val="000000"/>
          <w:szCs w:val="22"/>
          <w:lang w:val="lv-LV"/>
        </w:rPr>
        <w:t>rīts</w:t>
      </w:r>
      <w:r w:rsidRPr="00700C92">
        <w:rPr>
          <w:rFonts w:eastAsia="PMingLiU"/>
          <w:bCs/>
          <w:iCs/>
          <w:color w:val="000000"/>
          <w:szCs w:val="22"/>
          <w:lang w:val="lv-LV"/>
        </w:rPr>
        <w:t>) ārstēšanai pacientiem no 2 gadu vecuma, kuriem nav bijusi atbilstoša atbildes reakcija uz iepriekš veiktu terapiju ar MTX.</w:t>
      </w:r>
      <w:r>
        <w:rPr>
          <w:rFonts w:eastAsia="PMingLiU"/>
          <w:bCs/>
          <w:iCs/>
          <w:color w:val="000000"/>
          <w:szCs w:val="22"/>
          <w:lang w:val="lv-LV"/>
        </w:rPr>
        <w:t xml:space="preserve"> RoActemra </w:t>
      </w:r>
      <w:r>
        <w:rPr>
          <w:rFonts w:eastAsia="PMingLiU"/>
          <w:szCs w:val="22"/>
          <w:lang w:val="lv-LV"/>
        </w:rPr>
        <w:t>var ievadīt monoterapijas veidā gadījumos, kad konstatēta MTX nepanesība vai turpmāka terapija ar MTX ir nepiemērota</w:t>
      </w:r>
      <w:r>
        <w:rPr>
          <w:szCs w:val="22"/>
          <w:lang w:val="lv-LV"/>
        </w:rPr>
        <w:t>.</w:t>
      </w:r>
    </w:p>
    <w:p w14:paraId="76F5CCE9" w14:textId="77777777" w:rsidR="00A453C3" w:rsidRDefault="00A453C3" w:rsidP="00A453C3">
      <w:pPr>
        <w:rPr>
          <w:szCs w:val="22"/>
          <w:lang w:val="lv-LV"/>
        </w:rPr>
      </w:pPr>
      <w:bookmarkStart w:id="415" w:name="_Hlk174537300"/>
    </w:p>
    <w:p w14:paraId="4EC30F2A" w14:textId="3CBD9690" w:rsidR="00A453C3" w:rsidRPr="00707120" w:rsidRDefault="00A453C3">
      <w:pPr>
        <w:keepNext/>
        <w:rPr>
          <w:szCs w:val="22"/>
          <w:u w:val="single"/>
          <w:lang w:val="lv-LV"/>
        </w:rPr>
        <w:pPrChange w:id="416" w:author="Author">
          <w:pPr/>
        </w:pPrChange>
      </w:pPr>
      <w:r>
        <w:rPr>
          <w:szCs w:val="22"/>
          <w:u w:val="single"/>
          <w:lang w:val="lv-LV"/>
        </w:rPr>
        <w:t>Milzšūnu arterīts (</w:t>
      </w:r>
      <w:r w:rsidR="004F15A7" w:rsidRPr="008D5D8C">
        <w:rPr>
          <w:i/>
          <w:iCs/>
          <w:szCs w:val="22"/>
          <w:u w:val="single"/>
          <w:lang w:val="lv-LV"/>
        </w:rPr>
        <w:t>giant cell arteritis</w:t>
      </w:r>
      <w:r w:rsidR="004F15A7">
        <w:rPr>
          <w:szCs w:val="22"/>
          <w:u w:val="single"/>
          <w:lang w:val="lv-LV"/>
        </w:rPr>
        <w:t xml:space="preserve">, </w:t>
      </w:r>
      <w:r>
        <w:rPr>
          <w:szCs w:val="22"/>
          <w:u w:val="single"/>
          <w:lang w:val="lv-LV"/>
        </w:rPr>
        <w:t>GCA)</w:t>
      </w:r>
      <w:bookmarkEnd w:id="415"/>
    </w:p>
    <w:p w14:paraId="2C29964D" w14:textId="465AD379" w:rsidR="00A453C3" w:rsidRDefault="00A453C3" w:rsidP="00A453C3">
      <w:pPr>
        <w:rPr>
          <w:rFonts w:eastAsia="SimSun"/>
          <w:szCs w:val="22"/>
          <w:lang w:val="lv-LV" w:eastAsia="zh-CN" w:bidi="th-TH"/>
        </w:rPr>
      </w:pPr>
      <w:r w:rsidRPr="00F93534">
        <w:rPr>
          <w:rFonts w:eastAsia="SimSun"/>
          <w:szCs w:val="22"/>
          <w:lang w:val="lv-LV" w:eastAsia="zh-CN" w:bidi="th-TH"/>
        </w:rPr>
        <w:t xml:space="preserve">RoActemra </w:t>
      </w:r>
      <w:del w:id="417" w:author="Regulatory LV" w:date="2026-03-17T11:08:00Z">
        <w:r w:rsidRPr="00F93534" w:rsidDel="00514E28">
          <w:rPr>
            <w:rFonts w:eastAsia="SimSun"/>
            <w:szCs w:val="22"/>
            <w:lang w:val="lv-LV" w:eastAsia="zh-CN" w:bidi="th-TH"/>
          </w:rPr>
          <w:delText xml:space="preserve">indicēts </w:delText>
        </w:r>
      </w:del>
      <w:ins w:id="418" w:author="Regulatory LV" w:date="2026-03-17T11:08:00Z">
        <w:r w:rsidR="00514E28">
          <w:rPr>
            <w:rFonts w:eastAsia="SimSun"/>
            <w:szCs w:val="22"/>
            <w:lang w:val="lv-LV" w:eastAsia="zh-CN" w:bidi="th-TH"/>
          </w:rPr>
          <w:t>ir paredzēts</w:t>
        </w:r>
        <w:r w:rsidR="00514E28" w:rsidRPr="00F93534">
          <w:rPr>
            <w:rFonts w:eastAsia="SimSun"/>
            <w:szCs w:val="22"/>
            <w:lang w:val="lv-LV" w:eastAsia="zh-CN" w:bidi="th-TH"/>
          </w:rPr>
          <w:t xml:space="preserve"> </w:t>
        </w:r>
      </w:ins>
      <w:r w:rsidRPr="00F93534">
        <w:rPr>
          <w:rFonts w:eastAsia="SimSun"/>
          <w:szCs w:val="22"/>
          <w:lang w:val="lv-LV" w:eastAsia="zh-CN" w:bidi="th-TH"/>
        </w:rPr>
        <w:t>GCA ārstēšanai pieaugušiem pacientiem.</w:t>
      </w:r>
    </w:p>
    <w:p w14:paraId="5277CBDB" w14:textId="77777777" w:rsidR="00A453C3" w:rsidRDefault="00A453C3" w:rsidP="00A453C3">
      <w:pPr>
        <w:rPr>
          <w:rFonts w:eastAsia="PMingLiU"/>
          <w:szCs w:val="22"/>
          <w:lang w:val="lv-LV"/>
        </w:rPr>
      </w:pPr>
    </w:p>
    <w:p w14:paraId="58D48020" w14:textId="77777777" w:rsidR="00A453C3" w:rsidRDefault="00A453C3">
      <w:pPr>
        <w:keepNext/>
        <w:rPr>
          <w:szCs w:val="22"/>
          <w:lang w:val="lv-LV"/>
        </w:rPr>
        <w:pPrChange w:id="419" w:author="Author">
          <w:pPr/>
        </w:pPrChange>
      </w:pPr>
      <w:r>
        <w:rPr>
          <w:b/>
          <w:szCs w:val="22"/>
          <w:lang w:val="lv-LV"/>
        </w:rPr>
        <w:t>4.2.</w:t>
      </w:r>
      <w:r>
        <w:rPr>
          <w:b/>
          <w:szCs w:val="22"/>
          <w:lang w:val="lv-LV"/>
        </w:rPr>
        <w:tab/>
        <w:t>Devas un lietošanas veids</w:t>
      </w:r>
    </w:p>
    <w:p w14:paraId="6B443738" w14:textId="77777777" w:rsidR="00A453C3" w:rsidRDefault="00A453C3">
      <w:pPr>
        <w:keepNext/>
        <w:rPr>
          <w:szCs w:val="22"/>
          <w:lang w:val="lv-LV"/>
        </w:rPr>
        <w:pPrChange w:id="420" w:author="Author">
          <w:pPr/>
        </w:pPrChange>
      </w:pPr>
    </w:p>
    <w:p w14:paraId="33075941" w14:textId="0AE4328C" w:rsidR="00A453C3" w:rsidRPr="00700C92" w:rsidRDefault="00A453C3" w:rsidP="00A453C3">
      <w:pPr>
        <w:autoSpaceDE w:val="0"/>
        <w:autoSpaceDN w:val="0"/>
        <w:adjustRightInd w:val="0"/>
        <w:rPr>
          <w:lang w:val="lv-LV"/>
        </w:rPr>
      </w:pPr>
      <w:r>
        <w:rPr>
          <w:szCs w:val="22"/>
          <w:lang w:val="lv-LV"/>
        </w:rPr>
        <w:t>Tocilizumaba subkutāni lietojamo zāļu formu ievada, izmantojot vienreizējās lietošanas pilnšļirci</w:t>
      </w:r>
      <w:r w:rsidRPr="00CE5590">
        <w:rPr>
          <w:lang w:val="lv-LV"/>
        </w:rPr>
        <w:t xml:space="preserve"> </w:t>
      </w:r>
      <w:r w:rsidRPr="00CE5590">
        <w:rPr>
          <w:szCs w:val="22"/>
          <w:lang w:val="lv-LV"/>
        </w:rPr>
        <w:t>ar adatas aizsargmehānismu</w:t>
      </w:r>
      <w:r>
        <w:rPr>
          <w:szCs w:val="22"/>
          <w:lang w:val="lv-LV"/>
        </w:rPr>
        <w:t xml:space="preserve">. Terapija jāsāk veselības aprūpes speciālistiem, kuriem ir pieredze RA, sJIA, pJIA </w:t>
      </w:r>
      <w:r w:rsidRPr="00D30C7D">
        <w:rPr>
          <w:szCs w:val="22"/>
          <w:lang w:val="lv-LV"/>
        </w:rPr>
        <w:t>un/vai GCA</w:t>
      </w:r>
      <w:r>
        <w:rPr>
          <w:szCs w:val="22"/>
          <w:lang w:val="lv-LV"/>
        </w:rPr>
        <w:t xml:space="preserve"> diagnostikā un ārstēšanā. Pirmā injekcija jāveic kvalificēta veselības aprūpes speciālista uzraudzībā. Pacients vai vecāks/ aizbildnis šīs zāles </w:t>
      </w:r>
      <w:del w:id="421" w:author="Author">
        <w:r w:rsidDel="00BB1145">
          <w:rPr>
            <w:szCs w:val="22"/>
            <w:lang w:val="lv-LV"/>
          </w:rPr>
          <w:delText xml:space="preserve">patstāvīgi </w:delText>
        </w:r>
      </w:del>
      <w:r>
        <w:rPr>
          <w:szCs w:val="22"/>
          <w:lang w:val="lv-LV"/>
        </w:rPr>
        <w:t>var injicēt tikai tādā gadījumā, ja ārsts uzskata, ka tas ir atbilstoši, un ja pacients vai vecāks/ aizbildnis piekrīt pēc vajadzības veicamai medicīniskai apsekošanai un ir apguvis pareizu injekcijas tehniku</w:t>
      </w:r>
      <w:r w:rsidRPr="00700C92">
        <w:rPr>
          <w:lang w:val="lv-LV"/>
        </w:rPr>
        <w:t xml:space="preserve">. </w:t>
      </w:r>
    </w:p>
    <w:p w14:paraId="3BF7DA78" w14:textId="77777777" w:rsidR="00A453C3" w:rsidRPr="00700C92" w:rsidRDefault="00A453C3" w:rsidP="00A453C3">
      <w:pPr>
        <w:autoSpaceDE w:val="0"/>
        <w:autoSpaceDN w:val="0"/>
        <w:adjustRightInd w:val="0"/>
        <w:rPr>
          <w:lang w:val="lv-LV"/>
        </w:rPr>
      </w:pPr>
    </w:p>
    <w:p w14:paraId="2E850EDA" w14:textId="6749B0DD" w:rsidR="00A453C3" w:rsidRPr="00700C92" w:rsidRDefault="00A453C3" w:rsidP="00A453C3">
      <w:pPr>
        <w:rPr>
          <w:lang w:val="lv-LV"/>
        </w:rPr>
      </w:pPr>
      <w:r>
        <w:rPr>
          <w:lang w:val="lv-LV"/>
        </w:rPr>
        <w:t xml:space="preserve">Pacientiem, kuriem tiek veikta pāreja no </w:t>
      </w:r>
      <w:r w:rsidRPr="00700C92">
        <w:rPr>
          <w:lang w:val="lv-LV"/>
        </w:rPr>
        <w:t xml:space="preserve">tocilizumaba </w:t>
      </w:r>
      <w:r>
        <w:rPr>
          <w:lang w:val="lv-LV"/>
        </w:rPr>
        <w:t xml:space="preserve">intravenozas </w:t>
      </w:r>
      <w:r w:rsidRPr="00700C92">
        <w:rPr>
          <w:lang w:val="lv-LV"/>
        </w:rPr>
        <w:t xml:space="preserve">terapijas uz šo zāļu </w:t>
      </w:r>
      <w:r>
        <w:rPr>
          <w:lang w:val="lv-LV"/>
        </w:rPr>
        <w:t xml:space="preserve">subkutānu </w:t>
      </w:r>
      <w:r w:rsidRPr="00700C92">
        <w:rPr>
          <w:lang w:val="lv-LV"/>
        </w:rPr>
        <w:t xml:space="preserve">ievadīšanu, </w:t>
      </w:r>
      <w:r w:rsidRPr="004F15A7">
        <w:rPr>
          <w:lang w:val="lv-LV"/>
        </w:rPr>
        <w:t>pirmā subkutānā deva jāievada nākamās plānotās intravenozās devas ievadīšanas laikā, un tam jānotiek kvalificēta</w:t>
      </w:r>
      <w:r w:rsidRPr="00700C92">
        <w:rPr>
          <w:lang w:val="lv-LV"/>
        </w:rPr>
        <w:t xml:space="preserve"> veselī</w:t>
      </w:r>
      <w:r>
        <w:rPr>
          <w:lang w:val="lv-LV"/>
        </w:rPr>
        <w:t>b</w:t>
      </w:r>
      <w:r w:rsidRPr="00700C92">
        <w:rPr>
          <w:lang w:val="lv-LV"/>
        </w:rPr>
        <w:t>as aprūpes speciālista stingrā uzraudzībā.</w:t>
      </w:r>
    </w:p>
    <w:p w14:paraId="41979231" w14:textId="77777777" w:rsidR="00A453C3" w:rsidRPr="00700C92" w:rsidRDefault="00A453C3" w:rsidP="00A453C3">
      <w:pPr>
        <w:rPr>
          <w:lang w:val="lv-LV"/>
        </w:rPr>
      </w:pPr>
    </w:p>
    <w:p w14:paraId="6ED04933" w14:textId="095BF0ED" w:rsidR="00A453C3" w:rsidRDefault="00A453C3" w:rsidP="00A453C3">
      <w:pPr>
        <w:rPr>
          <w:szCs w:val="22"/>
          <w:lang w:val="lv-LV"/>
        </w:rPr>
      </w:pPr>
      <w:r>
        <w:rPr>
          <w:szCs w:val="22"/>
          <w:lang w:val="lv-LV"/>
        </w:rPr>
        <w:t>Visiem pacientiem, kurus ārstē ar RoActemra, ir jāizsniedz pacienta kartīte.</w:t>
      </w:r>
    </w:p>
    <w:p w14:paraId="47951CD8" w14:textId="273661E1" w:rsidR="00A453C3" w:rsidRDefault="00A453C3" w:rsidP="00A453C3">
      <w:pPr>
        <w:rPr>
          <w:szCs w:val="22"/>
          <w:lang w:val="lv-LV"/>
        </w:rPr>
      </w:pPr>
    </w:p>
    <w:p w14:paraId="3E8052ED" w14:textId="67472217" w:rsidR="00A453C3" w:rsidRDefault="00A453C3" w:rsidP="00A453C3">
      <w:pPr>
        <w:rPr>
          <w:szCs w:val="22"/>
          <w:lang w:val="lv-LV"/>
        </w:rPr>
      </w:pPr>
      <w:r>
        <w:rPr>
          <w:szCs w:val="22"/>
          <w:lang w:val="lv-LV"/>
        </w:rPr>
        <w:t>Speciālistam ir jāpārbauda pacienta vai</w:t>
      </w:r>
      <w:ins w:id="422" w:author="Author">
        <w:r w:rsidR="000F3A80">
          <w:rPr>
            <w:szCs w:val="22"/>
            <w:lang w:val="lv-LV"/>
          </w:rPr>
          <w:t xml:space="preserve"> viņa</w:t>
        </w:r>
      </w:ins>
      <w:r>
        <w:rPr>
          <w:szCs w:val="22"/>
          <w:lang w:val="lv-LV"/>
        </w:rPr>
        <w:t xml:space="preserve"> vecāka/aizbildņa piemērotība subkutānai šo zāļu lietošanai mājās, un pacientiem vai </w:t>
      </w:r>
      <w:ins w:id="423" w:author="Author">
        <w:r w:rsidR="000F3A80">
          <w:rPr>
            <w:szCs w:val="22"/>
            <w:lang w:val="lv-LV"/>
          </w:rPr>
          <w:t xml:space="preserve">viņu </w:t>
        </w:r>
      </w:ins>
      <w:r>
        <w:rPr>
          <w:szCs w:val="22"/>
          <w:lang w:val="lv-LV"/>
        </w:rPr>
        <w:t xml:space="preserve">vecākiem/ aizbildņiem jānorāda, ka pirms nākamās devas ievadīšanas jāinformē veselības aprūpes speciālists, ja parādās alerģiskas reakcijas simptomi. Ja pacientiem rodas nopietnu alerģisku reakciju simptomi, pacientiem nekavējoties jāmeklē medicīniskā palīdzība (skatīt 4.4. apakšpunktu). </w:t>
      </w:r>
    </w:p>
    <w:p w14:paraId="5BFA1A60" w14:textId="77777777" w:rsidR="00A453C3" w:rsidRDefault="00A453C3" w:rsidP="00A453C3">
      <w:pPr>
        <w:rPr>
          <w:szCs w:val="22"/>
          <w:lang w:val="lv-LV"/>
        </w:rPr>
      </w:pPr>
    </w:p>
    <w:p w14:paraId="41013A1A" w14:textId="26216001" w:rsidR="00A453C3" w:rsidRDefault="00A453C3" w:rsidP="00A453C3">
      <w:pPr>
        <w:keepNext/>
        <w:keepLines/>
        <w:rPr>
          <w:szCs w:val="22"/>
          <w:lang w:val="lv-LV"/>
        </w:rPr>
      </w:pPr>
      <w:r>
        <w:rPr>
          <w:szCs w:val="22"/>
          <w:u w:val="single"/>
          <w:lang w:val="lv-LV"/>
        </w:rPr>
        <w:t>Devas</w:t>
      </w:r>
    </w:p>
    <w:p w14:paraId="671ECE96" w14:textId="0B2DE5F2" w:rsidR="00A453C3" w:rsidRPr="00DD58C9" w:rsidRDefault="00016D5A" w:rsidP="00A453C3">
      <w:pPr>
        <w:keepNext/>
        <w:autoSpaceDE w:val="0"/>
        <w:autoSpaceDN w:val="0"/>
        <w:adjustRightInd w:val="0"/>
        <w:rPr>
          <w:i/>
          <w:iCs/>
          <w:szCs w:val="22"/>
          <w:lang w:val="lv-LV"/>
          <w:rPrChange w:id="424" w:author="Author">
            <w:rPr>
              <w:szCs w:val="22"/>
              <w:lang w:val="lv-LV"/>
            </w:rPr>
          </w:rPrChange>
        </w:rPr>
      </w:pPr>
      <w:ins w:id="425" w:author="Author">
        <w:r>
          <w:rPr>
            <w:i/>
            <w:iCs/>
            <w:szCs w:val="22"/>
            <w:lang w:val="lv-LV"/>
          </w:rPr>
          <w:t xml:space="preserve">Pacienti ar </w:t>
        </w:r>
      </w:ins>
      <w:r w:rsidR="00A453C3" w:rsidRPr="00DD58C9">
        <w:rPr>
          <w:i/>
          <w:iCs/>
          <w:szCs w:val="22"/>
          <w:lang w:val="lv-LV"/>
          <w:rPrChange w:id="426" w:author="Author">
            <w:rPr>
              <w:szCs w:val="22"/>
              <w:u w:val="single"/>
              <w:lang w:val="lv-LV"/>
            </w:rPr>
          </w:rPrChange>
        </w:rPr>
        <w:t>RA</w:t>
      </w:r>
    </w:p>
    <w:p w14:paraId="23E833D9" w14:textId="77777777" w:rsidR="00A453C3" w:rsidRDefault="00A453C3" w:rsidP="00A453C3">
      <w:pPr>
        <w:rPr>
          <w:szCs w:val="22"/>
          <w:lang w:val="lv-LV"/>
        </w:rPr>
      </w:pPr>
      <w:r>
        <w:rPr>
          <w:szCs w:val="22"/>
          <w:lang w:val="lv-LV"/>
        </w:rPr>
        <w:t>Ieteicamā deva ir 162 mg, ievadot to subkutāni vienu reizi nedēļā.</w:t>
      </w:r>
    </w:p>
    <w:p w14:paraId="1E19E021" w14:textId="77777777" w:rsidR="00A453C3" w:rsidRDefault="00A453C3" w:rsidP="00A453C3">
      <w:pPr>
        <w:rPr>
          <w:szCs w:val="22"/>
          <w:lang w:val="lv-LV"/>
        </w:rPr>
      </w:pPr>
    </w:p>
    <w:p w14:paraId="61B812B9" w14:textId="1094600F" w:rsidR="00A453C3" w:rsidRDefault="00A453C3" w:rsidP="00A453C3">
      <w:pPr>
        <w:rPr>
          <w:szCs w:val="22"/>
          <w:lang w:val="lv-LV"/>
        </w:rPr>
      </w:pPr>
      <w:r>
        <w:rPr>
          <w:szCs w:val="22"/>
          <w:lang w:val="lv-LV"/>
        </w:rPr>
        <w:t xml:space="preserve">Pieejamā informācija par tocilizumaba intravenozi ievadāmās zāļu formas aizstāšanu ar tocilizumaba subkutāni lietojamo fiksētās devas zāļu formu ir ierobežota. Jāievēro vienu nedēļu ilgs devu ievadīšanas starplaiks. </w:t>
      </w:r>
    </w:p>
    <w:p w14:paraId="6DB34102" w14:textId="77777777" w:rsidR="00A453C3" w:rsidRDefault="00A453C3" w:rsidP="00A453C3">
      <w:pPr>
        <w:rPr>
          <w:szCs w:val="22"/>
          <w:lang w:val="lv-LV"/>
        </w:rPr>
      </w:pPr>
    </w:p>
    <w:p w14:paraId="10D1E8F5" w14:textId="77777777" w:rsidR="00A453C3" w:rsidRDefault="00A453C3" w:rsidP="00A453C3">
      <w:pPr>
        <w:rPr>
          <w:szCs w:val="22"/>
          <w:lang w:val="lv-LV"/>
        </w:rPr>
      </w:pPr>
      <w:r>
        <w:rPr>
          <w:szCs w:val="22"/>
          <w:lang w:val="lv-LV"/>
        </w:rPr>
        <w:t>Pacientiem, kuriem intravenozi ievadāmā zāļu forma tiek aizstāta ar subkutāni lietojamo zāļu formu, pirmā deva zem ādas jāievada nākamās plānotās intravenozās devas vietā kvalificēta veselības aprūpes speciālista uzraudzībā.</w:t>
      </w:r>
    </w:p>
    <w:p w14:paraId="5FE2C2F6" w14:textId="77777777" w:rsidR="00A453C3" w:rsidRDefault="00A453C3" w:rsidP="00A453C3">
      <w:pPr>
        <w:rPr>
          <w:szCs w:val="22"/>
          <w:lang w:val="lv-LV"/>
        </w:rPr>
      </w:pPr>
    </w:p>
    <w:p w14:paraId="195E4DE8" w14:textId="696BDAB4" w:rsidR="00A453C3" w:rsidRPr="00707120" w:rsidRDefault="00AA76F9" w:rsidP="00707120">
      <w:pPr>
        <w:keepNext/>
        <w:ind w:left="567" w:hanging="567"/>
        <w:rPr>
          <w:bCs/>
          <w:i/>
          <w:iCs/>
          <w:noProof/>
          <w:szCs w:val="22"/>
          <w:lang w:val="lv-LV"/>
        </w:rPr>
      </w:pPr>
      <w:ins w:id="427" w:author="Author">
        <w:r>
          <w:rPr>
            <w:bCs/>
            <w:i/>
            <w:iCs/>
            <w:noProof/>
            <w:szCs w:val="22"/>
            <w:lang w:val="lv-LV"/>
          </w:rPr>
          <w:t xml:space="preserve">Pacienti ar </w:t>
        </w:r>
      </w:ins>
      <w:r w:rsidR="00A453C3" w:rsidRPr="00707120">
        <w:rPr>
          <w:bCs/>
          <w:i/>
          <w:iCs/>
          <w:noProof/>
          <w:szCs w:val="22"/>
          <w:lang w:val="lv-LV"/>
        </w:rPr>
        <w:t>GCA</w:t>
      </w:r>
    </w:p>
    <w:p w14:paraId="51DF7E65" w14:textId="605CA6AB" w:rsidR="00A453C3" w:rsidRPr="00D30C7D" w:rsidRDefault="00A453C3" w:rsidP="00A453C3">
      <w:pPr>
        <w:autoSpaceDE w:val="0"/>
        <w:autoSpaceDN w:val="0"/>
        <w:adjustRightInd w:val="0"/>
        <w:rPr>
          <w:szCs w:val="22"/>
          <w:lang w:val="lv-LV"/>
        </w:rPr>
      </w:pPr>
      <w:r w:rsidRPr="00D30C7D">
        <w:rPr>
          <w:szCs w:val="22"/>
          <w:lang w:val="lv-LV"/>
        </w:rPr>
        <w:t xml:space="preserve">Ieteicamā deva ir reizi nedēļā subkutāni ievadīti 162 mg kombinācijā ar glikokortikoīdu kursu, pakāpeniski samazinot glikokortikoīdu devu. Pēc glikokortikoīdu terapijas beigām </w:t>
      </w:r>
      <w:r>
        <w:rPr>
          <w:szCs w:val="22"/>
          <w:lang w:val="lv-LV"/>
        </w:rPr>
        <w:t>šīs zāles</w:t>
      </w:r>
      <w:r w:rsidRPr="00D30C7D">
        <w:rPr>
          <w:szCs w:val="22"/>
          <w:lang w:val="lv-LV"/>
        </w:rPr>
        <w:t xml:space="preserve"> var lietot vien</w:t>
      </w:r>
      <w:r>
        <w:rPr>
          <w:szCs w:val="22"/>
          <w:lang w:val="lv-LV"/>
        </w:rPr>
        <w:t>as</w:t>
      </w:r>
      <w:r w:rsidRPr="00D30C7D">
        <w:rPr>
          <w:szCs w:val="22"/>
          <w:lang w:val="lv-LV"/>
        </w:rPr>
        <w:t xml:space="preserve"> paš</w:t>
      </w:r>
      <w:r>
        <w:rPr>
          <w:szCs w:val="22"/>
          <w:lang w:val="lv-LV"/>
        </w:rPr>
        <w:t>as</w:t>
      </w:r>
      <w:r w:rsidRPr="00D30C7D">
        <w:rPr>
          <w:szCs w:val="22"/>
          <w:lang w:val="lv-LV"/>
        </w:rPr>
        <w:t>.</w:t>
      </w:r>
    </w:p>
    <w:p w14:paraId="6550974B" w14:textId="1C6760C0" w:rsidR="00A453C3" w:rsidRDefault="00A453C3" w:rsidP="00A453C3">
      <w:pPr>
        <w:autoSpaceDE w:val="0"/>
        <w:autoSpaceDN w:val="0"/>
        <w:adjustRightInd w:val="0"/>
        <w:rPr>
          <w:szCs w:val="22"/>
          <w:lang w:val="lv-LV"/>
        </w:rPr>
      </w:pPr>
      <w:r>
        <w:rPr>
          <w:szCs w:val="22"/>
          <w:lang w:val="lv-LV"/>
        </w:rPr>
        <w:t>Tocilizumaba monoterapiju nedrīkst lietot akūtu recidīvu ārstēšanai (skatīt 4.4. apakšpunktu).</w:t>
      </w:r>
    </w:p>
    <w:p w14:paraId="5FC9044B" w14:textId="77777777" w:rsidR="00A453C3" w:rsidRDefault="00A453C3" w:rsidP="00A453C3">
      <w:pPr>
        <w:autoSpaceDE w:val="0"/>
        <w:autoSpaceDN w:val="0"/>
        <w:adjustRightInd w:val="0"/>
        <w:rPr>
          <w:szCs w:val="22"/>
          <w:lang w:val="lv-LV"/>
        </w:rPr>
      </w:pPr>
    </w:p>
    <w:p w14:paraId="3DB6883D" w14:textId="44F76896" w:rsidR="00A453C3" w:rsidRPr="003A1EF2" w:rsidRDefault="00A453C3" w:rsidP="00A453C3">
      <w:pPr>
        <w:autoSpaceDE w:val="0"/>
        <w:autoSpaceDN w:val="0"/>
        <w:adjustRightInd w:val="0"/>
        <w:rPr>
          <w:szCs w:val="22"/>
          <w:lang w:val="lv-LV"/>
        </w:rPr>
      </w:pPr>
      <w:r>
        <w:rPr>
          <w:rStyle w:val="CommentReference"/>
          <w:sz w:val="22"/>
          <w:szCs w:val="22"/>
        </w:rPr>
        <w:t>Pamatojoties uz to, ka GCA ir hroniska slimība, ārstēšana ilgāk par 52 nedēļām jāveic, vadoties pēc s</w:t>
      </w:r>
      <w:r w:rsidRPr="003A1EF2">
        <w:rPr>
          <w:rStyle w:val="CommentReference"/>
          <w:sz w:val="22"/>
          <w:szCs w:val="22"/>
        </w:rPr>
        <w:t>limības</w:t>
      </w:r>
      <w:r>
        <w:rPr>
          <w:rStyle w:val="CommentReference"/>
          <w:sz w:val="22"/>
          <w:szCs w:val="22"/>
        </w:rPr>
        <w:t xml:space="preserve"> aktivitātes, ārsta novērtējuma un pacienta lēmuma.</w:t>
      </w:r>
    </w:p>
    <w:p w14:paraId="1E956195" w14:textId="77777777" w:rsidR="00A453C3" w:rsidRDefault="00A453C3" w:rsidP="00A453C3">
      <w:pPr>
        <w:rPr>
          <w:szCs w:val="22"/>
          <w:lang w:val="lv-LV"/>
        </w:rPr>
      </w:pPr>
    </w:p>
    <w:p w14:paraId="63CD474D" w14:textId="62741D3B" w:rsidR="00A453C3" w:rsidRPr="00707120" w:rsidRDefault="00A453C3" w:rsidP="00A453C3">
      <w:pPr>
        <w:keepNext/>
        <w:keepLines/>
        <w:rPr>
          <w:i/>
          <w:iCs/>
          <w:szCs w:val="22"/>
          <w:lang w:val="lv-LV"/>
        </w:rPr>
      </w:pPr>
      <w:r w:rsidRPr="00707120">
        <w:rPr>
          <w:i/>
          <w:iCs/>
          <w:szCs w:val="22"/>
          <w:lang w:val="lv-LV"/>
        </w:rPr>
        <w:t>Pacienti ar RA vai GCA</w:t>
      </w:r>
    </w:p>
    <w:p w14:paraId="55353B53" w14:textId="1B923900" w:rsidR="00A453C3" w:rsidRPr="00707120" w:rsidRDefault="00A453C3" w:rsidP="00A453C3">
      <w:pPr>
        <w:keepNext/>
        <w:keepLines/>
        <w:rPr>
          <w:bCs/>
          <w:i/>
          <w:iCs/>
          <w:u w:val="single"/>
          <w:lang w:val="lv-LV"/>
        </w:rPr>
      </w:pPr>
      <w:r w:rsidRPr="00707120">
        <w:rPr>
          <w:i/>
          <w:iCs/>
          <w:szCs w:val="22"/>
          <w:u w:val="single"/>
          <w:lang w:val="lv-LV"/>
        </w:rPr>
        <w:t>Devas pielāgošan</w:t>
      </w:r>
      <w:r>
        <w:rPr>
          <w:i/>
          <w:iCs/>
          <w:szCs w:val="22"/>
          <w:u w:val="single"/>
          <w:lang w:val="lv-LV"/>
        </w:rPr>
        <w:t>a</w:t>
      </w:r>
      <w:r w:rsidRPr="00707120">
        <w:rPr>
          <w:i/>
          <w:iCs/>
          <w:szCs w:val="22"/>
          <w:u w:val="single"/>
          <w:lang w:val="lv-LV"/>
        </w:rPr>
        <w:t xml:space="preserve"> laboratorisko izmeklējumu rezultātu noviržu dēļ (skatīt 4.4. apakšpunktu).</w:t>
      </w:r>
    </w:p>
    <w:p w14:paraId="7631BDA2" w14:textId="77777777" w:rsidR="00A453C3" w:rsidRDefault="00A453C3" w:rsidP="00A453C3">
      <w:pPr>
        <w:keepNext/>
        <w:keepLines/>
        <w:ind w:left="567" w:hanging="567"/>
        <w:rPr>
          <w:bCs/>
          <w:u w:val="single"/>
          <w:lang w:val="lv-LV"/>
        </w:rPr>
      </w:pPr>
    </w:p>
    <w:p w14:paraId="6D44F1ED" w14:textId="6DF37D8E" w:rsidR="00A453C3" w:rsidRPr="000F1CFA" w:rsidRDefault="006334B7" w:rsidP="00707120">
      <w:pPr>
        <w:pStyle w:val="ListParagraph"/>
        <w:keepNext/>
        <w:keepLines/>
        <w:ind w:left="567" w:hanging="567"/>
        <w:rPr>
          <w:szCs w:val="22"/>
          <w:lang w:val="lv-LV"/>
        </w:rPr>
      </w:pPr>
      <w:r>
        <w:rPr>
          <w:lang w:val="nb-NO"/>
        </w:rPr>
        <w:sym w:font="Symbol" w:char="F0B7"/>
      </w:r>
      <w:r>
        <w:rPr>
          <w:lang w:val="nb-NO"/>
        </w:rPr>
        <w:tab/>
      </w:r>
      <w:r w:rsidR="00A453C3" w:rsidRPr="000F1CFA">
        <w:rPr>
          <w:szCs w:val="22"/>
          <w:lang w:val="lv-LV"/>
        </w:rPr>
        <w:t xml:space="preserve">Aknu enzīmu </w:t>
      </w:r>
      <w:ins w:id="428" w:author="Regulatory LV" w:date="2026-03-17T11:32:00Z">
        <w:r w:rsidR="00D20F5A">
          <w:rPr>
            <w:szCs w:val="22"/>
            <w:lang w:val="lv-LV"/>
          </w:rPr>
          <w:t xml:space="preserve">līmeņa </w:t>
        </w:r>
      </w:ins>
      <w:r w:rsidR="00A453C3" w:rsidRPr="000F1CFA">
        <w:rPr>
          <w:szCs w:val="22"/>
          <w:lang w:val="lv-LV"/>
        </w:rPr>
        <w:t>patoloģi</w:t>
      </w:r>
      <w:ins w:id="429" w:author="Regulatory LV" w:date="2026-03-17T11:32:00Z">
        <w:r w:rsidR="00D20F5A">
          <w:rPr>
            <w:szCs w:val="22"/>
            <w:lang w:val="lv-LV"/>
          </w:rPr>
          <w:t>sk</w:t>
        </w:r>
      </w:ins>
      <w:del w:id="430" w:author="Regulatory LV" w:date="2026-03-17T11:32:00Z">
        <w:r w:rsidR="00A453C3" w:rsidRPr="000F1CFA" w:rsidDel="00D20F5A">
          <w:rPr>
            <w:szCs w:val="22"/>
            <w:lang w:val="lv-LV"/>
          </w:rPr>
          <w:delText>j</w:delText>
        </w:r>
      </w:del>
      <w:r w:rsidR="00A453C3" w:rsidRPr="000F1CFA">
        <w:rPr>
          <w:szCs w:val="22"/>
          <w:lang w:val="lv-LV"/>
        </w:rPr>
        <w:t>as</w:t>
      </w:r>
      <w:ins w:id="431" w:author="Regulatory LV" w:date="2026-03-17T11:32:00Z">
        <w:r w:rsidR="00D20F5A">
          <w:rPr>
            <w:szCs w:val="22"/>
            <w:lang w:val="lv-LV"/>
          </w:rPr>
          <w:t xml:space="preserve"> izmaiņas</w:t>
        </w:r>
      </w:ins>
    </w:p>
    <w:p w14:paraId="0901F787" w14:textId="77777777" w:rsidR="00A453C3" w:rsidRDefault="00A453C3" w:rsidP="00A453C3">
      <w:pPr>
        <w:keepNext/>
        <w:keepLines/>
        <w:rPr>
          <w:szCs w:val="22"/>
          <w:lang w:val="lv-LV"/>
        </w:rPr>
      </w:pPr>
    </w:p>
    <w:tbl>
      <w:tblPr>
        <w:tblW w:w="9082" w:type="dxa"/>
        <w:tblInd w:w="-15" w:type="dxa"/>
        <w:tblLayout w:type="fixed"/>
        <w:tblLook w:val="0000" w:firstRow="0" w:lastRow="0" w:firstColumn="0" w:lastColumn="0" w:noHBand="0" w:noVBand="0"/>
      </w:tblPr>
      <w:tblGrid>
        <w:gridCol w:w="2241"/>
        <w:gridCol w:w="6841"/>
      </w:tblGrid>
      <w:tr w:rsidR="00A453C3" w14:paraId="7EED5E3D" w14:textId="77777777" w:rsidTr="00707120">
        <w:tc>
          <w:tcPr>
            <w:tcW w:w="2241" w:type="dxa"/>
            <w:tcBorders>
              <w:top w:val="single" w:sz="4" w:space="0" w:color="000000"/>
              <w:left w:val="single" w:sz="4" w:space="0" w:color="000000"/>
              <w:bottom w:val="single" w:sz="4" w:space="0" w:color="000000"/>
            </w:tcBorders>
          </w:tcPr>
          <w:p w14:paraId="2B81B536" w14:textId="77777777" w:rsidR="00A453C3" w:rsidRDefault="00A453C3" w:rsidP="0067693D">
            <w:pPr>
              <w:keepNext/>
              <w:keepLines/>
              <w:spacing w:after="170" w:line="280" w:lineRule="atLeast"/>
              <w:jc w:val="center"/>
              <w:rPr>
                <w:szCs w:val="22"/>
                <w:lang w:val="lv-LV"/>
              </w:rPr>
            </w:pPr>
            <w:r>
              <w:rPr>
                <w:szCs w:val="22"/>
                <w:lang w:val="lv-LV"/>
              </w:rPr>
              <w:t>Laboratorisko izmeklējumu rezultāti</w:t>
            </w:r>
          </w:p>
        </w:tc>
        <w:tc>
          <w:tcPr>
            <w:tcW w:w="6841" w:type="dxa"/>
            <w:tcBorders>
              <w:top w:val="single" w:sz="4" w:space="0" w:color="000000"/>
              <w:left w:val="single" w:sz="4" w:space="0" w:color="000000"/>
              <w:bottom w:val="single" w:sz="4" w:space="0" w:color="000000"/>
              <w:right w:val="single" w:sz="4" w:space="0" w:color="000000"/>
            </w:tcBorders>
          </w:tcPr>
          <w:p w14:paraId="2A1190D1" w14:textId="77777777" w:rsidR="00A453C3" w:rsidRDefault="00A453C3" w:rsidP="0067693D">
            <w:pPr>
              <w:keepNext/>
              <w:keepLines/>
              <w:spacing w:after="170" w:line="280" w:lineRule="atLeast"/>
              <w:jc w:val="center"/>
              <w:rPr>
                <w:szCs w:val="22"/>
                <w:lang w:val="lv-LV"/>
              </w:rPr>
            </w:pPr>
            <w:r>
              <w:rPr>
                <w:szCs w:val="22"/>
                <w:lang w:val="lv-LV"/>
              </w:rPr>
              <w:t>Rīcība</w:t>
            </w:r>
          </w:p>
        </w:tc>
      </w:tr>
      <w:tr w:rsidR="00A453C3" w:rsidRPr="00903A29" w14:paraId="2A36EA5D" w14:textId="77777777" w:rsidTr="00707120">
        <w:tc>
          <w:tcPr>
            <w:tcW w:w="2241" w:type="dxa"/>
            <w:tcBorders>
              <w:top w:val="single" w:sz="4" w:space="0" w:color="000000"/>
              <w:left w:val="single" w:sz="4" w:space="0" w:color="000000"/>
              <w:bottom w:val="single" w:sz="4" w:space="0" w:color="000000"/>
            </w:tcBorders>
          </w:tcPr>
          <w:p w14:paraId="734552D4" w14:textId="7CB74058" w:rsidR="00A453C3" w:rsidRDefault="00A453C3" w:rsidP="00D55AFA">
            <w:pPr>
              <w:keepNext/>
              <w:keepLines/>
              <w:spacing w:after="170" w:line="280" w:lineRule="atLeast"/>
              <w:rPr>
                <w:szCs w:val="22"/>
                <w:lang w:val="lv-LV"/>
              </w:rPr>
            </w:pPr>
            <w:r>
              <w:rPr>
                <w:szCs w:val="22"/>
                <w:lang w:val="lv-LV"/>
              </w:rPr>
              <w:t>˃ 1</w:t>
            </w:r>
            <w:r>
              <w:rPr>
                <w:szCs w:val="22"/>
                <w:lang w:val="lv-LV"/>
              </w:rPr>
              <w:noBreakHyphen/>
              <w:t>3 reizes pārsniedz normas augšējo robežu (NAR)</w:t>
            </w:r>
          </w:p>
        </w:tc>
        <w:tc>
          <w:tcPr>
            <w:tcW w:w="6841" w:type="dxa"/>
            <w:tcBorders>
              <w:top w:val="single" w:sz="4" w:space="0" w:color="000000"/>
              <w:left w:val="single" w:sz="4" w:space="0" w:color="000000"/>
              <w:bottom w:val="single" w:sz="4" w:space="0" w:color="000000"/>
              <w:right w:val="single" w:sz="4" w:space="0" w:color="000000"/>
            </w:tcBorders>
          </w:tcPr>
          <w:p w14:paraId="458774D8" w14:textId="77777777" w:rsidR="00A453C3" w:rsidRDefault="00A453C3" w:rsidP="00707120">
            <w:pPr>
              <w:keepNext/>
              <w:keepLines/>
              <w:rPr>
                <w:szCs w:val="22"/>
                <w:lang w:val="lv-LV"/>
              </w:rPr>
            </w:pPr>
            <w:r>
              <w:rPr>
                <w:szCs w:val="22"/>
                <w:lang w:val="lv-LV"/>
              </w:rPr>
              <w:t>Ja nepieciešams, jāmaina vienlaikus lietoto DMARD</w:t>
            </w:r>
            <w:r>
              <w:rPr>
                <w:rFonts w:eastAsia="PMingLiU"/>
                <w:szCs w:val="22"/>
                <w:lang w:val="lv-LV"/>
              </w:rPr>
              <w:t xml:space="preserve"> deva (RA) vai imūnmodulatoru (GCA) deva.</w:t>
            </w:r>
          </w:p>
          <w:p w14:paraId="789A569C" w14:textId="4E6A87A0" w:rsidR="00A453C3" w:rsidRDefault="00A453C3" w:rsidP="00707120">
            <w:pPr>
              <w:keepNext/>
              <w:keepLines/>
              <w:rPr>
                <w:szCs w:val="22"/>
                <w:lang w:val="lv-LV"/>
              </w:rPr>
            </w:pPr>
            <w:r>
              <w:rPr>
                <w:szCs w:val="22"/>
                <w:lang w:val="lv-LV"/>
              </w:rPr>
              <w:t xml:space="preserve">Gadījumos, kad pieaugums saglabājas šajās robežās, tocilizumaba devas lietošanas biežums ir jāsamazina līdz vienai injekcijai reizi divās nedēļās vai terapija ir uz laiku jāpārtrauc, līdz alanīnaminotransferāzes (ALAT) vai aspartātaminotransferāzes (ASAT) līmenis normalizējas. </w:t>
            </w:r>
          </w:p>
          <w:p w14:paraId="53F99E33" w14:textId="77777777" w:rsidR="00A453C3" w:rsidRDefault="00A453C3" w:rsidP="00707120">
            <w:pPr>
              <w:keepNext/>
              <w:keepLines/>
              <w:rPr>
                <w:szCs w:val="22"/>
                <w:lang w:val="lv-LV"/>
              </w:rPr>
            </w:pPr>
            <w:r>
              <w:rPr>
                <w:szCs w:val="22"/>
                <w:lang w:val="lv-LV"/>
              </w:rPr>
              <w:t>Terapiju atsāk ar injekciju reizi nedēļā vai reizi divās nedēļās (kas klīniski piemērotāks).</w:t>
            </w:r>
          </w:p>
        </w:tc>
      </w:tr>
      <w:tr w:rsidR="00A453C3" w:rsidRPr="00903A29" w14:paraId="77BB508A" w14:textId="77777777" w:rsidTr="00707120">
        <w:tc>
          <w:tcPr>
            <w:tcW w:w="2241" w:type="dxa"/>
            <w:tcBorders>
              <w:top w:val="single" w:sz="4" w:space="0" w:color="000000"/>
              <w:left w:val="single" w:sz="4" w:space="0" w:color="000000"/>
              <w:bottom w:val="single" w:sz="4" w:space="0" w:color="000000"/>
            </w:tcBorders>
          </w:tcPr>
          <w:p w14:paraId="2FAA57EF" w14:textId="0A558C03" w:rsidR="00A453C3" w:rsidRDefault="00A453C3" w:rsidP="0067693D">
            <w:pPr>
              <w:keepNext/>
              <w:keepLines/>
              <w:spacing w:after="170" w:line="280" w:lineRule="atLeast"/>
              <w:rPr>
                <w:szCs w:val="22"/>
                <w:lang w:val="lv-LV"/>
              </w:rPr>
            </w:pPr>
            <w:r>
              <w:rPr>
                <w:szCs w:val="22"/>
                <w:lang w:val="lv-LV"/>
              </w:rPr>
              <w:t>&gt; 3</w:t>
            </w:r>
            <w:r>
              <w:rPr>
                <w:szCs w:val="22"/>
                <w:lang w:val="lv-LV"/>
              </w:rPr>
              <w:noBreakHyphen/>
              <w:t>5 reizes pārsniedz NAR</w:t>
            </w:r>
          </w:p>
        </w:tc>
        <w:tc>
          <w:tcPr>
            <w:tcW w:w="6841" w:type="dxa"/>
            <w:tcBorders>
              <w:top w:val="single" w:sz="4" w:space="0" w:color="000000"/>
              <w:left w:val="single" w:sz="4" w:space="0" w:color="000000"/>
              <w:bottom w:val="single" w:sz="4" w:space="0" w:color="000000"/>
              <w:right w:val="single" w:sz="4" w:space="0" w:color="000000"/>
            </w:tcBorders>
          </w:tcPr>
          <w:p w14:paraId="34FC31A9" w14:textId="332E5F23" w:rsidR="00A453C3" w:rsidRDefault="00A453C3" w:rsidP="00707120">
            <w:pPr>
              <w:keepNext/>
              <w:keepLines/>
              <w:rPr>
                <w:szCs w:val="22"/>
                <w:lang w:val="lv-LV"/>
              </w:rPr>
            </w:pPr>
            <w:r>
              <w:rPr>
                <w:szCs w:val="22"/>
                <w:lang w:val="lv-LV"/>
              </w:rPr>
              <w:t>Terapija ir uz laiku jāpārtrauc, līdz NAR ir pārsniegta mazāk nekā 3 reizes, un jāievēro augstākminētie ieteikumi gadījumiem, ja NAR pārsniegta vairāk nekā 1</w:t>
            </w:r>
            <w:r>
              <w:rPr>
                <w:szCs w:val="22"/>
                <w:lang w:val="lv-LV"/>
              </w:rPr>
              <w:noBreakHyphen/>
              <w:t>3 reizes.</w:t>
            </w:r>
          </w:p>
          <w:p w14:paraId="4A09DEF6" w14:textId="6877FA4E" w:rsidR="00A453C3" w:rsidRDefault="00A453C3" w:rsidP="00707120">
            <w:pPr>
              <w:keepNext/>
              <w:keepLines/>
              <w:rPr>
                <w:szCs w:val="22"/>
                <w:lang w:val="lv-LV"/>
              </w:rPr>
            </w:pPr>
            <w:r>
              <w:rPr>
                <w:szCs w:val="22"/>
                <w:lang w:val="lv-LV"/>
              </w:rPr>
              <w:t>Ja NAR nepārtraukti ir pārsniegta vairāk nekā 3 reizes (kas apstiprināts atkārtotās analīzēs, skatīt 4.4. apakšpunktu), terapija ir pilnīgi jāpārtrauc.</w:t>
            </w:r>
          </w:p>
        </w:tc>
      </w:tr>
      <w:tr w:rsidR="00A453C3" w14:paraId="2EF8633D" w14:textId="77777777" w:rsidTr="00707120">
        <w:tc>
          <w:tcPr>
            <w:tcW w:w="2241" w:type="dxa"/>
            <w:tcBorders>
              <w:top w:val="single" w:sz="4" w:space="0" w:color="000000"/>
              <w:left w:val="single" w:sz="4" w:space="0" w:color="000000"/>
              <w:bottom w:val="single" w:sz="4" w:space="0" w:color="000000"/>
            </w:tcBorders>
          </w:tcPr>
          <w:p w14:paraId="680DC1C8" w14:textId="3A77F6E7" w:rsidR="00A453C3" w:rsidRDefault="00A453C3" w:rsidP="0067693D">
            <w:pPr>
              <w:spacing w:after="170" w:line="280" w:lineRule="atLeast"/>
              <w:rPr>
                <w:szCs w:val="22"/>
                <w:lang w:val="lv-LV"/>
              </w:rPr>
            </w:pPr>
            <w:r>
              <w:rPr>
                <w:szCs w:val="22"/>
                <w:lang w:val="lv-LV"/>
              </w:rPr>
              <w:t>&gt; 5 reizes pārsniedz NAR</w:t>
            </w:r>
          </w:p>
        </w:tc>
        <w:tc>
          <w:tcPr>
            <w:tcW w:w="6841" w:type="dxa"/>
            <w:tcBorders>
              <w:top w:val="single" w:sz="4" w:space="0" w:color="000000"/>
              <w:left w:val="single" w:sz="4" w:space="0" w:color="000000"/>
              <w:bottom w:val="single" w:sz="4" w:space="0" w:color="000000"/>
              <w:right w:val="single" w:sz="4" w:space="0" w:color="000000"/>
            </w:tcBorders>
          </w:tcPr>
          <w:p w14:paraId="72CFF50A" w14:textId="2747DBD4" w:rsidR="00A453C3" w:rsidRDefault="00A453C3" w:rsidP="00707120">
            <w:pPr>
              <w:jc w:val="both"/>
              <w:rPr>
                <w:sz w:val="24"/>
                <w:szCs w:val="24"/>
              </w:rPr>
            </w:pPr>
            <w:r>
              <w:rPr>
                <w:szCs w:val="22"/>
                <w:lang w:val="lv-LV"/>
              </w:rPr>
              <w:t>Terapija ir pilnīgi jāpārtrauc.</w:t>
            </w:r>
          </w:p>
        </w:tc>
      </w:tr>
    </w:tbl>
    <w:p w14:paraId="0A03F680" w14:textId="77777777" w:rsidR="00A453C3" w:rsidRDefault="00A453C3" w:rsidP="00A453C3"/>
    <w:p w14:paraId="55145016" w14:textId="60111D56" w:rsidR="00A453C3" w:rsidRPr="000F1CFA" w:rsidRDefault="006334B7" w:rsidP="00707120">
      <w:pPr>
        <w:pStyle w:val="ListParagraph"/>
        <w:keepNext/>
        <w:keepLines/>
        <w:ind w:left="567" w:hanging="567"/>
        <w:rPr>
          <w:lang w:val="lv-LV"/>
        </w:rPr>
      </w:pPr>
      <w:r>
        <w:rPr>
          <w:lang w:val="nb-NO"/>
        </w:rPr>
        <w:sym w:font="Symbol" w:char="F0B7"/>
      </w:r>
      <w:r>
        <w:rPr>
          <w:lang w:val="nb-NO"/>
        </w:rPr>
        <w:tab/>
      </w:r>
      <w:r w:rsidR="00A453C3" w:rsidRPr="000F1CFA">
        <w:rPr>
          <w:lang w:val="lv-LV"/>
        </w:rPr>
        <w:t>Samazināts absolūtais neitrofilo leikocītu skaits (ANS)</w:t>
      </w:r>
    </w:p>
    <w:p w14:paraId="07512FB1" w14:textId="77777777" w:rsidR="00A453C3" w:rsidRDefault="00A453C3" w:rsidP="00A453C3">
      <w:pPr>
        <w:keepNext/>
        <w:keepLines/>
        <w:rPr>
          <w:lang w:val="lv-LV"/>
        </w:rPr>
      </w:pPr>
    </w:p>
    <w:p w14:paraId="509F48A8" w14:textId="70C42B09" w:rsidR="00A453C3" w:rsidRDefault="00A453C3" w:rsidP="00A453C3">
      <w:pPr>
        <w:keepNext/>
        <w:keepLines/>
        <w:rPr>
          <w:lang w:val="lv-LV"/>
        </w:rPr>
      </w:pPr>
      <w:r>
        <w:rPr>
          <w:szCs w:val="22"/>
          <w:lang w:val="lv-LV"/>
        </w:rPr>
        <w:t>Pacientiem, kuri ar tocilizumabu agrāk nav ārstēti, sākt zāļu lietošanu nav ieteicams, ja ANS ir mazāks par 2 × 10</w:t>
      </w:r>
      <w:r>
        <w:rPr>
          <w:szCs w:val="22"/>
          <w:vertAlign w:val="superscript"/>
          <w:lang w:val="lv-LV"/>
        </w:rPr>
        <w:t>9</w:t>
      </w:r>
      <w:r>
        <w:rPr>
          <w:szCs w:val="22"/>
          <w:lang w:val="lv-LV"/>
        </w:rPr>
        <w:t>/l.</w:t>
      </w:r>
    </w:p>
    <w:p w14:paraId="09B32715" w14:textId="77777777" w:rsidR="00A453C3" w:rsidRDefault="00A453C3" w:rsidP="00A453C3">
      <w:pPr>
        <w:keepNext/>
        <w:keepLines/>
        <w:rPr>
          <w:lang w:val="lv-LV"/>
        </w:rPr>
      </w:pPr>
    </w:p>
    <w:tbl>
      <w:tblPr>
        <w:tblW w:w="9082" w:type="dxa"/>
        <w:tblInd w:w="-15" w:type="dxa"/>
        <w:tblLayout w:type="fixed"/>
        <w:tblLook w:val="0000" w:firstRow="0" w:lastRow="0" w:firstColumn="0" w:lastColumn="0" w:noHBand="0" w:noVBand="0"/>
      </w:tblPr>
      <w:tblGrid>
        <w:gridCol w:w="2327"/>
        <w:gridCol w:w="6755"/>
      </w:tblGrid>
      <w:tr w:rsidR="00A453C3" w14:paraId="4217C8DE" w14:textId="77777777" w:rsidTr="00707120">
        <w:tc>
          <w:tcPr>
            <w:tcW w:w="2327" w:type="dxa"/>
            <w:tcBorders>
              <w:top w:val="single" w:sz="4" w:space="0" w:color="000000"/>
              <w:left w:val="single" w:sz="4" w:space="0" w:color="000000"/>
              <w:bottom w:val="single" w:sz="4" w:space="0" w:color="000000"/>
            </w:tcBorders>
          </w:tcPr>
          <w:p w14:paraId="38EF0022" w14:textId="30B3E2E5" w:rsidR="00A453C3" w:rsidRDefault="00A453C3" w:rsidP="0067693D">
            <w:pPr>
              <w:keepNext/>
              <w:keepLines/>
              <w:spacing w:after="170" w:line="280" w:lineRule="atLeast"/>
              <w:jc w:val="center"/>
              <w:rPr>
                <w:szCs w:val="22"/>
                <w:lang w:val="lv-LV"/>
              </w:rPr>
            </w:pPr>
            <w:r>
              <w:rPr>
                <w:szCs w:val="22"/>
                <w:lang w:val="lv-LV"/>
              </w:rPr>
              <w:t>Laboratorisko izmeklējumu rezultāti</w:t>
            </w:r>
            <w:r>
              <w:rPr>
                <w:szCs w:val="22"/>
                <w:lang w:val="lv-LV"/>
              </w:rPr>
              <w:br/>
              <w:t>(šūnas × 10</w:t>
            </w:r>
            <w:r>
              <w:rPr>
                <w:szCs w:val="22"/>
                <w:vertAlign w:val="superscript"/>
                <w:lang w:val="lv-LV"/>
              </w:rPr>
              <w:t>9</w:t>
            </w:r>
            <w:r>
              <w:rPr>
                <w:szCs w:val="22"/>
                <w:lang w:val="lv-LV"/>
              </w:rPr>
              <w:t>/l)</w:t>
            </w:r>
          </w:p>
        </w:tc>
        <w:tc>
          <w:tcPr>
            <w:tcW w:w="6755" w:type="dxa"/>
            <w:tcBorders>
              <w:top w:val="single" w:sz="4" w:space="0" w:color="000000"/>
              <w:left w:val="single" w:sz="4" w:space="0" w:color="000000"/>
              <w:bottom w:val="single" w:sz="4" w:space="0" w:color="000000"/>
              <w:right w:val="single" w:sz="4" w:space="0" w:color="000000"/>
            </w:tcBorders>
          </w:tcPr>
          <w:p w14:paraId="43E4F856" w14:textId="77777777" w:rsidR="00A453C3" w:rsidRDefault="00A453C3" w:rsidP="0067693D">
            <w:pPr>
              <w:keepNext/>
              <w:keepLines/>
              <w:spacing w:after="170" w:line="280" w:lineRule="atLeast"/>
              <w:jc w:val="center"/>
              <w:rPr>
                <w:szCs w:val="22"/>
                <w:lang w:val="lv-LV"/>
              </w:rPr>
            </w:pPr>
            <w:r>
              <w:rPr>
                <w:szCs w:val="22"/>
                <w:lang w:val="lv-LV"/>
              </w:rPr>
              <w:t>Rīcība</w:t>
            </w:r>
          </w:p>
        </w:tc>
      </w:tr>
      <w:tr w:rsidR="00A453C3" w14:paraId="41D4BBF6" w14:textId="77777777" w:rsidTr="00707120">
        <w:tc>
          <w:tcPr>
            <w:tcW w:w="2327" w:type="dxa"/>
            <w:tcBorders>
              <w:top w:val="single" w:sz="4" w:space="0" w:color="000000"/>
              <w:left w:val="single" w:sz="4" w:space="0" w:color="000000"/>
              <w:bottom w:val="single" w:sz="4" w:space="0" w:color="000000"/>
            </w:tcBorders>
          </w:tcPr>
          <w:p w14:paraId="2581CD62" w14:textId="77777777" w:rsidR="00A453C3" w:rsidRPr="000F1CFA" w:rsidRDefault="00A453C3" w:rsidP="0067693D">
            <w:pPr>
              <w:keepNext/>
              <w:keepLines/>
              <w:spacing w:after="170" w:line="280" w:lineRule="atLeast"/>
              <w:rPr>
                <w:szCs w:val="22"/>
                <w:lang w:val="lv-LV"/>
              </w:rPr>
            </w:pPr>
            <w:r w:rsidRPr="000F1CFA">
              <w:rPr>
                <w:szCs w:val="22"/>
                <w:lang w:val="lv-LV"/>
              </w:rPr>
              <w:t>ANS ir &gt; 1</w:t>
            </w:r>
          </w:p>
        </w:tc>
        <w:tc>
          <w:tcPr>
            <w:tcW w:w="6755" w:type="dxa"/>
            <w:tcBorders>
              <w:top w:val="single" w:sz="4" w:space="0" w:color="000000"/>
              <w:left w:val="single" w:sz="4" w:space="0" w:color="000000"/>
              <w:bottom w:val="single" w:sz="4" w:space="0" w:color="000000"/>
              <w:right w:val="single" w:sz="4" w:space="0" w:color="000000"/>
            </w:tcBorders>
          </w:tcPr>
          <w:p w14:paraId="7FB0EF2E" w14:textId="77777777" w:rsidR="00A453C3" w:rsidRDefault="00A453C3" w:rsidP="00707120">
            <w:pPr>
              <w:keepNext/>
              <w:keepLines/>
              <w:jc w:val="both"/>
              <w:rPr>
                <w:szCs w:val="22"/>
                <w:lang w:val="lv-LV"/>
              </w:rPr>
            </w:pPr>
            <w:r>
              <w:rPr>
                <w:szCs w:val="22"/>
                <w:lang w:val="lv-LV"/>
              </w:rPr>
              <w:t>Deva nav jāmaina.</w:t>
            </w:r>
          </w:p>
        </w:tc>
      </w:tr>
      <w:tr w:rsidR="00A453C3" w:rsidRPr="00903A29" w14:paraId="407758DE" w14:textId="77777777" w:rsidTr="00707120">
        <w:tc>
          <w:tcPr>
            <w:tcW w:w="2327" w:type="dxa"/>
            <w:tcBorders>
              <w:top w:val="single" w:sz="4" w:space="0" w:color="000000"/>
              <w:left w:val="single" w:sz="4" w:space="0" w:color="000000"/>
              <w:bottom w:val="single" w:sz="4" w:space="0" w:color="000000"/>
            </w:tcBorders>
          </w:tcPr>
          <w:p w14:paraId="193B96C6" w14:textId="21A6B83D" w:rsidR="00A453C3" w:rsidRPr="000F1CFA" w:rsidRDefault="00A453C3" w:rsidP="0067693D">
            <w:pPr>
              <w:keepNext/>
              <w:keepLines/>
              <w:spacing w:after="170" w:line="280" w:lineRule="atLeast"/>
              <w:rPr>
                <w:szCs w:val="22"/>
                <w:lang w:val="lv-LV"/>
              </w:rPr>
            </w:pPr>
            <w:r w:rsidRPr="000F1CFA">
              <w:rPr>
                <w:szCs w:val="22"/>
                <w:lang w:val="lv-LV"/>
              </w:rPr>
              <w:t>ANS</w:t>
            </w:r>
            <w:r w:rsidRPr="00707120">
              <w:rPr>
                <w:szCs w:val="22"/>
                <w:lang w:val="lv-LV"/>
              </w:rPr>
              <w:t xml:space="preserve"> </w:t>
            </w:r>
            <w:r>
              <w:rPr>
                <w:szCs w:val="22"/>
                <w:lang w:val="lv-LV"/>
              </w:rPr>
              <w:t>ir</w:t>
            </w:r>
            <w:r w:rsidRPr="00707120">
              <w:rPr>
                <w:szCs w:val="22"/>
                <w:lang w:val="lv-LV"/>
              </w:rPr>
              <w:t xml:space="preserve"> 0,5</w:t>
            </w:r>
            <w:r>
              <w:rPr>
                <w:szCs w:val="22"/>
                <w:lang w:val="lv-LV"/>
              </w:rPr>
              <w:noBreakHyphen/>
            </w:r>
            <w:r w:rsidRPr="00707120">
              <w:rPr>
                <w:szCs w:val="22"/>
                <w:lang w:val="lv-LV"/>
              </w:rPr>
              <w:t>1</w:t>
            </w:r>
          </w:p>
        </w:tc>
        <w:tc>
          <w:tcPr>
            <w:tcW w:w="6755" w:type="dxa"/>
            <w:tcBorders>
              <w:top w:val="single" w:sz="4" w:space="0" w:color="000000"/>
              <w:left w:val="single" w:sz="4" w:space="0" w:color="000000"/>
              <w:bottom w:val="single" w:sz="4" w:space="0" w:color="000000"/>
              <w:right w:val="single" w:sz="4" w:space="0" w:color="000000"/>
            </w:tcBorders>
          </w:tcPr>
          <w:p w14:paraId="1E13EB92" w14:textId="13F6CD76" w:rsidR="00A453C3" w:rsidRDefault="00A453C3" w:rsidP="00707120">
            <w:pPr>
              <w:keepNext/>
              <w:keepLines/>
              <w:rPr>
                <w:szCs w:val="22"/>
                <w:lang w:val="lv-LV"/>
              </w:rPr>
            </w:pPr>
            <w:r>
              <w:rPr>
                <w:szCs w:val="22"/>
                <w:lang w:val="lv-LV"/>
              </w:rPr>
              <w:t>Tocilizumaba lietošana ir uz laiku jāpārtrauc.</w:t>
            </w:r>
          </w:p>
          <w:p w14:paraId="7D40F802" w14:textId="791DCEB7" w:rsidR="00A453C3" w:rsidRDefault="00A453C3" w:rsidP="00707120">
            <w:pPr>
              <w:keepNext/>
              <w:keepLines/>
              <w:rPr>
                <w:szCs w:val="22"/>
                <w:lang w:val="lv-LV"/>
              </w:rPr>
            </w:pPr>
            <w:r>
              <w:rPr>
                <w:szCs w:val="22"/>
                <w:lang w:val="lv-LV"/>
              </w:rPr>
              <w:t>Tiklīdz ANS palielinās līdz &gt; 1 × 10</w:t>
            </w:r>
            <w:r>
              <w:rPr>
                <w:szCs w:val="22"/>
                <w:vertAlign w:val="superscript"/>
                <w:lang w:val="lv-LV"/>
              </w:rPr>
              <w:t>9</w:t>
            </w:r>
            <w:r>
              <w:rPr>
                <w:szCs w:val="22"/>
                <w:lang w:val="lv-LV"/>
              </w:rPr>
              <w:t>/l, terapiju atsāk, devu lietojot reizi divās nedēļās, un lietošanas biežumu palielina līdz injekcijai reizi nedēļā (ja klīniski piemērots).</w:t>
            </w:r>
          </w:p>
        </w:tc>
      </w:tr>
      <w:tr w:rsidR="00A453C3" w14:paraId="01148764" w14:textId="77777777" w:rsidTr="00707120">
        <w:tc>
          <w:tcPr>
            <w:tcW w:w="2327" w:type="dxa"/>
            <w:tcBorders>
              <w:top w:val="single" w:sz="4" w:space="0" w:color="000000"/>
              <w:left w:val="single" w:sz="4" w:space="0" w:color="000000"/>
              <w:bottom w:val="single" w:sz="4" w:space="0" w:color="000000"/>
            </w:tcBorders>
          </w:tcPr>
          <w:p w14:paraId="3D99051B" w14:textId="77777777" w:rsidR="00A453C3" w:rsidRPr="000F1CFA" w:rsidRDefault="00A453C3" w:rsidP="0067693D">
            <w:pPr>
              <w:spacing w:after="170" w:line="280" w:lineRule="atLeast"/>
              <w:rPr>
                <w:szCs w:val="22"/>
                <w:lang w:val="lv-LV"/>
              </w:rPr>
            </w:pPr>
            <w:r w:rsidRPr="000F1CFA">
              <w:rPr>
                <w:szCs w:val="22"/>
                <w:lang w:val="lv-LV"/>
              </w:rPr>
              <w:t xml:space="preserve">ANS </w:t>
            </w:r>
            <w:r>
              <w:rPr>
                <w:szCs w:val="22"/>
                <w:lang w:val="lv-LV"/>
              </w:rPr>
              <w:t xml:space="preserve">ir </w:t>
            </w:r>
            <w:r w:rsidRPr="000F1CFA">
              <w:rPr>
                <w:szCs w:val="22"/>
                <w:lang w:val="lv-LV"/>
              </w:rPr>
              <w:t>&lt; 0,5</w:t>
            </w:r>
          </w:p>
        </w:tc>
        <w:tc>
          <w:tcPr>
            <w:tcW w:w="6755" w:type="dxa"/>
            <w:tcBorders>
              <w:top w:val="single" w:sz="4" w:space="0" w:color="000000"/>
              <w:left w:val="single" w:sz="4" w:space="0" w:color="000000"/>
              <w:bottom w:val="single" w:sz="4" w:space="0" w:color="000000"/>
              <w:right w:val="single" w:sz="4" w:space="0" w:color="000000"/>
            </w:tcBorders>
          </w:tcPr>
          <w:p w14:paraId="3265A916" w14:textId="07903DD1" w:rsidR="00A453C3" w:rsidRDefault="00A453C3" w:rsidP="00707120">
            <w:pPr>
              <w:jc w:val="both"/>
              <w:rPr>
                <w:sz w:val="24"/>
                <w:szCs w:val="24"/>
              </w:rPr>
            </w:pPr>
            <w:r>
              <w:rPr>
                <w:szCs w:val="22"/>
                <w:lang w:val="lv-LV"/>
              </w:rPr>
              <w:t>Terapija ir pilnīgi jāpārtrauc.</w:t>
            </w:r>
          </w:p>
        </w:tc>
      </w:tr>
    </w:tbl>
    <w:p w14:paraId="0B9AA501" w14:textId="77777777" w:rsidR="00A453C3" w:rsidRDefault="00A453C3" w:rsidP="00A453C3"/>
    <w:p w14:paraId="46B8C825" w14:textId="7309F81F" w:rsidR="00A453C3" w:rsidRPr="005014A7" w:rsidRDefault="006334B7" w:rsidP="00707120">
      <w:pPr>
        <w:pStyle w:val="ListParagraph"/>
        <w:keepNext/>
        <w:ind w:left="567" w:hanging="567"/>
        <w:rPr>
          <w:lang w:val="lv-LV"/>
        </w:rPr>
      </w:pPr>
      <w:r>
        <w:rPr>
          <w:lang w:val="nb-NO"/>
        </w:rPr>
        <w:sym w:font="Symbol" w:char="F0B7"/>
      </w:r>
      <w:r>
        <w:rPr>
          <w:lang w:val="nb-NO"/>
        </w:rPr>
        <w:tab/>
      </w:r>
      <w:r w:rsidR="00A453C3" w:rsidRPr="005014A7">
        <w:rPr>
          <w:lang w:val="lv-LV"/>
        </w:rPr>
        <w:t>Samazināts trombocītu skaits</w:t>
      </w:r>
    </w:p>
    <w:p w14:paraId="39E2FBEF" w14:textId="77777777" w:rsidR="00A453C3" w:rsidRDefault="00A453C3" w:rsidP="00A453C3">
      <w:pPr>
        <w:keepNext/>
        <w:rPr>
          <w:lang w:val="lv-LV"/>
        </w:rPr>
      </w:pPr>
    </w:p>
    <w:tbl>
      <w:tblPr>
        <w:tblW w:w="9082" w:type="dxa"/>
        <w:tblInd w:w="-15" w:type="dxa"/>
        <w:tblLayout w:type="fixed"/>
        <w:tblLook w:val="0000" w:firstRow="0" w:lastRow="0" w:firstColumn="0" w:lastColumn="0" w:noHBand="0" w:noVBand="0"/>
      </w:tblPr>
      <w:tblGrid>
        <w:gridCol w:w="2327"/>
        <w:gridCol w:w="6755"/>
      </w:tblGrid>
      <w:tr w:rsidR="00A453C3" w14:paraId="39AF021F" w14:textId="77777777" w:rsidTr="00707120">
        <w:trPr>
          <w:cantSplit/>
        </w:trPr>
        <w:tc>
          <w:tcPr>
            <w:tcW w:w="2327" w:type="dxa"/>
            <w:tcBorders>
              <w:top w:val="single" w:sz="4" w:space="0" w:color="000000"/>
              <w:left w:val="single" w:sz="4" w:space="0" w:color="000000"/>
              <w:bottom w:val="single" w:sz="4" w:space="0" w:color="000000"/>
            </w:tcBorders>
          </w:tcPr>
          <w:p w14:paraId="53E7E2BB" w14:textId="6080B79E" w:rsidR="00A453C3" w:rsidRDefault="00A453C3" w:rsidP="0067693D">
            <w:pPr>
              <w:keepNext/>
              <w:spacing w:after="170" w:line="280" w:lineRule="atLeast"/>
              <w:jc w:val="center"/>
              <w:rPr>
                <w:szCs w:val="22"/>
                <w:lang w:val="lv-LV"/>
              </w:rPr>
            </w:pPr>
            <w:r>
              <w:rPr>
                <w:szCs w:val="22"/>
                <w:lang w:val="lv-LV"/>
              </w:rPr>
              <w:t>Laboratorisko izmeklējumu rezultāti</w:t>
            </w:r>
            <w:r>
              <w:rPr>
                <w:szCs w:val="22"/>
                <w:lang w:val="lv-LV"/>
              </w:rPr>
              <w:br/>
              <w:t>(šūnas × 10</w:t>
            </w:r>
            <w:r>
              <w:rPr>
                <w:szCs w:val="22"/>
                <w:vertAlign w:val="superscript"/>
                <w:lang w:val="lv-LV"/>
              </w:rPr>
              <w:t>3</w:t>
            </w:r>
            <w:r>
              <w:rPr>
                <w:szCs w:val="22"/>
                <w:lang w:val="lv-LV"/>
              </w:rPr>
              <w:t>/μl)</w:t>
            </w:r>
          </w:p>
        </w:tc>
        <w:tc>
          <w:tcPr>
            <w:tcW w:w="6755" w:type="dxa"/>
            <w:tcBorders>
              <w:top w:val="single" w:sz="4" w:space="0" w:color="000000"/>
              <w:left w:val="single" w:sz="4" w:space="0" w:color="000000"/>
              <w:bottom w:val="single" w:sz="4" w:space="0" w:color="000000"/>
              <w:right w:val="single" w:sz="4" w:space="0" w:color="000000"/>
            </w:tcBorders>
          </w:tcPr>
          <w:p w14:paraId="01F1F0C9" w14:textId="77777777" w:rsidR="00A453C3" w:rsidRDefault="00A453C3" w:rsidP="0067693D">
            <w:pPr>
              <w:keepNext/>
              <w:spacing w:after="170" w:line="280" w:lineRule="atLeast"/>
              <w:jc w:val="center"/>
              <w:rPr>
                <w:szCs w:val="22"/>
                <w:lang w:val="lv-LV"/>
              </w:rPr>
            </w:pPr>
            <w:r>
              <w:rPr>
                <w:szCs w:val="22"/>
                <w:lang w:val="lv-LV"/>
              </w:rPr>
              <w:t>Rīcība</w:t>
            </w:r>
          </w:p>
        </w:tc>
      </w:tr>
      <w:tr w:rsidR="00A453C3" w:rsidRPr="00903A29" w14:paraId="36E338F9" w14:textId="77777777" w:rsidTr="00707120">
        <w:trPr>
          <w:cantSplit/>
        </w:trPr>
        <w:tc>
          <w:tcPr>
            <w:tcW w:w="2327" w:type="dxa"/>
            <w:tcBorders>
              <w:top w:val="single" w:sz="4" w:space="0" w:color="000000"/>
              <w:left w:val="single" w:sz="4" w:space="0" w:color="000000"/>
              <w:bottom w:val="single" w:sz="4" w:space="0" w:color="000000"/>
            </w:tcBorders>
          </w:tcPr>
          <w:p w14:paraId="09F13476" w14:textId="45111A11" w:rsidR="00A453C3" w:rsidRDefault="00A453C3" w:rsidP="0067693D">
            <w:pPr>
              <w:keepNext/>
              <w:spacing w:after="170" w:line="280" w:lineRule="atLeast"/>
              <w:rPr>
                <w:szCs w:val="22"/>
                <w:lang w:val="lv-LV"/>
              </w:rPr>
            </w:pPr>
            <w:r>
              <w:rPr>
                <w:szCs w:val="22"/>
                <w:lang w:val="lv-LV"/>
              </w:rPr>
              <w:t>50</w:t>
            </w:r>
            <w:r>
              <w:rPr>
                <w:szCs w:val="22"/>
                <w:lang w:val="lv-LV"/>
              </w:rPr>
              <w:noBreakHyphen/>
              <w:t>100</w:t>
            </w:r>
          </w:p>
        </w:tc>
        <w:tc>
          <w:tcPr>
            <w:tcW w:w="6755" w:type="dxa"/>
            <w:tcBorders>
              <w:top w:val="single" w:sz="4" w:space="0" w:color="000000"/>
              <w:left w:val="single" w:sz="4" w:space="0" w:color="000000"/>
              <w:bottom w:val="single" w:sz="4" w:space="0" w:color="000000"/>
              <w:right w:val="single" w:sz="4" w:space="0" w:color="000000"/>
            </w:tcBorders>
          </w:tcPr>
          <w:p w14:paraId="05764B24" w14:textId="3C21C6B5" w:rsidR="00A453C3" w:rsidRPr="00B27003" w:rsidRDefault="00A453C3" w:rsidP="00707120">
            <w:pPr>
              <w:keepNext/>
              <w:rPr>
                <w:szCs w:val="22"/>
                <w:lang w:val="lv-LV"/>
              </w:rPr>
            </w:pPr>
            <w:r>
              <w:rPr>
                <w:szCs w:val="22"/>
                <w:lang w:val="lv-LV"/>
              </w:rPr>
              <w:t>Tocilizumaba</w:t>
            </w:r>
            <w:r w:rsidRPr="00B27003">
              <w:rPr>
                <w:szCs w:val="22"/>
                <w:lang w:val="lv-LV"/>
              </w:rPr>
              <w:t xml:space="preserve"> lietošana ir </w:t>
            </w:r>
            <w:r>
              <w:rPr>
                <w:szCs w:val="22"/>
                <w:lang w:val="lv-LV"/>
              </w:rPr>
              <w:t xml:space="preserve">uz laiku </w:t>
            </w:r>
            <w:r w:rsidRPr="00B27003">
              <w:rPr>
                <w:szCs w:val="22"/>
                <w:lang w:val="lv-LV"/>
              </w:rPr>
              <w:t>jāpārtrauc.</w:t>
            </w:r>
          </w:p>
          <w:p w14:paraId="262D675E" w14:textId="4252551A" w:rsidR="00A453C3" w:rsidRPr="00B27003" w:rsidRDefault="00A453C3" w:rsidP="00707120">
            <w:pPr>
              <w:keepNext/>
              <w:rPr>
                <w:szCs w:val="22"/>
                <w:lang w:val="lv-LV"/>
              </w:rPr>
            </w:pPr>
            <w:r>
              <w:rPr>
                <w:szCs w:val="22"/>
                <w:lang w:val="lv-LV"/>
              </w:rPr>
              <w:t>Tiklīdz</w:t>
            </w:r>
            <w:r w:rsidRPr="00B27003">
              <w:rPr>
                <w:szCs w:val="22"/>
                <w:lang w:val="lv-LV"/>
              </w:rPr>
              <w:t xml:space="preserve"> </w:t>
            </w:r>
            <w:r w:rsidRPr="00707120">
              <w:rPr>
                <w:szCs w:val="22"/>
                <w:lang w:val="lv-LV"/>
              </w:rPr>
              <w:t>trombocītu skaits</w:t>
            </w:r>
            <w:r w:rsidRPr="00B27003">
              <w:rPr>
                <w:szCs w:val="22"/>
                <w:lang w:val="lv-LV"/>
              </w:rPr>
              <w:t xml:space="preserve"> palielinās līdz &gt;</w:t>
            </w:r>
            <w:r>
              <w:rPr>
                <w:szCs w:val="22"/>
                <w:lang w:val="lv-LV"/>
              </w:rPr>
              <w:t> </w:t>
            </w:r>
            <w:r w:rsidRPr="00B27003">
              <w:rPr>
                <w:szCs w:val="22"/>
                <w:lang w:val="lv-LV"/>
              </w:rPr>
              <w:t>100</w:t>
            </w:r>
            <w:r>
              <w:rPr>
                <w:szCs w:val="22"/>
                <w:lang w:val="lv-LV"/>
              </w:rPr>
              <w:t> × </w:t>
            </w:r>
            <w:r w:rsidRPr="00B27003">
              <w:rPr>
                <w:szCs w:val="22"/>
                <w:lang w:val="lv-LV"/>
              </w:rPr>
              <w:t>10</w:t>
            </w:r>
            <w:r w:rsidRPr="00B27003">
              <w:rPr>
                <w:szCs w:val="22"/>
                <w:vertAlign w:val="superscript"/>
                <w:lang w:val="lv-LV"/>
              </w:rPr>
              <w:t>3</w:t>
            </w:r>
            <w:r w:rsidRPr="00B27003">
              <w:rPr>
                <w:szCs w:val="22"/>
                <w:lang w:val="lv-LV"/>
              </w:rPr>
              <w:t xml:space="preserve">/μl, </w:t>
            </w:r>
            <w:r>
              <w:rPr>
                <w:szCs w:val="22"/>
                <w:lang w:val="lv-LV"/>
              </w:rPr>
              <w:t>terapiju</w:t>
            </w:r>
            <w:r w:rsidRPr="00B27003">
              <w:rPr>
                <w:szCs w:val="22"/>
                <w:lang w:val="lv-LV"/>
              </w:rPr>
              <w:t xml:space="preserve"> atsāk, </w:t>
            </w:r>
            <w:r>
              <w:rPr>
                <w:szCs w:val="22"/>
                <w:lang w:val="lv-LV"/>
              </w:rPr>
              <w:t xml:space="preserve">zāles </w:t>
            </w:r>
            <w:r w:rsidRPr="00B27003">
              <w:rPr>
                <w:szCs w:val="22"/>
                <w:lang w:val="lv-LV"/>
              </w:rPr>
              <w:t>lietojot reizi divās nedēļās, un lietošanas biežumu palielina līdz injekcijai reizi nedēļā (ja klīniski piemērots).</w:t>
            </w:r>
          </w:p>
        </w:tc>
      </w:tr>
      <w:tr w:rsidR="00A453C3" w14:paraId="08E46E7D" w14:textId="77777777" w:rsidTr="00707120">
        <w:trPr>
          <w:cantSplit/>
        </w:trPr>
        <w:tc>
          <w:tcPr>
            <w:tcW w:w="2327" w:type="dxa"/>
            <w:tcBorders>
              <w:top w:val="single" w:sz="4" w:space="0" w:color="000000"/>
              <w:left w:val="single" w:sz="4" w:space="0" w:color="000000"/>
              <w:bottom w:val="single" w:sz="4" w:space="0" w:color="000000"/>
            </w:tcBorders>
          </w:tcPr>
          <w:p w14:paraId="460D684C" w14:textId="6B979D5C" w:rsidR="00A453C3" w:rsidRDefault="00A453C3" w:rsidP="0067693D">
            <w:pPr>
              <w:spacing w:after="170" w:line="280" w:lineRule="atLeast"/>
              <w:rPr>
                <w:szCs w:val="22"/>
                <w:lang w:val="lv-LV"/>
              </w:rPr>
            </w:pPr>
            <w:r>
              <w:rPr>
                <w:szCs w:val="22"/>
                <w:lang w:val="lv-LV"/>
              </w:rPr>
              <w:t>&lt; 50</w:t>
            </w:r>
          </w:p>
        </w:tc>
        <w:tc>
          <w:tcPr>
            <w:tcW w:w="6755" w:type="dxa"/>
            <w:tcBorders>
              <w:top w:val="single" w:sz="4" w:space="0" w:color="000000"/>
              <w:left w:val="single" w:sz="4" w:space="0" w:color="000000"/>
              <w:bottom w:val="single" w:sz="4" w:space="0" w:color="000000"/>
              <w:right w:val="single" w:sz="4" w:space="0" w:color="000000"/>
            </w:tcBorders>
          </w:tcPr>
          <w:p w14:paraId="0B66FC29" w14:textId="327CC73C" w:rsidR="00A453C3" w:rsidRDefault="00A453C3" w:rsidP="00707120">
            <w:pPr>
              <w:jc w:val="both"/>
              <w:rPr>
                <w:sz w:val="24"/>
                <w:szCs w:val="24"/>
              </w:rPr>
            </w:pPr>
            <w:r>
              <w:rPr>
                <w:szCs w:val="22"/>
                <w:lang w:val="lv-LV"/>
              </w:rPr>
              <w:t>Terapija ir pilnīgi jāpārtrauc.</w:t>
            </w:r>
          </w:p>
        </w:tc>
      </w:tr>
    </w:tbl>
    <w:p w14:paraId="3E6F70BA" w14:textId="77777777" w:rsidR="00A453C3" w:rsidRDefault="00A453C3" w:rsidP="00A453C3">
      <w:pPr>
        <w:rPr>
          <w:szCs w:val="22"/>
          <w:lang w:val="lv-LV"/>
        </w:rPr>
      </w:pPr>
    </w:p>
    <w:p w14:paraId="544455B4" w14:textId="3F1859EA" w:rsidR="00A453C3" w:rsidRPr="00707120" w:rsidRDefault="00642893" w:rsidP="00A453C3">
      <w:pPr>
        <w:keepNext/>
        <w:keepLines/>
        <w:ind w:left="567" w:hanging="567"/>
        <w:rPr>
          <w:i/>
          <w:iCs/>
          <w:szCs w:val="22"/>
          <w:lang w:val="lv-LV"/>
        </w:rPr>
      </w:pPr>
      <w:ins w:id="432" w:author="Author">
        <w:r>
          <w:rPr>
            <w:bCs/>
            <w:i/>
            <w:iCs/>
            <w:noProof/>
            <w:szCs w:val="22"/>
            <w:lang w:val="en-GB"/>
          </w:rPr>
          <w:t xml:space="preserve">Pacienti ar </w:t>
        </w:r>
      </w:ins>
      <w:r w:rsidR="00A453C3" w:rsidRPr="00707120">
        <w:rPr>
          <w:bCs/>
          <w:i/>
          <w:iCs/>
          <w:noProof/>
          <w:szCs w:val="22"/>
          <w:lang w:val="en-GB"/>
        </w:rPr>
        <w:t>RA un GCA</w:t>
      </w:r>
    </w:p>
    <w:p w14:paraId="5C98B4D4" w14:textId="77777777" w:rsidR="00A453C3" w:rsidRPr="00707120" w:rsidRDefault="00A453C3">
      <w:pPr>
        <w:keepNext/>
        <w:rPr>
          <w:i/>
          <w:iCs/>
          <w:szCs w:val="22"/>
          <w:lang w:val="lv-LV"/>
        </w:rPr>
        <w:pPrChange w:id="433" w:author="Author">
          <w:pPr/>
        </w:pPrChange>
      </w:pPr>
      <w:r w:rsidRPr="00707120">
        <w:rPr>
          <w:i/>
          <w:iCs/>
          <w:szCs w:val="22"/>
          <w:u w:val="single"/>
          <w:lang w:val="lv-LV"/>
        </w:rPr>
        <w:t>Aizmirsta deva</w:t>
      </w:r>
    </w:p>
    <w:p w14:paraId="695E0C12" w14:textId="6CEA0CFC" w:rsidR="00A453C3" w:rsidRDefault="00A453C3" w:rsidP="00A453C3">
      <w:pPr>
        <w:rPr>
          <w:szCs w:val="22"/>
          <w:lang w:val="lv-LV"/>
        </w:rPr>
      </w:pPr>
      <w:r w:rsidRPr="008713BA">
        <w:rPr>
          <w:szCs w:val="22"/>
          <w:lang w:val="lv-LV"/>
        </w:rPr>
        <w:t>Ja pacients ir aizmirsis ievadīt reizi</w:t>
      </w:r>
      <w:r>
        <w:rPr>
          <w:szCs w:val="22"/>
          <w:lang w:val="lv-LV"/>
        </w:rPr>
        <w:t xml:space="preserve"> nedēļā lietojamo tocilizumaba subkutāno devu 7 dienu periodā pēc ieplānotās devas, viņam jālieto izlaistā deva nākamā ieplānotā dienā. Ja pacients ir aizmirsis ievadīt katru otro nedēļu lietojamo tocilizumaba subkutāno devu 7 dienu periodā pēc ieplānotas devas, viņam izlaistā deva jālieto nekavējoties, bet nākamā deva – nākamajā ieplānotajā dienā. </w:t>
      </w:r>
    </w:p>
    <w:p w14:paraId="5801ED52" w14:textId="77777777" w:rsidR="00A453C3" w:rsidRDefault="00A453C3" w:rsidP="00A453C3">
      <w:pPr>
        <w:rPr>
          <w:i/>
          <w:szCs w:val="22"/>
          <w:lang w:val="lv-LV"/>
        </w:rPr>
      </w:pPr>
    </w:p>
    <w:p w14:paraId="5CFA5A60" w14:textId="77777777" w:rsidR="00A453C3" w:rsidRDefault="00A453C3">
      <w:pPr>
        <w:keepNext/>
        <w:rPr>
          <w:rFonts w:eastAsia="SimSun"/>
          <w:bCs/>
          <w:szCs w:val="22"/>
          <w:u w:val="single"/>
          <w:lang w:val="lv-LV"/>
        </w:rPr>
        <w:pPrChange w:id="434" w:author="Author">
          <w:pPr>
            <w:autoSpaceDE w:val="0"/>
          </w:pPr>
        </w:pPrChange>
      </w:pPr>
      <w:r>
        <w:rPr>
          <w:rFonts w:eastAsia="SimSun"/>
          <w:bCs/>
          <w:szCs w:val="22"/>
          <w:u w:val="single"/>
          <w:lang w:val="lv-LV"/>
        </w:rPr>
        <w:t>Īpašas pacientu grupas</w:t>
      </w:r>
    </w:p>
    <w:p w14:paraId="79623AE0" w14:textId="77777777" w:rsidR="00A453C3" w:rsidRDefault="00A453C3">
      <w:pPr>
        <w:keepNext/>
        <w:rPr>
          <w:szCs w:val="22"/>
          <w:lang w:val="lv-LV"/>
        </w:rPr>
        <w:pPrChange w:id="435" w:author="Author">
          <w:pPr/>
        </w:pPrChange>
      </w:pPr>
      <w:r>
        <w:rPr>
          <w:i/>
          <w:szCs w:val="22"/>
          <w:lang w:val="lv-LV"/>
        </w:rPr>
        <w:t>Gados vecāki cilvēki</w:t>
      </w:r>
      <w:r>
        <w:rPr>
          <w:szCs w:val="22"/>
          <w:lang w:val="lv-LV"/>
        </w:rPr>
        <w:t xml:space="preserve"> </w:t>
      </w:r>
    </w:p>
    <w:p w14:paraId="4879933E" w14:textId="6A0123F1" w:rsidR="00A453C3" w:rsidRDefault="00A453C3" w:rsidP="00A453C3">
      <w:pPr>
        <w:rPr>
          <w:szCs w:val="22"/>
          <w:lang w:val="lv-LV"/>
        </w:rPr>
      </w:pPr>
      <w:r>
        <w:rPr>
          <w:szCs w:val="22"/>
          <w:lang w:val="lv-LV"/>
        </w:rPr>
        <w:t xml:space="preserve">Gados vecākiem pacientiem </w:t>
      </w:r>
      <w:r w:rsidRPr="00707120">
        <w:rPr>
          <w:noProof/>
          <w:szCs w:val="22"/>
          <w:lang w:val="lv-LV" w:eastAsia="en-US"/>
        </w:rPr>
        <w:t>&gt;</w:t>
      </w:r>
      <w:r>
        <w:rPr>
          <w:noProof/>
          <w:sz w:val="20"/>
          <w:lang w:val="lv-LV" w:eastAsia="en-US"/>
        </w:rPr>
        <w:t> </w:t>
      </w:r>
      <w:r>
        <w:rPr>
          <w:szCs w:val="22"/>
          <w:lang w:val="lv-LV"/>
        </w:rPr>
        <w:t xml:space="preserve">65 gadu vecumā devas pielāgošana nav nepieciešama. </w:t>
      </w:r>
    </w:p>
    <w:p w14:paraId="7B1292B4" w14:textId="77777777" w:rsidR="00A453C3" w:rsidRDefault="00A453C3" w:rsidP="00A453C3">
      <w:pPr>
        <w:rPr>
          <w:szCs w:val="22"/>
          <w:lang w:val="lv-LV"/>
        </w:rPr>
      </w:pPr>
    </w:p>
    <w:p w14:paraId="1292F3C9" w14:textId="48CCD341" w:rsidR="00A453C3" w:rsidRDefault="00A453C3" w:rsidP="00A453C3">
      <w:pPr>
        <w:keepNext/>
        <w:rPr>
          <w:szCs w:val="22"/>
          <w:lang w:val="lv-LV"/>
        </w:rPr>
      </w:pPr>
      <w:r>
        <w:rPr>
          <w:i/>
          <w:szCs w:val="22"/>
          <w:lang w:val="lv-LV"/>
        </w:rPr>
        <w:t>Nieru darbības traucējumi</w:t>
      </w:r>
    </w:p>
    <w:p w14:paraId="2A9F2B2E" w14:textId="74D1445E" w:rsidR="00A453C3" w:rsidRDefault="00A453C3" w:rsidP="00A453C3">
      <w:pPr>
        <w:keepNext/>
        <w:rPr>
          <w:szCs w:val="22"/>
          <w:lang w:val="lv-LV"/>
        </w:rPr>
      </w:pPr>
      <w:r>
        <w:rPr>
          <w:szCs w:val="22"/>
          <w:lang w:val="lv-LV"/>
        </w:rPr>
        <w:t>Pacientiem ar viegliem vai vidēji smagiem nieru darbības traucējumiem deva nav jāpielāgo. Pacientiem ar smagiem nieru darbības traucējumiem tocilizumaba lietošana nav pētīta (skatīt 5.2. apakšpunktu). Šiem pacientiem rūpīgi jākontrolē nieru darbība.</w:t>
      </w:r>
    </w:p>
    <w:p w14:paraId="3748504A" w14:textId="77777777" w:rsidR="00A453C3" w:rsidRDefault="00A453C3" w:rsidP="00A453C3">
      <w:pPr>
        <w:rPr>
          <w:szCs w:val="22"/>
          <w:lang w:val="lv-LV"/>
        </w:rPr>
      </w:pPr>
    </w:p>
    <w:p w14:paraId="6C3CF2C8" w14:textId="1B38CF99" w:rsidR="00A453C3" w:rsidRDefault="00A453C3">
      <w:pPr>
        <w:keepNext/>
        <w:rPr>
          <w:szCs w:val="22"/>
          <w:lang w:val="lv-LV"/>
        </w:rPr>
        <w:pPrChange w:id="436" w:author="Author">
          <w:pPr/>
        </w:pPrChange>
      </w:pPr>
      <w:r>
        <w:rPr>
          <w:i/>
          <w:szCs w:val="22"/>
          <w:lang w:val="lv-LV"/>
        </w:rPr>
        <w:t>Aknu darbības traucējumi</w:t>
      </w:r>
    </w:p>
    <w:p w14:paraId="793AE2EE" w14:textId="6D80E763" w:rsidR="00A453C3" w:rsidRDefault="00A453C3" w:rsidP="00A453C3">
      <w:pPr>
        <w:rPr>
          <w:b/>
          <w:szCs w:val="22"/>
          <w:lang w:val="lv-LV"/>
        </w:rPr>
      </w:pPr>
      <w:r>
        <w:rPr>
          <w:szCs w:val="22"/>
          <w:lang w:val="lv-LV"/>
        </w:rPr>
        <w:t>Tocilizumabs nav pētīts pacientiem ar aknu darbības traucējumiem, tādēļ ieteikumus par devu nav iespējams sniegt.</w:t>
      </w:r>
    </w:p>
    <w:p w14:paraId="6320C376" w14:textId="77777777" w:rsidR="00A453C3" w:rsidRDefault="00A453C3" w:rsidP="00A453C3">
      <w:pPr>
        <w:ind w:left="567" w:hanging="567"/>
        <w:rPr>
          <w:szCs w:val="22"/>
          <w:lang w:val="lv-LV"/>
        </w:rPr>
      </w:pPr>
    </w:p>
    <w:p w14:paraId="7AF78192" w14:textId="77777777" w:rsidR="00A453C3" w:rsidRPr="00661FAD" w:rsidRDefault="00A453C3">
      <w:pPr>
        <w:keepNext/>
        <w:rPr>
          <w:rFonts w:eastAsia="SimSun"/>
          <w:i/>
          <w:iCs/>
          <w:szCs w:val="22"/>
          <w:lang w:val="lv-LV"/>
        </w:rPr>
        <w:pPrChange w:id="437" w:author="Author">
          <w:pPr/>
        </w:pPrChange>
      </w:pPr>
      <w:r w:rsidRPr="00661FAD">
        <w:rPr>
          <w:rFonts w:eastAsia="SimSun"/>
          <w:bCs/>
          <w:i/>
          <w:iCs/>
          <w:szCs w:val="22"/>
          <w:lang w:val="lv-LV"/>
        </w:rPr>
        <w:t>Pediatriskā populācija</w:t>
      </w:r>
    </w:p>
    <w:p w14:paraId="0432B9F9" w14:textId="6EA2EC34" w:rsidR="00A453C3" w:rsidRDefault="00A453C3" w:rsidP="00A453C3">
      <w:pPr>
        <w:rPr>
          <w:szCs w:val="22"/>
          <w:lang w:val="lv-LV"/>
        </w:rPr>
      </w:pPr>
      <w:r>
        <w:rPr>
          <w:szCs w:val="22"/>
          <w:lang w:val="lv-LV"/>
        </w:rPr>
        <w:t>Tocilizumaba subkutāni lietojamās zāļu formas drošums un efektivitāte, lietojot bērniem no dzimšanas brīža līdz 1 gada vecumam, nav pierādīta. Dati nav pieejami.</w:t>
      </w:r>
    </w:p>
    <w:p w14:paraId="291549B8" w14:textId="77777777" w:rsidR="00A453C3" w:rsidRDefault="00A453C3" w:rsidP="00A453C3">
      <w:pPr>
        <w:ind w:left="567" w:hanging="567"/>
        <w:rPr>
          <w:szCs w:val="22"/>
          <w:lang w:val="lv-LV"/>
        </w:rPr>
      </w:pPr>
    </w:p>
    <w:p w14:paraId="30B9DD87" w14:textId="77777777" w:rsidR="00A453C3" w:rsidRPr="005E0BB7" w:rsidRDefault="00A453C3" w:rsidP="00A453C3">
      <w:pPr>
        <w:rPr>
          <w:noProof/>
          <w:lang w:val="lv-LV"/>
        </w:rPr>
      </w:pPr>
      <w:r w:rsidRPr="005E0BB7">
        <w:rPr>
          <w:noProof/>
          <w:lang w:val="lv-LV"/>
        </w:rPr>
        <w:t xml:space="preserve">Devu drīkst mainīt, tikai pamatojoties uz konsekventām pacienta ķermeņa masas izmaiņām laika gaitā. </w:t>
      </w:r>
    </w:p>
    <w:p w14:paraId="65745B08" w14:textId="7B4C8524" w:rsidR="00A453C3" w:rsidRPr="00E1075D" w:rsidRDefault="00A453C3" w:rsidP="00A453C3">
      <w:pPr>
        <w:rPr>
          <w:lang w:val="lv-LV"/>
        </w:rPr>
      </w:pPr>
      <w:r>
        <w:rPr>
          <w:noProof/>
          <w:lang w:val="lv-LV"/>
        </w:rPr>
        <w:t>Tocilizumabu</w:t>
      </w:r>
      <w:r w:rsidRPr="00E1075D">
        <w:rPr>
          <w:noProof/>
          <w:lang w:val="lv-LV"/>
        </w:rPr>
        <w:t xml:space="preserve"> var lietot vienu pašu vai kombinācijā ar MTX.</w:t>
      </w:r>
    </w:p>
    <w:p w14:paraId="3BD53DB0" w14:textId="77777777" w:rsidR="00A453C3" w:rsidRPr="00E1075D" w:rsidRDefault="00A453C3" w:rsidP="00A453C3">
      <w:pPr>
        <w:ind w:left="567" w:hanging="567"/>
        <w:rPr>
          <w:lang w:val="lv-LV"/>
        </w:rPr>
      </w:pPr>
    </w:p>
    <w:p w14:paraId="7EAC6578" w14:textId="77777777" w:rsidR="00A453C3" w:rsidRPr="00707120" w:rsidRDefault="00A453C3" w:rsidP="00707120">
      <w:pPr>
        <w:keepNext/>
        <w:ind w:left="567" w:hanging="567"/>
        <w:rPr>
          <w:i/>
          <w:noProof/>
          <w:u w:val="single"/>
          <w:lang w:val="lv-LV"/>
        </w:rPr>
      </w:pPr>
      <w:r w:rsidRPr="00707120">
        <w:rPr>
          <w:i/>
          <w:noProof/>
          <w:u w:val="single"/>
          <w:lang w:val="lv-LV"/>
        </w:rPr>
        <w:t>Pacienti ar sJIA</w:t>
      </w:r>
    </w:p>
    <w:p w14:paraId="36BDB94F" w14:textId="346B7582" w:rsidR="00A453C3" w:rsidRDefault="00A453C3" w:rsidP="00A453C3">
      <w:pPr>
        <w:rPr>
          <w:noProof/>
          <w:lang w:val="lv-LV"/>
        </w:rPr>
      </w:pPr>
      <w:r w:rsidRPr="00E1075D">
        <w:rPr>
          <w:noProof/>
          <w:lang w:val="lv-LV"/>
        </w:rPr>
        <w:t>Ieteicamā deva pacientiem no 1 gada vecuma ir 162</w:t>
      </w:r>
      <w:r>
        <w:rPr>
          <w:noProof/>
          <w:lang w:val="lv-LV"/>
        </w:rPr>
        <w:t> </w:t>
      </w:r>
      <w:r w:rsidRPr="00E1075D">
        <w:rPr>
          <w:noProof/>
          <w:lang w:val="lv-LV"/>
        </w:rPr>
        <w:t>mg subkutāni vien</w:t>
      </w:r>
      <w:r>
        <w:rPr>
          <w:noProof/>
          <w:lang w:val="lv-LV"/>
        </w:rPr>
        <w:t xml:space="preserve">u </w:t>
      </w:r>
      <w:r w:rsidRPr="00E1075D">
        <w:rPr>
          <w:noProof/>
          <w:lang w:val="lv-LV"/>
        </w:rPr>
        <w:t>reiz</w:t>
      </w:r>
      <w:r>
        <w:rPr>
          <w:noProof/>
          <w:lang w:val="lv-LV"/>
        </w:rPr>
        <w:t>i</w:t>
      </w:r>
      <w:r w:rsidRPr="00E1075D">
        <w:rPr>
          <w:noProof/>
          <w:lang w:val="lv-LV"/>
        </w:rPr>
        <w:t xml:space="preserve"> nedēļā pacientiem, kuru ķermeņa masa ir lielāka par vai vienāda ar 30 kg, vai 162 mg subkutāni ik pēc 2</w:t>
      </w:r>
      <w:r>
        <w:rPr>
          <w:noProof/>
          <w:lang w:val="lv-LV"/>
        </w:rPr>
        <w:t> </w:t>
      </w:r>
      <w:r w:rsidRPr="00E1075D">
        <w:rPr>
          <w:noProof/>
          <w:lang w:val="lv-LV"/>
        </w:rPr>
        <w:t xml:space="preserve">nedēļām pacientiem, kuru ķermeņa masa ir mazāka par 30 kg. </w:t>
      </w:r>
    </w:p>
    <w:p w14:paraId="277AEA56" w14:textId="08661BCB" w:rsidR="00A453C3" w:rsidRPr="00E1075D" w:rsidRDefault="00A453C3" w:rsidP="00A453C3">
      <w:pPr>
        <w:rPr>
          <w:noProof/>
          <w:lang w:val="lv-LV"/>
        </w:rPr>
      </w:pPr>
      <w:r w:rsidRPr="00E1075D">
        <w:rPr>
          <w:noProof/>
          <w:lang w:val="lv-LV"/>
        </w:rPr>
        <w:t>Pacient</w:t>
      </w:r>
      <w:r>
        <w:rPr>
          <w:noProof/>
          <w:lang w:val="lv-LV"/>
        </w:rPr>
        <w:t>u</w:t>
      </w:r>
      <w:r w:rsidRPr="00E1075D">
        <w:rPr>
          <w:noProof/>
          <w:lang w:val="lv-LV"/>
        </w:rPr>
        <w:t xml:space="preserve"> ķermeņa masai </w:t>
      </w:r>
      <w:r>
        <w:rPr>
          <w:noProof/>
          <w:lang w:val="lv-LV"/>
        </w:rPr>
        <w:t>tocilizumaba</w:t>
      </w:r>
      <w:r w:rsidRPr="00E1075D">
        <w:rPr>
          <w:noProof/>
          <w:lang w:val="lv-LV"/>
        </w:rPr>
        <w:t xml:space="preserve"> </w:t>
      </w:r>
      <w:r>
        <w:rPr>
          <w:noProof/>
          <w:lang w:val="lv-LV"/>
        </w:rPr>
        <w:t xml:space="preserve">subkutānas </w:t>
      </w:r>
      <w:r w:rsidRPr="00E1075D">
        <w:rPr>
          <w:noProof/>
          <w:lang w:val="lv-LV"/>
        </w:rPr>
        <w:t xml:space="preserve">lietošanas laikā jābūt vismaz 10 kg. </w:t>
      </w:r>
    </w:p>
    <w:p w14:paraId="317CA887" w14:textId="77777777" w:rsidR="00A453C3" w:rsidRDefault="00A453C3" w:rsidP="00A453C3">
      <w:pPr>
        <w:ind w:left="567" w:hanging="567"/>
        <w:rPr>
          <w:szCs w:val="22"/>
          <w:lang w:val="lv-LV"/>
        </w:rPr>
      </w:pPr>
    </w:p>
    <w:p w14:paraId="165A213B" w14:textId="77777777" w:rsidR="00A453C3" w:rsidRPr="00707120" w:rsidRDefault="00A453C3" w:rsidP="00707120">
      <w:pPr>
        <w:keepNext/>
        <w:ind w:left="567" w:hanging="567"/>
        <w:rPr>
          <w:noProof/>
          <w:u w:val="single"/>
          <w:lang w:val="lv-LV"/>
        </w:rPr>
      </w:pPr>
      <w:r w:rsidRPr="00707120">
        <w:rPr>
          <w:i/>
          <w:noProof/>
          <w:u w:val="single"/>
          <w:lang w:val="lv-LV"/>
        </w:rPr>
        <w:t>Pacienti ar pJIA</w:t>
      </w:r>
    </w:p>
    <w:p w14:paraId="1AB99446" w14:textId="5045023A" w:rsidR="00A453C3" w:rsidRPr="00700C92" w:rsidRDefault="00A453C3" w:rsidP="00A453C3">
      <w:pPr>
        <w:ind w:left="9"/>
        <w:rPr>
          <w:noProof/>
          <w:lang w:val="lv-LV"/>
        </w:rPr>
      </w:pPr>
      <w:r w:rsidRPr="00700C92">
        <w:rPr>
          <w:noProof/>
          <w:lang w:val="lv-LV"/>
        </w:rPr>
        <w:t>Ieteicamā deva pacientiem no 2 gadu vecuma ir subkutāni ievadīti 162</w:t>
      </w:r>
      <w:r>
        <w:rPr>
          <w:noProof/>
          <w:lang w:val="lv-LV"/>
        </w:rPr>
        <w:t> </w:t>
      </w:r>
      <w:r w:rsidRPr="00700C92">
        <w:rPr>
          <w:noProof/>
          <w:lang w:val="lv-LV"/>
        </w:rPr>
        <w:t>mg reizi 2</w:t>
      </w:r>
      <w:r>
        <w:rPr>
          <w:noProof/>
          <w:lang w:val="lv-LV"/>
        </w:rPr>
        <w:t> </w:t>
      </w:r>
      <w:r w:rsidRPr="00700C92">
        <w:rPr>
          <w:noProof/>
          <w:lang w:val="lv-LV"/>
        </w:rPr>
        <w:t>nedēļās pacientiem, kuru ķermeņa masa ir lielāka par vai vienāda ar 30</w:t>
      </w:r>
      <w:r>
        <w:rPr>
          <w:noProof/>
          <w:lang w:val="lv-LV"/>
        </w:rPr>
        <w:t> </w:t>
      </w:r>
      <w:r w:rsidRPr="00700C92">
        <w:rPr>
          <w:noProof/>
          <w:lang w:val="lv-LV"/>
        </w:rPr>
        <w:t>kg, vai subkutāni ievad</w:t>
      </w:r>
      <w:r>
        <w:rPr>
          <w:noProof/>
          <w:lang w:val="lv-LV"/>
        </w:rPr>
        <w:t xml:space="preserve">īti </w:t>
      </w:r>
      <w:r w:rsidRPr="00700C92">
        <w:rPr>
          <w:noProof/>
          <w:lang w:val="lv-LV"/>
        </w:rPr>
        <w:t>162</w:t>
      </w:r>
      <w:r>
        <w:rPr>
          <w:noProof/>
          <w:lang w:val="lv-LV"/>
        </w:rPr>
        <w:t> </w:t>
      </w:r>
      <w:r w:rsidRPr="00700C92">
        <w:rPr>
          <w:noProof/>
          <w:lang w:val="lv-LV"/>
        </w:rPr>
        <w:t xml:space="preserve">mg </w:t>
      </w:r>
      <w:r>
        <w:rPr>
          <w:noProof/>
          <w:lang w:val="lv-LV"/>
        </w:rPr>
        <w:t xml:space="preserve">reizi </w:t>
      </w:r>
      <w:r w:rsidRPr="00700C92">
        <w:rPr>
          <w:noProof/>
          <w:lang w:val="lv-LV"/>
        </w:rPr>
        <w:t>3</w:t>
      </w:r>
      <w:r>
        <w:rPr>
          <w:noProof/>
          <w:lang w:val="lv-LV"/>
        </w:rPr>
        <w:t xml:space="preserve"> nedēļās pacientiem, kuru ķermeņa masa ir mazāka par </w:t>
      </w:r>
      <w:r w:rsidRPr="00700C92">
        <w:rPr>
          <w:noProof/>
          <w:lang w:val="lv-LV"/>
        </w:rPr>
        <w:t>30</w:t>
      </w:r>
      <w:r>
        <w:rPr>
          <w:noProof/>
          <w:lang w:val="lv-LV"/>
        </w:rPr>
        <w:t> </w:t>
      </w:r>
      <w:r w:rsidRPr="00700C92">
        <w:rPr>
          <w:noProof/>
          <w:lang w:val="lv-LV"/>
        </w:rPr>
        <w:t>kg.</w:t>
      </w:r>
    </w:p>
    <w:p w14:paraId="5C7A11FA" w14:textId="77777777" w:rsidR="00A453C3" w:rsidRDefault="00A453C3" w:rsidP="00A453C3">
      <w:pPr>
        <w:ind w:left="9"/>
        <w:rPr>
          <w:noProof/>
          <w:lang w:val="lv-LV"/>
        </w:rPr>
      </w:pPr>
    </w:p>
    <w:p w14:paraId="521087C6" w14:textId="77777777" w:rsidR="00A453C3" w:rsidRPr="005014A7" w:rsidRDefault="00A453C3" w:rsidP="00707120">
      <w:pPr>
        <w:keepNext/>
        <w:ind w:left="9"/>
        <w:rPr>
          <w:noProof/>
          <w:lang w:val="lv-LV"/>
        </w:rPr>
      </w:pPr>
      <w:r>
        <w:rPr>
          <w:i/>
          <w:iCs/>
          <w:noProof/>
          <w:u w:val="single"/>
          <w:lang w:val="lv-LV"/>
        </w:rPr>
        <w:t>Pacienti ar sJIA vai pJIA</w:t>
      </w:r>
    </w:p>
    <w:p w14:paraId="5F359C9B" w14:textId="02734FDA" w:rsidR="00A453C3" w:rsidRPr="00707120" w:rsidRDefault="00A453C3" w:rsidP="00A453C3">
      <w:pPr>
        <w:keepNext/>
        <w:keepLines/>
        <w:ind w:left="567" w:hanging="567"/>
        <w:rPr>
          <w:bCs/>
          <w:noProof/>
          <w:lang w:val="lv-LV"/>
        </w:rPr>
      </w:pPr>
      <w:r w:rsidRPr="00707120">
        <w:rPr>
          <w:noProof/>
          <w:lang w:val="lv-LV"/>
        </w:rPr>
        <w:t xml:space="preserve">Devas pielāgošana laboratorisko vērtību noviržu dēļ </w:t>
      </w:r>
    </w:p>
    <w:p w14:paraId="0E350347" w14:textId="1CCB1D70" w:rsidR="00A453C3" w:rsidRPr="00700C92" w:rsidRDefault="00A453C3" w:rsidP="00707120">
      <w:pPr>
        <w:keepLines/>
        <w:ind w:left="9"/>
        <w:rPr>
          <w:noProof/>
          <w:lang w:val="lv-LV"/>
        </w:rPr>
      </w:pPr>
      <w:r>
        <w:rPr>
          <w:noProof/>
          <w:lang w:val="lv-LV"/>
        </w:rPr>
        <w:t xml:space="preserve">Ja tas ir atbilstoši, līdz klīniskā stāvokļa novērtēšanas pabeigšanai jāmaina vienlaicīgi lietotā </w:t>
      </w:r>
      <w:r w:rsidRPr="00700C92">
        <w:rPr>
          <w:noProof/>
          <w:lang w:val="lv-LV"/>
        </w:rPr>
        <w:t>MTX un/vai citu z</w:t>
      </w:r>
      <w:r>
        <w:rPr>
          <w:noProof/>
          <w:lang w:val="lv-LV"/>
        </w:rPr>
        <w:t xml:space="preserve">āļu deva vai arī pilnīgi jāpārtrauc šādu zāļu lietošana, un uz laiku jāpārtrauc </w:t>
      </w:r>
      <w:r w:rsidRPr="00700C92">
        <w:rPr>
          <w:noProof/>
          <w:lang w:val="lv-LV"/>
        </w:rPr>
        <w:t>tocilizumaba lieto</w:t>
      </w:r>
      <w:r>
        <w:rPr>
          <w:noProof/>
          <w:lang w:val="lv-LV"/>
        </w:rPr>
        <w:t>šana</w:t>
      </w:r>
      <w:r w:rsidRPr="00700C92">
        <w:rPr>
          <w:noProof/>
          <w:lang w:val="lv-LV"/>
        </w:rPr>
        <w:t xml:space="preserve">. </w:t>
      </w:r>
      <w:r>
        <w:rPr>
          <w:noProof/>
          <w:lang w:val="lv-LV"/>
        </w:rPr>
        <w:t xml:space="preserve">Tā kā sJIA vai pJIA gadījumā laboratoriskos rādītājus var ietekmēt daudzas blakusslimības, lēmumam par </w:t>
      </w:r>
      <w:r w:rsidRPr="00700C92">
        <w:rPr>
          <w:noProof/>
          <w:lang w:val="lv-LV"/>
        </w:rPr>
        <w:t xml:space="preserve">tocilizumaba terapijas </w:t>
      </w:r>
      <w:r>
        <w:rPr>
          <w:noProof/>
          <w:lang w:val="lv-LV"/>
        </w:rPr>
        <w:t xml:space="preserve">izbeigšanu </w:t>
      </w:r>
      <w:r w:rsidRPr="00700C92">
        <w:rPr>
          <w:noProof/>
          <w:lang w:val="lv-LV"/>
        </w:rPr>
        <w:t xml:space="preserve">laboratorisko </w:t>
      </w:r>
      <w:r>
        <w:rPr>
          <w:noProof/>
          <w:lang w:val="lv-LV"/>
        </w:rPr>
        <w:t xml:space="preserve">rādītāju </w:t>
      </w:r>
      <w:r w:rsidRPr="00700C92">
        <w:rPr>
          <w:noProof/>
          <w:lang w:val="lv-LV"/>
        </w:rPr>
        <w:t>noviržu dēļ jābūt balstītam uz konkrētā pacienta medicīniskā stāvokļa novērtējumu.</w:t>
      </w:r>
    </w:p>
    <w:p w14:paraId="22CB777D" w14:textId="77777777" w:rsidR="00A453C3" w:rsidRPr="00700C92" w:rsidRDefault="00A453C3" w:rsidP="00A453C3">
      <w:pPr>
        <w:ind w:left="567" w:hanging="567"/>
        <w:rPr>
          <w:noProof/>
          <w:szCs w:val="22"/>
          <w:lang w:val="lv-LV"/>
        </w:rPr>
      </w:pPr>
    </w:p>
    <w:p w14:paraId="72B3AED4" w14:textId="664379C4" w:rsidR="00A453C3" w:rsidRDefault="006334B7" w:rsidP="00707120">
      <w:pPr>
        <w:pStyle w:val="ListParagraph"/>
        <w:keepNext/>
        <w:keepLines/>
        <w:ind w:left="567" w:hanging="567"/>
      </w:pPr>
      <w:r>
        <w:rPr>
          <w:lang w:val="nb-NO"/>
        </w:rPr>
        <w:sym w:font="Symbol" w:char="F0B7"/>
      </w:r>
      <w:r>
        <w:rPr>
          <w:lang w:val="nb-NO"/>
        </w:rPr>
        <w:tab/>
      </w:r>
      <w:r w:rsidR="00A453C3">
        <w:t xml:space="preserve">Aknu enzīmu </w:t>
      </w:r>
      <w:ins w:id="438" w:author="Regulatory LV" w:date="2026-03-17T11:32:00Z">
        <w:r w:rsidR="00D20F5A">
          <w:rPr>
            <w:szCs w:val="22"/>
            <w:lang w:val="lv-LV"/>
          </w:rPr>
          <w:t xml:space="preserve">līmeņa </w:t>
        </w:r>
      </w:ins>
      <w:r w:rsidR="00A453C3">
        <w:t>patoloģi</w:t>
      </w:r>
      <w:ins w:id="439" w:author="Regulatory LV" w:date="2026-03-17T11:33:00Z">
        <w:r w:rsidR="00D20F5A">
          <w:t>sk</w:t>
        </w:r>
      </w:ins>
      <w:del w:id="440" w:author="Regulatory LV" w:date="2026-03-17T11:33:00Z">
        <w:r w:rsidR="00A453C3" w:rsidDel="00D20F5A">
          <w:delText>j</w:delText>
        </w:r>
      </w:del>
      <w:r w:rsidR="00A453C3">
        <w:t>as</w:t>
      </w:r>
      <w:ins w:id="441" w:author="Regulatory LV" w:date="2026-03-17T11:33:00Z">
        <w:r w:rsidR="00D20F5A">
          <w:t xml:space="preserve"> izmaiņas</w:t>
        </w:r>
      </w:ins>
    </w:p>
    <w:p w14:paraId="7246F299" w14:textId="77777777" w:rsidR="00A453C3" w:rsidRPr="008B5E8B" w:rsidRDefault="00A453C3" w:rsidP="00707120">
      <w:pPr>
        <w:keepNext/>
        <w:keepLines/>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9"/>
        <w:gridCol w:w="6443"/>
      </w:tblGrid>
      <w:tr w:rsidR="00A453C3" w:rsidRPr="005014A7" w14:paraId="39B6BC3F" w14:textId="77777777" w:rsidTr="00707120">
        <w:tc>
          <w:tcPr>
            <w:tcW w:w="2629" w:type="dxa"/>
          </w:tcPr>
          <w:p w14:paraId="26D5D3E4" w14:textId="77777777" w:rsidR="00A453C3" w:rsidRPr="00707120" w:rsidRDefault="00A453C3" w:rsidP="0067693D">
            <w:pPr>
              <w:pStyle w:val="TextTi12"/>
              <w:keepNext/>
              <w:keepLines/>
              <w:jc w:val="center"/>
              <w:rPr>
                <w:rFonts w:eastAsia="MS Mincho"/>
                <w:bCs/>
                <w:sz w:val="22"/>
                <w:szCs w:val="22"/>
              </w:rPr>
            </w:pPr>
            <w:r w:rsidRPr="00707120">
              <w:rPr>
                <w:rFonts w:eastAsia="MS Mincho"/>
                <w:bCs/>
                <w:sz w:val="22"/>
                <w:szCs w:val="22"/>
              </w:rPr>
              <w:t>Laboratorisko izmeklējumu rezultāti</w:t>
            </w:r>
          </w:p>
        </w:tc>
        <w:tc>
          <w:tcPr>
            <w:tcW w:w="6443" w:type="dxa"/>
          </w:tcPr>
          <w:p w14:paraId="742E927D" w14:textId="77777777" w:rsidR="00A453C3" w:rsidRPr="00707120" w:rsidRDefault="00A453C3" w:rsidP="0067693D">
            <w:pPr>
              <w:pStyle w:val="TextTi12"/>
              <w:keepNext/>
              <w:keepLines/>
              <w:jc w:val="center"/>
              <w:rPr>
                <w:rFonts w:eastAsia="MS Mincho"/>
                <w:bCs/>
                <w:sz w:val="22"/>
                <w:szCs w:val="22"/>
              </w:rPr>
            </w:pPr>
            <w:r w:rsidRPr="00707120">
              <w:rPr>
                <w:rFonts w:eastAsia="MS Mincho"/>
                <w:bCs/>
                <w:sz w:val="22"/>
                <w:szCs w:val="22"/>
              </w:rPr>
              <w:t>Rīcība</w:t>
            </w:r>
          </w:p>
        </w:tc>
      </w:tr>
      <w:tr w:rsidR="00A453C3" w:rsidRPr="00EC2F43" w14:paraId="4C3D4627" w14:textId="77777777" w:rsidTr="00707120">
        <w:tc>
          <w:tcPr>
            <w:tcW w:w="2629" w:type="dxa"/>
          </w:tcPr>
          <w:p w14:paraId="32609A06" w14:textId="26FBA093" w:rsidR="00A453C3" w:rsidRPr="008B5E8B" w:rsidRDefault="00A453C3" w:rsidP="00707120">
            <w:pPr>
              <w:pStyle w:val="TextTi12"/>
              <w:keepNext/>
              <w:keepLines/>
              <w:jc w:val="left"/>
              <w:rPr>
                <w:rFonts w:eastAsia="MS Mincho"/>
                <w:sz w:val="22"/>
                <w:szCs w:val="22"/>
              </w:rPr>
            </w:pPr>
            <w:r w:rsidRPr="008B5E8B">
              <w:rPr>
                <w:rFonts w:eastAsia="MS Mincho"/>
                <w:sz w:val="22"/>
                <w:szCs w:val="22"/>
              </w:rPr>
              <w:t>&gt;</w:t>
            </w:r>
            <w:r>
              <w:rPr>
                <w:rFonts w:eastAsia="MS Mincho"/>
                <w:sz w:val="22"/>
                <w:szCs w:val="22"/>
              </w:rPr>
              <w:t> </w:t>
            </w:r>
            <w:r w:rsidRPr="008B5E8B">
              <w:rPr>
                <w:rFonts w:eastAsia="MS Mincho"/>
                <w:sz w:val="22"/>
                <w:szCs w:val="22"/>
              </w:rPr>
              <w:t>1</w:t>
            </w:r>
            <w:r>
              <w:rPr>
                <w:rFonts w:eastAsia="MS Mincho"/>
                <w:sz w:val="22"/>
                <w:szCs w:val="22"/>
              </w:rPr>
              <w:noBreakHyphen/>
            </w:r>
            <w:r w:rsidRPr="008B5E8B">
              <w:rPr>
                <w:rFonts w:eastAsia="MS Mincho"/>
                <w:sz w:val="22"/>
                <w:szCs w:val="22"/>
              </w:rPr>
              <w:t>3</w:t>
            </w:r>
            <w:r>
              <w:rPr>
                <w:rFonts w:eastAsia="MS Mincho"/>
                <w:sz w:val="22"/>
                <w:szCs w:val="22"/>
              </w:rPr>
              <w:t> reizes pārsniedz NAR</w:t>
            </w:r>
          </w:p>
        </w:tc>
        <w:tc>
          <w:tcPr>
            <w:tcW w:w="6443" w:type="dxa"/>
          </w:tcPr>
          <w:p w14:paraId="3F01A98D" w14:textId="64515F46" w:rsidR="00A453C3" w:rsidRPr="004414A4" w:rsidRDefault="00A453C3" w:rsidP="0067693D">
            <w:pPr>
              <w:pStyle w:val="TextTi12"/>
              <w:keepNext/>
              <w:keepLines/>
              <w:jc w:val="left"/>
              <w:rPr>
                <w:rFonts w:eastAsia="MS Mincho"/>
                <w:sz w:val="22"/>
                <w:szCs w:val="22"/>
              </w:rPr>
            </w:pPr>
            <w:r w:rsidRPr="004414A4">
              <w:rPr>
                <w:rFonts w:eastAsia="MS Mincho"/>
                <w:sz w:val="22"/>
                <w:szCs w:val="22"/>
              </w:rPr>
              <w:t>Ja nepieciešams, jāmaina vienlaikus lietotā MTX deva.</w:t>
            </w:r>
          </w:p>
          <w:p w14:paraId="3DD26A1A" w14:textId="20C0DBB2" w:rsidR="00A453C3" w:rsidRPr="004414A4" w:rsidRDefault="00A453C3" w:rsidP="0067693D">
            <w:pPr>
              <w:pStyle w:val="TextTi12"/>
              <w:keepNext/>
              <w:keepLines/>
              <w:jc w:val="left"/>
              <w:rPr>
                <w:rFonts w:eastAsia="MS Mincho"/>
                <w:sz w:val="22"/>
                <w:szCs w:val="22"/>
              </w:rPr>
            </w:pPr>
            <w:r w:rsidRPr="004414A4">
              <w:rPr>
                <w:rFonts w:eastAsia="MS Mincho"/>
                <w:sz w:val="22"/>
                <w:szCs w:val="22"/>
              </w:rPr>
              <w:t xml:space="preserve">Ja rādītāji ir pastāvīgi palielināti, iekļaujoties šajās robežās, tocilizumaba lietošana ir jāpārtrauc, līdz ALAT/ASAT līmenis ir normalizējies. </w:t>
            </w:r>
          </w:p>
        </w:tc>
      </w:tr>
      <w:tr w:rsidR="00A453C3" w:rsidRPr="00EC2F43" w14:paraId="3A0B826A" w14:textId="77777777" w:rsidTr="00707120">
        <w:tc>
          <w:tcPr>
            <w:tcW w:w="2629" w:type="dxa"/>
          </w:tcPr>
          <w:p w14:paraId="0D779716" w14:textId="0FADAA1C" w:rsidR="00A453C3" w:rsidRPr="008B5E8B" w:rsidRDefault="00A453C3" w:rsidP="0067693D">
            <w:pPr>
              <w:pStyle w:val="TextTi12"/>
              <w:jc w:val="left"/>
              <w:rPr>
                <w:rFonts w:eastAsia="MS Mincho"/>
                <w:sz w:val="22"/>
                <w:szCs w:val="22"/>
              </w:rPr>
            </w:pPr>
            <w:r w:rsidRPr="008B5E8B">
              <w:rPr>
                <w:rFonts w:eastAsia="MS Mincho"/>
                <w:sz w:val="22"/>
                <w:szCs w:val="22"/>
              </w:rPr>
              <w:t>&gt;</w:t>
            </w:r>
            <w:r>
              <w:rPr>
                <w:rFonts w:eastAsia="MS Mincho"/>
                <w:sz w:val="22"/>
                <w:szCs w:val="22"/>
              </w:rPr>
              <w:t> </w:t>
            </w:r>
            <w:r w:rsidRPr="008B5E8B">
              <w:rPr>
                <w:rFonts w:eastAsia="MS Mincho"/>
                <w:sz w:val="22"/>
                <w:szCs w:val="22"/>
              </w:rPr>
              <w:t>3</w:t>
            </w:r>
            <w:r>
              <w:rPr>
                <w:rFonts w:eastAsia="MS Mincho"/>
                <w:sz w:val="22"/>
                <w:szCs w:val="22"/>
              </w:rPr>
              <w:noBreakHyphen/>
              <w:t>5 reizes pārsniedz NAR</w:t>
            </w:r>
          </w:p>
        </w:tc>
        <w:tc>
          <w:tcPr>
            <w:tcW w:w="6443" w:type="dxa"/>
          </w:tcPr>
          <w:p w14:paraId="3FEBE735" w14:textId="4EC7359B" w:rsidR="00A453C3" w:rsidRPr="004414A4" w:rsidRDefault="00A453C3" w:rsidP="0067693D">
            <w:pPr>
              <w:pStyle w:val="TextTi12"/>
              <w:jc w:val="left"/>
              <w:rPr>
                <w:rFonts w:eastAsia="MS Mincho"/>
                <w:sz w:val="22"/>
                <w:szCs w:val="22"/>
              </w:rPr>
            </w:pPr>
            <w:r w:rsidRPr="004414A4">
              <w:rPr>
                <w:rFonts w:eastAsia="MS Mincho"/>
                <w:sz w:val="22"/>
                <w:szCs w:val="22"/>
              </w:rPr>
              <w:t>Ja nepieciešams, jāmaina vienlaikus lietotā MTX deva.</w:t>
            </w:r>
          </w:p>
          <w:p w14:paraId="3897FE82" w14:textId="25906E4D" w:rsidR="00A453C3" w:rsidRPr="0053653F" w:rsidRDefault="00A453C3" w:rsidP="0067693D">
            <w:pPr>
              <w:pStyle w:val="TextTi12"/>
              <w:jc w:val="left"/>
              <w:rPr>
                <w:rFonts w:eastAsia="MS Mincho"/>
                <w:sz w:val="22"/>
                <w:szCs w:val="22"/>
              </w:rPr>
            </w:pPr>
            <w:r w:rsidRPr="00707120">
              <w:rPr>
                <w:rFonts w:eastAsia="MS Mincho"/>
                <w:sz w:val="22"/>
                <w:szCs w:val="22"/>
                <w:lang w:val="lv-LV"/>
              </w:rPr>
              <w:t>Tocilizumaba lietošana ir uz laiku jāpārtrauc, līdz attiecīgās vērtības &lt; 3 reizes pārsniedz NAR, un jāievēro augstākminētie ieteikumi gadījumiem, ja vērtības &gt; 1</w:t>
            </w:r>
            <w:r w:rsidRPr="00707120">
              <w:rPr>
                <w:rFonts w:eastAsia="MS Mincho"/>
                <w:sz w:val="22"/>
                <w:szCs w:val="22"/>
                <w:lang w:val="lv-LV"/>
              </w:rPr>
              <w:noBreakHyphen/>
              <w:t>3 reizes pārsniedz NAR.</w:t>
            </w:r>
          </w:p>
        </w:tc>
      </w:tr>
      <w:tr w:rsidR="00A453C3" w:rsidRPr="00903A29" w14:paraId="2D1CF62E" w14:textId="77777777" w:rsidTr="00707120">
        <w:tc>
          <w:tcPr>
            <w:tcW w:w="2629" w:type="dxa"/>
          </w:tcPr>
          <w:p w14:paraId="6696F765" w14:textId="30E447D5" w:rsidR="00A453C3" w:rsidRPr="008B5E8B" w:rsidRDefault="00A453C3" w:rsidP="0067693D">
            <w:pPr>
              <w:pStyle w:val="TextTi12"/>
              <w:jc w:val="left"/>
              <w:rPr>
                <w:rFonts w:eastAsia="MS Mincho"/>
                <w:sz w:val="22"/>
                <w:szCs w:val="22"/>
              </w:rPr>
            </w:pPr>
            <w:r w:rsidRPr="008B5E8B">
              <w:rPr>
                <w:rFonts w:eastAsia="MS Mincho"/>
                <w:sz w:val="22"/>
                <w:szCs w:val="22"/>
              </w:rPr>
              <w:t>&gt;</w:t>
            </w:r>
            <w:r>
              <w:rPr>
                <w:rFonts w:eastAsia="MS Mincho"/>
                <w:sz w:val="22"/>
                <w:szCs w:val="22"/>
              </w:rPr>
              <w:t> </w:t>
            </w:r>
            <w:r w:rsidRPr="008B5E8B">
              <w:rPr>
                <w:rFonts w:eastAsia="MS Mincho"/>
                <w:sz w:val="22"/>
                <w:szCs w:val="22"/>
              </w:rPr>
              <w:t>5</w:t>
            </w:r>
            <w:r>
              <w:rPr>
                <w:rFonts w:eastAsia="MS Mincho"/>
                <w:sz w:val="22"/>
                <w:szCs w:val="22"/>
              </w:rPr>
              <w:t> reizes p</w:t>
            </w:r>
            <w:r>
              <w:rPr>
                <w:rFonts w:eastAsia="MS Mincho"/>
                <w:sz w:val="22"/>
                <w:szCs w:val="22"/>
                <w:lang w:val="lv-LV"/>
              </w:rPr>
              <w:t>ārsniedz NAR</w:t>
            </w:r>
          </w:p>
        </w:tc>
        <w:tc>
          <w:tcPr>
            <w:tcW w:w="6443" w:type="dxa"/>
          </w:tcPr>
          <w:p w14:paraId="489DC431" w14:textId="40A47146" w:rsidR="00A453C3" w:rsidRPr="00707120" w:rsidRDefault="00A453C3" w:rsidP="0067693D">
            <w:pPr>
              <w:pStyle w:val="TextTi12"/>
              <w:jc w:val="left"/>
              <w:rPr>
                <w:rFonts w:eastAsia="MS Mincho"/>
                <w:sz w:val="22"/>
                <w:szCs w:val="22"/>
                <w:lang w:val="es-ES"/>
              </w:rPr>
            </w:pPr>
            <w:r w:rsidRPr="00707120">
              <w:rPr>
                <w:rFonts w:eastAsia="MS Mincho"/>
                <w:sz w:val="22"/>
                <w:szCs w:val="22"/>
                <w:lang w:val="es-ES"/>
              </w:rPr>
              <w:t xml:space="preserve">Tocilizumaba terapija ir pilnīgi jāpārtrauc. </w:t>
            </w:r>
          </w:p>
          <w:p w14:paraId="677C7838" w14:textId="00B4A87E" w:rsidR="00A453C3" w:rsidRPr="00707120" w:rsidRDefault="00A453C3" w:rsidP="0067693D">
            <w:pPr>
              <w:pStyle w:val="TextTi12"/>
              <w:jc w:val="left"/>
              <w:rPr>
                <w:rFonts w:eastAsia="MS Mincho"/>
                <w:sz w:val="22"/>
                <w:szCs w:val="22"/>
                <w:lang w:val="es-ES"/>
              </w:rPr>
            </w:pPr>
            <w:r w:rsidRPr="00707120">
              <w:rPr>
                <w:rFonts w:eastAsia="MS Mincho"/>
                <w:sz w:val="22"/>
                <w:szCs w:val="22"/>
                <w:lang w:val="es-ES"/>
              </w:rPr>
              <w:t xml:space="preserve">Lēmums </w:t>
            </w:r>
            <w:del w:id="442" w:author="Author">
              <w:r w:rsidRPr="00707120" w:rsidDel="00CE6B8D">
                <w:rPr>
                  <w:rFonts w:eastAsia="MS Mincho"/>
                  <w:sz w:val="22"/>
                  <w:szCs w:val="22"/>
                  <w:lang w:val="es-ES"/>
                </w:rPr>
                <w:delText xml:space="preserve"> </w:delText>
              </w:r>
            </w:del>
            <w:r w:rsidRPr="00707120">
              <w:rPr>
                <w:rFonts w:eastAsia="MS Mincho"/>
                <w:sz w:val="22"/>
                <w:szCs w:val="22"/>
                <w:lang w:val="es-ES"/>
              </w:rPr>
              <w:t>pārtraukt terapiju sJIA un pJIA gadījumā laboratorisko vērtību noviržu dēļ jāpamato ar konkrētā pacienta medicīniskās izmeklēšanas rezultātiem.</w:t>
            </w:r>
          </w:p>
        </w:tc>
      </w:tr>
    </w:tbl>
    <w:p w14:paraId="4B1D0386" w14:textId="77777777" w:rsidR="00A453C3" w:rsidRPr="00707120" w:rsidRDefault="00A453C3" w:rsidP="00A453C3">
      <w:pPr>
        <w:rPr>
          <w:lang w:val="es-ES"/>
        </w:rPr>
      </w:pPr>
    </w:p>
    <w:p w14:paraId="331D0A17" w14:textId="6BA750C2" w:rsidR="00A453C3" w:rsidRPr="00707120" w:rsidRDefault="006334B7" w:rsidP="00707120">
      <w:pPr>
        <w:pStyle w:val="ListParagraph"/>
        <w:ind w:left="567" w:hanging="567"/>
        <w:rPr>
          <w:lang w:val="es-ES"/>
        </w:rPr>
      </w:pPr>
      <w:r>
        <w:rPr>
          <w:lang w:val="nb-NO"/>
        </w:rPr>
        <w:sym w:font="Symbol" w:char="F0B7"/>
      </w:r>
      <w:r>
        <w:rPr>
          <w:lang w:val="nb-NO"/>
        </w:rPr>
        <w:tab/>
      </w:r>
      <w:r w:rsidR="00A453C3" w:rsidRPr="00707120">
        <w:rPr>
          <w:lang w:val="es-ES"/>
        </w:rPr>
        <w:t>Samazināts absolūtais neitrofilo leikocītu skaits (ANS)</w:t>
      </w:r>
    </w:p>
    <w:p w14:paraId="7C18E919" w14:textId="77777777" w:rsidR="00A453C3" w:rsidRPr="00707120" w:rsidRDefault="00A453C3" w:rsidP="00A453C3">
      <w:pPr>
        <w:ind w:left="714" w:hanging="357"/>
        <w:rPr>
          <w:lang w:val="es-E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6"/>
        <w:gridCol w:w="6659"/>
      </w:tblGrid>
      <w:tr w:rsidR="00A453C3" w:rsidRPr="005014A7" w14:paraId="07B76489" w14:textId="77777777" w:rsidTr="0067693D">
        <w:tc>
          <w:tcPr>
            <w:tcW w:w="2406" w:type="dxa"/>
          </w:tcPr>
          <w:p w14:paraId="62B34EA1" w14:textId="70A25BDC" w:rsidR="00A453C3" w:rsidRPr="00707120" w:rsidRDefault="00A453C3" w:rsidP="0067693D">
            <w:pPr>
              <w:pStyle w:val="TextTi12"/>
              <w:jc w:val="center"/>
              <w:rPr>
                <w:rFonts w:eastAsia="MS Mincho"/>
                <w:bCs/>
                <w:sz w:val="22"/>
                <w:szCs w:val="22"/>
                <w:lang w:val="lv-LV"/>
              </w:rPr>
            </w:pPr>
            <w:r w:rsidRPr="00707120">
              <w:rPr>
                <w:rFonts w:eastAsia="MS Mincho"/>
                <w:bCs/>
                <w:sz w:val="22"/>
                <w:szCs w:val="22"/>
                <w:lang w:val="lv-LV"/>
              </w:rPr>
              <w:t>Laboratorisko izmeklējumu rezultāti</w:t>
            </w:r>
            <w:r w:rsidRPr="00707120">
              <w:rPr>
                <w:rFonts w:eastAsia="MS Mincho"/>
                <w:bCs/>
                <w:sz w:val="22"/>
                <w:szCs w:val="22"/>
                <w:lang w:val="lv-LV"/>
              </w:rPr>
              <w:br/>
              <w:t>(šūnas × 10</w:t>
            </w:r>
            <w:r w:rsidRPr="00707120">
              <w:rPr>
                <w:rFonts w:eastAsia="MS Mincho"/>
                <w:bCs/>
                <w:sz w:val="22"/>
                <w:szCs w:val="22"/>
                <w:vertAlign w:val="superscript"/>
                <w:lang w:val="lv-LV"/>
              </w:rPr>
              <w:t>9</w:t>
            </w:r>
            <w:r w:rsidRPr="00707120">
              <w:rPr>
                <w:rFonts w:eastAsia="MS Mincho"/>
                <w:bCs/>
                <w:sz w:val="22"/>
                <w:szCs w:val="22"/>
                <w:lang w:val="lv-LV"/>
              </w:rPr>
              <w:t>/l)</w:t>
            </w:r>
          </w:p>
        </w:tc>
        <w:tc>
          <w:tcPr>
            <w:tcW w:w="6659" w:type="dxa"/>
          </w:tcPr>
          <w:p w14:paraId="13DC5BB8" w14:textId="77777777" w:rsidR="00A453C3" w:rsidRPr="00707120" w:rsidRDefault="00A453C3" w:rsidP="0067693D">
            <w:pPr>
              <w:pStyle w:val="TextTi12"/>
              <w:jc w:val="center"/>
              <w:rPr>
                <w:rFonts w:eastAsia="MS Mincho"/>
                <w:bCs/>
                <w:sz w:val="22"/>
                <w:szCs w:val="22"/>
                <w:lang w:val="lv-LV"/>
              </w:rPr>
            </w:pPr>
            <w:r w:rsidRPr="00707120">
              <w:rPr>
                <w:rFonts w:eastAsia="MS Mincho"/>
                <w:bCs/>
                <w:sz w:val="22"/>
                <w:szCs w:val="22"/>
              </w:rPr>
              <w:t>R</w:t>
            </w:r>
            <w:r w:rsidRPr="00707120">
              <w:rPr>
                <w:rFonts w:eastAsia="MS Mincho"/>
                <w:bCs/>
                <w:sz w:val="22"/>
                <w:szCs w:val="22"/>
                <w:lang w:val="lv-LV"/>
              </w:rPr>
              <w:t>īcība</w:t>
            </w:r>
          </w:p>
        </w:tc>
      </w:tr>
      <w:tr w:rsidR="00A453C3" w:rsidRPr="008B5E8B" w14:paraId="7F838F5C" w14:textId="77777777" w:rsidTr="0067693D">
        <w:tc>
          <w:tcPr>
            <w:tcW w:w="2406" w:type="dxa"/>
          </w:tcPr>
          <w:p w14:paraId="21988236" w14:textId="77777777" w:rsidR="00A453C3" w:rsidRPr="008B5E8B" w:rsidRDefault="00A453C3" w:rsidP="0067693D">
            <w:pPr>
              <w:pStyle w:val="TextTi12"/>
              <w:rPr>
                <w:rFonts w:eastAsia="MS Mincho"/>
                <w:sz w:val="22"/>
                <w:szCs w:val="22"/>
              </w:rPr>
            </w:pPr>
            <w:r w:rsidRPr="008B5E8B">
              <w:rPr>
                <w:rFonts w:eastAsia="MS Mincho"/>
                <w:sz w:val="22"/>
                <w:szCs w:val="22"/>
              </w:rPr>
              <w:t>AN</w:t>
            </w:r>
            <w:r>
              <w:rPr>
                <w:rFonts w:eastAsia="MS Mincho"/>
                <w:sz w:val="22"/>
                <w:szCs w:val="22"/>
              </w:rPr>
              <w:t>S</w:t>
            </w:r>
            <w:r w:rsidRPr="008B5E8B">
              <w:rPr>
                <w:rFonts w:eastAsia="MS Mincho"/>
                <w:sz w:val="22"/>
                <w:szCs w:val="22"/>
              </w:rPr>
              <w:t xml:space="preserve"> </w:t>
            </w:r>
            <w:r>
              <w:rPr>
                <w:rFonts w:eastAsia="MS Mincho"/>
                <w:sz w:val="22"/>
                <w:szCs w:val="22"/>
              </w:rPr>
              <w:t xml:space="preserve">ir </w:t>
            </w:r>
            <w:r w:rsidRPr="008B5E8B">
              <w:rPr>
                <w:rFonts w:eastAsia="MS Mincho"/>
                <w:sz w:val="22"/>
                <w:szCs w:val="22"/>
              </w:rPr>
              <w:t xml:space="preserve">&gt; 1 </w:t>
            </w:r>
          </w:p>
        </w:tc>
        <w:tc>
          <w:tcPr>
            <w:tcW w:w="6659" w:type="dxa"/>
          </w:tcPr>
          <w:p w14:paraId="72C80C0F" w14:textId="77777777" w:rsidR="00A453C3" w:rsidRPr="008B5E8B" w:rsidRDefault="00A453C3" w:rsidP="00707120">
            <w:pPr>
              <w:pStyle w:val="TextTi12"/>
              <w:jc w:val="left"/>
              <w:rPr>
                <w:rFonts w:eastAsia="MS Mincho"/>
                <w:sz w:val="22"/>
                <w:szCs w:val="22"/>
              </w:rPr>
            </w:pPr>
            <w:r>
              <w:rPr>
                <w:rFonts w:eastAsia="MS Mincho"/>
                <w:sz w:val="22"/>
                <w:szCs w:val="22"/>
              </w:rPr>
              <w:t>Deva nav jāmaina.</w:t>
            </w:r>
          </w:p>
        </w:tc>
      </w:tr>
      <w:tr w:rsidR="00A453C3" w:rsidRPr="008B5E8B" w14:paraId="5152347C" w14:textId="77777777" w:rsidTr="0067693D">
        <w:tc>
          <w:tcPr>
            <w:tcW w:w="2406" w:type="dxa"/>
          </w:tcPr>
          <w:p w14:paraId="751FBC9F" w14:textId="7BD62F7B" w:rsidR="00A453C3" w:rsidRPr="008B5E8B" w:rsidRDefault="00A453C3" w:rsidP="0067693D">
            <w:pPr>
              <w:pStyle w:val="TextTi12"/>
              <w:rPr>
                <w:rFonts w:eastAsia="MS Mincho"/>
                <w:sz w:val="22"/>
                <w:szCs w:val="22"/>
              </w:rPr>
            </w:pPr>
            <w:r w:rsidRPr="008B5E8B">
              <w:rPr>
                <w:rFonts w:eastAsia="MS Mincho"/>
                <w:sz w:val="22"/>
                <w:szCs w:val="22"/>
              </w:rPr>
              <w:t>AN</w:t>
            </w:r>
            <w:r>
              <w:rPr>
                <w:rFonts w:eastAsia="MS Mincho"/>
                <w:sz w:val="22"/>
                <w:szCs w:val="22"/>
              </w:rPr>
              <w:t>S</w:t>
            </w:r>
            <w:r w:rsidRPr="008B5E8B">
              <w:rPr>
                <w:rFonts w:eastAsia="MS Mincho"/>
                <w:sz w:val="22"/>
                <w:szCs w:val="22"/>
              </w:rPr>
              <w:t xml:space="preserve"> </w:t>
            </w:r>
            <w:r>
              <w:rPr>
                <w:rFonts w:eastAsia="MS Mincho"/>
                <w:sz w:val="22"/>
                <w:szCs w:val="22"/>
              </w:rPr>
              <w:t xml:space="preserve">ir </w:t>
            </w:r>
            <w:r w:rsidRPr="008B5E8B">
              <w:rPr>
                <w:rFonts w:eastAsia="MS Mincho"/>
                <w:sz w:val="22"/>
                <w:szCs w:val="22"/>
              </w:rPr>
              <w:t>0</w:t>
            </w:r>
            <w:r>
              <w:rPr>
                <w:rFonts w:eastAsia="MS Mincho"/>
                <w:sz w:val="22"/>
                <w:szCs w:val="22"/>
              </w:rPr>
              <w:t>,</w:t>
            </w:r>
            <w:r w:rsidRPr="008B5E8B">
              <w:rPr>
                <w:rFonts w:eastAsia="MS Mincho"/>
                <w:sz w:val="22"/>
                <w:szCs w:val="22"/>
              </w:rPr>
              <w:t>5</w:t>
            </w:r>
            <w:r>
              <w:rPr>
                <w:rFonts w:eastAsia="MS Mincho"/>
                <w:sz w:val="22"/>
                <w:szCs w:val="22"/>
              </w:rPr>
              <w:noBreakHyphen/>
            </w:r>
            <w:r w:rsidRPr="008B5E8B">
              <w:rPr>
                <w:rFonts w:eastAsia="MS Mincho"/>
                <w:sz w:val="22"/>
                <w:szCs w:val="22"/>
              </w:rPr>
              <w:t>1</w:t>
            </w:r>
          </w:p>
        </w:tc>
        <w:tc>
          <w:tcPr>
            <w:tcW w:w="6659" w:type="dxa"/>
          </w:tcPr>
          <w:p w14:paraId="5D9417DF" w14:textId="0A2271F1" w:rsidR="00A453C3" w:rsidRPr="008B5E8B" w:rsidRDefault="00A453C3" w:rsidP="00707120">
            <w:pPr>
              <w:pStyle w:val="TextTi12"/>
              <w:jc w:val="left"/>
              <w:rPr>
                <w:rFonts w:eastAsia="MS Mincho"/>
                <w:sz w:val="22"/>
                <w:szCs w:val="22"/>
              </w:rPr>
            </w:pPr>
            <w:r>
              <w:rPr>
                <w:rFonts w:eastAsia="MS Mincho"/>
                <w:sz w:val="22"/>
                <w:szCs w:val="22"/>
              </w:rPr>
              <w:t>Uz laiku jāpārtrauc tocilizumaba lietošana.</w:t>
            </w:r>
          </w:p>
          <w:p w14:paraId="1564A673" w14:textId="3B95C89F" w:rsidR="00A453C3" w:rsidRPr="008B5E8B" w:rsidRDefault="00A453C3" w:rsidP="00707120">
            <w:pPr>
              <w:pStyle w:val="TextTi12"/>
              <w:jc w:val="left"/>
              <w:rPr>
                <w:rFonts w:eastAsia="MS Mincho"/>
                <w:sz w:val="22"/>
                <w:szCs w:val="22"/>
              </w:rPr>
            </w:pPr>
            <w:r>
              <w:rPr>
                <w:rFonts w:eastAsia="MS Mincho"/>
                <w:sz w:val="22"/>
                <w:szCs w:val="22"/>
              </w:rPr>
              <w:t xml:space="preserve">Tiklīdz </w:t>
            </w:r>
            <w:r w:rsidRPr="008B5E8B">
              <w:rPr>
                <w:rFonts w:eastAsia="MS Mincho"/>
                <w:sz w:val="22"/>
                <w:szCs w:val="22"/>
              </w:rPr>
              <w:t>AN</w:t>
            </w:r>
            <w:r>
              <w:rPr>
                <w:rFonts w:eastAsia="MS Mincho"/>
                <w:sz w:val="22"/>
                <w:szCs w:val="22"/>
              </w:rPr>
              <w:t xml:space="preserve">S palielinās līdz </w:t>
            </w:r>
            <w:r w:rsidRPr="008B5E8B">
              <w:rPr>
                <w:rFonts w:eastAsia="MS Mincho"/>
                <w:sz w:val="22"/>
                <w:szCs w:val="22"/>
              </w:rPr>
              <w:t>&gt; 1</w:t>
            </w:r>
            <w:r>
              <w:rPr>
                <w:rFonts w:eastAsia="MS Mincho"/>
                <w:sz w:val="22"/>
                <w:szCs w:val="22"/>
              </w:rPr>
              <w:t> × </w:t>
            </w:r>
            <w:r w:rsidRPr="008B5E8B">
              <w:rPr>
                <w:rFonts w:eastAsia="MS Mincho"/>
                <w:sz w:val="22"/>
                <w:szCs w:val="22"/>
              </w:rPr>
              <w:t>10</w:t>
            </w:r>
            <w:r w:rsidRPr="008B5E8B">
              <w:rPr>
                <w:rFonts w:eastAsia="MS Mincho"/>
                <w:sz w:val="22"/>
                <w:szCs w:val="22"/>
                <w:vertAlign w:val="superscript"/>
              </w:rPr>
              <w:t>9</w:t>
            </w:r>
            <w:r>
              <w:rPr>
                <w:rFonts w:eastAsia="MS Mincho"/>
                <w:sz w:val="22"/>
                <w:szCs w:val="22"/>
              </w:rPr>
              <w:t>/l, terapiju atsāk.</w:t>
            </w:r>
          </w:p>
        </w:tc>
      </w:tr>
      <w:tr w:rsidR="00A453C3" w:rsidRPr="00903A29" w14:paraId="743B09AA" w14:textId="77777777" w:rsidTr="0067693D">
        <w:tc>
          <w:tcPr>
            <w:tcW w:w="2406" w:type="dxa"/>
          </w:tcPr>
          <w:p w14:paraId="59B4676A" w14:textId="77777777" w:rsidR="00A453C3" w:rsidRPr="008B5E8B" w:rsidRDefault="00A453C3" w:rsidP="0067693D">
            <w:pPr>
              <w:pStyle w:val="TextTi12"/>
              <w:rPr>
                <w:rFonts w:eastAsia="MS Mincho"/>
                <w:sz w:val="22"/>
                <w:szCs w:val="22"/>
              </w:rPr>
            </w:pPr>
            <w:r w:rsidRPr="008B5E8B">
              <w:rPr>
                <w:rFonts w:eastAsia="MS Mincho"/>
                <w:sz w:val="22"/>
                <w:szCs w:val="22"/>
              </w:rPr>
              <w:t>AN</w:t>
            </w:r>
            <w:r>
              <w:rPr>
                <w:rFonts w:eastAsia="MS Mincho"/>
                <w:sz w:val="22"/>
                <w:szCs w:val="22"/>
              </w:rPr>
              <w:t>S</w:t>
            </w:r>
            <w:r w:rsidRPr="008B5E8B">
              <w:rPr>
                <w:rFonts w:eastAsia="MS Mincho"/>
                <w:sz w:val="22"/>
                <w:szCs w:val="22"/>
              </w:rPr>
              <w:t xml:space="preserve"> </w:t>
            </w:r>
            <w:r>
              <w:rPr>
                <w:rFonts w:eastAsia="MS Mincho"/>
                <w:sz w:val="22"/>
                <w:szCs w:val="22"/>
              </w:rPr>
              <w:t xml:space="preserve">ir </w:t>
            </w:r>
            <w:r w:rsidRPr="008B5E8B">
              <w:rPr>
                <w:rFonts w:eastAsia="MS Mincho"/>
                <w:sz w:val="22"/>
                <w:szCs w:val="22"/>
              </w:rPr>
              <w:t>&lt; 0</w:t>
            </w:r>
            <w:r>
              <w:rPr>
                <w:rFonts w:eastAsia="MS Mincho"/>
                <w:sz w:val="22"/>
                <w:szCs w:val="22"/>
              </w:rPr>
              <w:t>,</w:t>
            </w:r>
            <w:r w:rsidRPr="008B5E8B">
              <w:rPr>
                <w:rFonts w:eastAsia="MS Mincho"/>
                <w:sz w:val="22"/>
                <w:szCs w:val="22"/>
              </w:rPr>
              <w:t>5</w:t>
            </w:r>
          </w:p>
        </w:tc>
        <w:tc>
          <w:tcPr>
            <w:tcW w:w="6659" w:type="dxa"/>
          </w:tcPr>
          <w:p w14:paraId="78F03CB3" w14:textId="7CE597F2" w:rsidR="00A453C3" w:rsidRPr="00700C92" w:rsidRDefault="00A453C3" w:rsidP="00707120">
            <w:pPr>
              <w:pStyle w:val="TextTi12"/>
              <w:jc w:val="left"/>
              <w:rPr>
                <w:rFonts w:eastAsia="MS Mincho"/>
                <w:sz w:val="22"/>
                <w:szCs w:val="22"/>
                <w:lang w:val="lv-LV"/>
              </w:rPr>
            </w:pPr>
            <w:r w:rsidRPr="00707120">
              <w:rPr>
                <w:rFonts w:eastAsia="MS Mincho"/>
                <w:sz w:val="22"/>
                <w:szCs w:val="22"/>
                <w:lang w:val="es-ES"/>
              </w:rPr>
              <w:t>Tocilizumaba terapija ir</w:t>
            </w:r>
            <w:r>
              <w:rPr>
                <w:rFonts w:eastAsia="MS Mincho"/>
                <w:sz w:val="22"/>
                <w:szCs w:val="22"/>
                <w:lang w:val="lv-LV"/>
              </w:rPr>
              <w:t xml:space="preserve"> pilnīgi jāpārtrauc.</w:t>
            </w:r>
          </w:p>
          <w:p w14:paraId="33558E26" w14:textId="1F51E19D" w:rsidR="00A453C3" w:rsidRPr="00700C92" w:rsidRDefault="00A453C3" w:rsidP="00707120">
            <w:pPr>
              <w:pStyle w:val="TextTi12"/>
              <w:jc w:val="left"/>
              <w:rPr>
                <w:rFonts w:eastAsia="MS Mincho"/>
                <w:sz w:val="22"/>
                <w:szCs w:val="22"/>
                <w:lang w:val="lv-LV"/>
              </w:rPr>
            </w:pPr>
            <w:r w:rsidRPr="00700C92">
              <w:rPr>
                <w:rFonts w:eastAsia="MS Mincho"/>
                <w:sz w:val="22"/>
                <w:szCs w:val="22"/>
                <w:lang w:val="lv-LV"/>
              </w:rPr>
              <w:t>Lēmum</w:t>
            </w:r>
            <w:r>
              <w:rPr>
                <w:rFonts w:eastAsia="MS Mincho"/>
                <w:sz w:val="22"/>
                <w:szCs w:val="22"/>
                <w:lang w:val="lv-LV"/>
              </w:rPr>
              <w:t>s</w:t>
            </w:r>
            <w:r w:rsidRPr="00700C92">
              <w:rPr>
                <w:rFonts w:eastAsia="MS Mincho"/>
                <w:sz w:val="22"/>
                <w:szCs w:val="22"/>
                <w:lang w:val="lv-LV"/>
              </w:rPr>
              <w:t xml:space="preserve"> </w:t>
            </w:r>
            <w:r>
              <w:rPr>
                <w:rFonts w:eastAsia="MS Mincho"/>
                <w:sz w:val="22"/>
                <w:szCs w:val="22"/>
                <w:lang w:val="lv-LV"/>
              </w:rPr>
              <w:t>pārtraukt terapiju</w:t>
            </w:r>
            <w:r w:rsidRPr="00700C92">
              <w:rPr>
                <w:rFonts w:eastAsia="MS Mincho"/>
                <w:sz w:val="22"/>
                <w:szCs w:val="22"/>
                <w:lang w:val="lv-LV"/>
              </w:rPr>
              <w:t xml:space="preserve"> </w:t>
            </w:r>
            <w:r w:rsidRPr="00707120">
              <w:rPr>
                <w:rFonts w:eastAsia="MS Mincho"/>
                <w:sz w:val="22"/>
                <w:szCs w:val="22"/>
                <w:lang w:val="lv-LV"/>
              </w:rPr>
              <w:t xml:space="preserve">sJIA un pJIA gadījumā </w:t>
            </w:r>
            <w:r w:rsidRPr="00700C92">
              <w:rPr>
                <w:rFonts w:eastAsia="MS Mincho"/>
                <w:sz w:val="22"/>
                <w:szCs w:val="22"/>
                <w:lang w:val="lv-LV"/>
              </w:rPr>
              <w:t xml:space="preserve">laboratorisko </w:t>
            </w:r>
            <w:r>
              <w:rPr>
                <w:rFonts w:eastAsia="MS Mincho"/>
                <w:sz w:val="22"/>
                <w:szCs w:val="22"/>
                <w:lang w:val="lv-LV"/>
              </w:rPr>
              <w:t>rādītāju</w:t>
            </w:r>
            <w:r w:rsidRPr="00700C92">
              <w:rPr>
                <w:rFonts w:eastAsia="MS Mincho"/>
                <w:sz w:val="22"/>
                <w:szCs w:val="22"/>
                <w:lang w:val="lv-LV"/>
              </w:rPr>
              <w:t xml:space="preserve"> noviržu dēļ </w:t>
            </w:r>
            <w:r>
              <w:rPr>
                <w:rFonts w:eastAsia="MS Mincho"/>
                <w:sz w:val="22"/>
                <w:szCs w:val="22"/>
                <w:lang w:val="lv-LV"/>
              </w:rPr>
              <w:t>jāpamato ar</w:t>
            </w:r>
            <w:r w:rsidRPr="00700C92">
              <w:rPr>
                <w:rFonts w:eastAsia="MS Mincho"/>
                <w:sz w:val="22"/>
                <w:szCs w:val="22"/>
                <w:lang w:val="lv-LV"/>
              </w:rPr>
              <w:t xml:space="preserve"> konkrētā pacienta medicīniskā</w:t>
            </w:r>
            <w:r>
              <w:rPr>
                <w:rFonts w:eastAsia="MS Mincho"/>
                <w:sz w:val="22"/>
                <w:szCs w:val="22"/>
                <w:lang w:val="lv-LV"/>
              </w:rPr>
              <w:t>s</w:t>
            </w:r>
            <w:r w:rsidRPr="00700C92">
              <w:rPr>
                <w:rFonts w:eastAsia="MS Mincho"/>
                <w:sz w:val="22"/>
                <w:szCs w:val="22"/>
                <w:lang w:val="lv-LV"/>
              </w:rPr>
              <w:t xml:space="preserve"> </w:t>
            </w:r>
            <w:r>
              <w:rPr>
                <w:rFonts w:eastAsia="MS Mincho"/>
                <w:sz w:val="22"/>
                <w:szCs w:val="22"/>
                <w:lang w:val="lv-LV"/>
              </w:rPr>
              <w:t>izmeklēšanas rezultātiem</w:t>
            </w:r>
            <w:r w:rsidRPr="00700C92">
              <w:rPr>
                <w:rFonts w:eastAsia="MS Mincho"/>
                <w:sz w:val="22"/>
                <w:szCs w:val="22"/>
                <w:lang w:val="lv-LV"/>
              </w:rPr>
              <w:t>.</w:t>
            </w:r>
          </w:p>
        </w:tc>
      </w:tr>
    </w:tbl>
    <w:p w14:paraId="17EEB200" w14:textId="77777777" w:rsidR="00A453C3" w:rsidRPr="00700C92" w:rsidRDefault="00A453C3" w:rsidP="00A453C3">
      <w:pPr>
        <w:rPr>
          <w:lang w:val="lv-LV"/>
        </w:rPr>
      </w:pPr>
    </w:p>
    <w:p w14:paraId="3B2F6B90" w14:textId="42C4BD52" w:rsidR="00A453C3" w:rsidRDefault="006334B7" w:rsidP="00707120">
      <w:pPr>
        <w:pStyle w:val="ListParagraph"/>
        <w:keepNext/>
        <w:keepLines/>
        <w:ind w:left="567" w:hanging="567"/>
      </w:pPr>
      <w:r>
        <w:rPr>
          <w:lang w:val="nb-NO"/>
        </w:rPr>
        <w:sym w:font="Symbol" w:char="F0B7"/>
      </w:r>
      <w:r>
        <w:rPr>
          <w:lang w:val="nb-NO"/>
        </w:rPr>
        <w:tab/>
      </w:r>
      <w:r w:rsidR="00A453C3">
        <w:t>Samazināts trombocītu skaits</w:t>
      </w:r>
    </w:p>
    <w:p w14:paraId="253E4AAE" w14:textId="77777777" w:rsidR="00A453C3" w:rsidRPr="008B5E8B" w:rsidRDefault="00A453C3">
      <w:pPr>
        <w:keepNext/>
        <w:keepLines/>
        <w:ind w:left="714" w:hanging="357"/>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6542"/>
        <w:tblGridChange w:id="443">
          <w:tblGrid>
            <w:gridCol w:w="55"/>
            <w:gridCol w:w="2475"/>
            <w:gridCol w:w="55"/>
            <w:gridCol w:w="6487"/>
            <w:gridCol w:w="55"/>
          </w:tblGrid>
        </w:tblGridChange>
      </w:tblGrid>
      <w:tr w:rsidR="00A453C3" w:rsidRPr="005014A7" w14:paraId="3AF9DEAC" w14:textId="77777777" w:rsidTr="00707120">
        <w:tc>
          <w:tcPr>
            <w:tcW w:w="2530" w:type="dxa"/>
          </w:tcPr>
          <w:p w14:paraId="61C3C71B" w14:textId="109FC969" w:rsidR="00A453C3" w:rsidRPr="00707120" w:rsidRDefault="00A453C3">
            <w:pPr>
              <w:pStyle w:val="TextTi12"/>
              <w:keepNext/>
              <w:keepLines/>
              <w:jc w:val="center"/>
              <w:rPr>
                <w:rFonts w:eastAsia="MS Mincho"/>
                <w:bCs/>
                <w:sz w:val="22"/>
                <w:szCs w:val="22"/>
                <w:lang w:val="es-ES"/>
              </w:rPr>
            </w:pPr>
            <w:r w:rsidRPr="00707120">
              <w:rPr>
                <w:rFonts w:eastAsia="MS Mincho"/>
                <w:bCs/>
                <w:sz w:val="22"/>
                <w:szCs w:val="22"/>
                <w:lang w:val="lv-LV"/>
              </w:rPr>
              <w:t>Laboratorisko izmeklējumu rezultāti</w:t>
            </w:r>
            <w:r w:rsidRPr="00707120">
              <w:rPr>
                <w:rFonts w:eastAsia="MS Mincho"/>
                <w:bCs/>
                <w:sz w:val="22"/>
                <w:szCs w:val="22"/>
                <w:lang w:val="lv-LV"/>
              </w:rPr>
              <w:br/>
              <w:t>(šūnas</w:t>
            </w:r>
            <w:r w:rsidRPr="00707120">
              <w:rPr>
                <w:rFonts w:eastAsia="MS Mincho"/>
                <w:bCs/>
                <w:sz w:val="22"/>
                <w:szCs w:val="22"/>
                <w:lang w:val="es-ES"/>
              </w:rPr>
              <w:t> × </w:t>
            </w:r>
            <w:r w:rsidRPr="00707120">
              <w:rPr>
                <w:rFonts w:eastAsia="MS Mincho"/>
                <w:bCs/>
                <w:sz w:val="22"/>
                <w:szCs w:val="22"/>
                <w:lang w:val="lv-LV"/>
              </w:rPr>
              <w:t>10</w:t>
            </w:r>
            <w:r w:rsidRPr="00707120">
              <w:rPr>
                <w:rFonts w:eastAsia="MS Mincho"/>
                <w:bCs/>
                <w:sz w:val="22"/>
                <w:szCs w:val="22"/>
                <w:vertAlign w:val="superscript"/>
                <w:lang w:val="lv-LV"/>
              </w:rPr>
              <w:t>3</w:t>
            </w:r>
            <w:r w:rsidRPr="00707120">
              <w:rPr>
                <w:rFonts w:eastAsia="MS Mincho"/>
                <w:bCs/>
                <w:sz w:val="22"/>
                <w:szCs w:val="22"/>
                <w:lang w:val="lv-LV"/>
              </w:rPr>
              <w:t>/</w:t>
            </w:r>
            <w:r w:rsidRPr="00707120">
              <w:rPr>
                <w:rFonts w:eastAsia="MS Mincho"/>
                <w:bCs/>
                <w:sz w:val="22"/>
                <w:szCs w:val="22"/>
              </w:rPr>
              <w:sym w:font="Symbol" w:char="F06D"/>
            </w:r>
            <w:r w:rsidRPr="00707120">
              <w:rPr>
                <w:rFonts w:eastAsia="MS Mincho"/>
                <w:bCs/>
                <w:sz w:val="22"/>
                <w:szCs w:val="22"/>
                <w:lang w:val="lv-LV"/>
              </w:rPr>
              <w:t>l)</w:t>
            </w:r>
          </w:p>
        </w:tc>
        <w:tc>
          <w:tcPr>
            <w:tcW w:w="6542" w:type="dxa"/>
          </w:tcPr>
          <w:p w14:paraId="2EBA451B" w14:textId="77777777" w:rsidR="00A453C3" w:rsidRPr="005014A7" w:rsidRDefault="00A453C3">
            <w:pPr>
              <w:pStyle w:val="TextTi12"/>
              <w:keepNext/>
              <w:keepLines/>
              <w:jc w:val="center"/>
              <w:rPr>
                <w:rFonts w:eastAsia="MS Mincho"/>
                <w:bCs/>
                <w:sz w:val="22"/>
                <w:szCs w:val="22"/>
              </w:rPr>
            </w:pPr>
            <w:r w:rsidRPr="00707120">
              <w:rPr>
                <w:rFonts w:eastAsia="MS Mincho"/>
                <w:bCs/>
                <w:sz w:val="22"/>
                <w:szCs w:val="22"/>
              </w:rPr>
              <w:t>Rīcība</w:t>
            </w:r>
          </w:p>
        </w:tc>
      </w:tr>
      <w:tr w:rsidR="00A453C3" w:rsidRPr="00707120" w14:paraId="18F0CD08" w14:textId="77777777" w:rsidTr="00707120">
        <w:tc>
          <w:tcPr>
            <w:tcW w:w="2530" w:type="dxa"/>
          </w:tcPr>
          <w:p w14:paraId="1EE0395D" w14:textId="5CFE73B8" w:rsidR="00A453C3" w:rsidRPr="00707120" w:rsidRDefault="00A453C3">
            <w:pPr>
              <w:pStyle w:val="TextTi12"/>
              <w:keepNext/>
              <w:keepLines/>
              <w:rPr>
                <w:rFonts w:eastAsia="MS Mincho"/>
                <w:sz w:val="22"/>
                <w:szCs w:val="22"/>
                <w:lang w:val="lv-LV"/>
              </w:rPr>
            </w:pPr>
            <w:r w:rsidRPr="00707120">
              <w:rPr>
                <w:rFonts w:eastAsia="MS Mincho"/>
                <w:sz w:val="22"/>
                <w:szCs w:val="22"/>
                <w:lang w:val="lv-LV"/>
              </w:rPr>
              <w:t>50</w:t>
            </w:r>
            <w:r w:rsidRPr="00707120">
              <w:rPr>
                <w:rFonts w:eastAsia="MS Mincho"/>
                <w:sz w:val="22"/>
                <w:szCs w:val="22"/>
                <w:lang w:val="lv-LV"/>
              </w:rPr>
              <w:noBreakHyphen/>
              <w:t>100</w:t>
            </w:r>
          </w:p>
        </w:tc>
        <w:tc>
          <w:tcPr>
            <w:tcW w:w="6542" w:type="dxa"/>
          </w:tcPr>
          <w:p w14:paraId="1B056633" w14:textId="280B8A07" w:rsidR="00A453C3" w:rsidRPr="00707120" w:rsidRDefault="00A453C3">
            <w:pPr>
              <w:pStyle w:val="TextTi12"/>
              <w:keepNext/>
              <w:keepLines/>
              <w:jc w:val="left"/>
              <w:rPr>
                <w:rFonts w:eastAsia="MS Mincho"/>
                <w:sz w:val="22"/>
                <w:szCs w:val="22"/>
                <w:lang w:val="lv-LV"/>
              </w:rPr>
            </w:pPr>
            <w:r w:rsidRPr="00707120">
              <w:rPr>
                <w:rFonts w:eastAsia="MS Mincho"/>
                <w:sz w:val="22"/>
                <w:szCs w:val="22"/>
                <w:lang w:val="lv-LV"/>
              </w:rPr>
              <w:t>Ja nepieciešams, jāmaina vienlaikus lietotā MTX deva.</w:t>
            </w:r>
          </w:p>
          <w:p w14:paraId="392E7BF5" w14:textId="5DBAF845" w:rsidR="00A453C3" w:rsidRPr="00707120" w:rsidRDefault="00A453C3">
            <w:pPr>
              <w:pStyle w:val="TextTi12"/>
              <w:keepNext/>
              <w:keepLines/>
              <w:jc w:val="left"/>
              <w:rPr>
                <w:rFonts w:eastAsia="MS Mincho"/>
                <w:sz w:val="22"/>
                <w:szCs w:val="22"/>
                <w:lang w:val="lv-LV"/>
              </w:rPr>
            </w:pPr>
            <w:r w:rsidRPr="00707120">
              <w:rPr>
                <w:rFonts w:eastAsia="MS Mincho"/>
                <w:sz w:val="22"/>
                <w:szCs w:val="22"/>
                <w:lang w:val="lv-LV"/>
              </w:rPr>
              <w:t>Uz laiku jāpārtrauc tocilizumaba lietošana.</w:t>
            </w:r>
          </w:p>
          <w:p w14:paraId="52E7929F" w14:textId="5E63189B" w:rsidR="00A453C3" w:rsidRPr="00707120" w:rsidRDefault="00A453C3">
            <w:pPr>
              <w:pStyle w:val="TextTi12"/>
              <w:keepNext/>
              <w:keepLines/>
              <w:rPr>
                <w:rFonts w:eastAsia="MS Mincho"/>
                <w:sz w:val="22"/>
                <w:szCs w:val="22"/>
                <w:lang w:val="lv-LV"/>
              </w:rPr>
            </w:pPr>
            <w:r w:rsidRPr="00707120">
              <w:rPr>
                <w:rFonts w:eastAsia="MS Mincho"/>
                <w:sz w:val="22"/>
                <w:szCs w:val="22"/>
                <w:lang w:val="lv-LV"/>
              </w:rPr>
              <w:t>Tiklīdz trombocītu skaits ir &gt; 100 × 10</w:t>
            </w:r>
            <w:r w:rsidRPr="00707120">
              <w:rPr>
                <w:rFonts w:eastAsia="MS Mincho"/>
                <w:sz w:val="22"/>
                <w:szCs w:val="22"/>
                <w:vertAlign w:val="superscript"/>
                <w:lang w:val="lv-LV"/>
              </w:rPr>
              <w:t>3</w:t>
            </w:r>
            <w:r w:rsidRPr="00707120">
              <w:rPr>
                <w:rFonts w:eastAsia="MS Mincho"/>
                <w:sz w:val="22"/>
                <w:szCs w:val="22"/>
                <w:lang w:val="lv-LV"/>
              </w:rPr>
              <w:t>/</w:t>
            </w:r>
            <w:r w:rsidRPr="00707120">
              <w:rPr>
                <w:rFonts w:eastAsia="MS Mincho"/>
                <w:sz w:val="22"/>
                <w:szCs w:val="22"/>
                <w:lang w:val="lv-LV"/>
              </w:rPr>
              <w:sym w:font="Symbol" w:char="F06D"/>
            </w:r>
            <w:r w:rsidRPr="00707120">
              <w:rPr>
                <w:rFonts w:eastAsia="MS Mincho"/>
                <w:sz w:val="22"/>
                <w:szCs w:val="22"/>
                <w:lang w:val="lv-LV"/>
              </w:rPr>
              <w:t>l, terapiju atsāk.</w:t>
            </w:r>
          </w:p>
        </w:tc>
      </w:tr>
      <w:tr w:rsidR="00A453C3" w:rsidRPr="00903A29" w14:paraId="6EA9C4F4" w14:textId="77777777" w:rsidTr="002007A3">
        <w:tblPrEx>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444" w:author="Author">
            <w:tblPrEx>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cantSplit/>
          <w:trPrChange w:id="445" w:author="Author">
            <w:trPr>
              <w:gridBefore w:val="1"/>
            </w:trPr>
          </w:trPrChange>
        </w:trPr>
        <w:tc>
          <w:tcPr>
            <w:tcW w:w="2530" w:type="dxa"/>
            <w:tcPrChange w:id="446" w:author="Author">
              <w:tcPr>
                <w:tcW w:w="2530" w:type="dxa"/>
                <w:gridSpan w:val="2"/>
              </w:tcPr>
            </w:tcPrChange>
          </w:tcPr>
          <w:p w14:paraId="68F67BA1" w14:textId="01CABB87" w:rsidR="00A453C3" w:rsidRPr="008B5E8B" w:rsidRDefault="00A453C3">
            <w:pPr>
              <w:pStyle w:val="TextTi12"/>
              <w:keepLines/>
              <w:rPr>
                <w:rFonts w:eastAsia="MS Mincho"/>
                <w:sz w:val="22"/>
                <w:szCs w:val="22"/>
              </w:rPr>
              <w:pPrChange w:id="447" w:author="Author">
                <w:pPr>
                  <w:pStyle w:val="TextTi12"/>
                  <w:keepNext/>
                  <w:keepLines/>
                </w:pPr>
              </w:pPrChange>
            </w:pPr>
            <w:r w:rsidRPr="008B5E8B">
              <w:rPr>
                <w:rFonts w:eastAsia="MS Mincho"/>
                <w:sz w:val="22"/>
                <w:szCs w:val="22"/>
              </w:rPr>
              <w:t>&lt;</w:t>
            </w:r>
            <w:r>
              <w:rPr>
                <w:rFonts w:eastAsia="MS Mincho"/>
                <w:sz w:val="22"/>
                <w:szCs w:val="22"/>
              </w:rPr>
              <w:t> </w:t>
            </w:r>
            <w:r w:rsidRPr="008B5E8B">
              <w:rPr>
                <w:rFonts w:eastAsia="MS Mincho"/>
                <w:sz w:val="22"/>
                <w:szCs w:val="22"/>
              </w:rPr>
              <w:t>50</w:t>
            </w:r>
          </w:p>
        </w:tc>
        <w:tc>
          <w:tcPr>
            <w:tcW w:w="6542" w:type="dxa"/>
            <w:tcPrChange w:id="448" w:author="Author">
              <w:tcPr>
                <w:tcW w:w="6542" w:type="dxa"/>
                <w:gridSpan w:val="2"/>
              </w:tcPr>
            </w:tcPrChange>
          </w:tcPr>
          <w:p w14:paraId="52F1B384" w14:textId="735F00B6" w:rsidR="00A453C3" w:rsidRPr="00707120" w:rsidRDefault="00A453C3">
            <w:pPr>
              <w:pStyle w:val="TextTi12"/>
              <w:keepLines/>
              <w:jc w:val="left"/>
              <w:rPr>
                <w:rFonts w:eastAsia="MS Mincho"/>
                <w:sz w:val="22"/>
                <w:szCs w:val="22"/>
                <w:lang w:val="es-ES"/>
              </w:rPr>
              <w:pPrChange w:id="449" w:author="Author">
                <w:pPr>
                  <w:pStyle w:val="TextTi12"/>
                  <w:keepNext/>
                  <w:keepLines/>
                  <w:jc w:val="left"/>
                </w:pPr>
              </w:pPrChange>
            </w:pPr>
            <w:r w:rsidRPr="00707120">
              <w:rPr>
                <w:rFonts w:eastAsia="MS Mincho"/>
                <w:sz w:val="22"/>
                <w:szCs w:val="22"/>
                <w:lang w:val="es-ES"/>
              </w:rPr>
              <w:t>Tocilizumaba terapija ir pilnīgi jāpārtrauc.</w:t>
            </w:r>
          </w:p>
          <w:p w14:paraId="1D80BB9A" w14:textId="68580A66" w:rsidR="00A453C3" w:rsidRPr="00707120" w:rsidRDefault="00A453C3">
            <w:pPr>
              <w:pStyle w:val="TextTi12"/>
              <w:keepLines/>
              <w:jc w:val="left"/>
              <w:rPr>
                <w:rFonts w:eastAsia="MS Mincho"/>
                <w:sz w:val="22"/>
                <w:szCs w:val="22"/>
                <w:lang w:val="es-ES"/>
              </w:rPr>
              <w:pPrChange w:id="450" w:author="Author">
                <w:pPr>
                  <w:pStyle w:val="TextTi12"/>
                  <w:keepNext/>
                  <w:keepLines/>
                  <w:jc w:val="left"/>
                </w:pPr>
              </w:pPrChange>
            </w:pPr>
            <w:r w:rsidRPr="00707120">
              <w:rPr>
                <w:rFonts w:eastAsia="MS Mincho"/>
                <w:sz w:val="22"/>
                <w:szCs w:val="22"/>
                <w:lang w:val="es-ES"/>
              </w:rPr>
              <w:t>Lēmums pārtraukt terapiju sJIA un pJIA gadījumā laboratorisko rādītāju noviržu dēļ jāpamato ar konkrētā pacienta medicīniskās izmeklēšanas rezultātiem.</w:t>
            </w:r>
          </w:p>
        </w:tc>
      </w:tr>
    </w:tbl>
    <w:p w14:paraId="01F5C5D2" w14:textId="77777777" w:rsidR="00A453C3" w:rsidRPr="00707120" w:rsidRDefault="00A453C3" w:rsidP="00A453C3">
      <w:pPr>
        <w:ind w:left="567" w:hanging="567"/>
        <w:rPr>
          <w:noProof/>
          <w:szCs w:val="22"/>
          <w:lang w:val="es-ES"/>
        </w:rPr>
      </w:pPr>
    </w:p>
    <w:p w14:paraId="4CB2C275" w14:textId="77777777" w:rsidR="00A453C3" w:rsidRPr="00707120" w:rsidRDefault="00A453C3" w:rsidP="00A453C3">
      <w:pPr>
        <w:rPr>
          <w:noProof/>
          <w:lang w:val="es-ES"/>
        </w:rPr>
      </w:pPr>
      <w:r w:rsidRPr="00707120">
        <w:rPr>
          <w:noProof/>
          <w:szCs w:val="22"/>
          <w:lang w:val="es-ES"/>
        </w:rPr>
        <w:t>Tocilizumaba lietošanas biežuma samazināšana laboratorisko rādītāju noviržu dēļ pacientiem ar sJIA vai pJIA nav pētīta</w:t>
      </w:r>
      <w:r w:rsidRPr="00707120">
        <w:rPr>
          <w:noProof/>
          <w:lang w:val="es-ES"/>
        </w:rPr>
        <w:t>.</w:t>
      </w:r>
    </w:p>
    <w:p w14:paraId="00DAF30D" w14:textId="77777777" w:rsidR="00A453C3" w:rsidRPr="00707120" w:rsidRDefault="00A453C3" w:rsidP="00A453C3">
      <w:pPr>
        <w:rPr>
          <w:i/>
          <w:noProof/>
          <w:szCs w:val="22"/>
          <w:lang w:val="es-ES"/>
        </w:rPr>
      </w:pPr>
    </w:p>
    <w:p w14:paraId="6AAAFD75" w14:textId="1493DBAD" w:rsidR="00A453C3" w:rsidRPr="00707120" w:rsidRDefault="00A453C3" w:rsidP="00A453C3">
      <w:pPr>
        <w:rPr>
          <w:szCs w:val="22"/>
          <w:lang w:val="es-ES"/>
        </w:rPr>
      </w:pPr>
      <w:r w:rsidRPr="00707120">
        <w:rPr>
          <w:szCs w:val="22"/>
          <w:lang w:val="es-ES"/>
        </w:rPr>
        <w:t xml:space="preserve">Tocilizumaba subkutāni lietojamās zāļu formas drošums un efektivitāte, lietojot bērniem ar citām slimībām, izņemot sJIA vai pJIA, nav pierādīts. </w:t>
      </w:r>
    </w:p>
    <w:p w14:paraId="3CCA5323" w14:textId="77777777" w:rsidR="00A453C3" w:rsidRPr="00707120" w:rsidRDefault="00A453C3" w:rsidP="00A453C3">
      <w:pPr>
        <w:ind w:left="567" w:hanging="567"/>
        <w:rPr>
          <w:i/>
          <w:noProof/>
          <w:lang w:val="es-ES"/>
        </w:rPr>
      </w:pPr>
    </w:p>
    <w:p w14:paraId="38E43EA8" w14:textId="1E4139B7" w:rsidR="00A453C3" w:rsidRDefault="00A453C3" w:rsidP="00A453C3">
      <w:pPr>
        <w:rPr>
          <w:szCs w:val="22"/>
          <w:lang w:val="lv-LV"/>
        </w:rPr>
      </w:pPr>
      <w:r>
        <w:rPr>
          <w:szCs w:val="22"/>
          <w:lang w:val="lv-LV"/>
        </w:rPr>
        <w:t>Pieejamie dati par intravenozi lietojamo zāļu formu liecina, ka klīnisku uzlabošanos novēro 12 nedēļu laikā pēc ārstēšanas uzsākšanas ar tocilizumabu. Ārstēšanas turpināšana vēlreiz rūpīgi jāizvērtē, ja pacienta stāvoklis šajā laikā neuzlabojas.</w:t>
      </w:r>
    </w:p>
    <w:p w14:paraId="27447DD0" w14:textId="77777777" w:rsidR="00A453C3" w:rsidRPr="00EB2448" w:rsidRDefault="00A453C3" w:rsidP="00A453C3">
      <w:pPr>
        <w:ind w:left="567" w:hanging="567"/>
        <w:rPr>
          <w:rFonts w:eastAsia="Calibri"/>
          <w:bCs/>
          <w:noProof/>
          <w:szCs w:val="22"/>
          <w:u w:val="single"/>
          <w:lang w:val="lv-LV" w:eastAsia="en-US"/>
        </w:rPr>
      </w:pPr>
    </w:p>
    <w:p w14:paraId="099B52AF" w14:textId="77777777" w:rsidR="00A453C3" w:rsidRPr="00707120" w:rsidRDefault="00A453C3">
      <w:pPr>
        <w:keepNext/>
        <w:ind w:left="567" w:hanging="567"/>
        <w:rPr>
          <w:rFonts w:eastAsia="Calibri"/>
          <w:bCs/>
          <w:noProof/>
          <w:szCs w:val="22"/>
          <w:lang w:val="lv-LV" w:eastAsia="en-US"/>
        </w:rPr>
        <w:pPrChange w:id="451" w:author="Author">
          <w:pPr>
            <w:ind w:left="567" w:hanging="567"/>
          </w:pPr>
        </w:pPrChange>
      </w:pPr>
      <w:r w:rsidRPr="00707120">
        <w:rPr>
          <w:rFonts w:eastAsia="Calibri"/>
          <w:bCs/>
          <w:noProof/>
          <w:szCs w:val="22"/>
          <w:lang w:val="lv-LV" w:eastAsia="en-US"/>
        </w:rPr>
        <w:t>Izlaista deva</w:t>
      </w:r>
    </w:p>
    <w:p w14:paraId="26BFA6F1" w14:textId="2DD88191" w:rsidR="00A453C3" w:rsidRPr="001A4B8F" w:rsidRDefault="00A453C3" w:rsidP="00A453C3">
      <w:pPr>
        <w:rPr>
          <w:lang w:val="lv-LV"/>
        </w:rPr>
      </w:pPr>
      <w:r w:rsidRPr="001A4B8F">
        <w:rPr>
          <w:lang w:val="lv-LV"/>
        </w:rPr>
        <w:t xml:space="preserve">Ja pacients ar sJIA nesaņem iknedēļas subkutāno </w:t>
      </w:r>
      <w:r>
        <w:rPr>
          <w:lang w:val="lv-LV"/>
        </w:rPr>
        <w:t>tocilizumaba</w:t>
      </w:r>
      <w:r w:rsidRPr="001A4B8F">
        <w:rPr>
          <w:lang w:val="lv-LV"/>
        </w:rPr>
        <w:t xml:space="preserve"> injekciju un kopš plānotā lietošanas laika vēl nav pagājušas 7 dienas, viņam jānorāda lietot izlaisto devu nākamajā plānotās lietošanas dienā. Ja pacients ar sJIA nesaņem ik pēc 2</w:t>
      </w:r>
      <w:r>
        <w:rPr>
          <w:lang w:val="lv-LV"/>
        </w:rPr>
        <w:t> </w:t>
      </w:r>
      <w:r w:rsidRPr="001A4B8F">
        <w:rPr>
          <w:lang w:val="lv-LV"/>
        </w:rPr>
        <w:t xml:space="preserve">nedēļām lietojamo subkutāno </w:t>
      </w:r>
      <w:r>
        <w:rPr>
          <w:lang w:val="lv-LV"/>
        </w:rPr>
        <w:t>tocilizumaba</w:t>
      </w:r>
      <w:r w:rsidRPr="001A4B8F">
        <w:rPr>
          <w:lang w:val="lv-LV"/>
        </w:rPr>
        <w:t xml:space="preserve"> injekciju 7 dienu laikā pēc plānotās zāļu devas lietošanas dienas, viņam jānorāda lietot izlaisto devu nekavējoties, bet nākamo devu - nākamajā plānotās lietošanas dienā. </w:t>
      </w:r>
    </w:p>
    <w:p w14:paraId="21743B34" w14:textId="77777777" w:rsidR="00A453C3" w:rsidRDefault="00A453C3" w:rsidP="00707120">
      <w:pPr>
        <w:rPr>
          <w:rFonts w:eastAsia="Calibri"/>
          <w:szCs w:val="22"/>
          <w:lang w:val="lv-LV" w:eastAsia="en-US"/>
        </w:rPr>
      </w:pPr>
    </w:p>
    <w:p w14:paraId="030FF098" w14:textId="207B87E6" w:rsidR="00A453C3" w:rsidRPr="00EB2448" w:rsidRDefault="00A453C3" w:rsidP="00707120">
      <w:pPr>
        <w:rPr>
          <w:rFonts w:eastAsia="Calibri"/>
          <w:szCs w:val="22"/>
          <w:lang w:val="lv-LV" w:eastAsia="en-US"/>
        </w:rPr>
      </w:pPr>
      <w:r w:rsidRPr="00EB2448">
        <w:rPr>
          <w:rFonts w:eastAsia="Calibri"/>
          <w:szCs w:val="22"/>
          <w:lang w:val="lv-LV" w:eastAsia="en-US"/>
        </w:rPr>
        <w:t xml:space="preserve">Ja pacients ar pJIA aizmirsis subkutāni injicēt </w:t>
      </w:r>
      <w:r>
        <w:rPr>
          <w:rFonts w:eastAsia="Calibri"/>
          <w:szCs w:val="22"/>
          <w:lang w:val="lv-LV" w:eastAsia="en-US"/>
        </w:rPr>
        <w:t>tocilizumabu</w:t>
      </w:r>
      <w:r w:rsidRPr="00EB2448">
        <w:rPr>
          <w:rFonts w:eastAsia="Calibri"/>
          <w:szCs w:val="22"/>
          <w:lang w:val="lv-LV" w:eastAsia="en-US"/>
        </w:rPr>
        <w:t xml:space="preserve"> un kopš plānotā lietošanas laika vēl nav pagājušas 7</w:t>
      </w:r>
      <w:r>
        <w:rPr>
          <w:rFonts w:eastAsia="Calibri"/>
          <w:szCs w:val="22"/>
          <w:lang w:val="lv-LV" w:eastAsia="en-US"/>
        </w:rPr>
        <w:t xml:space="preserve"> dienas, </w:t>
      </w:r>
      <w:r w:rsidRPr="00EB2448">
        <w:rPr>
          <w:rFonts w:eastAsia="Calibri"/>
          <w:szCs w:val="22"/>
          <w:lang w:val="lv-LV" w:eastAsia="en-US"/>
        </w:rPr>
        <w:t xml:space="preserve">pacientam jāsaņem izlaistā deva, cik drīz vien iespējams, un nākamā deva jālieto parastajā plānotajā laikā. Ja pacients aizmirsis subkutāni injicēt </w:t>
      </w:r>
      <w:r>
        <w:rPr>
          <w:rFonts w:eastAsia="Calibri"/>
          <w:szCs w:val="22"/>
          <w:lang w:val="lv-LV" w:eastAsia="en-US"/>
        </w:rPr>
        <w:t>tocilizumabu</w:t>
      </w:r>
      <w:r w:rsidRPr="00EB2448">
        <w:rPr>
          <w:rFonts w:eastAsia="Calibri"/>
          <w:szCs w:val="22"/>
          <w:lang w:val="lv-LV" w:eastAsia="en-US"/>
        </w:rPr>
        <w:t xml:space="preserve"> un kopš plānotā lietošanas laika pagājušas vairāk nekā 7 dienas vai ja pacients šaubās, kad</w:t>
      </w:r>
      <w:r>
        <w:rPr>
          <w:rFonts w:eastAsia="Calibri"/>
          <w:szCs w:val="22"/>
          <w:lang w:val="lv-LV" w:eastAsia="en-US"/>
        </w:rPr>
        <w:t xml:space="preserve"> to</w:t>
      </w:r>
      <w:r w:rsidRPr="00EB2448">
        <w:rPr>
          <w:rFonts w:eastAsia="Calibri"/>
          <w:szCs w:val="22"/>
          <w:lang w:val="lv-LV" w:eastAsia="en-US"/>
        </w:rPr>
        <w:t xml:space="preserve"> injicēt, jāsazinās ar ārstu vai farmaceitu.</w:t>
      </w:r>
    </w:p>
    <w:p w14:paraId="158D9B43" w14:textId="77777777" w:rsidR="00A453C3" w:rsidRPr="00700C92" w:rsidRDefault="00A453C3" w:rsidP="00A453C3">
      <w:pPr>
        <w:ind w:left="567" w:hanging="567"/>
        <w:rPr>
          <w:szCs w:val="22"/>
          <w:lang w:val="lv-LV"/>
        </w:rPr>
      </w:pPr>
    </w:p>
    <w:p w14:paraId="748A1AFA" w14:textId="77777777" w:rsidR="00A453C3" w:rsidRDefault="00A453C3" w:rsidP="00A453C3">
      <w:pPr>
        <w:keepNext/>
        <w:keepLines/>
        <w:ind w:left="562" w:hanging="562"/>
        <w:rPr>
          <w:lang w:val="lv-LV"/>
        </w:rPr>
      </w:pPr>
      <w:r>
        <w:rPr>
          <w:szCs w:val="22"/>
          <w:u w:val="single"/>
          <w:lang w:val="lv-LV"/>
        </w:rPr>
        <w:t>Lietošanas veids</w:t>
      </w:r>
    </w:p>
    <w:p w14:paraId="7139DE28" w14:textId="3E19574D" w:rsidR="00A453C3" w:rsidRDefault="00A453C3" w:rsidP="00A453C3">
      <w:pPr>
        <w:rPr>
          <w:lang w:val="lv-LV"/>
        </w:rPr>
      </w:pPr>
      <w:r>
        <w:rPr>
          <w:lang w:val="lv-LV"/>
        </w:rPr>
        <w:t xml:space="preserve">Šīs zāles ir paredzētas subkutānai lietošanai. </w:t>
      </w:r>
    </w:p>
    <w:p w14:paraId="540C8FC1" w14:textId="6D36E928" w:rsidR="00A453C3" w:rsidRDefault="00A453C3" w:rsidP="00A453C3">
      <w:pPr>
        <w:rPr>
          <w:lang w:val="lv-LV"/>
        </w:rPr>
      </w:pPr>
      <w:r>
        <w:rPr>
          <w:lang w:val="lv-LV"/>
        </w:rPr>
        <w:t xml:space="preserve">Pēc atbilstošas apmācības par injekcijas veikšanas metodi pacienti var paši sev ievadīt šīs zāles, ja ārsts uzskata, ka tas ir piemēroti. Ar subkutānu injekciju jāievada viss pilnšļirces saturs (0,9 ml). Ieteicamās injicēšanas vietas (vēders, augšstilbs un augšdelms) jāmaina, un injekciju nekad nedrīkst veikt vietā, kur ir dzimumzīmes, rētas vai āda ir jutīga, nobrāzta, apsārtusi, cieta vai bojāta. </w:t>
      </w:r>
    </w:p>
    <w:p w14:paraId="00F3B642" w14:textId="77777777" w:rsidR="00A453C3" w:rsidRDefault="00A453C3" w:rsidP="00A453C3">
      <w:pPr>
        <w:rPr>
          <w:lang w:val="lv-LV"/>
        </w:rPr>
      </w:pPr>
    </w:p>
    <w:p w14:paraId="20A3BEF8" w14:textId="77777777" w:rsidR="00A453C3" w:rsidRDefault="00A453C3" w:rsidP="00A453C3">
      <w:pPr>
        <w:rPr>
          <w:lang w:val="lv-LV"/>
        </w:rPr>
      </w:pPr>
      <w:r>
        <w:rPr>
          <w:lang w:val="lv-LV"/>
        </w:rPr>
        <w:t xml:space="preserve">Pilnšļirci nedrīkst sakratīt. </w:t>
      </w:r>
    </w:p>
    <w:p w14:paraId="44E20464" w14:textId="77777777" w:rsidR="00A453C3" w:rsidRDefault="00A453C3" w:rsidP="00A453C3">
      <w:pPr>
        <w:rPr>
          <w:lang w:val="lv-LV"/>
        </w:rPr>
      </w:pPr>
    </w:p>
    <w:p w14:paraId="2DCF3C92" w14:textId="77777777" w:rsidR="00A453C3" w:rsidRDefault="00A453C3" w:rsidP="00A453C3">
      <w:pPr>
        <w:rPr>
          <w:lang w:val="lv-LV"/>
        </w:rPr>
      </w:pPr>
      <w:r>
        <w:rPr>
          <w:lang w:val="lv-LV"/>
        </w:rPr>
        <w:t xml:space="preserve">Sīkāki norādījumi par RoActemra pilnšļirces lietošanu sniegti lietošanas instrukcijā, skatīt 6.6. apakšpunktu. </w:t>
      </w:r>
    </w:p>
    <w:p w14:paraId="02536CBB" w14:textId="77777777" w:rsidR="00A453C3" w:rsidRDefault="00A453C3" w:rsidP="00A453C3">
      <w:pPr>
        <w:ind w:left="567" w:hanging="567"/>
        <w:rPr>
          <w:bCs/>
          <w:szCs w:val="22"/>
          <w:lang w:val="lv-LV"/>
        </w:rPr>
      </w:pPr>
    </w:p>
    <w:p w14:paraId="557F048B" w14:textId="77777777" w:rsidR="00A453C3" w:rsidRDefault="00A453C3" w:rsidP="00707120">
      <w:pPr>
        <w:keepNext/>
        <w:keepLines/>
        <w:ind w:left="567" w:hanging="567"/>
        <w:rPr>
          <w:szCs w:val="22"/>
          <w:lang w:val="lv-LV"/>
        </w:rPr>
      </w:pPr>
      <w:r>
        <w:rPr>
          <w:b/>
          <w:szCs w:val="22"/>
          <w:lang w:val="lv-LV"/>
        </w:rPr>
        <w:t>4.3.</w:t>
      </w:r>
      <w:r>
        <w:rPr>
          <w:b/>
          <w:szCs w:val="22"/>
          <w:lang w:val="lv-LV"/>
        </w:rPr>
        <w:tab/>
        <w:t>Kontrindikācijas</w:t>
      </w:r>
    </w:p>
    <w:p w14:paraId="04DE34B3" w14:textId="77777777" w:rsidR="00A453C3" w:rsidRDefault="00A453C3" w:rsidP="00707120">
      <w:pPr>
        <w:keepNext/>
        <w:keepLines/>
        <w:rPr>
          <w:szCs w:val="22"/>
          <w:lang w:val="lv-LV"/>
        </w:rPr>
      </w:pPr>
    </w:p>
    <w:p w14:paraId="5B98663B" w14:textId="77777777" w:rsidR="00A453C3" w:rsidRDefault="00A453C3" w:rsidP="00707120">
      <w:pPr>
        <w:keepNext/>
        <w:keepLines/>
        <w:rPr>
          <w:szCs w:val="22"/>
          <w:lang w:val="lv-LV"/>
        </w:rPr>
      </w:pPr>
      <w:r>
        <w:rPr>
          <w:szCs w:val="22"/>
          <w:lang w:val="lv-LV"/>
        </w:rPr>
        <w:t>Paaugstināta jutība pret aktīvo vielu vai jebkuru no 6.1. apakšpunktā uzskaitītajām palīgvielām.</w:t>
      </w:r>
    </w:p>
    <w:p w14:paraId="0096CFE9" w14:textId="77777777" w:rsidR="00A453C3" w:rsidRDefault="00A453C3" w:rsidP="00707120">
      <w:pPr>
        <w:keepNext/>
        <w:keepLines/>
        <w:rPr>
          <w:szCs w:val="22"/>
          <w:lang w:val="lv-LV"/>
        </w:rPr>
      </w:pPr>
    </w:p>
    <w:p w14:paraId="34B2D564" w14:textId="77777777" w:rsidR="00A453C3" w:rsidRDefault="00A453C3" w:rsidP="00707120">
      <w:pPr>
        <w:keepNext/>
        <w:keepLines/>
        <w:rPr>
          <w:szCs w:val="22"/>
          <w:lang w:val="lv-LV"/>
        </w:rPr>
      </w:pPr>
      <w:r>
        <w:rPr>
          <w:szCs w:val="22"/>
          <w:lang w:val="lv-LV"/>
        </w:rPr>
        <w:t>Smagas aktīvas infekcijas (skatīt 4.4. apakšpunktu).</w:t>
      </w:r>
    </w:p>
    <w:p w14:paraId="4BB13C90" w14:textId="77777777" w:rsidR="00A453C3" w:rsidRDefault="00A453C3" w:rsidP="00A453C3">
      <w:pPr>
        <w:rPr>
          <w:szCs w:val="22"/>
          <w:lang w:val="lv-LV"/>
        </w:rPr>
      </w:pPr>
    </w:p>
    <w:p w14:paraId="696D407B" w14:textId="77777777" w:rsidR="00A453C3" w:rsidRDefault="00A453C3" w:rsidP="00A453C3">
      <w:pPr>
        <w:keepNext/>
        <w:keepLines/>
        <w:rPr>
          <w:b/>
          <w:szCs w:val="22"/>
          <w:lang w:val="lv-LV"/>
        </w:rPr>
      </w:pPr>
      <w:r>
        <w:rPr>
          <w:b/>
          <w:szCs w:val="22"/>
          <w:lang w:val="lv-LV"/>
        </w:rPr>
        <w:t>4.4.</w:t>
      </w:r>
      <w:r>
        <w:rPr>
          <w:b/>
          <w:szCs w:val="22"/>
          <w:lang w:val="lv-LV"/>
        </w:rPr>
        <w:tab/>
        <w:t xml:space="preserve">Īpaši brīdinājumi un piesardzība lietošanā </w:t>
      </w:r>
    </w:p>
    <w:p w14:paraId="1F4FA0E0" w14:textId="77777777" w:rsidR="00A453C3" w:rsidRDefault="00A453C3" w:rsidP="00A453C3">
      <w:pPr>
        <w:keepNext/>
        <w:keepLines/>
        <w:rPr>
          <w:bCs/>
          <w:szCs w:val="22"/>
          <w:lang w:val="lv-LV"/>
        </w:rPr>
      </w:pPr>
    </w:p>
    <w:p w14:paraId="4CDB8452" w14:textId="77777777" w:rsidR="00A453C3" w:rsidRDefault="00A453C3" w:rsidP="00A453C3">
      <w:pPr>
        <w:rPr>
          <w:bCs/>
          <w:szCs w:val="22"/>
          <w:lang w:val="lv-LV"/>
        </w:rPr>
      </w:pPr>
      <w:r w:rsidRPr="005E0BB7">
        <w:rPr>
          <w:bCs/>
          <w:szCs w:val="22"/>
          <w:lang w:val="lv-LV"/>
        </w:rPr>
        <w:t>RoActemra subkutāni lietojamā zāļu forma nav paredzēta intravenozai ievadīšanai.</w:t>
      </w:r>
    </w:p>
    <w:p w14:paraId="1C701A8E" w14:textId="77777777" w:rsidR="00A453C3" w:rsidRPr="005E0BB7" w:rsidRDefault="00A453C3" w:rsidP="00A453C3">
      <w:pPr>
        <w:rPr>
          <w:bCs/>
          <w:szCs w:val="22"/>
          <w:lang w:val="lv-LV"/>
        </w:rPr>
      </w:pPr>
      <w:bookmarkStart w:id="452" w:name="_Hlk174606087"/>
    </w:p>
    <w:p w14:paraId="13B7681F" w14:textId="5FD4A3DC" w:rsidR="00A453C3" w:rsidRDefault="00A453C3">
      <w:pPr>
        <w:keepLines/>
        <w:rPr>
          <w:bCs/>
          <w:szCs w:val="22"/>
          <w:lang w:val="lv-LV"/>
        </w:rPr>
        <w:pPrChange w:id="453" w:author="Author">
          <w:pPr>
            <w:keepNext/>
            <w:keepLines/>
          </w:pPr>
        </w:pPrChange>
      </w:pPr>
      <w:r w:rsidRPr="001A4B8F">
        <w:rPr>
          <w:bCs/>
          <w:szCs w:val="22"/>
          <w:lang w:val="lv-LV"/>
        </w:rPr>
        <w:t>RoActemra subkutāni lietojamā zāļu forma nav paredzēta</w:t>
      </w:r>
      <w:r>
        <w:rPr>
          <w:bCs/>
          <w:szCs w:val="22"/>
          <w:lang w:val="lv-LV"/>
        </w:rPr>
        <w:t xml:space="preserve"> lietošanai bērniem ar sJIA ar ķermeņa masu zem 10 kg.</w:t>
      </w:r>
    </w:p>
    <w:bookmarkEnd w:id="452"/>
    <w:p w14:paraId="7E221904" w14:textId="77777777" w:rsidR="00A453C3" w:rsidRDefault="00A453C3">
      <w:pPr>
        <w:rPr>
          <w:bCs/>
          <w:szCs w:val="22"/>
          <w:lang w:val="lv-LV"/>
        </w:rPr>
        <w:pPrChange w:id="454" w:author="Author">
          <w:pPr>
            <w:keepLines/>
          </w:pPr>
        </w:pPrChange>
      </w:pPr>
    </w:p>
    <w:p w14:paraId="7D26B1A6" w14:textId="77777777" w:rsidR="00A453C3" w:rsidRPr="00707120" w:rsidRDefault="00A453C3" w:rsidP="00707120">
      <w:pPr>
        <w:keepNext/>
        <w:rPr>
          <w:rFonts w:eastAsia="PMingLiU"/>
          <w:szCs w:val="22"/>
          <w:u w:val="single"/>
          <w:lang w:val="lv-LV"/>
        </w:rPr>
      </w:pPr>
      <w:r w:rsidRPr="00707120">
        <w:rPr>
          <w:rFonts w:eastAsia="PMingLiU"/>
          <w:szCs w:val="22"/>
          <w:u w:val="single"/>
          <w:lang w:val="lv-LV"/>
        </w:rPr>
        <w:t>Izsekojamība</w:t>
      </w:r>
    </w:p>
    <w:p w14:paraId="507A2F9B" w14:textId="77777777" w:rsidR="00A453C3" w:rsidRDefault="00A453C3" w:rsidP="00A453C3">
      <w:pPr>
        <w:rPr>
          <w:rFonts w:eastAsia="PMingLiU"/>
          <w:szCs w:val="22"/>
          <w:lang w:val="lv-LV"/>
        </w:rPr>
      </w:pPr>
      <w:r>
        <w:rPr>
          <w:rFonts w:eastAsia="PMingLiU"/>
          <w:szCs w:val="22"/>
          <w:lang w:val="lv-LV"/>
        </w:rPr>
        <w:t xml:space="preserve">Lai uzlabotu bioloģisko zāļu izsekojamību, ir skaidri jāreģistrē lietoto zāļu nosaukums un sērijas numurs. </w:t>
      </w:r>
    </w:p>
    <w:p w14:paraId="7A812259" w14:textId="77777777" w:rsidR="00A453C3" w:rsidRDefault="00A453C3" w:rsidP="00A453C3">
      <w:pPr>
        <w:rPr>
          <w:rFonts w:eastAsia="PMingLiU"/>
          <w:szCs w:val="22"/>
          <w:lang w:val="lv-LV"/>
        </w:rPr>
      </w:pPr>
      <w:bookmarkStart w:id="455" w:name="_Hlk174606141"/>
    </w:p>
    <w:p w14:paraId="470FB6C1" w14:textId="77777777" w:rsidR="00A453C3" w:rsidRPr="00707120" w:rsidRDefault="00A453C3" w:rsidP="00707120">
      <w:pPr>
        <w:keepNext/>
        <w:rPr>
          <w:rFonts w:eastAsia="PMingLiU"/>
          <w:szCs w:val="22"/>
          <w:u w:val="single"/>
          <w:lang w:val="lv-LV"/>
        </w:rPr>
      </w:pPr>
      <w:r>
        <w:rPr>
          <w:rFonts w:eastAsia="PMingLiU"/>
          <w:szCs w:val="22"/>
          <w:u w:val="single"/>
          <w:lang w:val="lv-LV"/>
        </w:rPr>
        <w:t>Visas indikācijas</w:t>
      </w:r>
    </w:p>
    <w:bookmarkEnd w:id="455"/>
    <w:p w14:paraId="5A8C621B" w14:textId="77777777" w:rsidR="00A453C3" w:rsidRDefault="00A453C3" w:rsidP="00707120">
      <w:pPr>
        <w:keepNext/>
        <w:rPr>
          <w:szCs w:val="22"/>
          <w:lang w:val="lv-LV"/>
        </w:rPr>
      </w:pPr>
      <w:r>
        <w:rPr>
          <w:i/>
          <w:szCs w:val="22"/>
          <w:lang w:val="lv-LV"/>
        </w:rPr>
        <w:t>Infekcijas</w:t>
      </w:r>
    </w:p>
    <w:p w14:paraId="569C8AE3" w14:textId="36FE49DF" w:rsidR="00A453C3" w:rsidRDefault="00A453C3" w:rsidP="00A453C3">
      <w:pPr>
        <w:rPr>
          <w:szCs w:val="22"/>
          <w:lang w:val="lv-LV"/>
        </w:rPr>
      </w:pPr>
      <w:bookmarkStart w:id="456" w:name="_Hlk174606199"/>
      <w:r>
        <w:rPr>
          <w:szCs w:val="22"/>
          <w:lang w:val="lv-LV"/>
        </w:rPr>
        <w:t>Pacientiem, kuri saņem imūnsupresīvus līdzekļus, tajā skaitā arī tocilizumabu, ir aprakstītas nopietnas un dažkārt letālas infekcijas (skatīt 4.8. apakšpunktu).</w:t>
      </w:r>
      <w:r>
        <w:rPr>
          <w:lang w:val="lv-LV"/>
        </w:rPr>
        <w:t xml:space="preserve"> </w:t>
      </w:r>
      <w:r>
        <w:rPr>
          <w:szCs w:val="22"/>
          <w:lang w:val="lv-LV"/>
        </w:rPr>
        <w:t xml:space="preserve">Ārstēšanu nedrīkst sākt pacientiem ar aktīvām infekcijām (skatīt 4.3. apakšpunktu). Ja pacientam rodas nopietna infekcija, tocilizumaba lietošana jāpārtrauc, līdz infekcija tiek kontrolēta (skatīt 4.8. apakšpunktu). Veselības aprūpes speciālistiem jāievēro piesardzība, šo zāļu lietošanu apsverot pacientiem, kuriem anamnēzē ir recidivējošas vai hroniskas infekcijas vai pamatslimības (piemēram, divertikulīts, cukura diabēts un intersticiāla plaušu slimība), kas var predisponēt pacientus infekcijām. </w:t>
      </w:r>
    </w:p>
    <w:p w14:paraId="4E890194" w14:textId="77777777" w:rsidR="00A453C3" w:rsidRDefault="00A453C3" w:rsidP="00A453C3">
      <w:pPr>
        <w:rPr>
          <w:szCs w:val="22"/>
          <w:lang w:val="lv-LV"/>
        </w:rPr>
      </w:pPr>
    </w:p>
    <w:p w14:paraId="790E5FCE" w14:textId="34B752C2" w:rsidR="00A453C3" w:rsidRDefault="00A453C3" w:rsidP="00A453C3">
      <w:pPr>
        <w:rPr>
          <w:szCs w:val="22"/>
          <w:lang w:val="lv-LV"/>
        </w:rPr>
      </w:pPr>
      <w:r>
        <w:rPr>
          <w:szCs w:val="22"/>
          <w:lang w:val="lv-LV"/>
        </w:rPr>
        <w:t xml:space="preserve">Ieteicama rūpīga novērošana, lai laicīgi konstatētu nopietnu infekciju pacientiem, kuri saņem imūnsupresīvus līdzekļus, piemēram, tocilizumabu, jo akūta iekaisuma pazīmes un simptomi var mazināties akūtās fāzes reakcijas nomākuma dēļ. Izmeklējot pacientu attiecībā uz iespējamu infekciju, ir jāņem vērā </w:t>
      </w:r>
      <w:r>
        <w:rPr>
          <w:lang w:val="lv-LV"/>
        </w:rPr>
        <w:t xml:space="preserve">tocilizumaba ietekme uz C-reaktīvo olbaltumu (CRO), neitrofilajiem leikocītiem un infekcijas pazīmēm un simptomiem. </w:t>
      </w:r>
      <w:r>
        <w:rPr>
          <w:szCs w:val="22"/>
          <w:lang w:val="lv-LV"/>
        </w:rPr>
        <w:t xml:space="preserve">Pacientiem </w:t>
      </w:r>
      <w:r w:rsidRPr="001A4B8F">
        <w:rPr>
          <w:lang w:val="lv-LV"/>
        </w:rPr>
        <w:t>(arī mazākiem bērniem ar sJIA vai pJIA, kuri var būt mazāk spējīgi darīt zināmus savus simptomus) un pacientu ar sJIA vai pJIA vecākiem vai aizbildņiem</w:t>
      </w:r>
      <w:r>
        <w:rPr>
          <w:szCs w:val="22"/>
          <w:lang w:val="lv-LV"/>
        </w:rPr>
        <w:t xml:space="preserve"> jānorāda nekavējoties sazināties ar savu veselības aprūpes speciālistu, ja rodas par infekciju liecinoši simptomi, lai nodrošinātu ātru novērtēšanu un atbilstošu ārstēšanu.</w:t>
      </w:r>
    </w:p>
    <w:bookmarkEnd w:id="456"/>
    <w:p w14:paraId="377E6842" w14:textId="77777777" w:rsidR="00A453C3" w:rsidRDefault="00A453C3" w:rsidP="00A453C3">
      <w:pPr>
        <w:rPr>
          <w:szCs w:val="22"/>
          <w:lang w:val="lv-LV"/>
        </w:rPr>
      </w:pPr>
    </w:p>
    <w:p w14:paraId="077280B9" w14:textId="77777777" w:rsidR="00A453C3" w:rsidRDefault="00A453C3" w:rsidP="00707120">
      <w:pPr>
        <w:keepNext/>
        <w:rPr>
          <w:lang w:val="lv-LV"/>
        </w:rPr>
      </w:pPr>
      <w:r>
        <w:rPr>
          <w:i/>
          <w:lang w:val="lv-LV"/>
        </w:rPr>
        <w:t>Tuberkuloze</w:t>
      </w:r>
    </w:p>
    <w:p w14:paraId="4EC0FD64" w14:textId="637CA2DE" w:rsidR="00A453C3" w:rsidRDefault="00A453C3" w:rsidP="00A453C3">
      <w:pPr>
        <w:rPr>
          <w:szCs w:val="24"/>
          <w:lang w:val="lv-LV"/>
        </w:rPr>
      </w:pPr>
      <w:r>
        <w:rPr>
          <w:lang w:val="lv-LV"/>
        </w:rPr>
        <w:t>Tāpat kā ir ieteikts citu bioloģisko zāļu lietošanas gadījumā, pirms tocilizumaba terapijas sākuma visi pacienti</w:t>
      </w:r>
      <w:ins w:id="457" w:author="Regulatory LV" w:date="2026-03-17T11:35:00Z">
        <w:r w:rsidR="00D20F5A">
          <w:rPr>
            <w:lang w:val="lv-LV"/>
          </w:rPr>
          <w:t>em</w:t>
        </w:r>
      </w:ins>
      <w:r>
        <w:rPr>
          <w:lang w:val="lv-LV"/>
        </w:rPr>
        <w:t xml:space="preserve"> ir jā</w:t>
      </w:r>
      <w:ins w:id="458" w:author="Regulatory LV" w:date="2026-03-17T11:35:00Z">
        <w:r w:rsidR="00D20F5A">
          <w:rPr>
            <w:lang w:val="lv-LV"/>
          </w:rPr>
          <w:t>veic</w:t>
        </w:r>
      </w:ins>
      <w:del w:id="459" w:author="Regulatory LV" w:date="2026-03-17T11:35:00Z">
        <w:r w:rsidDel="00D20F5A">
          <w:rPr>
            <w:lang w:val="lv-LV"/>
          </w:rPr>
          <w:delText>pakļauj</w:delText>
        </w:r>
      </w:del>
      <w:r>
        <w:rPr>
          <w:lang w:val="lv-LV"/>
        </w:rPr>
        <w:t xml:space="preserve"> skrīning</w:t>
      </w:r>
      <w:ins w:id="460" w:author="Regulatory LV" w:date="2026-03-17T11:35:00Z">
        <w:r w:rsidR="00D20F5A">
          <w:rPr>
            <w:lang w:val="lv-LV"/>
          </w:rPr>
          <w:t>s</w:t>
        </w:r>
      </w:ins>
      <w:del w:id="461" w:author="Regulatory LV" w:date="2026-03-17T11:35:00Z">
        <w:r w:rsidDel="00D20F5A">
          <w:rPr>
            <w:lang w:val="lv-LV"/>
          </w:rPr>
          <w:delText>am</w:delText>
        </w:r>
      </w:del>
      <w:r>
        <w:rPr>
          <w:lang w:val="lv-LV"/>
        </w:rPr>
        <w:t xml:space="preserve"> attiecībā uz latentu tuberkulozi (TB). Pirms terapijas sākuma pacienti ar latentu TB ir jāārstē ar mikobaktēriju infekciju ārstēšanai paredzētajām standarta zālēm. </w:t>
      </w:r>
      <w:r>
        <w:rPr>
          <w:szCs w:val="24"/>
          <w:lang w:val="lv-LV"/>
        </w:rPr>
        <w:t xml:space="preserve">Ārstiem, kuri ordinē zāles, jāatceras, ka ir iespējami pseidonegatīvi tuberkulīna ādas testa un gamma interferona TB asins analīžu rezultāti. Tie īpaši ir iespējami smagi slimiem pacientiem, kā arī pacientiem ar nomāktu imūno sistēmu. </w:t>
      </w:r>
    </w:p>
    <w:p w14:paraId="5CC5CA68" w14:textId="77777777" w:rsidR="00A453C3" w:rsidRDefault="00A453C3" w:rsidP="00A453C3">
      <w:pPr>
        <w:rPr>
          <w:szCs w:val="24"/>
          <w:lang w:val="lv-LV"/>
        </w:rPr>
      </w:pPr>
    </w:p>
    <w:p w14:paraId="2AF2D2E5" w14:textId="6BEF3EA6" w:rsidR="00A453C3" w:rsidRDefault="00A453C3" w:rsidP="00A453C3">
      <w:pPr>
        <w:rPr>
          <w:szCs w:val="22"/>
          <w:lang w:val="lv-LV"/>
        </w:rPr>
      </w:pPr>
      <w:r>
        <w:rPr>
          <w:szCs w:val="24"/>
          <w:lang w:val="lv-LV"/>
        </w:rPr>
        <w:t>Pacienti un sJIA vai pJIA slimnieku vecāki/aizbildņi jāinformē, ka gadījumā, ja šo zāļu lietošanas laikā vai pēc tās pārtraukšanas rodas pazīmes vai simptomi (piemēram, nepārejošs klepus, vājums/ķermeņa masas samazināšanās vai viegls drudzis), kas liecina par tuberkulozes infekciju, jāmeklē medicīniska palīdzība.</w:t>
      </w:r>
    </w:p>
    <w:p w14:paraId="4091703C" w14:textId="77777777" w:rsidR="00A453C3" w:rsidRDefault="00A453C3" w:rsidP="00A453C3">
      <w:pPr>
        <w:rPr>
          <w:szCs w:val="22"/>
          <w:lang w:val="lv-LV"/>
        </w:rPr>
      </w:pPr>
    </w:p>
    <w:p w14:paraId="268B8DDB" w14:textId="77777777" w:rsidR="00A453C3" w:rsidRDefault="00A453C3" w:rsidP="00A453C3">
      <w:pPr>
        <w:keepNext/>
        <w:keepLines/>
        <w:rPr>
          <w:szCs w:val="22"/>
          <w:lang w:val="lv-LV"/>
        </w:rPr>
      </w:pPr>
      <w:r>
        <w:rPr>
          <w:i/>
          <w:iCs/>
          <w:szCs w:val="22"/>
          <w:lang w:val="lv-LV"/>
        </w:rPr>
        <w:t>Vīrusu reaktivācija</w:t>
      </w:r>
    </w:p>
    <w:p w14:paraId="52CDDF27" w14:textId="54436203" w:rsidR="00A453C3" w:rsidRDefault="00A453C3" w:rsidP="00A453C3">
      <w:pPr>
        <w:rPr>
          <w:szCs w:val="22"/>
          <w:lang w:val="lv-LV"/>
        </w:rPr>
      </w:pPr>
      <w:r>
        <w:rPr>
          <w:szCs w:val="22"/>
          <w:lang w:val="lv-LV"/>
        </w:rPr>
        <w:t>Ārstējot RA ar bioloģiskas izcelsmes zālēm, aprakstīta vīrusu (piemēram, B hepatīta vīrusa) reaktivācija. Pacienti, kuriem bija pozitīvi skrīninga rezultāti attiecībā uz hepatītu, no tocilizumaba klīniskajiem pētījumiem tika izslēgti.</w:t>
      </w:r>
    </w:p>
    <w:p w14:paraId="3EF6B7C8" w14:textId="77777777" w:rsidR="00A453C3" w:rsidRDefault="00A453C3" w:rsidP="00A453C3">
      <w:pPr>
        <w:rPr>
          <w:szCs w:val="22"/>
          <w:lang w:val="lv-LV"/>
        </w:rPr>
      </w:pPr>
    </w:p>
    <w:p w14:paraId="19F53A9E" w14:textId="77777777" w:rsidR="00A453C3" w:rsidRDefault="00A453C3" w:rsidP="00A453C3">
      <w:pPr>
        <w:keepNext/>
        <w:keepLines/>
        <w:rPr>
          <w:szCs w:val="22"/>
          <w:lang w:val="lv-LV"/>
        </w:rPr>
      </w:pPr>
      <w:r>
        <w:rPr>
          <w:i/>
          <w:szCs w:val="22"/>
          <w:lang w:val="lv-LV"/>
        </w:rPr>
        <w:t>Divertikulīta komplikācijas</w:t>
      </w:r>
    </w:p>
    <w:p w14:paraId="6FD67365" w14:textId="611D69DD" w:rsidR="00A453C3" w:rsidRDefault="00A453C3" w:rsidP="00707120">
      <w:pPr>
        <w:keepLines/>
        <w:rPr>
          <w:szCs w:val="22"/>
          <w:lang w:val="lv-LV"/>
        </w:rPr>
      </w:pPr>
      <w:r>
        <w:rPr>
          <w:szCs w:val="22"/>
          <w:lang w:val="lv-LV"/>
        </w:rPr>
        <w:t>Retākos gadījumos ziņots par divertikula perforāciju kā divertikulīta komplikāciju pacientiem, kuri ārstēti ar tocilizumabu (skatīt 4.8. apakšpunktu). Šīs zāles ar piesardzību jālieto pacientiem, kuriem anamnēzē ir zarnu čūlas vai divertikulīts. Pacienti, kuriem ir simptomi, kas var liecināt par komplicētu divertikulītu, piemēram, sāpes vēderā, asiņošana un/vai neizskaidrojamas vēdera izejas pārmaiņas ar drudzi, nekavējoties jānovērtē, lai agrīni konstatētu divertikulītu, kas var būt saistīts ar kuņģa</w:t>
      </w:r>
      <w:r w:rsidR="00BD246C">
        <w:rPr>
          <w:szCs w:val="22"/>
          <w:lang w:val="lv-LV"/>
        </w:rPr>
        <w:t xml:space="preserve"> un </w:t>
      </w:r>
      <w:r>
        <w:rPr>
          <w:szCs w:val="22"/>
          <w:lang w:val="lv-LV"/>
        </w:rPr>
        <w:t>zarnu trakta perforāciju.</w:t>
      </w:r>
    </w:p>
    <w:p w14:paraId="1115EC25" w14:textId="77777777" w:rsidR="00A453C3" w:rsidRDefault="00A453C3" w:rsidP="00707120">
      <w:pPr>
        <w:keepLines/>
        <w:rPr>
          <w:szCs w:val="22"/>
          <w:lang w:val="lv-LV"/>
        </w:rPr>
      </w:pPr>
    </w:p>
    <w:p w14:paraId="11110410" w14:textId="77777777" w:rsidR="00A453C3" w:rsidRDefault="00A453C3" w:rsidP="00A453C3">
      <w:pPr>
        <w:keepNext/>
        <w:keepLines/>
        <w:rPr>
          <w:rFonts w:eastAsia="MS Mincho"/>
          <w:szCs w:val="22"/>
          <w:lang w:val="lv-LV"/>
        </w:rPr>
      </w:pPr>
      <w:r>
        <w:rPr>
          <w:bCs/>
          <w:i/>
          <w:szCs w:val="22"/>
          <w:lang w:val="lv-LV"/>
        </w:rPr>
        <w:t>Paaugstinātas jutības reakcijas</w:t>
      </w:r>
    </w:p>
    <w:p w14:paraId="54D58B44" w14:textId="38252109" w:rsidR="00A453C3" w:rsidRDefault="00A453C3" w:rsidP="002A038C">
      <w:pPr>
        <w:keepNext/>
        <w:keepLines/>
        <w:rPr>
          <w:szCs w:val="22"/>
          <w:lang w:val="lv-LV"/>
        </w:rPr>
      </w:pPr>
      <w:r>
        <w:rPr>
          <w:rFonts w:eastAsia="MS Mincho"/>
          <w:szCs w:val="22"/>
          <w:lang w:val="lv-LV"/>
        </w:rPr>
        <w:t xml:space="preserve">Saistībā ar </w:t>
      </w:r>
      <w:r>
        <w:rPr>
          <w:szCs w:val="22"/>
          <w:lang w:val="lv-LV"/>
        </w:rPr>
        <w:t>tocilizumaba lietošanu</w:t>
      </w:r>
      <w:r>
        <w:rPr>
          <w:rFonts w:eastAsia="MS Mincho"/>
          <w:szCs w:val="22"/>
          <w:lang w:val="lv-LV"/>
        </w:rPr>
        <w:t xml:space="preserve"> ziņots par nopietnām paaugstinātas jutības reakcijām, tajā skaitā anafilaksi (skatīt 4.8. apakšpunktu)</w:t>
      </w:r>
      <w:r>
        <w:rPr>
          <w:szCs w:val="22"/>
          <w:lang w:val="lv-LV"/>
        </w:rPr>
        <w:t xml:space="preserve">. </w:t>
      </w:r>
      <w:r>
        <w:rPr>
          <w:lang w:val="lv-LV"/>
        </w:rPr>
        <w:t xml:space="preserve">Šādas reakcijas var būt smagākas un pat letālas pacientiem, kuriem iepriekšējās RoActemra lietošanas laikā </w:t>
      </w:r>
      <w:del w:id="462" w:author="Author">
        <w:r w:rsidDel="00CE6B8D">
          <w:rPr>
            <w:lang w:val="lv-LV"/>
          </w:rPr>
          <w:delText xml:space="preserve"> </w:delText>
        </w:r>
      </w:del>
      <w:r>
        <w:rPr>
          <w:lang w:val="lv-LV"/>
        </w:rPr>
        <w:t xml:space="preserve">bijušas </w:t>
      </w:r>
      <w:r>
        <w:rPr>
          <w:rFonts w:eastAsia="MS Mincho"/>
          <w:lang w:val="lv-LV"/>
        </w:rPr>
        <w:t>nopietnas paaugstinātas jutības reakcijas, pat, ja saņemta</w:t>
      </w:r>
      <w:r>
        <w:rPr>
          <w:lang w:val="lv-LV"/>
        </w:rPr>
        <w:t xml:space="preserve"> premedikācija ar steroīdiem un antihistamīna līdze</w:t>
      </w:r>
      <w:r w:rsidRPr="00825C8A">
        <w:rPr>
          <w:lang w:val="lv-LV"/>
        </w:rPr>
        <w:t>kļiem</w:t>
      </w:r>
      <w:r w:rsidRPr="00825C8A">
        <w:rPr>
          <w:szCs w:val="22"/>
          <w:lang w:val="lv-LV"/>
        </w:rPr>
        <w:t>.</w:t>
      </w:r>
      <w:r w:rsidRPr="00825C8A">
        <w:rPr>
          <w:lang w:val="lv-LV"/>
        </w:rPr>
        <w:t xml:space="preserve"> Ja rodas anafilaktiska reakcija vai cita nopietna paaugstinātas jutības reakcija, tocilizumaba ie</w:t>
      </w:r>
      <w:r w:rsidR="003259A0" w:rsidRPr="0029427C">
        <w:rPr>
          <w:lang w:val="lv-LV"/>
        </w:rPr>
        <w:t>vadī</w:t>
      </w:r>
      <w:r w:rsidRPr="00825C8A">
        <w:rPr>
          <w:lang w:val="lv-LV"/>
        </w:rPr>
        <w:t xml:space="preserve">šana nekavējoties jāpārtrauc, jāsāk atbilstoša </w:t>
      </w:r>
      <w:r w:rsidR="0029427C">
        <w:rPr>
          <w:lang w:val="lv-LV"/>
        </w:rPr>
        <w:t>ārstēšana</w:t>
      </w:r>
      <w:r w:rsidR="0029427C" w:rsidRPr="00825C8A">
        <w:rPr>
          <w:lang w:val="lv-LV"/>
        </w:rPr>
        <w:t xml:space="preserve"> </w:t>
      </w:r>
      <w:r w:rsidRPr="00825C8A">
        <w:rPr>
          <w:lang w:val="lv-LV"/>
        </w:rPr>
        <w:t xml:space="preserve">un </w:t>
      </w:r>
      <w:r w:rsidR="0029427C">
        <w:rPr>
          <w:lang w:val="lv-LV"/>
        </w:rPr>
        <w:t xml:space="preserve">terapija </w:t>
      </w:r>
      <w:r w:rsidRPr="00825C8A">
        <w:rPr>
          <w:lang w:val="lv-LV"/>
        </w:rPr>
        <w:t>pilnīgi jāpārtrauc.</w:t>
      </w:r>
      <w:r>
        <w:rPr>
          <w:szCs w:val="22"/>
          <w:lang w:val="lv-LV"/>
        </w:rPr>
        <w:t xml:space="preserve"> </w:t>
      </w:r>
    </w:p>
    <w:p w14:paraId="1F4C850C" w14:textId="77777777" w:rsidR="00A453C3" w:rsidRDefault="00A453C3" w:rsidP="00A453C3">
      <w:pPr>
        <w:rPr>
          <w:szCs w:val="22"/>
          <w:lang w:val="lv-LV"/>
        </w:rPr>
      </w:pPr>
    </w:p>
    <w:p w14:paraId="5598F2ED" w14:textId="77777777" w:rsidR="00A453C3" w:rsidRDefault="00A453C3" w:rsidP="00A453C3">
      <w:pPr>
        <w:keepNext/>
        <w:rPr>
          <w:szCs w:val="22"/>
          <w:lang w:val="lv-LV"/>
        </w:rPr>
      </w:pPr>
      <w:r>
        <w:rPr>
          <w:i/>
          <w:szCs w:val="22"/>
          <w:lang w:val="lv-LV"/>
        </w:rPr>
        <w:t>Aktīva aknu slimība un aknu darbības traucējumi</w:t>
      </w:r>
    </w:p>
    <w:p w14:paraId="67AC5892" w14:textId="24F6DA63" w:rsidR="00A453C3" w:rsidRDefault="00A453C3" w:rsidP="00A453C3">
      <w:pPr>
        <w:rPr>
          <w:szCs w:val="22"/>
          <w:lang w:val="lv-LV"/>
        </w:rPr>
      </w:pPr>
      <w:r>
        <w:rPr>
          <w:szCs w:val="22"/>
          <w:lang w:val="lv-LV"/>
        </w:rPr>
        <w:t>Ārstēšana ar tocilizumabu, īpaši lietojot vienlaikus ar MTX, var būt saistīta ar aknu transamināžu līmeņa paaugstināšanos, tādēļ, apsverot pacientu ar aktīvu aknu slimību vai aknu darbības traucējumiem ārstēšanu, jāievēro piesardzība (skatīt 4.2. un 4.8. apakšpunktu).</w:t>
      </w:r>
    </w:p>
    <w:p w14:paraId="59CEB726" w14:textId="77777777" w:rsidR="00A453C3" w:rsidRDefault="00A453C3" w:rsidP="00A453C3">
      <w:pPr>
        <w:rPr>
          <w:szCs w:val="22"/>
          <w:lang w:val="lv-LV"/>
        </w:rPr>
      </w:pPr>
    </w:p>
    <w:p w14:paraId="6A550C09" w14:textId="77777777" w:rsidR="00A453C3" w:rsidRDefault="00A453C3" w:rsidP="00707120">
      <w:pPr>
        <w:keepNext/>
        <w:rPr>
          <w:szCs w:val="22"/>
          <w:lang w:val="lv-LV"/>
        </w:rPr>
      </w:pPr>
      <w:r>
        <w:rPr>
          <w:i/>
          <w:szCs w:val="22"/>
          <w:lang w:val="lv-LV"/>
        </w:rPr>
        <w:t>Hepatotoksicitāte</w:t>
      </w:r>
    </w:p>
    <w:p w14:paraId="5BBBB04D" w14:textId="745D2598" w:rsidR="00A453C3" w:rsidRDefault="00A453C3" w:rsidP="00A453C3">
      <w:pPr>
        <w:rPr>
          <w:szCs w:val="22"/>
          <w:lang w:val="lv-LV"/>
        </w:rPr>
      </w:pPr>
      <w:r>
        <w:rPr>
          <w:szCs w:val="22"/>
          <w:lang w:val="lv-LV"/>
        </w:rPr>
        <w:t>Ārstējot ar tocilizumabu, bieži novērota pārejoša vai periodiska neliela vai vidēji izteikta aknu transamināžu līmeņa paaugstināšanās (skatīt 4.8. apakšpunktu). Palielinātu šādas paaugstināšanās biežumu novēroja, lietojot potenciāli hepatotoksiskās zāles (piemēram, MTX) kombinācijā ar tocilizumabu. Klīnisku indikāciju gadījumos jāapsver nepieciešamība veikt citas aknu darbības pārbaudes, tajā skaitā arī jānosaka bilirubīna koncentrācija.</w:t>
      </w:r>
    </w:p>
    <w:p w14:paraId="4A675D8D" w14:textId="77777777" w:rsidR="00A453C3" w:rsidRDefault="00A453C3" w:rsidP="00A453C3">
      <w:pPr>
        <w:rPr>
          <w:szCs w:val="22"/>
          <w:lang w:val="lv-LV"/>
        </w:rPr>
      </w:pPr>
    </w:p>
    <w:p w14:paraId="7A7CD36B" w14:textId="3F389FC0" w:rsidR="00A453C3" w:rsidRDefault="00A453C3" w:rsidP="00A453C3">
      <w:pPr>
        <w:rPr>
          <w:szCs w:val="22"/>
          <w:lang w:val="lv-LV"/>
        </w:rPr>
      </w:pPr>
      <w:r>
        <w:rPr>
          <w:szCs w:val="22"/>
          <w:lang w:val="lv-LV"/>
        </w:rPr>
        <w:t xml:space="preserve">Lietojot tocilizumabu, novēroti nopietni zāļu izraisīti aknu bojājumi, ieskaitot akūtu aknu mazspēju, hepatītu un dzelti (skatīt 4.8. apakšpunktu). Nopietni aknu bojājumi novēroti 2 nedēļu laikā līdz vairāk kā 5 gadus pēc ārstēšanas uzsākšanas. Ziņots par aknu mazspējas gadījumiem, kā rezultātā bijusi nepieciešama aknu transplantācija. </w:t>
      </w:r>
      <w:r w:rsidRPr="004C17E9">
        <w:rPr>
          <w:szCs w:val="22"/>
          <w:lang w:val="lv-LV"/>
        </w:rPr>
        <w:t xml:space="preserve">Pacienti jāinformē, ka gadījumā, ja rodas </w:t>
      </w:r>
      <w:r>
        <w:rPr>
          <w:szCs w:val="22"/>
          <w:lang w:val="lv-LV"/>
        </w:rPr>
        <w:t xml:space="preserve">aknu bojājumu </w:t>
      </w:r>
      <w:r w:rsidRPr="004C17E9">
        <w:rPr>
          <w:szCs w:val="22"/>
          <w:lang w:val="lv-LV"/>
        </w:rPr>
        <w:t>pazīmes vai simptomi</w:t>
      </w:r>
      <w:r>
        <w:rPr>
          <w:szCs w:val="22"/>
          <w:lang w:val="lv-LV"/>
        </w:rPr>
        <w:t>, nekavējoties</w:t>
      </w:r>
      <w:r w:rsidRPr="004C17E9">
        <w:rPr>
          <w:szCs w:val="22"/>
          <w:lang w:val="lv-LV"/>
        </w:rPr>
        <w:t xml:space="preserve"> jāmeklē medicīniska palīdzība</w:t>
      </w:r>
      <w:r>
        <w:rPr>
          <w:szCs w:val="22"/>
          <w:lang w:val="lv-LV"/>
        </w:rPr>
        <w:t>.</w:t>
      </w:r>
    </w:p>
    <w:p w14:paraId="21C7B0FA" w14:textId="77777777" w:rsidR="00A453C3" w:rsidRDefault="00A453C3" w:rsidP="00A453C3">
      <w:pPr>
        <w:rPr>
          <w:szCs w:val="22"/>
          <w:lang w:val="lv-LV"/>
        </w:rPr>
      </w:pPr>
    </w:p>
    <w:p w14:paraId="04DD191A" w14:textId="1582D419" w:rsidR="00A453C3" w:rsidRDefault="00A453C3" w:rsidP="00A453C3">
      <w:pPr>
        <w:rPr>
          <w:szCs w:val="22"/>
          <w:lang w:val="lv-LV"/>
        </w:rPr>
      </w:pPr>
      <w:r>
        <w:rPr>
          <w:szCs w:val="22"/>
          <w:lang w:val="lv-LV"/>
        </w:rPr>
        <w:t>Apsverot ārstēšanas sākšanu pacientiem ar paaugstinātu ALAT vai ASAT līmeni &gt; 1,5 × NAR, jāievēro piesardzība. Pacientiem, kuriem pirms terapijas sākuma ALAT vai ASAT līmenis ir &gt; 5 × NAR, ārstēšana nav ieteicama.</w:t>
      </w:r>
    </w:p>
    <w:p w14:paraId="3118A95A" w14:textId="77777777" w:rsidR="00A453C3" w:rsidRDefault="00A453C3" w:rsidP="00A453C3">
      <w:pPr>
        <w:rPr>
          <w:szCs w:val="22"/>
          <w:lang w:val="lv-LV"/>
        </w:rPr>
      </w:pPr>
    </w:p>
    <w:p w14:paraId="1A25B04C" w14:textId="58435A22" w:rsidR="00A453C3" w:rsidRDefault="00A453C3" w:rsidP="00A453C3">
      <w:pPr>
        <w:rPr>
          <w:szCs w:val="22"/>
          <w:lang w:val="lv-LV"/>
        </w:rPr>
      </w:pPr>
      <w:r>
        <w:rPr>
          <w:szCs w:val="22"/>
          <w:lang w:val="lv-LV"/>
        </w:rPr>
        <w:t>Pacientiem ar RA, GCA, pJIA vai sJIA pirmo 6 terapijas mēnešu laikā ALAT/ASAT jākontrolē ik pēc 4</w:t>
      </w:r>
      <w:r>
        <w:rPr>
          <w:szCs w:val="22"/>
          <w:lang w:val="lv-LV"/>
        </w:rPr>
        <w:noBreakHyphen/>
        <w:t>8 nedēļām, bet vēlāk – ik pēc 12 nedēļām. Ieteicamās izmaiņas, ieskaitot tocilizumaba lietošanas pārtraukšanu, ko pamato transamināžu līmenis, skatīt 4.2. apakšpunktā. Ja ALAT un ASAT līmenis paaugstinās līdz vērtībām, kas vairāk nekā 3</w:t>
      </w:r>
      <w:r>
        <w:rPr>
          <w:szCs w:val="22"/>
          <w:lang w:val="lv-LV"/>
        </w:rPr>
        <w:noBreakHyphen/>
        <w:t xml:space="preserve">5 reizes pārsniedz NAR, terapija ir jāpārtrauc. </w:t>
      </w:r>
    </w:p>
    <w:p w14:paraId="32E91BD7" w14:textId="77777777" w:rsidR="00A453C3" w:rsidRPr="00E029D9" w:rsidRDefault="00A453C3" w:rsidP="00A453C3">
      <w:pPr>
        <w:rPr>
          <w:szCs w:val="22"/>
          <w:lang w:val="lv-LV"/>
        </w:rPr>
      </w:pPr>
    </w:p>
    <w:p w14:paraId="33DDE4D8" w14:textId="77777777" w:rsidR="00A453C3" w:rsidRDefault="00A453C3" w:rsidP="00707120">
      <w:pPr>
        <w:keepNext/>
        <w:rPr>
          <w:szCs w:val="22"/>
          <w:lang w:val="lv-LV"/>
        </w:rPr>
      </w:pPr>
      <w:r>
        <w:rPr>
          <w:i/>
          <w:szCs w:val="22"/>
          <w:lang w:val="lv-LV"/>
        </w:rPr>
        <w:t>Hematoloģiskās patoloģijas</w:t>
      </w:r>
    </w:p>
    <w:p w14:paraId="62A0EEDC" w14:textId="5350FC49" w:rsidR="00A453C3" w:rsidRDefault="00A453C3" w:rsidP="00A453C3">
      <w:pPr>
        <w:rPr>
          <w:szCs w:val="22"/>
          <w:lang w:val="lv-LV"/>
        </w:rPr>
      </w:pPr>
      <w:r>
        <w:rPr>
          <w:szCs w:val="22"/>
          <w:lang w:val="lv-LV"/>
        </w:rPr>
        <w:t>Pēc ārstēšanas ar tocilizumabu 8 mg/kg kombinācijā ar MTX novērota neitrofilo leikocītu un trombocītu skaita samazināšanās (skatīt 4.8. apakšpunktu). Pacientiem, kuri agrāk ir ārstēti ar TNF antagonistiem, var paaugstināties neitropēnijas risks.</w:t>
      </w:r>
    </w:p>
    <w:p w14:paraId="52F85732" w14:textId="77777777" w:rsidR="00A453C3" w:rsidRDefault="00A453C3" w:rsidP="00A453C3">
      <w:pPr>
        <w:rPr>
          <w:szCs w:val="22"/>
          <w:lang w:val="lv-LV"/>
        </w:rPr>
      </w:pPr>
    </w:p>
    <w:p w14:paraId="1C35FAE0" w14:textId="4B9D916A" w:rsidR="00A453C3" w:rsidRDefault="00A453C3" w:rsidP="00A453C3">
      <w:pPr>
        <w:rPr>
          <w:szCs w:val="22"/>
          <w:lang w:val="lv-LV"/>
        </w:rPr>
      </w:pPr>
      <w:r>
        <w:rPr>
          <w:szCs w:val="22"/>
          <w:lang w:val="lv-LV"/>
        </w:rPr>
        <w:t>Pacientiem, kuri ar tocilizumabu agrāk nav ārstēti, sākt zāļu lietošanu nav ieteicams, ja ANS ir mazāks par 2 × 10</w:t>
      </w:r>
      <w:r>
        <w:rPr>
          <w:szCs w:val="22"/>
          <w:vertAlign w:val="superscript"/>
          <w:lang w:val="lv-LV"/>
        </w:rPr>
        <w:t>9</w:t>
      </w:r>
      <w:r>
        <w:rPr>
          <w:szCs w:val="22"/>
          <w:lang w:val="lv-LV"/>
        </w:rPr>
        <w:t>/l.</w:t>
      </w:r>
      <w:r>
        <w:rPr>
          <w:bCs/>
          <w:lang w:val="lv-LV"/>
        </w:rPr>
        <w:t xml:space="preserve"> </w:t>
      </w:r>
      <w:r>
        <w:rPr>
          <w:szCs w:val="22"/>
          <w:lang w:val="lv-LV"/>
        </w:rPr>
        <w:t>Apsverot ārstēšanas sākšanu pacientiem ar mazu trombocītu skaitu (trombocītu skaitu, kas mazāks par 100 × 10</w:t>
      </w:r>
      <w:r>
        <w:rPr>
          <w:szCs w:val="22"/>
          <w:vertAlign w:val="superscript"/>
          <w:lang w:val="lv-LV"/>
        </w:rPr>
        <w:t>3</w:t>
      </w:r>
      <w:r>
        <w:rPr>
          <w:szCs w:val="22"/>
          <w:lang w:val="lv-LV"/>
        </w:rPr>
        <w:t>/</w:t>
      </w:r>
      <w:r w:rsidR="004414A4" w:rsidRPr="00707120">
        <w:rPr>
          <w:szCs w:val="22"/>
          <w:lang w:val="lv-LV" w:eastAsia="ja-JP"/>
        </w:rPr>
        <w:t>µ</w:t>
      </w:r>
      <w:r>
        <w:rPr>
          <w:szCs w:val="22"/>
          <w:lang w:val="lv-LV"/>
        </w:rPr>
        <w:t>l), jāievēro piesardzība. Pacientiem, kuriem ANS ir &lt; 0,5 × 10</w:t>
      </w:r>
      <w:r>
        <w:rPr>
          <w:szCs w:val="22"/>
          <w:vertAlign w:val="superscript"/>
          <w:lang w:val="lv-LV"/>
        </w:rPr>
        <w:t>9</w:t>
      </w:r>
      <w:r>
        <w:rPr>
          <w:szCs w:val="22"/>
          <w:lang w:val="lv-LV"/>
        </w:rPr>
        <w:t>/l vai trombocītu skaits ir &lt; 50 × 10</w:t>
      </w:r>
      <w:r>
        <w:rPr>
          <w:szCs w:val="22"/>
          <w:vertAlign w:val="superscript"/>
          <w:lang w:val="lv-LV"/>
        </w:rPr>
        <w:t>3</w:t>
      </w:r>
      <w:r>
        <w:rPr>
          <w:szCs w:val="22"/>
          <w:lang w:val="lv-LV"/>
        </w:rPr>
        <w:t>/</w:t>
      </w:r>
      <w:r w:rsidR="004414A4" w:rsidRPr="00707120">
        <w:rPr>
          <w:szCs w:val="22"/>
          <w:lang w:val="lv-LV" w:eastAsia="ja-JP"/>
        </w:rPr>
        <w:t>µ</w:t>
      </w:r>
      <w:r>
        <w:rPr>
          <w:szCs w:val="22"/>
          <w:lang w:val="lv-LV"/>
        </w:rPr>
        <w:t>l, turpmāka ārstēšana nav ieteicama.</w:t>
      </w:r>
    </w:p>
    <w:p w14:paraId="5DE61174" w14:textId="77777777" w:rsidR="00A453C3" w:rsidRDefault="00A453C3" w:rsidP="00A453C3">
      <w:pPr>
        <w:rPr>
          <w:szCs w:val="22"/>
          <w:lang w:val="lv-LV"/>
        </w:rPr>
      </w:pPr>
    </w:p>
    <w:p w14:paraId="5E38842D" w14:textId="76E07A5A" w:rsidR="00A453C3" w:rsidRDefault="00A453C3" w:rsidP="00A453C3">
      <w:pPr>
        <w:rPr>
          <w:szCs w:val="22"/>
          <w:lang w:val="lv-LV"/>
        </w:rPr>
      </w:pPr>
      <w:r>
        <w:rPr>
          <w:szCs w:val="22"/>
          <w:lang w:val="lv-LV"/>
        </w:rPr>
        <w:t>Smaga neitropēnija var būt saistīta ar paaugstinātu nopietnu infekciju risku, lai gan līdz šim klīniskos pētījumos par tocilizumabu nebija acīmredzamas saistības starp neitrofilo leikocītu skaita samazināšanos un nopietnu infekciju rašanos.</w:t>
      </w:r>
    </w:p>
    <w:p w14:paraId="3933A7E9" w14:textId="77777777" w:rsidR="00A453C3" w:rsidRDefault="00A453C3" w:rsidP="00A453C3">
      <w:pPr>
        <w:rPr>
          <w:szCs w:val="22"/>
          <w:lang w:val="lv-LV"/>
        </w:rPr>
      </w:pPr>
    </w:p>
    <w:p w14:paraId="0DBD6F43" w14:textId="78A4DE01" w:rsidR="00A453C3" w:rsidRDefault="00A453C3" w:rsidP="00A453C3">
      <w:pPr>
        <w:rPr>
          <w:szCs w:val="22"/>
          <w:lang w:val="lv-LV"/>
        </w:rPr>
      </w:pPr>
      <w:r>
        <w:rPr>
          <w:szCs w:val="22"/>
          <w:lang w:val="lv-LV"/>
        </w:rPr>
        <w:t>Pacientiem ar RA vai GCA neitrofilo leikocītu un trombocītu skaits jākontrolē 4</w:t>
      </w:r>
      <w:r>
        <w:rPr>
          <w:szCs w:val="22"/>
          <w:lang w:val="lv-LV"/>
        </w:rPr>
        <w:noBreakHyphen/>
        <w:t>8 nedēļas pēc ārstēšanas uzsākšanas un pēc tam atbilstoši standarta klīniskai praksei. Ieteicamo devas pielāgošanu, pamatojoties uz ANS un trombocītu skaitu, skatīt 4.2. apakšpunktā.</w:t>
      </w:r>
    </w:p>
    <w:p w14:paraId="37621A1C" w14:textId="77777777" w:rsidR="00A453C3" w:rsidRDefault="00A453C3" w:rsidP="00A453C3">
      <w:pPr>
        <w:rPr>
          <w:szCs w:val="22"/>
          <w:lang w:val="lv-LV"/>
        </w:rPr>
      </w:pPr>
    </w:p>
    <w:p w14:paraId="49906390" w14:textId="67E5D03C" w:rsidR="00A453C3" w:rsidRPr="00B93BB8" w:rsidRDefault="00A453C3" w:rsidP="00A453C3">
      <w:pPr>
        <w:rPr>
          <w:szCs w:val="22"/>
          <w:lang w:val="lv-LV"/>
        </w:rPr>
      </w:pPr>
      <w:r w:rsidRPr="00B93BB8">
        <w:rPr>
          <w:lang w:val="lv-LV"/>
        </w:rPr>
        <w:t xml:space="preserve">Pacientiem ar </w:t>
      </w:r>
      <w:r>
        <w:rPr>
          <w:lang w:val="lv-LV"/>
        </w:rPr>
        <w:t xml:space="preserve">sJIA vai </w:t>
      </w:r>
      <w:r w:rsidRPr="00B93BB8">
        <w:rPr>
          <w:lang w:val="lv-LV"/>
        </w:rPr>
        <w:t xml:space="preserve">pJIA </w:t>
      </w:r>
      <w:r>
        <w:rPr>
          <w:lang w:val="lv-LV"/>
        </w:rPr>
        <w:t xml:space="preserve">neitrofilo leikocītu un trombocītu skaits </w:t>
      </w:r>
      <w:r w:rsidRPr="00B93BB8">
        <w:rPr>
          <w:lang w:val="lv-LV"/>
        </w:rPr>
        <w:t>jānosaka otrajā zāļu ievadīšanas reizē, un pēc tam saskaņā ar labu kl</w:t>
      </w:r>
      <w:r>
        <w:rPr>
          <w:lang w:val="lv-LV"/>
        </w:rPr>
        <w:t>īnisko praksi (skatīt 4.2. apakšpunktu)</w:t>
      </w:r>
      <w:r w:rsidRPr="00B93BB8">
        <w:rPr>
          <w:lang w:val="lv-LV"/>
        </w:rPr>
        <w:t>.</w:t>
      </w:r>
    </w:p>
    <w:p w14:paraId="4348586A" w14:textId="77777777" w:rsidR="00A453C3" w:rsidRDefault="00A453C3" w:rsidP="00A453C3">
      <w:pPr>
        <w:rPr>
          <w:szCs w:val="22"/>
          <w:lang w:val="lv-LV"/>
        </w:rPr>
      </w:pPr>
    </w:p>
    <w:p w14:paraId="4974B0D3" w14:textId="77777777" w:rsidR="00A453C3" w:rsidRDefault="00A453C3" w:rsidP="00A453C3">
      <w:pPr>
        <w:keepNext/>
        <w:keepLines/>
        <w:rPr>
          <w:szCs w:val="22"/>
          <w:lang w:val="lv-LV"/>
        </w:rPr>
      </w:pPr>
      <w:r>
        <w:rPr>
          <w:i/>
          <w:szCs w:val="22"/>
          <w:lang w:val="lv-LV"/>
        </w:rPr>
        <w:t>Lipīdu rādītāji</w:t>
      </w:r>
    </w:p>
    <w:p w14:paraId="1CB07216" w14:textId="76728202" w:rsidR="00A453C3" w:rsidRDefault="00A453C3" w:rsidP="00A453C3">
      <w:pPr>
        <w:rPr>
          <w:lang w:val="lv-LV"/>
        </w:rPr>
      </w:pPr>
      <w:r>
        <w:rPr>
          <w:szCs w:val="22"/>
          <w:lang w:val="lv-LV"/>
        </w:rPr>
        <w:t>Ar tocilizumabu ārstētajiem pacientiem ir novērota lipīdu rādītāju, tajā skaitā arī kopējā holesterīna, zema blīvuma lipoproteīnu (ZBL), augsta blīvuma lipoproteīnu (ABL) un triglicerīdu</w:t>
      </w:r>
      <w:r w:rsidR="003259A0">
        <w:rPr>
          <w:szCs w:val="22"/>
          <w:lang w:val="lv-LV"/>
        </w:rPr>
        <w:t>,</w:t>
      </w:r>
      <w:r>
        <w:rPr>
          <w:szCs w:val="22"/>
          <w:lang w:val="lv-LV"/>
        </w:rPr>
        <w:t xml:space="preserve"> līmeņa </w:t>
      </w:r>
      <w:r w:rsidRPr="003259A0">
        <w:rPr>
          <w:szCs w:val="22"/>
          <w:lang w:val="lv-LV"/>
        </w:rPr>
        <w:t xml:space="preserve">paaugstināšanās (skatīt 4.8. apakšpunktu). Lielākajai daļai pacientu aterogēno rādītāju vērtības nepaaugstinājās un kopējā holesterīna līmeņa paaugstināšanās reaģēja uz terapiju ar </w:t>
      </w:r>
      <w:r w:rsidRPr="003259A0">
        <w:rPr>
          <w:lang w:val="lv-LV"/>
        </w:rPr>
        <w:t>lipīdu līmeni pazeminošiem līdzekļiem</w:t>
      </w:r>
      <w:r>
        <w:rPr>
          <w:lang w:val="lv-LV"/>
        </w:rPr>
        <w:t>.</w:t>
      </w:r>
    </w:p>
    <w:p w14:paraId="38156AE4" w14:textId="77777777" w:rsidR="00A453C3" w:rsidRDefault="00A453C3" w:rsidP="00A453C3">
      <w:pPr>
        <w:rPr>
          <w:lang w:val="lv-LV"/>
        </w:rPr>
      </w:pPr>
    </w:p>
    <w:p w14:paraId="28B28FCF" w14:textId="1FADA0E7" w:rsidR="00A453C3" w:rsidRDefault="00A453C3" w:rsidP="00A453C3">
      <w:pPr>
        <w:rPr>
          <w:szCs w:val="22"/>
          <w:lang w:val="lv-LV"/>
        </w:rPr>
      </w:pPr>
      <w:r>
        <w:rPr>
          <w:szCs w:val="22"/>
          <w:lang w:val="lv-LV"/>
        </w:rPr>
        <w:t>Visiem pacientiem lipīdu rādītāji jānovērtē 4</w:t>
      </w:r>
      <w:r>
        <w:rPr>
          <w:szCs w:val="22"/>
          <w:lang w:val="lv-LV"/>
        </w:rPr>
        <w:noBreakHyphen/>
        <w:t>8 nedēļas pēc terapijas sākuma. Pacienti jāārstē atbilstoši vietējām klīniskām vadlīnijām par hiperlipidēmijas ārstēšanu.</w:t>
      </w:r>
    </w:p>
    <w:p w14:paraId="6543D003" w14:textId="77777777" w:rsidR="00A453C3" w:rsidRDefault="00A453C3" w:rsidP="00A453C3">
      <w:pPr>
        <w:rPr>
          <w:szCs w:val="22"/>
          <w:lang w:val="lv-LV"/>
        </w:rPr>
      </w:pPr>
    </w:p>
    <w:p w14:paraId="758FFECB" w14:textId="77777777" w:rsidR="00A453C3" w:rsidRDefault="00A453C3" w:rsidP="00A453C3">
      <w:pPr>
        <w:keepNext/>
        <w:keepLines/>
        <w:rPr>
          <w:szCs w:val="22"/>
          <w:lang w:val="lv-LV"/>
        </w:rPr>
      </w:pPr>
      <w:r>
        <w:rPr>
          <w:i/>
          <w:szCs w:val="22"/>
          <w:lang w:val="lv-LV"/>
        </w:rPr>
        <w:t>Neiroloģiski traucējumi</w:t>
      </w:r>
    </w:p>
    <w:p w14:paraId="302EADAE" w14:textId="63027596" w:rsidR="00A453C3" w:rsidRDefault="00A453C3" w:rsidP="00A453C3">
      <w:pPr>
        <w:rPr>
          <w:szCs w:val="22"/>
          <w:lang w:val="lv-LV"/>
        </w:rPr>
      </w:pPr>
      <w:r>
        <w:rPr>
          <w:szCs w:val="22"/>
          <w:lang w:val="lv-LV"/>
        </w:rPr>
        <w:t>Ārstiem jānovēro, vai pacientam nerodas simptomi, kas var liecināt par jauniem centrāliem demielinizējošiem traucējumiem. Centrālas demielinizācijas iespējamība, lietojot tocilizumabu, pašlaik nav zināma.</w:t>
      </w:r>
    </w:p>
    <w:p w14:paraId="09C9B079" w14:textId="77777777" w:rsidR="00A453C3" w:rsidRDefault="00A453C3" w:rsidP="00A453C3">
      <w:pPr>
        <w:rPr>
          <w:szCs w:val="22"/>
          <w:lang w:val="lv-LV"/>
        </w:rPr>
      </w:pPr>
    </w:p>
    <w:p w14:paraId="1983D7A5" w14:textId="77777777" w:rsidR="00A453C3" w:rsidRDefault="00A453C3" w:rsidP="00A453C3">
      <w:pPr>
        <w:keepNext/>
        <w:rPr>
          <w:szCs w:val="22"/>
          <w:lang w:val="lv-LV"/>
        </w:rPr>
      </w:pPr>
      <w:r>
        <w:rPr>
          <w:i/>
          <w:szCs w:val="22"/>
          <w:lang w:val="lv-LV"/>
        </w:rPr>
        <w:t>Ļaundabīgi audzēji</w:t>
      </w:r>
    </w:p>
    <w:p w14:paraId="71F48591" w14:textId="0616D488" w:rsidR="00A453C3" w:rsidRDefault="00A453C3" w:rsidP="00A453C3">
      <w:pPr>
        <w:rPr>
          <w:szCs w:val="22"/>
          <w:lang w:val="lv-LV"/>
        </w:rPr>
      </w:pPr>
      <w:r>
        <w:rPr>
          <w:szCs w:val="22"/>
          <w:lang w:val="lv-LV"/>
        </w:rPr>
        <w:t xml:space="preserve">Ļaundabīgu audzēju risks pacientiem ar RA ir paaugstināts. Imūnmodulējoši līdzekļi var paaugstināt ļaundabīga audzēja risku. </w:t>
      </w:r>
      <w:r>
        <w:rPr>
          <w:rFonts w:eastAsia="PMingLiU"/>
          <w:szCs w:val="22"/>
          <w:lang w:val="lv-LV"/>
        </w:rPr>
        <w:t xml:space="preserve">Klīniskie dati nav pietiekami, lai novērtētu ļaundabīgo audzēju iespējamo rašanās biežumu pēc </w:t>
      </w:r>
      <w:r>
        <w:rPr>
          <w:szCs w:val="22"/>
          <w:lang w:val="lv-LV"/>
        </w:rPr>
        <w:t xml:space="preserve">tocilizumaba </w:t>
      </w:r>
      <w:r>
        <w:rPr>
          <w:rFonts w:eastAsia="PMingLiU"/>
          <w:szCs w:val="22"/>
          <w:lang w:val="lv-LV"/>
        </w:rPr>
        <w:t>lietošanas. Drošuma novērtēšana ilgtermiņā vēl arvien turpinās.</w:t>
      </w:r>
    </w:p>
    <w:p w14:paraId="4CB50775" w14:textId="77777777" w:rsidR="00A453C3" w:rsidRDefault="00A453C3" w:rsidP="00A453C3">
      <w:pPr>
        <w:rPr>
          <w:szCs w:val="22"/>
          <w:lang w:val="lv-LV"/>
        </w:rPr>
      </w:pPr>
    </w:p>
    <w:p w14:paraId="57EBF00A" w14:textId="77777777" w:rsidR="00A453C3" w:rsidRDefault="00A453C3" w:rsidP="00A453C3">
      <w:pPr>
        <w:keepNext/>
        <w:keepLines/>
        <w:rPr>
          <w:szCs w:val="22"/>
          <w:lang w:val="lv-LV"/>
        </w:rPr>
      </w:pPr>
      <w:r>
        <w:rPr>
          <w:i/>
          <w:szCs w:val="22"/>
          <w:lang w:val="lv-LV"/>
        </w:rPr>
        <w:t>Vakcinācija</w:t>
      </w:r>
    </w:p>
    <w:p w14:paraId="116495FD" w14:textId="471DEA24" w:rsidR="00A453C3" w:rsidRDefault="00A453C3" w:rsidP="00A453C3">
      <w:pPr>
        <w:rPr>
          <w:szCs w:val="22"/>
          <w:lang w:val="lv-LV"/>
        </w:rPr>
      </w:pPr>
      <w:r>
        <w:rPr>
          <w:szCs w:val="22"/>
          <w:lang w:val="lv-LV"/>
        </w:rPr>
        <w:t>Dzīvas un dzīvas novājinātas vakcīnas nedrīkst lietot vienlaikus ar šīm zālēm, jo klīniskais drošums nav pierādīts. Randomizētā, atklātā pētījumā pieaugušiem pacientiem ar RA, ārstētiem ar tocilizumabu un MTX, konstatēja efektīvu atbildes reakciju gan uz 23</w:t>
      </w:r>
      <w:r>
        <w:rPr>
          <w:szCs w:val="22"/>
          <w:lang w:val="lv-LV"/>
        </w:rPr>
        <w:noBreakHyphen/>
        <w:t>valentu pneimokoku polisaharīdu, gan stingumkrampju toksoīda vakcīnu, un tā bija līdzīga atbildes reakcijai, kas konstatēta tikai ar MTX ārstētiem pacientiem. Visiem pacientiem, īpaši pediatriskiem vai gados vecākiem pacientiem, pirms ārstēšanas uzsākšanas ieteicams saņemt visas vakcīnas saskaņā ar pašlaik spēkā esošajām imunizācijas vadlīnijām. Intervālam starp dzīvo vakcīnu lietošanu un terapijas sākumu jāatbilst pašlaik spēkā esošajām imunizācijas vadlīnijām attiecībā uz imūnsupresīvo preparātu lietošanu.</w:t>
      </w:r>
    </w:p>
    <w:p w14:paraId="5ADAC308" w14:textId="77777777" w:rsidR="00A453C3" w:rsidRDefault="00A453C3" w:rsidP="00A453C3">
      <w:pPr>
        <w:rPr>
          <w:szCs w:val="22"/>
          <w:lang w:val="lv-LV"/>
        </w:rPr>
      </w:pPr>
    </w:p>
    <w:p w14:paraId="1578E59F" w14:textId="77777777" w:rsidR="00A453C3" w:rsidRDefault="00A453C3" w:rsidP="00707120">
      <w:pPr>
        <w:keepNext/>
        <w:rPr>
          <w:rFonts w:eastAsia="SimSun"/>
          <w:szCs w:val="22"/>
          <w:lang w:val="lv-LV"/>
        </w:rPr>
      </w:pPr>
      <w:r>
        <w:rPr>
          <w:rFonts w:eastAsia="SimSun"/>
          <w:i/>
          <w:szCs w:val="22"/>
          <w:lang w:val="lv-LV"/>
        </w:rPr>
        <w:t xml:space="preserve">Kardiovaskulārais risks </w:t>
      </w:r>
    </w:p>
    <w:p w14:paraId="5A0DC4D3" w14:textId="77777777" w:rsidR="00A453C3" w:rsidRDefault="00A453C3" w:rsidP="00A453C3">
      <w:pPr>
        <w:rPr>
          <w:rFonts w:eastAsia="SimSun"/>
          <w:szCs w:val="22"/>
          <w:lang w:val="lv-LV"/>
        </w:rPr>
      </w:pPr>
      <w:r>
        <w:rPr>
          <w:rFonts w:eastAsia="SimSun"/>
          <w:szCs w:val="22"/>
          <w:lang w:val="lv-LV"/>
        </w:rPr>
        <w:t>RA slimniekiem ir paaugstināts kardiovaskulāru traucējumu risks, un standarta aprūpes ietvaros viņiem jānovērš riska faktori (piemēram, hipertensija, hiperlipidēmija).</w:t>
      </w:r>
    </w:p>
    <w:p w14:paraId="5D44B81B" w14:textId="77777777" w:rsidR="00A453C3" w:rsidRDefault="00A453C3" w:rsidP="00A453C3">
      <w:pPr>
        <w:rPr>
          <w:rFonts w:eastAsia="SimSun"/>
          <w:szCs w:val="22"/>
          <w:lang w:val="lv-LV"/>
        </w:rPr>
      </w:pPr>
    </w:p>
    <w:p w14:paraId="3057BB67" w14:textId="77777777" w:rsidR="00A453C3" w:rsidRDefault="00A453C3" w:rsidP="00707120">
      <w:pPr>
        <w:keepNext/>
        <w:rPr>
          <w:rFonts w:eastAsia="SimSun"/>
          <w:szCs w:val="22"/>
          <w:lang w:val="lv-LV"/>
        </w:rPr>
      </w:pPr>
      <w:r>
        <w:rPr>
          <w:rFonts w:eastAsia="SimSun"/>
          <w:i/>
          <w:szCs w:val="22"/>
          <w:lang w:val="lv-LV"/>
        </w:rPr>
        <w:t>Kombinācija ar TNF antagonistiem</w:t>
      </w:r>
    </w:p>
    <w:p w14:paraId="30BD1EDC" w14:textId="15280CCD" w:rsidR="00A453C3" w:rsidRDefault="00A453C3" w:rsidP="00A453C3">
      <w:pPr>
        <w:rPr>
          <w:rFonts w:eastAsia="PMingLiU"/>
          <w:szCs w:val="22"/>
          <w:lang w:val="lv-LV"/>
        </w:rPr>
      </w:pPr>
      <w:r>
        <w:rPr>
          <w:rFonts w:eastAsia="SimSun"/>
          <w:szCs w:val="22"/>
          <w:lang w:val="lv-LV"/>
        </w:rPr>
        <w:t xml:space="preserve">Pieredzes par </w:t>
      </w:r>
      <w:r>
        <w:rPr>
          <w:szCs w:val="22"/>
          <w:lang w:val="lv-LV"/>
        </w:rPr>
        <w:t>tocilizumaba</w:t>
      </w:r>
      <w:r>
        <w:rPr>
          <w:rFonts w:eastAsia="SimSun"/>
          <w:szCs w:val="22"/>
          <w:lang w:val="lv-LV"/>
        </w:rPr>
        <w:t xml:space="preserve"> lietošanu kopā ar TNF antagonistiem vai citiem RA ārstēšanai paredzētiem bioloģiskiem līdzekļiem nav. </w:t>
      </w:r>
      <w:r>
        <w:rPr>
          <w:szCs w:val="22"/>
          <w:lang w:val="lv-LV"/>
        </w:rPr>
        <w:t>Šīs zāles</w:t>
      </w:r>
      <w:r>
        <w:rPr>
          <w:rFonts w:eastAsia="SimSun"/>
          <w:szCs w:val="22"/>
          <w:lang w:val="lv-LV"/>
        </w:rPr>
        <w:t xml:space="preserve"> nav ieteicams lietot kopā ar citiem bioloģiskiem līdzekļiem.</w:t>
      </w:r>
    </w:p>
    <w:p w14:paraId="6255997D" w14:textId="18D89051" w:rsidR="00A453C3" w:rsidDel="00CD11B0" w:rsidRDefault="00A453C3" w:rsidP="00A453C3">
      <w:pPr>
        <w:rPr>
          <w:del w:id="463" w:author="Author"/>
          <w:lang w:val="lv-LV"/>
        </w:rPr>
      </w:pPr>
      <w:bookmarkStart w:id="464" w:name="_Hlk174607261"/>
    </w:p>
    <w:p w14:paraId="08EE39C3" w14:textId="2336CDD7" w:rsidR="00A453C3" w:rsidDel="00CD11B0" w:rsidRDefault="00A453C3" w:rsidP="00707120">
      <w:pPr>
        <w:keepNext/>
        <w:rPr>
          <w:del w:id="465" w:author="Author"/>
          <w:lang w:val="lv-LV"/>
        </w:rPr>
      </w:pPr>
      <w:del w:id="466" w:author="Author">
        <w:r w:rsidDel="00CD11B0">
          <w:rPr>
            <w:i/>
            <w:iCs/>
            <w:lang w:val="lv-LV"/>
          </w:rPr>
          <w:delText>Polisorbāts</w:delText>
        </w:r>
      </w:del>
    </w:p>
    <w:p w14:paraId="362AB027" w14:textId="66BFB31A" w:rsidR="00A453C3" w:rsidRPr="000B238A" w:rsidDel="00CD11B0" w:rsidRDefault="00A453C3" w:rsidP="00A453C3">
      <w:pPr>
        <w:rPr>
          <w:del w:id="467" w:author="Author"/>
          <w:lang w:val="lv-LV"/>
        </w:rPr>
      </w:pPr>
      <w:del w:id="468" w:author="Author">
        <w:r w:rsidDel="00CD11B0">
          <w:rPr>
            <w:lang w:val="lv-LV"/>
          </w:rPr>
          <w:delText>Šīs zāles satur 0,18 mg polisorbāta 80 katrā 162 mg/0,9 ml pilnšļircē</w:delText>
        </w:r>
        <w:r w:rsidR="009175DD" w:rsidDel="00CD11B0">
          <w:rPr>
            <w:lang w:val="lv-LV"/>
          </w:rPr>
          <w:delText>, kas ir līdzvērtīgi</w:delText>
        </w:r>
        <w:r w:rsidDel="00CD11B0">
          <w:rPr>
            <w:lang w:val="lv-LV"/>
          </w:rPr>
          <w:delText xml:space="preserve"> 0,2 mg/ml. Polisorbāti var izraisīt alerģiskas reakcijas.</w:delText>
        </w:r>
        <w:r w:rsidR="00853843" w:rsidDel="00CD11B0">
          <w:rPr>
            <w:lang w:val="lv-LV"/>
          </w:rPr>
          <w:delText xml:space="preserve"> </w:delText>
        </w:r>
        <w:r w:rsidR="00C7704F" w:rsidRPr="00707120" w:rsidDel="00CD11B0">
          <w:rPr>
            <w:lang w:val="lv-LV"/>
          </w:rPr>
          <w:delText>Jāņem vērā pacientu zināmās alerģijas</w:delText>
        </w:r>
        <w:r w:rsidR="00853843" w:rsidDel="00CD11B0">
          <w:rPr>
            <w:lang w:val="lv-LV"/>
          </w:rPr>
          <w:delText>.</w:delText>
        </w:r>
      </w:del>
    </w:p>
    <w:bookmarkEnd w:id="464"/>
    <w:p w14:paraId="1EB4987E" w14:textId="77777777" w:rsidR="00A453C3" w:rsidRDefault="00A453C3" w:rsidP="00A453C3">
      <w:pPr>
        <w:rPr>
          <w:rFonts w:eastAsia="PMingLiU"/>
          <w:szCs w:val="22"/>
          <w:lang w:val="lv-LV"/>
        </w:rPr>
      </w:pPr>
    </w:p>
    <w:p w14:paraId="114AE8D3" w14:textId="0700335D" w:rsidR="00A453C3" w:rsidRPr="00F82186" w:rsidRDefault="00EA4620">
      <w:pPr>
        <w:keepNext/>
        <w:rPr>
          <w:u w:val="single"/>
          <w:lang w:val="lv-LV"/>
          <w:rPrChange w:id="469" w:author="Author">
            <w:rPr>
              <w:i/>
              <w:lang w:val="lv-LV"/>
            </w:rPr>
          </w:rPrChange>
        </w:rPr>
        <w:pPrChange w:id="470" w:author="Author">
          <w:pPr/>
        </w:pPrChange>
      </w:pPr>
      <w:ins w:id="471" w:author="Author">
        <w:r w:rsidRPr="00F82186">
          <w:rPr>
            <w:u w:val="single"/>
            <w:lang w:val="lv-LV"/>
            <w:rPrChange w:id="472" w:author="Author">
              <w:rPr>
                <w:i/>
                <w:lang w:val="lv-LV"/>
              </w:rPr>
            </w:rPrChange>
          </w:rPr>
          <w:t xml:space="preserve">Pacienti ar </w:t>
        </w:r>
      </w:ins>
      <w:r w:rsidR="00A453C3" w:rsidRPr="00F82186">
        <w:rPr>
          <w:u w:val="single"/>
          <w:lang w:val="lv-LV"/>
          <w:rPrChange w:id="473" w:author="Author">
            <w:rPr>
              <w:i/>
              <w:lang w:val="lv-LV"/>
            </w:rPr>
          </w:rPrChange>
        </w:rPr>
        <w:t>GCA</w:t>
      </w:r>
    </w:p>
    <w:p w14:paraId="01D2B256" w14:textId="3C7FD297" w:rsidR="00A453C3" w:rsidRDefault="00A453C3" w:rsidP="00A453C3">
      <w:pPr>
        <w:autoSpaceDE w:val="0"/>
        <w:autoSpaceDN w:val="0"/>
        <w:adjustRightInd w:val="0"/>
        <w:rPr>
          <w:szCs w:val="22"/>
          <w:lang w:val="lv-LV"/>
        </w:rPr>
      </w:pPr>
      <w:r>
        <w:rPr>
          <w:szCs w:val="22"/>
          <w:lang w:val="lv-LV"/>
        </w:rPr>
        <w:t>Tocilizumabu monoterapijas veidā nedrīkst lietot akūtu recidīvu ārstēšanai, jo efektivitāte šādai lietošanai nav pierādīta. Glikokortikoīdi jālieto saskaņā ar klīnisko novērtējumu un ārstēšanas vadlīnijām.</w:t>
      </w:r>
    </w:p>
    <w:p w14:paraId="0B102BE4" w14:textId="77777777" w:rsidR="00A453C3" w:rsidRDefault="00A453C3" w:rsidP="00A453C3">
      <w:pPr>
        <w:rPr>
          <w:lang w:val="lv-LV"/>
        </w:rPr>
      </w:pPr>
    </w:p>
    <w:p w14:paraId="06708879" w14:textId="083C99C0" w:rsidR="00A453C3" w:rsidRPr="00F82186" w:rsidRDefault="00B96F57" w:rsidP="00707120">
      <w:pPr>
        <w:keepNext/>
        <w:keepLines/>
        <w:rPr>
          <w:u w:val="single"/>
          <w:lang w:val="lv-LV"/>
          <w:rPrChange w:id="474" w:author="Author">
            <w:rPr>
              <w:i/>
              <w:lang w:val="lv-LV"/>
            </w:rPr>
          </w:rPrChange>
        </w:rPr>
      </w:pPr>
      <w:ins w:id="475" w:author="Author">
        <w:r w:rsidRPr="00F82186">
          <w:rPr>
            <w:u w:val="single"/>
            <w:lang w:val="lv-LV"/>
            <w:rPrChange w:id="476" w:author="Author">
              <w:rPr>
                <w:i/>
                <w:lang w:val="lv-LV"/>
              </w:rPr>
            </w:rPrChange>
          </w:rPr>
          <w:t xml:space="preserve">Pacienti ar </w:t>
        </w:r>
      </w:ins>
      <w:r w:rsidR="00A453C3" w:rsidRPr="00F82186">
        <w:rPr>
          <w:u w:val="single"/>
          <w:lang w:val="lv-LV"/>
          <w:rPrChange w:id="477" w:author="Author">
            <w:rPr>
              <w:i/>
              <w:lang w:val="lv-LV"/>
            </w:rPr>
          </w:rPrChange>
        </w:rPr>
        <w:t>sJIA</w:t>
      </w:r>
    </w:p>
    <w:p w14:paraId="26304EBC" w14:textId="3ABA27F6" w:rsidR="00A453C3" w:rsidRDefault="00A453C3" w:rsidP="00707120">
      <w:pPr>
        <w:keepNext/>
        <w:keepLines/>
        <w:rPr>
          <w:ins w:id="478" w:author="Author"/>
          <w:lang w:val="lv-LV"/>
        </w:rPr>
      </w:pPr>
      <w:r w:rsidRPr="00667B8A">
        <w:rPr>
          <w:lang w:val="lv-LV"/>
        </w:rPr>
        <w:t xml:space="preserve">Makrofāgu </w:t>
      </w:r>
      <w:r w:rsidRPr="00DD1CEF">
        <w:rPr>
          <w:lang w:val="lv-LV"/>
        </w:rPr>
        <w:t>aktivācijas</w:t>
      </w:r>
      <w:r w:rsidRPr="00667B8A">
        <w:rPr>
          <w:lang w:val="lv-LV"/>
        </w:rPr>
        <w:t xml:space="preserve"> sindroms (MAS) ir nopietns dzīvībai bīstams traucējums, kas var rasties pacientiem ar sJIA. </w:t>
      </w:r>
      <w:r w:rsidRPr="00E1075D">
        <w:rPr>
          <w:lang w:val="lv-LV"/>
        </w:rPr>
        <w:t xml:space="preserve">Klīniskajos pētījumos </w:t>
      </w:r>
      <w:r>
        <w:rPr>
          <w:lang w:val="lv-LV"/>
        </w:rPr>
        <w:t>tocilizumabs</w:t>
      </w:r>
      <w:r w:rsidRPr="00E1075D">
        <w:rPr>
          <w:lang w:val="lv-LV"/>
        </w:rPr>
        <w:t xml:space="preserve"> nav pētīts pacientiem aktīvas MAS</w:t>
      </w:r>
      <w:r>
        <w:rPr>
          <w:lang w:val="lv-LV"/>
        </w:rPr>
        <w:t> </w:t>
      </w:r>
      <w:r w:rsidRPr="00E1075D">
        <w:rPr>
          <w:lang w:val="lv-LV"/>
        </w:rPr>
        <w:t xml:space="preserve">epizodes laikā. </w:t>
      </w:r>
    </w:p>
    <w:p w14:paraId="129BE49C" w14:textId="36D3E58A" w:rsidR="005066A1" w:rsidRDefault="005066A1" w:rsidP="00707120">
      <w:pPr>
        <w:keepNext/>
        <w:keepLines/>
        <w:rPr>
          <w:ins w:id="479" w:author="Author"/>
          <w:lang w:val="lv-LV"/>
        </w:rPr>
      </w:pPr>
    </w:p>
    <w:p w14:paraId="7A19B2C0" w14:textId="0700E91C" w:rsidR="005066A1" w:rsidRDefault="005066A1" w:rsidP="00707120">
      <w:pPr>
        <w:keepNext/>
        <w:keepLines/>
        <w:rPr>
          <w:ins w:id="480" w:author="Author"/>
          <w:i/>
          <w:lang w:val="lv-LV"/>
        </w:rPr>
      </w:pPr>
      <w:ins w:id="481" w:author="Author">
        <w:r w:rsidRPr="005066A1">
          <w:rPr>
            <w:i/>
            <w:lang w:val="lv-LV"/>
          </w:rPr>
          <w:t>Polisorbāts</w:t>
        </w:r>
        <w:r w:rsidR="000A7EB0">
          <w:rPr>
            <w:i/>
            <w:lang w:val="lv-LV"/>
          </w:rPr>
          <w:t> </w:t>
        </w:r>
        <w:r w:rsidRPr="005066A1">
          <w:rPr>
            <w:i/>
            <w:lang w:val="lv-LV"/>
          </w:rPr>
          <w:t>80 (E</w:t>
        </w:r>
        <w:r w:rsidR="000A7EB0">
          <w:rPr>
            <w:i/>
            <w:lang w:val="lv-LV"/>
          </w:rPr>
          <w:t> </w:t>
        </w:r>
        <w:r w:rsidRPr="005066A1">
          <w:rPr>
            <w:i/>
            <w:lang w:val="lv-LV"/>
          </w:rPr>
          <w:t>433)</w:t>
        </w:r>
      </w:ins>
    </w:p>
    <w:p w14:paraId="0E6448E4" w14:textId="77777777" w:rsidR="005066A1" w:rsidRPr="000B238A" w:rsidRDefault="005066A1" w:rsidP="005066A1">
      <w:pPr>
        <w:rPr>
          <w:ins w:id="482" w:author="Author"/>
          <w:lang w:val="lv-LV"/>
        </w:rPr>
      </w:pPr>
      <w:ins w:id="483" w:author="Author">
        <w:r>
          <w:rPr>
            <w:lang w:val="lv-LV"/>
          </w:rPr>
          <w:t xml:space="preserve">Šīs zāles satur 0,18 mg polisorbāta 80 katrā 162 mg/0,9 ml pilnšļircē, kas ir līdzvērtīgi 0,2 mg/ml. Polisorbāti var izraisīt alerģiskas reakcijas. </w:t>
        </w:r>
        <w:r w:rsidRPr="00707120">
          <w:rPr>
            <w:lang w:val="lv-LV"/>
          </w:rPr>
          <w:t>Jāņem vērā pacientu zināmās alerģijas</w:t>
        </w:r>
        <w:r>
          <w:rPr>
            <w:lang w:val="lv-LV"/>
          </w:rPr>
          <w:t>.</w:t>
        </w:r>
      </w:ins>
    </w:p>
    <w:p w14:paraId="54266D29" w14:textId="6F4834E7" w:rsidR="005066A1" w:rsidRPr="005066A1" w:rsidDel="005066A1" w:rsidRDefault="005066A1" w:rsidP="00707120">
      <w:pPr>
        <w:keepNext/>
        <w:keepLines/>
        <w:rPr>
          <w:del w:id="484" w:author="Author"/>
          <w:i/>
          <w:lang w:val="lv-LV"/>
        </w:rPr>
      </w:pPr>
    </w:p>
    <w:p w14:paraId="26494324" w14:textId="0E9088E9" w:rsidR="00A453C3" w:rsidRDefault="00A453C3" w:rsidP="00A453C3">
      <w:pPr>
        <w:rPr>
          <w:lang w:val="lv-LV"/>
        </w:rPr>
      </w:pPr>
    </w:p>
    <w:p w14:paraId="63A17B8A" w14:textId="77777777" w:rsidR="00A453C3" w:rsidRDefault="00A453C3" w:rsidP="00A453C3">
      <w:pPr>
        <w:keepNext/>
        <w:rPr>
          <w:szCs w:val="22"/>
          <w:lang w:val="lv-LV"/>
        </w:rPr>
      </w:pPr>
      <w:r>
        <w:rPr>
          <w:b/>
          <w:szCs w:val="22"/>
          <w:lang w:val="lv-LV"/>
        </w:rPr>
        <w:t>4.5.</w:t>
      </w:r>
      <w:r>
        <w:rPr>
          <w:b/>
          <w:szCs w:val="22"/>
          <w:lang w:val="lv-LV"/>
        </w:rPr>
        <w:tab/>
        <w:t>Mijiedarbība ar citām zālēm un citi mijiedarbības veidi</w:t>
      </w:r>
    </w:p>
    <w:p w14:paraId="450D5791" w14:textId="77777777" w:rsidR="00A453C3" w:rsidRDefault="00A453C3" w:rsidP="00A453C3">
      <w:pPr>
        <w:keepNext/>
        <w:rPr>
          <w:szCs w:val="22"/>
          <w:lang w:val="lv-LV"/>
        </w:rPr>
      </w:pPr>
    </w:p>
    <w:p w14:paraId="2BE527E0" w14:textId="77777777" w:rsidR="00A453C3" w:rsidRDefault="00A453C3" w:rsidP="00A453C3">
      <w:pPr>
        <w:rPr>
          <w:szCs w:val="22"/>
          <w:lang w:val="lv-LV"/>
        </w:rPr>
      </w:pPr>
      <w:r>
        <w:rPr>
          <w:szCs w:val="22"/>
          <w:lang w:val="lv-LV"/>
        </w:rPr>
        <w:t>Mijiedarbības pētījumi veikti tikai pieaugušajiem.</w:t>
      </w:r>
    </w:p>
    <w:p w14:paraId="113779D2" w14:textId="77777777" w:rsidR="00A453C3" w:rsidRDefault="00A453C3" w:rsidP="00A453C3">
      <w:pPr>
        <w:rPr>
          <w:szCs w:val="22"/>
          <w:lang w:val="lv-LV"/>
        </w:rPr>
      </w:pPr>
    </w:p>
    <w:p w14:paraId="18491EAB" w14:textId="7961A1AE" w:rsidR="00A453C3" w:rsidRDefault="00A453C3" w:rsidP="00A453C3">
      <w:pPr>
        <w:rPr>
          <w:szCs w:val="22"/>
          <w:lang w:val="lv-LV"/>
        </w:rPr>
      </w:pPr>
      <w:r>
        <w:rPr>
          <w:szCs w:val="22"/>
          <w:lang w:val="lv-LV"/>
        </w:rPr>
        <w:t>Vienreizējas tocilizumaba 10 mg/kg devas ievadīšana kopā ar 10–25 mg MTX vienu reizi nedēļā klīniski nozīmīgi neietekmēja MTX iedarbību.</w:t>
      </w:r>
    </w:p>
    <w:p w14:paraId="482A547F" w14:textId="77777777" w:rsidR="00A453C3" w:rsidRDefault="00A453C3" w:rsidP="00A453C3">
      <w:pPr>
        <w:rPr>
          <w:szCs w:val="22"/>
          <w:lang w:val="lv-LV"/>
        </w:rPr>
      </w:pPr>
    </w:p>
    <w:p w14:paraId="1AF865D4" w14:textId="121E13BB" w:rsidR="00A453C3" w:rsidRDefault="00A453C3" w:rsidP="00A453C3">
      <w:pPr>
        <w:rPr>
          <w:szCs w:val="22"/>
          <w:lang w:val="lv-LV"/>
        </w:rPr>
      </w:pPr>
      <w:r>
        <w:rPr>
          <w:szCs w:val="22"/>
          <w:lang w:val="lv-LV"/>
        </w:rPr>
        <w:t>Populācijas farmakokinētikas analīzē nekāda MTX, NSPL vai kortikosteroīdu ietekme uz tocilizumaba klīrensu pacientiem ar RA nav konstatēta. Pacientiem ar GCA nav novērota kumulatīvās kortikosteroīdu devas ietekme uz tocilizumaba kopējo iedarbību.</w:t>
      </w:r>
    </w:p>
    <w:p w14:paraId="466739C0" w14:textId="77777777" w:rsidR="00A453C3" w:rsidRDefault="00A453C3" w:rsidP="00A453C3">
      <w:pPr>
        <w:rPr>
          <w:szCs w:val="22"/>
          <w:lang w:val="lv-LV"/>
        </w:rPr>
      </w:pPr>
    </w:p>
    <w:p w14:paraId="011F5C63" w14:textId="1FC804E5" w:rsidR="00A453C3" w:rsidRDefault="00A453C3" w:rsidP="00A453C3">
      <w:pPr>
        <w:rPr>
          <w:szCs w:val="22"/>
          <w:lang w:val="lv-LV"/>
        </w:rPr>
      </w:pPr>
      <w:r>
        <w:rPr>
          <w:szCs w:val="22"/>
          <w:lang w:val="lv-LV"/>
        </w:rPr>
        <w:t>Citokīni, piemēram, IL</w:t>
      </w:r>
      <w:r>
        <w:rPr>
          <w:szCs w:val="22"/>
          <w:lang w:val="lv-LV"/>
        </w:rPr>
        <w:noBreakHyphen/>
        <w:t xml:space="preserve">6, kas stimulē hronisku iekaisumu, nomāc CYP450 enzīmu ekspresiju aknās. Tādēļ, lietojot spēcīgu citokīnu nomācošu terapiju, piemēram, tocilizumabu, CYP450 ekspresija varētu atjaunoties. </w:t>
      </w:r>
    </w:p>
    <w:p w14:paraId="2B27E914" w14:textId="77777777" w:rsidR="00A453C3" w:rsidRDefault="00A453C3" w:rsidP="00A453C3">
      <w:pPr>
        <w:rPr>
          <w:szCs w:val="22"/>
          <w:lang w:val="lv-LV"/>
        </w:rPr>
      </w:pPr>
    </w:p>
    <w:p w14:paraId="35257710" w14:textId="142203A5" w:rsidR="00A453C3" w:rsidRDefault="00A453C3" w:rsidP="00A453C3">
      <w:pPr>
        <w:rPr>
          <w:szCs w:val="22"/>
          <w:lang w:val="lv-LV"/>
        </w:rPr>
      </w:pPr>
      <w:r>
        <w:rPr>
          <w:i/>
          <w:szCs w:val="22"/>
          <w:lang w:val="lv-LV"/>
        </w:rPr>
        <w:t>In vitro</w:t>
      </w:r>
      <w:r>
        <w:rPr>
          <w:szCs w:val="22"/>
          <w:lang w:val="lv-LV"/>
        </w:rPr>
        <w:t xml:space="preserve"> pētījumos ar cilvēku hepatocītu kultūru pierādīts, ka IL</w:t>
      </w:r>
      <w:r>
        <w:rPr>
          <w:szCs w:val="22"/>
          <w:lang w:val="lv-LV"/>
        </w:rPr>
        <w:noBreakHyphen/>
        <w:t xml:space="preserve">6 izraisa CYP1A2, </w:t>
      </w:r>
      <w:r>
        <w:rPr>
          <w:lang w:val="lv-LV"/>
        </w:rPr>
        <w:t xml:space="preserve">CYP2C9, </w:t>
      </w:r>
      <w:r>
        <w:rPr>
          <w:szCs w:val="22"/>
          <w:lang w:val="lv-LV"/>
        </w:rPr>
        <w:t>CYP2C19 un CYP3A4 enzīmu ekspresijas samazināšanos. Tocilizumabs normalizē šo enzīmu ekspresiju.</w:t>
      </w:r>
    </w:p>
    <w:p w14:paraId="79557B23" w14:textId="77777777" w:rsidR="00A453C3" w:rsidRDefault="00A453C3" w:rsidP="00A453C3">
      <w:pPr>
        <w:rPr>
          <w:szCs w:val="22"/>
          <w:lang w:val="lv-LV"/>
        </w:rPr>
      </w:pPr>
    </w:p>
    <w:p w14:paraId="5F61D97F" w14:textId="77777777" w:rsidR="00A453C3" w:rsidRDefault="00A453C3" w:rsidP="00A453C3">
      <w:pPr>
        <w:rPr>
          <w:szCs w:val="22"/>
          <w:lang w:val="lv-LV"/>
        </w:rPr>
      </w:pPr>
      <w:r>
        <w:rPr>
          <w:szCs w:val="22"/>
          <w:lang w:val="lv-LV"/>
        </w:rPr>
        <w:t>Pētījumā, kurā piedalījās pacienti ar RA, vienu nedēļu pēc vienas tocilizumaba devas lietošanas simvastatīna līmenis (CYP3A4) samazinājās par 57% līdz līmenim, kas atbilst veseliem cilvēkiem novērotam vai ir nedaudz augstāks par to.</w:t>
      </w:r>
    </w:p>
    <w:p w14:paraId="47E1D565" w14:textId="77777777" w:rsidR="00A453C3" w:rsidRDefault="00A453C3" w:rsidP="00A453C3">
      <w:pPr>
        <w:rPr>
          <w:szCs w:val="22"/>
          <w:lang w:val="lv-LV"/>
        </w:rPr>
      </w:pPr>
    </w:p>
    <w:p w14:paraId="3DC471FC" w14:textId="77777777" w:rsidR="00A453C3" w:rsidRDefault="00A453C3" w:rsidP="00A453C3">
      <w:pPr>
        <w:rPr>
          <w:szCs w:val="22"/>
          <w:lang w:val="lv-LV"/>
        </w:rPr>
      </w:pPr>
      <w:r>
        <w:rPr>
          <w:szCs w:val="22"/>
          <w:lang w:val="lv-LV"/>
        </w:rPr>
        <w:t>Sākot vai pārtraucot ārstēšanu ar tocilizumabu, pacienti, kuri lieto individuāli pielāgotas zāles, kuras metabolizē CYP450 3A4, 1A2 vai 2C9 (piemēram, metilprednizolonu, deksametazonu, (ar iespējamu atcelšanas sindroma rašanos</w:t>
      </w:r>
      <w:r w:rsidRPr="00CE3CA8">
        <w:rPr>
          <w:szCs w:val="22"/>
          <w:lang w:val="lv-LV"/>
        </w:rPr>
        <w:t xml:space="preserve"> </w:t>
      </w:r>
      <w:r>
        <w:rPr>
          <w:szCs w:val="22"/>
          <w:lang w:val="lv-LV"/>
        </w:rPr>
        <w:t xml:space="preserve">perorāli lietotiem glikokortikoīdiem), atorvastatīnu, kalcija kanālu blokatorus, teofilīnu, varfarīnu, fenprokumonu, fenitoīnu, ciklosporīnu vai benzodiazepīnus), jānovēro, jo terapeitiskās iedarbības saglabāšanai var būt jāpalielina zāļu devas. Ņemot vērā ilgo eliminācijas pusperiodu </w:t>
      </w:r>
      <w:r>
        <w:rPr>
          <w:iCs/>
          <w:lang w:val="lv-LV"/>
        </w:rPr>
        <w:t>(t</w:t>
      </w:r>
      <w:r>
        <w:rPr>
          <w:iCs/>
          <w:vertAlign w:val="subscript"/>
          <w:lang w:val="lv-LV"/>
        </w:rPr>
        <w:t>1/2</w:t>
      </w:r>
      <w:r>
        <w:rPr>
          <w:iCs/>
          <w:lang w:val="lv-LV"/>
        </w:rPr>
        <w:t>)</w:t>
      </w:r>
      <w:r>
        <w:rPr>
          <w:szCs w:val="22"/>
          <w:lang w:val="lv-LV"/>
        </w:rPr>
        <w:t>, tocilizumaba ietekme uz CYP450 enzīma aktivitāti var saglabāties vairākas nedēļas pēc ārstēšanas pārtraukšanas.</w:t>
      </w:r>
    </w:p>
    <w:p w14:paraId="3455B8C6" w14:textId="77777777" w:rsidR="00A453C3" w:rsidRDefault="00A453C3" w:rsidP="00A453C3">
      <w:pPr>
        <w:rPr>
          <w:szCs w:val="22"/>
          <w:lang w:val="lv-LV"/>
        </w:rPr>
      </w:pPr>
    </w:p>
    <w:p w14:paraId="579E50CE" w14:textId="77777777" w:rsidR="00A453C3" w:rsidRDefault="00A453C3" w:rsidP="00A453C3">
      <w:pPr>
        <w:keepNext/>
        <w:rPr>
          <w:b/>
          <w:szCs w:val="22"/>
          <w:lang w:val="lv-LV"/>
        </w:rPr>
      </w:pPr>
      <w:r>
        <w:rPr>
          <w:b/>
          <w:szCs w:val="22"/>
          <w:lang w:val="lv-LV"/>
        </w:rPr>
        <w:t>4.6.</w:t>
      </w:r>
      <w:r>
        <w:rPr>
          <w:b/>
          <w:szCs w:val="22"/>
          <w:lang w:val="lv-LV"/>
        </w:rPr>
        <w:tab/>
        <w:t>Fertilitāte, grūtniecība un barošana ar krūti</w:t>
      </w:r>
    </w:p>
    <w:p w14:paraId="6F8ED69C" w14:textId="77777777" w:rsidR="00A453C3" w:rsidRDefault="00A453C3" w:rsidP="00A453C3">
      <w:pPr>
        <w:keepNext/>
        <w:rPr>
          <w:b/>
          <w:szCs w:val="22"/>
          <w:lang w:val="lv-LV"/>
        </w:rPr>
      </w:pPr>
    </w:p>
    <w:p w14:paraId="55CC0E77" w14:textId="2F869AC2" w:rsidR="00A453C3" w:rsidRDefault="00A453C3" w:rsidP="00A453C3">
      <w:pPr>
        <w:keepNext/>
        <w:suppressAutoHyphens w:val="0"/>
        <w:outlineLvl w:val="0"/>
        <w:rPr>
          <w:u w:val="single"/>
          <w:lang w:val="lv-LV" w:eastAsia="ja-JP"/>
        </w:rPr>
      </w:pPr>
      <w:r>
        <w:rPr>
          <w:u w:val="single"/>
          <w:lang w:val="lv-LV" w:eastAsia="ja-JP"/>
        </w:rPr>
        <w:t xml:space="preserve">Sievietes </w:t>
      </w:r>
      <w:r w:rsidR="0081178F">
        <w:rPr>
          <w:u w:val="single"/>
          <w:lang w:val="lv-LV" w:eastAsia="ja-JP"/>
        </w:rPr>
        <w:t xml:space="preserve">ar </w:t>
      </w:r>
      <w:r>
        <w:rPr>
          <w:u w:val="single"/>
          <w:lang w:val="lv-LV" w:eastAsia="ja-JP"/>
        </w:rPr>
        <w:t>reproduktīv</w:t>
      </w:r>
      <w:r w:rsidR="0081178F">
        <w:rPr>
          <w:u w:val="single"/>
          <w:lang w:val="lv-LV" w:eastAsia="ja-JP"/>
        </w:rPr>
        <w:t>o potenciālu</w:t>
      </w:r>
    </w:p>
    <w:p w14:paraId="78C794B1" w14:textId="4FE09866" w:rsidR="00A453C3" w:rsidRDefault="00A453C3" w:rsidP="00A453C3">
      <w:pPr>
        <w:keepNext/>
        <w:rPr>
          <w:rFonts w:eastAsia="PMingLiU"/>
          <w:szCs w:val="22"/>
          <w:lang w:val="lv-LV"/>
        </w:rPr>
      </w:pPr>
      <w:r>
        <w:rPr>
          <w:rFonts w:eastAsia="PMingLiU"/>
          <w:szCs w:val="22"/>
          <w:lang w:val="lv-LV"/>
        </w:rPr>
        <w:t>Sievietēm</w:t>
      </w:r>
      <w:r w:rsidR="0081178F">
        <w:rPr>
          <w:rFonts w:eastAsia="PMingLiU"/>
          <w:szCs w:val="22"/>
          <w:lang w:val="lv-LV"/>
        </w:rPr>
        <w:t xml:space="preserve"> ar</w:t>
      </w:r>
      <w:r>
        <w:rPr>
          <w:rFonts w:eastAsia="PMingLiU"/>
          <w:szCs w:val="22"/>
          <w:lang w:val="lv-LV"/>
        </w:rPr>
        <w:t xml:space="preserve"> reproduktīv</w:t>
      </w:r>
      <w:r w:rsidR="0081178F">
        <w:rPr>
          <w:rFonts w:eastAsia="PMingLiU"/>
          <w:szCs w:val="22"/>
          <w:lang w:val="lv-LV"/>
        </w:rPr>
        <w:t>o potenciālu</w:t>
      </w:r>
      <w:r>
        <w:rPr>
          <w:rFonts w:eastAsia="PMingLiU"/>
          <w:szCs w:val="22"/>
          <w:lang w:val="lv-LV"/>
        </w:rPr>
        <w:t xml:space="preserve"> jālieto efektīva kontracepcijas metode ārstēšanas laikā un līdz 3 mēnešiem pēc tās.</w:t>
      </w:r>
    </w:p>
    <w:p w14:paraId="1BA03992" w14:textId="77777777" w:rsidR="00A453C3" w:rsidRDefault="00A453C3" w:rsidP="00707120">
      <w:pPr>
        <w:rPr>
          <w:rFonts w:eastAsia="PMingLiU"/>
          <w:szCs w:val="22"/>
          <w:lang w:val="lv-LV"/>
        </w:rPr>
      </w:pPr>
    </w:p>
    <w:p w14:paraId="6CCD65D6" w14:textId="77777777" w:rsidR="00A453C3" w:rsidRDefault="00A453C3" w:rsidP="00A453C3">
      <w:pPr>
        <w:keepNext/>
        <w:rPr>
          <w:u w:val="single"/>
          <w:lang w:val="lv-LV"/>
        </w:rPr>
      </w:pPr>
      <w:r>
        <w:rPr>
          <w:u w:val="single"/>
          <w:lang w:val="lv-LV"/>
        </w:rPr>
        <w:t>Grūtniecība</w:t>
      </w:r>
    </w:p>
    <w:p w14:paraId="13BE1430" w14:textId="13B795B3" w:rsidR="00A453C3" w:rsidRDefault="00A453C3" w:rsidP="00A453C3">
      <w:pPr>
        <w:rPr>
          <w:rFonts w:eastAsia="PMingLiU"/>
          <w:szCs w:val="22"/>
          <w:lang w:val="lv-LV"/>
        </w:rPr>
      </w:pPr>
      <w:r>
        <w:rPr>
          <w:rFonts w:eastAsia="PMingLiU"/>
          <w:szCs w:val="22"/>
          <w:lang w:val="lv-LV"/>
        </w:rPr>
        <w:t>Atbilstošu datu par tocilizumaba lietošanu grūtniecēm nav. Pētījumā ar dzīvniekiem pierādīts paaugstināts spontāna aborta/embrija</w:t>
      </w:r>
      <w:r>
        <w:rPr>
          <w:rFonts w:eastAsia="PMingLiU"/>
          <w:szCs w:val="22"/>
          <w:lang w:val="lv-LV"/>
        </w:rPr>
        <w:noBreakHyphen/>
        <w:t>augļa nāves risks, lietojot lielu devu (skatīt 5.3. apakšpunktu). Iespējamais risks cilvēkiem nav zināms.</w:t>
      </w:r>
    </w:p>
    <w:p w14:paraId="7E1937D2" w14:textId="77777777" w:rsidR="00A453C3" w:rsidRDefault="00A453C3" w:rsidP="00A453C3">
      <w:pPr>
        <w:rPr>
          <w:rFonts w:eastAsia="PMingLiU"/>
          <w:szCs w:val="22"/>
          <w:lang w:val="lv-LV"/>
        </w:rPr>
      </w:pPr>
    </w:p>
    <w:p w14:paraId="287F70F2" w14:textId="77777777" w:rsidR="00A453C3" w:rsidRDefault="00A453C3" w:rsidP="00A453C3">
      <w:pPr>
        <w:rPr>
          <w:bCs/>
          <w:i/>
          <w:iCs/>
          <w:szCs w:val="22"/>
          <w:lang w:val="lv-LV"/>
        </w:rPr>
      </w:pPr>
      <w:r>
        <w:rPr>
          <w:rFonts w:eastAsia="PMingLiU"/>
          <w:szCs w:val="22"/>
          <w:lang w:val="lv-LV"/>
        </w:rPr>
        <w:t>RoActemra nedrīkst lietot grūtniecības laikā, izņemot gadījumus, kad ir absolūtas indikācijas.</w:t>
      </w:r>
    </w:p>
    <w:p w14:paraId="3C1CBEEB" w14:textId="77777777" w:rsidR="00A453C3" w:rsidRDefault="00A453C3" w:rsidP="00A453C3">
      <w:pPr>
        <w:rPr>
          <w:bCs/>
          <w:i/>
          <w:iCs/>
          <w:szCs w:val="22"/>
          <w:lang w:val="lv-LV"/>
        </w:rPr>
      </w:pPr>
    </w:p>
    <w:p w14:paraId="35D51065" w14:textId="77777777" w:rsidR="00A453C3" w:rsidRDefault="00A453C3" w:rsidP="00707120">
      <w:pPr>
        <w:keepNext/>
        <w:rPr>
          <w:u w:val="single"/>
          <w:lang w:val="lv-LV"/>
        </w:rPr>
      </w:pPr>
      <w:r>
        <w:rPr>
          <w:u w:val="single"/>
          <w:lang w:val="lv-LV"/>
        </w:rPr>
        <w:t>Barošana ar krūti</w:t>
      </w:r>
    </w:p>
    <w:p w14:paraId="1889003A" w14:textId="682B5A90" w:rsidR="00A453C3" w:rsidRDefault="00A453C3" w:rsidP="00707120">
      <w:pPr>
        <w:keepNext/>
        <w:rPr>
          <w:iCs/>
          <w:szCs w:val="22"/>
          <w:lang w:val="lv-LV"/>
        </w:rPr>
      </w:pPr>
      <w:r>
        <w:rPr>
          <w:iCs/>
          <w:szCs w:val="22"/>
          <w:lang w:val="lv-LV"/>
        </w:rPr>
        <w:t xml:space="preserve">Nav zināms, vai tocilizumabs izdalās cilvēka pienā. </w:t>
      </w:r>
      <w:r>
        <w:rPr>
          <w:rFonts w:eastAsia="PMingLiU"/>
          <w:szCs w:val="22"/>
          <w:lang w:val="lv-LV"/>
        </w:rPr>
        <w:t xml:space="preserve">Tocilizumaba </w:t>
      </w:r>
      <w:r>
        <w:rPr>
          <w:iCs/>
          <w:szCs w:val="22"/>
          <w:lang w:val="lv-LV"/>
        </w:rPr>
        <w:t>ekskrēcija dzīvnieku pienā nav pētīta. Lēmums pārtraukt barošanu ar krūti vai pārtraukt RoActemra lietošanu/atturēties no terapijas jāpieņem, ņemot vērā barošanas ar krūti radīto ieguvumu bērnam un terapijas sniegto ieguvumu sievietei.</w:t>
      </w:r>
    </w:p>
    <w:p w14:paraId="5ADA5D34" w14:textId="77777777" w:rsidR="00A453C3" w:rsidRDefault="00A453C3" w:rsidP="00707120">
      <w:pPr>
        <w:rPr>
          <w:iCs/>
          <w:szCs w:val="22"/>
          <w:lang w:val="lv-LV"/>
        </w:rPr>
      </w:pPr>
    </w:p>
    <w:p w14:paraId="06366D36" w14:textId="77777777" w:rsidR="00A453C3" w:rsidRDefault="00A453C3" w:rsidP="00707120">
      <w:pPr>
        <w:keepNext/>
        <w:rPr>
          <w:szCs w:val="22"/>
          <w:u w:val="single"/>
          <w:lang w:val="lv-LV"/>
        </w:rPr>
      </w:pPr>
      <w:r>
        <w:rPr>
          <w:szCs w:val="22"/>
          <w:u w:val="single"/>
          <w:lang w:val="lv-LV"/>
        </w:rPr>
        <w:t>Fertilitāte</w:t>
      </w:r>
    </w:p>
    <w:p w14:paraId="672BDE76" w14:textId="623E3BE0" w:rsidR="00A453C3" w:rsidRDefault="00A453C3" w:rsidP="00707120">
      <w:pPr>
        <w:keepNext/>
        <w:rPr>
          <w:iCs/>
          <w:szCs w:val="22"/>
          <w:lang w:val="lv-LV"/>
        </w:rPr>
      </w:pPr>
      <w:r>
        <w:rPr>
          <w:lang w:val="lv-LV"/>
        </w:rPr>
        <w:t xml:space="preserve">Pieejamie neklīniskie dati neliecina par </w:t>
      </w:r>
      <w:r>
        <w:rPr>
          <w:rFonts w:eastAsia="PMingLiU"/>
          <w:szCs w:val="22"/>
          <w:lang w:val="lv-LV"/>
        </w:rPr>
        <w:t xml:space="preserve">tocilizumaba </w:t>
      </w:r>
      <w:r>
        <w:rPr>
          <w:lang w:val="lv-LV"/>
        </w:rPr>
        <w:t>terapijas ietekmi uz fertilitāti.</w:t>
      </w:r>
    </w:p>
    <w:p w14:paraId="190246FC" w14:textId="77777777" w:rsidR="00A453C3" w:rsidRDefault="00A453C3" w:rsidP="00A453C3">
      <w:pPr>
        <w:rPr>
          <w:iCs/>
          <w:szCs w:val="22"/>
          <w:lang w:val="lv-LV"/>
        </w:rPr>
      </w:pPr>
    </w:p>
    <w:p w14:paraId="0769FD87" w14:textId="77777777" w:rsidR="00A453C3" w:rsidRDefault="00A453C3">
      <w:pPr>
        <w:keepNext/>
        <w:rPr>
          <w:szCs w:val="22"/>
          <w:lang w:val="lv-LV"/>
        </w:rPr>
        <w:pPrChange w:id="485" w:author="Author">
          <w:pPr/>
        </w:pPrChange>
      </w:pPr>
      <w:r>
        <w:rPr>
          <w:b/>
          <w:szCs w:val="22"/>
          <w:lang w:val="lv-LV"/>
        </w:rPr>
        <w:t>4.7.</w:t>
      </w:r>
      <w:r>
        <w:rPr>
          <w:b/>
          <w:szCs w:val="22"/>
          <w:lang w:val="lv-LV"/>
        </w:rPr>
        <w:tab/>
        <w:t>Ietekme uz spēju vadīt transportlīdzekļus un apkalpot mehānismus</w:t>
      </w:r>
    </w:p>
    <w:p w14:paraId="082FDE91" w14:textId="77777777" w:rsidR="00A453C3" w:rsidRDefault="00A453C3">
      <w:pPr>
        <w:keepNext/>
        <w:rPr>
          <w:szCs w:val="22"/>
          <w:lang w:val="lv-LV"/>
        </w:rPr>
        <w:pPrChange w:id="486" w:author="Author">
          <w:pPr/>
        </w:pPrChange>
      </w:pPr>
    </w:p>
    <w:p w14:paraId="2F7A0ED5" w14:textId="098D6DB1" w:rsidR="00A453C3" w:rsidRDefault="00A453C3" w:rsidP="00A453C3">
      <w:pPr>
        <w:rPr>
          <w:rFonts w:eastAsia="MS Mincho"/>
          <w:szCs w:val="22"/>
          <w:lang w:val="lv-LV"/>
        </w:rPr>
      </w:pPr>
      <w:r>
        <w:rPr>
          <w:rFonts w:eastAsia="MS Mincho"/>
          <w:szCs w:val="22"/>
          <w:lang w:val="lv-LV"/>
        </w:rPr>
        <w:t>RoActemra nedaudz ietekmē spēju vadīt transportlīdzekļus un apkalpot mehānismus, piemēram, var izraisīt reiboni (skatīt 4.8.</w:t>
      </w:r>
      <w:ins w:id="487" w:author="Author">
        <w:r w:rsidR="006E74AF">
          <w:rPr>
            <w:rFonts w:eastAsia="MS Mincho"/>
            <w:szCs w:val="22"/>
            <w:lang w:val="lv-LV"/>
          </w:rPr>
          <w:t> </w:t>
        </w:r>
      </w:ins>
      <w:del w:id="488" w:author="Author">
        <w:r w:rsidDel="006E74AF">
          <w:rPr>
            <w:rFonts w:eastAsia="MS Mincho"/>
            <w:szCs w:val="22"/>
            <w:lang w:val="lv-LV"/>
          </w:rPr>
          <w:delText xml:space="preserve"> </w:delText>
        </w:r>
      </w:del>
      <w:r>
        <w:rPr>
          <w:rFonts w:eastAsia="MS Mincho"/>
          <w:szCs w:val="22"/>
          <w:lang w:val="lv-LV"/>
        </w:rPr>
        <w:t>apakšpunktu).</w:t>
      </w:r>
    </w:p>
    <w:p w14:paraId="7897D705" w14:textId="77777777" w:rsidR="00A453C3" w:rsidRDefault="00A453C3" w:rsidP="00A453C3">
      <w:pPr>
        <w:rPr>
          <w:rFonts w:eastAsia="MS Mincho"/>
          <w:szCs w:val="22"/>
          <w:lang w:val="lv-LV"/>
        </w:rPr>
      </w:pPr>
    </w:p>
    <w:p w14:paraId="7420CC41" w14:textId="77777777" w:rsidR="00A453C3" w:rsidRDefault="00A453C3" w:rsidP="00A453C3">
      <w:pPr>
        <w:keepNext/>
        <w:rPr>
          <w:szCs w:val="22"/>
          <w:lang w:val="lv-LV"/>
        </w:rPr>
      </w:pPr>
      <w:r>
        <w:rPr>
          <w:b/>
          <w:szCs w:val="22"/>
          <w:lang w:val="lv-LV"/>
        </w:rPr>
        <w:t>4.8.</w:t>
      </w:r>
      <w:r>
        <w:rPr>
          <w:b/>
          <w:szCs w:val="22"/>
          <w:lang w:val="lv-LV"/>
        </w:rPr>
        <w:tab/>
        <w:t>Nevēlamās blakusparādības</w:t>
      </w:r>
    </w:p>
    <w:p w14:paraId="2948DA1E" w14:textId="77777777" w:rsidR="00A453C3" w:rsidRDefault="00A453C3" w:rsidP="00A453C3">
      <w:pPr>
        <w:keepNext/>
        <w:rPr>
          <w:szCs w:val="22"/>
          <w:lang w:val="lv-LV"/>
        </w:rPr>
      </w:pPr>
    </w:p>
    <w:p w14:paraId="6AE47827" w14:textId="77777777" w:rsidR="00A453C3" w:rsidRDefault="00A453C3" w:rsidP="00A453C3">
      <w:pPr>
        <w:keepNext/>
        <w:suppressLineNumbers/>
        <w:suppressAutoHyphens w:val="0"/>
        <w:autoSpaceDE w:val="0"/>
        <w:autoSpaceDN w:val="0"/>
        <w:adjustRightInd w:val="0"/>
        <w:rPr>
          <w:rFonts w:cs="Sendnya"/>
          <w:szCs w:val="24"/>
          <w:u w:val="single"/>
          <w:lang w:val="lv-LV" w:eastAsia="ja-JP" w:bidi="or-IN"/>
        </w:rPr>
      </w:pPr>
      <w:r>
        <w:rPr>
          <w:rFonts w:cs="Sendnya"/>
          <w:szCs w:val="24"/>
          <w:u w:val="single"/>
          <w:lang w:val="lv-LV" w:eastAsia="ja-JP" w:bidi="or-IN"/>
        </w:rPr>
        <w:t>Drošuma profila kopsavilkums</w:t>
      </w:r>
    </w:p>
    <w:p w14:paraId="5D7F6F88" w14:textId="55D0D03C" w:rsidR="00A453C3" w:rsidRPr="00D30C7D" w:rsidRDefault="00A453C3" w:rsidP="00A453C3">
      <w:pPr>
        <w:keepNext/>
        <w:rPr>
          <w:lang w:val="lv-LV" w:eastAsia="de-DE"/>
        </w:rPr>
      </w:pPr>
      <w:r w:rsidRPr="00D30C7D">
        <w:rPr>
          <w:lang w:val="lv-LV" w:eastAsia="de-DE"/>
        </w:rPr>
        <w:t xml:space="preserve">Drošuma </w:t>
      </w:r>
      <w:r>
        <w:rPr>
          <w:lang w:val="lv-LV" w:eastAsia="de-DE"/>
        </w:rPr>
        <w:t>profila</w:t>
      </w:r>
      <w:r w:rsidRPr="00D30C7D">
        <w:rPr>
          <w:lang w:val="lv-LV" w:eastAsia="de-DE"/>
        </w:rPr>
        <w:t xml:space="preserve"> dati iegūti no 4</w:t>
      </w:r>
      <w:r w:rsidR="00D55AFA">
        <w:rPr>
          <w:lang w:val="lv-LV" w:eastAsia="de-DE"/>
        </w:rPr>
        <w:t> </w:t>
      </w:r>
      <w:r>
        <w:rPr>
          <w:lang w:val="lv-LV" w:eastAsia="de-DE"/>
        </w:rPr>
        <w:t>510</w:t>
      </w:r>
      <w:r w:rsidRPr="00D30C7D">
        <w:rPr>
          <w:lang w:val="lv-LV" w:eastAsia="de-DE"/>
        </w:rPr>
        <w:t xml:space="preserve"> pacientiem, kuri </w:t>
      </w:r>
      <w:r>
        <w:rPr>
          <w:lang w:val="lv-LV" w:eastAsia="de-DE"/>
        </w:rPr>
        <w:t xml:space="preserve">tocilizumabu </w:t>
      </w:r>
      <w:r w:rsidRPr="00D30C7D">
        <w:rPr>
          <w:lang w:val="lv-LV" w:eastAsia="de-DE"/>
        </w:rPr>
        <w:t>saņēm</w:t>
      </w:r>
      <w:r>
        <w:rPr>
          <w:lang w:val="lv-LV" w:eastAsia="de-DE"/>
        </w:rPr>
        <w:t>a</w:t>
      </w:r>
      <w:r w:rsidRPr="00D30C7D">
        <w:rPr>
          <w:lang w:val="lv-LV" w:eastAsia="de-DE"/>
        </w:rPr>
        <w:t xml:space="preserve"> klīniskajos pētījumos; lielākā daļa šādu pacientu piedalījās RA </w:t>
      </w:r>
      <w:r w:rsidRPr="00913AE8">
        <w:rPr>
          <w:lang w:val="lv-LV" w:eastAsia="de-DE"/>
        </w:rPr>
        <w:t>p</w:t>
      </w:r>
      <w:r>
        <w:rPr>
          <w:lang w:val="lv-LV" w:eastAsia="de-DE"/>
        </w:rPr>
        <w:t xml:space="preserve">ētījumos par pieaugušajiem </w:t>
      </w:r>
      <w:r w:rsidRPr="00D30C7D">
        <w:rPr>
          <w:lang w:val="lv-LV" w:eastAsia="de-DE"/>
        </w:rPr>
        <w:t>(n=4</w:t>
      </w:r>
      <w:r w:rsidR="00D55AFA">
        <w:rPr>
          <w:lang w:val="lv-LV" w:eastAsia="de-DE"/>
        </w:rPr>
        <w:t> </w:t>
      </w:r>
      <w:r w:rsidRPr="00D30C7D">
        <w:rPr>
          <w:lang w:val="lv-LV" w:eastAsia="de-DE"/>
        </w:rPr>
        <w:t xml:space="preserve">009), </w:t>
      </w:r>
      <w:r>
        <w:rPr>
          <w:lang w:val="lv-LV" w:eastAsia="de-DE"/>
        </w:rPr>
        <w:t xml:space="preserve">bet pārējā pieredze gūta </w:t>
      </w:r>
      <w:r w:rsidRPr="00D30C7D">
        <w:rPr>
          <w:lang w:val="lv-LV" w:eastAsia="de-DE"/>
        </w:rPr>
        <w:t xml:space="preserve">GCA </w:t>
      </w:r>
      <w:r>
        <w:rPr>
          <w:lang w:val="lv-LV" w:eastAsia="de-DE"/>
        </w:rPr>
        <w:t xml:space="preserve">pētījumos </w:t>
      </w:r>
      <w:r w:rsidRPr="00D30C7D">
        <w:rPr>
          <w:lang w:val="lv-LV" w:eastAsia="de-DE"/>
        </w:rPr>
        <w:t>(n=149)</w:t>
      </w:r>
      <w:r>
        <w:rPr>
          <w:lang w:val="lv-LV" w:eastAsia="de-DE"/>
        </w:rPr>
        <w:t>, pJIA pētījumos (n=240) un sJIA pētījumos (n=112)</w:t>
      </w:r>
      <w:r w:rsidRPr="00D30C7D">
        <w:rPr>
          <w:lang w:val="lv-LV" w:eastAsia="de-DE"/>
        </w:rPr>
        <w:t xml:space="preserve">. </w:t>
      </w:r>
      <w:r>
        <w:rPr>
          <w:lang w:val="lv-LV" w:eastAsia="de-DE"/>
        </w:rPr>
        <w:t>Tocilizumaba</w:t>
      </w:r>
      <w:r w:rsidRPr="00D30C7D">
        <w:rPr>
          <w:lang w:val="lv-LV" w:eastAsia="de-DE"/>
        </w:rPr>
        <w:t xml:space="preserve"> </w:t>
      </w:r>
      <w:r>
        <w:rPr>
          <w:lang w:val="lv-LV" w:eastAsia="de-DE"/>
        </w:rPr>
        <w:t>drošuma profils šo indikāciju gadījumā saglabājas līdzīgs un neatšķiras</w:t>
      </w:r>
      <w:r w:rsidRPr="00D30C7D">
        <w:rPr>
          <w:lang w:val="lv-LV" w:eastAsia="de-DE"/>
        </w:rPr>
        <w:t>.</w:t>
      </w:r>
    </w:p>
    <w:p w14:paraId="7CE6A6BE" w14:textId="77777777" w:rsidR="00A453C3" w:rsidRPr="00913AE8" w:rsidRDefault="00A453C3" w:rsidP="00A453C3">
      <w:pPr>
        <w:autoSpaceDE w:val="0"/>
        <w:rPr>
          <w:rFonts w:eastAsia="PMingLiU"/>
          <w:szCs w:val="22"/>
          <w:lang w:val="lv-LV"/>
        </w:rPr>
      </w:pPr>
    </w:p>
    <w:p w14:paraId="3797CE45" w14:textId="46D168FC" w:rsidR="00A453C3" w:rsidRDefault="00A453C3" w:rsidP="00A453C3">
      <w:pPr>
        <w:autoSpaceDE w:val="0"/>
        <w:rPr>
          <w:rFonts w:eastAsia="PMingLiU"/>
          <w:szCs w:val="22"/>
          <w:lang w:val="lv-LV"/>
        </w:rPr>
      </w:pPr>
      <w:r>
        <w:rPr>
          <w:rFonts w:eastAsia="PMingLiU"/>
          <w:szCs w:val="22"/>
          <w:lang w:val="lv-LV"/>
        </w:rPr>
        <w:t>Visbiežāk novērotās zāļu nevēlamās blakusparādības bija augšējo elpceļu infekcijas, nazofaringīts, galvassāpes, hipertensija un paaugstināts ALAT līmenis.</w:t>
      </w:r>
    </w:p>
    <w:p w14:paraId="55D101A9" w14:textId="77777777" w:rsidR="00A453C3" w:rsidRPr="002007A3" w:rsidRDefault="00A453C3" w:rsidP="00A453C3">
      <w:pPr>
        <w:rPr>
          <w:bCs/>
          <w:szCs w:val="22"/>
          <w:lang w:val="lv-LV"/>
          <w:rPrChange w:id="489" w:author="Author">
            <w:rPr>
              <w:b/>
              <w:szCs w:val="22"/>
              <w:lang w:val="lv-LV"/>
            </w:rPr>
          </w:rPrChange>
        </w:rPr>
      </w:pPr>
    </w:p>
    <w:p w14:paraId="4E398D01" w14:textId="6AB5678E" w:rsidR="00A453C3" w:rsidRDefault="00A453C3" w:rsidP="00A453C3">
      <w:pPr>
        <w:rPr>
          <w:szCs w:val="22"/>
          <w:lang w:val="lv-LV"/>
        </w:rPr>
      </w:pPr>
      <w:r>
        <w:rPr>
          <w:bCs/>
          <w:szCs w:val="22"/>
          <w:lang w:val="lv-LV"/>
        </w:rPr>
        <w:t xml:space="preserve">Visnopietnākās nevēlamās blakusparādības bija nopietnas infekcijas, divertikulīta komplikācijas un </w:t>
      </w:r>
      <w:r>
        <w:rPr>
          <w:szCs w:val="22"/>
          <w:lang w:val="lv-LV"/>
        </w:rPr>
        <w:t>paaugstinātas jutības reakcijas.</w:t>
      </w:r>
    </w:p>
    <w:p w14:paraId="10E34CB0" w14:textId="77777777" w:rsidR="00A453C3" w:rsidRDefault="00A453C3" w:rsidP="00A453C3">
      <w:pPr>
        <w:rPr>
          <w:szCs w:val="22"/>
          <w:lang w:val="lv-LV"/>
        </w:rPr>
      </w:pPr>
    </w:p>
    <w:p w14:paraId="7B01AFEF" w14:textId="4C52B4E3" w:rsidR="00A453C3" w:rsidRDefault="00A453C3">
      <w:pPr>
        <w:keepNext/>
        <w:rPr>
          <w:szCs w:val="22"/>
          <w:u w:val="single"/>
          <w:lang w:val="lv-LV"/>
        </w:rPr>
        <w:pPrChange w:id="490" w:author="Author">
          <w:pPr/>
        </w:pPrChange>
      </w:pPr>
      <w:r>
        <w:rPr>
          <w:szCs w:val="22"/>
          <w:u w:val="single"/>
          <w:lang w:val="lv-LV"/>
        </w:rPr>
        <w:t xml:space="preserve">Nevēlamo blakusparādību uzskaitījums tabulā </w:t>
      </w:r>
    </w:p>
    <w:p w14:paraId="0AC76647" w14:textId="7C806650" w:rsidR="00A453C3" w:rsidRDefault="00A453C3" w:rsidP="00A453C3">
      <w:pPr>
        <w:rPr>
          <w:szCs w:val="22"/>
          <w:lang w:val="lv-LV"/>
        </w:rPr>
      </w:pPr>
      <w:bookmarkStart w:id="491" w:name="_Hlk174608355"/>
      <w:r>
        <w:rPr>
          <w:szCs w:val="22"/>
          <w:lang w:val="lv-LV"/>
        </w:rPr>
        <w:t xml:space="preserve">1. tabulā ir uzskaitītas nevēlamās blakusparādības, </w:t>
      </w:r>
      <w:r w:rsidRPr="00FD255F">
        <w:rPr>
          <w:szCs w:val="22"/>
          <w:lang w:val="lv-LV"/>
        </w:rPr>
        <w:t xml:space="preserve">par kurām ziņots klīniskajos pētījumos un/vai lietojot </w:t>
      </w:r>
      <w:r>
        <w:rPr>
          <w:szCs w:val="22"/>
          <w:lang w:val="lv-LV"/>
        </w:rPr>
        <w:t>tocilizumabu</w:t>
      </w:r>
      <w:r w:rsidRPr="00FD255F">
        <w:rPr>
          <w:szCs w:val="22"/>
          <w:lang w:val="lv-LV"/>
        </w:rPr>
        <w:t xml:space="preserve"> pēcreģistrācijas laikā, pamatojoties uz spontāno </w:t>
      </w:r>
      <w:r>
        <w:rPr>
          <w:szCs w:val="22"/>
          <w:lang w:val="lv-LV"/>
        </w:rPr>
        <w:t xml:space="preserve">gadījumu </w:t>
      </w:r>
      <w:r w:rsidRPr="00FD255F">
        <w:rPr>
          <w:szCs w:val="22"/>
          <w:lang w:val="lv-LV"/>
        </w:rPr>
        <w:t>ziņojum</w:t>
      </w:r>
      <w:r>
        <w:rPr>
          <w:szCs w:val="22"/>
          <w:lang w:val="lv-LV"/>
        </w:rPr>
        <w:t>iem</w:t>
      </w:r>
      <w:r w:rsidRPr="00FD255F">
        <w:rPr>
          <w:szCs w:val="22"/>
          <w:lang w:val="lv-LV"/>
        </w:rPr>
        <w:t xml:space="preserve">, </w:t>
      </w:r>
      <w:r>
        <w:rPr>
          <w:szCs w:val="22"/>
          <w:lang w:val="lv-LV"/>
        </w:rPr>
        <w:t xml:space="preserve">literatūrā aprakstītiem </w:t>
      </w:r>
      <w:r w:rsidRPr="00FD255F">
        <w:rPr>
          <w:szCs w:val="22"/>
          <w:lang w:val="lv-LV"/>
        </w:rPr>
        <w:t>gadījumiem un neintervences pētījumu programm</w:t>
      </w:r>
      <w:r w:rsidR="00D045B5">
        <w:rPr>
          <w:szCs w:val="22"/>
          <w:lang w:val="lv-LV"/>
        </w:rPr>
        <w:t xml:space="preserve">u </w:t>
      </w:r>
      <w:r>
        <w:rPr>
          <w:szCs w:val="22"/>
          <w:lang w:val="lv-LV"/>
        </w:rPr>
        <w:t>datiem.</w:t>
      </w:r>
      <w:r w:rsidRPr="00FD255F">
        <w:rPr>
          <w:szCs w:val="22"/>
          <w:lang w:val="lv-LV"/>
        </w:rPr>
        <w:t xml:space="preserve"> </w:t>
      </w:r>
      <w:r>
        <w:rPr>
          <w:szCs w:val="22"/>
          <w:lang w:val="lv-LV"/>
        </w:rPr>
        <w:t>Blakusparādības</w:t>
      </w:r>
      <w:r w:rsidRPr="00FD255F">
        <w:rPr>
          <w:szCs w:val="22"/>
          <w:lang w:val="lv-LV"/>
        </w:rPr>
        <w:t xml:space="preserve"> ir uzskaitītas atbilstoši MedDRA orgānu sistēmu klasifikācijai.</w:t>
      </w:r>
      <w:r>
        <w:rPr>
          <w:szCs w:val="22"/>
          <w:lang w:val="lv-LV"/>
        </w:rPr>
        <w:t xml:space="preserve"> Sastopamības biežuma</w:t>
      </w:r>
      <w:r w:rsidRPr="00EF357A">
        <w:rPr>
          <w:szCs w:val="22"/>
          <w:lang w:val="lv-LV"/>
        </w:rPr>
        <w:t xml:space="preserve"> </w:t>
      </w:r>
      <w:r w:rsidRPr="00FD255F">
        <w:rPr>
          <w:szCs w:val="22"/>
          <w:lang w:val="lv-LV"/>
        </w:rPr>
        <w:t xml:space="preserve">klasifikācija </w:t>
      </w:r>
      <w:del w:id="492" w:author="Author">
        <w:r w:rsidRPr="00FD255F" w:rsidDel="00F57763">
          <w:rPr>
            <w:szCs w:val="22"/>
            <w:lang w:val="lv-LV"/>
          </w:rPr>
          <w:delText xml:space="preserve">katrai </w:delText>
        </w:r>
        <w:r w:rsidDel="00F57763">
          <w:rPr>
            <w:szCs w:val="22"/>
            <w:lang w:val="lv-LV"/>
          </w:rPr>
          <w:delText>nevēlamajai blakusparādībai</w:delText>
        </w:r>
        <w:r w:rsidRPr="00FD255F" w:rsidDel="00F57763">
          <w:rPr>
            <w:szCs w:val="22"/>
            <w:lang w:val="lv-LV"/>
          </w:rPr>
          <w:delText xml:space="preserve"> </w:delText>
        </w:r>
      </w:del>
      <w:r>
        <w:rPr>
          <w:szCs w:val="22"/>
          <w:lang w:val="lv-LV"/>
        </w:rPr>
        <w:t>ir</w:t>
      </w:r>
      <w:r w:rsidRPr="00FD255F">
        <w:rPr>
          <w:szCs w:val="22"/>
          <w:lang w:val="lv-LV"/>
        </w:rPr>
        <w:t xml:space="preserve"> noteikta</w:t>
      </w:r>
      <w:r>
        <w:rPr>
          <w:szCs w:val="22"/>
          <w:lang w:val="lv-LV"/>
        </w:rPr>
        <w:t>, izmantojot šādu iedalījumu: ļoti bieži (≥ 1/10); bieži (≥ 1/100 līdz &lt; 1/10), retāk (≥ 1/1000 līdz &lt; 1/100); reti (</w:t>
      </w:r>
      <w:r>
        <w:rPr>
          <w:noProof/>
        </w:rPr>
        <w:sym w:font="Symbol" w:char="F0B3"/>
      </w:r>
      <w:r w:rsidRPr="00707120">
        <w:rPr>
          <w:noProof/>
          <w:lang w:val="lv-LV"/>
        </w:rPr>
        <w:t> </w:t>
      </w:r>
      <w:r>
        <w:rPr>
          <w:szCs w:val="22"/>
          <w:lang w:val="lv-LV"/>
        </w:rPr>
        <w:t>1/10 000 līdz &lt; 1/1000), ļoti reti (</w:t>
      </w:r>
      <w:r>
        <w:rPr>
          <w:lang w:val="lv-LV"/>
        </w:rPr>
        <w:t xml:space="preserve">&lt; 1/10 000) </w:t>
      </w:r>
      <w:r>
        <w:rPr>
          <w:bCs/>
          <w:szCs w:val="22"/>
          <w:lang w:val="lv-LV"/>
        </w:rPr>
        <w:t>vai biežums nav zināms (nevar noteikt, pamatojoties uz pieejamiem datiem)</w:t>
      </w:r>
      <w:r>
        <w:rPr>
          <w:rFonts w:eastAsia="Courier New" w:cs="Sendnya"/>
          <w:szCs w:val="24"/>
          <w:lang w:val="lv-LV" w:bidi="or-IN"/>
        </w:rPr>
        <w:t xml:space="preserve">. </w:t>
      </w:r>
      <w:r>
        <w:rPr>
          <w:szCs w:val="22"/>
          <w:lang w:val="lv-LV"/>
        </w:rPr>
        <w:t>Katrā biežuma grupā nevēlamās blakusparādības sakārtotas to nopietnības samazinājuma secībā.</w:t>
      </w:r>
    </w:p>
    <w:bookmarkEnd w:id="491"/>
    <w:p w14:paraId="1EAB6E6A" w14:textId="77777777" w:rsidR="00A453C3" w:rsidRDefault="00A453C3" w:rsidP="00A453C3">
      <w:pPr>
        <w:rPr>
          <w:szCs w:val="22"/>
          <w:lang w:val="lv-LV"/>
        </w:rPr>
      </w:pPr>
    </w:p>
    <w:p w14:paraId="31B789F6" w14:textId="4F0E9EE8" w:rsidR="00A453C3" w:rsidRDefault="00A453C3" w:rsidP="00A453C3">
      <w:pPr>
        <w:keepNext/>
        <w:keepLines/>
        <w:ind w:left="896" w:hanging="896"/>
        <w:rPr>
          <w:rFonts w:eastAsia="PMingLiU"/>
          <w:bCs/>
          <w:i/>
          <w:szCs w:val="22"/>
          <w:lang w:val="lv-LV"/>
        </w:rPr>
      </w:pPr>
      <w:bookmarkStart w:id="493" w:name="_Hlk174608387"/>
      <w:r>
        <w:rPr>
          <w:rFonts w:eastAsia="PMingLiU"/>
          <w:bCs/>
          <w:i/>
          <w:szCs w:val="22"/>
          <w:lang w:val="lv-LV"/>
        </w:rPr>
        <w:t>1. tabula. Ar tocilizumabu ārstētajiem pacientiem radušos nevēlamo blakusparādību uzskaitījums</w:t>
      </w:r>
    </w:p>
    <w:p w14:paraId="693477B5" w14:textId="77777777" w:rsidR="00A453C3" w:rsidRDefault="00A453C3" w:rsidP="00A453C3">
      <w:pPr>
        <w:keepNext/>
        <w:keepLines/>
        <w:ind w:left="896" w:hanging="896"/>
        <w:rPr>
          <w:rFonts w:eastAsia="PMingLiU"/>
          <w:b/>
          <w:bCs/>
          <w:szCs w:val="22"/>
          <w:lang w:val="lv-LV"/>
        </w:rPr>
      </w:pPr>
    </w:p>
    <w:tbl>
      <w:tblPr>
        <w:tblW w:w="9115" w:type="dxa"/>
        <w:tblInd w:w="-34" w:type="dxa"/>
        <w:tblLayout w:type="fixed"/>
        <w:tblLook w:val="0000" w:firstRow="0" w:lastRow="0" w:firstColumn="0" w:lastColumn="0" w:noHBand="0" w:noVBand="0"/>
      </w:tblPr>
      <w:tblGrid>
        <w:gridCol w:w="1607"/>
        <w:gridCol w:w="1322"/>
        <w:gridCol w:w="1495"/>
        <w:gridCol w:w="1538"/>
        <w:gridCol w:w="1451"/>
        <w:gridCol w:w="1688"/>
        <w:gridCol w:w="14"/>
      </w:tblGrid>
      <w:tr w:rsidR="00A453C3" w:rsidRPr="00707120" w14:paraId="7B094477" w14:textId="77777777" w:rsidTr="00707120">
        <w:trPr>
          <w:gridAfter w:val="1"/>
          <w:wAfter w:w="14" w:type="dxa"/>
          <w:tblHeader/>
        </w:trPr>
        <w:tc>
          <w:tcPr>
            <w:tcW w:w="1607" w:type="dxa"/>
            <w:vMerge w:val="restart"/>
            <w:tcBorders>
              <w:top w:val="single" w:sz="4" w:space="0" w:color="000000"/>
              <w:left w:val="single" w:sz="4" w:space="0" w:color="000000"/>
            </w:tcBorders>
          </w:tcPr>
          <w:p w14:paraId="1CE156B0" w14:textId="34F32233" w:rsidR="00A453C3" w:rsidRDefault="00A453C3" w:rsidP="00853843">
            <w:pPr>
              <w:keepNext/>
              <w:keepLines/>
              <w:autoSpaceDE w:val="0"/>
              <w:jc w:val="center"/>
              <w:rPr>
                <w:rFonts w:eastAsia="PMingLiU"/>
                <w:b/>
                <w:bCs/>
                <w:szCs w:val="22"/>
                <w:lang w:val="lv-LV"/>
              </w:rPr>
            </w:pPr>
            <w:r>
              <w:rPr>
                <w:rFonts w:eastAsia="PMingLiU"/>
                <w:b/>
                <w:bCs/>
                <w:szCs w:val="22"/>
                <w:lang w:val="lv-LV"/>
              </w:rPr>
              <w:t xml:space="preserve">MedDRA </w:t>
            </w:r>
            <w:r w:rsidR="00853843">
              <w:rPr>
                <w:rFonts w:eastAsia="PMingLiU"/>
                <w:b/>
                <w:bCs/>
                <w:szCs w:val="22"/>
                <w:lang w:val="lv-LV"/>
              </w:rPr>
              <w:t>OSK</w:t>
            </w:r>
          </w:p>
        </w:tc>
        <w:tc>
          <w:tcPr>
            <w:tcW w:w="7494" w:type="dxa"/>
            <w:gridSpan w:val="5"/>
            <w:tcBorders>
              <w:top w:val="single" w:sz="4" w:space="0" w:color="000000"/>
              <w:left w:val="single" w:sz="4" w:space="0" w:color="000000"/>
              <w:bottom w:val="single" w:sz="4" w:space="0" w:color="000000"/>
              <w:right w:val="single" w:sz="4" w:space="0" w:color="000000"/>
            </w:tcBorders>
          </w:tcPr>
          <w:p w14:paraId="0BC7620D" w14:textId="44E22A62" w:rsidR="00A453C3" w:rsidRDefault="00A453C3" w:rsidP="0067693D">
            <w:pPr>
              <w:keepNext/>
              <w:keepLines/>
              <w:jc w:val="center"/>
              <w:rPr>
                <w:rFonts w:eastAsia="PMingLiU"/>
                <w:b/>
                <w:bCs/>
                <w:szCs w:val="22"/>
                <w:lang w:val="lv-LV"/>
              </w:rPr>
            </w:pPr>
            <w:r>
              <w:rPr>
                <w:rFonts w:eastAsia="PMingLiU"/>
                <w:b/>
                <w:bCs/>
                <w:szCs w:val="22"/>
                <w:lang w:val="lv-LV"/>
              </w:rPr>
              <w:t>Sastopamības biežuma kategorija</w:t>
            </w:r>
            <w:del w:id="494" w:author="Author">
              <w:r w:rsidDel="00BC4ABB">
                <w:rPr>
                  <w:rFonts w:eastAsia="PMingLiU"/>
                  <w:b/>
                  <w:bCs/>
                  <w:szCs w:val="22"/>
                  <w:lang w:val="lv-LV"/>
                </w:rPr>
                <w:delText>s</w:delText>
              </w:r>
            </w:del>
            <w:r>
              <w:rPr>
                <w:rFonts w:eastAsia="PMingLiU"/>
                <w:b/>
                <w:bCs/>
                <w:szCs w:val="22"/>
                <w:lang w:val="lv-LV"/>
              </w:rPr>
              <w:t xml:space="preserve"> ar ieteicam</w:t>
            </w:r>
            <w:del w:id="495" w:author="Author">
              <w:r w:rsidDel="00E350F8">
                <w:rPr>
                  <w:rFonts w:eastAsia="PMingLiU"/>
                  <w:b/>
                  <w:bCs/>
                  <w:szCs w:val="22"/>
                  <w:lang w:val="lv-LV"/>
                </w:rPr>
                <w:delText>iem</w:delText>
              </w:r>
            </w:del>
            <w:ins w:id="496" w:author="Author">
              <w:r w:rsidR="00E350F8">
                <w:rPr>
                  <w:rFonts w:eastAsia="PMingLiU"/>
                  <w:b/>
                  <w:bCs/>
                  <w:szCs w:val="22"/>
                  <w:lang w:val="lv-LV"/>
                </w:rPr>
                <w:t>o</w:t>
              </w:r>
            </w:ins>
            <w:r>
              <w:rPr>
                <w:rFonts w:eastAsia="PMingLiU"/>
                <w:b/>
                <w:bCs/>
                <w:szCs w:val="22"/>
                <w:lang w:val="lv-LV"/>
              </w:rPr>
              <w:t xml:space="preserve"> termin</w:t>
            </w:r>
            <w:del w:id="497" w:author="Author">
              <w:r w:rsidDel="00E350F8">
                <w:rPr>
                  <w:rFonts w:eastAsia="PMingLiU"/>
                  <w:b/>
                  <w:bCs/>
                  <w:szCs w:val="22"/>
                  <w:lang w:val="lv-LV"/>
                </w:rPr>
                <w:delText>iem</w:delText>
              </w:r>
            </w:del>
            <w:ins w:id="498" w:author="Author">
              <w:r w:rsidR="00E350F8">
                <w:rPr>
                  <w:rFonts w:eastAsia="PMingLiU"/>
                  <w:b/>
                  <w:bCs/>
                  <w:szCs w:val="22"/>
                  <w:lang w:val="lv-LV"/>
                </w:rPr>
                <w:t>u</w:t>
              </w:r>
            </w:ins>
          </w:p>
        </w:tc>
      </w:tr>
      <w:tr w:rsidR="00A453C3" w14:paraId="3C8A0B25" w14:textId="77777777" w:rsidTr="00707120">
        <w:trPr>
          <w:gridAfter w:val="1"/>
          <w:wAfter w:w="14" w:type="dxa"/>
          <w:tblHeader/>
        </w:trPr>
        <w:tc>
          <w:tcPr>
            <w:tcW w:w="1607" w:type="dxa"/>
            <w:vMerge/>
            <w:tcBorders>
              <w:left w:val="single" w:sz="4" w:space="0" w:color="000000"/>
              <w:bottom w:val="single" w:sz="4" w:space="0" w:color="000000"/>
            </w:tcBorders>
          </w:tcPr>
          <w:p w14:paraId="2D948ED4" w14:textId="77777777" w:rsidR="00A453C3" w:rsidRDefault="00A453C3" w:rsidP="0067693D">
            <w:pPr>
              <w:keepNext/>
              <w:keepLines/>
              <w:autoSpaceDE w:val="0"/>
              <w:jc w:val="center"/>
              <w:rPr>
                <w:rFonts w:eastAsia="PMingLiU"/>
                <w:b/>
                <w:bCs/>
                <w:szCs w:val="22"/>
                <w:lang w:val="lv-LV"/>
              </w:rPr>
            </w:pPr>
          </w:p>
        </w:tc>
        <w:tc>
          <w:tcPr>
            <w:tcW w:w="1322" w:type="dxa"/>
            <w:tcBorders>
              <w:top w:val="single" w:sz="4" w:space="0" w:color="000000"/>
              <w:left w:val="single" w:sz="4" w:space="0" w:color="000000"/>
              <w:bottom w:val="single" w:sz="4" w:space="0" w:color="000000"/>
            </w:tcBorders>
          </w:tcPr>
          <w:p w14:paraId="37382FC3" w14:textId="77777777" w:rsidR="00A453C3" w:rsidRDefault="00A453C3" w:rsidP="0067693D">
            <w:pPr>
              <w:keepNext/>
              <w:keepLines/>
              <w:jc w:val="center"/>
              <w:rPr>
                <w:rFonts w:eastAsia="PMingLiU"/>
                <w:b/>
                <w:bCs/>
                <w:szCs w:val="22"/>
                <w:lang w:val="lv-LV"/>
              </w:rPr>
            </w:pPr>
            <w:r>
              <w:rPr>
                <w:rFonts w:eastAsia="PMingLiU"/>
                <w:b/>
                <w:bCs/>
                <w:szCs w:val="22"/>
                <w:lang w:val="lv-LV"/>
              </w:rPr>
              <w:t>Ļoti bieži</w:t>
            </w:r>
          </w:p>
          <w:p w14:paraId="018D1007" w14:textId="77777777" w:rsidR="00A453C3" w:rsidRDefault="00A453C3" w:rsidP="0067693D">
            <w:pPr>
              <w:keepNext/>
              <w:keepLines/>
              <w:jc w:val="center"/>
              <w:rPr>
                <w:rFonts w:eastAsia="PMingLiU"/>
                <w:b/>
                <w:bCs/>
                <w:szCs w:val="22"/>
                <w:lang w:val="lv-LV"/>
              </w:rPr>
            </w:pPr>
          </w:p>
        </w:tc>
        <w:tc>
          <w:tcPr>
            <w:tcW w:w="1495" w:type="dxa"/>
            <w:tcBorders>
              <w:top w:val="single" w:sz="4" w:space="0" w:color="000000"/>
              <w:left w:val="single" w:sz="4" w:space="0" w:color="000000"/>
              <w:bottom w:val="single" w:sz="4" w:space="0" w:color="000000"/>
            </w:tcBorders>
          </w:tcPr>
          <w:p w14:paraId="1BAC9B43" w14:textId="77777777" w:rsidR="00A453C3" w:rsidRDefault="00A453C3" w:rsidP="0067693D">
            <w:pPr>
              <w:keepNext/>
              <w:keepLines/>
              <w:jc w:val="center"/>
              <w:rPr>
                <w:rFonts w:eastAsia="PMingLiU"/>
                <w:b/>
                <w:bCs/>
                <w:szCs w:val="22"/>
                <w:lang w:val="lv-LV"/>
              </w:rPr>
            </w:pPr>
            <w:r>
              <w:rPr>
                <w:rFonts w:eastAsia="PMingLiU"/>
                <w:b/>
                <w:bCs/>
                <w:szCs w:val="22"/>
                <w:lang w:val="lv-LV"/>
              </w:rPr>
              <w:t>Bieži</w:t>
            </w:r>
          </w:p>
          <w:p w14:paraId="47CD0E17" w14:textId="77777777" w:rsidR="00A453C3" w:rsidRDefault="00A453C3" w:rsidP="0067693D">
            <w:pPr>
              <w:keepNext/>
              <w:keepLines/>
              <w:jc w:val="center"/>
              <w:rPr>
                <w:rFonts w:eastAsia="PMingLiU"/>
                <w:b/>
                <w:bCs/>
                <w:szCs w:val="22"/>
                <w:lang w:val="lv-LV"/>
              </w:rPr>
            </w:pPr>
          </w:p>
        </w:tc>
        <w:tc>
          <w:tcPr>
            <w:tcW w:w="1538" w:type="dxa"/>
            <w:tcBorders>
              <w:top w:val="single" w:sz="4" w:space="0" w:color="000000"/>
              <w:left w:val="single" w:sz="4" w:space="0" w:color="000000"/>
              <w:bottom w:val="single" w:sz="4" w:space="0" w:color="000000"/>
              <w:right w:val="single" w:sz="4" w:space="0" w:color="000000"/>
            </w:tcBorders>
          </w:tcPr>
          <w:p w14:paraId="20A268E7" w14:textId="77777777" w:rsidR="00A453C3" w:rsidRDefault="00A453C3" w:rsidP="0067693D">
            <w:pPr>
              <w:keepNext/>
              <w:keepLines/>
              <w:jc w:val="center"/>
              <w:rPr>
                <w:rFonts w:eastAsia="PMingLiU"/>
                <w:b/>
                <w:bCs/>
                <w:szCs w:val="22"/>
                <w:lang w:val="lv-LV"/>
              </w:rPr>
            </w:pPr>
            <w:r>
              <w:rPr>
                <w:rFonts w:eastAsia="PMingLiU"/>
                <w:b/>
                <w:bCs/>
                <w:szCs w:val="22"/>
                <w:lang w:val="lv-LV"/>
              </w:rPr>
              <w:t>Retāk</w:t>
            </w:r>
          </w:p>
          <w:p w14:paraId="119F2E4D" w14:textId="77777777" w:rsidR="00A453C3" w:rsidRDefault="00A453C3" w:rsidP="0067693D">
            <w:pPr>
              <w:keepNext/>
              <w:keepLines/>
              <w:jc w:val="center"/>
              <w:rPr>
                <w:rFonts w:eastAsia="PMingLiU"/>
                <w:b/>
                <w:bCs/>
                <w:szCs w:val="22"/>
                <w:lang w:val="lv-LV"/>
              </w:rPr>
            </w:pPr>
          </w:p>
        </w:tc>
        <w:tc>
          <w:tcPr>
            <w:tcW w:w="1451" w:type="dxa"/>
            <w:tcBorders>
              <w:top w:val="single" w:sz="4" w:space="0" w:color="000000"/>
              <w:left w:val="single" w:sz="4" w:space="0" w:color="000000"/>
              <w:bottom w:val="single" w:sz="4" w:space="0" w:color="000000"/>
              <w:right w:val="single" w:sz="4" w:space="0" w:color="000000"/>
            </w:tcBorders>
          </w:tcPr>
          <w:p w14:paraId="22C00549" w14:textId="77777777" w:rsidR="00A453C3" w:rsidRDefault="00A453C3" w:rsidP="0067693D">
            <w:pPr>
              <w:keepNext/>
              <w:keepLines/>
              <w:jc w:val="center"/>
              <w:rPr>
                <w:rFonts w:eastAsia="PMingLiU"/>
                <w:b/>
                <w:bCs/>
                <w:szCs w:val="22"/>
                <w:lang w:val="lv-LV"/>
              </w:rPr>
            </w:pPr>
            <w:r>
              <w:rPr>
                <w:rFonts w:eastAsia="PMingLiU"/>
                <w:b/>
                <w:bCs/>
                <w:szCs w:val="22"/>
                <w:lang w:val="lv-LV"/>
              </w:rPr>
              <w:t>Reti</w:t>
            </w:r>
          </w:p>
        </w:tc>
        <w:tc>
          <w:tcPr>
            <w:tcW w:w="1688" w:type="dxa"/>
            <w:tcBorders>
              <w:top w:val="single" w:sz="4" w:space="0" w:color="000000"/>
              <w:left w:val="single" w:sz="4" w:space="0" w:color="000000"/>
              <w:bottom w:val="single" w:sz="4" w:space="0" w:color="000000"/>
              <w:right w:val="single" w:sz="4" w:space="0" w:color="000000"/>
            </w:tcBorders>
          </w:tcPr>
          <w:p w14:paraId="3B9775AC" w14:textId="77777777" w:rsidR="00A453C3" w:rsidRDefault="00A453C3" w:rsidP="0067693D">
            <w:pPr>
              <w:keepNext/>
              <w:keepLines/>
              <w:jc w:val="center"/>
              <w:rPr>
                <w:rFonts w:eastAsia="PMingLiU"/>
                <w:b/>
                <w:bCs/>
                <w:szCs w:val="22"/>
                <w:lang w:val="lv-LV"/>
              </w:rPr>
            </w:pPr>
            <w:r>
              <w:rPr>
                <w:rFonts w:eastAsia="PMingLiU"/>
                <w:b/>
                <w:bCs/>
                <w:szCs w:val="22"/>
                <w:lang w:val="lv-LV"/>
              </w:rPr>
              <w:t>Ļoti reti</w:t>
            </w:r>
          </w:p>
        </w:tc>
      </w:tr>
      <w:tr w:rsidR="00A453C3" w:rsidRPr="0018021A" w14:paraId="0A33FEDF" w14:textId="77777777" w:rsidTr="00707120">
        <w:tblPrEx>
          <w:tblCellMar>
            <w:left w:w="0" w:type="dxa"/>
            <w:right w:w="0" w:type="dxa"/>
          </w:tblCellMar>
          <w:tblLook w:val="04A0" w:firstRow="1" w:lastRow="0" w:firstColumn="1" w:lastColumn="0" w:noHBand="0" w:noVBand="1"/>
        </w:tblPrEx>
        <w:trPr>
          <w:gridAfter w:val="1"/>
          <w:wAfter w:w="14" w:type="dxa"/>
        </w:trPr>
        <w:tc>
          <w:tcPr>
            <w:tcW w:w="160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6DA651C" w14:textId="77777777" w:rsidR="00A453C3" w:rsidRPr="0018021A" w:rsidRDefault="00A453C3" w:rsidP="0067693D">
            <w:pPr>
              <w:pStyle w:val="Standard1"/>
              <w:keepNext/>
              <w:keepLines/>
              <w:rPr>
                <w:color w:val="1A1A1A"/>
                <w:szCs w:val="22"/>
              </w:rPr>
            </w:pPr>
            <w:r>
              <w:rPr>
                <w:color w:val="1A1A1A"/>
                <w:szCs w:val="22"/>
              </w:rPr>
              <w:t>Infekcijas un infestācijas</w:t>
            </w:r>
          </w:p>
        </w:tc>
        <w:tc>
          <w:tcPr>
            <w:tcW w:w="1322" w:type="dxa"/>
            <w:tcBorders>
              <w:top w:val="nil"/>
              <w:left w:val="nil"/>
              <w:bottom w:val="single" w:sz="8" w:space="0" w:color="000000"/>
              <w:right w:val="single" w:sz="8" w:space="0" w:color="000000"/>
            </w:tcBorders>
            <w:tcMar>
              <w:top w:w="0" w:type="dxa"/>
              <w:left w:w="108" w:type="dxa"/>
              <w:bottom w:w="0" w:type="dxa"/>
              <w:right w:w="108" w:type="dxa"/>
            </w:tcMar>
          </w:tcPr>
          <w:p w14:paraId="53658E68" w14:textId="77777777" w:rsidR="00A453C3" w:rsidRPr="0018021A" w:rsidRDefault="00A453C3" w:rsidP="0067693D">
            <w:pPr>
              <w:pStyle w:val="Standard1"/>
              <w:keepNext/>
              <w:keepLines/>
              <w:rPr>
                <w:color w:val="1A1A1A"/>
                <w:szCs w:val="22"/>
              </w:rPr>
            </w:pPr>
            <w:r>
              <w:rPr>
                <w:color w:val="1A1A1A"/>
                <w:szCs w:val="22"/>
              </w:rPr>
              <w:t>Augšējo elpceļu infekcijas</w:t>
            </w:r>
          </w:p>
        </w:tc>
        <w:tc>
          <w:tcPr>
            <w:tcW w:w="1495" w:type="dxa"/>
            <w:tcBorders>
              <w:top w:val="nil"/>
              <w:left w:val="nil"/>
              <w:bottom w:val="single" w:sz="8" w:space="0" w:color="000000"/>
              <w:right w:val="single" w:sz="4" w:space="0" w:color="auto"/>
            </w:tcBorders>
            <w:tcMar>
              <w:top w:w="0" w:type="dxa"/>
              <w:left w:w="108" w:type="dxa"/>
              <w:bottom w:w="0" w:type="dxa"/>
              <w:right w:w="108" w:type="dxa"/>
            </w:tcMar>
          </w:tcPr>
          <w:p w14:paraId="7A14FE33" w14:textId="37EA3E1A" w:rsidR="00A453C3" w:rsidRPr="0018021A" w:rsidRDefault="00A453C3" w:rsidP="0067693D">
            <w:pPr>
              <w:pStyle w:val="Standard1"/>
              <w:keepNext/>
              <w:keepLines/>
              <w:rPr>
                <w:color w:val="1A1A1A"/>
                <w:szCs w:val="22"/>
              </w:rPr>
            </w:pPr>
            <w:r>
              <w:rPr>
                <w:color w:val="1A1A1A"/>
                <w:szCs w:val="22"/>
              </w:rPr>
              <w:t xml:space="preserve">Celulīts, pneimonija, mutes dobuma </w:t>
            </w:r>
            <w:r>
              <w:rPr>
                <w:i/>
                <w:iCs/>
                <w:color w:val="1A1A1A"/>
                <w:szCs w:val="22"/>
              </w:rPr>
              <w:t xml:space="preserve">herpes </w:t>
            </w:r>
            <w:r w:rsidRPr="004E2814">
              <w:rPr>
                <w:i/>
                <w:iCs/>
                <w:color w:val="1A1A1A"/>
                <w:szCs w:val="22"/>
              </w:rPr>
              <w:t>simplex</w:t>
            </w:r>
            <w:r>
              <w:rPr>
                <w:color w:val="1A1A1A"/>
                <w:szCs w:val="22"/>
              </w:rPr>
              <w:t xml:space="preserve">, </w:t>
            </w:r>
            <w:r>
              <w:rPr>
                <w:i/>
                <w:color w:val="1A1A1A"/>
                <w:szCs w:val="22"/>
              </w:rPr>
              <w:t>h</w:t>
            </w:r>
            <w:r w:rsidRPr="006B7D45">
              <w:rPr>
                <w:i/>
                <w:color w:val="1A1A1A"/>
                <w:szCs w:val="22"/>
              </w:rPr>
              <w:t>erpes zoster</w:t>
            </w:r>
          </w:p>
        </w:tc>
        <w:tc>
          <w:tcPr>
            <w:tcW w:w="15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68E33D" w14:textId="77777777" w:rsidR="00A453C3" w:rsidRPr="0018021A" w:rsidRDefault="00A453C3" w:rsidP="0067693D">
            <w:pPr>
              <w:pStyle w:val="Standard1"/>
              <w:keepNext/>
              <w:keepLines/>
              <w:rPr>
                <w:color w:val="1A1A1A"/>
                <w:szCs w:val="22"/>
              </w:rPr>
            </w:pPr>
            <w:r>
              <w:rPr>
                <w:color w:val="1A1A1A"/>
                <w:szCs w:val="22"/>
              </w:rPr>
              <w:t>Divertikulīts</w:t>
            </w:r>
          </w:p>
        </w:tc>
        <w:tc>
          <w:tcPr>
            <w:tcW w:w="1451" w:type="dxa"/>
            <w:tcBorders>
              <w:top w:val="single" w:sz="4" w:space="0" w:color="auto"/>
              <w:left w:val="single" w:sz="4" w:space="0" w:color="auto"/>
              <w:bottom w:val="single" w:sz="4" w:space="0" w:color="auto"/>
              <w:right w:val="single" w:sz="4" w:space="0" w:color="auto"/>
            </w:tcBorders>
          </w:tcPr>
          <w:p w14:paraId="5CE2669D" w14:textId="77777777" w:rsidR="00A453C3" w:rsidRPr="0018021A" w:rsidRDefault="00A453C3" w:rsidP="0067693D">
            <w:pPr>
              <w:pStyle w:val="Standard1"/>
              <w:keepNext/>
              <w:keepLines/>
              <w:ind w:left="97"/>
              <w:rPr>
                <w:szCs w:val="22"/>
                <w:lang w:val="en-GB" w:eastAsia="en-GB"/>
              </w:rPr>
            </w:pPr>
          </w:p>
        </w:tc>
        <w:tc>
          <w:tcPr>
            <w:tcW w:w="1688" w:type="dxa"/>
            <w:tcBorders>
              <w:top w:val="single" w:sz="4" w:space="0" w:color="auto"/>
              <w:left w:val="single" w:sz="4" w:space="0" w:color="auto"/>
              <w:bottom w:val="single" w:sz="4" w:space="0" w:color="auto"/>
              <w:right w:val="single" w:sz="4" w:space="0" w:color="auto"/>
            </w:tcBorders>
          </w:tcPr>
          <w:p w14:paraId="74876B80" w14:textId="77777777" w:rsidR="00A453C3" w:rsidRPr="0018021A" w:rsidRDefault="00A453C3" w:rsidP="0067693D">
            <w:pPr>
              <w:pStyle w:val="Standard1"/>
              <w:keepNext/>
              <w:keepLines/>
              <w:ind w:left="97"/>
              <w:rPr>
                <w:szCs w:val="22"/>
                <w:lang w:val="en-GB" w:eastAsia="en-GB"/>
              </w:rPr>
            </w:pPr>
          </w:p>
        </w:tc>
      </w:tr>
      <w:tr w:rsidR="00A453C3" w14:paraId="47213395" w14:textId="77777777" w:rsidTr="00707120">
        <w:trPr>
          <w:gridAfter w:val="1"/>
          <w:wAfter w:w="14" w:type="dxa"/>
        </w:trPr>
        <w:tc>
          <w:tcPr>
            <w:tcW w:w="1607" w:type="dxa"/>
            <w:tcBorders>
              <w:top w:val="single" w:sz="4" w:space="0" w:color="000000"/>
              <w:left w:val="single" w:sz="4" w:space="0" w:color="000000"/>
              <w:bottom w:val="single" w:sz="4" w:space="0" w:color="000000"/>
            </w:tcBorders>
          </w:tcPr>
          <w:p w14:paraId="07C55DBF" w14:textId="77777777" w:rsidR="00A453C3" w:rsidRDefault="00A453C3" w:rsidP="0067693D">
            <w:pPr>
              <w:keepNext/>
              <w:keepLines/>
              <w:rPr>
                <w:szCs w:val="22"/>
                <w:lang w:val="lv-LV"/>
              </w:rPr>
            </w:pPr>
            <w:r>
              <w:rPr>
                <w:szCs w:val="22"/>
                <w:lang w:val="lv-LV"/>
              </w:rPr>
              <w:t>Asins un limfātiskās sistēmas traucējumi</w:t>
            </w:r>
          </w:p>
        </w:tc>
        <w:tc>
          <w:tcPr>
            <w:tcW w:w="1322" w:type="dxa"/>
            <w:tcBorders>
              <w:top w:val="single" w:sz="4" w:space="0" w:color="000000"/>
              <w:left w:val="single" w:sz="4" w:space="0" w:color="000000"/>
              <w:bottom w:val="single" w:sz="4" w:space="0" w:color="000000"/>
            </w:tcBorders>
          </w:tcPr>
          <w:p w14:paraId="39AA2CB9" w14:textId="77777777" w:rsidR="00A453C3" w:rsidRDefault="00A453C3" w:rsidP="0067693D">
            <w:pPr>
              <w:keepNext/>
              <w:keepLines/>
              <w:autoSpaceDE w:val="0"/>
              <w:snapToGrid w:val="0"/>
              <w:rPr>
                <w:rFonts w:eastAsia="PMingLiU"/>
                <w:szCs w:val="22"/>
                <w:lang w:val="lv-LV"/>
              </w:rPr>
            </w:pPr>
          </w:p>
        </w:tc>
        <w:tc>
          <w:tcPr>
            <w:tcW w:w="1495" w:type="dxa"/>
            <w:tcBorders>
              <w:top w:val="single" w:sz="4" w:space="0" w:color="000000"/>
              <w:left w:val="single" w:sz="4" w:space="0" w:color="000000"/>
              <w:bottom w:val="single" w:sz="4" w:space="0" w:color="000000"/>
            </w:tcBorders>
          </w:tcPr>
          <w:p w14:paraId="39BCA7CB" w14:textId="305D2FC8" w:rsidR="00A453C3" w:rsidRDefault="00A453C3" w:rsidP="0067693D">
            <w:pPr>
              <w:keepNext/>
              <w:keepLines/>
              <w:rPr>
                <w:szCs w:val="22"/>
                <w:lang w:val="lv-LV"/>
              </w:rPr>
            </w:pPr>
            <w:r>
              <w:rPr>
                <w:szCs w:val="22"/>
                <w:lang w:val="lv-LV"/>
              </w:rPr>
              <w:t>Leikopēnija, neitropēnija, hipofibrino-ge</w:t>
            </w:r>
            <w:r w:rsidRPr="00E86856">
              <w:rPr>
                <w:szCs w:val="22"/>
                <w:lang w:val="lv-LV"/>
              </w:rPr>
              <w:t>nēmija</w:t>
            </w:r>
          </w:p>
        </w:tc>
        <w:tc>
          <w:tcPr>
            <w:tcW w:w="1538" w:type="dxa"/>
            <w:tcBorders>
              <w:top w:val="single" w:sz="4" w:space="0" w:color="000000"/>
              <w:left w:val="single" w:sz="4" w:space="0" w:color="000000"/>
              <w:bottom w:val="single" w:sz="4" w:space="0" w:color="000000"/>
              <w:right w:val="single" w:sz="4" w:space="0" w:color="000000"/>
            </w:tcBorders>
          </w:tcPr>
          <w:p w14:paraId="157DEC8B" w14:textId="77777777" w:rsidR="00A453C3" w:rsidRDefault="00A453C3" w:rsidP="0067693D">
            <w:pPr>
              <w:keepNext/>
              <w:keepLines/>
              <w:rPr>
                <w:szCs w:val="22"/>
                <w:lang w:val="lv-LV"/>
              </w:rPr>
            </w:pPr>
          </w:p>
        </w:tc>
        <w:tc>
          <w:tcPr>
            <w:tcW w:w="1451" w:type="dxa"/>
            <w:tcBorders>
              <w:top w:val="single" w:sz="4" w:space="0" w:color="000000"/>
              <w:left w:val="single" w:sz="4" w:space="0" w:color="000000"/>
              <w:bottom w:val="single" w:sz="4" w:space="0" w:color="000000"/>
              <w:right w:val="single" w:sz="4" w:space="0" w:color="000000"/>
            </w:tcBorders>
          </w:tcPr>
          <w:p w14:paraId="1AE84326" w14:textId="77777777" w:rsidR="00A453C3" w:rsidRDefault="00A453C3" w:rsidP="0067693D">
            <w:pPr>
              <w:keepNext/>
              <w:keepLines/>
              <w:rPr>
                <w:szCs w:val="22"/>
                <w:lang w:val="lv-LV"/>
              </w:rPr>
            </w:pPr>
          </w:p>
        </w:tc>
        <w:tc>
          <w:tcPr>
            <w:tcW w:w="1688" w:type="dxa"/>
            <w:tcBorders>
              <w:top w:val="single" w:sz="4" w:space="0" w:color="000000"/>
              <w:left w:val="single" w:sz="4" w:space="0" w:color="000000"/>
              <w:bottom w:val="single" w:sz="4" w:space="0" w:color="000000"/>
              <w:right w:val="single" w:sz="4" w:space="0" w:color="000000"/>
            </w:tcBorders>
          </w:tcPr>
          <w:p w14:paraId="5B64DA8D" w14:textId="77777777" w:rsidR="00A453C3" w:rsidRDefault="00A453C3" w:rsidP="0067693D">
            <w:pPr>
              <w:keepNext/>
              <w:keepLines/>
              <w:rPr>
                <w:szCs w:val="22"/>
                <w:lang w:val="lv-LV"/>
              </w:rPr>
            </w:pPr>
          </w:p>
        </w:tc>
      </w:tr>
      <w:tr w:rsidR="00A453C3" w:rsidRPr="0018021A" w14:paraId="06E773E7" w14:textId="77777777" w:rsidTr="00707120">
        <w:tblPrEx>
          <w:tblCellMar>
            <w:left w:w="0" w:type="dxa"/>
            <w:right w:w="0" w:type="dxa"/>
          </w:tblCellMar>
          <w:tblLook w:val="04A0" w:firstRow="1" w:lastRow="0" w:firstColumn="1" w:lastColumn="0" w:noHBand="0" w:noVBand="1"/>
        </w:tblPrEx>
        <w:trPr>
          <w:gridAfter w:val="1"/>
          <w:wAfter w:w="14" w:type="dxa"/>
        </w:trPr>
        <w:tc>
          <w:tcPr>
            <w:tcW w:w="160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FC4A53B" w14:textId="77777777" w:rsidR="00A453C3" w:rsidRPr="0018021A" w:rsidRDefault="00A453C3" w:rsidP="0067693D">
            <w:pPr>
              <w:pStyle w:val="Standard1"/>
              <w:keepNext/>
              <w:keepLines/>
              <w:rPr>
                <w:color w:val="1A1A1A"/>
                <w:szCs w:val="22"/>
              </w:rPr>
            </w:pPr>
            <w:r>
              <w:t>Imūnās sistēmas traucējumi</w:t>
            </w:r>
          </w:p>
        </w:tc>
        <w:tc>
          <w:tcPr>
            <w:tcW w:w="1322" w:type="dxa"/>
            <w:tcBorders>
              <w:top w:val="nil"/>
              <w:left w:val="nil"/>
              <w:bottom w:val="single" w:sz="8" w:space="0" w:color="000000"/>
              <w:right w:val="single" w:sz="8" w:space="0" w:color="000000"/>
            </w:tcBorders>
            <w:tcMar>
              <w:top w:w="0" w:type="dxa"/>
              <w:left w:w="108" w:type="dxa"/>
              <w:bottom w:w="0" w:type="dxa"/>
              <w:right w:w="108" w:type="dxa"/>
            </w:tcMar>
          </w:tcPr>
          <w:p w14:paraId="1603BAED" w14:textId="77777777" w:rsidR="00A453C3" w:rsidRPr="0018021A" w:rsidRDefault="00A453C3" w:rsidP="0067693D">
            <w:pPr>
              <w:pStyle w:val="Standard1"/>
              <w:keepNext/>
              <w:keepLines/>
              <w:rPr>
                <w:color w:val="1A1A1A"/>
                <w:szCs w:val="22"/>
                <w:lang w:val="en-GB" w:eastAsia="en-GB"/>
              </w:rPr>
            </w:pPr>
          </w:p>
        </w:tc>
        <w:tc>
          <w:tcPr>
            <w:tcW w:w="1495" w:type="dxa"/>
            <w:tcBorders>
              <w:top w:val="nil"/>
              <w:left w:val="nil"/>
              <w:bottom w:val="single" w:sz="8" w:space="0" w:color="000000"/>
              <w:right w:val="single" w:sz="4" w:space="0" w:color="auto"/>
            </w:tcBorders>
            <w:tcMar>
              <w:top w:w="0" w:type="dxa"/>
              <w:left w:w="108" w:type="dxa"/>
              <w:bottom w:w="0" w:type="dxa"/>
              <w:right w:w="108" w:type="dxa"/>
            </w:tcMar>
          </w:tcPr>
          <w:p w14:paraId="2826DE8E" w14:textId="77777777" w:rsidR="00A453C3" w:rsidRPr="0018021A" w:rsidRDefault="00A453C3" w:rsidP="0067693D">
            <w:pPr>
              <w:pStyle w:val="Standard1"/>
              <w:keepNext/>
              <w:keepLines/>
              <w:rPr>
                <w:color w:val="1A1A1A"/>
                <w:szCs w:val="22"/>
                <w:lang w:val="en-GB" w:eastAsia="en-GB"/>
              </w:rPr>
            </w:pPr>
          </w:p>
        </w:tc>
        <w:tc>
          <w:tcPr>
            <w:tcW w:w="15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34B9DC" w14:textId="77777777" w:rsidR="00A453C3" w:rsidRPr="0018021A" w:rsidRDefault="00A453C3" w:rsidP="0067693D">
            <w:pPr>
              <w:pStyle w:val="Standard1"/>
              <w:keepNext/>
              <w:keepLines/>
              <w:rPr>
                <w:color w:val="1A1A1A"/>
                <w:szCs w:val="22"/>
                <w:lang w:val="en-GB" w:eastAsia="en-GB"/>
              </w:rPr>
            </w:pPr>
          </w:p>
        </w:tc>
        <w:tc>
          <w:tcPr>
            <w:tcW w:w="1451" w:type="dxa"/>
            <w:tcBorders>
              <w:top w:val="single" w:sz="4" w:space="0" w:color="auto"/>
              <w:left w:val="single" w:sz="4" w:space="0" w:color="auto"/>
              <w:bottom w:val="single" w:sz="4" w:space="0" w:color="auto"/>
              <w:right w:val="single" w:sz="4" w:space="0" w:color="auto"/>
            </w:tcBorders>
          </w:tcPr>
          <w:p w14:paraId="5FCB29AD" w14:textId="28BD2192" w:rsidR="00A453C3" w:rsidRPr="0018021A" w:rsidRDefault="00A453C3" w:rsidP="0067693D">
            <w:pPr>
              <w:pStyle w:val="Standard1"/>
              <w:keepNext/>
              <w:keepLines/>
              <w:ind w:left="97"/>
              <w:rPr>
                <w:szCs w:val="22"/>
              </w:rPr>
            </w:pPr>
            <w:r>
              <w:t>Anafilakse (letāla)</w:t>
            </w:r>
            <w:r>
              <w:rPr>
                <w:szCs w:val="22"/>
                <w:vertAlign w:val="superscript"/>
              </w:rPr>
              <w:t>1,2,3</w:t>
            </w:r>
          </w:p>
        </w:tc>
        <w:tc>
          <w:tcPr>
            <w:tcW w:w="1688" w:type="dxa"/>
            <w:tcBorders>
              <w:top w:val="single" w:sz="4" w:space="0" w:color="auto"/>
              <w:left w:val="single" w:sz="4" w:space="0" w:color="auto"/>
              <w:bottom w:val="single" w:sz="4" w:space="0" w:color="auto"/>
              <w:right w:val="single" w:sz="4" w:space="0" w:color="auto"/>
            </w:tcBorders>
          </w:tcPr>
          <w:p w14:paraId="100ABC53" w14:textId="77777777" w:rsidR="00A453C3" w:rsidRDefault="00A453C3" w:rsidP="0067693D">
            <w:pPr>
              <w:pStyle w:val="Standard1"/>
              <w:keepNext/>
              <w:keepLines/>
              <w:ind w:left="97"/>
            </w:pPr>
          </w:p>
        </w:tc>
      </w:tr>
      <w:tr w:rsidR="00A453C3" w14:paraId="339E33F8" w14:textId="77777777" w:rsidTr="00707120">
        <w:trPr>
          <w:gridAfter w:val="1"/>
          <w:wAfter w:w="14" w:type="dxa"/>
        </w:trPr>
        <w:tc>
          <w:tcPr>
            <w:tcW w:w="1607" w:type="dxa"/>
            <w:tcBorders>
              <w:top w:val="single" w:sz="4" w:space="0" w:color="000000"/>
              <w:left w:val="single" w:sz="4" w:space="0" w:color="000000"/>
              <w:bottom w:val="single" w:sz="4" w:space="0" w:color="000000"/>
            </w:tcBorders>
          </w:tcPr>
          <w:p w14:paraId="78561DC9" w14:textId="77777777" w:rsidR="00A453C3" w:rsidRDefault="00A453C3" w:rsidP="0067693D">
            <w:pPr>
              <w:keepNext/>
              <w:keepLines/>
              <w:rPr>
                <w:rFonts w:eastAsia="PMingLiU"/>
                <w:sz w:val="24"/>
                <w:szCs w:val="22"/>
                <w:lang w:val="lv-LV"/>
              </w:rPr>
            </w:pPr>
            <w:r>
              <w:rPr>
                <w:szCs w:val="22"/>
                <w:lang w:val="lv-LV"/>
              </w:rPr>
              <w:t>Endokrīnās sistēmas traucējumi</w:t>
            </w:r>
          </w:p>
        </w:tc>
        <w:tc>
          <w:tcPr>
            <w:tcW w:w="1322" w:type="dxa"/>
            <w:tcBorders>
              <w:top w:val="single" w:sz="4" w:space="0" w:color="000000"/>
              <w:left w:val="single" w:sz="4" w:space="0" w:color="000000"/>
              <w:bottom w:val="single" w:sz="4" w:space="0" w:color="000000"/>
            </w:tcBorders>
          </w:tcPr>
          <w:p w14:paraId="1AC1A30E" w14:textId="77777777" w:rsidR="00A453C3" w:rsidRDefault="00A453C3" w:rsidP="0067693D">
            <w:pPr>
              <w:keepNext/>
              <w:keepLines/>
              <w:autoSpaceDE w:val="0"/>
              <w:snapToGrid w:val="0"/>
              <w:rPr>
                <w:rFonts w:eastAsia="PMingLiU"/>
                <w:szCs w:val="22"/>
                <w:lang w:val="lv-LV"/>
              </w:rPr>
            </w:pPr>
          </w:p>
        </w:tc>
        <w:tc>
          <w:tcPr>
            <w:tcW w:w="1495" w:type="dxa"/>
            <w:tcBorders>
              <w:top w:val="single" w:sz="4" w:space="0" w:color="000000"/>
              <w:left w:val="single" w:sz="4" w:space="0" w:color="000000"/>
              <w:bottom w:val="single" w:sz="4" w:space="0" w:color="000000"/>
            </w:tcBorders>
          </w:tcPr>
          <w:p w14:paraId="11990D75" w14:textId="77777777" w:rsidR="00A453C3" w:rsidRDefault="00A453C3" w:rsidP="0067693D">
            <w:pPr>
              <w:keepNext/>
              <w:keepLines/>
              <w:snapToGrid w:val="0"/>
              <w:rPr>
                <w:szCs w:val="22"/>
                <w:lang w:val="lv-LV"/>
              </w:rPr>
            </w:pPr>
          </w:p>
        </w:tc>
        <w:tc>
          <w:tcPr>
            <w:tcW w:w="1538" w:type="dxa"/>
            <w:tcBorders>
              <w:top w:val="single" w:sz="4" w:space="0" w:color="000000"/>
              <w:left w:val="single" w:sz="4" w:space="0" w:color="000000"/>
              <w:bottom w:val="single" w:sz="4" w:space="0" w:color="000000"/>
              <w:right w:val="single" w:sz="4" w:space="0" w:color="000000"/>
            </w:tcBorders>
          </w:tcPr>
          <w:p w14:paraId="37A5EBEA" w14:textId="77777777" w:rsidR="00A453C3" w:rsidRDefault="00A453C3" w:rsidP="0067693D">
            <w:pPr>
              <w:keepNext/>
              <w:keepLines/>
              <w:rPr>
                <w:sz w:val="18"/>
                <w:szCs w:val="18"/>
                <w:lang w:val="lv-LV"/>
              </w:rPr>
            </w:pPr>
            <w:r>
              <w:rPr>
                <w:lang w:val="en-GB"/>
              </w:rPr>
              <w:t>Hipotireoze</w:t>
            </w:r>
          </w:p>
        </w:tc>
        <w:tc>
          <w:tcPr>
            <w:tcW w:w="1451" w:type="dxa"/>
            <w:tcBorders>
              <w:top w:val="single" w:sz="4" w:space="0" w:color="000000"/>
              <w:left w:val="single" w:sz="4" w:space="0" w:color="000000"/>
              <w:bottom w:val="single" w:sz="4" w:space="0" w:color="000000"/>
              <w:right w:val="single" w:sz="4" w:space="0" w:color="000000"/>
            </w:tcBorders>
          </w:tcPr>
          <w:p w14:paraId="73584280" w14:textId="77777777" w:rsidR="00A453C3" w:rsidRDefault="00A453C3" w:rsidP="0067693D">
            <w:pPr>
              <w:keepNext/>
              <w:keepLines/>
              <w:rPr>
                <w:lang w:val="en-GB"/>
              </w:rPr>
            </w:pPr>
          </w:p>
        </w:tc>
        <w:tc>
          <w:tcPr>
            <w:tcW w:w="1688" w:type="dxa"/>
            <w:tcBorders>
              <w:top w:val="single" w:sz="4" w:space="0" w:color="000000"/>
              <w:left w:val="single" w:sz="4" w:space="0" w:color="000000"/>
              <w:bottom w:val="single" w:sz="4" w:space="0" w:color="000000"/>
              <w:right w:val="single" w:sz="4" w:space="0" w:color="000000"/>
            </w:tcBorders>
          </w:tcPr>
          <w:p w14:paraId="1BFC282E" w14:textId="77777777" w:rsidR="00A453C3" w:rsidRDefault="00A453C3" w:rsidP="0067693D">
            <w:pPr>
              <w:keepNext/>
              <w:keepLines/>
              <w:rPr>
                <w:lang w:val="en-GB"/>
              </w:rPr>
            </w:pPr>
          </w:p>
        </w:tc>
      </w:tr>
      <w:tr w:rsidR="00A453C3" w:rsidRPr="0018021A" w14:paraId="1201F50C" w14:textId="77777777" w:rsidTr="00707120">
        <w:tblPrEx>
          <w:tblCellMar>
            <w:left w:w="0" w:type="dxa"/>
            <w:right w:w="0" w:type="dxa"/>
          </w:tblCellMar>
          <w:tblLook w:val="04A0" w:firstRow="1" w:lastRow="0" w:firstColumn="1" w:lastColumn="0" w:noHBand="0" w:noVBand="1"/>
        </w:tblPrEx>
        <w:trPr>
          <w:gridAfter w:val="1"/>
          <w:wAfter w:w="14" w:type="dxa"/>
        </w:trPr>
        <w:tc>
          <w:tcPr>
            <w:tcW w:w="160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73C80F7" w14:textId="77777777" w:rsidR="00A453C3" w:rsidRPr="0018021A" w:rsidRDefault="00A453C3" w:rsidP="0067693D">
            <w:pPr>
              <w:pStyle w:val="Standard1"/>
              <w:keepNext/>
              <w:keepLines/>
              <w:rPr>
                <w:color w:val="1A1A1A"/>
                <w:szCs w:val="22"/>
              </w:rPr>
            </w:pPr>
            <w:r>
              <w:rPr>
                <w:color w:val="1A1A1A"/>
                <w:szCs w:val="22"/>
              </w:rPr>
              <w:t>Vielmaiņas un uztures traucējumi</w:t>
            </w:r>
          </w:p>
        </w:tc>
        <w:tc>
          <w:tcPr>
            <w:tcW w:w="1322" w:type="dxa"/>
            <w:tcBorders>
              <w:top w:val="nil"/>
              <w:left w:val="nil"/>
              <w:bottom w:val="single" w:sz="8" w:space="0" w:color="000000"/>
              <w:right w:val="single" w:sz="8" w:space="0" w:color="000000"/>
            </w:tcBorders>
            <w:tcMar>
              <w:top w:w="0" w:type="dxa"/>
              <w:left w:w="108" w:type="dxa"/>
              <w:bottom w:w="0" w:type="dxa"/>
              <w:right w:w="108" w:type="dxa"/>
            </w:tcMar>
          </w:tcPr>
          <w:p w14:paraId="472C75B2" w14:textId="7ABDB3D5" w:rsidR="00A453C3" w:rsidRPr="0018021A" w:rsidRDefault="00A453C3" w:rsidP="0067693D">
            <w:pPr>
              <w:pStyle w:val="Standard1"/>
              <w:keepNext/>
              <w:keepLines/>
              <w:rPr>
                <w:color w:val="1A1A1A"/>
                <w:szCs w:val="22"/>
              </w:rPr>
            </w:pPr>
            <w:r>
              <w:rPr>
                <w:color w:val="1A1A1A"/>
                <w:szCs w:val="22"/>
              </w:rPr>
              <w:t>Hiperholes-terinēmija*</w:t>
            </w:r>
          </w:p>
        </w:tc>
        <w:tc>
          <w:tcPr>
            <w:tcW w:w="1495" w:type="dxa"/>
            <w:tcBorders>
              <w:top w:val="nil"/>
              <w:left w:val="nil"/>
              <w:bottom w:val="single" w:sz="8" w:space="0" w:color="000000"/>
              <w:right w:val="single" w:sz="4" w:space="0" w:color="auto"/>
            </w:tcBorders>
            <w:tcMar>
              <w:top w:w="0" w:type="dxa"/>
              <w:left w:w="108" w:type="dxa"/>
              <w:bottom w:w="0" w:type="dxa"/>
              <w:right w:w="108" w:type="dxa"/>
            </w:tcMar>
          </w:tcPr>
          <w:p w14:paraId="0FAC1212" w14:textId="77777777" w:rsidR="00A453C3" w:rsidRPr="0018021A" w:rsidRDefault="00A453C3" w:rsidP="0067693D">
            <w:pPr>
              <w:pStyle w:val="Standard1"/>
              <w:keepNext/>
              <w:keepLines/>
              <w:rPr>
                <w:color w:val="1A1A1A"/>
                <w:szCs w:val="22"/>
              </w:rPr>
            </w:pPr>
            <w:r>
              <w:rPr>
                <w:color w:val="1A1A1A"/>
                <w:szCs w:val="22"/>
              </w:rPr>
              <w:t> </w:t>
            </w:r>
          </w:p>
        </w:tc>
        <w:tc>
          <w:tcPr>
            <w:tcW w:w="15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3DFF4D" w14:textId="77777777" w:rsidR="00A453C3" w:rsidRPr="0018021A" w:rsidRDefault="00A453C3" w:rsidP="0067693D">
            <w:pPr>
              <w:pStyle w:val="Standard1"/>
              <w:keepNext/>
              <w:keepLines/>
              <w:rPr>
                <w:color w:val="1A1A1A"/>
                <w:szCs w:val="22"/>
              </w:rPr>
            </w:pPr>
            <w:r>
              <w:rPr>
                <w:color w:val="1A1A1A"/>
                <w:szCs w:val="22"/>
              </w:rPr>
              <w:t>Hipertriglice-ridēmija</w:t>
            </w:r>
          </w:p>
        </w:tc>
        <w:tc>
          <w:tcPr>
            <w:tcW w:w="1451" w:type="dxa"/>
            <w:tcBorders>
              <w:top w:val="single" w:sz="4" w:space="0" w:color="auto"/>
              <w:left w:val="single" w:sz="4" w:space="0" w:color="auto"/>
              <w:bottom w:val="single" w:sz="4" w:space="0" w:color="auto"/>
              <w:right w:val="single" w:sz="4" w:space="0" w:color="auto"/>
            </w:tcBorders>
          </w:tcPr>
          <w:p w14:paraId="007800BF" w14:textId="77777777" w:rsidR="00A453C3" w:rsidRPr="0018021A" w:rsidRDefault="00A453C3" w:rsidP="0067693D">
            <w:pPr>
              <w:pStyle w:val="Standard1"/>
              <w:keepNext/>
              <w:keepLines/>
              <w:ind w:left="97"/>
              <w:rPr>
                <w:szCs w:val="22"/>
                <w:lang w:val="en-GB" w:eastAsia="en-GB"/>
              </w:rPr>
            </w:pPr>
          </w:p>
        </w:tc>
        <w:tc>
          <w:tcPr>
            <w:tcW w:w="1688" w:type="dxa"/>
            <w:tcBorders>
              <w:top w:val="single" w:sz="4" w:space="0" w:color="auto"/>
              <w:left w:val="single" w:sz="4" w:space="0" w:color="auto"/>
              <w:bottom w:val="single" w:sz="4" w:space="0" w:color="auto"/>
              <w:right w:val="single" w:sz="4" w:space="0" w:color="auto"/>
            </w:tcBorders>
          </w:tcPr>
          <w:p w14:paraId="16C155B6" w14:textId="77777777" w:rsidR="00A453C3" w:rsidRPr="0018021A" w:rsidRDefault="00A453C3" w:rsidP="0067693D">
            <w:pPr>
              <w:pStyle w:val="Standard1"/>
              <w:keepNext/>
              <w:keepLines/>
              <w:ind w:left="97"/>
              <w:rPr>
                <w:szCs w:val="22"/>
                <w:lang w:val="en-GB" w:eastAsia="en-GB"/>
              </w:rPr>
            </w:pPr>
          </w:p>
        </w:tc>
      </w:tr>
      <w:tr w:rsidR="00A453C3" w:rsidRPr="0018021A" w14:paraId="5EB76953" w14:textId="77777777" w:rsidTr="00707120">
        <w:tblPrEx>
          <w:tblCellMar>
            <w:left w:w="0" w:type="dxa"/>
            <w:right w:w="0" w:type="dxa"/>
          </w:tblCellMar>
          <w:tblLook w:val="04A0" w:firstRow="1" w:lastRow="0" w:firstColumn="1" w:lastColumn="0" w:noHBand="0" w:noVBand="1"/>
        </w:tblPrEx>
        <w:trPr>
          <w:gridAfter w:val="1"/>
          <w:wAfter w:w="14" w:type="dxa"/>
        </w:trPr>
        <w:tc>
          <w:tcPr>
            <w:tcW w:w="160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02288BD" w14:textId="77777777" w:rsidR="00A453C3" w:rsidRPr="0018021A" w:rsidRDefault="00A453C3" w:rsidP="0067693D">
            <w:pPr>
              <w:pStyle w:val="Standard1"/>
              <w:keepNext/>
              <w:keepLines/>
              <w:rPr>
                <w:color w:val="1A1A1A"/>
                <w:szCs w:val="22"/>
              </w:rPr>
            </w:pPr>
            <w:r>
              <w:rPr>
                <w:color w:val="1A1A1A"/>
                <w:szCs w:val="22"/>
              </w:rPr>
              <w:t>Nervu sistēmas traucējumi</w:t>
            </w:r>
          </w:p>
        </w:tc>
        <w:tc>
          <w:tcPr>
            <w:tcW w:w="1322" w:type="dxa"/>
            <w:tcBorders>
              <w:top w:val="nil"/>
              <w:left w:val="nil"/>
              <w:bottom w:val="single" w:sz="8" w:space="0" w:color="000000"/>
              <w:right w:val="single" w:sz="8" w:space="0" w:color="000000"/>
            </w:tcBorders>
            <w:tcMar>
              <w:top w:w="0" w:type="dxa"/>
              <w:left w:w="108" w:type="dxa"/>
              <w:bottom w:w="0" w:type="dxa"/>
              <w:right w:w="108" w:type="dxa"/>
            </w:tcMar>
          </w:tcPr>
          <w:p w14:paraId="77E4A5C4" w14:textId="77777777" w:rsidR="00A453C3" w:rsidRPr="0018021A" w:rsidRDefault="00A453C3" w:rsidP="0067693D">
            <w:pPr>
              <w:pStyle w:val="Standard1"/>
              <w:keepNext/>
              <w:keepLines/>
              <w:rPr>
                <w:color w:val="1A1A1A"/>
                <w:szCs w:val="22"/>
              </w:rPr>
            </w:pPr>
            <w:r>
              <w:rPr>
                <w:color w:val="1A1A1A"/>
                <w:szCs w:val="22"/>
              </w:rPr>
              <w:t> </w:t>
            </w:r>
          </w:p>
        </w:tc>
        <w:tc>
          <w:tcPr>
            <w:tcW w:w="1495" w:type="dxa"/>
            <w:tcBorders>
              <w:top w:val="nil"/>
              <w:left w:val="nil"/>
              <w:bottom w:val="single" w:sz="8" w:space="0" w:color="000000"/>
              <w:right w:val="single" w:sz="4" w:space="0" w:color="auto"/>
            </w:tcBorders>
            <w:tcMar>
              <w:top w:w="0" w:type="dxa"/>
              <w:left w:w="108" w:type="dxa"/>
              <w:bottom w:w="0" w:type="dxa"/>
              <w:right w:w="108" w:type="dxa"/>
            </w:tcMar>
          </w:tcPr>
          <w:p w14:paraId="19B85667" w14:textId="77777777" w:rsidR="00A453C3" w:rsidRPr="0018021A" w:rsidRDefault="00A453C3" w:rsidP="0067693D">
            <w:pPr>
              <w:pStyle w:val="Standard1"/>
              <w:keepNext/>
              <w:keepLines/>
              <w:rPr>
                <w:color w:val="1A1A1A"/>
                <w:szCs w:val="22"/>
              </w:rPr>
            </w:pPr>
            <w:r>
              <w:rPr>
                <w:color w:val="1A1A1A"/>
                <w:szCs w:val="22"/>
              </w:rPr>
              <w:t>Galvassāpes, reibonis</w:t>
            </w:r>
          </w:p>
        </w:tc>
        <w:tc>
          <w:tcPr>
            <w:tcW w:w="15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D76D2E" w14:textId="77777777" w:rsidR="00A453C3" w:rsidRPr="0018021A" w:rsidRDefault="00A453C3" w:rsidP="0067693D">
            <w:pPr>
              <w:pStyle w:val="Standard1"/>
              <w:keepNext/>
              <w:keepLines/>
              <w:rPr>
                <w:color w:val="1A1A1A"/>
                <w:szCs w:val="22"/>
              </w:rPr>
            </w:pPr>
            <w:r>
              <w:rPr>
                <w:color w:val="1A1A1A"/>
                <w:szCs w:val="22"/>
              </w:rPr>
              <w:t> </w:t>
            </w:r>
          </w:p>
        </w:tc>
        <w:tc>
          <w:tcPr>
            <w:tcW w:w="1451" w:type="dxa"/>
            <w:tcBorders>
              <w:top w:val="single" w:sz="4" w:space="0" w:color="auto"/>
              <w:left w:val="single" w:sz="4" w:space="0" w:color="auto"/>
              <w:bottom w:val="single" w:sz="4" w:space="0" w:color="auto"/>
              <w:right w:val="single" w:sz="4" w:space="0" w:color="auto"/>
            </w:tcBorders>
          </w:tcPr>
          <w:p w14:paraId="16846DA8" w14:textId="77777777" w:rsidR="00A453C3" w:rsidRPr="0018021A" w:rsidRDefault="00A453C3" w:rsidP="0067693D">
            <w:pPr>
              <w:pStyle w:val="Standard1"/>
              <w:keepNext/>
              <w:keepLines/>
              <w:ind w:left="97"/>
              <w:rPr>
                <w:szCs w:val="22"/>
                <w:lang w:val="en-GB" w:eastAsia="en-GB"/>
              </w:rPr>
            </w:pPr>
          </w:p>
        </w:tc>
        <w:tc>
          <w:tcPr>
            <w:tcW w:w="1688" w:type="dxa"/>
            <w:tcBorders>
              <w:top w:val="single" w:sz="4" w:space="0" w:color="auto"/>
              <w:left w:val="single" w:sz="4" w:space="0" w:color="auto"/>
              <w:bottom w:val="single" w:sz="4" w:space="0" w:color="auto"/>
              <w:right w:val="single" w:sz="4" w:space="0" w:color="auto"/>
            </w:tcBorders>
          </w:tcPr>
          <w:p w14:paraId="716F87BE" w14:textId="77777777" w:rsidR="00A453C3" w:rsidRPr="0018021A" w:rsidRDefault="00A453C3" w:rsidP="0067693D">
            <w:pPr>
              <w:pStyle w:val="Standard1"/>
              <w:keepNext/>
              <w:keepLines/>
              <w:ind w:left="97"/>
              <w:rPr>
                <w:szCs w:val="22"/>
                <w:lang w:val="en-GB" w:eastAsia="en-GB"/>
              </w:rPr>
            </w:pPr>
          </w:p>
        </w:tc>
      </w:tr>
      <w:tr w:rsidR="00A453C3" w14:paraId="64D06CC5" w14:textId="77777777" w:rsidTr="00707120">
        <w:trPr>
          <w:gridAfter w:val="1"/>
          <w:wAfter w:w="14" w:type="dxa"/>
        </w:trPr>
        <w:tc>
          <w:tcPr>
            <w:tcW w:w="1607" w:type="dxa"/>
            <w:tcBorders>
              <w:top w:val="single" w:sz="4" w:space="0" w:color="000000"/>
              <w:left w:val="single" w:sz="4" w:space="0" w:color="000000"/>
              <w:bottom w:val="single" w:sz="4" w:space="0" w:color="000000"/>
            </w:tcBorders>
          </w:tcPr>
          <w:p w14:paraId="3D50852C" w14:textId="77777777" w:rsidR="00A453C3" w:rsidRDefault="00A453C3" w:rsidP="0067693D">
            <w:pPr>
              <w:keepNext/>
              <w:keepLines/>
              <w:rPr>
                <w:rFonts w:eastAsia="PMingLiU"/>
                <w:sz w:val="24"/>
                <w:szCs w:val="22"/>
                <w:lang w:val="lv-LV"/>
              </w:rPr>
            </w:pPr>
            <w:r>
              <w:rPr>
                <w:szCs w:val="22"/>
                <w:lang w:val="lv-LV"/>
              </w:rPr>
              <w:t>Acu bojājumi</w:t>
            </w:r>
          </w:p>
        </w:tc>
        <w:tc>
          <w:tcPr>
            <w:tcW w:w="1322" w:type="dxa"/>
            <w:tcBorders>
              <w:top w:val="single" w:sz="4" w:space="0" w:color="000000"/>
              <w:left w:val="single" w:sz="4" w:space="0" w:color="000000"/>
              <w:bottom w:val="single" w:sz="4" w:space="0" w:color="000000"/>
            </w:tcBorders>
          </w:tcPr>
          <w:p w14:paraId="5511B1AA" w14:textId="77777777" w:rsidR="00A453C3" w:rsidRDefault="00A453C3" w:rsidP="0067693D">
            <w:pPr>
              <w:keepNext/>
              <w:keepLines/>
              <w:autoSpaceDE w:val="0"/>
              <w:snapToGrid w:val="0"/>
              <w:rPr>
                <w:rFonts w:eastAsia="PMingLiU"/>
                <w:szCs w:val="22"/>
                <w:lang w:val="lv-LV"/>
              </w:rPr>
            </w:pPr>
          </w:p>
        </w:tc>
        <w:tc>
          <w:tcPr>
            <w:tcW w:w="1495" w:type="dxa"/>
            <w:tcBorders>
              <w:top w:val="single" w:sz="4" w:space="0" w:color="000000"/>
              <w:left w:val="single" w:sz="4" w:space="0" w:color="000000"/>
              <w:bottom w:val="single" w:sz="4" w:space="0" w:color="000000"/>
            </w:tcBorders>
          </w:tcPr>
          <w:p w14:paraId="22D9A7F1" w14:textId="77777777" w:rsidR="00A453C3" w:rsidRDefault="00A453C3" w:rsidP="0067693D">
            <w:pPr>
              <w:keepNext/>
              <w:keepLines/>
              <w:rPr>
                <w:szCs w:val="22"/>
                <w:lang w:val="lv-LV"/>
              </w:rPr>
            </w:pPr>
            <w:r>
              <w:rPr>
                <w:szCs w:val="22"/>
                <w:lang w:val="lv-LV"/>
              </w:rPr>
              <w:t>Konjunktivīts</w:t>
            </w:r>
          </w:p>
        </w:tc>
        <w:tc>
          <w:tcPr>
            <w:tcW w:w="1538" w:type="dxa"/>
            <w:tcBorders>
              <w:top w:val="single" w:sz="4" w:space="0" w:color="000000"/>
              <w:left w:val="single" w:sz="4" w:space="0" w:color="000000"/>
              <w:bottom w:val="single" w:sz="4" w:space="0" w:color="000000"/>
              <w:right w:val="single" w:sz="4" w:space="0" w:color="000000"/>
            </w:tcBorders>
          </w:tcPr>
          <w:p w14:paraId="130C9295" w14:textId="77777777" w:rsidR="00A453C3" w:rsidRDefault="00A453C3" w:rsidP="0067693D">
            <w:pPr>
              <w:keepNext/>
              <w:keepLines/>
              <w:snapToGrid w:val="0"/>
              <w:rPr>
                <w:szCs w:val="22"/>
                <w:lang w:val="lv-LV"/>
              </w:rPr>
            </w:pPr>
          </w:p>
        </w:tc>
        <w:tc>
          <w:tcPr>
            <w:tcW w:w="1451" w:type="dxa"/>
            <w:tcBorders>
              <w:top w:val="single" w:sz="4" w:space="0" w:color="000000"/>
              <w:left w:val="single" w:sz="4" w:space="0" w:color="000000"/>
              <w:bottom w:val="single" w:sz="4" w:space="0" w:color="000000"/>
              <w:right w:val="single" w:sz="4" w:space="0" w:color="000000"/>
            </w:tcBorders>
          </w:tcPr>
          <w:p w14:paraId="64602349" w14:textId="77777777" w:rsidR="00A453C3" w:rsidRDefault="00A453C3" w:rsidP="0067693D">
            <w:pPr>
              <w:keepNext/>
              <w:keepLines/>
              <w:snapToGrid w:val="0"/>
              <w:rPr>
                <w:szCs w:val="22"/>
                <w:lang w:val="lv-LV"/>
              </w:rPr>
            </w:pPr>
          </w:p>
        </w:tc>
        <w:tc>
          <w:tcPr>
            <w:tcW w:w="1688" w:type="dxa"/>
            <w:tcBorders>
              <w:top w:val="single" w:sz="4" w:space="0" w:color="000000"/>
              <w:left w:val="single" w:sz="4" w:space="0" w:color="000000"/>
              <w:bottom w:val="single" w:sz="4" w:space="0" w:color="000000"/>
              <w:right w:val="single" w:sz="4" w:space="0" w:color="000000"/>
            </w:tcBorders>
          </w:tcPr>
          <w:p w14:paraId="57369A75" w14:textId="77777777" w:rsidR="00A453C3" w:rsidRDefault="00A453C3" w:rsidP="0067693D">
            <w:pPr>
              <w:keepNext/>
              <w:keepLines/>
              <w:snapToGrid w:val="0"/>
              <w:rPr>
                <w:szCs w:val="22"/>
                <w:lang w:val="lv-LV"/>
              </w:rPr>
            </w:pPr>
          </w:p>
        </w:tc>
      </w:tr>
      <w:tr w:rsidR="00A453C3" w:rsidRPr="0018021A" w14:paraId="4304758E" w14:textId="77777777" w:rsidTr="00707120">
        <w:tblPrEx>
          <w:tblCellMar>
            <w:left w:w="0" w:type="dxa"/>
            <w:right w:w="0" w:type="dxa"/>
          </w:tblCellMar>
          <w:tblLook w:val="04A0" w:firstRow="1" w:lastRow="0" w:firstColumn="1" w:lastColumn="0" w:noHBand="0" w:noVBand="1"/>
        </w:tblPrEx>
        <w:trPr>
          <w:gridAfter w:val="1"/>
          <w:wAfter w:w="14" w:type="dxa"/>
        </w:trPr>
        <w:tc>
          <w:tcPr>
            <w:tcW w:w="160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AE99B7B" w14:textId="77777777" w:rsidR="00A453C3" w:rsidRPr="0018021A" w:rsidRDefault="00A453C3" w:rsidP="0067693D">
            <w:pPr>
              <w:pStyle w:val="Standard1"/>
              <w:keepNext/>
              <w:keepLines/>
              <w:rPr>
                <w:color w:val="1A1A1A"/>
                <w:szCs w:val="22"/>
              </w:rPr>
            </w:pPr>
            <w:r>
              <w:rPr>
                <w:color w:val="1A1A1A"/>
                <w:szCs w:val="22"/>
              </w:rPr>
              <w:t>Asinsvadu sistēmas traucējumi</w:t>
            </w:r>
          </w:p>
        </w:tc>
        <w:tc>
          <w:tcPr>
            <w:tcW w:w="1322" w:type="dxa"/>
            <w:tcBorders>
              <w:top w:val="nil"/>
              <w:left w:val="nil"/>
              <w:bottom w:val="single" w:sz="8" w:space="0" w:color="000000"/>
              <w:right w:val="single" w:sz="8" w:space="0" w:color="000000"/>
            </w:tcBorders>
            <w:tcMar>
              <w:top w:w="0" w:type="dxa"/>
              <w:left w:w="108" w:type="dxa"/>
              <w:bottom w:w="0" w:type="dxa"/>
              <w:right w:w="108" w:type="dxa"/>
            </w:tcMar>
          </w:tcPr>
          <w:p w14:paraId="5EFE9652" w14:textId="77777777" w:rsidR="00A453C3" w:rsidRPr="0018021A" w:rsidRDefault="00A453C3" w:rsidP="0067693D">
            <w:pPr>
              <w:pStyle w:val="Standard1"/>
              <w:keepNext/>
              <w:keepLines/>
              <w:rPr>
                <w:color w:val="1A1A1A"/>
                <w:szCs w:val="22"/>
              </w:rPr>
            </w:pPr>
            <w:r>
              <w:rPr>
                <w:color w:val="1A1A1A"/>
                <w:szCs w:val="22"/>
              </w:rPr>
              <w:t> </w:t>
            </w:r>
          </w:p>
        </w:tc>
        <w:tc>
          <w:tcPr>
            <w:tcW w:w="1495" w:type="dxa"/>
            <w:tcBorders>
              <w:top w:val="nil"/>
              <w:left w:val="nil"/>
              <w:bottom w:val="single" w:sz="8" w:space="0" w:color="000000"/>
              <w:right w:val="single" w:sz="4" w:space="0" w:color="auto"/>
            </w:tcBorders>
            <w:tcMar>
              <w:top w:w="0" w:type="dxa"/>
              <w:left w:w="108" w:type="dxa"/>
              <w:bottom w:w="0" w:type="dxa"/>
              <w:right w:w="108" w:type="dxa"/>
            </w:tcMar>
          </w:tcPr>
          <w:p w14:paraId="67D9C36B" w14:textId="77777777" w:rsidR="00A453C3" w:rsidRPr="0018021A" w:rsidRDefault="00A453C3" w:rsidP="0067693D">
            <w:pPr>
              <w:pStyle w:val="Standard1"/>
              <w:keepNext/>
              <w:keepLines/>
              <w:rPr>
                <w:color w:val="1A1A1A"/>
                <w:szCs w:val="22"/>
              </w:rPr>
            </w:pPr>
            <w:r>
              <w:rPr>
                <w:color w:val="1A1A1A"/>
                <w:szCs w:val="22"/>
              </w:rPr>
              <w:t>Hipertensija</w:t>
            </w:r>
          </w:p>
        </w:tc>
        <w:tc>
          <w:tcPr>
            <w:tcW w:w="15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2AD4D6" w14:textId="77777777" w:rsidR="00A453C3" w:rsidRPr="0018021A" w:rsidRDefault="00A453C3" w:rsidP="0067693D">
            <w:pPr>
              <w:pStyle w:val="Standard1"/>
              <w:keepNext/>
              <w:keepLines/>
              <w:rPr>
                <w:color w:val="1A1A1A"/>
                <w:szCs w:val="22"/>
              </w:rPr>
            </w:pPr>
            <w:r>
              <w:rPr>
                <w:color w:val="1A1A1A"/>
                <w:szCs w:val="22"/>
              </w:rPr>
              <w:t> </w:t>
            </w:r>
          </w:p>
        </w:tc>
        <w:tc>
          <w:tcPr>
            <w:tcW w:w="1451" w:type="dxa"/>
            <w:tcBorders>
              <w:top w:val="single" w:sz="4" w:space="0" w:color="auto"/>
              <w:left w:val="single" w:sz="4" w:space="0" w:color="auto"/>
              <w:bottom w:val="single" w:sz="4" w:space="0" w:color="auto"/>
              <w:right w:val="single" w:sz="4" w:space="0" w:color="auto"/>
            </w:tcBorders>
          </w:tcPr>
          <w:p w14:paraId="0E33DDFA" w14:textId="77777777" w:rsidR="00A453C3" w:rsidRPr="0018021A" w:rsidRDefault="00A453C3" w:rsidP="0067693D">
            <w:pPr>
              <w:pStyle w:val="Standard1"/>
              <w:keepNext/>
              <w:keepLines/>
              <w:ind w:left="97"/>
              <w:rPr>
                <w:szCs w:val="22"/>
                <w:lang w:val="en-GB" w:eastAsia="en-GB"/>
              </w:rPr>
            </w:pPr>
          </w:p>
        </w:tc>
        <w:tc>
          <w:tcPr>
            <w:tcW w:w="1688" w:type="dxa"/>
            <w:tcBorders>
              <w:top w:val="single" w:sz="4" w:space="0" w:color="auto"/>
              <w:left w:val="single" w:sz="4" w:space="0" w:color="auto"/>
              <w:bottom w:val="single" w:sz="4" w:space="0" w:color="auto"/>
              <w:right w:val="single" w:sz="4" w:space="0" w:color="auto"/>
            </w:tcBorders>
          </w:tcPr>
          <w:p w14:paraId="76D77730" w14:textId="77777777" w:rsidR="00A453C3" w:rsidRPr="0018021A" w:rsidRDefault="00A453C3" w:rsidP="0067693D">
            <w:pPr>
              <w:pStyle w:val="Standard1"/>
              <w:keepNext/>
              <w:keepLines/>
              <w:ind w:left="97"/>
              <w:rPr>
                <w:szCs w:val="22"/>
                <w:lang w:val="en-GB" w:eastAsia="en-GB"/>
              </w:rPr>
            </w:pPr>
          </w:p>
        </w:tc>
      </w:tr>
      <w:tr w:rsidR="00A453C3" w:rsidRPr="0018021A" w14:paraId="2746A07C" w14:textId="77777777" w:rsidTr="00707120">
        <w:tblPrEx>
          <w:tblCellMar>
            <w:left w:w="0" w:type="dxa"/>
            <w:right w:w="0" w:type="dxa"/>
          </w:tblCellMar>
          <w:tblLook w:val="04A0" w:firstRow="1" w:lastRow="0" w:firstColumn="1" w:lastColumn="0" w:noHBand="0" w:noVBand="1"/>
        </w:tblPrEx>
        <w:trPr>
          <w:gridAfter w:val="1"/>
          <w:wAfter w:w="14" w:type="dxa"/>
        </w:trPr>
        <w:tc>
          <w:tcPr>
            <w:tcW w:w="160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D1EB203" w14:textId="77777777" w:rsidR="00A453C3" w:rsidRPr="0018021A" w:rsidRDefault="00A453C3" w:rsidP="0067693D">
            <w:pPr>
              <w:pStyle w:val="Standard1"/>
              <w:keepNext/>
              <w:keepLines/>
              <w:rPr>
                <w:color w:val="1A1A1A"/>
                <w:szCs w:val="22"/>
              </w:rPr>
            </w:pPr>
            <w:r>
              <w:rPr>
                <w:color w:val="1A1A1A"/>
                <w:szCs w:val="22"/>
              </w:rPr>
              <w:t>Elpošanas sistēmas traucējumi, krūšu kurvja un videnes slimības</w:t>
            </w:r>
          </w:p>
        </w:tc>
        <w:tc>
          <w:tcPr>
            <w:tcW w:w="1322" w:type="dxa"/>
            <w:tcBorders>
              <w:top w:val="nil"/>
              <w:left w:val="nil"/>
              <w:bottom w:val="single" w:sz="8" w:space="0" w:color="000000"/>
              <w:right w:val="single" w:sz="8" w:space="0" w:color="000000"/>
            </w:tcBorders>
            <w:tcMar>
              <w:top w:w="0" w:type="dxa"/>
              <w:left w:w="108" w:type="dxa"/>
              <w:bottom w:w="0" w:type="dxa"/>
              <w:right w:w="108" w:type="dxa"/>
            </w:tcMar>
          </w:tcPr>
          <w:p w14:paraId="3D9FE65F" w14:textId="77777777" w:rsidR="00A453C3" w:rsidRPr="0018021A" w:rsidRDefault="00A453C3" w:rsidP="0067693D">
            <w:pPr>
              <w:pStyle w:val="Standard1"/>
              <w:keepNext/>
              <w:keepLines/>
              <w:rPr>
                <w:color w:val="1A1A1A"/>
                <w:szCs w:val="22"/>
              </w:rPr>
            </w:pPr>
            <w:r>
              <w:rPr>
                <w:color w:val="1A1A1A"/>
                <w:szCs w:val="22"/>
              </w:rPr>
              <w:t> </w:t>
            </w:r>
          </w:p>
        </w:tc>
        <w:tc>
          <w:tcPr>
            <w:tcW w:w="1495" w:type="dxa"/>
            <w:tcBorders>
              <w:top w:val="nil"/>
              <w:left w:val="nil"/>
              <w:bottom w:val="single" w:sz="8" w:space="0" w:color="000000"/>
              <w:right w:val="single" w:sz="4" w:space="0" w:color="auto"/>
            </w:tcBorders>
            <w:tcMar>
              <w:top w:w="0" w:type="dxa"/>
              <w:left w:w="108" w:type="dxa"/>
              <w:bottom w:w="0" w:type="dxa"/>
              <w:right w:w="108" w:type="dxa"/>
            </w:tcMar>
          </w:tcPr>
          <w:p w14:paraId="3A5596B7" w14:textId="77777777" w:rsidR="00A453C3" w:rsidRPr="0018021A" w:rsidRDefault="00A453C3" w:rsidP="0067693D">
            <w:pPr>
              <w:pStyle w:val="Standard1"/>
              <w:keepNext/>
              <w:keepLines/>
              <w:rPr>
                <w:color w:val="1A1A1A"/>
                <w:szCs w:val="22"/>
              </w:rPr>
            </w:pPr>
            <w:r>
              <w:rPr>
                <w:color w:val="1A1A1A"/>
                <w:szCs w:val="22"/>
              </w:rPr>
              <w:t>Klepus, aizdusa</w:t>
            </w:r>
          </w:p>
        </w:tc>
        <w:tc>
          <w:tcPr>
            <w:tcW w:w="15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83B9E9" w14:textId="77777777" w:rsidR="00A453C3" w:rsidRPr="0018021A" w:rsidRDefault="00A453C3" w:rsidP="0067693D">
            <w:pPr>
              <w:pStyle w:val="Standard1"/>
              <w:keepNext/>
              <w:keepLines/>
              <w:rPr>
                <w:color w:val="1A1A1A"/>
                <w:szCs w:val="22"/>
              </w:rPr>
            </w:pPr>
            <w:r>
              <w:rPr>
                <w:color w:val="1A1A1A"/>
                <w:szCs w:val="22"/>
              </w:rPr>
              <w:t> </w:t>
            </w:r>
          </w:p>
        </w:tc>
        <w:tc>
          <w:tcPr>
            <w:tcW w:w="1451" w:type="dxa"/>
            <w:tcBorders>
              <w:top w:val="single" w:sz="4" w:space="0" w:color="auto"/>
              <w:left w:val="single" w:sz="4" w:space="0" w:color="auto"/>
              <w:bottom w:val="single" w:sz="4" w:space="0" w:color="auto"/>
              <w:right w:val="single" w:sz="4" w:space="0" w:color="auto"/>
            </w:tcBorders>
          </w:tcPr>
          <w:p w14:paraId="587FC170" w14:textId="77777777" w:rsidR="00A453C3" w:rsidRPr="0018021A" w:rsidRDefault="00A453C3" w:rsidP="0067693D">
            <w:pPr>
              <w:pStyle w:val="Standard1"/>
              <w:keepNext/>
              <w:keepLines/>
              <w:ind w:left="97"/>
              <w:rPr>
                <w:szCs w:val="22"/>
                <w:lang w:val="en-GB" w:eastAsia="en-GB"/>
              </w:rPr>
            </w:pPr>
          </w:p>
        </w:tc>
        <w:tc>
          <w:tcPr>
            <w:tcW w:w="1688" w:type="dxa"/>
            <w:tcBorders>
              <w:top w:val="single" w:sz="4" w:space="0" w:color="auto"/>
              <w:left w:val="single" w:sz="4" w:space="0" w:color="auto"/>
              <w:bottom w:val="single" w:sz="4" w:space="0" w:color="auto"/>
              <w:right w:val="single" w:sz="4" w:space="0" w:color="auto"/>
            </w:tcBorders>
          </w:tcPr>
          <w:p w14:paraId="382CBC75" w14:textId="77777777" w:rsidR="00A453C3" w:rsidRPr="0018021A" w:rsidRDefault="00A453C3" w:rsidP="0067693D">
            <w:pPr>
              <w:pStyle w:val="Standard1"/>
              <w:keepNext/>
              <w:keepLines/>
              <w:ind w:left="97"/>
              <w:rPr>
                <w:szCs w:val="22"/>
                <w:lang w:val="en-GB" w:eastAsia="en-GB"/>
              </w:rPr>
            </w:pPr>
          </w:p>
        </w:tc>
      </w:tr>
      <w:tr w:rsidR="00A453C3" w14:paraId="6B81FC0D" w14:textId="77777777" w:rsidTr="00707120">
        <w:trPr>
          <w:gridAfter w:val="1"/>
          <w:wAfter w:w="14" w:type="dxa"/>
        </w:trPr>
        <w:tc>
          <w:tcPr>
            <w:tcW w:w="1607" w:type="dxa"/>
            <w:tcBorders>
              <w:top w:val="single" w:sz="4" w:space="0" w:color="000000"/>
              <w:left w:val="single" w:sz="4" w:space="0" w:color="000000"/>
              <w:bottom w:val="single" w:sz="4" w:space="0" w:color="000000"/>
            </w:tcBorders>
          </w:tcPr>
          <w:p w14:paraId="5B876F91" w14:textId="5AA8E265" w:rsidR="00A453C3" w:rsidRDefault="00A453C3" w:rsidP="00BD246C">
            <w:pPr>
              <w:keepNext/>
              <w:rPr>
                <w:rFonts w:eastAsia="PMingLiU"/>
                <w:sz w:val="24"/>
                <w:szCs w:val="22"/>
                <w:lang w:val="lv-LV"/>
              </w:rPr>
            </w:pPr>
            <w:r>
              <w:rPr>
                <w:szCs w:val="22"/>
                <w:lang w:val="lv-LV"/>
              </w:rPr>
              <w:t>Kuņģa</w:t>
            </w:r>
            <w:r w:rsidR="00BD246C">
              <w:rPr>
                <w:szCs w:val="22"/>
                <w:lang w:val="lv-LV"/>
              </w:rPr>
              <w:t xml:space="preserve"> un </w:t>
            </w:r>
            <w:r>
              <w:rPr>
                <w:szCs w:val="22"/>
                <w:lang w:val="lv-LV"/>
              </w:rPr>
              <w:t>zarnu trakta traucējumi</w:t>
            </w:r>
          </w:p>
        </w:tc>
        <w:tc>
          <w:tcPr>
            <w:tcW w:w="1322" w:type="dxa"/>
            <w:tcBorders>
              <w:top w:val="single" w:sz="4" w:space="0" w:color="000000"/>
              <w:left w:val="single" w:sz="4" w:space="0" w:color="000000"/>
              <w:bottom w:val="single" w:sz="4" w:space="0" w:color="000000"/>
            </w:tcBorders>
          </w:tcPr>
          <w:p w14:paraId="75CFE231" w14:textId="77777777" w:rsidR="00A453C3" w:rsidRDefault="00A453C3" w:rsidP="0067693D">
            <w:pPr>
              <w:keepNext/>
              <w:autoSpaceDE w:val="0"/>
              <w:snapToGrid w:val="0"/>
              <w:rPr>
                <w:rFonts w:eastAsia="PMingLiU"/>
                <w:szCs w:val="22"/>
                <w:lang w:val="lv-LV"/>
              </w:rPr>
            </w:pPr>
          </w:p>
        </w:tc>
        <w:tc>
          <w:tcPr>
            <w:tcW w:w="1495" w:type="dxa"/>
            <w:tcBorders>
              <w:top w:val="single" w:sz="4" w:space="0" w:color="000000"/>
              <w:left w:val="single" w:sz="4" w:space="0" w:color="000000"/>
              <w:bottom w:val="single" w:sz="4" w:space="0" w:color="000000"/>
            </w:tcBorders>
          </w:tcPr>
          <w:p w14:paraId="43256DCF" w14:textId="77777777" w:rsidR="00A453C3" w:rsidRDefault="00A453C3" w:rsidP="0067693D">
            <w:pPr>
              <w:keepNext/>
              <w:rPr>
                <w:szCs w:val="22"/>
                <w:lang w:val="lv-LV"/>
              </w:rPr>
            </w:pPr>
            <w:r>
              <w:rPr>
                <w:szCs w:val="22"/>
                <w:lang w:val="lv-LV"/>
              </w:rPr>
              <w:t>Sāpes vēderā, čūlas mutes dobumā, gastrīts</w:t>
            </w:r>
          </w:p>
        </w:tc>
        <w:tc>
          <w:tcPr>
            <w:tcW w:w="1538" w:type="dxa"/>
            <w:tcBorders>
              <w:top w:val="single" w:sz="4" w:space="0" w:color="000000"/>
              <w:left w:val="single" w:sz="4" w:space="0" w:color="000000"/>
              <w:bottom w:val="single" w:sz="4" w:space="0" w:color="000000"/>
              <w:right w:val="single" w:sz="4" w:space="0" w:color="000000"/>
            </w:tcBorders>
          </w:tcPr>
          <w:p w14:paraId="0DF2695B" w14:textId="77777777" w:rsidR="00A453C3" w:rsidRDefault="00A453C3" w:rsidP="0067693D">
            <w:pPr>
              <w:keepNext/>
              <w:rPr>
                <w:szCs w:val="22"/>
                <w:lang w:val="lv-LV"/>
              </w:rPr>
            </w:pPr>
            <w:r>
              <w:rPr>
                <w:szCs w:val="22"/>
                <w:lang w:val="lv-LV"/>
              </w:rPr>
              <w:t>Stomatīts, kuņģa čūla</w:t>
            </w:r>
          </w:p>
        </w:tc>
        <w:tc>
          <w:tcPr>
            <w:tcW w:w="1451" w:type="dxa"/>
            <w:tcBorders>
              <w:top w:val="single" w:sz="4" w:space="0" w:color="000000"/>
              <w:left w:val="single" w:sz="4" w:space="0" w:color="000000"/>
              <w:bottom w:val="single" w:sz="4" w:space="0" w:color="000000"/>
              <w:right w:val="single" w:sz="4" w:space="0" w:color="000000"/>
            </w:tcBorders>
          </w:tcPr>
          <w:p w14:paraId="27C082A8" w14:textId="77777777" w:rsidR="00A453C3" w:rsidRDefault="00A453C3" w:rsidP="0067693D">
            <w:pPr>
              <w:keepNext/>
              <w:rPr>
                <w:szCs w:val="22"/>
                <w:lang w:val="lv-LV"/>
              </w:rPr>
            </w:pPr>
          </w:p>
        </w:tc>
        <w:tc>
          <w:tcPr>
            <w:tcW w:w="1688" w:type="dxa"/>
            <w:tcBorders>
              <w:top w:val="single" w:sz="4" w:space="0" w:color="000000"/>
              <w:left w:val="single" w:sz="4" w:space="0" w:color="000000"/>
              <w:bottom w:val="single" w:sz="4" w:space="0" w:color="000000"/>
              <w:right w:val="single" w:sz="4" w:space="0" w:color="000000"/>
            </w:tcBorders>
          </w:tcPr>
          <w:p w14:paraId="1F611C28" w14:textId="77777777" w:rsidR="00A453C3" w:rsidRDefault="00A453C3" w:rsidP="0067693D">
            <w:pPr>
              <w:keepNext/>
              <w:rPr>
                <w:szCs w:val="22"/>
                <w:lang w:val="lv-LV"/>
              </w:rPr>
            </w:pPr>
          </w:p>
        </w:tc>
      </w:tr>
      <w:tr w:rsidR="00A453C3" w:rsidRPr="0018021A" w14:paraId="77BA0BBF" w14:textId="77777777" w:rsidTr="00707120">
        <w:tblPrEx>
          <w:tblCellMar>
            <w:left w:w="0" w:type="dxa"/>
            <w:right w:w="0" w:type="dxa"/>
          </w:tblCellMar>
          <w:tblLook w:val="04A0" w:firstRow="1" w:lastRow="0" w:firstColumn="1" w:lastColumn="0" w:noHBand="0" w:noVBand="1"/>
        </w:tblPrEx>
        <w:trPr>
          <w:gridAfter w:val="1"/>
          <w:wAfter w:w="14" w:type="dxa"/>
        </w:trPr>
        <w:tc>
          <w:tcPr>
            <w:tcW w:w="160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4AF7089" w14:textId="1C022BD0" w:rsidR="00A453C3" w:rsidRPr="0018021A" w:rsidRDefault="00A453C3" w:rsidP="00272878">
            <w:pPr>
              <w:pStyle w:val="Standard1"/>
              <w:rPr>
                <w:color w:val="1A1A1A"/>
                <w:szCs w:val="22"/>
              </w:rPr>
            </w:pPr>
            <w:r>
              <w:t>Aknu un žults izvades sistēmas traucējumi</w:t>
            </w:r>
          </w:p>
        </w:tc>
        <w:tc>
          <w:tcPr>
            <w:tcW w:w="1322" w:type="dxa"/>
            <w:tcBorders>
              <w:top w:val="nil"/>
              <w:left w:val="nil"/>
              <w:bottom w:val="single" w:sz="8" w:space="0" w:color="000000"/>
              <w:right w:val="single" w:sz="8" w:space="0" w:color="000000"/>
            </w:tcBorders>
            <w:tcMar>
              <w:top w:w="0" w:type="dxa"/>
              <w:left w:w="108" w:type="dxa"/>
              <w:bottom w:w="0" w:type="dxa"/>
              <w:right w:w="108" w:type="dxa"/>
            </w:tcMar>
          </w:tcPr>
          <w:p w14:paraId="097D34AE" w14:textId="77777777" w:rsidR="00A453C3" w:rsidRPr="00707120" w:rsidRDefault="00A453C3" w:rsidP="0067693D">
            <w:pPr>
              <w:pStyle w:val="Standard1"/>
              <w:rPr>
                <w:color w:val="1A1A1A"/>
                <w:szCs w:val="22"/>
                <w:lang w:val="es-ES" w:eastAsia="en-GB"/>
              </w:rPr>
            </w:pPr>
          </w:p>
        </w:tc>
        <w:tc>
          <w:tcPr>
            <w:tcW w:w="1495" w:type="dxa"/>
            <w:tcBorders>
              <w:top w:val="nil"/>
              <w:left w:val="nil"/>
              <w:bottom w:val="single" w:sz="8" w:space="0" w:color="000000"/>
              <w:right w:val="single" w:sz="4" w:space="0" w:color="auto"/>
            </w:tcBorders>
            <w:tcMar>
              <w:top w:w="0" w:type="dxa"/>
              <w:left w:w="108" w:type="dxa"/>
              <w:bottom w:w="0" w:type="dxa"/>
              <w:right w:w="108" w:type="dxa"/>
            </w:tcMar>
          </w:tcPr>
          <w:p w14:paraId="235AA2E5" w14:textId="77777777" w:rsidR="00A453C3" w:rsidRPr="00707120" w:rsidRDefault="00A453C3" w:rsidP="0067693D">
            <w:pPr>
              <w:pStyle w:val="Standard1"/>
              <w:rPr>
                <w:color w:val="1A1A1A"/>
                <w:szCs w:val="22"/>
                <w:lang w:val="es-ES" w:eastAsia="en-GB"/>
              </w:rPr>
            </w:pPr>
          </w:p>
        </w:tc>
        <w:tc>
          <w:tcPr>
            <w:tcW w:w="15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28010F" w14:textId="77777777" w:rsidR="00A453C3" w:rsidRPr="00707120" w:rsidRDefault="00A453C3" w:rsidP="0067693D">
            <w:pPr>
              <w:pStyle w:val="Standard1"/>
              <w:rPr>
                <w:color w:val="1A1A1A"/>
                <w:szCs w:val="22"/>
                <w:lang w:val="es-ES" w:eastAsia="en-GB"/>
              </w:rPr>
            </w:pPr>
          </w:p>
        </w:tc>
        <w:tc>
          <w:tcPr>
            <w:tcW w:w="1451" w:type="dxa"/>
            <w:tcBorders>
              <w:top w:val="single" w:sz="4" w:space="0" w:color="auto"/>
              <w:left w:val="single" w:sz="4" w:space="0" w:color="auto"/>
              <w:bottom w:val="single" w:sz="4" w:space="0" w:color="auto"/>
              <w:right w:val="single" w:sz="4" w:space="0" w:color="auto"/>
            </w:tcBorders>
          </w:tcPr>
          <w:p w14:paraId="745B7BF2" w14:textId="1E92E5D8" w:rsidR="00A453C3" w:rsidRPr="0018021A" w:rsidRDefault="00A453C3" w:rsidP="0067693D">
            <w:pPr>
              <w:pStyle w:val="Standard1"/>
              <w:ind w:left="97"/>
              <w:rPr>
                <w:szCs w:val="22"/>
              </w:rPr>
            </w:pPr>
            <w:r>
              <w:t xml:space="preserve">Zāļu izraisīts aknu bojājums, hepatīts, dzelte </w:t>
            </w:r>
          </w:p>
        </w:tc>
        <w:tc>
          <w:tcPr>
            <w:tcW w:w="1688" w:type="dxa"/>
            <w:tcBorders>
              <w:top w:val="single" w:sz="4" w:space="0" w:color="auto"/>
              <w:left w:val="single" w:sz="4" w:space="0" w:color="auto"/>
              <w:bottom w:val="single" w:sz="4" w:space="0" w:color="auto"/>
              <w:right w:val="single" w:sz="4" w:space="0" w:color="auto"/>
            </w:tcBorders>
          </w:tcPr>
          <w:p w14:paraId="74AEFA02" w14:textId="77777777" w:rsidR="00A453C3" w:rsidRDefault="00A453C3" w:rsidP="0067693D">
            <w:pPr>
              <w:pStyle w:val="Standard1"/>
              <w:ind w:left="97"/>
            </w:pPr>
            <w:r>
              <w:t>Aknu mazspēja</w:t>
            </w:r>
          </w:p>
        </w:tc>
      </w:tr>
      <w:tr w:rsidR="00A453C3" w:rsidRPr="0018021A" w14:paraId="648E3FC0" w14:textId="77777777" w:rsidTr="00707120">
        <w:tblPrEx>
          <w:tblCellMar>
            <w:left w:w="0" w:type="dxa"/>
            <w:right w:w="0" w:type="dxa"/>
          </w:tblCellMar>
          <w:tblLook w:val="04A0" w:firstRow="1" w:lastRow="0" w:firstColumn="1" w:lastColumn="0" w:noHBand="0" w:noVBand="1"/>
        </w:tblPrEx>
        <w:trPr>
          <w:gridAfter w:val="1"/>
          <w:wAfter w:w="14" w:type="dxa"/>
        </w:trPr>
        <w:tc>
          <w:tcPr>
            <w:tcW w:w="160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7618351" w14:textId="77777777" w:rsidR="00A453C3" w:rsidRPr="0018021A" w:rsidRDefault="00A453C3" w:rsidP="0067693D">
            <w:pPr>
              <w:pStyle w:val="Standard1"/>
              <w:rPr>
                <w:color w:val="1A1A1A"/>
                <w:szCs w:val="22"/>
              </w:rPr>
            </w:pPr>
            <w:r>
              <w:rPr>
                <w:color w:val="1A1A1A"/>
                <w:szCs w:val="22"/>
              </w:rPr>
              <w:t>Ādas un zemādas audu bojājumi</w:t>
            </w:r>
          </w:p>
        </w:tc>
        <w:tc>
          <w:tcPr>
            <w:tcW w:w="1322" w:type="dxa"/>
            <w:tcBorders>
              <w:top w:val="nil"/>
              <w:left w:val="nil"/>
              <w:bottom w:val="single" w:sz="8" w:space="0" w:color="000000"/>
              <w:right w:val="single" w:sz="8" w:space="0" w:color="000000"/>
            </w:tcBorders>
            <w:tcMar>
              <w:top w:w="0" w:type="dxa"/>
              <w:left w:w="108" w:type="dxa"/>
              <w:bottom w:w="0" w:type="dxa"/>
              <w:right w:w="108" w:type="dxa"/>
            </w:tcMar>
          </w:tcPr>
          <w:p w14:paraId="32F787AE" w14:textId="77777777" w:rsidR="00A453C3" w:rsidRPr="0018021A" w:rsidRDefault="00A453C3" w:rsidP="0067693D">
            <w:pPr>
              <w:pStyle w:val="Standard1"/>
              <w:rPr>
                <w:color w:val="1A1A1A"/>
                <w:szCs w:val="22"/>
              </w:rPr>
            </w:pPr>
            <w:r>
              <w:rPr>
                <w:color w:val="1A1A1A"/>
                <w:szCs w:val="22"/>
              </w:rPr>
              <w:t> </w:t>
            </w:r>
          </w:p>
        </w:tc>
        <w:tc>
          <w:tcPr>
            <w:tcW w:w="1495" w:type="dxa"/>
            <w:tcBorders>
              <w:top w:val="nil"/>
              <w:left w:val="nil"/>
              <w:bottom w:val="single" w:sz="8" w:space="0" w:color="000000"/>
              <w:right w:val="single" w:sz="4" w:space="0" w:color="auto"/>
            </w:tcBorders>
            <w:tcMar>
              <w:top w:w="0" w:type="dxa"/>
              <w:left w:w="108" w:type="dxa"/>
              <w:bottom w:w="0" w:type="dxa"/>
              <w:right w:w="108" w:type="dxa"/>
            </w:tcMar>
          </w:tcPr>
          <w:p w14:paraId="5D1CDC1A" w14:textId="77777777" w:rsidR="00A453C3" w:rsidRPr="0018021A" w:rsidRDefault="00A453C3" w:rsidP="0067693D">
            <w:pPr>
              <w:pStyle w:val="Standard1"/>
              <w:rPr>
                <w:color w:val="1A1A1A"/>
                <w:szCs w:val="22"/>
              </w:rPr>
            </w:pPr>
            <w:r>
              <w:rPr>
                <w:color w:val="1A1A1A"/>
                <w:szCs w:val="22"/>
              </w:rPr>
              <w:t>Izsitumi, nieze, nātrene</w:t>
            </w:r>
          </w:p>
        </w:tc>
        <w:tc>
          <w:tcPr>
            <w:tcW w:w="15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34ACA2" w14:textId="77777777" w:rsidR="00A453C3" w:rsidRPr="0018021A" w:rsidRDefault="00A453C3" w:rsidP="0067693D">
            <w:pPr>
              <w:pStyle w:val="Standard1"/>
              <w:rPr>
                <w:color w:val="1A1A1A"/>
                <w:szCs w:val="22"/>
              </w:rPr>
            </w:pPr>
            <w:r>
              <w:rPr>
                <w:color w:val="1A1A1A"/>
                <w:szCs w:val="22"/>
              </w:rPr>
              <w:t> </w:t>
            </w:r>
          </w:p>
        </w:tc>
        <w:tc>
          <w:tcPr>
            <w:tcW w:w="1451" w:type="dxa"/>
            <w:tcBorders>
              <w:top w:val="single" w:sz="4" w:space="0" w:color="auto"/>
              <w:left w:val="single" w:sz="4" w:space="0" w:color="auto"/>
              <w:bottom w:val="single" w:sz="4" w:space="0" w:color="auto"/>
              <w:right w:val="single" w:sz="4" w:space="0" w:color="auto"/>
            </w:tcBorders>
          </w:tcPr>
          <w:p w14:paraId="7ACF9EDC" w14:textId="77777777" w:rsidR="00A453C3" w:rsidRPr="0018021A" w:rsidRDefault="00A453C3" w:rsidP="0067693D">
            <w:pPr>
              <w:pStyle w:val="Standard1"/>
              <w:ind w:left="97"/>
              <w:rPr>
                <w:szCs w:val="22"/>
              </w:rPr>
            </w:pPr>
            <w:r>
              <w:t>Stīvensa-Džonsona sindroms</w:t>
            </w:r>
            <w:r>
              <w:rPr>
                <w:szCs w:val="22"/>
                <w:vertAlign w:val="superscript"/>
              </w:rPr>
              <w:t>3</w:t>
            </w:r>
          </w:p>
        </w:tc>
        <w:tc>
          <w:tcPr>
            <w:tcW w:w="1688" w:type="dxa"/>
            <w:tcBorders>
              <w:top w:val="single" w:sz="4" w:space="0" w:color="auto"/>
              <w:left w:val="single" w:sz="4" w:space="0" w:color="auto"/>
              <w:bottom w:val="single" w:sz="4" w:space="0" w:color="auto"/>
              <w:right w:val="single" w:sz="4" w:space="0" w:color="auto"/>
            </w:tcBorders>
          </w:tcPr>
          <w:p w14:paraId="0A0E603A" w14:textId="77777777" w:rsidR="00A453C3" w:rsidRDefault="00A453C3" w:rsidP="0067693D">
            <w:pPr>
              <w:pStyle w:val="Standard1"/>
              <w:ind w:left="97"/>
            </w:pPr>
          </w:p>
        </w:tc>
      </w:tr>
      <w:tr w:rsidR="00A453C3" w:rsidRPr="0018021A" w14:paraId="6ED7C5E2" w14:textId="77777777" w:rsidTr="00707120">
        <w:tblPrEx>
          <w:tblCellMar>
            <w:left w:w="0" w:type="dxa"/>
            <w:right w:w="0" w:type="dxa"/>
          </w:tblCellMar>
          <w:tblLook w:val="04A0" w:firstRow="1" w:lastRow="0" w:firstColumn="1" w:lastColumn="0" w:noHBand="0" w:noVBand="1"/>
        </w:tblPrEx>
        <w:trPr>
          <w:gridAfter w:val="1"/>
          <w:wAfter w:w="14" w:type="dxa"/>
        </w:trPr>
        <w:tc>
          <w:tcPr>
            <w:tcW w:w="160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03088CF" w14:textId="77777777" w:rsidR="00A453C3" w:rsidRPr="0018021A" w:rsidRDefault="00A453C3" w:rsidP="0067693D">
            <w:pPr>
              <w:pStyle w:val="Standard1"/>
              <w:rPr>
                <w:color w:val="1A1A1A"/>
                <w:szCs w:val="22"/>
              </w:rPr>
            </w:pPr>
            <w:r>
              <w:rPr>
                <w:color w:val="1A1A1A"/>
                <w:szCs w:val="22"/>
              </w:rPr>
              <w:t>Nieru un urīnizvades sistēmas traucējumi</w:t>
            </w:r>
          </w:p>
        </w:tc>
        <w:tc>
          <w:tcPr>
            <w:tcW w:w="1322" w:type="dxa"/>
            <w:tcBorders>
              <w:top w:val="nil"/>
              <w:left w:val="nil"/>
              <w:bottom w:val="single" w:sz="8" w:space="0" w:color="000000"/>
              <w:right w:val="single" w:sz="8" w:space="0" w:color="000000"/>
            </w:tcBorders>
            <w:tcMar>
              <w:top w:w="0" w:type="dxa"/>
              <w:left w:w="108" w:type="dxa"/>
              <w:bottom w:w="0" w:type="dxa"/>
              <w:right w:w="108" w:type="dxa"/>
            </w:tcMar>
          </w:tcPr>
          <w:p w14:paraId="20FD41CC" w14:textId="77777777" w:rsidR="00A453C3" w:rsidRPr="0018021A" w:rsidRDefault="00A453C3" w:rsidP="0067693D">
            <w:pPr>
              <w:pStyle w:val="Standard1"/>
              <w:rPr>
                <w:color w:val="1A1A1A"/>
                <w:szCs w:val="22"/>
              </w:rPr>
            </w:pPr>
            <w:r>
              <w:rPr>
                <w:color w:val="1A1A1A"/>
                <w:szCs w:val="22"/>
              </w:rPr>
              <w:t> </w:t>
            </w:r>
          </w:p>
        </w:tc>
        <w:tc>
          <w:tcPr>
            <w:tcW w:w="1495" w:type="dxa"/>
            <w:tcBorders>
              <w:top w:val="nil"/>
              <w:left w:val="nil"/>
              <w:bottom w:val="single" w:sz="8" w:space="0" w:color="000000"/>
              <w:right w:val="single" w:sz="4" w:space="0" w:color="auto"/>
            </w:tcBorders>
            <w:tcMar>
              <w:top w:w="0" w:type="dxa"/>
              <w:left w:w="108" w:type="dxa"/>
              <w:bottom w:w="0" w:type="dxa"/>
              <w:right w:w="108" w:type="dxa"/>
            </w:tcMar>
          </w:tcPr>
          <w:p w14:paraId="2ED1E55C" w14:textId="77777777" w:rsidR="00A453C3" w:rsidRPr="0018021A" w:rsidRDefault="00A453C3" w:rsidP="0067693D">
            <w:pPr>
              <w:pStyle w:val="Standard1"/>
              <w:rPr>
                <w:color w:val="1A1A1A"/>
                <w:szCs w:val="22"/>
              </w:rPr>
            </w:pPr>
            <w:r>
              <w:rPr>
                <w:color w:val="1A1A1A"/>
                <w:szCs w:val="22"/>
              </w:rPr>
              <w:t> </w:t>
            </w:r>
          </w:p>
        </w:tc>
        <w:tc>
          <w:tcPr>
            <w:tcW w:w="15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58C161" w14:textId="77777777" w:rsidR="00A453C3" w:rsidRPr="0018021A" w:rsidRDefault="00A453C3" w:rsidP="0067693D">
            <w:pPr>
              <w:pStyle w:val="Standard1"/>
              <w:rPr>
                <w:color w:val="1A1A1A"/>
                <w:szCs w:val="22"/>
              </w:rPr>
            </w:pPr>
            <w:r>
              <w:rPr>
                <w:color w:val="1A1A1A"/>
                <w:szCs w:val="22"/>
              </w:rPr>
              <w:t>Nierakmeņi</w:t>
            </w:r>
          </w:p>
        </w:tc>
        <w:tc>
          <w:tcPr>
            <w:tcW w:w="1451" w:type="dxa"/>
            <w:tcBorders>
              <w:top w:val="single" w:sz="4" w:space="0" w:color="auto"/>
              <w:left w:val="single" w:sz="4" w:space="0" w:color="auto"/>
              <w:bottom w:val="single" w:sz="4" w:space="0" w:color="auto"/>
              <w:right w:val="single" w:sz="4" w:space="0" w:color="auto"/>
            </w:tcBorders>
          </w:tcPr>
          <w:p w14:paraId="78FF8099" w14:textId="77777777" w:rsidR="00A453C3" w:rsidRPr="0018021A" w:rsidRDefault="00A453C3" w:rsidP="0067693D">
            <w:pPr>
              <w:pStyle w:val="Standard1"/>
              <w:ind w:left="97"/>
              <w:rPr>
                <w:szCs w:val="22"/>
                <w:lang w:val="en-GB" w:eastAsia="en-GB"/>
              </w:rPr>
            </w:pPr>
          </w:p>
        </w:tc>
        <w:tc>
          <w:tcPr>
            <w:tcW w:w="1688" w:type="dxa"/>
            <w:tcBorders>
              <w:top w:val="single" w:sz="4" w:space="0" w:color="auto"/>
              <w:left w:val="single" w:sz="4" w:space="0" w:color="auto"/>
              <w:bottom w:val="single" w:sz="4" w:space="0" w:color="auto"/>
              <w:right w:val="single" w:sz="4" w:space="0" w:color="auto"/>
            </w:tcBorders>
          </w:tcPr>
          <w:p w14:paraId="7CF57007" w14:textId="77777777" w:rsidR="00A453C3" w:rsidRPr="0018021A" w:rsidRDefault="00A453C3" w:rsidP="0067693D">
            <w:pPr>
              <w:pStyle w:val="Standard1"/>
              <w:ind w:left="97"/>
              <w:rPr>
                <w:szCs w:val="22"/>
                <w:lang w:val="en-GB" w:eastAsia="en-GB"/>
              </w:rPr>
            </w:pPr>
          </w:p>
        </w:tc>
      </w:tr>
      <w:tr w:rsidR="00A453C3" w:rsidRPr="00707120" w14:paraId="045505C2" w14:textId="77777777" w:rsidTr="00D045B5">
        <w:tc>
          <w:tcPr>
            <w:tcW w:w="1607" w:type="dxa"/>
            <w:tcBorders>
              <w:top w:val="single" w:sz="4" w:space="0" w:color="000000"/>
              <w:left w:val="single" w:sz="4" w:space="0" w:color="000000"/>
              <w:bottom w:val="single" w:sz="4" w:space="0" w:color="000000"/>
            </w:tcBorders>
          </w:tcPr>
          <w:p w14:paraId="66CF6D5B" w14:textId="77777777" w:rsidR="00A453C3" w:rsidRDefault="00A453C3" w:rsidP="0067693D">
            <w:pPr>
              <w:keepNext/>
              <w:rPr>
                <w:rFonts w:eastAsia="PMingLiU"/>
                <w:sz w:val="24"/>
                <w:szCs w:val="22"/>
                <w:lang w:val="lv-LV"/>
              </w:rPr>
            </w:pPr>
            <w:r>
              <w:rPr>
                <w:szCs w:val="22"/>
                <w:lang w:val="lv-LV"/>
              </w:rPr>
              <w:t>Vispārēji traucējumi un reakcijas ievadīšanas vietā</w:t>
            </w:r>
          </w:p>
        </w:tc>
        <w:tc>
          <w:tcPr>
            <w:tcW w:w="1322" w:type="dxa"/>
            <w:tcBorders>
              <w:top w:val="single" w:sz="4" w:space="0" w:color="000000"/>
              <w:left w:val="single" w:sz="4" w:space="0" w:color="000000"/>
              <w:bottom w:val="single" w:sz="4" w:space="0" w:color="000000"/>
            </w:tcBorders>
          </w:tcPr>
          <w:p w14:paraId="3EA31872" w14:textId="77777777" w:rsidR="00A453C3" w:rsidRDefault="00A453C3" w:rsidP="0067693D">
            <w:pPr>
              <w:keepNext/>
              <w:autoSpaceDE w:val="0"/>
              <w:snapToGrid w:val="0"/>
              <w:rPr>
                <w:rFonts w:eastAsia="PMingLiU"/>
                <w:szCs w:val="22"/>
                <w:lang w:val="lv-LV"/>
              </w:rPr>
            </w:pPr>
            <w:r>
              <w:rPr>
                <w:rFonts w:eastAsia="PMingLiU"/>
                <w:szCs w:val="22"/>
                <w:lang w:val="lv-LV"/>
              </w:rPr>
              <w:t>Reakcija injekcijas vietā</w:t>
            </w:r>
          </w:p>
        </w:tc>
        <w:tc>
          <w:tcPr>
            <w:tcW w:w="1495" w:type="dxa"/>
            <w:tcBorders>
              <w:top w:val="single" w:sz="4" w:space="0" w:color="000000"/>
              <w:left w:val="single" w:sz="4" w:space="0" w:color="000000"/>
              <w:bottom w:val="single" w:sz="4" w:space="0" w:color="000000"/>
            </w:tcBorders>
          </w:tcPr>
          <w:p w14:paraId="11EDA5D5" w14:textId="05C5383F" w:rsidR="00A453C3" w:rsidRDefault="00A453C3" w:rsidP="0067693D">
            <w:pPr>
              <w:keepNext/>
              <w:rPr>
                <w:szCs w:val="22"/>
                <w:lang w:val="lv-LV"/>
              </w:rPr>
            </w:pPr>
            <w:r>
              <w:rPr>
                <w:szCs w:val="22"/>
                <w:lang w:val="lv-LV"/>
              </w:rPr>
              <w:t>Perifēra tūska, paaugstinātas jutības reakcija</w:t>
            </w:r>
          </w:p>
        </w:tc>
        <w:tc>
          <w:tcPr>
            <w:tcW w:w="1538" w:type="dxa"/>
            <w:tcBorders>
              <w:top w:val="single" w:sz="4" w:space="0" w:color="000000"/>
              <w:left w:val="single" w:sz="4" w:space="0" w:color="000000"/>
              <w:bottom w:val="single" w:sz="4" w:space="0" w:color="000000"/>
              <w:right w:val="single" w:sz="4" w:space="0" w:color="000000"/>
            </w:tcBorders>
          </w:tcPr>
          <w:p w14:paraId="64FF9CBE" w14:textId="77777777" w:rsidR="00A453C3" w:rsidRDefault="00A453C3" w:rsidP="0067693D">
            <w:pPr>
              <w:keepNext/>
              <w:snapToGrid w:val="0"/>
              <w:rPr>
                <w:szCs w:val="22"/>
                <w:lang w:val="lv-LV"/>
              </w:rPr>
            </w:pPr>
          </w:p>
        </w:tc>
        <w:tc>
          <w:tcPr>
            <w:tcW w:w="1451" w:type="dxa"/>
            <w:tcBorders>
              <w:top w:val="single" w:sz="4" w:space="0" w:color="000000"/>
              <w:left w:val="single" w:sz="4" w:space="0" w:color="000000"/>
              <w:bottom w:val="single" w:sz="4" w:space="0" w:color="000000"/>
              <w:right w:val="single" w:sz="4" w:space="0" w:color="000000"/>
            </w:tcBorders>
          </w:tcPr>
          <w:p w14:paraId="3D2CFFFD" w14:textId="77777777" w:rsidR="00A453C3" w:rsidRDefault="00A453C3" w:rsidP="0067693D">
            <w:pPr>
              <w:keepNext/>
              <w:snapToGrid w:val="0"/>
              <w:rPr>
                <w:szCs w:val="22"/>
                <w:lang w:val="lv-LV"/>
              </w:rPr>
            </w:pPr>
          </w:p>
        </w:tc>
        <w:tc>
          <w:tcPr>
            <w:tcW w:w="1702" w:type="dxa"/>
            <w:gridSpan w:val="2"/>
            <w:tcBorders>
              <w:top w:val="single" w:sz="4" w:space="0" w:color="000000"/>
              <w:left w:val="single" w:sz="4" w:space="0" w:color="000000"/>
              <w:bottom w:val="single" w:sz="4" w:space="0" w:color="000000"/>
              <w:right w:val="single" w:sz="4" w:space="0" w:color="000000"/>
            </w:tcBorders>
          </w:tcPr>
          <w:p w14:paraId="02655405" w14:textId="77777777" w:rsidR="00A453C3" w:rsidRDefault="00A453C3" w:rsidP="0067693D">
            <w:pPr>
              <w:keepNext/>
              <w:snapToGrid w:val="0"/>
              <w:rPr>
                <w:szCs w:val="22"/>
                <w:lang w:val="lv-LV"/>
              </w:rPr>
            </w:pPr>
          </w:p>
        </w:tc>
      </w:tr>
      <w:tr w:rsidR="00A453C3" w:rsidRPr="00903A29" w14:paraId="33A31CF2" w14:textId="77777777" w:rsidTr="00707120">
        <w:trPr>
          <w:gridAfter w:val="1"/>
          <w:wAfter w:w="14" w:type="dxa"/>
        </w:trPr>
        <w:tc>
          <w:tcPr>
            <w:tcW w:w="1607" w:type="dxa"/>
            <w:tcBorders>
              <w:top w:val="single" w:sz="4" w:space="0" w:color="000000"/>
              <w:left w:val="single" w:sz="4" w:space="0" w:color="000000"/>
              <w:bottom w:val="single" w:sz="4" w:space="0" w:color="000000"/>
            </w:tcBorders>
          </w:tcPr>
          <w:p w14:paraId="4CCA90F6" w14:textId="77777777" w:rsidR="00A453C3" w:rsidRDefault="00A453C3" w:rsidP="0067693D">
            <w:pPr>
              <w:keepNext/>
              <w:rPr>
                <w:rFonts w:eastAsia="PMingLiU"/>
                <w:sz w:val="24"/>
                <w:szCs w:val="22"/>
                <w:lang w:val="lv-LV"/>
              </w:rPr>
            </w:pPr>
            <w:r>
              <w:rPr>
                <w:szCs w:val="22"/>
                <w:lang w:val="lv-LV"/>
              </w:rPr>
              <w:t xml:space="preserve">Izmeklējumi </w:t>
            </w:r>
          </w:p>
        </w:tc>
        <w:tc>
          <w:tcPr>
            <w:tcW w:w="1322" w:type="dxa"/>
            <w:tcBorders>
              <w:top w:val="single" w:sz="4" w:space="0" w:color="000000"/>
              <w:left w:val="single" w:sz="4" w:space="0" w:color="000000"/>
              <w:bottom w:val="single" w:sz="4" w:space="0" w:color="000000"/>
            </w:tcBorders>
          </w:tcPr>
          <w:p w14:paraId="122801A8" w14:textId="77777777" w:rsidR="00A453C3" w:rsidRDefault="00A453C3" w:rsidP="0067693D">
            <w:pPr>
              <w:keepNext/>
              <w:autoSpaceDE w:val="0"/>
              <w:snapToGrid w:val="0"/>
              <w:rPr>
                <w:rFonts w:eastAsia="PMingLiU"/>
                <w:szCs w:val="22"/>
                <w:lang w:val="lv-LV"/>
              </w:rPr>
            </w:pPr>
          </w:p>
        </w:tc>
        <w:tc>
          <w:tcPr>
            <w:tcW w:w="1495" w:type="dxa"/>
            <w:tcBorders>
              <w:top w:val="single" w:sz="4" w:space="0" w:color="000000"/>
              <w:left w:val="single" w:sz="4" w:space="0" w:color="000000"/>
              <w:bottom w:val="single" w:sz="4" w:space="0" w:color="000000"/>
            </w:tcBorders>
          </w:tcPr>
          <w:p w14:paraId="23D43B7C" w14:textId="77777777" w:rsidR="00A453C3" w:rsidRDefault="00A453C3" w:rsidP="0067693D">
            <w:pPr>
              <w:keepNext/>
              <w:rPr>
                <w:szCs w:val="22"/>
                <w:lang w:val="lv-LV"/>
              </w:rPr>
            </w:pPr>
            <w:r>
              <w:rPr>
                <w:szCs w:val="22"/>
                <w:lang w:val="lv-LV"/>
              </w:rPr>
              <w:t>Paaugstināts aknu transamināžu līmenis, ķermeņa masas palielināšanās, paaugstināts kopējā bilirubīna līmenis*</w:t>
            </w:r>
          </w:p>
        </w:tc>
        <w:tc>
          <w:tcPr>
            <w:tcW w:w="1538" w:type="dxa"/>
            <w:tcBorders>
              <w:top w:val="single" w:sz="4" w:space="0" w:color="000000"/>
              <w:left w:val="single" w:sz="4" w:space="0" w:color="000000"/>
              <w:bottom w:val="single" w:sz="4" w:space="0" w:color="000000"/>
              <w:right w:val="single" w:sz="4" w:space="0" w:color="000000"/>
            </w:tcBorders>
          </w:tcPr>
          <w:p w14:paraId="1FFAD964" w14:textId="77777777" w:rsidR="00A453C3" w:rsidRDefault="00A453C3" w:rsidP="0067693D">
            <w:pPr>
              <w:keepNext/>
              <w:snapToGrid w:val="0"/>
              <w:rPr>
                <w:szCs w:val="22"/>
                <w:lang w:val="lv-LV"/>
              </w:rPr>
            </w:pPr>
          </w:p>
        </w:tc>
        <w:tc>
          <w:tcPr>
            <w:tcW w:w="1451" w:type="dxa"/>
            <w:tcBorders>
              <w:top w:val="single" w:sz="4" w:space="0" w:color="000000"/>
              <w:left w:val="single" w:sz="4" w:space="0" w:color="000000"/>
              <w:bottom w:val="single" w:sz="4" w:space="0" w:color="000000"/>
              <w:right w:val="single" w:sz="4" w:space="0" w:color="000000"/>
            </w:tcBorders>
          </w:tcPr>
          <w:p w14:paraId="7572A6E5" w14:textId="77777777" w:rsidR="00A453C3" w:rsidRDefault="00A453C3" w:rsidP="0067693D">
            <w:pPr>
              <w:keepNext/>
              <w:snapToGrid w:val="0"/>
              <w:rPr>
                <w:szCs w:val="22"/>
                <w:lang w:val="lv-LV"/>
              </w:rPr>
            </w:pPr>
          </w:p>
        </w:tc>
        <w:tc>
          <w:tcPr>
            <w:tcW w:w="1688" w:type="dxa"/>
            <w:tcBorders>
              <w:top w:val="single" w:sz="4" w:space="0" w:color="000000"/>
              <w:left w:val="single" w:sz="4" w:space="0" w:color="000000"/>
              <w:bottom w:val="single" w:sz="4" w:space="0" w:color="000000"/>
              <w:right w:val="single" w:sz="4" w:space="0" w:color="000000"/>
            </w:tcBorders>
          </w:tcPr>
          <w:p w14:paraId="4A7989AA" w14:textId="77777777" w:rsidR="00A453C3" w:rsidRDefault="00A453C3" w:rsidP="0067693D">
            <w:pPr>
              <w:keepNext/>
              <w:snapToGrid w:val="0"/>
              <w:rPr>
                <w:szCs w:val="22"/>
                <w:lang w:val="lv-LV"/>
              </w:rPr>
            </w:pPr>
          </w:p>
        </w:tc>
      </w:tr>
    </w:tbl>
    <w:p w14:paraId="139A2FC2" w14:textId="77777777" w:rsidR="00A453C3" w:rsidRDefault="00A453C3" w:rsidP="00A453C3">
      <w:pPr>
        <w:ind w:left="182" w:hanging="182"/>
        <w:rPr>
          <w:rFonts w:eastAsia="PMingLiU"/>
          <w:b/>
          <w:bCs/>
          <w:szCs w:val="22"/>
          <w:lang w:val="lv-LV"/>
        </w:rPr>
      </w:pPr>
      <w:r>
        <w:rPr>
          <w:sz w:val="18"/>
          <w:szCs w:val="18"/>
          <w:lang w:val="lv-LV"/>
        </w:rPr>
        <w:t>* Tajā skaitā arī paaugstināšanās, kas konstatēta parasto laboratorisko kontroles pasākumu laikā (skatīt turpmāko tekstu).</w:t>
      </w:r>
    </w:p>
    <w:p w14:paraId="1D26CFAA" w14:textId="04885887" w:rsidR="00A453C3" w:rsidRDefault="00A453C3" w:rsidP="00A453C3">
      <w:pPr>
        <w:ind w:left="182" w:hanging="182"/>
        <w:rPr>
          <w:sz w:val="18"/>
          <w:szCs w:val="18"/>
          <w:lang w:val="lv-LV"/>
        </w:rPr>
      </w:pPr>
      <w:r w:rsidRPr="00925E27">
        <w:rPr>
          <w:sz w:val="18"/>
          <w:szCs w:val="18"/>
          <w:vertAlign w:val="superscript"/>
          <w:lang w:val="lv-LV"/>
        </w:rPr>
        <w:t>1</w:t>
      </w:r>
      <w:r>
        <w:rPr>
          <w:sz w:val="18"/>
          <w:szCs w:val="18"/>
          <w:lang w:val="lv-LV"/>
        </w:rPr>
        <w:t xml:space="preserve"> Skatīt 4.3. apakšpunktu.</w:t>
      </w:r>
    </w:p>
    <w:p w14:paraId="74F96A59" w14:textId="7DB8EA56" w:rsidR="00A453C3" w:rsidRDefault="00A453C3" w:rsidP="00A453C3">
      <w:pPr>
        <w:ind w:left="182" w:hanging="182"/>
        <w:rPr>
          <w:sz w:val="18"/>
          <w:szCs w:val="18"/>
          <w:lang w:val="lv-LV"/>
        </w:rPr>
      </w:pPr>
      <w:r w:rsidRPr="00925E27">
        <w:rPr>
          <w:sz w:val="18"/>
          <w:szCs w:val="18"/>
          <w:vertAlign w:val="superscript"/>
          <w:lang w:val="lv-LV"/>
        </w:rPr>
        <w:t>2</w:t>
      </w:r>
      <w:r>
        <w:rPr>
          <w:sz w:val="18"/>
          <w:szCs w:val="18"/>
          <w:lang w:val="lv-LV"/>
        </w:rPr>
        <w:t xml:space="preserve"> Skatīt 4.4. apakšpunktu.</w:t>
      </w:r>
    </w:p>
    <w:p w14:paraId="1F71BE03" w14:textId="3A02E765" w:rsidR="00A453C3" w:rsidRDefault="00A453C3" w:rsidP="00A453C3">
      <w:pPr>
        <w:ind w:left="142" w:hanging="142"/>
        <w:rPr>
          <w:sz w:val="18"/>
          <w:szCs w:val="18"/>
          <w:lang w:val="lv-LV"/>
        </w:rPr>
      </w:pPr>
      <w:r w:rsidRPr="007D6CFA">
        <w:rPr>
          <w:sz w:val="18"/>
          <w:szCs w:val="18"/>
          <w:vertAlign w:val="superscript"/>
          <w:lang w:val="lv-LV"/>
        </w:rPr>
        <w:t>3</w:t>
      </w:r>
      <w:r>
        <w:rPr>
          <w:sz w:val="18"/>
          <w:szCs w:val="18"/>
          <w:lang w:val="lv-LV"/>
        </w:rPr>
        <w:t xml:space="preserve"> Nevēlamā blakusparādība identificēta pēcreģistrācijas uzraudzībā, bet nav novērota kontrolētos klīniskajos pētījumos. Sastopamības biežums noteikts, aprēķinot 95% ticamības intervāla augšējo robežu, pamatojoties uz kopējo pacienta skaitu, kuri klīniskajos pētījumos lietoja tocilizumabu.</w:t>
      </w:r>
    </w:p>
    <w:bookmarkEnd w:id="493"/>
    <w:p w14:paraId="69933F4C" w14:textId="77777777" w:rsidR="00A453C3" w:rsidRDefault="00A453C3" w:rsidP="00A453C3">
      <w:pPr>
        <w:autoSpaceDE w:val="0"/>
        <w:rPr>
          <w:rFonts w:eastAsia="PMingLiU"/>
          <w:b/>
          <w:bCs/>
          <w:szCs w:val="22"/>
          <w:lang w:val="lv-LV"/>
        </w:rPr>
      </w:pPr>
    </w:p>
    <w:p w14:paraId="50F02804" w14:textId="1C73D4CD" w:rsidR="00A453C3" w:rsidRDefault="00A453C3" w:rsidP="00A453C3">
      <w:pPr>
        <w:keepNext/>
        <w:keepLines/>
        <w:autoSpaceDE w:val="0"/>
        <w:rPr>
          <w:bCs/>
          <w:szCs w:val="22"/>
          <w:lang w:val="lv-LV"/>
        </w:rPr>
      </w:pPr>
      <w:bookmarkStart w:id="499" w:name="_Hlk174608494"/>
      <w:r>
        <w:rPr>
          <w:bCs/>
          <w:szCs w:val="22"/>
          <w:u w:val="single"/>
          <w:lang w:val="lv-LV"/>
        </w:rPr>
        <w:t>Atsevišķu nevēlamo blakusparādību apraksts (subkutāna lietošana)</w:t>
      </w:r>
    </w:p>
    <w:p w14:paraId="283C0064" w14:textId="77777777" w:rsidR="00A453C3" w:rsidRPr="00707120" w:rsidRDefault="00A453C3" w:rsidP="00A453C3">
      <w:pPr>
        <w:keepNext/>
        <w:keepLines/>
        <w:autoSpaceDE w:val="0"/>
        <w:autoSpaceDN w:val="0"/>
        <w:adjustRightInd w:val="0"/>
        <w:rPr>
          <w:bCs/>
          <w:i/>
          <w:iCs/>
          <w:szCs w:val="22"/>
          <w:lang w:val="lv-LV"/>
        </w:rPr>
      </w:pPr>
      <w:r>
        <w:rPr>
          <w:rFonts w:eastAsia="SimSun"/>
          <w:bCs/>
          <w:i/>
          <w:iCs/>
          <w:szCs w:val="22"/>
          <w:lang w:val="lv-LV" w:eastAsia="zh-CN"/>
        </w:rPr>
        <w:t xml:space="preserve">Pacienti ar </w:t>
      </w:r>
      <w:r w:rsidRPr="00707120">
        <w:rPr>
          <w:rFonts w:eastAsia="SimSun"/>
          <w:bCs/>
          <w:i/>
          <w:iCs/>
          <w:szCs w:val="22"/>
          <w:lang w:val="lv-LV" w:eastAsia="zh-CN"/>
        </w:rPr>
        <w:t>RA</w:t>
      </w:r>
    </w:p>
    <w:p w14:paraId="20E7B520" w14:textId="5B20E05B" w:rsidR="00A453C3" w:rsidRDefault="00A453C3" w:rsidP="00D045B5">
      <w:pPr>
        <w:autoSpaceDE w:val="0"/>
        <w:rPr>
          <w:lang w:val="lv-LV"/>
        </w:rPr>
      </w:pPr>
      <w:r>
        <w:rPr>
          <w:lang w:val="lv-LV"/>
        </w:rPr>
        <w:t>Subkutāni lietota tocilizumaba drošums pacientiem ar RA pētīts dubultmaskētā, kontrolētā, daudzcentru pētījumā SC</w:t>
      </w:r>
      <w:r>
        <w:rPr>
          <w:lang w:val="lv-LV"/>
        </w:rPr>
        <w:noBreakHyphen/>
        <w:t>I. SC</w:t>
      </w:r>
      <w:r>
        <w:rPr>
          <w:lang w:val="lv-LV"/>
        </w:rPr>
        <w:noBreakHyphen/>
        <w:t>I bija līdzvērtīguma pētījums, kurā salīdzināja 162</w:t>
      </w:r>
      <w:r w:rsidR="00D045B5">
        <w:rPr>
          <w:lang w:val="lv-LV"/>
        </w:rPr>
        <w:t> </w:t>
      </w:r>
      <w:r>
        <w:rPr>
          <w:lang w:val="lv-LV"/>
        </w:rPr>
        <w:t xml:space="preserve">mg drošumu un efektivitāti, lietojot vienu reizi nedēļā, ar intravenozas 8 mg/kg devas drošumu un efektivitāti </w:t>
      </w:r>
      <w:r w:rsidRPr="00390A69">
        <w:rPr>
          <w:lang w:val="lv-LV"/>
        </w:rPr>
        <w:t>1262</w:t>
      </w:r>
      <w:r>
        <w:rPr>
          <w:lang w:val="lv-LV"/>
        </w:rPr>
        <w:t> </w:t>
      </w:r>
      <w:r w:rsidRPr="00390A69">
        <w:rPr>
          <w:lang w:val="lv-LV"/>
        </w:rPr>
        <w:t>pacientiem ar RA</w:t>
      </w:r>
      <w:r>
        <w:rPr>
          <w:lang w:val="lv-LV"/>
        </w:rPr>
        <w:t>.</w:t>
      </w:r>
      <w:r w:rsidRPr="00390A69">
        <w:rPr>
          <w:lang w:val="lv-LV"/>
        </w:rPr>
        <w:t xml:space="preserve"> </w:t>
      </w:r>
      <w:r>
        <w:rPr>
          <w:lang w:val="lv-LV"/>
        </w:rPr>
        <w:t>Visi pacienti saņēma pamata terapiju ar nebioloģiskiem DMARD. Subkutāni lietotam tocilizumabam novērotais drošums un imūngenitāte bija atbilstoša zināmajam intravenozi lietotā tocilizumaba drošuma profilam, un nenovēroja jaunas vai negaidītas nevēlamas zāļu blakusparādības (skatīt 1. tabulu). Subkutānas zāļu ievadīšanas grupās reakcijas injekcijas vietā novēroja biežāk nekā placebo subkutānās injekcijas gadījumā intravenozās zāļu ievadīšanas grupās.</w:t>
      </w:r>
    </w:p>
    <w:p w14:paraId="741C5A53" w14:textId="77777777" w:rsidR="00A453C3" w:rsidRDefault="00A453C3" w:rsidP="00A453C3">
      <w:pPr>
        <w:autoSpaceDE w:val="0"/>
        <w:rPr>
          <w:bCs/>
          <w:szCs w:val="22"/>
          <w:lang w:val="lv-LV"/>
        </w:rPr>
      </w:pPr>
    </w:p>
    <w:p w14:paraId="7EC209D9" w14:textId="77777777" w:rsidR="00A453C3" w:rsidRPr="00707120" w:rsidRDefault="00A453C3" w:rsidP="00A453C3">
      <w:pPr>
        <w:keepNext/>
        <w:keepLines/>
        <w:autoSpaceDE w:val="0"/>
        <w:rPr>
          <w:bCs/>
          <w:szCs w:val="22"/>
          <w:u w:val="single"/>
          <w:lang w:val="lv-LV"/>
        </w:rPr>
      </w:pPr>
      <w:r w:rsidRPr="00707120">
        <w:rPr>
          <w:bCs/>
          <w:i/>
          <w:szCs w:val="22"/>
          <w:u w:val="single"/>
          <w:lang w:val="lv-LV"/>
        </w:rPr>
        <w:t>Reakcijas injekcijas vietā</w:t>
      </w:r>
    </w:p>
    <w:p w14:paraId="7500D904" w14:textId="5454F600" w:rsidR="00A453C3" w:rsidRDefault="00A453C3" w:rsidP="00A453C3">
      <w:pPr>
        <w:keepNext/>
        <w:keepLines/>
        <w:autoSpaceDE w:val="0"/>
        <w:rPr>
          <w:bCs/>
          <w:szCs w:val="22"/>
          <w:lang w:val="lv-LV"/>
        </w:rPr>
      </w:pPr>
      <w:r>
        <w:rPr>
          <w:bCs/>
          <w:szCs w:val="22"/>
          <w:lang w:val="lv-LV"/>
        </w:rPr>
        <w:t>SC</w:t>
      </w:r>
      <w:r>
        <w:rPr>
          <w:bCs/>
          <w:szCs w:val="22"/>
          <w:lang w:val="lv-LV"/>
        </w:rPr>
        <w:noBreakHyphen/>
        <w:t xml:space="preserve">I pētījuma 6 mēnešus ilgā kontrolētā periodā reakciju biežums injekcijas vietā bija 10,1% (64/631) un 2,4% (15/631) attiecīgi vienu reizi nedēļā lietota subkutāna </w:t>
      </w:r>
      <w:r>
        <w:rPr>
          <w:szCs w:val="22"/>
          <w:lang w:val="lv-LV"/>
        </w:rPr>
        <w:t xml:space="preserve">tocilizumaba </w:t>
      </w:r>
      <w:r>
        <w:rPr>
          <w:bCs/>
          <w:szCs w:val="22"/>
          <w:lang w:val="lv-LV"/>
        </w:rPr>
        <w:t xml:space="preserve">un subkutāna placebo (intravenozas lietošanas) grupā. Šīs reakcijas injekcijas vietā (tajā skaitā eritēma, nieze, sāpes un hematoma) bija vieglas vai vidēji smagas. Vairums reakciju izzuda arī bez jebkādas terapijas, un nevienas reakcijas gadījumā nebija nepieciešama terapijas pārtraukšana. </w:t>
      </w:r>
    </w:p>
    <w:bookmarkEnd w:id="499"/>
    <w:p w14:paraId="3C927327" w14:textId="77777777" w:rsidR="00A453C3" w:rsidRDefault="00A453C3" w:rsidP="00A453C3">
      <w:pPr>
        <w:autoSpaceDE w:val="0"/>
        <w:rPr>
          <w:bCs/>
          <w:szCs w:val="22"/>
          <w:lang w:val="lv-LV"/>
        </w:rPr>
      </w:pPr>
    </w:p>
    <w:p w14:paraId="59586D04" w14:textId="77777777" w:rsidR="00A453C3" w:rsidRPr="00707120" w:rsidRDefault="00A453C3" w:rsidP="00707120">
      <w:pPr>
        <w:keepNext/>
        <w:autoSpaceDE w:val="0"/>
        <w:rPr>
          <w:bCs/>
          <w:szCs w:val="22"/>
          <w:u w:val="single"/>
          <w:lang w:val="lv-LV"/>
        </w:rPr>
      </w:pPr>
      <w:bookmarkStart w:id="500" w:name="_Hlk174608608"/>
      <w:r w:rsidRPr="00707120">
        <w:rPr>
          <w:bCs/>
          <w:i/>
          <w:szCs w:val="22"/>
          <w:u w:val="single"/>
          <w:lang w:val="lv-LV"/>
        </w:rPr>
        <w:t>Imūngenitāte</w:t>
      </w:r>
    </w:p>
    <w:p w14:paraId="305B2818" w14:textId="2AEE3E28" w:rsidR="00A453C3" w:rsidRDefault="00A453C3" w:rsidP="00A453C3">
      <w:pPr>
        <w:autoSpaceDE w:val="0"/>
        <w:rPr>
          <w:bCs/>
          <w:szCs w:val="22"/>
          <w:lang w:val="lv-LV"/>
        </w:rPr>
      </w:pPr>
      <w:r>
        <w:rPr>
          <w:bCs/>
          <w:szCs w:val="22"/>
          <w:lang w:val="lv-LV"/>
        </w:rPr>
        <w:t>SC</w:t>
      </w:r>
      <w:r>
        <w:rPr>
          <w:bCs/>
          <w:szCs w:val="22"/>
          <w:lang w:val="lv-LV"/>
        </w:rPr>
        <w:noBreakHyphen/>
        <w:t>I pētījuma 6 mēnešus ilgajā kontrolētajā periodā anti</w:t>
      </w:r>
      <w:r>
        <w:rPr>
          <w:bCs/>
          <w:szCs w:val="22"/>
          <w:lang w:val="lv-LV"/>
        </w:rPr>
        <w:noBreakHyphen/>
        <w:t>tocilizumaba antivielas noteica kopumā 625 pacientiem, kuri bija ārstēti ar tocilizumaba 162 mg devu nedēļā. Pozitīva atrade anti</w:t>
      </w:r>
      <w:r>
        <w:rPr>
          <w:bCs/>
          <w:szCs w:val="22"/>
          <w:lang w:val="lv-LV"/>
        </w:rPr>
        <w:noBreakHyphen/>
        <w:t>tocilizumaba antivielu noteikšanas testā bija pieciem pacientiem (0,8%); visiem šiem pacientiem radās neitralizējošas anti</w:t>
      </w:r>
      <w:r>
        <w:rPr>
          <w:bCs/>
          <w:szCs w:val="22"/>
          <w:lang w:val="lv-LV"/>
        </w:rPr>
        <w:noBreakHyphen/>
        <w:t>tocilizumaba antivielas. Vienam pacientam bija pozitīvs IgE izotipa testa rezultāts (0,2%).</w:t>
      </w:r>
    </w:p>
    <w:p w14:paraId="341DDAF0" w14:textId="77777777" w:rsidR="00A453C3" w:rsidRDefault="00A453C3" w:rsidP="00A453C3">
      <w:pPr>
        <w:suppressAutoHyphens w:val="0"/>
        <w:rPr>
          <w:lang w:val="lv-LV" w:eastAsia="ja-JP"/>
        </w:rPr>
      </w:pPr>
    </w:p>
    <w:p w14:paraId="78650832" w14:textId="76946385" w:rsidR="00A453C3" w:rsidRDefault="00A453C3" w:rsidP="00A453C3">
      <w:pPr>
        <w:suppressAutoHyphens w:val="0"/>
        <w:rPr>
          <w:lang w:val="lv-LV" w:eastAsia="ja-JP"/>
        </w:rPr>
      </w:pPr>
      <w:r>
        <w:rPr>
          <w:lang w:val="lv-LV" w:eastAsia="ja-JP"/>
        </w:rPr>
        <w:t xml:space="preserve">SC-II pētījuma </w:t>
      </w:r>
      <w:r>
        <w:rPr>
          <w:bCs/>
          <w:szCs w:val="22"/>
          <w:lang w:val="lv-LV"/>
        </w:rPr>
        <w:t>6 mēnešus ilgajā kontrolētajā periodā anti</w:t>
      </w:r>
      <w:r>
        <w:rPr>
          <w:bCs/>
          <w:szCs w:val="22"/>
          <w:lang w:val="lv-LV"/>
        </w:rPr>
        <w:noBreakHyphen/>
        <w:t xml:space="preserve">tocilizumaba antivielas noteica kopumā 434 pacientiem, kuri ārstēti ar </w:t>
      </w:r>
      <w:r>
        <w:rPr>
          <w:szCs w:val="22"/>
          <w:lang w:val="lv-LV"/>
        </w:rPr>
        <w:t xml:space="preserve">tocilizumaba </w:t>
      </w:r>
      <w:r>
        <w:rPr>
          <w:bCs/>
          <w:szCs w:val="22"/>
          <w:lang w:val="lv-LV"/>
        </w:rPr>
        <w:t>162 mg devu katru otro nedēļu. Pozitīva atrade anti</w:t>
      </w:r>
      <w:r>
        <w:rPr>
          <w:bCs/>
          <w:szCs w:val="22"/>
          <w:lang w:val="lv-LV"/>
        </w:rPr>
        <w:noBreakHyphen/>
        <w:t>tocilizumaba antivielu noteikšanas testā bija septiņiem pacientiem (1,6%); sešiem no šiem pacientiem (1,4%) radās neitralizējošas anti</w:t>
      </w:r>
      <w:r>
        <w:rPr>
          <w:bCs/>
          <w:szCs w:val="22"/>
          <w:lang w:val="lv-LV"/>
        </w:rPr>
        <w:noBreakHyphen/>
        <w:t xml:space="preserve">tocilizumaba antivielas. </w:t>
      </w:r>
      <w:r>
        <w:rPr>
          <w:lang w:val="lv-LV" w:eastAsia="ja-JP"/>
        </w:rPr>
        <w:t>Četriem pacientiem bija pozitīvs IgE izotipa testa rezultāts (0,9%).</w:t>
      </w:r>
    </w:p>
    <w:bookmarkEnd w:id="500"/>
    <w:p w14:paraId="56F84C4A" w14:textId="77777777" w:rsidR="00A453C3" w:rsidRDefault="00A453C3" w:rsidP="00A453C3">
      <w:pPr>
        <w:autoSpaceDE w:val="0"/>
        <w:rPr>
          <w:bCs/>
          <w:szCs w:val="22"/>
          <w:lang w:val="lv-LV"/>
        </w:rPr>
      </w:pPr>
    </w:p>
    <w:p w14:paraId="0E93A2E7" w14:textId="77777777" w:rsidR="00A453C3" w:rsidRDefault="00A453C3" w:rsidP="00A453C3">
      <w:pPr>
        <w:autoSpaceDE w:val="0"/>
        <w:rPr>
          <w:bCs/>
          <w:szCs w:val="22"/>
          <w:lang w:val="lv-LV"/>
        </w:rPr>
      </w:pPr>
      <w:r>
        <w:rPr>
          <w:bCs/>
          <w:szCs w:val="22"/>
          <w:lang w:val="lv-LV"/>
        </w:rPr>
        <w:t xml:space="preserve">Antivielu veidošanās saistība ar klīnisko atbildes reakciju vai nevēlamām blakusparādībām nav novērota. </w:t>
      </w:r>
    </w:p>
    <w:p w14:paraId="50DD4099" w14:textId="77777777" w:rsidR="00A453C3" w:rsidRDefault="00A453C3" w:rsidP="00A453C3">
      <w:pPr>
        <w:autoSpaceDE w:val="0"/>
        <w:rPr>
          <w:bCs/>
          <w:szCs w:val="22"/>
          <w:lang w:val="lv-LV"/>
        </w:rPr>
      </w:pPr>
    </w:p>
    <w:p w14:paraId="5DB73F3B" w14:textId="040D3E4A" w:rsidR="00A453C3" w:rsidRPr="00707120" w:rsidRDefault="00A453C3" w:rsidP="00A453C3">
      <w:pPr>
        <w:keepNext/>
        <w:autoSpaceDE w:val="0"/>
        <w:rPr>
          <w:bCs/>
          <w:szCs w:val="22"/>
          <w:u w:val="single"/>
          <w:lang w:val="lv-LV"/>
        </w:rPr>
      </w:pPr>
      <w:bookmarkStart w:id="501" w:name="_Hlk174608706"/>
      <w:r w:rsidRPr="00707120">
        <w:rPr>
          <w:bCs/>
          <w:i/>
          <w:szCs w:val="22"/>
          <w:u w:val="single"/>
          <w:lang w:val="lv-LV"/>
        </w:rPr>
        <w:t>Neitrofilie leikocīti</w:t>
      </w:r>
    </w:p>
    <w:p w14:paraId="5A01A5F4" w14:textId="5D0A9855" w:rsidR="00A453C3" w:rsidRDefault="00A453C3" w:rsidP="00A453C3">
      <w:pPr>
        <w:keepNext/>
        <w:autoSpaceDE w:val="0"/>
        <w:rPr>
          <w:bCs/>
          <w:szCs w:val="22"/>
          <w:lang w:val="lv-LV"/>
        </w:rPr>
      </w:pPr>
      <w:r>
        <w:rPr>
          <w:szCs w:val="22"/>
          <w:lang w:val="lv-LV"/>
        </w:rPr>
        <w:t xml:space="preserve">Tocilizumaba </w:t>
      </w:r>
      <w:r>
        <w:rPr>
          <w:bCs/>
          <w:szCs w:val="22"/>
          <w:lang w:val="lv-LV"/>
        </w:rPr>
        <w:t>6 mēnešus ilgajā SC</w:t>
      </w:r>
      <w:r>
        <w:rPr>
          <w:bCs/>
          <w:szCs w:val="22"/>
          <w:lang w:val="lv-LV"/>
        </w:rPr>
        <w:noBreakHyphen/>
        <w:t>I kontrolētā klīniskajā pētījuma parastās laboratoriskās kontroles laikā neitrofilo leikocītu skaita samazināšanās līdz &lt; 1 × 10</w:t>
      </w:r>
      <w:r>
        <w:rPr>
          <w:bCs/>
          <w:szCs w:val="22"/>
          <w:vertAlign w:val="superscript"/>
          <w:lang w:val="lv-LV"/>
        </w:rPr>
        <w:t>9</w:t>
      </w:r>
      <w:r>
        <w:rPr>
          <w:bCs/>
          <w:szCs w:val="22"/>
          <w:lang w:val="lv-LV"/>
        </w:rPr>
        <w:t xml:space="preserve">/l radās 2,9% pacientu, kuriem zāles ievadīja subkutāni vienu reizi nedēļā. </w:t>
      </w:r>
    </w:p>
    <w:p w14:paraId="0C487496" w14:textId="77777777" w:rsidR="00A453C3" w:rsidRDefault="00A453C3" w:rsidP="00A453C3">
      <w:pPr>
        <w:autoSpaceDE w:val="0"/>
        <w:rPr>
          <w:bCs/>
          <w:szCs w:val="22"/>
          <w:lang w:val="lv-LV"/>
        </w:rPr>
      </w:pPr>
    </w:p>
    <w:p w14:paraId="52AD4408" w14:textId="04E623B6" w:rsidR="00A453C3" w:rsidRDefault="00A453C3" w:rsidP="00A453C3">
      <w:pPr>
        <w:autoSpaceDE w:val="0"/>
        <w:rPr>
          <w:bCs/>
          <w:szCs w:val="22"/>
          <w:lang w:val="lv-LV"/>
        </w:rPr>
      </w:pPr>
      <w:r>
        <w:rPr>
          <w:bCs/>
          <w:szCs w:val="22"/>
          <w:lang w:val="lv-LV"/>
        </w:rPr>
        <w:t>Neitrofilo leikocītu skaita samazināšanās līdz &lt; 1 × 10</w:t>
      </w:r>
      <w:r>
        <w:rPr>
          <w:bCs/>
          <w:szCs w:val="22"/>
          <w:vertAlign w:val="superscript"/>
          <w:lang w:val="lv-LV"/>
        </w:rPr>
        <w:t>9</w:t>
      </w:r>
      <w:r>
        <w:rPr>
          <w:bCs/>
          <w:szCs w:val="22"/>
          <w:lang w:val="lv-LV"/>
        </w:rPr>
        <w:t xml:space="preserve">/l nebija skaidri saistīta ar nopietnu infekciju rašanos. </w:t>
      </w:r>
    </w:p>
    <w:p w14:paraId="5C17C0D2" w14:textId="77777777" w:rsidR="00A453C3" w:rsidRDefault="00A453C3" w:rsidP="00A453C3">
      <w:pPr>
        <w:autoSpaceDE w:val="0"/>
        <w:rPr>
          <w:bCs/>
          <w:szCs w:val="22"/>
          <w:lang w:val="lv-LV"/>
        </w:rPr>
      </w:pPr>
    </w:p>
    <w:p w14:paraId="164D10EF" w14:textId="77777777" w:rsidR="00A453C3" w:rsidRPr="00707120" w:rsidRDefault="00A453C3" w:rsidP="00A453C3">
      <w:pPr>
        <w:keepNext/>
        <w:keepLines/>
        <w:autoSpaceDE w:val="0"/>
        <w:rPr>
          <w:bCs/>
          <w:szCs w:val="22"/>
          <w:u w:val="single"/>
          <w:lang w:val="lv-LV"/>
        </w:rPr>
      </w:pPr>
      <w:r w:rsidRPr="00707120">
        <w:rPr>
          <w:bCs/>
          <w:i/>
          <w:szCs w:val="22"/>
          <w:u w:val="single"/>
          <w:lang w:val="lv-LV"/>
        </w:rPr>
        <w:t>Trombocīti</w:t>
      </w:r>
    </w:p>
    <w:p w14:paraId="258F4FBB" w14:textId="6E39CFC1" w:rsidR="00A453C3" w:rsidRDefault="00A453C3" w:rsidP="00A453C3">
      <w:pPr>
        <w:keepNext/>
        <w:keepLines/>
        <w:autoSpaceDE w:val="0"/>
        <w:rPr>
          <w:bCs/>
          <w:szCs w:val="22"/>
          <w:lang w:val="lv-LV"/>
        </w:rPr>
      </w:pPr>
      <w:r>
        <w:rPr>
          <w:szCs w:val="22"/>
          <w:lang w:val="lv-LV"/>
        </w:rPr>
        <w:t xml:space="preserve">Tocilizumaba </w:t>
      </w:r>
      <w:r>
        <w:rPr>
          <w:bCs/>
          <w:szCs w:val="22"/>
          <w:lang w:val="lv-LV"/>
        </w:rPr>
        <w:t>6 mēnešus ilgajā SC</w:t>
      </w:r>
      <w:r>
        <w:rPr>
          <w:bCs/>
          <w:szCs w:val="22"/>
          <w:lang w:val="lv-LV"/>
        </w:rPr>
        <w:noBreakHyphen/>
        <w:t>I klīniskā pētījuma parastās laboratoriskās kontroles laikā trombocītu skaita samazināšanos līdz ≤ 50 × 10</w:t>
      </w:r>
      <w:r>
        <w:rPr>
          <w:bCs/>
          <w:szCs w:val="22"/>
          <w:vertAlign w:val="superscript"/>
          <w:lang w:val="lv-LV"/>
        </w:rPr>
        <w:t>3</w:t>
      </w:r>
      <w:r>
        <w:rPr>
          <w:bCs/>
          <w:szCs w:val="22"/>
          <w:lang w:val="lv-LV"/>
        </w:rPr>
        <w:t xml:space="preserve">/μl nenovēroja nevienam pacientam, kuram zāles ievadīja subkutāni vienu reizi nedēļā. </w:t>
      </w:r>
    </w:p>
    <w:p w14:paraId="05F2878A" w14:textId="77777777" w:rsidR="00A453C3" w:rsidRDefault="00A453C3">
      <w:pPr>
        <w:autoSpaceDE w:val="0"/>
        <w:rPr>
          <w:bCs/>
          <w:szCs w:val="22"/>
          <w:lang w:val="lv-LV"/>
        </w:rPr>
        <w:pPrChange w:id="502" w:author="Author">
          <w:pPr>
            <w:keepNext/>
            <w:keepLines/>
            <w:autoSpaceDE w:val="0"/>
          </w:pPr>
        </w:pPrChange>
      </w:pPr>
    </w:p>
    <w:p w14:paraId="44465B00" w14:textId="77777777" w:rsidR="00A453C3" w:rsidRPr="00707120" w:rsidRDefault="00A453C3" w:rsidP="00A453C3">
      <w:pPr>
        <w:keepNext/>
        <w:keepLines/>
        <w:autoSpaceDE w:val="0"/>
        <w:rPr>
          <w:bCs/>
          <w:szCs w:val="22"/>
          <w:u w:val="single"/>
          <w:lang w:val="lv-LV"/>
        </w:rPr>
      </w:pPr>
      <w:r w:rsidRPr="00707120">
        <w:rPr>
          <w:bCs/>
          <w:i/>
          <w:szCs w:val="22"/>
          <w:u w:val="single"/>
          <w:lang w:val="lv-LV"/>
        </w:rPr>
        <w:t>Aknu transamināžu līmeņa paaugstināšanās</w:t>
      </w:r>
    </w:p>
    <w:p w14:paraId="5A1DECBC" w14:textId="0B78043D" w:rsidR="00A453C3" w:rsidRDefault="00A453C3" w:rsidP="00A453C3">
      <w:pPr>
        <w:keepNext/>
        <w:keepLines/>
        <w:autoSpaceDE w:val="0"/>
        <w:rPr>
          <w:bCs/>
          <w:szCs w:val="22"/>
          <w:lang w:val="lv-LV"/>
        </w:rPr>
      </w:pPr>
      <w:r>
        <w:rPr>
          <w:szCs w:val="22"/>
          <w:lang w:val="lv-LV"/>
        </w:rPr>
        <w:t xml:space="preserve">Tocilizumaba </w:t>
      </w:r>
      <w:r>
        <w:rPr>
          <w:bCs/>
          <w:szCs w:val="22"/>
          <w:lang w:val="lv-LV"/>
        </w:rPr>
        <w:t>6 mēnešus ilgajā SC</w:t>
      </w:r>
      <w:r>
        <w:rPr>
          <w:bCs/>
          <w:szCs w:val="22"/>
          <w:lang w:val="lv-LV"/>
        </w:rPr>
        <w:noBreakHyphen/>
        <w:t xml:space="preserve">I kontrolētā klīniskā pētījuma parastās laboratoriskās kontroles laikā ALAT vai ASAT līmeņa paaugstināšanās līdz ≥ 3 × NAR radās attiecīgi 6,5% un 1,4% pacientu, kuriem zāles ievadīja subkutāni vienu reizi nedēļā. </w:t>
      </w:r>
    </w:p>
    <w:p w14:paraId="490FCB0D" w14:textId="77777777" w:rsidR="00A453C3" w:rsidRDefault="00A453C3" w:rsidP="00A453C3">
      <w:pPr>
        <w:autoSpaceDE w:val="0"/>
        <w:rPr>
          <w:bCs/>
          <w:szCs w:val="22"/>
          <w:lang w:val="lv-LV"/>
        </w:rPr>
      </w:pPr>
    </w:p>
    <w:p w14:paraId="7DED9AFE" w14:textId="77777777" w:rsidR="00A453C3" w:rsidRPr="00707120" w:rsidRDefault="00A453C3" w:rsidP="00A453C3">
      <w:pPr>
        <w:keepNext/>
        <w:autoSpaceDE w:val="0"/>
        <w:rPr>
          <w:bCs/>
          <w:szCs w:val="22"/>
          <w:u w:val="single"/>
          <w:lang w:val="lv-LV"/>
        </w:rPr>
      </w:pPr>
      <w:r w:rsidRPr="00707120">
        <w:rPr>
          <w:bCs/>
          <w:i/>
          <w:szCs w:val="22"/>
          <w:u w:val="single"/>
          <w:lang w:val="lv-LV"/>
        </w:rPr>
        <w:t>Lipīdu rādītāji</w:t>
      </w:r>
    </w:p>
    <w:p w14:paraId="1F600A58" w14:textId="16785BF6" w:rsidR="00A453C3" w:rsidRDefault="00A453C3" w:rsidP="00A453C3">
      <w:pPr>
        <w:rPr>
          <w:szCs w:val="22"/>
          <w:lang w:val="lv-LV"/>
        </w:rPr>
      </w:pPr>
      <w:r>
        <w:rPr>
          <w:bCs/>
          <w:szCs w:val="22"/>
          <w:lang w:val="lv-LV"/>
        </w:rPr>
        <w:t>Tocilizumaba 6 mēnešus ilgajā SC</w:t>
      </w:r>
      <w:r>
        <w:rPr>
          <w:bCs/>
          <w:szCs w:val="22"/>
          <w:lang w:val="lv-LV"/>
        </w:rPr>
        <w:noBreakHyphen/>
        <w:t xml:space="preserve">I klīniskā pētījuma parastās laboratoriskās kontroles laikā stabilu kopējā holesterīna līmeņa paaugstināšanos &gt; 6,2 mmol/l (240 mg/dl) novēroja 19% pacientu, kuriem zāles ievadīja subkutāni vienu reizi nedēļā, savukārt 9% pacientu bija stabila ZBL līmeņa paaugstināšanās līdz ≥ 4,1 mmol/l (160 mg/dl). </w:t>
      </w:r>
    </w:p>
    <w:bookmarkEnd w:id="501"/>
    <w:p w14:paraId="4279A66A" w14:textId="77777777" w:rsidR="00A453C3" w:rsidRDefault="00A453C3" w:rsidP="00A453C3">
      <w:pPr>
        <w:tabs>
          <w:tab w:val="left" w:pos="567"/>
        </w:tabs>
        <w:suppressAutoHyphens w:val="0"/>
        <w:autoSpaceDE w:val="0"/>
        <w:autoSpaceDN w:val="0"/>
        <w:adjustRightInd w:val="0"/>
        <w:jc w:val="both"/>
        <w:rPr>
          <w:snapToGrid w:val="0"/>
          <w:szCs w:val="22"/>
          <w:u w:val="single"/>
          <w:lang w:val="lv-LV" w:eastAsia="zh-CN"/>
        </w:rPr>
      </w:pPr>
    </w:p>
    <w:p w14:paraId="4FF1FF2F" w14:textId="14ADAEB3" w:rsidR="00A453C3" w:rsidRPr="00707120" w:rsidRDefault="00A453C3" w:rsidP="00A453C3">
      <w:pPr>
        <w:keepNext/>
        <w:keepLines/>
        <w:autoSpaceDE w:val="0"/>
        <w:autoSpaceDN w:val="0"/>
        <w:adjustRightInd w:val="0"/>
        <w:rPr>
          <w:rFonts w:eastAsia="SimSun"/>
          <w:bCs/>
          <w:i/>
          <w:iCs/>
          <w:lang w:val="lv-LV"/>
        </w:rPr>
      </w:pPr>
      <w:r>
        <w:rPr>
          <w:bCs/>
          <w:i/>
          <w:iCs/>
          <w:lang w:val="lv-LV"/>
        </w:rPr>
        <w:t xml:space="preserve">Pacienti ar </w:t>
      </w:r>
      <w:r w:rsidRPr="00707120">
        <w:rPr>
          <w:bCs/>
          <w:i/>
          <w:iCs/>
          <w:lang w:val="lv-LV"/>
        </w:rPr>
        <w:t>sJIA</w:t>
      </w:r>
    </w:p>
    <w:p w14:paraId="11D77D47" w14:textId="6EB2857A" w:rsidR="00A453C3" w:rsidRPr="0081501B" w:rsidRDefault="00A453C3" w:rsidP="00A453C3">
      <w:pPr>
        <w:keepNext/>
        <w:keepLines/>
        <w:rPr>
          <w:lang w:val="lv-LV"/>
        </w:rPr>
      </w:pPr>
      <w:r w:rsidRPr="0081501B">
        <w:rPr>
          <w:lang w:val="lv-LV"/>
        </w:rPr>
        <w:t xml:space="preserve">Subkutāni lietota </w:t>
      </w:r>
      <w:r>
        <w:rPr>
          <w:lang w:val="lv-LV"/>
        </w:rPr>
        <w:t>tocilizumaba</w:t>
      </w:r>
      <w:r w:rsidRPr="0081501B">
        <w:rPr>
          <w:lang w:val="lv-LV"/>
        </w:rPr>
        <w:t xml:space="preserve"> drošuma profils vērtēts 51</w:t>
      </w:r>
      <w:r>
        <w:rPr>
          <w:lang w:val="lv-LV"/>
        </w:rPr>
        <w:t> </w:t>
      </w:r>
      <w:r w:rsidRPr="0081501B">
        <w:rPr>
          <w:lang w:val="lv-LV"/>
        </w:rPr>
        <w:t>pediatriskajam pacientam (vecums no 1</w:t>
      </w:r>
      <w:r>
        <w:rPr>
          <w:lang w:val="lv-LV"/>
        </w:rPr>
        <w:t> </w:t>
      </w:r>
      <w:r w:rsidRPr="0081501B">
        <w:rPr>
          <w:lang w:val="lv-LV"/>
        </w:rPr>
        <w:t>līdz 17</w:t>
      </w:r>
      <w:r>
        <w:rPr>
          <w:lang w:val="lv-LV"/>
        </w:rPr>
        <w:t> </w:t>
      </w:r>
      <w:r w:rsidRPr="0081501B">
        <w:rPr>
          <w:lang w:val="lv-LV"/>
        </w:rPr>
        <w:t xml:space="preserve">gadiem) ar sJIA. Kopumā nevēlamās blakusparādības pacientiem ar sJIA bija līdzīgas </w:t>
      </w:r>
      <w:r>
        <w:rPr>
          <w:lang w:val="lv-LV"/>
        </w:rPr>
        <w:t xml:space="preserve">kā </w:t>
      </w:r>
      <w:r w:rsidRPr="0081501B">
        <w:rPr>
          <w:lang w:val="lv-LV"/>
        </w:rPr>
        <w:t>pacientiem ar RA novērot</w:t>
      </w:r>
      <w:r>
        <w:rPr>
          <w:lang w:val="lv-LV"/>
        </w:rPr>
        <w:t>ās</w:t>
      </w:r>
      <w:r w:rsidRPr="0081501B">
        <w:rPr>
          <w:lang w:val="lv-LV"/>
        </w:rPr>
        <w:t xml:space="preserve"> (skatīt </w:t>
      </w:r>
      <w:r>
        <w:rPr>
          <w:lang w:val="lv-LV"/>
        </w:rPr>
        <w:t>4.8. </w:t>
      </w:r>
      <w:r w:rsidRPr="0081501B">
        <w:rPr>
          <w:lang w:val="lv-LV"/>
        </w:rPr>
        <w:t xml:space="preserve">apakšpunktu). </w:t>
      </w:r>
    </w:p>
    <w:p w14:paraId="12EDC00C" w14:textId="77777777" w:rsidR="00A453C3" w:rsidRPr="0081501B" w:rsidRDefault="00A453C3" w:rsidP="00A453C3">
      <w:pPr>
        <w:rPr>
          <w:lang w:val="lv-LV"/>
        </w:rPr>
      </w:pPr>
    </w:p>
    <w:p w14:paraId="45ED4920" w14:textId="77777777" w:rsidR="00A453C3" w:rsidRPr="00707120" w:rsidRDefault="00A453C3" w:rsidP="00A453C3">
      <w:pPr>
        <w:rPr>
          <w:i/>
          <w:u w:val="single"/>
          <w:lang w:val="lv-LV"/>
        </w:rPr>
      </w:pPr>
      <w:r w:rsidRPr="00707120">
        <w:rPr>
          <w:i/>
          <w:u w:val="single"/>
          <w:lang w:val="lv-LV"/>
        </w:rPr>
        <w:t>Infekcijas</w:t>
      </w:r>
    </w:p>
    <w:p w14:paraId="3B1B3661" w14:textId="06F4B032" w:rsidR="00A453C3" w:rsidRPr="0081501B" w:rsidRDefault="00A453C3" w:rsidP="00A453C3">
      <w:pPr>
        <w:rPr>
          <w:lang w:val="lv-LV"/>
        </w:rPr>
      </w:pPr>
      <w:r w:rsidRPr="0081501B">
        <w:rPr>
          <w:lang w:val="lv-LV"/>
        </w:rPr>
        <w:t xml:space="preserve">Infekciju </w:t>
      </w:r>
      <w:r>
        <w:rPr>
          <w:lang w:val="lv-LV"/>
        </w:rPr>
        <w:t>rādītājs</w:t>
      </w:r>
      <w:r w:rsidRPr="0081501B">
        <w:rPr>
          <w:lang w:val="lv-LV"/>
        </w:rPr>
        <w:t xml:space="preserve"> pacientiem ar sJIA, kuri </w:t>
      </w:r>
      <w:r>
        <w:rPr>
          <w:lang w:val="lv-LV"/>
        </w:rPr>
        <w:t xml:space="preserve">tocilizumabu </w:t>
      </w:r>
      <w:r w:rsidRPr="0081501B">
        <w:rPr>
          <w:lang w:val="lv-LV"/>
        </w:rPr>
        <w:t xml:space="preserve">saņēma </w:t>
      </w:r>
      <w:r>
        <w:rPr>
          <w:lang w:val="lv-LV"/>
        </w:rPr>
        <w:t>subkutāni</w:t>
      </w:r>
      <w:r w:rsidRPr="0081501B">
        <w:rPr>
          <w:lang w:val="lv-LV"/>
        </w:rPr>
        <w:t xml:space="preserve">, bija līdzīgs kā pacientiem ar sJIA, kuri </w:t>
      </w:r>
      <w:r>
        <w:rPr>
          <w:lang w:val="lv-LV"/>
        </w:rPr>
        <w:t xml:space="preserve">tocilizumabu </w:t>
      </w:r>
      <w:r w:rsidRPr="0081501B">
        <w:rPr>
          <w:lang w:val="lv-LV"/>
        </w:rPr>
        <w:t xml:space="preserve">saņēma </w:t>
      </w:r>
      <w:r>
        <w:rPr>
          <w:lang w:val="lv-LV"/>
        </w:rPr>
        <w:t>intravenozi</w:t>
      </w:r>
      <w:r w:rsidRPr="0081501B">
        <w:rPr>
          <w:lang w:val="lv-LV"/>
        </w:rPr>
        <w:t>.</w:t>
      </w:r>
    </w:p>
    <w:p w14:paraId="1E01F458" w14:textId="77777777" w:rsidR="00A453C3" w:rsidRPr="0081501B" w:rsidRDefault="00A453C3" w:rsidP="00A453C3">
      <w:pPr>
        <w:rPr>
          <w:lang w:val="lv-LV"/>
        </w:rPr>
      </w:pPr>
    </w:p>
    <w:p w14:paraId="4C0783EC" w14:textId="77777777" w:rsidR="00A453C3" w:rsidRPr="00707120" w:rsidRDefault="00A453C3" w:rsidP="00A453C3">
      <w:pPr>
        <w:rPr>
          <w:i/>
          <w:u w:val="single"/>
          <w:lang w:val="lv-LV"/>
        </w:rPr>
      </w:pPr>
      <w:bookmarkStart w:id="503" w:name="_Hlk174608956"/>
      <w:r w:rsidRPr="00707120">
        <w:rPr>
          <w:i/>
          <w:u w:val="single"/>
          <w:lang w:val="lv-LV"/>
        </w:rPr>
        <w:t xml:space="preserve">Reakcijas injekcijas vietā (RIV) </w:t>
      </w:r>
    </w:p>
    <w:p w14:paraId="575CD82A" w14:textId="2CB2A0D3" w:rsidR="00A453C3" w:rsidRPr="0081501B" w:rsidRDefault="00A453C3" w:rsidP="00A453C3">
      <w:pPr>
        <w:rPr>
          <w:lang w:val="lv-LV"/>
        </w:rPr>
      </w:pPr>
      <w:r>
        <w:rPr>
          <w:lang w:val="lv-LV"/>
        </w:rPr>
        <w:t>Subkutānās</w:t>
      </w:r>
      <w:r w:rsidRPr="0081501B">
        <w:rPr>
          <w:lang w:val="lv-LV"/>
        </w:rPr>
        <w:t xml:space="preserve"> terapijas pētījumā (WA28118) kopumā 41,2% (21/51) pacientu ar sJIA radās RIV, </w:t>
      </w:r>
      <w:r>
        <w:rPr>
          <w:lang w:val="lv-LV"/>
        </w:rPr>
        <w:t xml:space="preserve">tocilizumabu </w:t>
      </w:r>
      <w:r w:rsidRPr="0081501B">
        <w:rPr>
          <w:lang w:val="lv-LV"/>
        </w:rPr>
        <w:t xml:space="preserve">lietojot </w:t>
      </w:r>
      <w:r>
        <w:rPr>
          <w:lang w:val="lv-LV"/>
        </w:rPr>
        <w:t>subkutāni</w:t>
      </w:r>
      <w:r w:rsidRPr="0081501B">
        <w:rPr>
          <w:lang w:val="lv-LV"/>
        </w:rPr>
        <w:t>. Biežākās RIV bija eritēma, nieze, sāpes un pietūkums injekcijas vietā. Lielākā daļa ziņoto RIV bija 1.</w:t>
      </w:r>
      <w:r>
        <w:rPr>
          <w:lang w:val="lv-LV"/>
        </w:rPr>
        <w:t> </w:t>
      </w:r>
      <w:r w:rsidRPr="0081501B">
        <w:rPr>
          <w:lang w:val="lv-LV"/>
        </w:rPr>
        <w:t>pakāpes notikumi, un visi ziņotie gadījumi bija nebūtiski, un to dēļ pacientiem nebija j</w:t>
      </w:r>
      <w:r>
        <w:rPr>
          <w:lang w:val="lv-LV"/>
        </w:rPr>
        <w:t>ā</w:t>
      </w:r>
      <w:r w:rsidRPr="0081501B">
        <w:rPr>
          <w:lang w:val="lv-LV"/>
        </w:rPr>
        <w:t>pārtrau</w:t>
      </w:r>
      <w:r>
        <w:rPr>
          <w:lang w:val="lv-LV"/>
        </w:rPr>
        <w:t>c</w:t>
      </w:r>
      <w:r w:rsidRPr="0081501B">
        <w:rPr>
          <w:lang w:val="lv-LV"/>
        </w:rPr>
        <w:t xml:space="preserve"> vai </w:t>
      </w:r>
      <w:r>
        <w:rPr>
          <w:lang w:val="lv-LV"/>
        </w:rPr>
        <w:t>jāiz</w:t>
      </w:r>
      <w:r w:rsidRPr="0081501B">
        <w:rPr>
          <w:lang w:val="lv-LV"/>
        </w:rPr>
        <w:t>bei</w:t>
      </w:r>
      <w:r>
        <w:rPr>
          <w:lang w:val="lv-LV"/>
        </w:rPr>
        <w:t>dz</w:t>
      </w:r>
      <w:r w:rsidRPr="0081501B">
        <w:rPr>
          <w:lang w:val="lv-LV"/>
        </w:rPr>
        <w:t xml:space="preserve"> šo zāļu lietošan</w:t>
      </w:r>
      <w:r>
        <w:rPr>
          <w:lang w:val="lv-LV"/>
        </w:rPr>
        <w:t>a</w:t>
      </w:r>
      <w:r w:rsidRPr="0081501B">
        <w:rPr>
          <w:lang w:val="lv-LV"/>
        </w:rPr>
        <w:t>.</w:t>
      </w:r>
    </w:p>
    <w:p w14:paraId="1FDD9E86" w14:textId="77777777" w:rsidR="00A453C3" w:rsidRPr="0081501B" w:rsidRDefault="00A453C3" w:rsidP="00A453C3">
      <w:pPr>
        <w:rPr>
          <w:rFonts w:eastAsia="MS Mincho"/>
          <w:lang w:val="lv-LV"/>
        </w:rPr>
      </w:pPr>
    </w:p>
    <w:p w14:paraId="1417374D" w14:textId="77777777" w:rsidR="00A453C3" w:rsidRPr="00707120" w:rsidRDefault="00A453C3" w:rsidP="00A453C3">
      <w:pPr>
        <w:rPr>
          <w:rFonts w:eastAsia="MS Mincho"/>
          <w:i/>
          <w:u w:val="single"/>
          <w:lang w:val="lv-LV"/>
        </w:rPr>
      </w:pPr>
      <w:r w:rsidRPr="00707120">
        <w:rPr>
          <w:i/>
          <w:u w:val="single"/>
          <w:lang w:val="lv-LV"/>
        </w:rPr>
        <w:t>Imūngenitāte</w:t>
      </w:r>
    </w:p>
    <w:p w14:paraId="59B1366D" w14:textId="6BB6541C" w:rsidR="00A453C3" w:rsidRPr="00E1075D" w:rsidRDefault="00A453C3" w:rsidP="00A453C3">
      <w:pPr>
        <w:rPr>
          <w:rFonts w:eastAsia="MS Mincho"/>
          <w:lang w:val="lv-LV"/>
        </w:rPr>
      </w:pPr>
      <w:r>
        <w:rPr>
          <w:lang w:val="lv-LV"/>
        </w:rPr>
        <w:t>Subkutānas</w:t>
      </w:r>
      <w:r w:rsidRPr="00E1075D">
        <w:rPr>
          <w:lang w:val="lv-LV"/>
        </w:rPr>
        <w:t xml:space="preserve"> terapijas pētījumā (WA28118) 46</w:t>
      </w:r>
      <w:r>
        <w:rPr>
          <w:lang w:val="lv-LV"/>
        </w:rPr>
        <w:t> </w:t>
      </w:r>
      <w:r w:rsidRPr="00E1075D">
        <w:rPr>
          <w:lang w:val="lv-LV"/>
        </w:rPr>
        <w:t>no 51</w:t>
      </w:r>
      <w:r>
        <w:rPr>
          <w:lang w:val="lv-LV"/>
        </w:rPr>
        <w:t> </w:t>
      </w:r>
      <w:r w:rsidRPr="00E1075D">
        <w:rPr>
          <w:lang w:val="lv-LV"/>
        </w:rPr>
        <w:t xml:space="preserve">pacienta (90,2%), kuram pētījuma sākumā pārbaudīja antivielas pret tocilizumabu, bija vismaz viens skrīninga testa rezultāts pēc pētījuma sākuma. Nevienam pacientam neizveidojās pozitīvs antivielu pret tocilizumabu statuss pēc pētījuma sākuma. </w:t>
      </w:r>
    </w:p>
    <w:bookmarkEnd w:id="503"/>
    <w:p w14:paraId="7E81C8F0" w14:textId="77777777" w:rsidR="00A453C3" w:rsidRPr="00E1075D" w:rsidRDefault="00A453C3" w:rsidP="00A453C3">
      <w:pPr>
        <w:rPr>
          <w:rFonts w:eastAsia="MS Mincho"/>
          <w:lang w:val="lv-LV"/>
        </w:rPr>
      </w:pPr>
    </w:p>
    <w:p w14:paraId="54069B1E" w14:textId="77777777" w:rsidR="00A453C3" w:rsidRPr="00707120" w:rsidRDefault="00A453C3" w:rsidP="00A453C3">
      <w:pPr>
        <w:keepNext/>
        <w:keepLines/>
        <w:rPr>
          <w:i/>
          <w:u w:val="single"/>
          <w:lang w:val="lv-LV"/>
        </w:rPr>
      </w:pPr>
      <w:bookmarkStart w:id="504" w:name="_Hlk174609014"/>
      <w:r w:rsidRPr="00707120">
        <w:rPr>
          <w:i/>
          <w:u w:val="single"/>
          <w:lang w:val="lv-LV"/>
        </w:rPr>
        <w:t>Laboratorisko rādītāju novirzes</w:t>
      </w:r>
    </w:p>
    <w:p w14:paraId="1C79B886" w14:textId="5BEBD5AD" w:rsidR="00A453C3" w:rsidRPr="00E1075D" w:rsidRDefault="00A453C3" w:rsidP="00A453C3">
      <w:pPr>
        <w:rPr>
          <w:rFonts w:eastAsia="SimSun"/>
          <w:lang w:val="lv-LV"/>
        </w:rPr>
      </w:pPr>
      <w:r>
        <w:rPr>
          <w:lang w:val="lv-LV"/>
        </w:rPr>
        <w:t>Atklātā</w:t>
      </w:r>
      <w:r w:rsidRPr="00E1075D">
        <w:rPr>
          <w:lang w:val="lv-LV"/>
        </w:rPr>
        <w:t xml:space="preserve"> 52</w:t>
      </w:r>
      <w:r>
        <w:rPr>
          <w:lang w:val="lv-LV"/>
        </w:rPr>
        <w:t> </w:t>
      </w:r>
      <w:r w:rsidRPr="00E1075D">
        <w:rPr>
          <w:lang w:val="lv-LV"/>
        </w:rPr>
        <w:t xml:space="preserve">nedēļu </w:t>
      </w:r>
      <w:r>
        <w:rPr>
          <w:lang w:val="lv-LV"/>
        </w:rPr>
        <w:t>subkutānās</w:t>
      </w:r>
      <w:r w:rsidRPr="00E1075D">
        <w:rPr>
          <w:lang w:val="lv-LV"/>
        </w:rPr>
        <w:t xml:space="preserve"> terapijas pētījumā (WA28118) 23,5% pacientu, kuri </w:t>
      </w:r>
      <w:r>
        <w:rPr>
          <w:lang w:val="lv-LV"/>
        </w:rPr>
        <w:t xml:space="preserve">tocilizumabu </w:t>
      </w:r>
      <w:r w:rsidRPr="00E1075D">
        <w:rPr>
          <w:lang w:val="lv-LV"/>
        </w:rPr>
        <w:t xml:space="preserve">saņēma </w:t>
      </w:r>
      <w:r>
        <w:rPr>
          <w:lang w:val="lv-LV"/>
        </w:rPr>
        <w:t>subkutāni</w:t>
      </w:r>
      <w:r w:rsidRPr="00E1075D">
        <w:rPr>
          <w:lang w:val="lv-LV"/>
        </w:rPr>
        <w:t>, neitrofilo leikocītu skaits samazinājās zem 1</w:t>
      </w:r>
      <w:r>
        <w:rPr>
          <w:lang w:val="lv-LV"/>
        </w:rPr>
        <w:t> </w:t>
      </w:r>
      <w:r w:rsidRPr="00E1075D">
        <w:rPr>
          <w:lang w:val="lv-LV"/>
        </w:rPr>
        <w:t>×</w:t>
      </w:r>
      <w:r>
        <w:rPr>
          <w:lang w:val="lv-LV"/>
        </w:rPr>
        <w:t> </w:t>
      </w:r>
      <w:r w:rsidRPr="00E1075D">
        <w:rPr>
          <w:lang w:val="lv-LV"/>
        </w:rPr>
        <w:t>10</w:t>
      </w:r>
      <w:r w:rsidRPr="00E1075D">
        <w:rPr>
          <w:vertAlign w:val="superscript"/>
          <w:lang w:val="lv-LV"/>
        </w:rPr>
        <w:t>9</w:t>
      </w:r>
      <w:r w:rsidRPr="00E1075D">
        <w:rPr>
          <w:lang w:val="lv-LV"/>
        </w:rPr>
        <w:t xml:space="preserve">/l. 2% pacientu, kuri </w:t>
      </w:r>
      <w:r>
        <w:rPr>
          <w:lang w:val="lv-LV"/>
        </w:rPr>
        <w:t xml:space="preserve">tocilizumabu </w:t>
      </w:r>
      <w:r w:rsidRPr="00E1075D">
        <w:rPr>
          <w:lang w:val="lv-LV"/>
        </w:rPr>
        <w:t xml:space="preserve">saņēma </w:t>
      </w:r>
      <w:r>
        <w:rPr>
          <w:lang w:val="lv-LV"/>
        </w:rPr>
        <w:t>subkutāni</w:t>
      </w:r>
      <w:r w:rsidRPr="00E1075D">
        <w:rPr>
          <w:lang w:val="lv-LV"/>
        </w:rPr>
        <w:t>, trombocītu skaits samazinājās zem 100</w:t>
      </w:r>
      <w:r>
        <w:rPr>
          <w:lang w:val="lv-LV"/>
        </w:rPr>
        <w:t> </w:t>
      </w:r>
      <w:r w:rsidRPr="00E1075D">
        <w:rPr>
          <w:lang w:val="lv-LV"/>
        </w:rPr>
        <w:t>×</w:t>
      </w:r>
      <w:r>
        <w:rPr>
          <w:lang w:val="lv-LV"/>
        </w:rPr>
        <w:t> </w:t>
      </w:r>
      <w:r w:rsidRPr="00E1075D">
        <w:rPr>
          <w:lang w:val="lv-LV"/>
        </w:rPr>
        <w:t>10</w:t>
      </w:r>
      <w:r w:rsidRPr="00E1075D">
        <w:rPr>
          <w:vertAlign w:val="superscript"/>
          <w:lang w:val="lv-LV"/>
        </w:rPr>
        <w:t>3</w:t>
      </w:r>
      <w:r w:rsidRPr="00E1075D">
        <w:rPr>
          <w:lang w:val="lv-LV"/>
        </w:rPr>
        <w:t>/</w:t>
      </w:r>
      <w:r>
        <w:t>μ</w:t>
      </w:r>
      <w:r w:rsidRPr="00E1075D">
        <w:rPr>
          <w:lang w:val="lv-LV"/>
        </w:rPr>
        <w:t xml:space="preserve">l. Attiecīgi 9,8% un 4,0% pacientu, kuri </w:t>
      </w:r>
      <w:r>
        <w:rPr>
          <w:lang w:val="lv-LV"/>
        </w:rPr>
        <w:t xml:space="preserve">tocilizumabu </w:t>
      </w:r>
      <w:r w:rsidRPr="00E1075D">
        <w:rPr>
          <w:lang w:val="lv-LV"/>
        </w:rPr>
        <w:t xml:space="preserve">saņēma </w:t>
      </w:r>
      <w:r>
        <w:rPr>
          <w:lang w:val="lv-LV"/>
        </w:rPr>
        <w:t>subkutāni</w:t>
      </w:r>
      <w:r w:rsidRPr="00E1075D">
        <w:rPr>
          <w:lang w:val="lv-LV"/>
        </w:rPr>
        <w:t>, ALAT vai ASAT koncentrācija paaugstinājās līdz ≥</w:t>
      </w:r>
      <w:r>
        <w:rPr>
          <w:lang w:val="lv-LV"/>
        </w:rPr>
        <w:t> </w:t>
      </w:r>
      <w:r w:rsidRPr="00E1075D">
        <w:rPr>
          <w:lang w:val="lv-LV"/>
        </w:rPr>
        <w:t>3</w:t>
      </w:r>
      <w:r>
        <w:rPr>
          <w:lang w:val="lv-LV"/>
        </w:rPr>
        <w:t> × </w:t>
      </w:r>
      <w:del w:id="505" w:author="Author">
        <w:r w:rsidRPr="00E1075D" w:rsidDel="00CE6B8D">
          <w:rPr>
            <w:lang w:val="lv-LV"/>
          </w:rPr>
          <w:delText xml:space="preserve"> </w:delText>
        </w:r>
      </w:del>
      <w:r w:rsidRPr="00E1075D">
        <w:rPr>
          <w:lang w:val="lv-LV"/>
        </w:rPr>
        <w:t xml:space="preserve">NAR. </w:t>
      </w:r>
    </w:p>
    <w:p w14:paraId="04A8B25E" w14:textId="77777777" w:rsidR="00A453C3" w:rsidRPr="00E1075D" w:rsidRDefault="00A453C3" w:rsidP="00A453C3">
      <w:pPr>
        <w:rPr>
          <w:rFonts w:eastAsia="SimSun"/>
          <w:lang w:val="lv-LV"/>
        </w:rPr>
      </w:pPr>
    </w:p>
    <w:p w14:paraId="56CF70C7" w14:textId="77777777" w:rsidR="00A453C3" w:rsidRPr="00707120" w:rsidRDefault="00A453C3" w:rsidP="00707120">
      <w:pPr>
        <w:keepNext/>
        <w:keepLines/>
        <w:autoSpaceDE w:val="0"/>
        <w:autoSpaceDN w:val="0"/>
        <w:adjustRightInd w:val="0"/>
        <w:rPr>
          <w:i/>
          <w:u w:val="single"/>
          <w:lang w:val="lv-LV"/>
        </w:rPr>
      </w:pPr>
      <w:r w:rsidRPr="00707120">
        <w:rPr>
          <w:i/>
          <w:u w:val="single"/>
          <w:lang w:val="lv-LV"/>
        </w:rPr>
        <w:t>Lipīdu rādītāji</w:t>
      </w:r>
    </w:p>
    <w:p w14:paraId="6F2657B5" w14:textId="6DAA757E" w:rsidR="00A453C3" w:rsidRPr="00E1075D" w:rsidRDefault="00A453C3" w:rsidP="00677B84">
      <w:pPr>
        <w:autoSpaceDE w:val="0"/>
        <w:autoSpaceDN w:val="0"/>
        <w:adjustRightInd w:val="0"/>
        <w:rPr>
          <w:lang w:val="lv-LV"/>
        </w:rPr>
      </w:pPr>
      <w:r>
        <w:rPr>
          <w:lang w:val="lv-LV"/>
        </w:rPr>
        <w:t xml:space="preserve">Atklātā </w:t>
      </w:r>
      <w:r w:rsidRPr="00E1075D">
        <w:rPr>
          <w:lang w:val="lv-LV"/>
        </w:rPr>
        <w:t>52 nedēļ</w:t>
      </w:r>
      <w:r>
        <w:rPr>
          <w:lang w:val="lv-LV"/>
        </w:rPr>
        <w:t>as ilgā subkutānās</w:t>
      </w:r>
      <w:r w:rsidRPr="00E1075D">
        <w:rPr>
          <w:lang w:val="lv-LV"/>
        </w:rPr>
        <w:t xml:space="preserve"> terapijas pētījumā (WA28118) attiecīgi 23,4% un 35,4% pacientu pēc pētījuma sākuma ZBL holesterīna </w:t>
      </w:r>
      <w:r>
        <w:rPr>
          <w:lang w:val="lv-LV"/>
        </w:rPr>
        <w:t>rādītājs</w:t>
      </w:r>
      <w:r w:rsidRPr="00E1075D">
        <w:rPr>
          <w:lang w:val="lv-LV"/>
        </w:rPr>
        <w:t xml:space="preserve"> jebkurā brīdī pētījuma zāļu lietošanas laikā paaugstinājās līdz ≥ 130 mg/dl</w:t>
      </w:r>
      <w:r>
        <w:rPr>
          <w:lang w:val="lv-LV"/>
        </w:rPr>
        <w:t>,</w:t>
      </w:r>
      <w:r w:rsidRPr="00E1075D">
        <w:rPr>
          <w:lang w:val="lv-LV"/>
        </w:rPr>
        <w:t xml:space="preserve"> un kopējā holesterīna </w:t>
      </w:r>
      <w:r>
        <w:rPr>
          <w:lang w:val="lv-LV"/>
        </w:rPr>
        <w:t>rādītājs</w:t>
      </w:r>
      <w:r w:rsidRPr="00E1075D">
        <w:rPr>
          <w:lang w:val="lv-LV"/>
        </w:rPr>
        <w:t xml:space="preserve"> paaugstinājās līdz ≥ 200 mg/dl.</w:t>
      </w:r>
    </w:p>
    <w:bookmarkEnd w:id="504"/>
    <w:p w14:paraId="2CFFBDA8" w14:textId="77777777" w:rsidR="00A453C3" w:rsidRPr="00E1075D" w:rsidRDefault="00A453C3" w:rsidP="00A453C3">
      <w:pPr>
        <w:autoSpaceDE w:val="0"/>
        <w:autoSpaceDN w:val="0"/>
        <w:adjustRightInd w:val="0"/>
        <w:rPr>
          <w:rFonts w:eastAsia="SimSun"/>
          <w:u w:val="single"/>
          <w:lang w:val="lv-LV"/>
        </w:rPr>
      </w:pPr>
    </w:p>
    <w:p w14:paraId="6A1B9618" w14:textId="3434F8E9" w:rsidR="00A453C3" w:rsidRPr="00707120" w:rsidDel="005066A1" w:rsidRDefault="00A453C3" w:rsidP="00A453C3">
      <w:pPr>
        <w:keepNext/>
        <w:keepLines/>
        <w:autoSpaceDE w:val="0"/>
        <w:autoSpaceDN w:val="0"/>
        <w:adjustRightInd w:val="0"/>
        <w:rPr>
          <w:rFonts w:eastAsia="SimSun"/>
          <w:bCs/>
          <w:i/>
          <w:iCs/>
          <w:lang w:val="lv-LV"/>
        </w:rPr>
      </w:pPr>
      <w:r w:rsidDel="005066A1">
        <w:rPr>
          <w:bCs/>
          <w:i/>
          <w:iCs/>
          <w:lang w:val="lv-LV"/>
        </w:rPr>
        <w:t xml:space="preserve">Pacienti ar </w:t>
      </w:r>
      <w:r w:rsidRPr="00707120" w:rsidDel="005066A1">
        <w:rPr>
          <w:bCs/>
          <w:i/>
          <w:iCs/>
          <w:lang w:val="lv-LV"/>
        </w:rPr>
        <w:t>pJIA</w:t>
      </w:r>
    </w:p>
    <w:p w14:paraId="3F59FC2C" w14:textId="581A0321" w:rsidR="00A453C3" w:rsidRPr="00E1075D" w:rsidDel="005066A1" w:rsidRDefault="00A453C3" w:rsidP="00A453C3">
      <w:pPr>
        <w:keepNext/>
        <w:keepLines/>
        <w:rPr>
          <w:lang w:val="lv-LV"/>
        </w:rPr>
      </w:pPr>
      <w:bookmarkStart w:id="506" w:name="_Hlk174609096"/>
      <w:r w:rsidRPr="00E1075D" w:rsidDel="005066A1">
        <w:rPr>
          <w:lang w:val="lv-LV"/>
        </w:rPr>
        <w:t xml:space="preserve">Subkutāni lietota </w:t>
      </w:r>
      <w:r w:rsidDel="005066A1">
        <w:rPr>
          <w:lang w:val="lv-LV"/>
        </w:rPr>
        <w:t>tocilizumaba</w:t>
      </w:r>
      <w:r w:rsidRPr="00E1075D" w:rsidDel="005066A1">
        <w:rPr>
          <w:lang w:val="lv-LV"/>
        </w:rPr>
        <w:t xml:space="preserve"> drošuma profils vērtēts arī 52</w:t>
      </w:r>
      <w:r w:rsidDel="005066A1">
        <w:rPr>
          <w:lang w:val="lv-LV"/>
        </w:rPr>
        <w:t> </w:t>
      </w:r>
      <w:r w:rsidRPr="00E1075D" w:rsidDel="005066A1">
        <w:rPr>
          <w:lang w:val="lv-LV"/>
        </w:rPr>
        <w:t>pediatrisk</w:t>
      </w:r>
      <w:r w:rsidDel="005066A1">
        <w:rPr>
          <w:lang w:val="lv-LV"/>
        </w:rPr>
        <w:t>iem</w:t>
      </w:r>
      <w:r w:rsidRPr="00E1075D" w:rsidDel="005066A1">
        <w:rPr>
          <w:lang w:val="lv-LV"/>
        </w:rPr>
        <w:t xml:space="preserve"> pacient</w:t>
      </w:r>
      <w:r w:rsidDel="005066A1">
        <w:rPr>
          <w:lang w:val="lv-LV"/>
        </w:rPr>
        <w:t>iem</w:t>
      </w:r>
      <w:r w:rsidRPr="00E1075D" w:rsidDel="005066A1">
        <w:rPr>
          <w:lang w:val="lv-LV"/>
        </w:rPr>
        <w:t xml:space="preserve"> ar pJIA. Kopējā </w:t>
      </w:r>
      <w:r w:rsidDel="005066A1">
        <w:rPr>
          <w:lang w:val="lv-LV"/>
        </w:rPr>
        <w:t>tocilizumaba</w:t>
      </w:r>
      <w:r w:rsidRPr="00E1075D" w:rsidDel="005066A1">
        <w:rPr>
          <w:lang w:val="lv-LV"/>
        </w:rPr>
        <w:t xml:space="preserve"> </w:t>
      </w:r>
      <w:r w:rsidDel="005066A1">
        <w:rPr>
          <w:lang w:val="lv-LV"/>
        </w:rPr>
        <w:t>iedarbība visiem</w:t>
      </w:r>
      <w:r w:rsidRPr="00E1075D" w:rsidDel="005066A1">
        <w:rPr>
          <w:lang w:val="lv-LV"/>
        </w:rPr>
        <w:t xml:space="preserve"> pacientiem ar pJIA atbilst 184,4</w:t>
      </w:r>
      <w:r w:rsidDel="005066A1">
        <w:rPr>
          <w:lang w:val="lv-LV"/>
        </w:rPr>
        <w:t> </w:t>
      </w:r>
      <w:r w:rsidRPr="00E1075D" w:rsidDel="005066A1">
        <w:rPr>
          <w:lang w:val="lv-LV"/>
        </w:rPr>
        <w:t xml:space="preserve">pacientgadiem ar </w:t>
      </w:r>
      <w:r w:rsidDel="005066A1">
        <w:rPr>
          <w:lang w:val="lv-LV"/>
        </w:rPr>
        <w:t>intravenozi</w:t>
      </w:r>
      <w:r w:rsidRPr="00E1075D" w:rsidDel="005066A1">
        <w:rPr>
          <w:lang w:val="lv-LV"/>
        </w:rPr>
        <w:t xml:space="preserve"> ievadītu un 50,4</w:t>
      </w:r>
      <w:r w:rsidDel="005066A1">
        <w:rPr>
          <w:lang w:val="lv-LV"/>
        </w:rPr>
        <w:t> </w:t>
      </w:r>
      <w:r w:rsidRPr="00E1075D" w:rsidDel="005066A1">
        <w:rPr>
          <w:lang w:val="lv-LV"/>
        </w:rPr>
        <w:t xml:space="preserve">pacientgadiem ar </w:t>
      </w:r>
      <w:r w:rsidDel="005066A1">
        <w:rPr>
          <w:lang w:val="lv-LV"/>
        </w:rPr>
        <w:t>subkutāni</w:t>
      </w:r>
      <w:r w:rsidRPr="00E1075D" w:rsidDel="005066A1">
        <w:rPr>
          <w:lang w:val="lv-LV"/>
        </w:rPr>
        <w:t xml:space="preserve"> ievadītu tocilizumabu. Kopumā drošuma profils pacientiem ar pJIA bija atbilstošs zināmajam </w:t>
      </w:r>
      <w:r w:rsidDel="005066A1">
        <w:rPr>
          <w:lang w:val="lv-LV"/>
        </w:rPr>
        <w:t>tocilizumaba</w:t>
      </w:r>
      <w:r w:rsidRPr="00E1075D" w:rsidDel="005066A1">
        <w:rPr>
          <w:lang w:val="lv-LV"/>
        </w:rPr>
        <w:t xml:space="preserve"> drošuma profilam, izņemot RIV (skatīt 1.</w:t>
      </w:r>
      <w:r w:rsidDel="005066A1">
        <w:rPr>
          <w:lang w:val="lv-LV"/>
        </w:rPr>
        <w:t> </w:t>
      </w:r>
      <w:r w:rsidRPr="00E1075D" w:rsidDel="005066A1">
        <w:rPr>
          <w:lang w:val="lv-LV"/>
        </w:rPr>
        <w:t xml:space="preserve">tabulu). Salīdzinot ar pieaugušajiem, kuriem bija RA, pacientiem ar pJIA RIV pēc </w:t>
      </w:r>
      <w:r w:rsidDel="005066A1">
        <w:rPr>
          <w:lang w:val="lv-LV"/>
        </w:rPr>
        <w:t>subkutānām</w:t>
      </w:r>
      <w:r w:rsidRPr="00E1075D" w:rsidDel="005066A1">
        <w:rPr>
          <w:lang w:val="lv-LV"/>
        </w:rPr>
        <w:t xml:space="preserve"> injekcijām radās biežāk.</w:t>
      </w:r>
    </w:p>
    <w:bookmarkEnd w:id="506"/>
    <w:p w14:paraId="7A2BFB93" w14:textId="77777777" w:rsidR="00A453C3" w:rsidRPr="00E1075D" w:rsidRDefault="00A453C3" w:rsidP="00A453C3">
      <w:pPr>
        <w:rPr>
          <w:lang w:val="lv-LV"/>
        </w:rPr>
      </w:pPr>
    </w:p>
    <w:p w14:paraId="623750FD" w14:textId="0F3E3DC3" w:rsidR="005066A1" w:rsidRPr="00707120" w:rsidRDefault="00A453C3" w:rsidP="00A453C3">
      <w:pPr>
        <w:keepNext/>
        <w:keepLines/>
        <w:rPr>
          <w:i/>
          <w:u w:val="single"/>
          <w:lang w:val="lv-LV"/>
        </w:rPr>
      </w:pPr>
      <w:bookmarkStart w:id="507" w:name="_Hlk174609122"/>
      <w:r w:rsidRPr="00707120" w:rsidDel="005066A1">
        <w:rPr>
          <w:i/>
          <w:u w:val="single"/>
          <w:lang w:val="lv-LV"/>
        </w:rPr>
        <w:t>Infekcijas</w:t>
      </w:r>
    </w:p>
    <w:p w14:paraId="4FF035D2" w14:textId="6C06D661" w:rsidR="00A453C3" w:rsidRPr="00E1075D" w:rsidRDefault="00A453C3" w:rsidP="00A453C3">
      <w:pPr>
        <w:keepNext/>
        <w:keepLines/>
        <w:rPr>
          <w:lang w:val="lv-LV"/>
        </w:rPr>
      </w:pPr>
      <w:r>
        <w:rPr>
          <w:lang w:val="lv-LV"/>
        </w:rPr>
        <w:t>Subkutāni lietota</w:t>
      </w:r>
      <w:r w:rsidRPr="00E1075D">
        <w:rPr>
          <w:lang w:val="lv-LV"/>
        </w:rPr>
        <w:t xml:space="preserve"> </w:t>
      </w:r>
      <w:r>
        <w:rPr>
          <w:lang w:val="lv-LV"/>
        </w:rPr>
        <w:t>tocilizumaba</w:t>
      </w:r>
      <w:r w:rsidRPr="00E1075D">
        <w:rPr>
          <w:lang w:val="lv-LV"/>
        </w:rPr>
        <w:t xml:space="preserve"> pētījumā infekciju </w:t>
      </w:r>
      <w:r>
        <w:rPr>
          <w:lang w:val="lv-LV"/>
        </w:rPr>
        <w:t>rādītājs</w:t>
      </w:r>
      <w:r w:rsidRPr="00E1075D">
        <w:rPr>
          <w:lang w:val="lv-LV"/>
        </w:rPr>
        <w:t xml:space="preserve"> pacientiem ar pJIA, kuri </w:t>
      </w:r>
      <w:r>
        <w:rPr>
          <w:lang w:val="lv-LV"/>
        </w:rPr>
        <w:t xml:space="preserve">subkutāni </w:t>
      </w:r>
      <w:r w:rsidRPr="00E1075D">
        <w:rPr>
          <w:lang w:val="lv-LV"/>
        </w:rPr>
        <w:t xml:space="preserve">saņēma </w:t>
      </w:r>
      <w:r>
        <w:rPr>
          <w:lang w:val="lv-LV"/>
        </w:rPr>
        <w:t>tocilizumabu</w:t>
      </w:r>
      <w:r w:rsidRPr="00E1075D">
        <w:rPr>
          <w:lang w:val="lv-LV"/>
        </w:rPr>
        <w:t xml:space="preserve">, bija līdzīgs kā pacientiem ar pJIA, kuri </w:t>
      </w:r>
      <w:r>
        <w:rPr>
          <w:lang w:val="lv-LV"/>
        </w:rPr>
        <w:t xml:space="preserve">tocilizumabu </w:t>
      </w:r>
      <w:r w:rsidRPr="00E1075D">
        <w:rPr>
          <w:lang w:val="lv-LV"/>
        </w:rPr>
        <w:t xml:space="preserve">saņēma </w:t>
      </w:r>
      <w:r>
        <w:rPr>
          <w:lang w:val="lv-LV"/>
        </w:rPr>
        <w:t>intravenozi.</w:t>
      </w:r>
    </w:p>
    <w:bookmarkEnd w:id="507"/>
    <w:p w14:paraId="4D4DA2A3" w14:textId="77777777" w:rsidR="00A453C3" w:rsidRPr="00E1075D" w:rsidRDefault="00A453C3" w:rsidP="00707120">
      <w:pPr>
        <w:keepLines/>
        <w:rPr>
          <w:lang w:val="lv-LV"/>
        </w:rPr>
      </w:pPr>
    </w:p>
    <w:p w14:paraId="36652FE4" w14:textId="77777777" w:rsidR="00A453C3" w:rsidRPr="00707120" w:rsidRDefault="00A453C3" w:rsidP="00707120">
      <w:pPr>
        <w:keepNext/>
        <w:rPr>
          <w:i/>
          <w:u w:val="single"/>
          <w:lang w:val="lv-LV"/>
        </w:rPr>
      </w:pPr>
      <w:r w:rsidRPr="00707120">
        <w:rPr>
          <w:i/>
          <w:u w:val="single"/>
          <w:lang w:val="lv-LV"/>
        </w:rPr>
        <w:t>Reakcijas injekcijas vietā</w:t>
      </w:r>
    </w:p>
    <w:p w14:paraId="62EB0E26" w14:textId="18492837" w:rsidR="00A453C3" w:rsidRPr="00E1075D" w:rsidRDefault="00A453C3" w:rsidP="00A453C3">
      <w:pPr>
        <w:rPr>
          <w:lang w:val="lv-LV"/>
        </w:rPr>
      </w:pPr>
      <w:r w:rsidRPr="00E1075D">
        <w:rPr>
          <w:lang w:val="lv-LV"/>
        </w:rPr>
        <w:t xml:space="preserve">Kopumā 28,8% pacientu ar pJIA (15/52) radās RIV, </w:t>
      </w:r>
      <w:r>
        <w:rPr>
          <w:lang w:val="lv-LV"/>
        </w:rPr>
        <w:t xml:space="preserve">tocilizumabu </w:t>
      </w:r>
      <w:r w:rsidRPr="00E1075D">
        <w:rPr>
          <w:lang w:val="lv-LV"/>
        </w:rPr>
        <w:t xml:space="preserve">lietojot </w:t>
      </w:r>
      <w:r>
        <w:rPr>
          <w:lang w:val="lv-LV"/>
        </w:rPr>
        <w:t>subkutāni</w:t>
      </w:r>
      <w:r w:rsidRPr="00E1075D">
        <w:rPr>
          <w:lang w:val="lv-LV"/>
        </w:rPr>
        <w:t>. Šīs RIV radās 44% pacientu, kuru ķermeņa masa bija</w:t>
      </w:r>
      <w:ins w:id="508" w:author="Author">
        <w:r w:rsidR="006E74AF">
          <w:rPr>
            <w:lang w:val="lv-LV"/>
          </w:rPr>
          <w:t xml:space="preserve"> </w:t>
        </w:r>
      </w:ins>
      <w:r>
        <w:rPr>
          <w:lang w:val="lv-LV"/>
        </w:rPr>
        <w:t>≥</w:t>
      </w:r>
      <w:r>
        <w:rPr>
          <w:u w:val="single"/>
          <w:lang w:val="lv-LV"/>
        </w:rPr>
        <w:t> </w:t>
      </w:r>
      <w:r w:rsidRPr="00E1075D">
        <w:rPr>
          <w:lang w:val="lv-LV"/>
        </w:rPr>
        <w:t xml:space="preserve">30 kg, </w:t>
      </w:r>
      <w:r>
        <w:rPr>
          <w:lang w:val="lv-LV"/>
        </w:rPr>
        <w:t>salīdzinot ar</w:t>
      </w:r>
      <w:r w:rsidRPr="00E1075D">
        <w:rPr>
          <w:lang w:val="lv-LV"/>
        </w:rPr>
        <w:t xml:space="preserve"> 14,8% pacientu, kuru ķermeņa masa bija zem 30 kg. Biežākās RIV bija eritēma, pietūkums, asinsizplūdums, sāpes un nieze injekcijas vietā. Visas ziņotās RIV bija nebūtiski 1.</w:t>
      </w:r>
      <w:r>
        <w:rPr>
          <w:lang w:val="lv-LV"/>
        </w:rPr>
        <w:t> </w:t>
      </w:r>
      <w:r w:rsidRPr="00E1075D">
        <w:rPr>
          <w:lang w:val="lv-LV"/>
        </w:rPr>
        <w:t>pakāpes notikumi, un neviena no RIV nebija par iemeslu, lai pacients beigtu vai pārtrauktu šo zāļu lietošanu.</w:t>
      </w:r>
    </w:p>
    <w:p w14:paraId="6E8ABD37" w14:textId="77777777" w:rsidR="00A453C3" w:rsidRPr="00E1075D" w:rsidRDefault="00A453C3" w:rsidP="00A453C3">
      <w:pPr>
        <w:rPr>
          <w:rFonts w:eastAsia="MS Mincho"/>
          <w:lang w:val="lv-LV"/>
        </w:rPr>
      </w:pPr>
    </w:p>
    <w:p w14:paraId="5B89D905" w14:textId="77777777" w:rsidR="00A453C3" w:rsidRPr="00707120" w:rsidRDefault="00A453C3" w:rsidP="00A453C3">
      <w:pPr>
        <w:keepNext/>
        <w:rPr>
          <w:rFonts w:eastAsia="MS Mincho"/>
          <w:i/>
          <w:u w:val="single"/>
          <w:lang w:val="lv-LV"/>
        </w:rPr>
      </w:pPr>
      <w:r w:rsidRPr="00707120">
        <w:rPr>
          <w:i/>
          <w:u w:val="single"/>
          <w:lang w:val="lv-LV"/>
        </w:rPr>
        <w:t>Imūngenitāte</w:t>
      </w:r>
    </w:p>
    <w:p w14:paraId="52578056" w14:textId="580B6432" w:rsidR="00A453C3" w:rsidRPr="00E1075D" w:rsidRDefault="00A453C3" w:rsidP="00A453C3">
      <w:pPr>
        <w:rPr>
          <w:rFonts w:eastAsia="MS Mincho"/>
          <w:lang w:val="lv-LV"/>
        </w:rPr>
      </w:pPr>
      <w:r>
        <w:rPr>
          <w:lang w:val="lv-LV"/>
        </w:rPr>
        <w:t>Subkutānas</w:t>
      </w:r>
      <w:r w:rsidRPr="00E1075D">
        <w:rPr>
          <w:lang w:val="lv-LV"/>
        </w:rPr>
        <w:t xml:space="preserve"> terapijas pētījumā 5,8% pacientu [3/52] izveidojās pozitīvs neitralizējošu antivielu pret tocilizumabu statuss bez būtiskām vai klīniski nozīmīgām paaugstinātas jutības reakcijām. Viens no šiem 3</w:t>
      </w:r>
      <w:r>
        <w:rPr>
          <w:lang w:val="lv-LV"/>
        </w:rPr>
        <w:t> </w:t>
      </w:r>
      <w:r w:rsidRPr="00E1075D">
        <w:rPr>
          <w:lang w:val="lv-LV"/>
        </w:rPr>
        <w:t xml:space="preserve">pacientiem vēlāk </w:t>
      </w:r>
      <w:r>
        <w:rPr>
          <w:lang w:val="lv-LV"/>
        </w:rPr>
        <w:t>pārtrauca dalību</w:t>
      </w:r>
      <w:r w:rsidRPr="00E1075D">
        <w:rPr>
          <w:lang w:val="lv-LV"/>
        </w:rPr>
        <w:t xml:space="preserve"> pētījum</w:t>
      </w:r>
      <w:r>
        <w:rPr>
          <w:lang w:val="lv-LV"/>
        </w:rPr>
        <w:t>ā</w:t>
      </w:r>
      <w:r w:rsidRPr="00E1075D">
        <w:rPr>
          <w:lang w:val="lv-LV"/>
        </w:rPr>
        <w:t xml:space="preserve">. </w:t>
      </w:r>
      <w:r>
        <w:rPr>
          <w:lang w:val="lv-LV"/>
        </w:rPr>
        <w:t>K</w:t>
      </w:r>
      <w:r w:rsidRPr="00E1075D">
        <w:rPr>
          <w:lang w:val="lv-LV"/>
        </w:rPr>
        <w:t>orelāciju starp antivielu izveidošanos un klīnisku atbildes reakciju vai nevēlamajām blakusparādībām</w:t>
      </w:r>
      <w:r>
        <w:rPr>
          <w:lang w:val="lv-LV"/>
        </w:rPr>
        <w:t xml:space="preserve"> nenovēroja</w:t>
      </w:r>
      <w:r w:rsidRPr="00E1075D">
        <w:rPr>
          <w:lang w:val="lv-LV"/>
        </w:rPr>
        <w:t>.</w:t>
      </w:r>
    </w:p>
    <w:p w14:paraId="01E35630" w14:textId="77777777" w:rsidR="00A453C3" w:rsidRPr="00E1075D" w:rsidRDefault="00A453C3" w:rsidP="00A453C3">
      <w:pPr>
        <w:rPr>
          <w:rFonts w:eastAsia="MS Mincho"/>
          <w:lang w:val="lv-LV"/>
        </w:rPr>
      </w:pPr>
    </w:p>
    <w:p w14:paraId="096E14FB" w14:textId="77777777" w:rsidR="00A453C3" w:rsidRPr="00707120" w:rsidRDefault="00A453C3" w:rsidP="00A453C3">
      <w:pPr>
        <w:keepNext/>
        <w:keepLines/>
        <w:rPr>
          <w:i/>
          <w:u w:val="single"/>
          <w:lang w:val="lv-LV"/>
        </w:rPr>
      </w:pPr>
      <w:r w:rsidRPr="00707120">
        <w:rPr>
          <w:i/>
          <w:u w:val="single"/>
          <w:lang w:val="lv-LV"/>
        </w:rPr>
        <w:t>Laboratorisko rādītāju novirzes</w:t>
      </w:r>
    </w:p>
    <w:p w14:paraId="5F2794BC" w14:textId="6247DFCB" w:rsidR="00A453C3" w:rsidRPr="00E1075D" w:rsidRDefault="00A453C3" w:rsidP="00A453C3">
      <w:pPr>
        <w:keepNext/>
        <w:keepLines/>
        <w:rPr>
          <w:rFonts w:eastAsia="SimSun"/>
          <w:lang w:val="lv-LV"/>
        </w:rPr>
      </w:pPr>
      <w:r>
        <w:rPr>
          <w:lang w:val="lv-LV"/>
        </w:rPr>
        <w:t>Tocilizumaba</w:t>
      </w:r>
      <w:r w:rsidRPr="00E1075D">
        <w:rPr>
          <w:lang w:val="lv-LV"/>
        </w:rPr>
        <w:t xml:space="preserve"> terapijas </w:t>
      </w:r>
      <w:r>
        <w:rPr>
          <w:lang w:val="lv-LV"/>
        </w:rPr>
        <w:t>parastās</w:t>
      </w:r>
      <w:r w:rsidRPr="00E1075D">
        <w:rPr>
          <w:lang w:val="lv-LV"/>
        </w:rPr>
        <w:t xml:space="preserve"> laboratorisk</w:t>
      </w:r>
      <w:r>
        <w:rPr>
          <w:lang w:val="lv-LV"/>
        </w:rPr>
        <w:t>ās</w:t>
      </w:r>
      <w:r w:rsidRPr="00E1075D">
        <w:rPr>
          <w:lang w:val="lv-LV"/>
        </w:rPr>
        <w:t xml:space="preserve"> </w:t>
      </w:r>
      <w:r>
        <w:rPr>
          <w:lang w:val="lv-LV"/>
        </w:rPr>
        <w:t>kontroles laikā visā</w:t>
      </w:r>
      <w:r w:rsidRPr="00E1075D">
        <w:rPr>
          <w:lang w:val="lv-LV"/>
        </w:rPr>
        <w:t xml:space="preserve"> zā</w:t>
      </w:r>
      <w:r>
        <w:rPr>
          <w:lang w:val="lv-LV"/>
        </w:rPr>
        <w:t>ļu</w:t>
      </w:r>
      <w:r w:rsidRPr="00E1075D">
        <w:rPr>
          <w:lang w:val="lv-LV"/>
        </w:rPr>
        <w:t xml:space="preserve"> </w:t>
      </w:r>
      <w:r>
        <w:rPr>
          <w:lang w:val="lv-LV"/>
        </w:rPr>
        <w:t>iedarbībai pakļautajā</w:t>
      </w:r>
      <w:r w:rsidRPr="00E1075D">
        <w:rPr>
          <w:lang w:val="lv-LV"/>
        </w:rPr>
        <w:t xml:space="preserve"> populācijā 15,4% pacientu, kuri </w:t>
      </w:r>
      <w:r>
        <w:rPr>
          <w:lang w:val="lv-LV"/>
        </w:rPr>
        <w:t xml:space="preserve">tocilizumabu </w:t>
      </w:r>
      <w:r w:rsidRPr="00E1075D">
        <w:rPr>
          <w:lang w:val="lv-LV"/>
        </w:rPr>
        <w:t xml:space="preserve">saņēma </w:t>
      </w:r>
      <w:r>
        <w:rPr>
          <w:lang w:val="lv-LV"/>
        </w:rPr>
        <w:t>subkutāni</w:t>
      </w:r>
      <w:r w:rsidRPr="00E1075D">
        <w:rPr>
          <w:lang w:val="lv-LV"/>
        </w:rPr>
        <w:t>, neitrofilo leikocītu skaits samazinājās zem 1</w:t>
      </w:r>
      <w:r>
        <w:rPr>
          <w:lang w:val="lv-LV"/>
        </w:rPr>
        <w:t> </w:t>
      </w:r>
      <w:r w:rsidRPr="00E1075D">
        <w:rPr>
          <w:color w:val="000000"/>
          <w:lang w:val="lv-LV"/>
        </w:rPr>
        <w:t>×</w:t>
      </w:r>
      <w:r>
        <w:rPr>
          <w:color w:val="000000"/>
          <w:lang w:val="lv-LV"/>
        </w:rPr>
        <w:t> </w:t>
      </w:r>
      <w:r w:rsidRPr="00E1075D">
        <w:rPr>
          <w:color w:val="000000"/>
          <w:lang w:val="lv-LV"/>
        </w:rPr>
        <w:t>10</w:t>
      </w:r>
      <w:r w:rsidRPr="00E1075D">
        <w:rPr>
          <w:color w:val="000000"/>
          <w:vertAlign w:val="superscript"/>
          <w:lang w:val="lv-LV"/>
        </w:rPr>
        <w:t>9</w:t>
      </w:r>
      <w:r w:rsidRPr="00E1075D">
        <w:rPr>
          <w:color w:val="000000"/>
          <w:lang w:val="lv-LV"/>
        </w:rPr>
        <w:t>/l</w:t>
      </w:r>
      <w:r w:rsidRPr="00E1075D">
        <w:rPr>
          <w:lang w:val="lv-LV"/>
        </w:rPr>
        <w:t xml:space="preserve">. Attiecīgi 9,6% un 3,8% pacientu, kuri </w:t>
      </w:r>
      <w:r>
        <w:rPr>
          <w:lang w:val="lv-LV"/>
        </w:rPr>
        <w:t xml:space="preserve">tocilizumabu </w:t>
      </w:r>
      <w:r w:rsidRPr="00E1075D">
        <w:rPr>
          <w:lang w:val="lv-LV"/>
        </w:rPr>
        <w:t xml:space="preserve">saņēma </w:t>
      </w:r>
      <w:r>
        <w:rPr>
          <w:lang w:val="lv-LV"/>
        </w:rPr>
        <w:t>subkutāni</w:t>
      </w:r>
      <w:r w:rsidRPr="00E1075D">
        <w:rPr>
          <w:lang w:val="lv-LV"/>
        </w:rPr>
        <w:t>, ALAT vai ASAT koncentrācija pa</w:t>
      </w:r>
      <w:r>
        <w:rPr>
          <w:lang w:val="lv-LV"/>
        </w:rPr>
        <w:t>a</w:t>
      </w:r>
      <w:r w:rsidRPr="00E1075D">
        <w:rPr>
          <w:lang w:val="lv-LV"/>
        </w:rPr>
        <w:t>ugstinājās līdz ≥</w:t>
      </w:r>
      <w:r>
        <w:rPr>
          <w:lang w:val="lv-LV"/>
        </w:rPr>
        <w:t> </w:t>
      </w:r>
      <w:r w:rsidRPr="00E1075D">
        <w:rPr>
          <w:lang w:val="lv-LV"/>
        </w:rPr>
        <w:t>3</w:t>
      </w:r>
      <w:r>
        <w:rPr>
          <w:lang w:val="lv-LV"/>
        </w:rPr>
        <w:t> × </w:t>
      </w:r>
      <w:r w:rsidRPr="00E1075D">
        <w:rPr>
          <w:lang w:val="lv-LV"/>
        </w:rPr>
        <w:t xml:space="preserve">NAR. Nevienam pacientam, kurš </w:t>
      </w:r>
      <w:r>
        <w:rPr>
          <w:lang w:val="lv-LV"/>
        </w:rPr>
        <w:t xml:space="preserve">tocilizumabu </w:t>
      </w:r>
      <w:r w:rsidRPr="00E1075D">
        <w:rPr>
          <w:lang w:val="lv-LV"/>
        </w:rPr>
        <w:t xml:space="preserve">saņēma </w:t>
      </w:r>
      <w:r>
        <w:rPr>
          <w:lang w:val="lv-LV"/>
        </w:rPr>
        <w:t>subkutāni</w:t>
      </w:r>
      <w:r w:rsidRPr="00E1075D">
        <w:rPr>
          <w:lang w:val="lv-LV"/>
        </w:rPr>
        <w:t xml:space="preserve">, trombocītu skaits nesamazinājās līdz </w:t>
      </w:r>
      <w:r w:rsidR="004414A4" w:rsidRPr="00F82186">
        <w:rPr>
          <w:rFonts w:eastAsia="SimSun"/>
          <w:szCs w:val="22"/>
          <w:lang w:val="lv-LV" w:eastAsia="ja-JP"/>
        </w:rPr>
        <w:t>≤</w:t>
      </w:r>
      <w:r w:rsidRPr="00707120">
        <w:rPr>
          <w:rFonts w:eastAsia="SimSun"/>
          <w:lang w:val="lv-LV"/>
        </w:rPr>
        <w:t> </w:t>
      </w:r>
      <w:r w:rsidRPr="00E1075D">
        <w:rPr>
          <w:lang w:val="lv-LV"/>
        </w:rPr>
        <w:t>50</w:t>
      </w:r>
      <w:r>
        <w:rPr>
          <w:lang w:val="lv-LV"/>
        </w:rPr>
        <w:t> </w:t>
      </w:r>
      <w:r w:rsidRPr="00E1075D">
        <w:rPr>
          <w:lang w:val="lv-LV"/>
        </w:rPr>
        <w:t>×</w:t>
      </w:r>
      <w:r>
        <w:rPr>
          <w:lang w:val="lv-LV"/>
        </w:rPr>
        <w:t> </w:t>
      </w:r>
      <w:r w:rsidRPr="00E1075D">
        <w:rPr>
          <w:lang w:val="lv-LV"/>
        </w:rPr>
        <w:t>10</w:t>
      </w:r>
      <w:r w:rsidRPr="00E1075D">
        <w:rPr>
          <w:vertAlign w:val="superscript"/>
          <w:lang w:val="lv-LV"/>
        </w:rPr>
        <w:t>3</w:t>
      </w:r>
      <w:r w:rsidRPr="00E1075D">
        <w:rPr>
          <w:lang w:val="lv-LV"/>
        </w:rPr>
        <w:t>/</w:t>
      </w:r>
      <w:r>
        <w:t>μ</w:t>
      </w:r>
      <w:r w:rsidRPr="00E1075D">
        <w:rPr>
          <w:lang w:val="lv-LV"/>
        </w:rPr>
        <w:t xml:space="preserve">l. </w:t>
      </w:r>
    </w:p>
    <w:p w14:paraId="0C81DFEF" w14:textId="77777777" w:rsidR="00A453C3" w:rsidRPr="00E1075D" w:rsidRDefault="00A453C3" w:rsidP="00A453C3">
      <w:pPr>
        <w:rPr>
          <w:rFonts w:eastAsia="SimSun"/>
          <w:lang w:val="lv-LV"/>
        </w:rPr>
      </w:pPr>
    </w:p>
    <w:p w14:paraId="6D7890BD" w14:textId="77777777" w:rsidR="00A453C3" w:rsidRPr="00707120" w:rsidRDefault="00A453C3" w:rsidP="00A453C3">
      <w:pPr>
        <w:autoSpaceDE w:val="0"/>
        <w:autoSpaceDN w:val="0"/>
        <w:adjustRightInd w:val="0"/>
        <w:rPr>
          <w:i/>
          <w:u w:val="single"/>
          <w:lang w:val="lv-LV"/>
        </w:rPr>
      </w:pPr>
      <w:r w:rsidRPr="00707120">
        <w:rPr>
          <w:i/>
          <w:u w:val="single"/>
          <w:lang w:val="lv-LV"/>
        </w:rPr>
        <w:t>Lipīdu rādītāji</w:t>
      </w:r>
    </w:p>
    <w:p w14:paraId="45559659" w14:textId="77777777" w:rsidR="00A453C3" w:rsidRDefault="00A453C3" w:rsidP="00A453C3">
      <w:pPr>
        <w:rPr>
          <w:snapToGrid w:val="0"/>
          <w:szCs w:val="22"/>
          <w:u w:val="single"/>
          <w:lang w:val="lv-LV" w:eastAsia="zh-CN"/>
        </w:rPr>
      </w:pPr>
      <w:r>
        <w:rPr>
          <w:lang w:val="lv-LV"/>
        </w:rPr>
        <w:t>Subkutānas</w:t>
      </w:r>
      <w:r w:rsidRPr="00E1075D">
        <w:rPr>
          <w:lang w:val="lv-LV"/>
        </w:rPr>
        <w:t xml:space="preserve"> terapijas pētījumā attiecīgi 14,3% un 12,8% pacientu pēc pētījuma sākuma ZBL holesterīna </w:t>
      </w:r>
      <w:r>
        <w:rPr>
          <w:lang w:val="lv-LV"/>
        </w:rPr>
        <w:t>rādītājs</w:t>
      </w:r>
      <w:r w:rsidRPr="00E1075D">
        <w:rPr>
          <w:lang w:val="lv-LV"/>
        </w:rPr>
        <w:t xml:space="preserve"> jebkurā brīdī pētījuma zāļu lietošanas laikā paaugstinājās līdz ≥ 130 mg/dl un kopējā holesterīna </w:t>
      </w:r>
      <w:r>
        <w:rPr>
          <w:lang w:val="lv-LV"/>
        </w:rPr>
        <w:t>rādītājs</w:t>
      </w:r>
      <w:r w:rsidRPr="00E1075D">
        <w:rPr>
          <w:lang w:val="lv-LV"/>
        </w:rPr>
        <w:t xml:space="preserve"> paaugstinājās līdz ≥ 200 mg/dl.</w:t>
      </w:r>
    </w:p>
    <w:p w14:paraId="7F75BF8D" w14:textId="77777777" w:rsidR="00A453C3" w:rsidRDefault="00A453C3" w:rsidP="00A453C3">
      <w:pPr>
        <w:tabs>
          <w:tab w:val="left" w:pos="567"/>
        </w:tabs>
        <w:suppressAutoHyphens w:val="0"/>
        <w:autoSpaceDE w:val="0"/>
        <w:autoSpaceDN w:val="0"/>
        <w:adjustRightInd w:val="0"/>
        <w:jc w:val="both"/>
        <w:rPr>
          <w:snapToGrid w:val="0"/>
          <w:szCs w:val="22"/>
          <w:u w:val="single"/>
          <w:lang w:val="lv-LV" w:eastAsia="zh-CN"/>
        </w:rPr>
      </w:pPr>
    </w:p>
    <w:p w14:paraId="634281A7" w14:textId="7A615E03" w:rsidR="00A453C3" w:rsidRPr="00707120" w:rsidRDefault="00A453C3" w:rsidP="00707120">
      <w:pPr>
        <w:keepNext/>
        <w:autoSpaceDE w:val="0"/>
        <w:autoSpaceDN w:val="0"/>
        <w:adjustRightInd w:val="0"/>
        <w:rPr>
          <w:rFonts w:eastAsia="SimSun"/>
          <w:bCs/>
          <w:i/>
          <w:iCs/>
          <w:szCs w:val="22"/>
          <w:lang w:val="lv-LV" w:eastAsia="zh-CN"/>
        </w:rPr>
      </w:pPr>
      <w:r>
        <w:rPr>
          <w:rFonts w:eastAsia="SimSun"/>
          <w:bCs/>
          <w:i/>
          <w:iCs/>
          <w:szCs w:val="22"/>
          <w:lang w:val="lv-LV" w:eastAsia="zh-CN"/>
        </w:rPr>
        <w:t xml:space="preserve">Pacienti ar </w:t>
      </w:r>
      <w:r w:rsidRPr="00707120">
        <w:rPr>
          <w:rFonts w:eastAsia="SimSun"/>
          <w:bCs/>
          <w:i/>
          <w:iCs/>
          <w:szCs w:val="22"/>
          <w:lang w:val="lv-LV" w:eastAsia="zh-CN"/>
        </w:rPr>
        <w:t>GCA</w:t>
      </w:r>
    </w:p>
    <w:p w14:paraId="0974C035" w14:textId="22C99C7C" w:rsidR="00A453C3" w:rsidRPr="00E865D9" w:rsidRDefault="00A453C3" w:rsidP="00A453C3">
      <w:pPr>
        <w:autoSpaceDE w:val="0"/>
        <w:autoSpaceDN w:val="0"/>
        <w:adjustRightInd w:val="0"/>
        <w:rPr>
          <w:rFonts w:eastAsia="SimSun"/>
          <w:szCs w:val="22"/>
          <w:lang w:val="lv-LV" w:eastAsia="zh-CN"/>
        </w:rPr>
      </w:pPr>
      <w:r w:rsidRPr="006D78BB">
        <w:rPr>
          <w:rFonts w:eastAsia="SimSun"/>
          <w:szCs w:val="22"/>
          <w:lang w:val="lv-LV" w:eastAsia="zh-CN"/>
        </w:rPr>
        <w:t xml:space="preserve">Subkutāni </w:t>
      </w:r>
      <w:r>
        <w:rPr>
          <w:rFonts w:eastAsia="SimSun"/>
          <w:szCs w:val="22"/>
          <w:lang w:val="lv-LV" w:eastAsia="zh-CN"/>
        </w:rPr>
        <w:t>lietota</w:t>
      </w:r>
      <w:r w:rsidRPr="006D78BB">
        <w:rPr>
          <w:rFonts w:eastAsia="SimSun"/>
          <w:szCs w:val="22"/>
          <w:lang w:val="lv-LV" w:eastAsia="zh-CN"/>
        </w:rPr>
        <w:t xml:space="preserve"> </w:t>
      </w:r>
      <w:r>
        <w:rPr>
          <w:rFonts w:eastAsia="SimSun"/>
          <w:szCs w:val="22"/>
          <w:lang w:val="lv-LV" w:eastAsia="zh-CN"/>
        </w:rPr>
        <w:t xml:space="preserve">tocilizumaba </w:t>
      </w:r>
      <w:r w:rsidRPr="006D78BB">
        <w:rPr>
          <w:rFonts w:eastAsia="SimSun"/>
          <w:szCs w:val="22"/>
          <w:lang w:val="lv-LV" w:eastAsia="zh-CN"/>
        </w:rPr>
        <w:t xml:space="preserve">drošums pētīts vienā </w:t>
      </w:r>
      <w:r w:rsidRPr="002D12CD">
        <w:rPr>
          <w:rFonts w:eastAsia="SimSun"/>
          <w:szCs w:val="22"/>
          <w:lang w:val="lv-LV" w:eastAsia="zh-CN"/>
        </w:rPr>
        <w:t>III</w:t>
      </w:r>
      <w:r>
        <w:rPr>
          <w:rFonts w:eastAsia="SimSun"/>
          <w:szCs w:val="22"/>
          <w:lang w:val="lv-LV" w:eastAsia="zh-CN"/>
        </w:rPr>
        <w:t> </w:t>
      </w:r>
      <w:r w:rsidRPr="00F93534">
        <w:rPr>
          <w:rFonts w:eastAsia="SimSun"/>
          <w:szCs w:val="22"/>
          <w:lang w:val="lv-LV" w:eastAsia="zh-CN"/>
        </w:rPr>
        <w:t xml:space="preserve">fāzes pētījumā </w:t>
      </w:r>
      <w:r w:rsidRPr="00BF4DAF">
        <w:rPr>
          <w:rFonts w:eastAsia="SimSun"/>
          <w:szCs w:val="22"/>
          <w:lang w:val="lv-LV" w:eastAsia="zh-CN"/>
        </w:rPr>
        <w:t>(WA28119), kurā piedalījās 251</w:t>
      </w:r>
      <w:r w:rsidRPr="00AF3E6B">
        <w:rPr>
          <w:rFonts w:eastAsia="SimSun"/>
          <w:szCs w:val="22"/>
          <w:lang w:val="lv-LV" w:eastAsia="zh-CN"/>
        </w:rPr>
        <w:t xml:space="preserve"> pacients ar GCA. Pētījuma 12 mēnešus ilgajā dubultmaskētajā, </w:t>
      </w:r>
      <w:del w:id="509" w:author="Regulatory LV" w:date="2026-03-17T11:37:00Z">
        <w:r w:rsidDel="0089110E">
          <w:rPr>
            <w:rFonts w:eastAsia="SimSun"/>
            <w:szCs w:val="22"/>
            <w:lang w:val="lv-LV" w:eastAsia="zh-CN"/>
          </w:rPr>
          <w:delText xml:space="preserve">ar </w:delText>
        </w:r>
      </w:del>
      <w:r w:rsidRPr="00AF3E6B">
        <w:rPr>
          <w:rFonts w:eastAsia="SimSun"/>
          <w:szCs w:val="22"/>
          <w:lang w:val="lv-LV" w:eastAsia="zh-CN"/>
        </w:rPr>
        <w:t xml:space="preserve">placebo kontrolētajā fāzē kopējais </w:t>
      </w:r>
      <w:r>
        <w:rPr>
          <w:rFonts w:eastAsia="SimSun"/>
          <w:szCs w:val="22"/>
          <w:lang w:val="lv-LV" w:eastAsia="zh-CN"/>
        </w:rPr>
        <w:t>tocilizumaba</w:t>
      </w:r>
      <w:r w:rsidRPr="00AF3E6B">
        <w:rPr>
          <w:rFonts w:eastAsia="SimSun"/>
          <w:szCs w:val="22"/>
          <w:lang w:val="lv-LV" w:eastAsia="zh-CN"/>
        </w:rPr>
        <w:t xml:space="preserve"> terapijas ilgums bija 138,5 pacientgadi. </w:t>
      </w:r>
      <w:r w:rsidRPr="004C4DBD">
        <w:rPr>
          <w:rFonts w:eastAsia="SimSun"/>
          <w:szCs w:val="22"/>
          <w:lang w:val="lv-LV" w:eastAsia="zh-CN"/>
        </w:rPr>
        <w:t xml:space="preserve">Kopumā </w:t>
      </w:r>
      <w:r w:rsidRPr="00B753E1">
        <w:rPr>
          <w:rFonts w:eastAsia="SimSun"/>
          <w:szCs w:val="22"/>
          <w:lang w:val="lv-LV" w:eastAsia="zh-CN"/>
        </w:rPr>
        <w:t>terapijas grupā</w:t>
      </w:r>
      <w:r w:rsidRPr="00D922E1">
        <w:rPr>
          <w:rFonts w:eastAsia="SimSun"/>
          <w:szCs w:val="22"/>
          <w:lang w:val="lv-LV" w:eastAsia="zh-CN"/>
        </w:rPr>
        <w:t>s</w:t>
      </w:r>
      <w:r w:rsidRPr="002C79D2">
        <w:rPr>
          <w:rFonts w:eastAsia="SimSun"/>
          <w:szCs w:val="22"/>
          <w:lang w:val="lv-LV" w:eastAsia="zh-CN"/>
        </w:rPr>
        <w:t xml:space="preserve"> novērotie drošuma rādītāji bija atbilstoši </w:t>
      </w:r>
      <w:r w:rsidRPr="0051221F">
        <w:rPr>
          <w:rFonts w:eastAsia="SimSun"/>
          <w:szCs w:val="22"/>
          <w:lang w:val="lv-LV" w:eastAsia="zh-CN"/>
        </w:rPr>
        <w:t>jau zināmaj</w:t>
      </w:r>
      <w:r w:rsidRPr="000E4AF1">
        <w:rPr>
          <w:rFonts w:eastAsia="SimSun"/>
          <w:szCs w:val="22"/>
          <w:lang w:val="lv-LV" w:eastAsia="zh-CN"/>
        </w:rPr>
        <w:t xml:space="preserve">iem </w:t>
      </w:r>
      <w:r>
        <w:rPr>
          <w:rFonts w:eastAsia="SimSun"/>
          <w:szCs w:val="22"/>
          <w:lang w:val="lv-LV" w:eastAsia="zh-CN"/>
        </w:rPr>
        <w:t>tocilizumaba</w:t>
      </w:r>
      <w:r w:rsidRPr="0075336D">
        <w:rPr>
          <w:rFonts w:eastAsia="SimSun"/>
          <w:szCs w:val="22"/>
          <w:lang w:val="lv-LV" w:eastAsia="zh-CN"/>
        </w:rPr>
        <w:t xml:space="preserve"> </w:t>
      </w:r>
      <w:r w:rsidRPr="003A1EF2">
        <w:rPr>
          <w:rFonts w:eastAsia="SimSun"/>
          <w:szCs w:val="22"/>
          <w:lang w:val="lv-LV" w:eastAsia="zh-CN"/>
        </w:rPr>
        <w:t xml:space="preserve">drošuma rādītājiem </w:t>
      </w:r>
      <w:r w:rsidRPr="008605D0">
        <w:rPr>
          <w:lang w:val="lv-LV"/>
        </w:rPr>
        <w:t>(</w:t>
      </w:r>
      <w:r w:rsidRPr="00EF10D1">
        <w:rPr>
          <w:lang w:val="lv-LV"/>
        </w:rPr>
        <w:t xml:space="preserve">skatīt </w:t>
      </w:r>
      <w:r w:rsidRPr="00395DC3">
        <w:rPr>
          <w:lang w:val="lv-LV"/>
        </w:rPr>
        <w:t>1.</w:t>
      </w:r>
      <w:r>
        <w:rPr>
          <w:lang w:val="lv-LV"/>
        </w:rPr>
        <w:t> </w:t>
      </w:r>
      <w:r w:rsidRPr="00096020">
        <w:rPr>
          <w:lang w:val="lv-LV"/>
        </w:rPr>
        <w:t>tabulu</w:t>
      </w:r>
      <w:r w:rsidRPr="006D3582">
        <w:rPr>
          <w:lang w:val="lv-LV"/>
        </w:rPr>
        <w:t>).</w:t>
      </w:r>
    </w:p>
    <w:p w14:paraId="5EFE713E" w14:textId="77777777" w:rsidR="00A453C3" w:rsidRPr="00285DE4" w:rsidRDefault="00A453C3" w:rsidP="00A453C3">
      <w:pPr>
        <w:autoSpaceDE w:val="0"/>
        <w:autoSpaceDN w:val="0"/>
        <w:adjustRightInd w:val="0"/>
        <w:rPr>
          <w:rFonts w:eastAsia="SimSun"/>
          <w:szCs w:val="22"/>
          <w:u w:val="single"/>
          <w:lang w:val="lv-LV" w:eastAsia="zh-CN"/>
        </w:rPr>
      </w:pPr>
    </w:p>
    <w:p w14:paraId="624B3602" w14:textId="77777777" w:rsidR="00A453C3" w:rsidRPr="00707120" w:rsidRDefault="00A453C3" w:rsidP="00A453C3">
      <w:pPr>
        <w:keepNext/>
        <w:rPr>
          <w:i/>
          <w:u w:val="single"/>
          <w:lang w:val="lv-LV" w:eastAsia="de-DE"/>
        </w:rPr>
      </w:pPr>
      <w:r w:rsidRPr="00707120">
        <w:rPr>
          <w:i/>
          <w:u w:val="single"/>
          <w:lang w:val="lv-LV" w:eastAsia="de-DE"/>
        </w:rPr>
        <w:t>Infekcijas</w:t>
      </w:r>
    </w:p>
    <w:p w14:paraId="7A63C670" w14:textId="357D683B" w:rsidR="00A453C3" w:rsidRPr="00C2155B" w:rsidRDefault="00A453C3" w:rsidP="00A453C3">
      <w:pPr>
        <w:keepNext/>
        <w:rPr>
          <w:lang w:val="lv-LV" w:eastAsia="de-DE"/>
        </w:rPr>
      </w:pPr>
      <w:r>
        <w:rPr>
          <w:lang w:val="lv-LV" w:eastAsia="de-DE"/>
        </w:rPr>
        <w:t>I</w:t>
      </w:r>
      <w:r w:rsidRPr="00D8560A">
        <w:rPr>
          <w:lang w:val="lv-LV" w:eastAsia="de-DE"/>
        </w:rPr>
        <w:t xml:space="preserve">nfekciju/būtisku infekciju </w:t>
      </w:r>
      <w:r>
        <w:rPr>
          <w:lang w:val="lv-LV" w:eastAsia="de-DE"/>
        </w:rPr>
        <w:t>rādītājs bija līdzsvarots</w:t>
      </w:r>
      <w:r w:rsidRPr="00D8560A">
        <w:rPr>
          <w:lang w:val="lv-LV" w:eastAsia="de-DE"/>
        </w:rPr>
        <w:t xml:space="preserve"> grupā, kurā </w:t>
      </w:r>
      <w:r>
        <w:rPr>
          <w:lang w:val="lv-LV" w:eastAsia="de-DE"/>
        </w:rPr>
        <w:t>tocilizumabu</w:t>
      </w:r>
      <w:r w:rsidRPr="0057782B">
        <w:rPr>
          <w:lang w:val="lv-LV" w:eastAsia="de-DE"/>
        </w:rPr>
        <w:t xml:space="preserve"> </w:t>
      </w:r>
      <w:r>
        <w:rPr>
          <w:lang w:val="lv-LV" w:eastAsia="de-DE"/>
        </w:rPr>
        <w:t xml:space="preserve">lietoja vienu </w:t>
      </w:r>
      <w:r w:rsidRPr="0057782B">
        <w:rPr>
          <w:lang w:val="lv-LV" w:eastAsia="de-DE"/>
        </w:rPr>
        <w:t xml:space="preserve">reizi nedēļā </w:t>
      </w:r>
      <w:r w:rsidRPr="008A375D">
        <w:rPr>
          <w:lang w:val="lv-LV" w:eastAsia="de-DE"/>
        </w:rPr>
        <w:t>(200,</w:t>
      </w:r>
      <w:r w:rsidRPr="00C2155B">
        <w:rPr>
          <w:lang w:val="lv-LV" w:eastAsia="de-DE"/>
        </w:rPr>
        <w:t>2/9,7</w:t>
      </w:r>
      <w:r>
        <w:rPr>
          <w:lang w:val="lv-LV" w:eastAsia="de-DE"/>
        </w:rPr>
        <w:t> </w:t>
      </w:r>
      <w:r w:rsidR="008D5E2F">
        <w:rPr>
          <w:lang w:val="lv-LV" w:eastAsia="de-DE"/>
        </w:rPr>
        <w:t>notikumi</w:t>
      </w:r>
      <w:r w:rsidRPr="00C2155B">
        <w:rPr>
          <w:lang w:val="lv-LV" w:eastAsia="de-DE"/>
        </w:rPr>
        <w:t xml:space="preserve"> uz 100 pacientgadiem), </w:t>
      </w:r>
      <w:r>
        <w:rPr>
          <w:lang w:val="lv-LV" w:eastAsia="de-DE"/>
        </w:rPr>
        <w:t xml:space="preserve">un grupā, kurā lietoja </w:t>
      </w:r>
      <w:r w:rsidRPr="00C2155B">
        <w:rPr>
          <w:lang w:val="lv-LV" w:eastAsia="de-DE"/>
        </w:rPr>
        <w:t>placebo kombinācijā ar 26 nedēļas ilgu prednizona terapiju, pakāpeniski samazinot devu (156,0/4,2</w:t>
      </w:r>
      <w:r>
        <w:rPr>
          <w:lang w:val="lv-LV" w:eastAsia="de-DE"/>
        </w:rPr>
        <w:t> </w:t>
      </w:r>
      <w:r w:rsidRPr="00C2155B">
        <w:rPr>
          <w:lang w:val="lv-LV" w:eastAsia="de-DE"/>
        </w:rPr>
        <w:t>notikumi uz 100</w:t>
      </w:r>
      <w:r>
        <w:rPr>
          <w:lang w:val="lv-LV" w:eastAsia="de-DE"/>
        </w:rPr>
        <w:t> </w:t>
      </w:r>
      <w:r w:rsidRPr="00C2155B">
        <w:rPr>
          <w:lang w:val="lv-LV" w:eastAsia="de-DE"/>
        </w:rPr>
        <w:t xml:space="preserve">pacientgadiem), vai </w:t>
      </w:r>
      <w:r>
        <w:rPr>
          <w:lang w:val="lv-LV" w:eastAsia="de-DE"/>
        </w:rPr>
        <w:t xml:space="preserve">grupā, kurā lietoja </w:t>
      </w:r>
      <w:r w:rsidRPr="00C2155B">
        <w:rPr>
          <w:lang w:val="lv-LV" w:eastAsia="de-DE"/>
        </w:rPr>
        <w:t>placebo kombinācijā ar 52</w:t>
      </w:r>
      <w:r>
        <w:rPr>
          <w:lang w:val="lv-LV" w:eastAsia="de-DE"/>
        </w:rPr>
        <w:t> </w:t>
      </w:r>
      <w:r w:rsidRPr="00C2155B">
        <w:rPr>
          <w:lang w:val="lv-LV" w:eastAsia="de-DE"/>
        </w:rPr>
        <w:t>nedēļas ilgu prednizona terapiju, pakāpeniski samazinot devu (210,2/12,5 notikumi uz 100</w:t>
      </w:r>
      <w:r>
        <w:rPr>
          <w:lang w:val="lv-LV" w:eastAsia="de-DE"/>
        </w:rPr>
        <w:t> </w:t>
      </w:r>
      <w:r w:rsidRPr="00C2155B">
        <w:rPr>
          <w:lang w:val="lv-LV" w:eastAsia="de-DE"/>
        </w:rPr>
        <w:t>pacientgadiem).</w:t>
      </w:r>
    </w:p>
    <w:p w14:paraId="60C09D1D" w14:textId="77777777" w:rsidR="00A453C3" w:rsidRPr="00C2155B" w:rsidRDefault="00A453C3" w:rsidP="00A453C3">
      <w:pPr>
        <w:rPr>
          <w:b/>
          <w:lang w:val="lv-LV" w:eastAsia="de-DE"/>
        </w:rPr>
      </w:pPr>
    </w:p>
    <w:p w14:paraId="58584710" w14:textId="77777777" w:rsidR="00A453C3" w:rsidRPr="00707120" w:rsidRDefault="00A453C3" w:rsidP="00A453C3">
      <w:pPr>
        <w:keepNext/>
        <w:keepLines/>
        <w:spacing w:line="280" w:lineRule="atLeast"/>
        <w:jc w:val="both"/>
        <w:rPr>
          <w:szCs w:val="22"/>
          <w:u w:val="single"/>
          <w:lang w:val="lv-LV" w:eastAsia="de-DE"/>
        </w:rPr>
      </w:pPr>
      <w:r w:rsidRPr="00707120">
        <w:rPr>
          <w:i/>
          <w:szCs w:val="22"/>
          <w:u w:val="single"/>
          <w:lang w:val="lv-LV" w:eastAsia="de-DE"/>
        </w:rPr>
        <w:t>Reakcijas injekcijas vietā</w:t>
      </w:r>
    </w:p>
    <w:p w14:paraId="4DAB0F5F" w14:textId="27146844" w:rsidR="00A453C3" w:rsidRPr="00C2155B" w:rsidRDefault="00A453C3" w:rsidP="00A453C3">
      <w:pPr>
        <w:keepNext/>
        <w:keepLines/>
        <w:rPr>
          <w:lang w:val="lv-LV" w:eastAsia="de-DE"/>
        </w:rPr>
      </w:pPr>
      <w:r w:rsidRPr="00C2155B">
        <w:rPr>
          <w:lang w:val="lv-LV" w:eastAsia="de-DE"/>
        </w:rPr>
        <w:t xml:space="preserve">Grupā, kurā </w:t>
      </w:r>
      <w:r w:rsidRPr="00C2155B">
        <w:rPr>
          <w:szCs w:val="22"/>
          <w:lang w:val="lv-LV" w:eastAsia="de-DE"/>
        </w:rPr>
        <w:t xml:space="preserve">pacientiem </w:t>
      </w:r>
      <w:r>
        <w:rPr>
          <w:szCs w:val="22"/>
          <w:lang w:val="lv-LV" w:eastAsia="de-DE"/>
        </w:rPr>
        <w:t xml:space="preserve">vienu </w:t>
      </w:r>
      <w:r w:rsidRPr="00C2155B">
        <w:rPr>
          <w:szCs w:val="22"/>
          <w:lang w:val="lv-LV" w:eastAsia="de-DE"/>
        </w:rPr>
        <w:t xml:space="preserve">reizi nedēļā subkutāni ievadīja </w:t>
      </w:r>
      <w:r>
        <w:rPr>
          <w:szCs w:val="22"/>
          <w:lang w:val="lv-LV" w:eastAsia="de-DE"/>
        </w:rPr>
        <w:t>tocilizumabu</w:t>
      </w:r>
      <w:r w:rsidRPr="00C2155B">
        <w:rPr>
          <w:lang w:val="lv-LV" w:eastAsia="de-DE"/>
        </w:rPr>
        <w:t>, blakusparādības subkutānās injekcijas vietā radās kopumā 6% pacientu (6/100). Netika ziņots ne par vienu reakciju injekcijas vietā, kas būtu būtiska blakusparādība vai kuras dēļ nepieciešams pārtraukt ārstēšanu.</w:t>
      </w:r>
    </w:p>
    <w:p w14:paraId="36799231" w14:textId="77777777" w:rsidR="00A453C3" w:rsidRPr="00C2155B" w:rsidRDefault="00A453C3" w:rsidP="00A453C3">
      <w:pPr>
        <w:rPr>
          <w:lang w:val="lv-LV" w:eastAsia="de-DE"/>
        </w:rPr>
      </w:pPr>
    </w:p>
    <w:p w14:paraId="70EA441B" w14:textId="77777777" w:rsidR="00A453C3" w:rsidRPr="00707120" w:rsidRDefault="00A453C3" w:rsidP="00A453C3">
      <w:pPr>
        <w:spacing w:line="280" w:lineRule="atLeast"/>
        <w:jc w:val="both"/>
        <w:rPr>
          <w:i/>
          <w:szCs w:val="22"/>
          <w:u w:val="single"/>
          <w:lang w:val="lv-LV" w:eastAsia="de-DE"/>
        </w:rPr>
      </w:pPr>
      <w:r w:rsidRPr="00707120">
        <w:rPr>
          <w:i/>
          <w:szCs w:val="22"/>
          <w:u w:val="single"/>
          <w:lang w:val="lv-LV" w:eastAsia="de-DE"/>
        </w:rPr>
        <w:t>Imūngenitāte</w:t>
      </w:r>
    </w:p>
    <w:p w14:paraId="6643A5A2" w14:textId="333A8DA8" w:rsidR="00A453C3" w:rsidRPr="00897934" w:rsidRDefault="00A453C3" w:rsidP="00A453C3">
      <w:pPr>
        <w:rPr>
          <w:lang w:val="lv-LV" w:eastAsia="de-DE"/>
        </w:rPr>
      </w:pPr>
      <w:r w:rsidRPr="00C2155B">
        <w:rPr>
          <w:lang w:val="lv-LV" w:eastAsia="de-DE"/>
        </w:rPr>
        <w:t xml:space="preserve">Grupā, kurā </w:t>
      </w:r>
      <w:r w:rsidRPr="00C2155B">
        <w:rPr>
          <w:szCs w:val="22"/>
          <w:lang w:val="lv-LV" w:eastAsia="de-DE"/>
        </w:rPr>
        <w:t xml:space="preserve">pacientiem </w:t>
      </w:r>
      <w:r>
        <w:rPr>
          <w:szCs w:val="22"/>
          <w:lang w:val="lv-LV" w:eastAsia="de-DE"/>
        </w:rPr>
        <w:t xml:space="preserve">vienu </w:t>
      </w:r>
      <w:r w:rsidRPr="00C2155B">
        <w:rPr>
          <w:szCs w:val="22"/>
          <w:lang w:val="lv-LV" w:eastAsia="de-DE"/>
        </w:rPr>
        <w:t xml:space="preserve">reizi nedēļā subkutāni ievadīja </w:t>
      </w:r>
      <w:r>
        <w:rPr>
          <w:szCs w:val="22"/>
          <w:lang w:val="lv-LV" w:eastAsia="de-DE"/>
        </w:rPr>
        <w:t>tocilizumabu</w:t>
      </w:r>
      <w:r w:rsidRPr="00C2155B">
        <w:rPr>
          <w:lang w:val="lv-LV" w:eastAsia="de-DE"/>
        </w:rPr>
        <w:t>, vienam pacientam (1,1%, 1/95) izveidojās neitralizējošas anti</w:t>
      </w:r>
      <w:r>
        <w:rPr>
          <w:lang w:val="lv-LV" w:eastAsia="de-DE"/>
        </w:rPr>
        <w:noBreakHyphen/>
        <w:t>tocilizumaba</w:t>
      </w:r>
      <w:r w:rsidRPr="00C2155B">
        <w:rPr>
          <w:lang w:val="lv-LV" w:eastAsia="de-DE"/>
        </w:rPr>
        <w:t xml:space="preserve"> antivielas, </w:t>
      </w:r>
      <w:r>
        <w:rPr>
          <w:lang w:val="lv-LV" w:eastAsia="de-DE"/>
        </w:rPr>
        <w:t>kas nebija</w:t>
      </w:r>
      <w:r w:rsidRPr="0057782B">
        <w:rPr>
          <w:lang w:val="lv-LV" w:eastAsia="de-DE"/>
        </w:rPr>
        <w:t xml:space="preserve"> IgE izotips. </w:t>
      </w:r>
      <w:r w:rsidRPr="00897934">
        <w:rPr>
          <w:lang w:val="lv-LV" w:eastAsia="de-DE"/>
        </w:rPr>
        <w:t>Šim pacientam neradās paaugstinātas jutības reakcija vai reakcija injekcijas vietā.</w:t>
      </w:r>
    </w:p>
    <w:p w14:paraId="4C36325C" w14:textId="77777777" w:rsidR="00A453C3" w:rsidRPr="00897934" w:rsidRDefault="00A453C3" w:rsidP="00A453C3">
      <w:pPr>
        <w:rPr>
          <w:lang w:val="lv-LV" w:eastAsia="de-DE"/>
        </w:rPr>
      </w:pPr>
    </w:p>
    <w:p w14:paraId="0F53762E" w14:textId="77777777" w:rsidR="00A453C3" w:rsidRPr="00707120" w:rsidRDefault="00A453C3" w:rsidP="00A453C3">
      <w:pPr>
        <w:keepNext/>
        <w:keepLines/>
        <w:autoSpaceDE w:val="0"/>
        <w:autoSpaceDN w:val="0"/>
        <w:adjustRightInd w:val="0"/>
        <w:rPr>
          <w:rFonts w:eastAsia="SimSun"/>
          <w:szCs w:val="22"/>
          <w:u w:val="single"/>
          <w:lang w:val="lv-LV" w:eastAsia="zh-CN"/>
        </w:rPr>
      </w:pPr>
      <w:r w:rsidRPr="00707120">
        <w:rPr>
          <w:i/>
          <w:szCs w:val="22"/>
          <w:u w:val="single"/>
          <w:lang w:val="lv-LV"/>
        </w:rPr>
        <w:t>Neitrofilie leikocīti</w:t>
      </w:r>
    </w:p>
    <w:p w14:paraId="0FE97477" w14:textId="51345557" w:rsidR="00A453C3" w:rsidRPr="00897934" w:rsidRDefault="00A453C3" w:rsidP="00707120">
      <w:pPr>
        <w:keepLines/>
        <w:spacing w:line="0" w:lineRule="atLeast"/>
        <w:rPr>
          <w:szCs w:val="22"/>
          <w:lang w:val="lv-LV" w:eastAsia="de-DE"/>
        </w:rPr>
      </w:pPr>
      <w:r>
        <w:rPr>
          <w:szCs w:val="22"/>
          <w:lang w:val="lv-LV" w:eastAsia="de-DE"/>
        </w:rPr>
        <w:t>Tocilizumaba</w:t>
      </w:r>
      <w:r w:rsidRPr="00897934">
        <w:rPr>
          <w:szCs w:val="22"/>
          <w:lang w:val="lv-LV" w:eastAsia="de-DE"/>
        </w:rPr>
        <w:t xml:space="preserve"> 12 mēnešus </w:t>
      </w:r>
      <w:r w:rsidRPr="00B26B77">
        <w:rPr>
          <w:szCs w:val="22"/>
          <w:lang w:val="lv-LV" w:eastAsia="de-DE"/>
        </w:rPr>
        <w:t xml:space="preserve">ilgā kontrolētā klīniskajā pētījuma parastās laboratoriskās kontroles laikā grupā, kurā pacientiem vienu reizi nedēļā subkutāni ievadīja </w:t>
      </w:r>
      <w:r>
        <w:rPr>
          <w:szCs w:val="22"/>
          <w:lang w:val="lv-LV" w:eastAsia="de-DE"/>
        </w:rPr>
        <w:t>tocilizumabu</w:t>
      </w:r>
      <w:r w:rsidRPr="00B26B77">
        <w:rPr>
          <w:szCs w:val="22"/>
          <w:lang w:val="lv-LV" w:eastAsia="de-DE"/>
        </w:rPr>
        <w:t>, 4% pacientu neitrofilo leikocītu skaits samazinājās zem 1</w:t>
      </w:r>
      <w:r>
        <w:rPr>
          <w:szCs w:val="22"/>
          <w:lang w:val="lv-LV" w:eastAsia="de-DE"/>
        </w:rPr>
        <w:t> </w:t>
      </w:r>
      <w:r w:rsidRPr="00B26B77">
        <w:rPr>
          <w:szCs w:val="22"/>
          <w:lang w:val="lv-LV" w:eastAsia="de-DE"/>
        </w:rPr>
        <w:t>×</w:t>
      </w:r>
      <w:r>
        <w:rPr>
          <w:szCs w:val="22"/>
          <w:lang w:val="lv-LV" w:eastAsia="de-DE"/>
        </w:rPr>
        <w:t> </w:t>
      </w:r>
      <w:r w:rsidRPr="00B26B77">
        <w:rPr>
          <w:szCs w:val="22"/>
          <w:lang w:val="lv-LV" w:eastAsia="de-DE"/>
        </w:rPr>
        <w:t>10</w:t>
      </w:r>
      <w:r w:rsidRPr="00B26B77">
        <w:rPr>
          <w:szCs w:val="22"/>
          <w:vertAlign w:val="superscript"/>
          <w:lang w:val="lv-LV" w:eastAsia="de-DE"/>
        </w:rPr>
        <w:t>9</w:t>
      </w:r>
      <w:r w:rsidRPr="00B26B77">
        <w:rPr>
          <w:szCs w:val="22"/>
          <w:lang w:val="lv-LV" w:eastAsia="de-DE"/>
        </w:rPr>
        <w:t xml:space="preserve">/l. To nenovēroja nevienā no grupām, kurās lietoja </w:t>
      </w:r>
      <w:r w:rsidRPr="00897934">
        <w:rPr>
          <w:szCs w:val="22"/>
          <w:lang w:val="lv-LV" w:eastAsia="de-DE"/>
        </w:rPr>
        <w:t>placebo kombinācijā ar pakāpeniski samazinātu prednizona devu.</w:t>
      </w:r>
    </w:p>
    <w:p w14:paraId="0A25C416" w14:textId="77777777" w:rsidR="00A453C3" w:rsidRPr="00897934" w:rsidRDefault="00A453C3" w:rsidP="00707120">
      <w:pPr>
        <w:keepLines/>
        <w:spacing w:line="0" w:lineRule="atLeast"/>
        <w:rPr>
          <w:szCs w:val="22"/>
          <w:lang w:val="lv-LV" w:eastAsia="de-DE"/>
        </w:rPr>
      </w:pPr>
    </w:p>
    <w:p w14:paraId="65E04513" w14:textId="77777777" w:rsidR="00A453C3" w:rsidRPr="00707120" w:rsidRDefault="00A453C3" w:rsidP="00A453C3">
      <w:pPr>
        <w:spacing w:line="0" w:lineRule="atLeast"/>
        <w:rPr>
          <w:i/>
          <w:szCs w:val="22"/>
          <w:u w:val="single"/>
          <w:lang w:val="lv-LV" w:eastAsia="de-DE"/>
        </w:rPr>
      </w:pPr>
      <w:r w:rsidRPr="00707120">
        <w:rPr>
          <w:i/>
          <w:szCs w:val="22"/>
          <w:u w:val="single"/>
          <w:lang w:val="lv-LV" w:eastAsia="de-DE"/>
        </w:rPr>
        <w:t>Trombocīti</w:t>
      </w:r>
    </w:p>
    <w:p w14:paraId="67C6D5DF" w14:textId="4001E6F9" w:rsidR="00A453C3" w:rsidRPr="00897934" w:rsidRDefault="00A453C3" w:rsidP="00A453C3">
      <w:pPr>
        <w:spacing w:line="0" w:lineRule="atLeast"/>
        <w:rPr>
          <w:szCs w:val="22"/>
          <w:lang w:val="lv-LV" w:eastAsia="de-DE"/>
        </w:rPr>
      </w:pPr>
      <w:r>
        <w:rPr>
          <w:szCs w:val="22"/>
          <w:lang w:val="lv-LV" w:eastAsia="de-DE"/>
        </w:rPr>
        <w:t>Tocilizumaba</w:t>
      </w:r>
      <w:r w:rsidRPr="00897934">
        <w:rPr>
          <w:szCs w:val="22"/>
          <w:lang w:val="lv-LV" w:eastAsia="de-DE"/>
        </w:rPr>
        <w:t xml:space="preserve"> 12 mēnešus </w:t>
      </w:r>
      <w:r w:rsidRPr="00B26B77">
        <w:rPr>
          <w:szCs w:val="22"/>
          <w:lang w:val="lv-LV" w:eastAsia="de-DE"/>
        </w:rPr>
        <w:t>ilgā kontrolētā klīniskā pētījuma parastās laboratoriskās kontroles laikā grupā, kurā pacientiem vienu</w:t>
      </w:r>
      <w:r w:rsidRPr="00897934">
        <w:rPr>
          <w:szCs w:val="22"/>
          <w:lang w:val="lv-LV" w:eastAsia="de-DE"/>
        </w:rPr>
        <w:t xml:space="preserve"> reizi nedēļā subkutāni ievadīja </w:t>
      </w:r>
      <w:r>
        <w:rPr>
          <w:szCs w:val="22"/>
          <w:lang w:val="lv-LV" w:eastAsia="de-DE"/>
        </w:rPr>
        <w:t>tocilizumabu</w:t>
      </w:r>
      <w:r w:rsidRPr="00897934">
        <w:rPr>
          <w:szCs w:val="22"/>
          <w:lang w:val="lv-LV" w:eastAsia="de-DE"/>
        </w:rPr>
        <w:t>, vienam pacientam (1%, 1/100) vienu reizi bija pārejoši samazināts trombocītu skaits līdz &lt;</w:t>
      </w:r>
      <w:r>
        <w:rPr>
          <w:szCs w:val="22"/>
          <w:lang w:val="lv-LV" w:eastAsia="de-DE"/>
        </w:rPr>
        <w:t> </w:t>
      </w:r>
      <w:r w:rsidRPr="00897934">
        <w:rPr>
          <w:szCs w:val="22"/>
          <w:lang w:val="lv-LV" w:eastAsia="de-DE"/>
        </w:rPr>
        <w:t>100</w:t>
      </w:r>
      <w:r>
        <w:rPr>
          <w:szCs w:val="22"/>
          <w:lang w:val="lv-LV" w:eastAsia="de-DE"/>
        </w:rPr>
        <w:t> </w:t>
      </w:r>
      <w:r w:rsidRPr="00897934">
        <w:rPr>
          <w:szCs w:val="22"/>
          <w:lang w:val="lv-LV" w:eastAsia="de-DE"/>
        </w:rPr>
        <w:t>×</w:t>
      </w:r>
      <w:r>
        <w:rPr>
          <w:szCs w:val="22"/>
          <w:lang w:val="lv-LV" w:eastAsia="de-DE"/>
        </w:rPr>
        <w:t> </w:t>
      </w:r>
      <w:r w:rsidRPr="00897934">
        <w:rPr>
          <w:szCs w:val="22"/>
          <w:lang w:val="lv-LV" w:eastAsia="de-DE"/>
        </w:rPr>
        <w:t>10</w:t>
      </w:r>
      <w:r w:rsidRPr="00897934">
        <w:rPr>
          <w:szCs w:val="22"/>
          <w:vertAlign w:val="superscript"/>
          <w:lang w:val="lv-LV" w:eastAsia="de-DE"/>
        </w:rPr>
        <w:t>3</w:t>
      </w:r>
      <w:r w:rsidRPr="00897934">
        <w:rPr>
          <w:szCs w:val="22"/>
          <w:lang w:val="lv-LV" w:eastAsia="de-DE"/>
        </w:rPr>
        <w:t>/μl, bet bez ar to saistītas asiņošanas. Trombocītu skaita samazināšanos zem 100</w:t>
      </w:r>
      <w:r>
        <w:rPr>
          <w:szCs w:val="22"/>
          <w:lang w:val="lv-LV" w:eastAsia="de-DE"/>
        </w:rPr>
        <w:t> </w:t>
      </w:r>
      <w:r w:rsidRPr="00897934">
        <w:rPr>
          <w:szCs w:val="22"/>
          <w:lang w:val="lv-LV" w:eastAsia="de-DE"/>
        </w:rPr>
        <w:t>×</w:t>
      </w:r>
      <w:r>
        <w:rPr>
          <w:szCs w:val="22"/>
          <w:lang w:val="lv-LV" w:eastAsia="de-DE"/>
        </w:rPr>
        <w:t> </w:t>
      </w:r>
      <w:r w:rsidRPr="00897934">
        <w:rPr>
          <w:szCs w:val="22"/>
          <w:lang w:val="lv-LV" w:eastAsia="de-DE"/>
        </w:rPr>
        <w:t>10</w:t>
      </w:r>
      <w:r w:rsidRPr="00897934">
        <w:rPr>
          <w:szCs w:val="22"/>
          <w:vertAlign w:val="superscript"/>
          <w:lang w:val="lv-LV" w:eastAsia="de-DE"/>
        </w:rPr>
        <w:t>3</w:t>
      </w:r>
      <w:r w:rsidRPr="00897934">
        <w:rPr>
          <w:szCs w:val="22"/>
          <w:lang w:val="lv-LV" w:eastAsia="de-DE"/>
        </w:rPr>
        <w:t xml:space="preserve">/μl nenovēroja nevienā no grupām, kurās </w:t>
      </w:r>
      <w:r>
        <w:rPr>
          <w:szCs w:val="22"/>
          <w:lang w:val="lv-LV" w:eastAsia="de-DE"/>
        </w:rPr>
        <w:t>lietoja</w:t>
      </w:r>
      <w:r w:rsidRPr="00897934">
        <w:rPr>
          <w:szCs w:val="22"/>
          <w:lang w:val="lv-LV" w:eastAsia="de-DE"/>
        </w:rPr>
        <w:t xml:space="preserve"> placebo kombinācijā ar pakāpeniski samazinātu prednizona devu.</w:t>
      </w:r>
    </w:p>
    <w:p w14:paraId="5207C266" w14:textId="77777777" w:rsidR="00A453C3" w:rsidRPr="00897934" w:rsidRDefault="00A453C3" w:rsidP="00A453C3">
      <w:pPr>
        <w:spacing w:line="0" w:lineRule="atLeast"/>
        <w:rPr>
          <w:szCs w:val="22"/>
          <w:lang w:val="lv-LV" w:eastAsia="de-DE"/>
        </w:rPr>
      </w:pPr>
    </w:p>
    <w:p w14:paraId="0EB99C99" w14:textId="77777777" w:rsidR="00A453C3" w:rsidRPr="00707120" w:rsidRDefault="00A453C3" w:rsidP="00A453C3">
      <w:pPr>
        <w:keepNext/>
        <w:rPr>
          <w:i/>
          <w:szCs w:val="22"/>
          <w:u w:val="single"/>
          <w:lang w:val="lv-LV"/>
        </w:rPr>
      </w:pPr>
      <w:r w:rsidRPr="00707120">
        <w:rPr>
          <w:i/>
          <w:szCs w:val="22"/>
          <w:u w:val="single"/>
          <w:lang w:val="lv-LV"/>
        </w:rPr>
        <w:t>Paaugstināts aknu transamināžu līmenis</w:t>
      </w:r>
    </w:p>
    <w:p w14:paraId="01B94F62" w14:textId="714A1FBD" w:rsidR="00A453C3" w:rsidRPr="00897934" w:rsidRDefault="00A453C3" w:rsidP="00A453C3">
      <w:pPr>
        <w:autoSpaceDE w:val="0"/>
        <w:autoSpaceDN w:val="0"/>
        <w:adjustRightInd w:val="0"/>
        <w:rPr>
          <w:szCs w:val="22"/>
          <w:lang w:val="lv-LV" w:eastAsia="de-DE"/>
        </w:rPr>
      </w:pPr>
      <w:r>
        <w:rPr>
          <w:szCs w:val="22"/>
          <w:lang w:val="lv-LV" w:eastAsia="de-DE"/>
        </w:rPr>
        <w:t>Tocilizumaba</w:t>
      </w:r>
      <w:r w:rsidRPr="00897934">
        <w:rPr>
          <w:szCs w:val="22"/>
          <w:lang w:val="lv-LV" w:eastAsia="de-DE"/>
        </w:rPr>
        <w:t xml:space="preserve"> 12 mēnešus </w:t>
      </w:r>
      <w:r w:rsidRPr="00B26B77">
        <w:rPr>
          <w:szCs w:val="22"/>
          <w:lang w:val="lv-LV" w:eastAsia="de-DE"/>
        </w:rPr>
        <w:t>ilgā kontrolētā klīniskā pētījuma parastās laboratoriskās kontroles laikā ALAT līmeņa paaugstināšanos ≥</w:t>
      </w:r>
      <w:r>
        <w:rPr>
          <w:szCs w:val="22"/>
          <w:lang w:val="lv-LV" w:eastAsia="de-DE"/>
        </w:rPr>
        <w:t> </w:t>
      </w:r>
      <w:r w:rsidRPr="00B26B77">
        <w:rPr>
          <w:szCs w:val="22"/>
          <w:lang w:val="lv-LV" w:eastAsia="de-DE"/>
        </w:rPr>
        <w:t>3</w:t>
      </w:r>
      <w:r>
        <w:rPr>
          <w:szCs w:val="22"/>
          <w:lang w:val="lv-LV" w:eastAsia="de-DE"/>
        </w:rPr>
        <w:t> × </w:t>
      </w:r>
      <w:r w:rsidRPr="00B26B77">
        <w:rPr>
          <w:szCs w:val="22"/>
          <w:lang w:val="lv-LV" w:eastAsia="de-DE"/>
        </w:rPr>
        <w:t>NAR novēroja 3% pacientu grupā, kurā pacientiem vienu</w:t>
      </w:r>
      <w:r w:rsidRPr="00B26B77" w:rsidDel="00B26B77">
        <w:rPr>
          <w:szCs w:val="22"/>
          <w:lang w:val="lv-LV" w:eastAsia="de-DE"/>
        </w:rPr>
        <w:t xml:space="preserve"> </w:t>
      </w:r>
      <w:r w:rsidRPr="00897934">
        <w:rPr>
          <w:szCs w:val="22"/>
          <w:lang w:val="lv-LV" w:eastAsia="de-DE"/>
        </w:rPr>
        <w:t xml:space="preserve">reizi nedēļā subkutāni ievadīja </w:t>
      </w:r>
      <w:r>
        <w:rPr>
          <w:szCs w:val="22"/>
          <w:lang w:val="lv-LV" w:eastAsia="de-DE"/>
        </w:rPr>
        <w:t>tocilizumabu</w:t>
      </w:r>
      <w:r w:rsidRPr="00897934">
        <w:rPr>
          <w:szCs w:val="22"/>
          <w:lang w:val="lv-LV" w:eastAsia="de-DE"/>
        </w:rPr>
        <w:t>, 2% pacientu grupā, kurā lietoja placebo kombinācijā ar 52 nedēļas ilgu prednizona terapiju ar devas pakāpenisku samazināšanu, un nevienam pacientam grupā, kurā lietoja placebo kombinācijā ar 26 nedēļas ilgu prednizona terapiju ar devas pakāpenisku samazināšanu. ASAT līmeņa paaugstināšanos &gt;</w:t>
      </w:r>
      <w:r>
        <w:rPr>
          <w:szCs w:val="22"/>
          <w:lang w:val="lv-LV" w:eastAsia="de-DE"/>
        </w:rPr>
        <w:t> </w:t>
      </w:r>
      <w:r w:rsidRPr="00897934">
        <w:rPr>
          <w:szCs w:val="22"/>
          <w:lang w:val="lv-LV" w:eastAsia="de-DE"/>
        </w:rPr>
        <w:t>3</w:t>
      </w:r>
      <w:r>
        <w:rPr>
          <w:szCs w:val="22"/>
          <w:lang w:val="lv-LV" w:eastAsia="de-DE"/>
        </w:rPr>
        <w:t> × </w:t>
      </w:r>
      <w:r w:rsidRPr="00897934">
        <w:rPr>
          <w:szCs w:val="22"/>
          <w:lang w:val="lv-LV" w:eastAsia="de-DE"/>
        </w:rPr>
        <w:t xml:space="preserve">NAR novēroja 1% pacientu grupā, kurā pacientiem </w:t>
      </w:r>
      <w:r>
        <w:rPr>
          <w:szCs w:val="22"/>
          <w:lang w:val="lv-LV" w:eastAsia="de-DE"/>
        </w:rPr>
        <w:t xml:space="preserve">vienu </w:t>
      </w:r>
      <w:r w:rsidRPr="00897934">
        <w:rPr>
          <w:szCs w:val="22"/>
          <w:lang w:val="lv-LV" w:eastAsia="de-DE"/>
        </w:rPr>
        <w:t xml:space="preserve">reizi nedēļā subkutāni ievadīja </w:t>
      </w:r>
      <w:r>
        <w:rPr>
          <w:szCs w:val="22"/>
          <w:lang w:val="lv-LV" w:eastAsia="de-DE"/>
        </w:rPr>
        <w:t>tocilizumabu</w:t>
      </w:r>
      <w:r w:rsidRPr="00897934">
        <w:rPr>
          <w:szCs w:val="22"/>
          <w:lang w:val="lv-LV" w:eastAsia="de-DE"/>
        </w:rPr>
        <w:t>, bet to nenovēroja nevienam pacientam nevienā no grupām, kurās pacientiem lietoja placebo kombinācijā ar pakāpeniski samazinātu prednizona devu.</w:t>
      </w:r>
    </w:p>
    <w:p w14:paraId="3D27261D" w14:textId="77777777" w:rsidR="00A453C3" w:rsidRPr="00897934" w:rsidRDefault="00A453C3" w:rsidP="00A453C3">
      <w:pPr>
        <w:rPr>
          <w:i/>
          <w:szCs w:val="22"/>
          <w:lang w:val="lv-LV"/>
        </w:rPr>
      </w:pPr>
    </w:p>
    <w:p w14:paraId="21EDF344" w14:textId="77777777" w:rsidR="00A453C3" w:rsidRPr="00707120" w:rsidRDefault="00A453C3" w:rsidP="00A453C3">
      <w:pPr>
        <w:autoSpaceDE w:val="0"/>
        <w:autoSpaceDN w:val="0"/>
        <w:adjustRightInd w:val="0"/>
        <w:rPr>
          <w:i/>
          <w:szCs w:val="22"/>
          <w:u w:val="single"/>
          <w:lang w:val="lv-LV"/>
        </w:rPr>
      </w:pPr>
      <w:r w:rsidRPr="00707120">
        <w:rPr>
          <w:i/>
          <w:szCs w:val="22"/>
          <w:u w:val="single"/>
          <w:lang w:val="lv-LV"/>
        </w:rPr>
        <w:t>Lipīdu rādītāji</w:t>
      </w:r>
    </w:p>
    <w:p w14:paraId="409A422F" w14:textId="18A2855B" w:rsidR="00A453C3" w:rsidRDefault="00A453C3" w:rsidP="00A453C3">
      <w:pPr>
        <w:spacing w:line="0" w:lineRule="atLeast"/>
        <w:rPr>
          <w:szCs w:val="22"/>
          <w:lang w:val="lv-LV" w:eastAsia="de-DE"/>
        </w:rPr>
      </w:pPr>
      <w:r>
        <w:rPr>
          <w:szCs w:val="22"/>
          <w:lang w:val="lv-LV" w:eastAsia="de-DE"/>
        </w:rPr>
        <w:t>Tocilizumaba</w:t>
      </w:r>
      <w:r w:rsidRPr="00897934">
        <w:rPr>
          <w:szCs w:val="22"/>
          <w:lang w:val="lv-LV" w:eastAsia="de-DE"/>
        </w:rPr>
        <w:t xml:space="preserve"> 12 mēnešus </w:t>
      </w:r>
      <w:r w:rsidRPr="00B26B77">
        <w:rPr>
          <w:szCs w:val="22"/>
          <w:lang w:val="lv-LV" w:eastAsia="de-DE"/>
        </w:rPr>
        <w:t>ilgā kontrolētā klīniskā pētījuma parastās laboratoriskās kontroles laikā grupā</w:t>
      </w:r>
      <w:r w:rsidRPr="00897934">
        <w:rPr>
          <w:szCs w:val="22"/>
          <w:lang w:val="lv-LV" w:eastAsia="de-DE"/>
        </w:rPr>
        <w:t xml:space="preserve">, kurā pacientiem </w:t>
      </w:r>
      <w:r>
        <w:rPr>
          <w:szCs w:val="22"/>
          <w:lang w:val="lv-LV" w:eastAsia="de-DE"/>
        </w:rPr>
        <w:t xml:space="preserve">vienu </w:t>
      </w:r>
      <w:r w:rsidRPr="00897934">
        <w:rPr>
          <w:szCs w:val="22"/>
          <w:lang w:val="lv-LV" w:eastAsia="de-DE"/>
        </w:rPr>
        <w:t xml:space="preserve">reizi nedēļā subkutāni ievadīja </w:t>
      </w:r>
      <w:r>
        <w:rPr>
          <w:szCs w:val="22"/>
          <w:lang w:val="lv-LV" w:eastAsia="de-DE"/>
        </w:rPr>
        <w:t>tocilizumabu</w:t>
      </w:r>
      <w:r w:rsidRPr="00897934">
        <w:rPr>
          <w:szCs w:val="22"/>
          <w:lang w:val="lv-LV" w:eastAsia="de-DE"/>
        </w:rPr>
        <w:t xml:space="preserve">, </w:t>
      </w:r>
      <w:r w:rsidRPr="00897934">
        <w:rPr>
          <w:rFonts w:eastAsia="PMingLiU"/>
          <w:szCs w:val="22"/>
          <w:lang w:val="lv-LV" w:eastAsia="de-DE"/>
        </w:rPr>
        <w:t xml:space="preserve">34% pacientu </w:t>
      </w:r>
      <w:r>
        <w:rPr>
          <w:rFonts w:eastAsia="PMingLiU"/>
          <w:szCs w:val="22"/>
          <w:lang w:val="lv-LV" w:eastAsia="de-DE"/>
        </w:rPr>
        <w:t>novēroja pastāvīgi paaugstinātu</w:t>
      </w:r>
      <w:r w:rsidRPr="00897934">
        <w:rPr>
          <w:rFonts w:eastAsia="PMingLiU"/>
          <w:szCs w:val="22"/>
          <w:lang w:val="lv-LV" w:eastAsia="de-DE"/>
        </w:rPr>
        <w:t xml:space="preserve"> kopējā holesterīna līmeni &gt;</w:t>
      </w:r>
      <w:r>
        <w:rPr>
          <w:rFonts w:eastAsia="PMingLiU"/>
          <w:szCs w:val="22"/>
          <w:lang w:val="lv-LV" w:eastAsia="de-DE"/>
        </w:rPr>
        <w:t> </w:t>
      </w:r>
      <w:r w:rsidRPr="00897934">
        <w:rPr>
          <w:rFonts w:eastAsia="PMingLiU"/>
          <w:szCs w:val="22"/>
          <w:lang w:val="lv-LV" w:eastAsia="de-DE"/>
        </w:rPr>
        <w:t xml:space="preserve">6,2 mmol/l (240 mg/dl), un 15% pacientu bija </w:t>
      </w:r>
      <w:r>
        <w:rPr>
          <w:rFonts w:eastAsia="PMingLiU"/>
          <w:szCs w:val="22"/>
          <w:lang w:val="lv-LV" w:eastAsia="de-DE"/>
        </w:rPr>
        <w:t>pastāvīgi</w:t>
      </w:r>
      <w:r w:rsidRPr="00897934">
        <w:rPr>
          <w:rFonts w:eastAsia="PMingLiU"/>
          <w:szCs w:val="22"/>
          <w:lang w:val="lv-LV" w:eastAsia="de-DE"/>
        </w:rPr>
        <w:t xml:space="preserve"> paaugstināts ZBL līmenis līdz </w:t>
      </w:r>
      <w:r w:rsidR="004414A4" w:rsidRPr="00707120">
        <w:rPr>
          <w:rFonts w:eastAsia="PMingLiU"/>
          <w:szCs w:val="22"/>
          <w:lang w:val="lv-LV" w:eastAsia="ja-JP"/>
        </w:rPr>
        <w:t>≥</w:t>
      </w:r>
      <w:r w:rsidRPr="00897934">
        <w:rPr>
          <w:rFonts w:eastAsia="PMingLiU"/>
          <w:szCs w:val="22"/>
          <w:lang w:val="lv-LV" w:eastAsia="de-DE"/>
        </w:rPr>
        <w:t> 4,1 mmol/l (160 mg/dl).</w:t>
      </w:r>
    </w:p>
    <w:p w14:paraId="78E9CDAD" w14:textId="77777777" w:rsidR="00A453C3" w:rsidRPr="00897934" w:rsidRDefault="00A453C3" w:rsidP="00A453C3">
      <w:pPr>
        <w:spacing w:line="0" w:lineRule="atLeast"/>
        <w:rPr>
          <w:szCs w:val="22"/>
          <w:lang w:val="lv-LV" w:eastAsia="de-DE"/>
        </w:rPr>
      </w:pPr>
    </w:p>
    <w:p w14:paraId="3C84666D" w14:textId="6A816D1B" w:rsidR="00A453C3" w:rsidRPr="00846FA5" w:rsidRDefault="00A453C3" w:rsidP="00A453C3">
      <w:pPr>
        <w:keepNext/>
        <w:rPr>
          <w:iCs/>
          <w:szCs w:val="22"/>
          <w:u w:val="single"/>
          <w:lang w:val="lv-LV"/>
        </w:rPr>
      </w:pPr>
      <w:r>
        <w:rPr>
          <w:iCs/>
          <w:szCs w:val="22"/>
          <w:u w:val="single"/>
          <w:lang w:val="lv-LV"/>
        </w:rPr>
        <w:t>Atsevišķu nevēlamo blakusparādību apraksts (i</w:t>
      </w:r>
      <w:r w:rsidRPr="00846FA5">
        <w:rPr>
          <w:iCs/>
          <w:szCs w:val="22"/>
          <w:u w:val="single"/>
          <w:lang w:val="lv-LV"/>
        </w:rPr>
        <w:t>ntravenoza lietošana</w:t>
      </w:r>
      <w:r>
        <w:rPr>
          <w:iCs/>
          <w:szCs w:val="22"/>
          <w:u w:val="single"/>
          <w:lang w:val="lv-LV"/>
        </w:rPr>
        <w:t>)</w:t>
      </w:r>
    </w:p>
    <w:p w14:paraId="3E5A31C0" w14:textId="77777777" w:rsidR="00A453C3" w:rsidRPr="00707120" w:rsidRDefault="00A453C3" w:rsidP="00A453C3">
      <w:pPr>
        <w:keepNext/>
        <w:ind w:left="567" w:hanging="567"/>
        <w:outlineLvl w:val="0"/>
        <w:rPr>
          <w:bCs/>
          <w:i/>
          <w:iCs/>
          <w:szCs w:val="22"/>
          <w:lang w:val="lv-LV"/>
        </w:rPr>
      </w:pPr>
      <w:r>
        <w:rPr>
          <w:bCs/>
          <w:i/>
          <w:iCs/>
          <w:szCs w:val="22"/>
          <w:lang w:val="lv-LV"/>
        </w:rPr>
        <w:t xml:space="preserve">Pacienti ar </w:t>
      </w:r>
      <w:r w:rsidRPr="00707120">
        <w:rPr>
          <w:bCs/>
          <w:i/>
          <w:iCs/>
          <w:szCs w:val="22"/>
          <w:lang w:val="lv-LV"/>
        </w:rPr>
        <w:t>RA</w:t>
      </w:r>
    </w:p>
    <w:p w14:paraId="25335789" w14:textId="4A793F4F" w:rsidR="00A453C3" w:rsidRDefault="00A453C3" w:rsidP="00A453C3">
      <w:pPr>
        <w:rPr>
          <w:iCs/>
          <w:szCs w:val="22"/>
          <w:lang w:val="lv-LV"/>
        </w:rPr>
      </w:pPr>
      <w:r>
        <w:rPr>
          <w:szCs w:val="22"/>
          <w:lang w:val="lv-LV"/>
        </w:rPr>
        <w:t xml:space="preserve">Tocilizumaba </w:t>
      </w:r>
      <w:r>
        <w:rPr>
          <w:iCs/>
          <w:szCs w:val="22"/>
          <w:lang w:val="lv-LV"/>
        </w:rPr>
        <w:t>drošums ir pētīts piecos III fāzes dubultmaskētos kontrolētos pētījumos un šo pētījumu pagarinājuma periodos</w:t>
      </w:r>
      <w:ins w:id="510" w:author="Author">
        <w:r w:rsidR="00EA4D4A">
          <w:rPr>
            <w:iCs/>
            <w:szCs w:val="22"/>
            <w:lang w:val="lv-LV"/>
          </w:rPr>
          <w:t xml:space="preserve"> (skatīt 5.1. apakšpunktu)</w:t>
        </w:r>
      </w:ins>
      <w:r>
        <w:rPr>
          <w:iCs/>
          <w:szCs w:val="22"/>
          <w:lang w:val="lv-LV"/>
        </w:rPr>
        <w:t xml:space="preserve">. </w:t>
      </w:r>
    </w:p>
    <w:p w14:paraId="3DB1F2DE" w14:textId="77777777" w:rsidR="00A453C3" w:rsidRDefault="00A453C3" w:rsidP="00A453C3">
      <w:pPr>
        <w:rPr>
          <w:szCs w:val="22"/>
          <w:lang w:val="lv-LV"/>
        </w:rPr>
      </w:pPr>
    </w:p>
    <w:p w14:paraId="6EBF0F27" w14:textId="44703F6D" w:rsidR="00A453C3" w:rsidRDefault="00A453C3" w:rsidP="00A453C3">
      <w:pPr>
        <w:rPr>
          <w:lang w:val="lv-LV"/>
        </w:rPr>
      </w:pPr>
      <w:r w:rsidRPr="007C468F">
        <w:rPr>
          <w:i/>
          <w:lang w:val="lv-LV"/>
        </w:rPr>
        <w:t>Visu kontrolgrupu</w:t>
      </w:r>
      <w:r>
        <w:rPr>
          <w:lang w:val="lv-LV"/>
        </w:rPr>
        <w:t xml:space="preserve"> populācijā ietilpa visi pacienti</w:t>
      </w:r>
      <w:del w:id="511" w:author="Regulatory LV" w:date="2026-03-17T11:47:00Z">
        <w:r w:rsidDel="007826B0">
          <w:rPr>
            <w:lang w:val="lv-LV"/>
          </w:rPr>
          <w:delText>,</w:delText>
        </w:r>
      </w:del>
      <w:r>
        <w:rPr>
          <w:lang w:val="lv-LV"/>
        </w:rPr>
        <w:t xml:space="preserve"> </w:t>
      </w:r>
      <w:ins w:id="512" w:author="Regulatory LV" w:date="2026-03-17T11:47:00Z">
        <w:r w:rsidR="007826B0">
          <w:rPr>
            <w:lang w:val="lv-LV"/>
          </w:rPr>
          <w:t>no katra pamatpētījuma dubultmaskētām fāzēm, sākot no randomizācijas līdz vai nu pirmajām izmaiņām terapijas shēmā, vai arī kad divi gadi pagājuši</w:t>
        </w:r>
      </w:ins>
      <w:del w:id="513" w:author="Regulatory LV" w:date="2026-03-17T11:47:00Z">
        <w:r w:rsidDel="007826B0">
          <w:rPr>
            <w:lang w:val="lv-LV"/>
          </w:rPr>
          <w:delText>kuri piedalījās kāda no pamatpētījumiem dubultmaskētajā fāzē no randomizācijas līdz vai nu pirmajai izmaiņai terapijas shēmā, vai arī divus gadus ilgi</w:delText>
        </w:r>
      </w:del>
      <w:r>
        <w:rPr>
          <w:lang w:val="lv-LV"/>
        </w:rPr>
        <w:t>. Četros pētījumos kontroles periods bija 6 mēnešus ilgs, bet vienā pētījumā tas ilga līdz 2 gadiem. D</w:t>
      </w:r>
      <w:r>
        <w:rPr>
          <w:iCs/>
          <w:lang w:val="lv-LV"/>
        </w:rPr>
        <w:t>ubultmaskētos kontrolētajos pētījumos 774 pacienti saņēma tocilizumaba 4 mg/kg devu kombinācijā ar MTX, 1870 pacienti saņēma tocilizumaba 8 mg/kg devu kombinācijā ar MTX</w:t>
      </w:r>
      <w:ins w:id="514" w:author="Author">
        <w:r w:rsidR="00CB6110">
          <w:rPr>
            <w:iCs/>
            <w:lang w:val="lv-LV"/>
          </w:rPr>
          <w:t>/</w:t>
        </w:r>
      </w:ins>
      <w:del w:id="515" w:author="Author">
        <w:r w:rsidDel="00CB6110">
          <w:rPr>
            <w:iCs/>
            <w:lang w:val="lv-LV"/>
          </w:rPr>
          <w:delText xml:space="preserve"> vai </w:delText>
        </w:r>
      </w:del>
      <w:r>
        <w:rPr>
          <w:iCs/>
          <w:lang w:val="lv-LV"/>
        </w:rPr>
        <w:t>citiem DMARD un 288 pacienti saņēma tocilizumaba 8 mg/kg devu monoterapijā</w:t>
      </w:r>
      <w:r>
        <w:rPr>
          <w:lang w:val="lv-LV"/>
        </w:rPr>
        <w:t xml:space="preserve">. </w:t>
      </w:r>
    </w:p>
    <w:p w14:paraId="32B54993" w14:textId="77777777" w:rsidR="00A453C3" w:rsidRDefault="00A453C3" w:rsidP="00A453C3">
      <w:pPr>
        <w:rPr>
          <w:szCs w:val="22"/>
          <w:lang w:val="lv-LV"/>
        </w:rPr>
      </w:pPr>
    </w:p>
    <w:p w14:paraId="6FD4505C" w14:textId="5271C220" w:rsidR="00A453C3" w:rsidRDefault="00A453C3" w:rsidP="00A453C3">
      <w:pPr>
        <w:rPr>
          <w:szCs w:val="22"/>
          <w:lang w:val="lv-LV"/>
        </w:rPr>
      </w:pPr>
      <w:r w:rsidRPr="007C468F">
        <w:rPr>
          <w:i/>
          <w:szCs w:val="22"/>
          <w:lang w:val="lv-LV"/>
        </w:rPr>
        <w:t>Vis</w:t>
      </w:r>
      <w:ins w:id="516" w:author="Regulatory LV" w:date="2026-03-17T11:48:00Z">
        <w:r w:rsidR="007826B0">
          <w:rPr>
            <w:i/>
            <w:szCs w:val="22"/>
            <w:lang w:val="lv-LV"/>
          </w:rPr>
          <w:t>ā</w:t>
        </w:r>
      </w:ins>
      <w:del w:id="517" w:author="Regulatory LV" w:date="2026-03-17T11:48:00Z">
        <w:r w:rsidRPr="007C468F" w:rsidDel="007826B0">
          <w:rPr>
            <w:i/>
            <w:szCs w:val="22"/>
            <w:lang w:val="lv-LV"/>
          </w:rPr>
          <w:delText>u</w:delText>
        </w:r>
      </w:del>
      <w:r w:rsidRPr="007C468F">
        <w:rPr>
          <w:i/>
          <w:szCs w:val="22"/>
          <w:lang w:val="lv-LV"/>
        </w:rPr>
        <w:t xml:space="preserve"> iedarbībai</w:t>
      </w:r>
      <w:r>
        <w:rPr>
          <w:szCs w:val="22"/>
          <w:lang w:val="lv-LV"/>
        </w:rPr>
        <w:t xml:space="preserve"> </w:t>
      </w:r>
      <w:r w:rsidRPr="007C468F">
        <w:rPr>
          <w:i/>
          <w:szCs w:val="22"/>
          <w:lang w:val="lv-LV"/>
        </w:rPr>
        <w:t>pakļauto</w:t>
      </w:r>
      <w:r>
        <w:rPr>
          <w:szCs w:val="22"/>
          <w:lang w:val="lv-LV"/>
        </w:rPr>
        <w:t xml:space="preserve"> pacientu populācijā ietilpa visi pacienti, kuri pētījumu dubultmaskētā kontroles periodā vai nemaskētās pagarinājuma fāzes laikā saņēma vismaz vienu tocilizumaba devu. Šajā 4009 pacientu populācijā 3577 pacienti saņēma vismaz 6 mēnešus ilgu terapiju, 3296 pacienti – vismaz vienu gadu ilgu terapiju, 2806 pacienti – vismaz divus gadus ilgu terapiju, bet 1222 pacienti – trīs gadus ilgu terapiju.</w:t>
      </w:r>
    </w:p>
    <w:p w14:paraId="3F1BCFF5" w14:textId="77777777" w:rsidR="00A453C3" w:rsidRPr="00D30C7D" w:rsidRDefault="00A453C3" w:rsidP="00A453C3">
      <w:pPr>
        <w:rPr>
          <w:i/>
          <w:szCs w:val="22"/>
          <w:lang w:val="lv-LV"/>
        </w:rPr>
      </w:pPr>
    </w:p>
    <w:p w14:paraId="65B5E559" w14:textId="77777777" w:rsidR="00A453C3" w:rsidRPr="00707120" w:rsidRDefault="00A453C3" w:rsidP="00A453C3">
      <w:pPr>
        <w:keepNext/>
        <w:keepLines/>
        <w:rPr>
          <w:szCs w:val="22"/>
          <w:u w:val="single"/>
          <w:lang w:val="lv-LV"/>
        </w:rPr>
      </w:pPr>
      <w:r w:rsidRPr="00707120">
        <w:rPr>
          <w:i/>
          <w:u w:val="single"/>
          <w:lang w:val="lv-LV"/>
        </w:rPr>
        <w:t>Infekcijas</w:t>
      </w:r>
    </w:p>
    <w:p w14:paraId="0E2C7422" w14:textId="7CE1C7FF" w:rsidR="00A453C3" w:rsidRDefault="00A453C3" w:rsidP="00A453C3">
      <w:pPr>
        <w:keepNext/>
        <w:keepLines/>
        <w:rPr>
          <w:szCs w:val="22"/>
          <w:lang w:val="lv-LV"/>
        </w:rPr>
      </w:pPr>
      <w:r>
        <w:rPr>
          <w:szCs w:val="22"/>
          <w:lang w:val="lv-LV"/>
        </w:rPr>
        <w:t xml:space="preserve">Sešus mēnešus ilgos kontrolētos pētījumos visu infekciju rādītājs, kas novērotas, lietojot tocilizumaba </w:t>
      </w:r>
      <w:r>
        <w:rPr>
          <w:iCs/>
          <w:szCs w:val="22"/>
          <w:lang w:val="lv-LV"/>
        </w:rPr>
        <w:t>8 mg/kg devu un DMARD, bija 127 gadījumi uz 100 pacientgadiem, salīdzinot ar 112 gadījumiem uz 100 pacientgadiem placebo un DMARD grupā. Ilgstošai iedarbībai pakļautā populācijā kopējais infekciju rādītājs, lietojot tocilizumabu, bija 108 gadījumi uz 100 pacientgadu ilgu lietošanu</w:t>
      </w:r>
      <w:r>
        <w:rPr>
          <w:szCs w:val="22"/>
          <w:lang w:val="lv-LV"/>
        </w:rPr>
        <w:t>.</w:t>
      </w:r>
    </w:p>
    <w:p w14:paraId="5A6FE5EF" w14:textId="77777777" w:rsidR="00A453C3" w:rsidRDefault="00A453C3" w:rsidP="00A453C3">
      <w:pPr>
        <w:rPr>
          <w:szCs w:val="22"/>
          <w:lang w:val="lv-LV"/>
        </w:rPr>
      </w:pPr>
    </w:p>
    <w:p w14:paraId="11D4FAC3" w14:textId="7E750D31" w:rsidR="00A453C3" w:rsidRDefault="00A453C3" w:rsidP="00A453C3">
      <w:pPr>
        <w:rPr>
          <w:szCs w:val="22"/>
          <w:lang w:val="lv-LV"/>
        </w:rPr>
      </w:pPr>
      <w:r>
        <w:rPr>
          <w:szCs w:val="22"/>
          <w:lang w:val="lv-LV"/>
        </w:rPr>
        <w:t xml:space="preserve">Sešus mēnešus ilgos kontrolētos klīniskos pētījumos nopietnu infekciju rādītājs, lietojot tocilizumaba </w:t>
      </w:r>
      <w:r>
        <w:rPr>
          <w:iCs/>
          <w:szCs w:val="22"/>
          <w:lang w:val="lv-LV"/>
        </w:rPr>
        <w:t xml:space="preserve">8 mg/kg devu un DMARD, bija 5,3 gadījumi uz 100 pacientgadiem, salīdzinot ar 3,9 gadījumiem uz 100 pacientgadiem placebo un DMARD grupā. Monoterapijas pētījumā nopietnu infekciju rādītājs bija 3,6 gadījumi uz 100 pacientgadiem </w:t>
      </w:r>
      <w:r>
        <w:rPr>
          <w:szCs w:val="22"/>
          <w:lang w:val="lv-LV"/>
        </w:rPr>
        <w:t xml:space="preserve">tocilizumaba </w:t>
      </w:r>
      <w:r>
        <w:rPr>
          <w:iCs/>
          <w:szCs w:val="22"/>
          <w:lang w:val="lv-LV"/>
        </w:rPr>
        <w:t>grupā un 1,5 gadījumi uz 100 pacientgadu ilgu lietošanu MTX grupā</w:t>
      </w:r>
      <w:r>
        <w:rPr>
          <w:szCs w:val="22"/>
          <w:lang w:val="lv-LV"/>
        </w:rPr>
        <w:t>.</w:t>
      </w:r>
    </w:p>
    <w:p w14:paraId="32A4C4C3" w14:textId="77777777" w:rsidR="00A453C3" w:rsidRDefault="00A453C3" w:rsidP="00A453C3">
      <w:pPr>
        <w:rPr>
          <w:szCs w:val="22"/>
          <w:lang w:val="lv-LV"/>
        </w:rPr>
      </w:pPr>
    </w:p>
    <w:p w14:paraId="761D2FF9" w14:textId="47C127B9" w:rsidR="00A453C3" w:rsidRDefault="00A453C3" w:rsidP="00A453C3">
      <w:pPr>
        <w:rPr>
          <w:szCs w:val="22"/>
          <w:lang w:val="lv-LV"/>
        </w:rPr>
      </w:pPr>
      <w:del w:id="518" w:author="Author">
        <w:r w:rsidDel="00201B41">
          <w:rPr>
            <w:iCs/>
            <w:szCs w:val="22"/>
            <w:lang w:val="lv-LV"/>
          </w:rPr>
          <w:delText xml:space="preserve">Visu </w:delText>
        </w:r>
      </w:del>
      <w:ins w:id="519" w:author="Author">
        <w:r w:rsidR="00201B41">
          <w:rPr>
            <w:iCs/>
            <w:szCs w:val="22"/>
            <w:lang w:val="lv-LV"/>
          </w:rPr>
          <w:t>Ilg</w:t>
        </w:r>
        <w:r w:rsidR="003428EC">
          <w:rPr>
            <w:iCs/>
            <w:szCs w:val="22"/>
            <w:lang w:val="lv-LV"/>
          </w:rPr>
          <w:t>stošai</w:t>
        </w:r>
        <w:r w:rsidR="00201B41">
          <w:rPr>
            <w:iCs/>
            <w:szCs w:val="22"/>
            <w:lang w:val="lv-LV"/>
          </w:rPr>
          <w:t xml:space="preserve"> </w:t>
        </w:r>
      </w:ins>
      <w:r>
        <w:rPr>
          <w:iCs/>
          <w:szCs w:val="22"/>
          <w:lang w:val="lv-LV"/>
        </w:rPr>
        <w:t>iedarbībai pakļaut</w:t>
      </w:r>
      <w:ins w:id="520" w:author="Author">
        <w:r w:rsidR="003428EC">
          <w:rPr>
            <w:iCs/>
            <w:szCs w:val="22"/>
            <w:lang w:val="lv-LV"/>
          </w:rPr>
          <w:t>ā</w:t>
        </w:r>
      </w:ins>
      <w:del w:id="521" w:author="Author">
        <w:r w:rsidDel="003428EC">
          <w:rPr>
            <w:iCs/>
            <w:szCs w:val="22"/>
            <w:lang w:val="lv-LV"/>
          </w:rPr>
          <w:delText>o pacientu</w:delText>
        </w:r>
      </w:del>
      <w:r>
        <w:rPr>
          <w:iCs/>
          <w:szCs w:val="22"/>
          <w:lang w:val="lv-LV"/>
        </w:rPr>
        <w:t xml:space="preserve"> populācijā kopējais nopietnu infekciju</w:t>
      </w:r>
      <w:ins w:id="522" w:author="Author">
        <w:r w:rsidR="002E494B">
          <w:rPr>
            <w:iCs/>
            <w:szCs w:val="22"/>
            <w:lang w:val="lv-LV"/>
          </w:rPr>
          <w:t xml:space="preserve"> </w:t>
        </w:r>
        <w:r w:rsidR="002E494B" w:rsidRPr="006E74AF">
          <w:rPr>
            <w:szCs w:val="22"/>
            <w:lang w:val="lv-LV"/>
          </w:rPr>
          <w:t>(baktēriju, vīrusu un sēnīšu</w:t>
        </w:r>
        <w:r w:rsidR="003428EC" w:rsidRPr="006E74AF">
          <w:rPr>
            <w:szCs w:val="22"/>
            <w:lang w:val="lv-LV"/>
          </w:rPr>
          <w:t xml:space="preserve"> izraisītu</w:t>
        </w:r>
        <w:r w:rsidR="002E494B" w:rsidRPr="006E74AF">
          <w:rPr>
            <w:szCs w:val="22"/>
            <w:lang w:val="lv-LV"/>
          </w:rPr>
          <w:t>)</w:t>
        </w:r>
      </w:ins>
      <w:r>
        <w:rPr>
          <w:iCs/>
          <w:szCs w:val="22"/>
          <w:lang w:val="lv-LV"/>
        </w:rPr>
        <w:t xml:space="preserve"> rādītājs bija 4,7 gadījumi uz 100 pacientgadiem. Novērotās nopietnās infekcijas, dažas no kurām bija ar letālu iznākumu, ietvēra </w:t>
      </w:r>
      <w:ins w:id="523" w:author="Author">
        <w:r w:rsidR="00FE72F2" w:rsidRPr="006E74AF">
          <w:rPr>
            <w:szCs w:val="22"/>
            <w:lang w:val="lv-LV"/>
          </w:rPr>
          <w:t>aktīvu tuberkulozi</w:t>
        </w:r>
        <w:r w:rsidR="003428EC" w:rsidRPr="006E74AF">
          <w:rPr>
            <w:szCs w:val="22"/>
            <w:lang w:val="lv-LV"/>
          </w:rPr>
          <w:t>, kas var izpausties kā</w:t>
        </w:r>
        <w:r w:rsidR="00897A49" w:rsidRPr="006E74AF">
          <w:rPr>
            <w:szCs w:val="22"/>
            <w:lang w:val="lv-LV"/>
          </w:rPr>
          <w:t xml:space="preserve"> intrapulmonā</w:t>
        </w:r>
        <w:r w:rsidR="003428EC" w:rsidRPr="006E74AF">
          <w:rPr>
            <w:szCs w:val="22"/>
            <w:lang w:val="lv-LV"/>
          </w:rPr>
          <w:t>la</w:t>
        </w:r>
        <w:r w:rsidR="00897A49" w:rsidRPr="006E74AF">
          <w:rPr>
            <w:szCs w:val="22"/>
            <w:lang w:val="lv-LV"/>
          </w:rPr>
          <w:t xml:space="preserve"> vai</w:t>
        </w:r>
        <w:r w:rsidR="00FE72F2" w:rsidRPr="006E74AF">
          <w:rPr>
            <w:szCs w:val="22"/>
            <w:lang w:val="lv-LV"/>
          </w:rPr>
          <w:t xml:space="preserve"> </w:t>
        </w:r>
        <w:r w:rsidR="00897A49" w:rsidRPr="006E74AF">
          <w:rPr>
            <w:szCs w:val="22"/>
            <w:lang w:val="lv-LV"/>
          </w:rPr>
          <w:t>ekstrapulmonā</w:t>
        </w:r>
        <w:r w:rsidR="003428EC" w:rsidRPr="006E74AF">
          <w:rPr>
            <w:szCs w:val="22"/>
            <w:lang w:val="lv-LV"/>
          </w:rPr>
          <w:t>la</w:t>
        </w:r>
        <w:r w:rsidR="00897A49" w:rsidRPr="006E74AF">
          <w:rPr>
            <w:szCs w:val="22"/>
            <w:lang w:val="lv-LV"/>
          </w:rPr>
          <w:t xml:space="preserve"> slimīb</w:t>
        </w:r>
        <w:r w:rsidR="003428EC" w:rsidRPr="006E74AF">
          <w:rPr>
            <w:szCs w:val="22"/>
            <w:lang w:val="lv-LV"/>
          </w:rPr>
          <w:t>a</w:t>
        </w:r>
        <w:r w:rsidR="00FE72F2" w:rsidRPr="006E74AF">
          <w:rPr>
            <w:szCs w:val="22"/>
            <w:lang w:val="lv-LV"/>
          </w:rPr>
          <w:t xml:space="preserve">, invazīvas plaušu infekcijas, </w:t>
        </w:r>
        <w:r w:rsidR="003428EC" w:rsidRPr="006E74AF">
          <w:rPr>
            <w:szCs w:val="22"/>
            <w:lang w:val="lv-LV"/>
          </w:rPr>
          <w:t>tai skaitā</w:t>
        </w:r>
        <w:r w:rsidR="00FE72F2" w:rsidRPr="006E74AF">
          <w:rPr>
            <w:szCs w:val="22"/>
            <w:lang w:val="lv-LV"/>
          </w:rPr>
          <w:t xml:space="preserve"> kandid</w:t>
        </w:r>
        <w:r w:rsidR="003428EC" w:rsidRPr="006E74AF">
          <w:rPr>
            <w:szCs w:val="22"/>
            <w:lang w:val="lv-LV"/>
          </w:rPr>
          <w:t>o</w:t>
        </w:r>
        <w:r w:rsidR="00FE72F2" w:rsidRPr="006E74AF">
          <w:rPr>
            <w:szCs w:val="22"/>
            <w:lang w:val="lv-LV"/>
          </w:rPr>
          <w:t>z</w:t>
        </w:r>
        <w:r w:rsidR="00A65FF0" w:rsidRPr="006E74AF">
          <w:rPr>
            <w:szCs w:val="22"/>
            <w:lang w:val="lv-LV"/>
          </w:rPr>
          <w:t>i</w:t>
        </w:r>
        <w:r w:rsidR="00FE72F2" w:rsidRPr="006E74AF">
          <w:rPr>
            <w:szCs w:val="22"/>
            <w:lang w:val="lv-LV"/>
          </w:rPr>
          <w:t>, aspergiloz</w:t>
        </w:r>
        <w:r w:rsidR="00A65FF0" w:rsidRPr="006E74AF">
          <w:rPr>
            <w:szCs w:val="22"/>
            <w:lang w:val="lv-LV"/>
          </w:rPr>
          <w:t>i</w:t>
        </w:r>
        <w:r w:rsidR="00FE72F2" w:rsidRPr="006E74AF">
          <w:rPr>
            <w:szCs w:val="22"/>
            <w:lang w:val="lv-LV"/>
          </w:rPr>
          <w:t>, kokcidioidomikoz</w:t>
        </w:r>
        <w:r w:rsidR="00A65FF0" w:rsidRPr="006E74AF">
          <w:rPr>
            <w:szCs w:val="22"/>
            <w:lang w:val="lv-LV"/>
          </w:rPr>
          <w:t>i</w:t>
        </w:r>
        <w:r w:rsidR="00FE72F2" w:rsidRPr="006E74AF">
          <w:rPr>
            <w:szCs w:val="22"/>
            <w:lang w:val="lv-LV"/>
          </w:rPr>
          <w:t xml:space="preserve"> un </w:t>
        </w:r>
        <w:r w:rsidR="003428EC" w:rsidRPr="006E74AF">
          <w:rPr>
            <w:i/>
            <w:iCs/>
            <w:szCs w:val="22"/>
            <w:lang w:val="lv-LV"/>
          </w:rPr>
          <w:t>P</w:t>
        </w:r>
        <w:r w:rsidR="00FE72F2" w:rsidRPr="006E74AF">
          <w:rPr>
            <w:i/>
            <w:iCs/>
            <w:szCs w:val="22"/>
            <w:lang w:val="lv-LV"/>
          </w:rPr>
          <w:t>neumocystis jirovecii</w:t>
        </w:r>
        <w:r w:rsidR="002C147D">
          <w:rPr>
            <w:i/>
            <w:iCs/>
            <w:szCs w:val="22"/>
            <w:lang w:val="lv-LV"/>
          </w:rPr>
          <w:t xml:space="preserve"> </w:t>
        </w:r>
        <w:r w:rsidR="002C147D">
          <w:rPr>
            <w:szCs w:val="22"/>
            <w:lang w:val="lv-LV"/>
          </w:rPr>
          <w:t>izraisītas infekcijas</w:t>
        </w:r>
        <w:r w:rsidR="00FE72F2" w:rsidRPr="00DD58C9">
          <w:rPr>
            <w:szCs w:val="22"/>
            <w:lang w:val="lv-LV"/>
            <w:rPrChange w:id="524" w:author="Author">
              <w:rPr>
                <w:szCs w:val="22"/>
              </w:rPr>
            </w:rPrChange>
          </w:rPr>
          <w:t xml:space="preserve">, </w:t>
        </w:r>
      </w:ins>
      <w:r>
        <w:rPr>
          <w:iCs/>
          <w:szCs w:val="22"/>
          <w:lang w:val="lv-LV"/>
        </w:rPr>
        <w:t xml:space="preserve">pneimoniju, celulītu, </w:t>
      </w:r>
      <w:r>
        <w:rPr>
          <w:i/>
          <w:iCs/>
          <w:szCs w:val="22"/>
          <w:lang w:val="lv-LV"/>
        </w:rPr>
        <w:t>herpes zoster</w:t>
      </w:r>
      <w:r>
        <w:rPr>
          <w:iCs/>
          <w:szCs w:val="22"/>
          <w:lang w:val="lv-LV"/>
        </w:rPr>
        <w:t>, gastroenterītu, divertikulītu, sepsi un bakteriālu artrītu. Ziņots arī par oportūnistiskām infekcijām</w:t>
      </w:r>
      <w:r>
        <w:rPr>
          <w:szCs w:val="22"/>
          <w:lang w:val="lv-LV"/>
        </w:rPr>
        <w:t>.</w:t>
      </w:r>
    </w:p>
    <w:p w14:paraId="58C65A11" w14:textId="77777777" w:rsidR="00A453C3" w:rsidRDefault="00A453C3" w:rsidP="00A453C3">
      <w:pPr>
        <w:rPr>
          <w:szCs w:val="22"/>
          <w:lang w:val="lv-LV"/>
        </w:rPr>
      </w:pPr>
    </w:p>
    <w:p w14:paraId="4C7A2CB2" w14:textId="77777777" w:rsidR="00A453C3" w:rsidRPr="00707120" w:rsidRDefault="00A453C3" w:rsidP="00A453C3">
      <w:pPr>
        <w:keepNext/>
        <w:rPr>
          <w:szCs w:val="24"/>
          <w:u w:val="single"/>
          <w:lang w:val="lv-LV"/>
        </w:rPr>
      </w:pPr>
      <w:r w:rsidRPr="00707120">
        <w:rPr>
          <w:i/>
          <w:szCs w:val="24"/>
          <w:u w:val="single"/>
          <w:lang w:val="lv-LV"/>
        </w:rPr>
        <w:t>Intersticiāla plaušu slimība</w:t>
      </w:r>
    </w:p>
    <w:p w14:paraId="06117F6F" w14:textId="77777777" w:rsidR="00A453C3" w:rsidRDefault="00A453C3" w:rsidP="00A453C3">
      <w:pPr>
        <w:rPr>
          <w:szCs w:val="22"/>
          <w:lang w:val="lv-LV"/>
        </w:rPr>
      </w:pPr>
      <w:r>
        <w:rPr>
          <w:szCs w:val="24"/>
          <w:lang w:val="lv-LV"/>
        </w:rPr>
        <w:t>Plaušu darbības traucējumi var paaugstināt infekciju attīstības risku. Pēcreģistrācijas periodā ir aprakstīta intersticiāla plaušu slimība (tajā skaitā pneimonīts un plaušu fibroze), dažkārt ar letālu iznākumu.</w:t>
      </w:r>
    </w:p>
    <w:p w14:paraId="685285D6" w14:textId="77777777" w:rsidR="00A453C3" w:rsidRDefault="00A453C3" w:rsidP="00A453C3">
      <w:pPr>
        <w:rPr>
          <w:szCs w:val="22"/>
          <w:lang w:val="lv-LV"/>
        </w:rPr>
      </w:pPr>
    </w:p>
    <w:p w14:paraId="40E54BA4" w14:textId="61DDCDF5" w:rsidR="00A453C3" w:rsidRPr="00707120" w:rsidRDefault="00A453C3">
      <w:pPr>
        <w:keepNext/>
        <w:rPr>
          <w:szCs w:val="22"/>
          <w:u w:val="single"/>
          <w:lang w:val="lv-LV"/>
        </w:rPr>
        <w:pPrChange w:id="525" w:author="Author">
          <w:pPr/>
        </w:pPrChange>
      </w:pPr>
      <w:r w:rsidRPr="00707120">
        <w:rPr>
          <w:i/>
          <w:szCs w:val="22"/>
          <w:u w:val="single"/>
          <w:lang w:val="lv-LV"/>
        </w:rPr>
        <w:t>Kuņģa</w:t>
      </w:r>
      <w:r w:rsidR="00BD246C">
        <w:rPr>
          <w:i/>
          <w:szCs w:val="22"/>
          <w:u w:val="single"/>
          <w:lang w:val="lv-LV"/>
        </w:rPr>
        <w:t xml:space="preserve"> un </w:t>
      </w:r>
      <w:r w:rsidRPr="00707120">
        <w:rPr>
          <w:i/>
          <w:szCs w:val="22"/>
          <w:u w:val="single"/>
          <w:lang w:val="lv-LV"/>
        </w:rPr>
        <w:t>zarnu trakta perforācija</w:t>
      </w:r>
    </w:p>
    <w:p w14:paraId="3793B7CF" w14:textId="54BD0E83" w:rsidR="00A453C3" w:rsidRDefault="00A453C3" w:rsidP="00A453C3">
      <w:pPr>
        <w:rPr>
          <w:rFonts w:eastAsia="PMingLiU"/>
          <w:szCs w:val="22"/>
          <w:lang w:val="lv-LV"/>
        </w:rPr>
      </w:pPr>
      <w:r>
        <w:rPr>
          <w:szCs w:val="22"/>
          <w:lang w:val="lv-LV"/>
        </w:rPr>
        <w:t xml:space="preserve">Sešus mēnešus ilgos kontrolētos klīniskos pētījumos lietojot </w:t>
      </w:r>
      <w:r>
        <w:rPr>
          <w:iCs/>
          <w:szCs w:val="22"/>
          <w:lang w:val="lv-LV"/>
        </w:rPr>
        <w:t>tocilizumabu</w:t>
      </w:r>
      <w:r>
        <w:rPr>
          <w:szCs w:val="22"/>
          <w:lang w:val="lv-LV"/>
        </w:rPr>
        <w:t xml:space="preserve">, kopējais kuņģa </w:t>
      </w:r>
      <w:r w:rsidR="00BD246C">
        <w:rPr>
          <w:szCs w:val="22"/>
          <w:lang w:val="lv-LV"/>
        </w:rPr>
        <w:t>un</w:t>
      </w:r>
      <w:r>
        <w:rPr>
          <w:szCs w:val="22"/>
          <w:lang w:val="lv-LV"/>
        </w:rPr>
        <w:t xml:space="preserve"> zarnu trakta perforācijas rādītājs bija 0,26 gadījumi uz 100 pacientgadiem. Ilgstošai iedarbībai pakļautajā populācijā kopējais kuņģa </w:t>
      </w:r>
      <w:r w:rsidR="00BD246C">
        <w:rPr>
          <w:szCs w:val="22"/>
          <w:lang w:val="lv-LV"/>
        </w:rPr>
        <w:t>un</w:t>
      </w:r>
      <w:r>
        <w:rPr>
          <w:szCs w:val="22"/>
          <w:lang w:val="lv-LV"/>
        </w:rPr>
        <w:t xml:space="preserve"> zarnu trakta perforācijas rādītājs bija 0,28 gadījumi uz 100 pacientgadiem. Kuņģa </w:t>
      </w:r>
      <w:r w:rsidR="00BD246C">
        <w:rPr>
          <w:szCs w:val="22"/>
          <w:lang w:val="lv-LV"/>
        </w:rPr>
        <w:t>un</w:t>
      </w:r>
      <w:r>
        <w:rPr>
          <w:szCs w:val="22"/>
          <w:lang w:val="lv-LV"/>
        </w:rPr>
        <w:t xml:space="preserve"> zarnu trakta perforācija terapijas laikā galvenokārt aprakstīta kā divertikulīta komplikācijas, ietverot ģeneralizētu strutainu peritonītu, kuņģa</w:t>
      </w:r>
      <w:r w:rsidR="00BD246C">
        <w:rPr>
          <w:szCs w:val="22"/>
          <w:lang w:val="lv-LV"/>
        </w:rPr>
        <w:t xml:space="preserve"> un </w:t>
      </w:r>
      <w:r>
        <w:rPr>
          <w:szCs w:val="22"/>
          <w:lang w:val="lv-LV"/>
        </w:rPr>
        <w:t>zarnu trakta apakšējās daļas perforāciju, fistulu un abscesu.</w:t>
      </w:r>
    </w:p>
    <w:p w14:paraId="38FF42E3" w14:textId="77777777" w:rsidR="00A453C3" w:rsidRDefault="00A453C3" w:rsidP="00A453C3">
      <w:pPr>
        <w:autoSpaceDE w:val="0"/>
        <w:rPr>
          <w:rFonts w:eastAsia="PMingLiU"/>
          <w:szCs w:val="22"/>
          <w:lang w:val="lv-LV"/>
        </w:rPr>
      </w:pPr>
    </w:p>
    <w:p w14:paraId="33B5CB44" w14:textId="77777777" w:rsidR="00A453C3" w:rsidRPr="00707120" w:rsidRDefault="00A453C3">
      <w:pPr>
        <w:keepNext/>
        <w:rPr>
          <w:szCs w:val="22"/>
          <w:u w:val="single"/>
          <w:lang w:val="lv-LV"/>
        </w:rPr>
        <w:pPrChange w:id="526" w:author="Author">
          <w:pPr/>
        </w:pPrChange>
      </w:pPr>
      <w:r w:rsidRPr="00707120">
        <w:rPr>
          <w:rFonts w:eastAsia="PMingLiU"/>
          <w:i/>
          <w:u w:val="single"/>
          <w:lang w:val="lv-LV"/>
        </w:rPr>
        <w:t>Ar infūziju saistītas reakcijas</w:t>
      </w:r>
    </w:p>
    <w:p w14:paraId="6043D082" w14:textId="73E29E77" w:rsidR="00A453C3" w:rsidRDefault="00A453C3" w:rsidP="00A453C3">
      <w:pPr>
        <w:rPr>
          <w:szCs w:val="22"/>
          <w:lang w:val="lv-LV"/>
        </w:rPr>
      </w:pPr>
      <w:r>
        <w:rPr>
          <w:szCs w:val="22"/>
          <w:lang w:val="lv-LV"/>
        </w:rPr>
        <w:t xml:space="preserve">Sešus mēnešus ilgos kontrolētos pētījumos ar infūziju saistītas blakusparādības (atsevišķi traucējumi, kas rodas infūzijas laikā vai 24 stundu laikā pēc tās), novērotas 6,9% pacientu </w:t>
      </w:r>
      <w:r>
        <w:rPr>
          <w:iCs/>
          <w:szCs w:val="22"/>
          <w:lang w:val="lv-LV"/>
        </w:rPr>
        <w:t>tocilizumaba 8 mg/kg un DMARD grupā un 5,1% pacientu placebo un DMARD grupā. Galvenais infūzijas laikā novērotais traucējums bija hipertensija; traucējumi, par kuriem ziņots 24 </w:t>
      </w:r>
      <w:r>
        <w:rPr>
          <w:szCs w:val="22"/>
          <w:lang w:val="lv-LV"/>
        </w:rPr>
        <w:t>stundu laikā pēc infūzijas pabeigšanas, bija galvassāpes un ādas reakcijas (izsitumi, nātrene). Šie traucējumi neierobežoja ārstēšanu.</w:t>
      </w:r>
    </w:p>
    <w:p w14:paraId="24A2FF25" w14:textId="77777777" w:rsidR="00A453C3" w:rsidRDefault="00A453C3" w:rsidP="00A453C3">
      <w:pPr>
        <w:rPr>
          <w:szCs w:val="22"/>
          <w:lang w:val="lv-LV"/>
        </w:rPr>
      </w:pPr>
    </w:p>
    <w:p w14:paraId="1C22E1D8" w14:textId="45C2BFD3" w:rsidR="00A453C3" w:rsidRDefault="00A453C3" w:rsidP="00A453C3">
      <w:pPr>
        <w:rPr>
          <w:szCs w:val="22"/>
          <w:lang w:val="lv-LV"/>
        </w:rPr>
      </w:pPr>
      <w:r>
        <w:rPr>
          <w:szCs w:val="22"/>
          <w:lang w:val="lv-LV"/>
        </w:rPr>
        <w:t xml:space="preserve">Anafilaktisko reakciju rādītājs (radās kopumā </w:t>
      </w:r>
      <w:ins w:id="527" w:author="Author">
        <w:r w:rsidR="00B4689A" w:rsidRPr="008E07B2">
          <w:rPr>
            <w:szCs w:val="22"/>
            <w:lang w:val="lv-LV"/>
          </w:rPr>
          <w:t>8/4</w:t>
        </w:r>
        <w:r w:rsidR="008E07B2">
          <w:rPr>
            <w:szCs w:val="22"/>
            <w:lang w:val="lv-LV"/>
          </w:rPr>
          <w:t> </w:t>
        </w:r>
        <w:r w:rsidR="00B4689A" w:rsidRPr="008E07B2">
          <w:rPr>
            <w:szCs w:val="22"/>
            <w:lang w:val="lv-LV"/>
          </w:rPr>
          <w:t>009</w:t>
        </w:r>
      </w:ins>
      <w:del w:id="528" w:author="Author">
        <w:r w:rsidDel="00B4689A">
          <w:rPr>
            <w:szCs w:val="22"/>
            <w:lang w:val="lv-LV"/>
          </w:rPr>
          <w:delText>6/3778</w:delText>
        </w:r>
      </w:del>
      <w:r>
        <w:rPr>
          <w:szCs w:val="22"/>
          <w:lang w:val="lv-LV"/>
        </w:rPr>
        <w:t xml:space="preserve"> pacientiem, 0,2%), lietojot 4 mg/kg devu, bija vairākas reizes lielāks, nekā lietojot 8 mg/kg devu. Par klīniski nozīmīgām paaugstinātas jutības reakcijām saistībā ar </w:t>
      </w:r>
      <w:r>
        <w:rPr>
          <w:iCs/>
          <w:szCs w:val="22"/>
          <w:lang w:val="lv-LV"/>
        </w:rPr>
        <w:t xml:space="preserve">tocilizumaba lietošanu, kuru dēļ nepieciešama terapijas pārtraukšana, ziņots kopumā </w:t>
      </w:r>
      <w:del w:id="529" w:author="Author">
        <w:r w:rsidDel="00AA43E6">
          <w:rPr>
            <w:szCs w:val="22"/>
            <w:lang w:val="lv-LV"/>
          </w:rPr>
          <w:delText>13 </w:delText>
        </w:r>
      </w:del>
      <w:ins w:id="530" w:author="Author">
        <w:r w:rsidR="00AA43E6">
          <w:rPr>
            <w:szCs w:val="22"/>
            <w:lang w:val="lv-LV"/>
          </w:rPr>
          <w:t>56 </w:t>
        </w:r>
      </w:ins>
      <w:r>
        <w:rPr>
          <w:szCs w:val="22"/>
          <w:lang w:val="lv-LV"/>
        </w:rPr>
        <w:t xml:space="preserve">no </w:t>
      </w:r>
      <w:ins w:id="531" w:author="Author">
        <w:r w:rsidR="00AA43E6" w:rsidRPr="008E07B2">
          <w:rPr>
            <w:szCs w:val="22"/>
            <w:lang w:val="lv-LV"/>
          </w:rPr>
          <w:t>4</w:t>
        </w:r>
        <w:r w:rsidR="008E07B2">
          <w:rPr>
            <w:szCs w:val="22"/>
            <w:lang w:val="lv-LV"/>
          </w:rPr>
          <w:t> </w:t>
        </w:r>
        <w:r w:rsidR="00AA43E6" w:rsidRPr="008E07B2">
          <w:rPr>
            <w:szCs w:val="22"/>
            <w:lang w:val="lv-LV"/>
          </w:rPr>
          <w:t>009</w:t>
        </w:r>
      </w:ins>
      <w:del w:id="532" w:author="Author">
        <w:r w:rsidDel="00AA43E6">
          <w:rPr>
            <w:szCs w:val="22"/>
            <w:lang w:val="lv-LV"/>
          </w:rPr>
          <w:delText>3778</w:delText>
        </w:r>
      </w:del>
      <w:r>
        <w:rPr>
          <w:szCs w:val="22"/>
          <w:lang w:val="lv-LV"/>
        </w:rPr>
        <w:t> pacientiem (</w:t>
      </w:r>
      <w:del w:id="533" w:author="Author">
        <w:r w:rsidDel="00AA43E6">
          <w:rPr>
            <w:szCs w:val="22"/>
            <w:lang w:val="lv-LV"/>
          </w:rPr>
          <w:delText>0,3</w:delText>
        </w:r>
      </w:del>
      <w:ins w:id="534" w:author="Author">
        <w:r w:rsidR="00AA43E6">
          <w:rPr>
            <w:szCs w:val="22"/>
            <w:lang w:val="lv-LV"/>
          </w:rPr>
          <w:t>1,4</w:t>
        </w:r>
      </w:ins>
      <w:r>
        <w:rPr>
          <w:szCs w:val="22"/>
          <w:lang w:val="lv-LV"/>
        </w:rPr>
        <w:t>%)</w:t>
      </w:r>
      <w:r>
        <w:rPr>
          <w:iCs/>
          <w:szCs w:val="22"/>
          <w:lang w:val="lv-LV"/>
        </w:rPr>
        <w:t xml:space="preserve"> kontrolētos un atklātos klīniskos pētījumos terapiju saņēmušiem pacientiem. Šīs reakcijas parasti tika novērotas tocilizumaba 2.</w:t>
      </w:r>
      <w:r>
        <w:rPr>
          <w:iCs/>
          <w:szCs w:val="22"/>
          <w:lang w:val="lv-LV"/>
        </w:rPr>
        <w:noBreakHyphen/>
        <w:t>5. infūzijas laikā (skatīt 4.4. apakšpunktu)</w:t>
      </w:r>
      <w:r>
        <w:rPr>
          <w:szCs w:val="22"/>
          <w:lang w:val="lv-LV"/>
        </w:rPr>
        <w:t>.</w:t>
      </w:r>
      <w:r>
        <w:rPr>
          <w:lang w:val="lv-LV"/>
        </w:rPr>
        <w:t xml:space="preserve"> Pēcreģistrācijas periodā ziņots par letālu anafilakses gadījumu intravenozi lietojama </w:t>
      </w:r>
      <w:r>
        <w:rPr>
          <w:szCs w:val="22"/>
          <w:lang w:val="lv-LV"/>
        </w:rPr>
        <w:t xml:space="preserve">tocilizumaba </w:t>
      </w:r>
      <w:r>
        <w:rPr>
          <w:lang w:val="lv-LV"/>
        </w:rPr>
        <w:t>terapijas laikā (skatīt 4.4. apakšpunktu).</w:t>
      </w:r>
    </w:p>
    <w:p w14:paraId="013EE62D" w14:textId="77777777" w:rsidR="00A453C3" w:rsidRDefault="00A453C3" w:rsidP="00A453C3">
      <w:pPr>
        <w:rPr>
          <w:szCs w:val="22"/>
          <w:lang w:val="lv-LV"/>
        </w:rPr>
      </w:pPr>
    </w:p>
    <w:p w14:paraId="6511037E" w14:textId="77777777" w:rsidR="00A453C3" w:rsidRPr="00707120" w:rsidRDefault="00A453C3" w:rsidP="00707120">
      <w:pPr>
        <w:keepNext/>
        <w:rPr>
          <w:szCs w:val="22"/>
          <w:u w:val="single"/>
          <w:lang w:val="lv-LV"/>
        </w:rPr>
      </w:pPr>
      <w:r w:rsidRPr="00707120">
        <w:rPr>
          <w:i/>
          <w:u w:val="single"/>
          <w:lang w:val="lv-LV"/>
        </w:rPr>
        <w:t>Imūngenitāte</w:t>
      </w:r>
    </w:p>
    <w:p w14:paraId="58BFECFD" w14:textId="2C74E95E" w:rsidR="00A453C3" w:rsidRDefault="00A453C3" w:rsidP="00A453C3">
      <w:pPr>
        <w:rPr>
          <w:szCs w:val="22"/>
          <w:lang w:val="lv-LV"/>
        </w:rPr>
      </w:pPr>
      <w:r>
        <w:rPr>
          <w:szCs w:val="22"/>
          <w:lang w:val="lv-LV"/>
        </w:rPr>
        <w:t>Sešus mēnešus ilgos k</w:t>
      </w:r>
      <w:r>
        <w:rPr>
          <w:iCs/>
          <w:szCs w:val="22"/>
          <w:lang w:val="lv-LV"/>
        </w:rPr>
        <w:t>ontrolētos klīniskos pētījumos anti</w:t>
      </w:r>
      <w:r>
        <w:rPr>
          <w:iCs/>
          <w:szCs w:val="22"/>
          <w:lang w:val="lv-LV"/>
        </w:rPr>
        <w:noBreakHyphen/>
        <w:t>tocilizumaba</w:t>
      </w:r>
      <w:r w:rsidR="00044391">
        <w:rPr>
          <w:iCs/>
          <w:szCs w:val="22"/>
          <w:lang w:val="lv-LV"/>
        </w:rPr>
        <w:t xml:space="preserve"> </w:t>
      </w:r>
      <w:r>
        <w:rPr>
          <w:iCs/>
          <w:szCs w:val="22"/>
          <w:lang w:val="lv-LV"/>
        </w:rPr>
        <w:t>antivielas noteica kopumā 2876 pacientiem. No 46 pacientiem (1,6%), kuriem attīstījās anti</w:t>
      </w:r>
      <w:r>
        <w:rPr>
          <w:iCs/>
          <w:szCs w:val="22"/>
          <w:lang w:val="lv-LV"/>
        </w:rPr>
        <w:noBreakHyphen/>
        <w:t>tocilizumaba</w:t>
      </w:r>
      <w:r>
        <w:rPr>
          <w:szCs w:val="22"/>
          <w:lang w:val="lv-LV"/>
        </w:rPr>
        <w:t xml:space="preserve"> </w:t>
      </w:r>
      <w:r>
        <w:rPr>
          <w:iCs/>
          <w:szCs w:val="22"/>
          <w:lang w:val="lv-LV"/>
        </w:rPr>
        <w:t>antivielas, 6 pacientiem vienlaikus bija arī klīniski nozīmīga paaugstinātas jutības reakcija, kuras dēļ 5 pacientiem terapija bija pilnīgi jāpārtrauc. Trīsdesmit pacientiem (1,1%) attīstījās neitralizējošas antivielas.</w:t>
      </w:r>
    </w:p>
    <w:p w14:paraId="55F380A6" w14:textId="77777777" w:rsidR="00A453C3" w:rsidRDefault="00A453C3" w:rsidP="00A453C3">
      <w:pPr>
        <w:rPr>
          <w:szCs w:val="22"/>
          <w:lang w:val="lv-LV"/>
        </w:rPr>
      </w:pPr>
    </w:p>
    <w:p w14:paraId="52E19150" w14:textId="77777777" w:rsidR="00A453C3" w:rsidRPr="00707120" w:rsidRDefault="00A453C3" w:rsidP="00A453C3">
      <w:pPr>
        <w:keepNext/>
        <w:keepLines/>
        <w:rPr>
          <w:szCs w:val="22"/>
          <w:u w:val="single"/>
          <w:lang w:val="lv-LV"/>
        </w:rPr>
      </w:pPr>
      <w:r w:rsidRPr="00707120">
        <w:rPr>
          <w:i/>
          <w:u w:val="single"/>
          <w:lang w:val="lv-LV"/>
        </w:rPr>
        <w:t>Neitrofilie leikocīti</w:t>
      </w:r>
    </w:p>
    <w:p w14:paraId="32907CDC" w14:textId="0694D847" w:rsidR="00A453C3" w:rsidRDefault="00A453C3" w:rsidP="00A453C3">
      <w:pPr>
        <w:rPr>
          <w:szCs w:val="22"/>
          <w:lang w:val="lv-LV"/>
        </w:rPr>
      </w:pPr>
      <w:r>
        <w:rPr>
          <w:szCs w:val="22"/>
          <w:lang w:val="lv-LV"/>
        </w:rPr>
        <w:t>Sešus mēnešus ilgos k</w:t>
      </w:r>
      <w:r>
        <w:rPr>
          <w:iCs/>
          <w:szCs w:val="22"/>
          <w:lang w:val="lv-LV"/>
        </w:rPr>
        <w:t>ontrolētos pētījumos n</w:t>
      </w:r>
      <w:r>
        <w:rPr>
          <w:szCs w:val="22"/>
          <w:lang w:val="lv-LV"/>
        </w:rPr>
        <w:t>eitrofilo leikocītu skaita samazināšanos zem 1 × 10</w:t>
      </w:r>
      <w:r>
        <w:rPr>
          <w:szCs w:val="22"/>
          <w:vertAlign w:val="superscript"/>
          <w:lang w:val="lv-LV"/>
        </w:rPr>
        <w:t>9</w:t>
      </w:r>
      <w:r>
        <w:rPr>
          <w:rFonts w:eastAsia="MS Mincho"/>
          <w:szCs w:val="22"/>
          <w:lang w:val="lv-LV"/>
        </w:rPr>
        <w:t xml:space="preserve">/l </w:t>
      </w:r>
      <w:r>
        <w:rPr>
          <w:szCs w:val="22"/>
          <w:lang w:val="lv-LV"/>
        </w:rPr>
        <w:t>konstatēja 3,4% pacientu, kuri saņēma tocilizumaba 8 mg/kg devu un DMARD, salīdzinot ar &lt; 0,1% pacientu, kuri saņēma placebo un DMARD. Aptuveni pusei pacientu, kuriem ANS samazinājās līdz &lt; 1 × 10</w:t>
      </w:r>
      <w:r>
        <w:rPr>
          <w:szCs w:val="22"/>
          <w:vertAlign w:val="superscript"/>
          <w:lang w:val="lv-LV"/>
        </w:rPr>
        <w:t>9</w:t>
      </w:r>
      <w:r>
        <w:rPr>
          <w:szCs w:val="22"/>
          <w:lang w:val="lv-LV"/>
        </w:rPr>
        <w:t>/l, tas notika 8 nedēļu laikā pēc ārstēšanas uzsākšanas.</w:t>
      </w:r>
      <w:r>
        <w:rPr>
          <w:szCs w:val="22"/>
          <w:vertAlign w:val="superscript"/>
          <w:lang w:val="lv-LV"/>
        </w:rPr>
        <w:t xml:space="preserve"> </w:t>
      </w:r>
      <w:r>
        <w:rPr>
          <w:szCs w:val="22"/>
          <w:lang w:val="lv-LV"/>
        </w:rPr>
        <w:t>Par samazināšanos zem 0,5 × 10</w:t>
      </w:r>
      <w:r>
        <w:rPr>
          <w:szCs w:val="22"/>
          <w:vertAlign w:val="superscript"/>
          <w:lang w:val="lv-LV"/>
        </w:rPr>
        <w:t>9</w:t>
      </w:r>
      <w:r>
        <w:rPr>
          <w:rFonts w:eastAsia="MS Mincho"/>
          <w:szCs w:val="22"/>
          <w:lang w:val="lv-LV"/>
        </w:rPr>
        <w:t>/l</w:t>
      </w:r>
      <w:r>
        <w:rPr>
          <w:szCs w:val="22"/>
          <w:lang w:val="lv-LV"/>
        </w:rPr>
        <w:t xml:space="preserve"> tika ziņots 0,3% pacientu, kuri saņēma</w:t>
      </w:r>
      <w:r w:rsidRPr="00981022">
        <w:rPr>
          <w:szCs w:val="22"/>
          <w:lang w:val="lv-LV"/>
        </w:rPr>
        <w:t xml:space="preserve"> </w:t>
      </w:r>
      <w:r>
        <w:rPr>
          <w:szCs w:val="22"/>
          <w:lang w:val="lv-LV"/>
        </w:rPr>
        <w:t xml:space="preserve">tocilizumaba 8 mg/kg devu un DMARD. Neitropēnijas gadījumos ir aprakstītas infekcijas. </w:t>
      </w:r>
    </w:p>
    <w:p w14:paraId="6C12D2BE" w14:textId="77777777" w:rsidR="00A453C3" w:rsidRDefault="00A453C3" w:rsidP="00A453C3">
      <w:pPr>
        <w:autoSpaceDE w:val="0"/>
        <w:rPr>
          <w:szCs w:val="22"/>
          <w:lang w:val="lv-LV"/>
        </w:rPr>
      </w:pPr>
    </w:p>
    <w:p w14:paraId="292BC686" w14:textId="77777777" w:rsidR="00A453C3" w:rsidRDefault="00A453C3" w:rsidP="00A453C3">
      <w:pPr>
        <w:autoSpaceDE w:val="0"/>
        <w:rPr>
          <w:szCs w:val="22"/>
          <w:lang w:val="lv-LV"/>
        </w:rPr>
      </w:pPr>
      <w:r>
        <w:rPr>
          <w:szCs w:val="22"/>
          <w:lang w:val="lv-LV"/>
        </w:rPr>
        <w:t>Dubultmaskētā kontroles periodā pakļaujot pacientus ilgstošai zāļu iedarbībai, neitrofilo leikocītu skaita samazināšanās veids un sastopamība saglabājās atbilstoši tam, kāds tika novērots 6 mēnešus ilgo kontrolēto klīnisko pētījumu laikā.</w:t>
      </w:r>
    </w:p>
    <w:p w14:paraId="0F6BD421" w14:textId="77777777" w:rsidR="00A453C3" w:rsidRDefault="00A453C3" w:rsidP="00A453C3">
      <w:pPr>
        <w:autoSpaceDE w:val="0"/>
        <w:rPr>
          <w:szCs w:val="22"/>
          <w:lang w:val="lv-LV"/>
        </w:rPr>
      </w:pPr>
    </w:p>
    <w:p w14:paraId="36B5BA79" w14:textId="77777777" w:rsidR="00A453C3" w:rsidRPr="00707120" w:rsidRDefault="00A453C3" w:rsidP="00A453C3">
      <w:pPr>
        <w:keepNext/>
        <w:keepLines/>
        <w:autoSpaceDE w:val="0"/>
        <w:rPr>
          <w:szCs w:val="22"/>
          <w:u w:val="single"/>
          <w:lang w:val="lv-LV"/>
        </w:rPr>
      </w:pPr>
      <w:r w:rsidRPr="00707120">
        <w:rPr>
          <w:i/>
          <w:szCs w:val="22"/>
          <w:u w:val="single"/>
          <w:lang w:val="lv-LV"/>
        </w:rPr>
        <w:t>Trombocīti</w:t>
      </w:r>
    </w:p>
    <w:p w14:paraId="74BF8E8B" w14:textId="05D3B694" w:rsidR="00A453C3" w:rsidRDefault="00A453C3" w:rsidP="00A453C3">
      <w:pPr>
        <w:autoSpaceDE w:val="0"/>
        <w:rPr>
          <w:szCs w:val="22"/>
          <w:lang w:val="lv-LV"/>
        </w:rPr>
      </w:pPr>
      <w:r>
        <w:rPr>
          <w:szCs w:val="22"/>
          <w:lang w:val="lv-LV"/>
        </w:rPr>
        <w:t>Sešus mēnešus ilgos k</w:t>
      </w:r>
      <w:r>
        <w:rPr>
          <w:iCs/>
          <w:szCs w:val="22"/>
          <w:lang w:val="lv-LV"/>
        </w:rPr>
        <w:t xml:space="preserve">ontrolētos pētījumos </w:t>
      </w:r>
      <w:r>
        <w:rPr>
          <w:szCs w:val="22"/>
          <w:lang w:val="lv-LV"/>
        </w:rPr>
        <w:t>trombocītu skaita samazināšanos zem 100 × 10</w:t>
      </w:r>
      <w:r>
        <w:rPr>
          <w:szCs w:val="22"/>
          <w:vertAlign w:val="superscript"/>
          <w:lang w:val="lv-LV"/>
        </w:rPr>
        <w:t>3</w:t>
      </w:r>
      <w:r>
        <w:rPr>
          <w:rFonts w:eastAsia="MS Mincho"/>
          <w:szCs w:val="22"/>
          <w:lang w:val="lv-LV"/>
        </w:rPr>
        <w:t>/</w:t>
      </w:r>
      <w:r w:rsidR="004414A4" w:rsidRPr="00707120">
        <w:rPr>
          <w:rFonts w:eastAsia="SimSun"/>
          <w:szCs w:val="22"/>
          <w:lang w:val="lv-LV" w:eastAsia="ja-JP"/>
        </w:rPr>
        <w:t>µ</w:t>
      </w:r>
      <w:r>
        <w:rPr>
          <w:rFonts w:eastAsia="MS Mincho"/>
          <w:szCs w:val="22"/>
          <w:lang w:val="lv-LV"/>
        </w:rPr>
        <w:t>l</w:t>
      </w:r>
      <w:r>
        <w:rPr>
          <w:szCs w:val="22"/>
          <w:lang w:val="lv-LV"/>
        </w:rPr>
        <w:t xml:space="preserve"> konstatēja 1,7% pacientu, kuri saņēma tocilizumaba 8 mg/kg devu un DMARD, salīdzinot ar &lt; 1% pacientu, kuri saņēma placebo un DMARD. Šī samazināšanās nebija saistīta ar asiņošanu.</w:t>
      </w:r>
    </w:p>
    <w:p w14:paraId="73CC5B7C" w14:textId="77777777" w:rsidR="00A453C3" w:rsidRDefault="00A453C3" w:rsidP="00A453C3">
      <w:pPr>
        <w:autoSpaceDE w:val="0"/>
        <w:rPr>
          <w:szCs w:val="22"/>
          <w:lang w:val="lv-LV"/>
        </w:rPr>
      </w:pPr>
    </w:p>
    <w:p w14:paraId="01DEA0F5" w14:textId="77777777" w:rsidR="00A453C3" w:rsidRDefault="00A453C3" w:rsidP="00A453C3">
      <w:pPr>
        <w:autoSpaceDE w:val="0"/>
        <w:rPr>
          <w:szCs w:val="22"/>
          <w:lang w:val="lv-LV"/>
        </w:rPr>
      </w:pPr>
      <w:r>
        <w:rPr>
          <w:szCs w:val="22"/>
          <w:lang w:val="lv-LV"/>
        </w:rPr>
        <w:t>Dubultmaskētā kontroles periodā pakļaujot pacientus ilgstošai zāļu iedarbībai, trombocītu skaita samazināšanās veids un sastopamība saglabājās tāda pati, kāda tika novērota 6 mēnešus ilgo kontrolēto klīnisko pētījumu laikā.</w:t>
      </w:r>
    </w:p>
    <w:p w14:paraId="54D182B0" w14:textId="77777777" w:rsidR="00A453C3" w:rsidRDefault="00A453C3" w:rsidP="00A453C3">
      <w:pPr>
        <w:autoSpaceDE w:val="0"/>
        <w:rPr>
          <w:szCs w:val="22"/>
          <w:lang w:val="lv-LV"/>
        </w:rPr>
      </w:pPr>
    </w:p>
    <w:p w14:paraId="048F6FD0" w14:textId="77777777" w:rsidR="00A453C3" w:rsidRDefault="00A453C3" w:rsidP="00A453C3">
      <w:pPr>
        <w:autoSpaceDE w:val="0"/>
        <w:rPr>
          <w:szCs w:val="22"/>
          <w:lang w:val="lv-LV"/>
        </w:rPr>
      </w:pPr>
      <w:r>
        <w:rPr>
          <w:szCs w:val="22"/>
          <w:lang w:val="lv-LV"/>
        </w:rPr>
        <w:t>Pēcreģistrācijas periodā ļoti retos gadījumos novērota pancitopēnija.</w:t>
      </w:r>
    </w:p>
    <w:p w14:paraId="0DC128D3" w14:textId="77777777" w:rsidR="00A453C3" w:rsidRDefault="00A453C3" w:rsidP="00A453C3">
      <w:pPr>
        <w:autoSpaceDE w:val="0"/>
        <w:rPr>
          <w:szCs w:val="22"/>
          <w:lang w:val="lv-LV"/>
        </w:rPr>
      </w:pPr>
    </w:p>
    <w:p w14:paraId="4647EB36" w14:textId="77777777" w:rsidR="00A453C3" w:rsidRPr="00707120" w:rsidRDefault="00A453C3" w:rsidP="00A453C3">
      <w:pPr>
        <w:keepNext/>
        <w:rPr>
          <w:szCs w:val="22"/>
          <w:u w:val="single"/>
          <w:lang w:val="lv-LV"/>
        </w:rPr>
      </w:pPr>
      <w:r w:rsidRPr="00707120">
        <w:rPr>
          <w:i/>
          <w:u w:val="single"/>
          <w:lang w:val="lv-LV"/>
        </w:rPr>
        <w:t>Paaugstināts aknu transamināžu līmenis</w:t>
      </w:r>
    </w:p>
    <w:p w14:paraId="5017582C" w14:textId="2EDC5D45" w:rsidR="00A453C3" w:rsidRDefault="00A453C3" w:rsidP="00A453C3">
      <w:pPr>
        <w:rPr>
          <w:szCs w:val="22"/>
          <w:lang w:val="lv-LV"/>
        </w:rPr>
      </w:pPr>
      <w:bookmarkStart w:id="535" w:name="_Hlk174610553"/>
      <w:r>
        <w:rPr>
          <w:szCs w:val="22"/>
          <w:lang w:val="lv-LV"/>
        </w:rPr>
        <w:t>Sešus mēnešus ilgos k</w:t>
      </w:r>
      <w:r>
        <w:rPr>
          <w:iCs/>
          <w:szCs w:val="22"/>
          <w:lang w:val="lv-LV"/>
        </w:rPr>
        <w:t>ontrolētos pētījumos ī</w:t>
      </w:r>
      <w:r>
        <w:rPr>
          <w:szCs w:val="22"/>
          <w:lang w:val="lv-LV"/>
        </w:rPr>
        <w:t>slaicīgu ALAT/ASAT līmeņa paaugstināšanos &gt; 3 × NAR novēroja 2,1% pacientu, kuri lietoja tocilizumaba 8 mg/kg devu, salīdzinot ar 4,9% pacientu, kuri saņēma MTX, un 6,5% pacientu, kuri saņēma tocilizumaba 8 mg/kg devu un DMARD, salīdzinot ar 1,5% pacientu, kuri saņēma placebo un DMARD.</w:t>
      </w:r>
    </w:p>
    <w:p w14:paraId="2A9E7CDB" w14:textId="77777777" w:rsidR="00A453C3" w:rsidRDefault="00A453C3" w:rsidP="00A453C3">
      <w:pPr>
        <w:rPr>
          <w:szCs w:val="22"/>
          <w:lang w:val="lv-LV"/>
        </w:rPr>
      </w:pPr>
    </w:p>
    <w:p w14:paraId="1D28B47A" w14:textId="0E6A4F47" w:rsidR="00A453C3" w:rsidRDefault="00A453C3" w:rsidP="00A453C3">
      <w:pPr>
        <w:rPr>
          <w:szCs w:val="22"/>
          <w:lang w:val="lv-LV"/>
        </w:rPr>
      </w:pPr>
      <w:r>
        <w:rPr>
          <w:szCs w:val="22"/>
          <w:lang w:val="lv-LV"/>
        </w:rPr>
        <w:t>Pievienojot tocilizumaba monoterapijai potenciāli hepatotoksisk</w:t>
      </w:r>
      <w:r w:rsidR="008A589E">
        <w:rPr>
          <w:szCs w:val="22"/>
          <w:lang w:val="lv-LV"/>
        </w:rPr>
        <w:t>a</w:t>
      </w:r>
      <w:r>
        <w:rPr>
          <w:szCs w:val="22"/>
          <w:lang w:val="lv-LV"/>
        </w:rPr>
        <w:t xml:space="preserve">s </w:t>
      </w:r>
      <w:r w:rsidR="008A589E">
        <w:rPr>
          <w:szCs w:val="22"/>
          <w:lang w:val="lv-LV"/>
        </w:rPr>
        <w:t xml:space="preserve">zāles </w:t>
      </w:r>
      <w:r>
        <w:rPr>
          <w:szCs w:val="22"/>
          <w:lang w:val="lv-LV"/>
        </w:rPr>
        <w:t>(piemēram, MTX), šādu enzīmu koncentrācijas paaugstināšanos novēroja biežāk. ALAT/ASAT līmeņa paaugstināšanos &gt; 5 × NAR novēroja 0,7% pacientu, kuri saņēma tocilizumaba monoterapiju, un 1,4% pacientu, kuri saņēma tocilizumabu un DMARD, no kuriem lielākai daļai tocilizumaba terapija tika pilnīgi pārtraukta. Dubultmaskētā kontrolētā perioda laikā 6,2% pacientu, kurus ārstēja ar tocilizumaba 8 mg/kg devām + DMARD, parasto laboratorisko rādītāju kontroles laikā konstatēja netiešā bilirubīna koncentrāciju, kas pārsniedz normas augstāko robežu. Pavisam 5,8% pacientu paaugstinātā netiešā bilirubīna koncentrācija NAR pārsniedza &gt; 1 līdz 2 reizes, bet 0,4% pacientu paaugstinātā koncentrācija NAR pārsniedza &gt; 2 reizes.</w:t>
      </w:r>
    </w:p>
    <w:bookmarkEnd w:id="535"/>
    <w:p w14:paraId="3DA07AC5" w14:textId="77777777" w:rsidR="00A453C3" w:rsidRDefault="00A453C3" w:rsidP="00A453C3">
      <w:pPr>
        <w:rPr>
          <w:szCs w:val="22"/>
          <w:lang w:val="lv-LV"/>
        </w:rPr>
      </w:pPr>
    </w:p>
    <w:p w14:paraId="5092B839" w14:textId="77777777" w:rsidR="00A453C3" w:rsidRDefault="00A453C3" w:rsidP="00A453C3">
      <w:pPr>
        <w:rPr>
          <w:szCs w:val="22"/>
          <w:lang w:val="lv-LV"/>
        </w:rPr>
      </w:pPr>
      <w:r>
        <w:rPr>
          <w:szCs w:val="22"/>
          <w:lang w:val="lv-LV"/>
        </w:rPr>
        <w:t>Dubultmaskētā kontroles periodā pakļaujot pacientus ilgstošai zāļu iedarbībai, ASAT/ALAT paaugstināšanās veids un sastopamība saglabājās atbilstoši tam, kāds novērots 6 mēnešus ilgo kontrolēto klīnisko pētījumu laikā.</w:t>
      </w:r>
    </w:p>
    <w:p w14:paraId="27B248B0" w14:textId="77777777" w:rsidR="00A453C3" w:rsidRDefault="00A453C3" w:rsidP="00A453C3">
      <w:pPr>
        <w:rPr>
          <w:szCs w:val="22"/>
          <w:lang w:val="lv-LV"/>
        </w:rPr>
      </w:pPr>
    </w:p>
    <w:p w14:paraId="7D9B4394" w14:textId="77777777" w:rsidR="00A453C3" w:rsidRPr="00707120" w:rsidRDefault="00A453C3" w:rsidP="00707120">
      <w:pPr>
        <w:keepNext/>
        <w:rPr>
          <w:rFonts w:eastAsia="PMingLiU"/>
          <w:szCs w:val="22"/>
          <w:u w:val="single"/>
          <w:lang w:val="lv-LV"/>
        </w:rPr>
      </w:pPr>
      <w:r w:rsidRPr="00707120">
        <w:rPr>
          <w:i/>
          <w:u w:val="single"/>
          <w:lang w:val="lv-LV"/>
        </w:rPr>
        <w:t>Lipīdu rādītāji</w:t>
      </w:r>
    </w:p>
    <w:p w14:paraId="487C7515" w14:textId="6FDE30ED" w:rsidR="00A453C3" w:rsidRDefault="00A453C3" w:rsidP="00A453C3">
      <w:pPr>
        <w:rPr>
          <w:rFonts w:eastAsia="PMingLiU"/>
          <w:szCs w:val="22"/>
          <w:lang w:val="lv-LV"/>
        </w:rPr>
      </w:pPr>
      <w:r>
        <w:rPr>
          <w:rFonts w:eastAsia="PMingLiU"/>
          <w:szCs w:val="22"/>
          <w:lang w:val="lv-LV"/>
        </w:rPr>
        <w:t xml:space="preserve">Sešus mēnešus ilgu kontrolētu klīnisko pētījumu laikā bieži ir novērots lipīdu rādītāju, piemēram, kopējā holesterīna, triglicerīdu, ZBL holesterīna un/vai ABL holesterīna koncentrāciju raksturojošo vērtību pieaugums. </w:t>
      </w:r>
      <w:r>
        <w:rPr>
          <w:szCs w:val="22"/>
          <w:lang w:val="lv-LV"/>
        </w:rPr>
        <w:t>Veicot parasto laboratorisko kontroli, konstatēja, ka aptuveni</w:t>
      </w:r>
      <w:r>
        <w:rPr>
          <w:rFonts w:eastAsia="PMingLiU"/>
          <w:szCs w:val="22"/>
          <w:lang w:val="lv-LV"/>
        </w:rPr>
        <w:t xml:space="preserve"> 24% pacientu, kuri klīnisko pētījumu laikā saņēma tocilizumabu, novēroja ilgstoši paaugstinātu kopējā holesterīna līmeni, kas bija ≥ 6,2 mmol/l, bet 15% pacientu novēroja ilgstoši paaugstinātu ZBL līmeni, kas bija ≥ 4,1 mmol/l. Lipīdu līmeni raksturojošo rādītāju paaugstināšanās reaģēja uz terapiju ar lipīdu koncentrāciju pazeminošajiem līdzekļiem.</w:t>
      </w:r>
    </w:p>
    <w:p w14:paraId="69A48B41" w14:textId="77777777" w:rsidR="00A453C3" w:rsidRDefault="00A453C3" w:rsidP="00A453C3">
      <w:pPr>
        <w:rPr>
          <w:rFonts w:eastAsia="PMingLiU"/>
          <w:szCs w:val="22"/>
          <w:lang w:val="lv-LV"/>
        </w:rPr>
      </w:pPr>
    </w:p>
    <w:p w14:paraId="687F3AA4" w14:textId="77777777" w:rsidR="00A453C3" w:rsidRDefault="00A453C3" w:rsidP="00A453C3">
      <w:pPr>
        <w:rPr>
          <w:rFonts w:eastAsia="PMingLiU"/>
          <w:szCs w:val="22"/>
          <w:lang w:val="lv-LV"/>
        </w:rPr>
      </w:pPr>
      <w:r>
        <w:rPr>
          <w:szCs w:val="22"/>
          <w:lang w:val="lv-LV"/>
        </w:rPr>
        <w:t>Dubultmaskētā kontroles periodā pakļaujot pacientus ilgstošai zāļu iedarbībai, lipīdu rādītāju vērtību paaugstināšanās veids un sastopamība saglabājās atbilstoši tam, kāda novērota 6 mēnešus ilgo kontrolēto klīnisko pētījumu laikā.</w:t>
      </w:r>
    </w:p>
    <w:p w14:paraId="7C14A69F" w14:textId="77777777" w:rsidR="00A453C3" w:rsidRDefault="00A453C3">
      <w:pPr>
        <w:rPr>
          <w:i/>
          <w:iCs/>
          <w:szCs w:val="22"/>
          <w:lang w:val="lv-LV"/>
        </w:rPr>
        <w:pPrChange w:id="536" w:author="Author">
          <w:pPr>
            <w:keepNext/>
            <w:keepLines/>
          </w:pPr>
        </w:pPrChange>
      </w:pPr>
    </w:p>
    <w:p w14:paraId="3F492A35" w14:textId="77777777" w:rsidR="00A453C3" w:rsidRPr="00707120" w:rsidRDefault="00A453C3">
      <w:pPr>
        <w:keepNext/>
        <w:keepLines/>
        <w:autoSpaceDE w:val="0"/>
        <w:rPr>
          <w:i/>
          <w:iCs/>
          <w:szCs w:val="22"/>
          <w:u w:val="single"/>
          <w:lang w:val="lv-LV"/>
        </w:rPr>
        <w:pPrChange w:id="537" w:author="Author">
          <w:pPr>
            <w:autoSpaceDE w:val="0"/>
          </w:pPr>
        </w:pPrChange>
      </w:pPr>
      <w:r w:rsidRPr="00707120">
        <w:rPr>
          <w:i/>
          <w:iCs/>
          <w:szCs w:val="22"/>
          <w:u w:val="single"/>
          <w:lang w:val="lv-LV"/>
        </w:rPr>
        <w:t>Ādas reakcijas</w:t>
      </w:r>
    </w:p>
    <w:p w14:paraId="74E50440" w14:textId="77777777" w:rsidR="00A453C3" w:rsidRDefault="00A453C3" w:rsidP="00A453C3">
      <w:pPr>
        <w:autoSpaceDE w:val="0"/>
        <w:rPr>
          <w:szCs w:val="22"/>
          <w:lang w:val="lv-LV"/>
        </w:rPr>
      </w:pPr>
      <w:r>
        <w:rPr>
          <w:szCs w:val="22"/>
          <w:lang w:val="lv-LV"/>
        </w:rPr>
        <w:t xml:space="preserve">Pēcreģistrācijas periodā retos gadījumos novērots </w:t>
      </w:r>
      <w:r w:rsidRPr="00725942">
        <w:rPr>
          <w:szCs w:val="22"/>
          <w:lang w:val="lv-LV" w:eastAsia="en-US" w:bidi="ne-NP"/>
        </w:rPr>
        <w:t>St</w:t>
      </w:r>
      <w:r w:rsidRPr="00846FA5">
        <w:rPr>
          <w:szCs w:val="22"/>
          <w:lang w:val="lv-LV" w:eastAsia="en-US" w:bidi="ne-NP"/>
        </w:rPr>
        <w:t>ī</w:t>
      </w:r>
      <w:r w:rsidRPr="00725942">
        <w:rPr>
          <w:szCs w:val="22"/>
          <w:lang w:val="lv-LV" w:eastAsia="en-US" w:bidi="ne-NP"/>
        </w:rPr>
        <w:t>vensa-</w:t>
      </w:r>
      <w:r>
        <w:rPr>
          <w:szCs w:val="22"/>
          <w:lang w:val="lv-LV" w:eastAsia="en-US" w:bidi="ne-NP"/>
        </w:rPr>
        <w:t>Džonsona sindroms</w:t>
      </w:r>
      <w:r>
        <w:rPr>
          <w:szCs w:val="22"/>
          <w:lang w:val="lv-LV"/>
        </w:rPr>
        <w:t>.</w:t>
      </w:r>
    </w:p>
    <w:p w14:paraId="10E0F2A7" w14:textId="77777777" w:rsidR="00A453C3" w:rsidRDefault="00A453C3" w:rsidP="00A453C3">
      <w:pPr>
        <w:autoSpaceDE w:val="0"/>
        <w:rPr>
          <w:bCs/>
          <w:szCs w:val="22"/>
          <w:lang w:val="lv-LV"/>
        </w:rPr>
      </w:pPr>
    </w:p>
    <w:p w14:paraId="20C9BD9F" w14:textId="77777777" w:rsidR="00A453C3" w:rsidRDefault="00A453C3">
      <w:pPr>
        <w:keepNext/>
        <w:tabs>
          <w:tab w:val="left" w:pos="567"/>
        </w:tabs>
        <w:suppressAutoHyphens w:val="0"/>
        <w:autoSpaceDE w:val="0"/>
        <w:autoSpaceDN w:val="0"/>
        <w:adjustRightInd w:val="0"/>
        <w:jc w:val="both"/>
        <w:rPr>
          <w:snapToGrid w:val="0"/>
          <w:szCs w:val="22"/>
          <w:u w:val="single"/>
          <w:lang w:val="lv-LV" w:eastAsia="zh-CN"/>
        </w:rPr>
        <w:pPrChange w:id="538" w:author="Author">
          <w:pPr>
            <w:tabs>
              <w:tab w:val="left" w:pos="567"/>
            </w:tabs>
            <w:suppressAutoHyphens w:val="0"/>
            <w:autoSpaceDE w:val="0"/>
            <w:autoSpaceDN w:val="0"/>
            <w:adjustRightInd w:val="0"/>
            <w:jc w:val="both"/>
          </w:pPr>
        </w:pPrChange>
      </w:pPr>
      <w:r>
        <w:rPr>
          <w:snapToGrid w:val="0"/>
          <w:szCs w:val="22"/>
          <w:u w:val="single"/>
          <w:lang w:val="lv-LV" w:eastAsia="zh-CN"/>
        </w:rPr>
        <w:t>Ziņošana par iespējamām nevēlamām blakusparādībām</w:t>
      </w:r>
    </w:p>
    <w:p w14:paraId="767C4524" w14:textId="60255ED6" w:rsidR="00A453C3" w:rsidRDefault="00A453C3" w:rsidP="00A453C3">
      <w:pPr>
        <w:rPr>
          <w:snapToGrid w:val="0"/>
          <w:szCs w:val="22"/>
          <w:lang w:val="lv-LV" w:eastAsia="zh-CN"/>
        </w:rPr>
      </w:pPr>
      <w:r>
        <w:rPr>
          <w:snapToGrid w:val="0"/>
          <w:szCs w:val="22"/>
          <w:lang w:val="lv-LV" w:eastAsia="zh-CN"/>
        </w:rPr>
        <w:t xml:space="preserve">Ir svarīgi ziņot par iespējamām nevēlamām blakusparādībām pēc zāļu reģistrācijas. Tādējādi zāļu ieguvuma/riska attiecība tiek nepārtraukti uzraudzīta. Veselības aprūpes speciālisti tiek lūgti ziņot par jebkādām iespējamām nevēlamām blakusparādībām, izmantojot </w:t>
      </w:r>
      <w:r w:rsidR="007E17F8">
        <w:fldChar w:fldCharType="begin"/>
      </w:r>
      <w:r w:rsidR="007E17F8" w:rsidRPr="00DD58C9">
        <w:rPr>
          <w:lang w:val="lv-LV"/>
          <w:rPrChange w:id="539" w:author="Author">
            <w:rPr/>
          </w:rPrChange>
        </w:rPr>
        <w:instrText xml:space="preserve"> HYPERLINK "https://www.ema.europa.eu/documents/template-form/qrd-appendix-v-adverse-drug-reaction-reporting-details_en.docx" </w:instrText>
      </w:r>
      <w:r w:rsidR="007E17F8">
        <w:fldChar w:fldCharType="separate"/>
      </w:r>
      <w:r>
        <w:rPr>
          <w:snapToGrid w:val="0"/>
          <w:color w:val="0000FF"/>
          <w:highlight w:val="lightGray"/>
          <w:u w:val="single"/>
          <w:lang w:val="lv-LV" w:eastAsia="zh-CN"/>
        </w:rPr>
        <w:t>V pielikumā</w:t>
      </w:r>
      <w:r w:rsidR="007E17F8">
        <w:rPr>
          <w:snapToGrid w:val="0"/>
          <w:color w:val="0000FF"/>
          <w:highlight w:val="lightGray"/>
          <w:u w:val="single"/>
          <w:lang w:val="lv-LV" w:eastAsia="zh-CN"/>
        </w:rPr>
        <w:fldChar w:fldCharType="end"/>
      </w:r>
      <w:r>
        <w:rPr>
          <w:snapToGrid w:val="0"/>
          <w:szCs w:val="22"/>
          <w:highlight w:val="lightGray"/>
          <w:lang w:val="lv-LV" w:eastAsia="zh-CN"/>
        </w:rPr>
        <w:t xml:space="preserve"> minēto nacionālās ziņošanas sistēmas kontaktinformāciju</w:t>
      </w:r>
      <w:r>
        <w:rPr>
          <w:snapToGrid w:val="0"/>
          <w:szCs w:val="22"/>
          <w:lang w:val="lv-LV" w:eastAsia="zh-CN"/>
        </w:rPr>
        <w:t>.</w:t>
      </w:r>
    </w:p>
    <w:p w14:paraId="187561C1" w14:textId="77777777" w:rsidR="00A453C3" w:rsidRDefault="00A453C3" w:rsidP="00A453C3">
      <w:pPr>
        <w:rPr>
          <w:b/>
          <w:szCs w:val="22"/>
          <w:lang w:val="lv-LV"/>
        </w:rPr>
      </w:pPr>
    </w:p>
    <w:p w14:paraId="6A33DD56" w14:textId="77777777" w:rsidR="00A453C3" w:rsidRDefault="00A453C3" w:rsidP="00A453C3">
      <w:pPr>
        <w:keepNext/>
        <w:keepLines/>
        <w:rPr>
          <w:szCs w:val="22"/>
          <w:lang w:val="lv-LV"/>
        </w:rPr>
      </w:pPr>
      <w:r>
        <w:rPr>
          <w:b/>
          <w:szCs w:val="22"/>
          <w:lang w:val="lv-LV"/>
        </w:rPr>
        <w:t>4.9.</w:t>
      </w:r>
      <w:r>
        <w:rPr>
          <w:b/>
          <w:szCs w:val="22"/>
          <w:lang w:val="lv-LV"/>
        </w:rPr>
        <w:tab/>
        <w:t>Pārdozēšana</w:t>
      </w:r>
    </w:p>
    <w:p w14:paraId="62BF1D3B" w14:textId="77777777" w:rsidR="00A453C3" w:rsidRDefault="00A453C3" w:rsidP="00A453C3">
      <w:pPr>
        <w:keepNext/>
        <w:keepLines/>
        <w:rPr>
          <w:szCs w:val="22"/>
          <w:lang w:val="lv-LV"/>
        </w:rPr>
      </w:pPr>
    </w:p>
    <w:p w14:paraId="58D15D56" w14:textId="14B42990" w:rsidR="00A453C3" w:rsidRDefault="00A453C3" w:rsidP="00A453C3">
      <w:pPr>
        <w:keepNext/>
        <w:keepLines/>
        <w:rPr>
          <w:szCs w:val="22"/>
          <w:lang w:val="lv-LV"/>
        </w:rPr>
      </w:pPr>
      <w:r>
        <w:rPr>
          <w:szCs w:val="22"/>
          <w:lang w:val="lv-LV"/>
        </w:rPr>
        <w:t xml:space="preserve">Dati par tocilizumaba pārdozēšanu ir ierobežoti. Ziņots par vienu nejaušas pārdozēšanas gadījumu, kad pacients ar multiplo mielomu saņēma vienu intravenozi ievadītu 40 mg/kg devu. Nevēlamas blakusparādības nenovēroja. </w:t>
      </w:r>
    </w:p>
    <w:p w14:paraId="72F6A493" w14:textId="77777777" w:rsidR="00A453C3" w:rsidRDefault="00A453C3" w:rsidP="00A453C3">
      <w:pPr>
        <w:rPr>
          <w:szCs w:val="22"/>
          <w:lang w:val="lv-LV"/>
        </w:rPr>
      </w:pPr>
    </w:p>
    <w:p w14:paraId="7B1490A9" w14:textId="77777777" w:rsidR="00A453C3" w:rsidRDefault="00A453C3" w:rsidP="00A453C3">
      <w:pPr>
        <w:rPr>
          <w:szCs w:val="22"/>
          <w:lang w:val="lv-LV"/>
        </w:rPr>
      </w:pPr>
      <w:r>
        <w:rPr>
          <w:szCs w:val="22"/>
          <w:lang w:val="lv-LV"/>
        </w:rPr>
        <w:t>Nopietnas nevēlamas blakusparādības nenovēroja arī veseliem brīvprātīgajiem, kuri saņēma vienreizēju devu līdz 28 mg/kg, lai gan novēroja devu ierobežojošu neitropēniju.</w:t>
      </w:r>
    </w:p>
    <w:p w14:paraId="5EFEADEF" w14:textId="77777777" w:rsidR="00A453C3" w:rsidRDefault="00A453C3" w:rsidP="00A453C3">
      <w:pPr>
        <w:rPr>
          <w:szCs w:val="22"/>
          <w:lang w:val="lv-LV"/>
        </w:rPr>
      </w:pPr>
    </w:p>
    <w:p w14:paraId="6B63A47B" w14:textId="77777777" w:rsidR="00A453C3" w:rsidRDefault="00A453C3" w:rsidP="00A453C3">
      <w:pPr>
        <w:rPr>
          <w:szCs w:val="22"/>
          <w:lang w:val="lv-LV"/>
        </w:rPr>
      </w:pPr>
    </w:p>
    <w:p w14:paraId="68A9E9C8" w14:textId="77777777" w:rsidR="00A453C3" w:rsidRDefault="00A453C3" w:rsidP="00A453C3">
      <w:pPr>
        <w:keepNext/>
        <w:keepLines/>
        <w:ind w:left="567" w:hanging="567"/>
        <w:rPr>
          <w:szCs w:val="22"/>
          <w:lang w:val="lv-LV"/>
        </w:rPr>
      </w:pPr>
      <w:r>
        <w:rPr>
          <w:b/>
          <w:szCs w:val="22"/>
          <w:lang w:val="lv-LV"/>
        </w:rPr>
        <w:t>5.</w:t>
      </w:r>
      <w:r>
        <w:rPr>
          <w:b/>
          <w:szCs w:val="22"/>
          <w:lang w:val="lv-LV"/>
        </w:rPr>
        <w:tab/>
        <w:t>FARMAKOLOĢISKĀS ĪPAŠĪBAS</w:t>
      </w:r>
    </w:p>
    <w:p w14:paraId="597A9B76" w14:textId="77777777" w:rsidR="00A453C3" w:rsidRDefault="00A453C3" w:rsidP="00A453C3">
      <w:pPr>
        <w:keepNext/>
        <w:keepLines/>
        <w:rPr>
          <w:szCs w:val="22"/>
          <w:lang w:val="lv-LV"/>
        </w:rPr>
      </w:pPr>
    </w:p>
    <w:p w14:paraId="4FAAD6BB" w14:textId="77777777" w:rsidR="00A453C3" w:rsidRDefault="00A453C3" w:rsidP="00A453C3">
      <w:pPr>
        <w:keepNext/>
        <w:keepLines/>
        <w:rPr>
          <w:szCs w:val="22"/>
          <w:lang w:val="lv-LV"/>
        </w:rPr>
      </w:pPr>
      <w:r>
        <w:rPr>
          <w:b/>
          <w:szCs w:val="22"/>
          <w:lang w:val="lv-LV"/>
        </w:rPr>
        <w:t xml:space="preserve">5.1. </w:t>
      </w:r>
      <w:r>
        <w:rPr>
          <w:b/>
          <w:szCs w:val="22"/>
          <w:lang w:val="lv-LV"/>
        </w:rPr>
        <w:tab/>
        <w:t>Farmakodinamiskās īpašības</w:t>
      </w:r>
    </w:p>
    <w:p w14:paraId="67FCAE1B" w14:textId="77777777" w:rsidR="00A453C3" w:rsidRDefault="00A453C3" w:rsidP="00A453C3">
      <w:pPr>
        <w:keepNext/>
        <w:keepLines/>
        <w:rPr>
          <w:szCs w:val="22"/>
          <w:lang w:val="lv-LV"/>
        </w:rPr>
      </w:pPr>
    </w:p>
    <w:p w14:paraId="63B02A68" w14:textId="77777777" w:rsidR="00A453C3" w:rsidRDefault="00A453C3" w:rsidP="00A453C3">
      <w:pPr>
        <w:keepNext/>
        <w:keepLines/>
        <w:rPr>
          <w:szCs w:val="22"/>
          <w:lang w:val="lv-LV"/>
        </w:rPr>
      </w:pPr>
      <w:r>
        <w:rPr>
          <w:szCs w:val="22"/>
          <w:lang w:val="lv-LV"/>
        </w:rPr>
        <w:t>Farmakoterapeitiskā grupa: imūnsupresanti, interleikīna inhibitori: ATĶ kods: L04AC07.</w:t>
      </w:r>
    </w:p>
    <w:p w14:paraId="7857C77F" w14:textId="77777777" w:rsidR="00A453C3" w:rsidRDefault="00A453C3" w:rsidP="00A453C3">
      <w:pPr>
        <w:keepNext/>
        <w:keepLines/>
        <w:rPr>
          <w:szCs w:val="22"/>
          <w:lang w:val="lv-LV"/>
        </w:rPr>
      </w:pPr>
    </w:p>
    <w:p w14:paraId="5A8D4CAB" w14:textId="77777777" w:rsidR="00A453C3" w:rsidRDefault="00A453C3" w:rsidP="00A453C3">
      <w:pPr>
        <w:keepNext/>
        <w:keepLines/>
        <w:rPr>
          <w:szCs w:val="22"/>
          <w:lang w:val="lv-LV"/>
        </w:rPr>
      </w:pPr>
      <w:r>
        <w:rPr>
          <w:u w:val="single"/>
          <w:lang w:val="lv-LV"/>
        </w:rPr>
        <w:t>Darbības mehānisms</w:t>
      </w:r>
    </w:p>
    <w:p w14:paraId="79C32DEF" w14:textId="464B8227" w:rsidR="00A453C3" w:rsidRDefault="00A453C3" w:rsidP="00A453C3">
      <w:pPr>
        <w:keepNext/>
        <w:keepLines/>
        <w:rPr>
          <w:szCs w:val="22"/>
          <w:lang w:val="lv-LV"/>
        </w:rPr>
      </w:pPr>
      <w:r>
        <w:rPr>
          <w:szCs w:val="22"/>
          <w:lang w:val="lv-LV"/>
        </w:rPr>
        <w:t>Tocilizumabs specifiski saistās gan ar šķīstošiem, gan pie membrānas fiksētiem IL</w:t>
      </w:r>
      <w:r>
        <w:rPr>
          <w:szCs w:val="22"/>
          <w:lang w:val="lv-LV"/>
        </w:rPr>
        <w:noBreakHyphen/>
        <w:t>6 receptoriem (sIL</w:t>
      </w:r>
      <w:r>
        <w:rPr>
          <w:szCs w:val="22"/>
          <w:lang w:val="lv-LV"/>
        </w:rPr>
        <w:noBreakHyphen/>
        <w:t>6R un mIL</w:t>
      </w:r>
      <w:r>
        <w:rPr>
          <w:szCs w:val="22"/>
          <w:lang w:val="lv-LV"/>
        </w:rPr>
        <w:noBreakHyphen/>
        <w:t>6R). Pierādīts, ka tocilizumabs nomāc sIL</w:t>
      </w:r>
      <w:r>
        <w:rPr>
          <w:szCs w:val="22"/>
          <w:lang w:val="lv-LV"/>
        </w:rPr>
        <w:noBreakHyphen/>
        <w:t>6R un mIL</w:t>
      </w:r>
      <w:r>
        <w:rPr>
          <w:szCs w:val="22"/>
          <w:lang w:val="lv-LV"/>
        </w:rPr>
        <w:noBreakHyphen/>
        <w:t>6R mediētu signālu pārvadi. IL</w:t>
      </w:r>
      <w:r>
        <w:rPr>
          <w:szCs w:val="22"/>
          <w:lang w:val="lv-LV"/>
        </w:rPr>
        <w:noBreakHyphen/>
        <w:t>6 ir pleiotropisks iekaisumu veicinošs citokīns, ko sintezē dažāda veida šūnas, to vidū T un B </w:t>
      </w:r>
      <w:del w:id="540" w:author="Author">
        <w:r w:rsidDel="00CE6B8D">
          <w:rPr>
            <w:szCs w:val="22"/>
            <w:lang w:val="lv-LV"/>
          </w:rPr>
          <w:delText xml:space="preserve"> </w:delText>
        </w:r>
      </w:del>
      <w:r>
        <w:rPr>
          <w:szCs w:val="22"/>
          <w:lang w:val="lv-LV"/>
        </w:rPr>
        <w:t>šūnas, monocīti un fibroblasti. IL</w:t>
      </w:r>
      <w:r>
        <w:rPr>
          <w:szCs w:val="22"/>
          <w:lang w:val="lv-LV"/>
        </w:rPr>
        <w:noBreakHyphen/>
        <w:t>6 ir iesaistīts dažādos fizioloģiskos procesos, piemēram, T šūnu aktivizēšanā, imunoglobulīnu sekrēcijas indukcijā, aknu akūtās fāzes proteīnu sintēzes indukcijā un asinsrades stimulēšanā. IL</w:t>
      </w:r>
      <w:r>
        <w:rPr>
          <w:szCs w:val="22"/>
          <w:lang w:val="lv-LV"/>
        </w:rPr>
        <w:noBreakHyphen/>
        <w:t>6 ir iesaistīts slimību, tajā skaitā iekaisuma slimību, osteoporozes un jaunveidojumu patoģenēzē.</w:t>
      </w:r>
    </w:p>
    <w:p w14:paraId="4FC626A7" w14:textId="5D2585C6" w:rsidR="00A453C3" w:rsidRDefault="00A453C3" w:rsidP="00707120">
      <w:pPr>
        <w:keepLines/>
        <w:rPr>
          <w:szCs w:val="22"/>
          <w:lang w:val="lv-LV"/>
        </w:rPr>
      </w:pPr>
    </w:p>
    <w:p w14:paraId="7FC5C62E" w14:textId="0389DC3E" w:rsidR="00A453C3" w:rsidRDefault="00A453C3" w:rsidP="00707120">
      <w:pPr>
        <w:keepNext/>
        <w:autoSpaceDE w:val="0"/>
        <w:jc w:val="both"/>
        <w:rPr>
          <w:rFonts w:eastAsia="PMingLiU"/>
          <w:szCs w:val="22"/>
          <w:lang w:val="lv-LV"/>
        </w:rPr>
      </w:pPr>
      <w:r>
        <w:rPr>
          <w:szCs w:val="22"/>
          <w:u w:val="single"/>
          <w:lang w:val="lv-LV"/>
        </w:rPr>
        <w:t>Farmakodinamiskā iedarbība</w:t>
      </w:r>
    </w:p>
    <w:p w14:paraId="6150DA08" w14:textId="3B6C360A" w:rsidR="00A453C3" w:rsidRDefault="001D0A34" w:rsidP="00A453C3">
      <w:pPr>
        <w:rPr>
          <w:szCs w:val="22"/>
          <w:lang w:val="lv-LV"/>
        </w:rPr>
      </w:pPr>
      <w:ins w:id="541" w:author="Author">
        <w:r w:rsidRPr="00DD7A4F">
          <w:rPr>
            <w:rFonts w:eastAsia="PMingLiU"/>
            <w:szCs w:val="22"/>
            <w:lang w:val="lv-LV"/>
          </w:rPr>
          <w:t>RA klīniskos pētījumos</w:t>
        </w:r>
        <w:r>
          <w:rPr>
            <w:rFonts w:eastAsia="PMingLiU"/>
            <w:szCs w:val="22"/>
            <w:lang w:val="lv-LV"/>
          </w:rPr>
          <w:t>, lietojot</w:t>
        </w:r>
        <w:r w:rsidRPr="00DD7A4F">
          <w:rPr>
            <w:rFonts w:eastAsia="PMingLiU"/>
            <w:szCs w:val="22"/>
            <w:lang w:val="lv-LV"/>
          </w:rPr>
          <w:t xml:space="preserve"> </w:t>
        </w:r>
        <w:r>
          <w:rPr>
            <w:szCs w:val="22"/>
            <w:lang w:val="lv-LV"/>
          </w:rPr>
          <w:t>tocilizumabu,</w:t>
        </w:r>
        <w:r w:rsidRPr="00DD7A4F">
          <w:rPr>
            <w:szCs w:val="22"/>
            <w:lang w:val="lv-LV"/>
          </w:rPr>
          <w:t xml:space="preserve"> </w:t>
        </w:r>
      </w:ins>
      <w:del w:id="542" w:author="Author">
        <w:r w:rsidR="00A453C3" w:rsidDel="001D0A34">
          <w:rPr>
            <w:rFonts w:eastAsia="PMingLiU"/>
            <w:szCs w:val="22"/>
            <w:lang w:val="lv-LV"/>
          </w:rPr>
          <w:delText xml:space="preserve">Tocilizumaba klīniskajos pētījumos </w:delText>
        </w:r>
      </w:del>
      <w:r w:rsidR="00A453C3">
        <w:rPr>
          <w:szCs w:val="22"/>
          <w:lang w:val="lv-LV"/>
        </w:rPr>
        <w:t>novērota ātra CRO, eritrocītu grimšanas ātruma (EGĀ), A amiloīda līmeņa serumā (AAS)</w:t>
      </w:r>
      <w:r w:rsidR="00A453C3" w:rsidRPr="0007361E">
        <w:rPr>
          <w:szCs w:val="22"/>
          <w:lang w:val="lv-LV"/>
        </w:rPr>
        <w:t xml:space="preserve"> </w:t>
      </w:r>
      <w:r w:rsidR="00A453C3">
        <w:rPr>
          <w:szCs w:val="22"/>
          <w:lang w:val="lv-LV"/>
        </w:rPr>
        <w:t>un fibrinogēna samazināšanās. Ņemot vērā ietekmi uz akūtās fāzes reaģentiem, ārstēšana ar tocilizumabu bija saistīta ar trombocītu skaita samazināšanos normālā diapazona ietvaros. Novēroja hemoglobīna līmeņa paaugstināšanos, ko tocilizumabs izraisa, samazinot IL</w:t>
      </w:r>
      <w:r w:rsidR="00A453C3">
        <w:rPr>
          <w:szCs w:val="22"/>
          <w:lang w:val="lv-LV"/>
        </w:rPr>
        <w:noBreakHyphen/>
        <w:t>6 mediēto ietekmi uz hepcidīna sintēzi, lai palielinātu dzelzs pieejamību. Ārstētiem pacientiem CRO līmeņa pazemināšanos normālā diapazona robežās novēroja jau 2. nedēļā, un šāda pazemināšanās saglabājās, kamēr tika turpināta ārstēšana.</w:t>
      </w:r>
    </w:p>
    <w:p w14:paraId="75C9408A" w14:textId="77777777" w:rsidR="00A453C3" w:rsidRDefault="00A453C3" w:rsidP="00A453C3">
      <w:pPr>
        <w:rPr>
          <w:szCs w:val="22"/>
          <w:lang w:val="lv-LV"/>
        </w:rPr>
      </w:pPr>
    </w:p>
    <w:p w14:paraId="44BDF3F4" w14:textId="2295A0C8" w:rsidR="00A453C3" w:rsidRDefault="00A453C3" w:rsidP="00A453C3">
      <w:pPr>
        <w:rPr>
          <w:szCs w:val="22"/>
          <w:lang w:val="lv-LV"/>
        </w:rPr>
      </w:pPr>
      <w:r w:rsidRPr="00D30C7D">
        <w:rPr>
          <w:rFonts w:eastAsia="SimSun"/>
          <w:lang w:val="lv-LV" w:eastAsia="de-DE"/>
        </w:rPr>
        <w:t xml:space="preserve">GCA klīniskajā pētījumā WA28119 novēroja līdzīgu ātru </w:t>
      </w:r>
      <w:r w:rsidRPr="00D30C7D">
        <w:rPr>
          <w:lang w:val="lv-LV" w:eastAsia="de-DE"/>
        </w:rPr>
        <w:t xml:space="preserve">CRO un EGĀ samazināšanos </w:t>
      </w:r>
      <w:r>
        <w:rPr>
          <w:lang w:val="lv-LV" w:eastAsia="de-DE"/>
        </w:rPr>
        <w:t xml:space="preserve">apvienojumā ar </w:t>
      </w:r>
      <w:r w:rsidRPr="00D30C7D">
        <w:rPr>
          <w:lang w:val="lv-LV" w:eastAsia="de-DE"/>
        </w:rPr>
        <w:t>vidējās hemoglobīna koncentr</w:t>
      </w:r>
      <w:r>
        <w:rPr>
          <w:lang w:val="lv-LV" w:eastAsia="de-DE"/>
        </w:rPr>
        <w:t>ācijas eritrocītā nelielu paaugstināšanos</w:t>
      </w:r>
      <w:r w:rsidRPr="00D30C7D">
        <w:rPr>
          <w:lang w:val="lv-LV" w:eastAsia="de-DE"/>
        </w:rPr>
        <w:t xml:space="preserve">. </w:t>
      </w:r>
      <w:r>
        <w:rPr>
          <w:lang w:val="lv-LV" w:eastAsia="de-DE"/>
        </w:rPr>
        <w:t xml:space="preserve">Tocilizumaba </w:t>
      </w:r>
      <w:r>
        <w:rPr>
          <w:szCs w:val="22"/>
          <w:lang w:val="lv-LV"/>
        </w:rPr>
        <w:t>2</w:t>
      </w:r>
      <w:r>
        <w:rPr>
          <w:szCs w:val="22"/>
          <w:lang w:val="lv-LV"/>
        </w:rPr>
        <w:noBreakHyphen/>
        <w:t>28 mg/kg devas ievadot intravenozi un tocilizumaba 81</w:t>
      </w:r>
      <w:r>
        <w:rPr>
          <w:szCs w:val="22"/>
          <w:lang w:val="lv-LV"/>
        </w:rPr>
        <w:noBreakHyphen/>
        <w:t>162 mg devas ievadot subkutāni veseliem brīvprātīgajiem, absolūtais neitrofilo leikocītu skaits līdz mazākajai vērtībai samazinājās 2</w:t>
      </w:r>
      <w:r>
        <w:rPr>
          <w:szCs w:val="22"/>
          <w:lang w:val="lv-LV"/>
        </w:rPr>
        <w:noBreakHyphen/>
        <w:t>5 dienas pēc ievadīšanas. Vēlāk neitrofilo leikocītu skaits atjaunojās sākotnējā stāvoklī (atjaunošanās ātrums bija atkarīgs no zāļu devas lieluma).</w:t>
      </w:r>
    </w:p>
    <w:p w14:paraId="4644C15D" w14:textId="77777777" w:rsidR="00A453C3" w:rsidRDefault="00A453C3" w:rsidP="00A453C3">
      <w:pPr>
        <w:rPr>
          <w:szCs w:val="22"/>
          <w:lang w:val="lv-LV"/>
        </w:rPr>
      </w:pPr>
    </w:p>
    <w:p w14:paraId="56BAF1F0" w14:textId="06C49CFA" w:rsidR="00A453C3" w:rsidRPr="0051221F" w:rsidRDefault="00A453C3" w:rsidP="00A453C3">
      <w:pPr>
        <w:rPr>
          <w:rFonts w:eastAsia="SimSun"/>
          <w:lang w:val="lv-LV" w:eastAsia="de-DE"/>
        </w:rPr>
      </w:pPr>
      <w:r>
        <w:rPr>
          <w:szCs w:val="22"/>
          <w:lang w:val="lv-LV"/>
        </w:rPr>
        <w:t>Pacientiem</w:t>
      </w:r>
      <w:ins w:id="543" w:author="Author">
        <w:r w:rsidR="00C10825">
          <w:rPr>
            <w:szCs w:val="22"/>
            <w:lang w:val="lv-LV"/>
          </w:rPr>
          <w:t xml:space="preserve"> ar RA un GCA</w:t>
        </w:r>
      </w:ins>
      <w:r>
        <w:rPr>
          <w:szCs w:val="22"/>
          <w:lang w:val="lv-LV"/>
        </w:rPr>
        <w:t xml:space="preserve"> absolūtais neitrofilo leikocītu skaits pēc tocilizumaba</w:t>
      </w:r>
      <w:r w:rsidDel="001D4271">
        <w:rPr>
          <w:szCs w:val="22"/>
          <w:lang w:val="lv-LV"/>
        </w:rPr>
        <w:t xml:space="preserve"> </w:t>
      </w:r>
      <w:r>
        <w:rPr>
          <w:szCs w:val="22"/>
          <w:lang w:val="lv-LV"/>
        </w:rPr>
        <w:t>ievadīšanas bija samazināts līdzīgi veseliem brīvprātīgajiem (skatīt 4.8. apakšpunktu).</w:t>
      </w:r>
    </w:p>
    <w:p w14:paraId="5CE06644" w14:textId="77777777" w:rsidR="00A453C3" w:rsidRDefault="00A453C3" w:rsidP="00A453C3">
      <w:pPr>
        <w:rPr>
          <w:szCs w:val="22"/>
          <w:lang w:val="lv-LV"/>
        </w:rPr>
      </w:pPr>
    </w:p>
    <w:p w14:paraId="13E40B59" w14:textId="103D714C" w:rsidR="00A453C3" w:rsidRDefault="00A453C3" w:rsidP="00707120">
      <w:pPr>
        <w:keepNext/>
        <w:numPr>
          <w:ilvl w:val="12"/>
          <w:numId w:val="0"/>
        </w:numPr>
        <w:rPr>
          <w:ins w:id="544" w:author="Author"/>
          <w:bCs/>
          <w:szCs w:val="22"/>
          <w:u w:val="single"/>
          <w:lang w:val="lv-LV"/>
        </w:rPr>
      </w:pPr>
      <w:del w:id="545" w:author="Author">
        <w:r w:rsidRPr="00707120" w:rsidDel="00D82396">
          <w:rPr>
            <w:bCs/>
            <w:szCs w:val="22"/>
            <w:u w:val="single"/>
            <w:lang w:val="lv-LV"/>
          </w:rPr>
          <w:delText>Pacienti ar RA (s</w:delText>
        </w:r>
      </w:del>
      <w:ins w:id="546" w:author="Author">
        <w:r w:rsidR="00D82396">
          <w:rPr>
            <w:bCs/>
            <w:szCs w:val="22"/>
            <w:u w:val="single"/>
            <w:lang w:val="lv-LV"/>
          </w:rPr>
          <w:t>S</w:t>
        </w:r>
      </w:ins>
      <w:r w:rsidRPr="00707120">
        <w:rPr>
          <w:bCs/>
          <w:szCs w:val="22"/>
          <w:u w:val="single"/>
          <w:lang w:val="lv-LV"/>
        </w:rPr>
        <w:t>ubkutāna lietošana</w:t>
      </w:r>
      <w:del w:id="547" w:author="Author">
        <w:r w:rsidRPr="00707120" w:rsidDel="00D82396">
          <w:rPr>
            <w:bCs/>
            <w:szCs w:val="22"/>
            <w:u w:val="single"/>
            <w:lang w:val="lv-LV"/>
          </w:rPr>
          <w:delText>)</w:delText>
        </w:r>
      </w:del>
    </w:p>
    <w:p w14:paraId="20301B19" w14:textId="1185A0BE" w:rsidR="00D82396" w:rsidRPr="00DD58C9" w:rsidRDefault="00D82396" w:rsidP="00707120">
      <w:pPr>
        <w:keepNext/>
        <w:numPr>
          <w:ilvl w:val="12"/>
          <w:numId w:val="0"/>
        </w:numPr>
        <w:rPr>
          <w:bCs/>
          <w:i/>
          <w:iCs/>
          <w:lang w:val="lv-LV"/>
          <w:rPrChange w:id="548" w:author="Author">
            <w:rPr>
              <w:bCs/>
              <w:lang w:val="lv-LV"/>
            </w:rPr>
          </w:rPrChange>
        </w:rPr>
      </w:pPr>
      <w:ins w:id="549" w:author="Author">
        <w:r w:rsidRPr="00DD58C9">
          <w:rPr>
            <w:bCs/>
            <w:i/>
            <w:iCs/>
            <w:lang w:val="lv-LV"/>
            <w:rPrChange w:id="550" w:author="Author">
              <w:rPr>
                <w:bCs/>
                <w:lang w:val="lv-LV"/>
              </w:rPr>
            </w:rPrChange>
          </w:rPr>
          <w:t>Pacienti ar RA</w:t>
        </w:r>
      </w:ins>
    </w:p>
    <w:p w14:paraId="0126CD32" w14:textId="77777777" w:rsidR="00CD11B0" w:rsidRDefault="00CD11B0" w:rsidP="00707120">
      <w:pPr>
        <w:keepNext/>
        <w:ind w:right="-2"/>
        <w:rPr>
          <w:ins w:id="551" w:author="Author"/>
          <w:i/>
          <w:iCs/>
          <w:szCs w:val="22"/>
          <w:lang w:val="lv-LV"/>
        </w:rPr>
      </w:pPr>
    </w:p>
    <w:p w14:paraId="2E94000B" w14:textId="77777777" w:rsidR="00A453C3" w:rsidRPr="002007A3" w:rsidRDefault="00A453C3" w:rsidP="00707120">
      <w:pPr>
        <w:keepNext/>
        <w:ind w:right="-2"/>
        <w:rPr>
          <w:szCs w:val="22"/>
          <w:u w:val="single"/>
          <w:lang w:val="lv-LV"/>
          <w:rPrChange w:id="552" w:author="Author">
            <w:rPr>
              <w:i/>
              <w:iCs/>
              <w:szCs w:val="22"/>
              <w:lang w:val="lv-LV"/>
            </w:rPr>
          </w:rPrChange>
        </w:rPr>
      </w:pPr>
      <w:r w:rsidRPr="002007A3">
        <w:rPr>
          <w:szCs w:val="22"/>
          <w:u w:val="single"/>
          <w:lang w:val="lv-LV"/>
          <w:rPrChange w:id="553" w:author="Author">
            <w:rPr>
              <w:i/>
              <w:iCs/>
              <w:szCs w:val="22"/>
              <w:lang w:val="lv-LV"/>
            </w:rPr>
          </w:rPrChange>
        </w:rPr>
        <w:t>Klīniskā efektivitāte</w:t>
      </w:r>
    </w:p>
    <w:p w14:paraId="7ED26E00" w14:textId="31F8B6EF" w:rsidR="00A453C3" w:rsidDel="008E07B2" w:rsidRDefault="00A453C3">
      <w:pPr>
        <w:keepNext/>
        <w:rPr>
          <w:del w:id="554" w:author="Author"/>
          <w:szCs w:val="22"/>
          <w:lang w:val="lv-LV"/>
        </w:rPr>
        <w:pPrChange w:id="555" w:author="Author">
          <w:pPr>
            <w:ind w:right="-2"/>
          </w:pPr>
        </w:pPrChange>
      </w:pPr>
    </w:p>
    <w:p w14:paraId="69D2E531" w14:textId="46586599" w:rsidR="00A453C3" w:rsidRDefault="00A453C3" w:rsidP="00A453C3">
      <w:pPr>
        <w:ind w:right="-2"/>
        <w:rPr>
          <w:szCs w:val="22"/>
          <w:lang w:val="lv-LV"/>
        </w:rPr>
      </w:pPr>
      <w:r>
        <w:rPr>
          <w:szCs w:val="22"/>
          <w:lang w:val="lv-LV"/>
        </w:rPr>
        <w:t>Subkutāni lietota tocilizumaba</w:t>
      </w:r>
      <w:r w:rsidDel="001D4271">
        <w:rPr>
          <w:szCs w:val="22"/>
          <w:lang w:val="lv-LV"/>
        </w:rPr>
        <w:t xml:space="preserve"> </w:t>
      </w:r>
      <w:r>
        <w:rPr>
          <w:szCs w:val="22"/>
          <w:lang w:val="lv-LV"/>
        </w:rPr>
        <w:t>efektivitāti, mazinot RA pazīmes un simptomus, kā arī radioloģisko atbildes reakciju, vērtēja divos randomizētos, dubultmaskētos, kontrolētos, daudzcentru pētījumos. I pētījumā (SC</w:t>
      </w:r>
      <w:r>
        <w:rPr>
          <w:szCs w:val="22"/>
          <w:lang w:val="lv-LV"/>
        </w:rPr>
        <w:noBreakHyphen/>
        <w:t>I) pacientiem bija jābūt vecākiem par 18 gadiem, ar vidēji smagu vai smagu aktīvu RA, kura diagnoze noteikta atbilstoši ACR kritērijiem, un pētījuma sākumā šiem pacientiem bija jābūt vismaz 4 jutīgām un 4 pietūkušām locītavām. Visi pacienti saņēma pamata terapiju ar nebioloģiskajiem DMARD. II pētījumā (SC</w:t>
      </w:r>
      <w:r>
        <w:rPr>
          <w:szCs w:val="22"/>
          <w:lang w:val="lv-LV"/>
        </w:rPr>
        <w:noBreakHyphen/>
        <w:t xml:space="preserve">II) </w:t>
      </w:r>
      <w:r w:rsidRPr="009C5CFE">
        <w:rPr>
          <w:szCs w:val="22"/>
          <w:lang w:val="lv-LV"/>
        </w:rPr>
        <w:t>pacientiem bija jābūt vecākiem par 18 gadiem</w:t>
      </w:r>
      <w:r>
        <w:rPr>
          <w:szCs w:val="22"/>
          <w:lang w:val="lv-LV"/>
        </w:rPr>
        <w:t xml:space="preserve"> ar vidēji smagu vai smagu aktīvu RA, kura diagnoze bija noteikta atbilstoši ACR kritērijiem, un šiem pacientiem pētījuma sākumā bija jābūt vismaz 8 jutīgām un 6 pietūkušām locītavām. </w:t>
      </w:r>
    </w:p>
    <w:p w14:paraId="5AAF77EB" w14:textId="77777777" w:rsidR="00A453C3" w:rsidRDefault="00A453C3" w:rsidP="00A453C3">
      <w:pPr>
        <w:suppressAutoHyphens w:val="0"/>
        <w:rPr>
          <w:highlight w:val="cyan"/>
          <w:lang w:val="lv-LV" w:eastAsia="ja-JP"/>
        </w:rPr>
      </w:pPr>
    </w:p>
    <w:p w14:paraId="18985A86" w14:textId="59B63ECD" w:rsidR="00A453C3" w:rsidRDefault="00A453C3" w:rsidP="00A453C3">
      <w:pPr>
        <w:suppressAutoHyphens w:val="0"/>
        <w:rPr>
          <w:lang w:val="lv-LV" w:eastAsia="ja-JP"/>
        </w:rPr>
      </w:pPr>
      <w:r>
        <w:rPr>
          <w:lang w:val="lv-LV" w:eastAsia="ja-JP"/>
        </w:rPr>
        <w:t>Pārejot no 8</w:t>
      </w:r>
      <w:r w:rsidR="00B31047">
        <w:rPr>
          <w:lang w:val="lv-LV" w:eastAsia="ja-JP"/>
        </w:rPr>
        <w:t> </w:t>
      </w:r>
      <w:r>
        <w:rPr>
          <w:lang w:val="lv-LV" w:eastAsia="ja-JP"/>
        </w:rPr>
        <w:t>mg/kg intravenozas ievadīšanas vienu reizi 4 nedēļās uz 162 mg subkutānu ievadīšanu vienu reizi nedēļā, pacientam mainīsies iedarbība. Apmērs atkarīgs no pacienta ķermeņa masas (palielinās pacientiem ar mazu ķermeņa masu un samazinās pacientiem ar lielu ķermeņa masu), taču klīniskais iznākums atbilst tam, kas novērots intravenozas lietošanas gadījumā.</w:t>
      </w:r>
    </w:p>
    <w:p w14:paraId="27D58C97" w14:textId="77777777" w:rsidR="00A453C3" w:rsidRDefault="00A453C3" w:rsidP="00A453C3">
      <w:pPr>
        <w:ind w:right="-2"/>
        <w:rPr>
          <w:szCs w:val="22"/>
          <w:lang w:val="lv-LV"/>
        </w:rPr>
      </w:pPr>
    </w:p>
    <w:p w14:paraId="467F4264" w14:textId="77777777" w:rsidR="00A453C3" w:rsidRPr="00707120" w:rsidRDefault="00A453C3" w:rsidP="00707120">
      <w:pPr>
        <w:keepNext/>
        <w:ind w:right="-2"/>
        <w:rPr>
          <w:i/>
          <w:szCs w:val="22"/>
          <w:u w:val="single"/>
          <w:lang w:val="lv-LV"/>
        </w:rPr>
      </w:pPr>
      <w:r w:rsidRPr="00707120">
        <w:rPr>
          <w:i/>
          <w:szCs w:val="22"/>
          <w:u w:val="single"/>
          <w:lang w:val="lv-LV"/>
        </w:rPr>
        <w:t>Klīniskā atbildes reakcija</w:t>
      </w:r>
    </w:p>
    <w:p w14:paraId="1B22BF63" w14:textId="7437C92C" w:rsidR="00A453C3" w:rsidRDefault="00A453C3" w:rsidP="00A453C3">
      <w:pPr>
        <w:ind w:right="-2"/>
        <w:rPr>
          <w:szCs w:val="22"/>
          <w:lang w:val="lv-LV"/>
        </w:rPr>
      </w:pPr>
      <w:r>
        <w:rPr>
          <w:szCs w:val="22"/>
          <w:lang w:val="lv-LV"/>
        </w:rPr>
        <w:t>Pētījumā SC</w:t>
      </w:r>
      <w:r>
        <w:rPr>
          <w:szCs w:val="22"/>
          <w:lang w:val="lv-LV"/>
        </w:rPr>
        <w:noBreakHyphen/>
        <w:t xml:space="preserve">I </w:t>
      </w:r>
      <w:r w:rsidRPr="009C5CFE">
        <w:rPr>
          <w:szCs w:val="22"/>
          <w:lang w:val="lv-LV"/>
        </w:rPr>
        <w:t>vērtēja pacientus ar vidēji smagu un smagu aktīvu RA, kuriem bija nepietiekama klīniskā atbildes reakcija uz pašreizējo reimatoloģisko terapiju, kuras sastāvā bija arī viens vai vairāki DMARD, un aptuveni 20% pētījuma dalībnieku anamnēzē bija nepietiekama atbildes reakcija uz vismaz vienu TNF inhibitoru. SC</w:t>
      </w:r>
      <w:r w:rsidRPr="009C5CFE">
        <w:rPr>
          <w:szCs w:val="22"/>
          <w:lang w:val="lv-LV"/>
        </w:rPr>
        <w:noBreakHyphen/>
        <w:t xml:space="preserve">I pētījumā 1262 pacienti tika randomizēti attiecībā 1:1, lai saņemtu </w:t>
      </w:r>
      <w:r>
        <w:rPr>
          <w:szCs w:val="22"/>
          <w:lang w:val="lv-LV"/>
        </w:rPr>
        <w:t>tocilizumaba</w:t>
      </w:r>
      <w:r w:rsidRPr="009C5CFE" w:rsidDel="001D4271">
        <w:rPr>
          <w:szCs w:val="22"/>
          <w:lang w:val="lv-LV"/>
        </w:rPr>
        <w:t xml:space="preserve"> </w:t>
      </w:r>
      <w:r w:rsidRPr="009C5CFE">
        <w:rPr>
          <w:szCs w:val="22"/>
          <w:lang w:val="lv-LV"/>
        </w:rPr>
        <w:t xml:space="preserve">162 mg subkutāni vienu reizi nedēļā vai </w:t>
      </w:r>
      <w:r>
        <w:rPr>
          <w:szCs w:val="22"/>
          <w:lang w:val="lv-LV"/>
        </w:rPr>
        <w:t>tocilizumaba</w:t>
      </w:r>
      <w:r w:rsidRPr="009C5CFE" w:rsidDel="001D4271">
        <w:rPr>
          <w:szCs w:val="22"/>
          <w:lang w:val="lv-LV"/>
        </w:rPr>
        <w:t xml:space="preserve"> </w:t>
      </w:r>
      <w:r w:rsidRPr="009C5CFE">
        <w:rPr>
          <w:szCs w:val="22"/>
          <w:lang w:val="lv-LV"/>
        </w:rPr>
        <w:t>8 mg/kg intravenozi ik pēc četrām nedēļām kombinācijā ar nebioloģisku DMARD. Pētījuma primārais mērķa kritērijs bija to pacientu procentuālā īpatsvara starpība, kuriem 24. nedēļā bija panākta ACR</w:t>
      </w:r>
      <w:r>
        <w:rPr>
          <w:szCs w:val="22"/>
          <w:lang w:val="lv-LV"/>
        </w:rPr>
        <w:t> </w:t>
      </w:r>
      <w:r w:rsidRPr="009C5CFE">
        <w:rPr>
          <w:szCs w:val="22"/>
          <w:lang w:val="lv-LV"/>
        </w:rPr>
        <w:t>20 atbildes reakcija. SC</w:t>
      </w:r>
      <w:r w:rsidRPr="009C5CFE">
        <w:rPr>
          <w:szCs w:val="22"/>
          <w:lang w:val="lv-LV"/>
        </w:rPr>
        <w:noBreakHyphen/>
        <w:t>I pētījuma rezultāti norādīti</w:t>
      </w:r>
      <w:r>
        <w:rPr>
          <w:szCs w:val="22"/>
          <w:lang w:val="lv-LV"/>
        </w:rPr>
        <w:t xml:space="preserve"> 2. tabulā. </w:t>
      </w:r>
    </w:p>
    <w:p w14:paraId="1F14F044" w14:textId="77777777" w:rsidR="00A453C3" w:rsidRDefault="00A453C3" w:rsidP="00A453C3">
      <w:pPr>
        <w:ind w:right="-2"/>
        <w:rPr>
          <w:sz w:val="24"/>
          <w:szCs w:val="22"/>
          <w:lang w:val="lv-LV"/>
        </w:rPr>
      </w:pPr>
    </w:p>
    <w:p w14:paraId="01521622" w14:textId="0F463944" w:rsidR="00A453C3" w:rsidRDefault="00A453C3" w:rsidP="00A453C3">
      <w:pPr>
        <w:keepNext/>
        <w:keepLines/>
        <w:numPr>
          <w:ilvl w:val="12"/>
          <w:numId w:val="0"/>
        </w:numPr>
        <w:ind w:right="-2"/>
        <w:rPr>
          <w:bCs/>
          <w:i/>
          <w:szCs w:val="22"/>
          <w:lang w:val="lv-LV"/>
        </w:rPr>
      </w:pPr>
      <w:r>
        <w:rPr>
          <w:bCs/>
          <w:i/>
          <w:szCs w:val="22"/>
          <w:lang w:val="lv-LV"/>
        </w:rPr>
        <w:t>2. tabula. ACR atbildes reakcija pētījuma SC-I (% pacientu) 24. nedēļā</w:t>
      </w:r>
    </w:p>
    <w:p w14:paraId="4527B705" w14:textId="77777777" w:rsidR="00A453C3" w:rsidRDefault="00A453C3" w:rsidP="00A453C3">
      <w:pPr>
        <w:keepNext/>
        <w:keepLines/>
        <w:numPr>
          <w:ilvl w:val="12"/>
          <w:numId w:val="0"/>
        </w:numPr>
        <w:ind w:right="-2"/>
        <w:rPr>
          <w: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3202"/>
        <w:gridCol w:w="3260"/>
      </w:tblGrid>
      <w:tr w:rsidR="00A453C3" w14:paraId="5542F60F" w14:textId="77777777" w:rsidTr="0067693D">
        <w:tc>
          <w:tcPr>
            <w:tcW w:w="2718" w:type="dxa"/>
          </w:tcPr>
          <w:p w14:paraId="1FA51C27" w14:textId="77777777" w:rsidR="00A453C3" w:rsidRDefault="00A453C3" w:rsidP="0067693D">
            <w:pPr>
              <w:keepNext/>
              <w:keepLines/>
              <w:spacing w:line="280" w:lineRule="atLeast"/>
              <w:rPr>
                <w:lang w:val="lv-LV" w:eastAsia="de-DE"/>
              </w:rPr>
            </w:pPr>
          </w:p>
        </w:tc>
        <w:tc>
          <w:tcPr>
            <w:tcW w:w="6462" w:type="dxa"/>
            <w:gridSpan w:val="2"/>
          </w:tcPr>
          <w:p w14:paraId="1C35C13D" w14:textId="77777777" w:rsidR="00A453C3" w:rsidRDefault="00A453C3" w:rsidP="0067693D">
            <w:pPr>
              <w:keepNext/>
              <w:keepLines/>
              <w:spacing w:line="280" w:lineRule="atLeast"/>
              <w:jc w:val="center"/>
              <w:rPr>
                <w:lang w:val="lv-LV" w:eastAsia="de-DE"/>
              </w:rPr>
            </w:pPr>
            <w:r>
              <w:rPr>
                <w:lang w:val="lv-LV" w:eastAsia="de-DE"/>
              </w:rPr>
              <w:t>SC-I</w:t>
            </w:r>
            <w:r>
              <w:rPr>
                <w:vertAlign w:val="superscript"/>
                <w:lang w:val="lv-LV" w:eastAsia="de-DE"/>
              </w:rPr>
              <w:t>a</w:t>
            </w:r>
          </w:p>
        </w:tc>
      </w:tr>
      <w:tr w:rsidR="00A453C3" w14:paraId="24204098" w14:textId="77777777" w:rsidTr="0067693D">
        <w:tc>
          <w:tcPr>
            <w:tcW w:w="2718" w:type="dxa"/>
          </w:tcPr>
          <w:p w14:paraId="04E6806F" w14:textId="77777777" w:rsidR="00A453C3" w:rsidRDefault="00A453C3" w:rsidP="0067693D">
            <w:pPr>
              <w:keepNext/>
              <w:keepLines/>
              <w:spacing w:line="280" w:lineRule="atLeast"/>
              <w:rPr>
                <w:lang w:val="lv-LV" w:eastAsia="de-DE"/>
              </w:rPr>
            </w:pPr>
          </w:p>
        </w:tc>
        <w:tc>
          <w:tcPr>
            <w:tcW w:w="3202" w:type="dxa"/>
          </w:tcPr>
          <w:p w14:paraId="19D9D3C8" w14:textId="08307BB6" w:rsidR="00A453C3" w:rsidRDefault="00A453C3" w:rsidP="0067693D">
            <w:pPr>
              <w:keepNext/>
              <w:keepLines/>
              <w:spacing w:line="280" w:lineRule="atLeast"/>
              <w:jc w:val="center"/>
              <w:rPr>
                <w:lang w:val="lv-LV" w:eastAsia="de-DE"/>
              </w:rPr>
            </w:pPr>
            <w:r>
              <w:rPr>
                <w:lang w:val="lv-LV" w:eastAsia="de-DE"/>
              </w:rPr>
              <w:t>TCZ s.c. 162 mg vienu reizi nedēļā</w:t>
            </w:r>
          </w:p>
          <w:p w14:paraId="549E4EA3" w14:textId="77777777" w:rsidR="00A453C3" w:rsidRDefault="00A453C3" w:rsidP="0067693D">
            <w:pPr>
              <w:keepNext/>
              <w:keepLines/>
              <w:spacing w:line="280" w:lineRule="atLeast"/>
              <w:jc w:val="center"/>
              <w:rPr>
                <w:lang w:val="lv-LV" w:eastAsia="de-DE"/>
              </w:rPr>
            </w:pPr>
            <w:r>
              <w:rPr>
                <w:lang w:val="lv-LV" w:eastAsia="de-DE"/>
              </w:rPr>
              <w:t>+ DMARD</w:t>
            </w:r>
          </w:p>
          <w:p w14:paraId="583B98C8" w14:textId="31375021" w:rsidR="00A453C3" w:rsidRDefault="00A453C3" w:rsidP="0067693D">
            <w:pPr>
              <w:keepNext/>
              <w:keepLines/>
              <w:spacing w:line="280" w:lineRule="atLeast"/>
              <w:jc w:val="center"/>
              <w:rPr>
                <w:lang w:val="lv-LV" w:eastAsia="de-DE"/>
              </w:rPr>
            </w:pPr>
            <w:del w:id="556" w:author="Author">
              <w:r w:rsidDel="005066A1">
                <w:rPr>
                  <w:lang w:val="lv-LV" w:eastAsia="de-DE"/>
                </w:rPr>
                <w:delText>N</w:delText>
              </w:r>
            </w:del>
            <w:ins w:id="557" w:author="Author">
              <w:r w:rsidR="005066A1">
                <w:rPr>
                  <w:lang w:val="lv-LV" w:eastAsia="de-DE"/>
                </w:rPr>
                <w:t>n</w:t>
              </w:r>
            </w:ins>
            <w:r>
              <w:rPr>
                <w:lang w:val="lv-LV" w:eastAsia="de-DE"/>
              </w:rPr>
              <w:t>=558</w:t>
            </w:r>
          </w:p>
        </w:tc>
        <w:tc>
          <w:tcPr>
            <w:tcW w:w="3260" w:type="dxa"/>
          </w:tcPr>
          <w:p w14:paraId="01611B22" w14:textId="77777777" w:rsidR="00A453C3" w:rsidRDefault="00A453C3" w:rsidP="0067693D">
            <w:pPr>
              <w:keepNext/>
              <w:keepLines/>
              <w:spacing w:line="280" w:lineRule="atLeast"/>
              <w:jc w:val="center"/>
              <w:rPr>
                <w:lang w:val="lv-LV" w:eastAsia="de-DE"/>
              </w:rPr>
            </w:pPr>
            <w:r>
              <w:rPr>
                <w:lang w:val="lv-LV" w:eastAsia="de-DE"/>
              </w:rPr>
              <w:t>TCZ i.v. 8 mg/kg</w:t>
            </w:r>
          </w:p>
          <w:p w14:paraId="055A9F1A" w14:textId="77777777" w:rsidR="00A453C3" w:rsidRDefault="00A453C3" w:rsidP="0067693D">
            <w:pPr>
              <w:keepNext/>
              <w:keepLines/>
              <w:spacing w:line="280" w:lineRule="atLeast"/>
              <w:jc w:val="center"/>
              <w:rPr>
                <w:lang w:val="lv-LV" w:eastAsia="de-DE"/>
              </w:rPr>
            </w:pPr>
            <w:r>
              <w:rPr>
                <w:lang w:val="lv-LV" w:eastAsia="de-DE"/>
              </w:rPr>
              <w:t>+ DMARD</w:t>
            </w:r>
          </w:p>
          <w:p w14:paraId="00966152" w14:textId="0868F4D2" w:rsidR="00A453C3" w:rsidRDefault="00A453C3" w:rsidP="0067693D">
            <w:pPr>
              <w:keepNext/>
              <w:keepLines/>
              <w:spacing w:line="280" w:lineRule="atLeast"/>
              <w:jc w:val="center"/>
              <w:rPr>
                <w:lang w:val="lv-LV" w:eastAsia="de-DE"/>
              </w:rPr>
            </w:pPr>
            <w:del w:id="558" w:author="Author">
              <w:r w:rsidDel="005066A1">
                <w:rPr>
                  <w:lang w:val="lv-LV" w:eastAsia="de-DE"/>
                </w:rPr>
                <w:delText>N</w:delText>
              </w:r>
            </w:del>
            <w:ins w:id="559" w:author="Author">
              <w:r w:rsidR="005066A1">
                <w:rPr>
                  <w:lang w:val="lv-LV" w:eastAsia="de-DE"/>
                </w:rPr>
                <w:t>n</w:t>
              </w:r>
            </w:ins>
            <w:r>
              <w:rPr>
                <w:lang w:val="lv-LV" w:eastAsia="de-DE"/>
              </w:rPr>
              <w:t>=537</w:t>
            </w:r>
          </w:p>
        </w:tc>
      </w:tr>
      <w:tr w:rsidR="00A453C3" w14:paraId="065F2A46" w14:textId="77777777" w:rsidTr="0067693D">
        <w:tc>
          <w:tcPr>
            <w:tcW w:w="2718" w:type="dxa"/>
          </w:tcPr>
          <w:p w14:paraId="045ACB76" w14:textId="77777777" w:rsidR="00A453C3" w:rsidRDefault="00A453C3" w:rsidP="0067693D">
            <w:pPr>
              <w:keepNext/>
              <w:keepLines/>
              <w:spacing w:line="280" w:lineRule="atLeast"/>
              <w:jc w:val="right"/>
              <w:rPr>
                <w:lang w:val="lv-LV" w:eastAsia="de-DE"/>
              </w:rPr>
            </w:pPr>
            <w:r>
              <w:rPr>
                <w:lang w:val="lv-LV" w:eastAsia="de-DE"/>
              </w:rPr>
              <w:t>ACR 20 24. nedēļā</w:t>
            </w:r>
          </w:p>
        </w:tc>
        <w:tc>
          <w:tcPr>
            <w:tcW w:w="3202" w:type="dxa"/>
          </w:tcPr>
          <w:p w14:paraId="2A3C18EA" w14:textId="77777777" w:rsidR="00A453C3" w:rsidRDefault="00A453C3" w:rsidP="0067693D">
            <w:pPr>
              <w:keepNext/>
              <w:keepLines/>
              <w:spacing w:line="280" w:lineRule="atLeast"/>
              <w:jc w:val="center"/>
              <w:rPr>
                <w:lang w:val="lv-LV" w:eastAsia="de-DE"/>
              </w:rPr>
            </w:pPr>
            <w:r>
              <w:rPr>
                <w:lang w:val="lv-LV" w:eastAsia="de-DE"/>
              </w:rPr>
              <w:t>69,4%</w:t>
            </w:r>
          </w:p>
        </w:tc>
        <w:tc>
          <w:tcPr>
            <w:tcW w:w="3260" w:type="dxa"/>
          </w:tcPr>
          <w:p w14:paraId="5E949D30" w14:textId="77777777" w:rsidR="00A453C3" w:rsidRDefault="00A453C3" w:rsidP="0067693D">
            <w:pPr>
              <w:keepNext/>
              <w:keepLines/>
              <w:spacing w:line="280" w:lineRule="atLeast"/>
              <w:jc w:val="center"/>
              <w:rPr>
                <w:lang w:val="lv-LV" w:eastAsia="de-DE"/>
              </w:rPr>
            </w:pPr>
            <w:r>
              <w:rPr>
                <w:lang w:val="lv-LV" w:eastAsia="de-DE"/>
              </w:rPr>
              <w:t>73,4%</w:t>
            </w:r>
          </w:p>
        </w:tc>
      </w:tr>
      <w:tr w:rsidR="00A453C3" w14:paraId="07864173" w14:textId="77777777" w:rsidTr="0067693D">
        <w:tc>
          <w:tcPr>
            <w:tcW w:w="2718" w:type="dxa"/>
          </w:tcPr>
          <w:p w14:paraId="0BE5638C" w14:textId="77777777" w:rsidR="00A453C3" w:rsidRDefault="00A453C3" w:rsidP="0067693D">
            <w:pPr>
              <w:keepNext/>
              <w:keepLines/>
              <w:spacing w:line="280" w:lineRule="atLeast"/>
              <w:jc w:val="right"/>
              <w:rPr>
                <w:lang w:val="lv-LV" w:eastAsia="de-DE"/>
              </w:rPr>
            </w:pPr>
            <w:r>
              <w:rPr>
                <w:lang w:val="lv-LV" w:eastAsia="de-DE"/>
              </w:rPr>
              <w:t>Svērtā starpība (95% TI)</w:t>
            </w:r>
          </w:p>
        </w:tc>
        <w:tc>
          <w:tcPr>
            <w:tcW w:w="6462" w:type="dxa"/>
            <w:gridSpan w:val="2"/>
          </w:tcPr>
          <w:p w14:paraId="7A28BA76" w14:textId="77777777" w:rsidR="00A453C3" w:rsidRDefault="00A453C3" w:rsidP="0067693D">
            <w:pPr>
              <w:keepNext/>
              <w:keepLines/>
              <w:spacing w:line="280" w:lineRule="atLeast"/>
              <w:jc w:val="center"/>
              <w:rPr>
                <w:lang w:val="lv-LV" w:eastAsia="de-DE"/>
              </w:rPr>
            </w:pPr>
            <w:r>
              <w:rPr>
                <w:lang w:val="lv-LV" w:eastAsia="de-DE"/>
              </w:rPr>
              <w:t>-4,0 (-9,2; 1,2)</w:t>
            </w:r>
          </w:p>
        </w:tc>
      </w:tr>
      <w:tr w:rsidR="00A453C3" w14:paraId="4581E13D" w14:textId="77777777" w:rsidTr="0067693D">
        <w:tc>
          <w:tcPr>
            <w:tcW w:w="2718" w:type="dxa"/>
          </w:tcPr>
          <w:p w14:paraId="44898090" w14:textId="77777777" w:rsidR="00A453C3" w:rsidRDefault="00A453C3" w:rsidP="0067693D">
            <w:pPr>
              <w:keepNext/>
              <w:keepLines/>
              <w:spacing w:line="280" w:lineRule="atLeast"/>
              <w:jc w:val="right"/>
              <w:rPr>
                <w:lang w:val="lv-LV" w:eastAsia="de-DE"/>
              </w:rPr>
            </w:pPr>
            <w:r>
              <w:rPr>
                <w:lang w:val="lv-LV" w:eastAsia="de-DE"/>
              </w:rPr>
              <w:t>ACR 50 24. nedēļā</w:t>
            </w:r>
          </w:p>
        </w:tc>
        <w:tc>
          <w:tcPr>
            <w:tcW w:w="3202" w:type="dxa"/>
          </w:tcPr>
          <w:p w14:paraId="6A15FF75" w14:textId="77777777" w:rsidR="00A453C3" w:rsidRDefault="00A453C3" w:rsidP="0067693D">
            <w:pPr>
              <w:keepNext/>
              <w:keepLines/>
              <w:spacing w:line="280" w:lineRule="atLeast"/>
              <w:jc w:val="center"/>
              <w:rPr>
                <w:lang w:val="lv-LV" w:eastAsia="de-DE"/>
              </w:rPr>
            </w:pPr>
            <w:r>
              <w:rPr>
                <w:lang w:val="lv-LV" w:eastAsia="de-DE"/>
              </w:rPr>
              <w:t>47,0%</w:t>
            </w:r>
          </w:p>
        </w:tc>
        <w:tc>
          <w:tcPr>
            <w:tcW w:w="3260" w:type="dxa"/>
          </w:tcPr>
          <w:p w14:paraId="68F621F7" w14:textId="77777777" w:rsidR="00A453C3" w:rsidRDefault="00A453C3" w:rsidP="0067693D">
            <w:pPr>
              <w:keepNext/>
              <w:keepLines/>
              <w:spacing w:line="280" w:lineRule="atLeast"/>
              <w:jc w:val="center"/>
              <w:rPr>
                <w:lang w:val="lv-LV" w:eastAsia="de-DE"/>
              </w:rPr>
            </w:pPr>
            <w:r>
              <w:rPr>
                <w:lang w:val="lv-LV" w:eastAsia="de-DE"/>
              </w:rPr>
              <w:t>48,6%</w:t>
            </w:r>
          </w:p>
        </w:tc>
      </w:tr>
      <w:tr w:rsidR="00A453C3" w14:paraId="4856727F" w14:textId="77777777" w:rsidTr="0067693D">
        <w:tc>
          <w:tcPr>
            <w:tcW w:w="2718" w:type="dxa"/>
          </w:tcPr>
          <w:p w14:paraId="22AAB934" w14:textId="77777777" w:rsidR="00A453C3" w:rsidRDefault="00A453C3" w:rsidP="0067693D">
            <w:pPr>
              <w:keepNext/>
              <w:keepLines/>
              <w:spacing w:line="280" w:lineRule="atLeast"/>
              <w:jc w:val="right"/>
              <w:rPr>
                <w:lang w:val="lv-LV" w:eastAsia="de-DE"/>
              </w:rPr>
            </w:pPr>
            <w:r>
              <w:rPr>
                <w:lang w:val="lv-LV" w:eastAsia="de-DE"/>
              </w:rPr>
              <w:t>Svērtā starpība (95% TI)</w:t>
            </w:r>
          </w:p>
        </w:tc>
        <w:tc>
          <w:tcPr>
            <w:tcW w:w="6462" w:type="dxa"/>
            <w:gridSpan w:val="2"/>
          </w:tcPr>
          <w:p w14:paraId="0A8FC3C7" w14:textId="77777777" w:rsidR="00A453C3" w:rsidRDefault="00A453C3" w:rsidP="0067693D">
            <w:pPr>
              <w:keepNext/>
              <w:keepLines/>
              <w:spacing w:line="280" w:lineRule="atLeast"/>
              <w:jc w:val="center"/>
              <w:rPr>
                <w:lang w:val="lv-LV" w:eastAsia="de-DE"/>
              </w:rPr>
            </w:pPr>
            <w:r>
              <w:rPr>
                <w:lang w:val="lv-LV" w:eastAsia="de-DE"/>
              </w:rPr>
              <w:t>-1,8 (-7,5; 4,0)</w:t>
            </w:r>
          </w:p>
        </w:tc>
      </w:tr>
      <w:tr w:rsidR="00A453C3" w14:paraId="637D4789" w14:textId="77777777" w:rsidTr="0067693D">
        <w:tc>
          <w:tcPr>
            <w:tcW w:w="2718" w:type="dxa"/>
          </w:tcPr>
          <w:p w14:paraId="37735DBC" w14:textId="77777777" w:rsidR="00A453C3" w:rsidRDefault="00A453C3" w:rsidP="0067693D">
            <w:pPr>
              <w:keepNext/>
              <w:keepLines/>
              <w:spacing w:line="280" w:lineRule="atLeast"/>
              <w:jc w:val="right"/>
              <w:rPr>
                <w:lang w:val="lv-LV" w:eastAsia="de-DE"/>
              </w:rPr>
            </w:pPr>
            <w:r>
              <w:rPr>
                <w:lang w:val="lv-LV" w:eastAsia="de-DE"/>
              </w:rPr>
              <w:t>ACR 70 24. nedēļā</w:t>
            </w:r>
          </w:p>
        </w:tc>
        <w:tc>
          <w:tcPr>
            <w:tcW w:w="3202" w:type="dxa"/>
          </w:tcPr>
          <w:p w14:paraId="5FDFC8D7" w14:textId="77777777" w:rsidR="00A453C3" w:rsidRDefault="00A453C3" w:rsidP="0067693D">
            <w:pPr>
              <w:keepNext/>
              <w:keepLines/>
              <w:spacing w:line="280" w:lineRule="atLeast"/>
              <w:jc w:val="center"/>
              <w:rPr>
                <w:lang w:val="lv-LV" w:eastAsia="de-DE"/>
              </w:rPr>
            </w:pPr>
            <w:r>
              <w:rPr>
                <w:lang w:val="lv-LV" w:eastAsia="de-DE"/>
              </w:rPr>
              <w:t>24,0%</w:t>
            </w:r>
          </w:p>
        </w:tc>
        <w:tc>
          <w:tcPr>
            <w:tcW w:w="3260" w:type="dxa"/>
          </w:tcPr>
          <w:p w14:paraId="2728CE40" w14:textId="77777777" w:rsidR="00A453C3" w:rsidRDefault="00A453C3" w:rsidP="0067693D">
            <w:pPr>
              <w:keepNext/>
              <w:keepLines/>
              <w:spacing w:line="280" w:lineRule="atLeast"/>
              <w:jc w:val="center"/>
              <w:rPr>
                <w:lang w:val="lv-LV" w:eastAsia="de-DE"/>
              </w:rPr>
            </w:pPr>
            <w:r>
              <w:rPr>
                <w:lang w:val="lv-LV" w:eastAsia="de-DE"/>
              </w:rPr>
              <w:t>27,9%</w:t>
            </w:r>
          </w:p>
        </w:tc>
      </w:tr>
      <w:tr w:rsidR="00A453C3" w14:paraId="66E87844" w14:textId="77777777" w:rsidTr="0067693D">
        <w:tc>
          <w:tcPr>
            <w:tcW w:w="2718" w:type="dxa"/>
          </w:tcPr>
          <w:p w14:paraId="582E4E40" w14:textId="77777777" w:rsidR="00A453C3" w:rsidRDefault="00A453C3" w:rsidP="0067693D">
            <w:pPr>
              <w:keepNext/>
              <w:keepLines/>
              <w:spacing w:line="280" w:lineRule="atLeast"/>
              <w:jc w:val="right"/>
              <w:rPr>
                <w:lang w:val="lv-LV" w:eastAsia="de-DE"/>
              </w:rPr>
            </w:pPr>
            <w:r>
              <w:rPr>
                <w:lang w:val="lv-LV" w:eastAsia="de-DE"/>
              </w:rPr>
              <w:t>Svērtā starpība (95% TI)</w:t>
            </w:r>
          </w:p>
        </w:tc>
        <w:tc>
          <w:tcPr>
            <w:tcW w:w="6462" w:type="dxa"/>
            <w:gridSpan w:val="2"/>
          </w:tcPr>
          <w:p w14:paraId="037CD448" w14:textId="77777777" w:rsidR="00A453C3" w:rsidRDefault="00A453C3" w:rsidP="0067693D">
            <w:pPr>
              <w:keepNext/>
              <w:keepLines/>
              <w:spacing w:line="280" w:lineRule="atLeast"/>
              <w:jc w:val="center"/>
              <w:rPr>
                <w:lang w:val="lv-LV" w:eastAsia="de-DE"/>
              </w:rPr>
            </w:pPr>
            <w:r>
              <w:rPr>
                <w:lang w:val="lv-LV" w:eastAsia="de-DE"/>
              </w:rPr>
              <w:t>-3,8 (-9,0; 1,3)</w:t>
            </w:r>
          </w:p>
        </w:tc>
      </w:tr>
    </w:tbl>
    <w:p w14:paraId="7F5AA5B0" w14:textId="77777777" w:rsidR="00A453C3" w:rsidRDefault="00A453C3" w:rsidP="00A453C3">
      <w:pPr>
        <w:keepNext/>
        <w:keepLines/>
        <w:rPr>
          <w:sz w:val="18"/>
          <w:szCs w:val="18"/>
          <w:lang w:val="lv-LV" w:eastAsia="de-DE"/>
        </w:rPr>
      </w:pPr>
      <w:bookmarkStart w:id="560" w:name="_Hlk174611121"/>
      <w:r>
        <w:rPr>
          <w:sz w:val="18"/>
          <w:szCs w:val="18"/>
          <w:lang w:val="lv-LV" w:eastAsia="de-DE"/>
        </w:rPr>
        <w:t>DMARD = slimības gaitu modificējoši pretreimatisma līdzekļi.</w:t>
      </w:r>
    </w:p>
    <w:bookmarkEnd w:id="560"/>
    <w:p w14:paraId="53933ABC" w14:textId="77777777" w:rsidR="00A453C3" w:rsidRDefault="00A453C3" w:rsidP="00A453C3">
      <w:pPr>
        <w:keepNext/>
        <w:keepLines/>
        <w:rPr>
          <w:sz w:val="18"/>
          <w:szCs w:val="18"/>
          <w:lang w:val="lv-LV" w:eastAsia="de-DE"/>
        </w:rPr>
      </w:pPr>
      <w:r>
        <w:rPr>
          <w:sz w:val="18"/>
          <w:szCs w:val="18"/>
          <w:lang w:val="lv-LV" w:eastAsia="de-DE"/>
        </w:rPr>
        <w:t>TCZ = tocilizumabs.</w:t>
      </w:r>
    </w:p>
    <w:p w14:paraId="52412A6B" w14:textId="77777777" w:rsidR="00A453C3" w:rsidRDefault="00A453C3" w:rsidP="00A453C3">
      <w:pPr>
        <w:keepNext/>
        <w:keepLines/>
        <w:rPr>
          <w:sz w:val="18"/>
          <w:szCs w:val="18"/>
          <w:lang w:val="lv-LV" w:eastAsia="de-DE"/>
        </w:rPr>
      </w:pPr>
      <w:bookmarkStart w:id="561" w:name="_Hlk174611130"/>
      <w:r>
        <w:rPr>
          <w:sz w:val="18"/>
          <w:szCs w:val="18"/>
          <w:lang w:val="lv-LV" w:eastAsia="de-DE"/>
        </w:rPr>
        <w:t>i.v. = intravenozi.</w:t>
      </w:r>
    </w:p>
    <w:p w14:paraId="290528D5" w14:textId="77777777" w:rsidR="00A453C3" w:rsidRDefault="00A453C3" w:rsidP="00A453C3">
      <w:pPr>
        <w:keepNext/>
        <w:keepLines/>
        <w:rPr>
          <w:sz w:val="18"/>
          <w:szCs w:val="18"/>
          <w:lang w:val="lv-LV" w:eastAsia="de-DE"/>
        </w:rPr>
      </w:pPr>
      <w:r>
        <w:rPr>
          <w:sz w:val="18"/>
          <w:szCs w:val="18"/>
          <w:lang w:val="lv-LV" w:eastAsia="de-DE"/>
        </w:rPr>
        <w:t>s.c. = subkutāni.</w:t>
      </w:r>
    </w:p>
    <w:bookmarkEnd w:id="561"/>
    <w:p w14:paraId="45FC44AD" w14:textId="77777777" w:rsidR="00A453C3" w:rsidRDefault="00A453C3" w:rsidP="00707120">
      <w:pPr>
        <w:keepLines/>
        <w:rPr>
          <w:sz w:val="18"/>
          <w:szCs w:val="18"/>
          <w:lang w:val="lv-LV" w:eastAsia="de-DE"/>
        </w:rPr>
      </w:pPr>
      <w:r>
        <w:rPr>
          <w:sz w:val="18"/>
          <w:szCs w:val="18"/>
          <w:lang w:val="lv-LV" w:eastAsia="de-DE"/>
        </w:rPr>
        <w:t xml:space="preserve">a = </w:t>
      </w:r>
      <w:r w:rsidRPr="009C5CFE">
        <w:rPr>
          <w:sz w:val="18"/>
          <w:szCs w:val="18"/>
          <w:lang w:val="lv-LV" w:eastAsia="de-DE"/>
        </w:rPr>
        <w:t>protokolam atbilstošā pacientu populācija.</w:t>
      </w:r>
    </w:p>
    <w:p w14:paraId="79E37DC1" w14:textId="77777777" w:rsidR="00A453C3" w:rsidRDefault="00A453C3" w:rsidP="00A453C3">
      <w:pPr>
        <w:ind w:right="-2"/>
        <w:rPr>
          <w:szCs w:val="22"/>
          <w:lang w:val="lv-LV"/>
        </w:rPr>
      </w:pPr>
    </w:p>
    <w:p w14:paraId="275C5E4F" w14:textId="42302431" w:rsidR="00A453C3" w:rsidRDefault="00A453C3" w:rsidP="00A453C3">
      <w:pPr>
        <w:ind w:right="-2"/>
        <w:rPr>
          <w:szCs w:val="22"/>
          <w:lang w:val="lv-LV"/>
        </w:rPr>
      </w:pPr>
      <w:r>
        <w:rPr>
          <w:szCs w:val="22"/>
          <w:lang w:val="lv-LV"/>
        </w:rPr>
        <w:t>Pētījuma SC</w:t>
      </w:r>
      <w:r>
        <w:rPr>
          <w:szCs w:val="22"/>
          <w:lang w:val="lv-LV"/>
        </w:rPr>
        <w:noBreakHyphen/>
        <w:t>I sākumā pacientiem subkutānās lietošanas un intravenozās lietošanas grupā vidējais slimības aktivitātes novērtējuma punktu skaits (</w:t>
      </w:r>
      <w:r>
        <w:rPr>
          <w:i/>
          <w:szCs w:val="22"/>
          <w:lang w:val="lv-LV"/>
        </w:rPr>
        <w:t>Disease Activity Score;</w:t>
      </w:r>
      <w:r>
        <w:rPr>
          <w:szCs w:val="22"/>
          <w:lang w:val="lv-LV"/>
        </w:rPr>
        <w:t xml:space="preserve"> DAS28) bija attiecīgi 6,6 un 6,7. Pētījuma 24. nedēļā abās terapijas grupās tika novērota nozīmīga DAS28 samazināšanās par 3,5 (vidējā uzlabošanās), salīdzinot ar pētījuma sākumu, un DAS28 klīniskā remisija (DAS28 &lt; 2,6) tika panākta līdzīgam pacientu </w:t>
      </w:r>
      <w:r w:rsidRPr="009C5CFE">
        <w:rPr>
          <w:szCs w:val="22"/>
          <w:lang w:val="lv-LV"/>
        </w:rPr>
        <w:t>procentuālajam īpatsvaram</w:t>
      </w:r>
      <w:r>
        <w:rPr>
          <w:szCs w:val="22"/>
          <w:lang w:val="lv-LV"/>
        </w:rPr>
        <w:t xml:space="preserve"> subkutānās lietošanas (38,4%) un intravenozās lietošanas (36,9%) grupā. </w:t>
      </w:r>
    </w:p>
    <w:p w14:paraId="1D9AC6A8" w14:textId="77777777" w:rsidR="00A453C3" w:rsidRDefault="00A453C3" w:rsidP="00A453C3">
      <w:pPr>
        <w:ind w:right="-2"/>
        <w:rPr>
          <w:szCs w:val="22"/>
          <w:lang w:val="lv-LV"/>
        </w:rPr>
      </w:pPr>
    </w:p>
    <w:p w14:paraId="55C3D939" w14:textId="77777777" w:rsidR="00A453C3" w:rsidRPr="00707120" w:rsidRDefault="00A453C3" w:rsidP="00707120">
      <w:pPr>
        <w:keepNext/>
        <w:ind w:right="-2"/>
        <w:rPr>
          <w:szCs w:val="22"/>
          <w:u w:val="single"/>
          <w:lang w:val="lv-LV"/>
        </w:rPr>
      </w:pPr>
      <w:r w:rsidRPr="00707120">
        <w:rPr>
          <w:i/>
          <w:szCs w:val="22"/>
          <w:u w:val="single"/>
          <w:lang w:val="lv-LV"/>
        </w:rPr>
        <w:t>Radioloģiskā atbildes reakcija</w:t>
      </w:r>
    </w:p>
    <w:p w14:paraId="55713067" w14:textId="380FD0F4" w:rsidR="00A453C3" w:rsidRPr="00E77D61" w:rsidRDefault="00A453C3" w:rsidP="00A453C3">
      <w:pPr>
        <w:ind w:right="-2"/>
        <w:rPr>
          <w:szCs w:val="22"/>
          <w:lang w:val="lv-LV"/>
        </w:rPr>
      </w:pPr>
      <w:r>
        <w:rPr>
          <w:szCs w:val="22"/>
          <w:lang w:val="lv-LV"/>
        </w:rPr>
        <w:t>Radioloģisko atbildes reakciju uz subkutāni lietotu tocilizumabu</w:t>
      </w:r>
      <w:r w:rsidDel="001D4271">
        <w:rPr>
          <w:szCs w:val="22"/>
          <w:lang w:val="lv-LV"/>
        </w:rPr>
        <w:t xml:space="preserve"> </w:t>
      </w:r>
      <w:r>
        <w:rPr>
          <w:szCs w:val="22"/>
          <w:lang w:val="lv-LV"/>
        </w:rPr>
        <w:t>vērtēja dubultmaskētā, kontrolētā, daudzcentru pētījumā, kurā piedalījās pacienti ar aktīvu RA (SC</w:t>
      </w:r>
      <w:r>
        <w:rPr>
          <w:szCs w:val="22"/>
          <w:lang w:val="lv-LV"/>
        </w:rPr>
        <w:noBreakHyphen/>
        <w:t>II). Pētījumā SC</w:t>
      </w:r>
      <w:r>
        <w:rPr>
          <w:szCs w:val="22"/>
          <w:lang w:val="lv-LV"/>
        </w:rPr>
        <w:noBreakHyphen/>
        <w:t xml:space="preserve">II vērtēja pacientus ar vidēji smagu vai smagu aktīvu RA, kuriem bija nepietiekama klīniskā atbildes reakcija uz pašreizējo reimatoloģisko terapiju, kuras sastāvā bija arī viens vai vairāki DMARD, un aptuveni 20% pacientu anamnēzē bija </w:t>
      </w:r>
      <w:r w:rsidRPr="00E77D61">
        <w:rPr>
          <w:szCs w:val="22"/>
          <w:lang w:val="lv-LV"/>
        </w:rPr>
        <w:t>nepietiekama atbildes reakcija uz vismaz vienu TNF inhibitoru. Pētījumā pacientiem bija jābūt vecākiem par 18 gadiem</w:t>
      </w:r>
      <w:r>
        <w:rPr>
          <w:szCs w:val="22"/>
          <w:lang w:val="lv-LV"/>
        </w:rPr>
        <w:t>,</w:t>
      </w:r>
      <w:r w:rsidRPr="00E77D61">
        <w:rPr>
          <w:szCs w:val="22"/>
          <w:lang w:val="lv-LV"/>
        </w:rPr>
        <w:t xml:space="preserve"> ar aktīvu RA, kura diagnoze noteikta atbilstoši ACR kritērijiem, un pētījuma sākumā pacientiem bija vismaz 8 jutīgas un 6 pietūkušas locītavas. SC</w:t>
      </w:r>
      <w:r w:rsidRPr="00E77D61">
        <w:rPr>
          <w:szCs w:val="22"/>
          <w:lang w:val="lv-LV"/>
        </w:rPr>
        <w:noBreakHyphen/>
        <w:t xml:space="preserve">II pētījumā 656 pacienti tika randomizēti attiecībā 2:1, lai saņemtu </w:t>
      </w:r>
      <w:r>
        <w:rPr>
          <w:szCs w:val="22"/>
          <w:lang w:val="lv-LV"/>
        </w:rPr>
        <w:t>tocilizumaba</w:t>
      </w:r>
      <w:r w:rsidRPr="00E77D61" w:rsidDel="001D4271">
        <w:rPr>
          <w:szCs w:val="22"/>
          <w:lang w:val="lv-LV"/>
        </w:rPr>
        <w:t xml:space="preserve"> </w:t>
      </w:r>
      <w:r w:rsidRPr="00E77D61">
        <w:rPr>
          <w:szCs w:val="22"/>
          <w:lang w:val="lv-LV"/>
        </w:rPr>
        <w:t>162 mg subkutāni katru otro nedēļu vai placebo kombinācijā ar nebioloģisku DMARD.</w:t>
      </w:r>
    </w:p>
    <w:p w14:paraId="725AD14E" w14:textId="77777777" w:rsidR="00A453C3" w:rsidRPr="00E77D61" w:rsidRDefault="00A453C3" w:rsidP="00A453C3">
      <w:pPr>
        <w:ind w:right="-2"/>
        <w:rPr>
          <w:szCs w:val="22"/>
          <w:lang w:val="lv-LV"/>
        </w:rPr>
      </w:pPr>
    </w:p>
    <w:p w14:paraId="211CA123" w14:textId="58AFBB3D" w:rsidR="00A453C3" w:rsidRDefault="00A453C3" w:rsidP="00A453C3">
      <w:pPr>
        <w:ind w:right="-2"/>
        <w:rPr>
          <w:szCs w:val="22"/>
          <w:lang w:val="lv-LV"/>
        </w:rPr>
      </w:pPr>
      <w:r w:rsidRPr="00E77D61">
        <w:rPr>
          <w:szCs w:val="22"/>
          <w:lang w:val="lv-LV"/>
        </w:rPr>
        <w:t>SC</w:t>
      </w:r>
      <w:r w:rsidRPr="00E77D61">
        <w:rPr>
          <w:szCs w:val="22"/>
          <w:lang w:val="lv-LV"/>
        </w:rPr>
        <w:noBreakHyphen/>
        <w:t xml:space="preserve">II pētījumā locītavu strukturālā bojājuma nomākšanu izvērtēja radioloģiski, un izmaiņas, salīdzinot ar pētījuma sākumu, izteica kā </w:t>
      </w:r>
      <w:r w:rsidRPr="00E77D61">
        <w:rPr>
          <w:i/>
          <w:szCs w:val="22"/>
          <w:lang w:val="lv-LV"/>
        </w:rPr>
        <w:t>van der Heijde</w:t>
      </w:r>
      <w:r w:rsidRPr="00E77D61">
        <w:rPr>
          <w:szCs w:val="22"/>
          <w:lang w:val="lv-LV"/>
        </w:rPr>
        <w:t xml:space="preserve"> modificētās </w:t>
      </w:r>
      <w:r w:rsidRPr="00E77D61">
        <w:rPr>
          <w:i/>
          <w:szCs w:val="22"/>
          <w:lang w:val="lv-LV"/>
        </w:rPr>
        <w:t>Sharp</w:t>
      </w:r>
      <w:r w:rsidRPr="00E77D61">
        <w:rPr>
          <w:szCs w:val="22"/>
          <w:lang w:val="lv-LV"/>
        </w:rPr>
        <w:t xml:space="preserve"> skalas vidējo kopējo novērtējuma punktu skaitu (mTSS). Pētījuma 24. nedēļā bija pierādīts strukturālā bojājuma nomākums, un pacientiem, kuri </w:t>
      </w:r>
      <w:r>
        <w:rPr>
          <w:szCs w:val="22"/>
          <w:lang w:val="lv-LV"/>
        </w:rPr>
        <w:t xml:space="preserve">tocilizumabu </w:t>
      </w:r>
      <w:r w:rsidRPr="00E77D61">
        <w:rPr>
          <w:szCs w:val="22"/>
          <w:lang w:val="lv-LV"/>
        </w:rPr>
        <w:t>saņēma subkutāni, radioloģiska slimības progresēšana bija nozīmīgi mazāka nekā placebo grupā (vidējais mTSS attiecīgi 0,62 un 1,23, p=0,0149 (</w:t>
      </w:r>
      <w:r w:rsidRPr="00E77D61">
        <w:rPr>
          <w:i/>
          <w:szCs w:val="22"/>
          <w:lang w:val="lv-LV"/>
        </w:rPr>
        <w:t>van Elteren</w:t>
      </w:r>
      <w:r w:rsidRPr="00E77D61">
        <w:rPr>
          <w:szCs w:val="22"/>
          <w:lang w:val="lv-LV"/>
        </w:rPr>
        <w:t xml:space="preserve">)). Šie rezultāti atbilda rezultātiem, kādi iegūti pacientiem, kuri ārstēti ar </w:t>
      </w:r>
      <w:r>
        <w:rPr>
          <w:szCs w:val="22"/>
          <w:lang w:val="lv-LV"/>
        </w:rPr>
        <w:t xml:space="preserve">intravenozi lietojamu tocilizumabu. </w:t>
      </w:r>
    </w:p>
    <w:p w14:paraId="625E82AC" w14:textId="77777777" w:rsidR="00A453C3" w:rsidRDefault="00A453C3" w:rsidP="00A453C3">
      <w:pPr>
        <w:suppressAutoHyphens w:val="0"/>
        <w:rPr>
          <w:rFonts w:eastAsia="MS PGothic"/>
          <w:color w:val="000000"/>
          <w:szCs w:val="22"/>
          <w:lang w:val="lv-LV" w:eastAsia="ja-JP"/>
        </w:rPr>
      </w:pPr>
      <w:bookmarkStart w:id="562" w:name="_Hlk174611315"/>
    </w:p>
    <w:p w14:paraId="5EC7DAD9" w14:textId="45719FD3" w:rsidR="00A453C3" w:rsidRDefault="00A453C3" w:rsidP="00A453C3">
      <w:pPr>
        <w:suppressAutoHyphens w:val="0"/>
        <w:rPr>
          <w:szCs w:val="22"/>
          <w:lang w:val="lv-LV" w:eastAsia="lv-LV"/>
        </w:rPr>
      </w:pPr>
      <w:r>
        <w:rPr>
          <w:szCs w:val="22"/>
          <w:lang w:val="lv-LV" w:eastAsia="lv-LV"/>
        </w:rPr>
        <w:t xml:space="preserve">SC-II pētījuma 24. nedēļā pacientiem, kuri </w:t>
      </w:r>
      <w:r w:rsidRPr="007668E5">
        <w:rPr>
          <w:szCs w:val="22"/>
          <w:lang w:val="lv-LV" w:eastAsia="lv-LV"/>
        </w:rPr>
        <w:t>subkutāni katru otro nedēļu</w:t>
      </w:r>
      <w:r>
        <w:rPr>
          <w:szCs w:val="22"/>
          <w:lang w:val="lv-LV" w:eastAsia="lv-LV"/>
        </w:rPr>
        <w:t xml:space="preserve"> saņēma tocilizumabu, ACR 20 bija 60,9%, ACR 50 39,8% un ACR 70 19,7%, salīdzinot ar ACR 20 31,5%, ACR 50 12,3% un ACR 70 5,0% placebo lietošanas gadījumā. Pacientiem vidējais DAS28 sākotnēji bija 6,7 subkutānās terapijas grupā un 6,6 placebo grupā. 24. nedēļā novēroja nozīmīgu DAS28 samazināšanos, salīdzinot ar sākotnējo</w:t>
      </w:r>
      <w:del w:id="563" w:author="Author">
        <w:r w:rsidDel="00CE6B8D">
          <w:rPr>
            <w:szCs w:val="22"/>
            <w:lang w:val="lv-LV" w:eastAsia="lv-LV"/>
          </w:rPr>
          <w:delText xml:space="preserve"> </w:delText>
        </w:r>
      </w:del>
      <w:r>
        <w:rPr>
          <w:szCs w:val="22"/>
          <w:lang w:val="lv-LV" w:eastAsia="lv-LV"/>
        </w:rPr>
        <w:t xml:space="preserve"> – par 3,1 subkutānās terapijas grupā un par 1,7 placebo grupā, un DAS28 </w:t>
      </w:r>
      <w:r w:rsidRPr="007668E5">
        <w:rPr>
          <w:szCs w:val="22"/>
          <w:lang w:val="lv-LV" w:eastAsia="lv-LV"/>
        </w:rPr>
        <w:t>&lt;</w:t>
      </w:r>
      <w:r>
        <w:rPr>
          <w:szCs w:val="22"/>
          <w:lang w:val="lv-LV" w:eastAsia="lv-LV"/>
        </w:rPr>
        <w:t> </w:t>
      </w:r>
      <w:r w:rsidRPr="007668E5">
        <w:rPr>
          <w:szCs w:val="22"/>
          <w:lang w:val="lv-LV" w:eastAsia="lv-LV"/>
        </w:rPr>
        <w:t>2,6 novēroja</w:t>
      </w:r>
      <w:r>
        <w:rPr>
          <w:szCs w:val="22"/>
          <w:lang w:val="lv-LV" w:eastAsia="lv-LV"/>
        </w:rPr>
        <w:t xml:space="preserve"> 32,0% pacientu subkutānās terapijas grupā un 4,0% pacientu placebo grupā.</w:t>
      </w:r>
    </w:p>
    <w:bookmarkEnd w:id="562"/>
    <w:p w14:paraId="342392EC" w14:textId="77777777" w:rsidR="00A453C3" w:rsidRDefault="00A453C3" w:rsidP="00A453C3">
      <w:pPr>
        <w:ind w:right="-2"/>
        <w:rPr>
          <w:szCs w:val="22"/>
          <w:lang w:val="lv-LV"/>
        </w:rPr>
      </w:pPr>
    </w:p>
    <w:p w14:paraId="53C82447" w14:textId="77777777" w:rsidR="00A453C3" w:rsidRPr="00707120" w:rsidRDefault="00A453C3" w:rsidP="00707120">
      <w:pPr>
        <w:keepNext/>
        <w:ind w:right="-2"/>
        <w:rPr>
          <w:szCs w:val="22"/>
          <w:u w:val="single"/>
          <w:lang w:val="lv-LV"/>
        </w:rPr>
      </w:pPr>
      <w:r w:rsidRPr="00707120">
        <w:rPr>
          <w:i/>
          <w:szCs w:val="22"/>
          <w:u w:val="single"/>
          <w:lang w:val="lv-LV"/>
        </w:rPr>
        <w:t>Ar veselību un dzīves kvalitātes saistītie iznākumi</w:t>
      </w:r>
    </w:p>
    <w:p w14:paraId="402488A4" w14:textId="6FC08493" w:rsidR="00A453C3" w:rsidRDefault="00A453C3" w:rsidP="00A453C3">
      <w:pPr>
        <w:ind w:right="-2"/>
        <w:rPr>
          <w:szCs w:val="22"/>
          <w:lang w:val="lv-LV"/>
        </w:rPr>
      </w:pPr>
      <w:r>
        <w:rPr>
          <w:szCs w:val="22"/>
          <w:lang w:val="lv-LV"/>
        </w:rPr>
        <w:t>Pētījumā SC</w:t>
      </w:r>
      <w:r>
        <w:rPr>
          <w:szCs w:val="22"/>
          <w:lang w:val="lv-LV"/>
        </w:rPr>
        <w:noBreakHyphen/>
        <w:t xml:space="preserve">I </w:t>
      </w:r>
      <w:r w:rsidRPr="007668E5">
        <w:rPr>
          <w:szCs w:val="22"/>
          <w:lang w:val="lv-LV"/>
        </w:rPr>
        <w:t>vidējā HAQ</w:t>
      </w:r>
      <w:r w:rsidRPr="007668E5">
        <w:rPr>
          <w:szCs w:val="22"/>
          <w:lang w:val="lv-LV"/>
        </w:rPr>
        <w:noBreakHyphen/>
        <w:t>DI samazināšanās no sākotnējā stāvokļa līdz 24. nedēļai gan subkutāni lietotā, gan intravenozi lietotā tocilizumaba grupā bija 0,6. To pacientu procentuālais īpatsvars, kuriem 24. nedēļā bija panākta klīniski nozīmīga HAQ</w:t>
      </w:r>
      <w:r w:rsidRPr="007668E5">
        <w:rPr>
          <w:szCs w:val="22"/>
          <w:lang w:val="lv-LV"/>
        </w:rPr>
        <w:noBreakHyphen/>
        <w:t>DI uzlabošanās (izmaiņas no sākotnējā stāvokļa ≥ 0,3 vienības) subkutāni (62,5%) un intravenozi (67,4%) lietotā grupā bija līdzīgs, un svērtā procentuālā īpatsvara</w:t>
      </w:r>
      <w:r>
        <w:rPr>
          <w:szCs w:val="22"/>
          <w:lang w:val="lv-LV"/>
        </w:rPr>
        <w:t xml:space="preserve"> starpība bija </w:t>
      </w:r>
      <w:r>
        <w:rPr>
          <w:szCs w:val="22"/>
          <w:lang w:val="lv-LV"/>
        </w:rPr>
        <w:noBreakHyphen/>
        <w:t xml:space="preserve">2,3% (95% TI: </w:t>
      </w:r>
      <w:r>
        <w:rPr>
          <w:szCs w:val="22"/>
          <w:lang w:val="lv-LV"/>
        </w:rPr>
        <w:noBreakHyphen/>
        <w:t>8,1; 3,4). Vērtējot pēc SF</w:t>
      </w:r>
      <w:r>
        <w:rPr>
          <w:szCs w:val="22"/>
          <w:lang w:val="lv-LV"/>
        </w:rPr>
        <w:noBreakHyphen/>
        <w:t xml:space="preserve">36, psihiskā komponenta skalas vidējā starpība 24. nedēļā, salīdzinot ar pētījuma sākumu, bija 6,22 subkutāni lietotā tocilizumaba grupā un 6,54 intravenozi lietotā tocilizumaba grupā, un arī fiziskā komponenta skalas izmaiņas bija līdzīgas – 9,49 subkutāni lietotā tocilizumaba grupā un 9,65 intravenozi lietotā tocilizumaba grupā. </w:t>
      </w:r>
    </w:p>
    <w:p w14:paraId="549AD50B" w14:textId="77777777" w:rsidR="00A453C3" w:rsidRDefault="00A453C3" w:rsidP="00A453C3">
      <w:pPr>
        <w:suppressAutoHyphens w:val="0"/>
        <w:rPr>
          <w:rFonts w:eastAsia="MS PGothic"/>
          <w:color w:val="000000"/>
          <w:szCs w:val="22"/>
          <w:lang w:val="lv-LV" w:eastAsia="ja-JP"/>
        </w:rPr>
      </w:pPr>
    </w:p>
    <w:p w14:paraId="52EBDC30" w14:textId="31D3609A" w:rsidR="00A453C3" w:rsidRDefault="00A453C3" w:rsidP="002917DC">
      <w:pPr>
        <w:ind w:right="-2"/>
        <w:rPr>
          <w:szCs w:val="22"/>
          <w:lang w:val="lv-LV" w:eastAsia="lv-LV"/>
        </w:rPr>
      </w:pPr>
      <w:bookmarkStart w:id="564" w:name="_Hlk174611404"/>
      <w:r>
        <w:rPr>
          <w:szCs w:val="22"/>
          <w:lang w:val="lv-LV" w:eastAsia="lv-LV"/>
        </w:rPr>
        <w:t xml:space="preserve">SC-II pētījumā pacientiem, kuri </w:t>
      </w:r>
      <w:r w:rsidRPr="007668E5">
        <w:rPr>
          <w:szCs w:val="22"/>
          <w:lang w:val="lv-LV" w:eastAsia="lv-LV"/>
        </w:rPr>
        <w:t>subkutāni katru otro nedēļu</w:t>
      </w:r>
      <w:r>
        <w:rPr>
          <w:szCs w:val="22"/>
          <w:lang w:val="lv-LV" w:eastAsia="lv-LV"/>
        </w:rPr>
        <w:t xml:space="preserve"> saņēma tocilizumabu</w:t>
      </w:r>
      <w:r w:rsidRPr="007668E5">
        <w:rPr>
          <w:szCs w:val="22"/>
          <w:lang w:val="lv-LV" w:eastAsia="lv-LV"/>
        </w:rPr>
        <w:t>, vidējā HAQ-DI samazināšanās līdz 24.</w:t>
      </w:r>
      <w:r>
        <w:rPr>
          <w:szCs w:val="22"/>
          <w:lang w:val="lv-LV" w:eastAsia="lv-LV"/>
        </w:rPr>
        <w:t> </w:t>
      </w:r>
      <w:r w:rsidRPr="007668E5">
        <w:rPr>
          <w:szCs w:val="22"/>
          <w:lang w:val="lv-LV" w:eastAsia="lv-LV"/>
        </w:rPr>
        <w:t>nedēļai, salīdzinot ar sākotnējo stāvokli, bija nozīmīgi lielāka (0,4) nekā placebo grupā (0,3). Pacientu procentuālais īpatsvars, kuri sasniedza klīniski nozīmīgu HAQ-DI samazināšanos 24.</w:t>
      </w:r>
      <w:r>
        <w:rPr>
          <w:szCs w:val="22"/>
          <w:lang w:val="lv-LV" w:eastAsia="lv-LV"/>
        </w:rPr>
        <w:t> </w:t>
      </w:r>
      <w:r w:rsidRPr="007668E5">
        <w:rPr>
          <w:szCs w:val="22"/>
          <w:lang w:val="lv-LV" w:eastAsia="lv-LV"/>
        </w:rPr>
        <w:t>nedēļā (izmaiņas no sākotnējā stāvokļa ≥</w:t>
      </w:r>
      <w:r>
        <w:rPr>
          <w:szCs w:val="22"/>
          <w:lang w:val="lv-LV" w:eastAsia="lv-LV"/>
        </w:rPr>
        <w:t> </w:t>
      </w:r>
      <w:r w:rsidRPr="007668E5">
        <w:rPr>
          <w:szCs w:val="22"/>
          <w:lang w:val="lv-LV" w:eastAsia="lv-LV"/>
        </w:rPr>
        <w:t>0,3</w:t>
      </w:r>
      <w:r>
        <w:rPr>
          <w:szCs w:val="22"/>
          <w:lang w:val="lv-LV" w:eastAsia="lv-LV"/>
        </w:rPr>
        <w:t> </w:t>
      </w:r>
      <w:r w:rsidRPr="007668E5">
        <w:rPr>
          <w:szCs w:val="22"/>
          <w:lang w:val="lv-LV" w:eastAsia="lv-LV"/>
        </w:rPr>
        <w:t xml:space="preserve">vienībām), </w:t>
      </w:r>
      <w:r>
        <w:rPr>
          <w:szCs w:val="22"/>
          <w:lang w:val="lv-LV" w:eastAsia="lv-LV"/>
        </w:rPr>
        <w:t xml:space="preserve">subkutānās terapijas </w:t>
      </w:r>
      <w:r w:rsidRPr="007668E5">
        <w:rPr>
          <w:szCs w:val="22"/>
          <w:lang w:val="lv-LV" w:eastAsia="lv-LV"/>
        </w:rPr>
        <w:t xml:space="preserve">grupā, kurā </w:t>
      </w:r>
      <w:r w:rsidR="002917DC">
        <w:rPr>
          <w:szCs w:val="22"/>
          <w:lang w:val="lv-LV" w:eastAsia="lv-LV"/>
        </w:rPr>
        <w:t>zāles</w:t>
      </w:r>
      <w:r w:rsidR="002917DC" w:rsidRPr="007668E5">
        <w:rPr>
          <w:szCs w:val="22"/>
          <w:lang w:val="lv-LV" w:eastAsia="lv-LV"/>
        </w:rPr>
        <w:t xml:space="preserve"> </w:t>
      </w:r>
      <w:r w:rsidRPr="007668E5">
        <w:rPr>
          <w:szCs w:val="22"/>
          <w:lang w:val="lv-LV" w:eastAsia="lv-LV"/>
        </w:rPr>
        <w:t>ievadīja katru otro nedēļu (58%)</w:t>
      </w:r>
      <w:r w:rsidR="002917DC">
        <w:rPr>
          <w:szCs w:val="22"/>
          <w:lang w:val="lv-LV" w:eastAsia="lv-LV"/>
        </w:rPr>
        <w:t>,</w:t>
      </w:r>
      <w:r w:rsidRPr="007668E5">
        <w:rPr>
          <w:szCs w:val="22"/>
          <w:lang w:val="lv-LV" w:eastAsia="lv-LV"/>
        </w:rPr>
        <w:t xml:space="preserve"> bija lielāks nekā placebo grupā (46,8%). SF-36 (garīgo un fizisko komponenšu punktu skaita vidējās izmaiņas) bija nozīmīgi lielākas grupā, kurā </w:t>
      </w:r>
      <w:r>
        <w:rPr>
          <w:szCs w:val="22"/>
          <w:lang w:val="lv-LV" w:eastAsia="lv-LV"/>
        </w:rPr>
        <w:t>tocilizumabu</w:t>
      </w:r>
      <w:r w:rsidRPr="007668E5">
        <w:rPr>
          <w:szCs w:val="22"/>
          <w:lang w:val="lv-LV" w:eastAsia="lv-LV"/>
        </w:rPr>
        <w:t xml:space="preserve"> ievadīja subkutāni (6,5 un 5,3)</w:t>
      </w:r>
      <w:r>
        <w:rPr>
          <w:szCs w:val="22"/>
          <w:lang w:val="lv-LV" w:eastAsia="lv-LV"/>
        </w:rPr>
        <w:t>,</w:t>
      </w:r>
      <w:r w:rsidRPr="007668E5">
        <w:rPr>
          <w:szCs w:val="22"/>
          <w:lang w:val="lv-LV" w:eastAsia="lv-LV"/>
        </w:rPr>
        <w:t xml:space="preserve"> salīdzinot ar placebo </w:t>
      </w:r>
      <w:r>
        <w:rPr>
          <w:szCs w:val="22"/>
          <w:lang w:val="lv-LV" w:eastAsia="lv-LV"/>
        </w:rPr>
        <w:t>(3,8 un 2,9).</w:t>
      </w:r>
    </w:p>
    <w:bookmarkEnd w:id="564"/>
    <w:p w14:paraId="3D6B0B6F" w14:textId="77777777" w:rsidR="00A453C3" w:rsidRDefault="00A453C3" w:rsidP="00A453C3">
      <w:pPr>
        <w:ind w:right="-2"/>
        <w:rPr>
          <w:szCs w:val="22"/>
          <w:lang w:val="lv-LV"/>
        </w:rPr>
      </w:pPr>
    </w:p>
    <w:p w14:paraId="4EA26DAD" w14:textId="34278613" w:rsidR="00A453C3" w:rsidRDefault="00752B46">
      <w:pPr>
        <w:keepNext/>
        <w:rPr>
          <w:ins w:id="565" w:author="Author"/>
          <w:bCs/>
          <w:u w:val="single"/>
          <w:lang w:val="lv-LV"/>
        </w:rPr>
        <w:pPrChange w:id="566" w:author="Author">
          <w:pPr/>
        </w:pPrChange>
      </w:pPr>
      <w:ins w:id="567" w:author="Author">
        <w:r>
          <w:rPr>
            <w:bCs/>
            <w:u w:val="single"/>
            <w:lang w:val="lv-LV"/>
          </w:rPr>
          <w:t>S</w:t>
        </w:r>
      </w:ins>
      <w:del w:id="568" w:author="Author">
        <w:r w:rsidR="00A453C3" w:rsidRPr="00707120" w:rsidDel="00752B46">
          <w:rPr>
            <w:bCs/>
            <w:u w:val="single"/>
            <w:lang w:val="lv-LV"/>
          </w:rPr>
          <w:delText>sJIA</w:delText>
        </w:r>
        <w:r w:rsidR="00A453C3" w:rsidRPr="000E5007" w:rsidDel="00752B46">
          <w:rPr>
            <w:b/>
            <w:u w:val="single"/>
            <w:lang w:val="lv-LV"/>
          </w:rPr>
          <w:delText xml:space="preserve"> </w:delText>
        </w:r>
        <w:r w:rsidR="00A453C3" w:rsidRPr="00707120" w:rsidDel="00752B46">
          <w:rPr>
            <w:bCs/>
            <w:u w:val="single"/>
            <w:lang w:val="lv-LV"/>
          </w:rPr>
          <w:delText>(s</w:delText>
        </w:r>
      </w:del>
      <w:r w:rsidR="00A453C3" w:rsidRPr="00707120">
        <w:rPr>
          <w:bCs/>
          <w:u w:val="single"/>
          <w:lang w:val="lv-LV"/>
        </w:rPr>
        <w:t>ubkutāna lietošana</w:t>
      </w:r>
      <w:del w:id="569" w:author="Author">
        <w:r w:rsidR="00A453C3" w:rsidRPr="00707120" w:rsidDel="00752B46">
          <w:rPr>
            <w:bCs/>
            <w:u w:val="single"/>
            <w:lang w:val="lv-LV"/>
          </w:rPr>
          <w:delText>)</w:delText>
        </w:r>
      </w:del>
    </w:p>
    <w:p w14:paraId="6B4F6190" w14:textId="7B35AE23" w:rsidR="00752B46" w:rsidRPr="00F82186" w:rsidRDefault="00C158A6">
      <w:pPr>
        <w:keepNext/>
        <w:rPr>
          <w:bCs/>
          <w:i/>
          <w:lang w:val="lv-LV"/>
          <w:rPrChange w:id="570" w:author="Author">
            <w:rPr>
              <w:bCs/>
              <w:u w:val="single"/>
              <w:lang w:val="lv-LV"/>
            </w:rPr>
          </w:rPrChange>
        </w:rPr>
        <w:pPrChange w:id="571" w:author="Author">
          <w:pPr/>
        </w:pPrChange>
      </w:pPr>
      <w:ins w:id="572" w:author="Author">
        <w:r w:rsidRPr="00F82186">
          <w:rPr>
            <w:i/>
            <w:rPrChange w:id="573" w:author="Author">
              <w:rPr/>
            </w:rPrChange>
          </w:rPr>
          <w:t xml:space="preserve">Pacienti ar </w:t>
        </w:r>
        <w:r w:rsidR="00752B46" w:rsidRPr="00F82186">
          <w:rPr>
            <w:i/>
            <w:rPrChange w:id="574" w:author="Author">
              <w:rPr/>
            </w:rPrChange>
          </w:rPr>
          <w:t>sJIA</w:t>
        </w:r>
      </w:ins>
    </w:p>
    <w:p w14:paraId="4B2CF92D" w14:textId="77777777" w:rsidR="005066A1" w:rsidRDefault="005066A1" w:rsidP="00707120">
      <w:pPr>
        <w:keepNext/>
        <w:rPr>
          <w:ins w:id="575" w:author="Author"/>
          <w:i/>
          <w:iCs/>
          <w:lang w:val="lv-LV"/>
        </w:rPr>
      </w:pPr>
    </w:p>
    <w:p w14:paraId="48566335" w14:textId="6A43EECC" w:rsidR="00A453C3" w:rsidRPr="00F82186" w:rsidRDefault="00A453C3" w:rsidP="00707120">
      <w:pPr>
        <w:keepNext/>
        <w:rPr>
          <w:i/>
          <w:iCs/>
          <w:u w:val="single"/>
          <w:lang w:val="lv-LV"/>
          <w:rPrChange w:id="576" w:author="Author">
            <w:rPr>
              <w:i/>
              <w:iCs/>
              <w:lang w:val="lv-LV"/>
            </w:rPr>
          </w:rPrChange>
        </w:rPr>
      </w:pPr>
      <w:r w:rsidRPr="00F82186">
        <w:rPr>
          <w:i/>
          <w:iCs/>
          <w:u w:val="single"/>
          <w:lang w:val="lv-LV"/>
          <w:rPrChange w:id="577" w:author="Author">
            <w:rPr>
              <w:i/>
              <w:iCs/>
              <w:lang w:val="lv-LV"/>
            </w:rPr>
          </w:rPrChange>
        </w:rPr>
        <w:t>Klīniskā efektivitāte</w:t>
      </w:r>
    </w:p>
    <w:p w14:paraId="3528CE88" w14:textId="3A987F62" w:rsidR="00A453C3" w:rsidDel="008E07B2" w:rsidRDefault="00A453C3" w:rsidP="00A453C3">
      <w:pPr>
        <w:rPr>
          <w:del w:id="578" w:author="Author"/>
          <w:lang w:val="lv-LV"/>
        </w:rPr>
      </w:pPr>
    </w:p>
    <w:p w14:paraId="79880EEB" w14:textId="5B5BC108" w:rsidR="00A453C3" w:rsidRPr="007668E5" w:rsidRDefault="00A453C3" w:rsidP="00A453C3">
      <w:pPr>
        <w:rPr>
          <w:lang w:val="lv-LV"/>
        </w:rPr>
      </w:pPr>
      <w:bookmarkStart w:id="579" w:name="_Hlk174611688"/>
      <w:r w:rsidRPr="007668E5">
        <w:rPr>
          <w:lang w:val="lv-LV"/>
        </w:rPr>
        <w:t>52</w:t>
      </w:r>
      <w:r>
        <w:rPr>
          <w:lang w:val="lv-LV"/>
        </w:rPr>
        <w:t> </w:t>
      </w:r>
      <w:r w:rsidRPr="007668E5">
        <w:rPr>
          <w:lang w:val="lv-LV"/>
        </w:rPr>
        <w:t>nedēļas ilgs, atklāts, daudzcentru FK/FD un drošuma pētījums (WA28118) tika veikts pediatriskiem pacientiem vecumā no 1</w:t>
      </w:r>
      <w:r>
        <w:rPr>
          <w:lang w:val="lv-LV"/>
        </w:rPr>
        <w:t> </w:t>
      </w:r>
      <w:r w:rsidRPr="007668E5">
        <w:rPr>
          <w:lang w:val="lv-LV"/>
        </w:rPr>
        <w:t xml:space="preserve">līdz 17 gadiem ar sJIA, lai noteiktu atbilstošu </w:t>
      </w:r>
      <w:r>
        <w:rPr>
          <w:lang w:val="lv-LV"/>
        </w:rPr>
        <w:t>subkutānu tocilizumaba</w:t>
      </w:r>
      <w:r w:rsidRPr="007668E5">
        <w:rPr>
          <w:lang w:val="lv-LV"/>
        </w:rPr>
        <w:t xml:space="preserve"> devu, kas nodrošinātu ar </w:t>
      </w:r>
      <w:r>
        <w:rPr>
          <w:lang w:val="lv-LV"/>
        </w:rPr>
        <w:t>intravenozās lietošanas</w:t>
      </w:r>
      <w:r w:rsidRPr="007668E5">
        <w:rPr>
          <w:lang w:val="lv-LV"/>
        </w:rPr>
        <w:t xml:space="preserve"> shēmu salīdzināmus FK/FD un drošuma rādītājus. </w:t>
      </w:r>
    </w:p>
    <w:p w14:paraId="73B15391" w14:textId="77777777" w:rsidR="00A453C3" w:rsidRPr="007668E5" w:rsidRDefault="00A453C3" w:rsidP="00A453C3">
      <w:pPr>
        <w:rPr>
          <w:lang w:val="lv-LV"/>
        </w:rPr>
      </w:pPr>
    </w:p>
    <w:p w14:paraId="74DFC7CD" w14:textId="4F165216" w:rsidR="00A453C3" w:rsidRPr="002607ED" w:rsidRDefault="00A453C3" w:rsidP="00A453C3">
      <w:pPr>
        <w:rPr>
          <w:lang w:val="lv-LV"/>
        </w:rPr>
      </w:pPr>
      <w:r w:rsidRPr="007668E5">
        <w:rPr>
          <w:lang w:val="lv-LV"/>
        </w:rPr>
        <w:t xml:space="preserve">Pētījumam piemērotie </w:t>
      </w:r>
      <w:r w:rsidRPr="002607ED">
        <w:rPr>
          <w:lang w:val="lv-LV"/>
        </w:rPr>
        <w:t xml:space="preserve">pacienti saņēma </w:t>
      </w:r>
      <w:r>
        <w:rPr>
          <w:lang w:val="lv-LV"/>
        </w:rPr>
        <w:t>tocilizumabu</w:t>
      </w:r>
      <w:r w:rsidRPr="002607ED">
        <w:rPr>
          <w:lang w:val="lv-LV"/>
        </w:rPr>
        <w:t xml:space="preserve"> atbilstoši ķermeņa masai; pacienti, kuru ķermeņa masa bija ≥</w:t>
      </w:r>
      <w:r>
        <w:rPr>
          <w:lang w:val="lv-LV"/>
        </w:rPr>
        <w:t> </w:t>
      </w:r>
      <w:r w:rsidRPr="002607ED">
        <w:rPr>
          <w:lang w:val="lv-LV"/>
        </w:rPr>
        <w:t>30</w:t>
      </w:r>
      <w:r>
        <w:rPr>
          <w:lang w:val="lv-LV"/>
        </w:rPr>
        <w:t> </w:t>
      </w:r>
      <w:r w:rsidRPr="002607ED">
        <w:rPr>
          <w:lang w:val="lv-LV"/>
        </w:rPr>
        <w:t xml:space="preserve">kg (n=26), saņēma </w:t>
      </w:r>
      <w:r>
        <w:rPr>
          <w:lang w:val="lv-LV"/>
        </w:rPr>
        <w:t xml:space="preserve">tocilizumaba </w:t>
      </w:r>
      <w:r w:rsidRPr="002607ED">
        <w:rPr>
          <w:lang w:val="lv-LV"/>
        </w:rPr>
        <w:t>162</w:t>
      </w:r>
      <w:r>
        <w:rPr>
          <w:lang w:val="lv-LV"/>
        </w:rPr>
        <w:t> </w:t>
      </w:r>
      <w:r w:rsidRPr="002607ED">
        <w:rPr>
          <w:lang w:val="lv-LV"/>
        </w:rPr>
        <w:t xml:space="preserve">mg </w:t>
      </w:r>
      <w:r>
        <w:rPr>
          <w:lang w:val="lv-LV"/>
        </w:rPr>
        <w:t>devu</w:t>
      </w:r>
      <w:r w:rsidRPr="002607ED">
        <w:rPr>
          <w:lang w:val="lv-LV"/>
        </w:rPr>
        <w:t xml:space="preserve"> katru nedēļu (QW), bet pacienti, kuru ķermeņa masa bija mazāka par 30</w:t>
      </w:r>
      <w:r>
        <w:rPr>
          <w:lang w:val="lv-LV"/>
        </w:rPr>
        <w:t> </w:t>
      </w:r>
      <w:r w:rsidRPr="002607ED">
        <w:rPr>
          <w:lang w:val="lv-LV"/>
        </w:rPr>
        <w:t xml:space="preserve">kg (n=25), saņēma </w:t>
      </w:r>
      <w:r>
        <w:rPr>
          <w:lang w:val="lv-LV"/>
        </w:rPr>
        <w:t xml:space="preserve">tocilizumaba </w:t>
      </w:r>
      <w:r w:rsidRPr="002607ED">
        <w:rPr>
          <w:lang w:val="lv-LV"/>
        </w:rPr>
        <w:t>162</w:t>
      </w:r>
      <w:r>
        <w:rPr>
          <w:lang w:val="lv-LV"/>
        </w:rPr>
        <w:t> </w:t>
      </w:r>
      <w:r w:rsidRPr="002607ED">
        <w:rPr>
          <w:lang w:val="lv-LV"/>
        </w:rPr>
        <w:t xml:space="preserve">mg </w:t>
      </w:r>
      <w:r>
        <w:rPr>
          <w:lang w:val="lv-LV"/>
        </w:rPr>
        <w:t>devu</w:t>
      </w:r>
      <w:r w:rsidRPr="002607ED">
        <w:rPr>
          <w:lang w:val="lv-LV"/>
        </w:rPr>
        <w:t xml:space="preserve"> ik pēc 10</w:t>
      </w:r>
      <w:r>
        <w:rPr>
          <w:lang w:val="lv-LV"/>
        </w:rPr>
        <w:t> </w:t>
      </w:r>
      <w:r w:rsidRPr="002607ED">
        <w:rPr>
          <w:lang w:val="lv-LV"/>
        </w:rPr>
        <w:t>dienām (Q10D; n=8) vai ik pēc 2</w:t>
      </w:r>
      <w:r>
        <w:rPr>
          <w:lang w:val="lv-LV"/>
        </w:rPr>
        <w:t> </w:t>
      </w:r>
      <w:r w:rsidRPr="002607ED">
        <w:rPr>
          <w:lang w:val="lv-LV"/>
        </w:rPr>
        <w:t>nedēļām (Q2W; n=17) 52</w:t>
      </w:r>
      <w:r>
        <w:rPr>
          <w:lang w:val="lv-LV"/>
        </w:rPr>
        <w:t> </w:t>
      </w:r>
      <w:r w:rsidRPr="002607ED">
        <w:rPr>
          <w:lang w:val="lv-LV"/>
        </w:rPr>
        <w:t>nedēļ</w:t>
      </w:r>
      <w:r>
        <w:rPr>
          <w:lang w:val="lv-LV"/>
        </w:rPr>
        <w:t>as</w:t>
      </w:r>
      <w:r w:rsidRPr="002607ED">
        <w:rPr>
          <w:lang w:val="lv-LV"/>
        </w:rPr>
        <w:t>. No šī 51</w:t>
      </w:r>
      <w:r>
        <w:rPr>
          <w:lang w:val="lv-LV"/>
        </w:rPr>
        <w:t> </w:t>
      </w:r>
      <w:r w:rsidRPr="002607ED">
        <w:rPr>
          <w:lang w:val="lv-LV"/>
        </w:rPr>
        <w:t xml:space="preserve">pacienta 26 (51%) iepriekš nebija saņēmuši </w:t>
      </w:r>
      <w:r>
        <w:rPr>
          <w:lang w:val="lv-LV"/>
        </w:rPr>
        <w:t>tocilizumabu</w:t>
      </w:r>
      <w:r w:rsidRPr="002607ED">
        <w:rPr>
          <w:lang w:val="lv-LV"/>
        </w:rPr>
        <w:t xml:space="preserve">, bet 25 (49%) </w:t>
      </w:r>
      <w:r>
        <w:rPr>
          <w:lang w:val="lv-LV"/>
        </w:rPr>
        <w:t xml:space="preserve">tocilizumabu </w:t>
      </w:r>
      <w:r w:rsidRPr="002607ED">
        <w:rPr>
          <w:lang w:val="lv-LV"/>
        </w:rPr>
        <w:t xml:space="preserve">bija saņēmuši </w:t>
      </w:r>
      <w:r>
        <w:rPr>
          <w:lang w:val="lv-LV"/>
        </w:rPr>
        <w:t>intravenozi</w:t>
      </w:r>
      <w:r w:rsidRPr="002607ED">
        <w:rPr>
          <w:lang w:val="lv-LV"/>
        </w:rPr>
        <w:t xml:space="preserve"> un, sākoties pētījumam, </w:t>
      </w:r>
      <w:r>
        <w:rPr>
          <w:lang w:val="lv-LV"/>
        </w:rPr>
        <w:t xml:space="preserve">tocilizumabu </w:t>
      </w:r>
      <w:r w:rsidRPr="002607ED">
        <w:rPr>
          <w:lang w:val="lv-LV"/>
        </w:rPr>
        <w:t xml:space="preserve">sāka saņemt </w:t>
      </w:r>
      <w:r>
        <w:rPr>
          <w:lang w:val="lv-LV"/>
        </w:rPr>
        <w:t>subkutāni</w:t>
      </w:r>
      <w:r w:rsidRPr="002607ED">
        <w:rPr>
          <w:lang w:val="lv-LV"/>
        </w:rPr>
        <w:t>.</w:t>
      </w:r>
    </w:p>
    <w:p w14:paraId="4800F37E" w14:textId="77777777" w:rsidR="00A453C3" w:rsidRPr="002607ED" w:rsidRDefault="00A453C3" w:rsidP="00A453C3">
      <w:pPr>
        <w:rPr>
          <w:lang w:val="lv-LV"/>
        </w:rPr>
      </w:pPr>
    </w:p>
    <w:p w14:paraId="6789F187" w14:textId="4A1175D6" w:rsidR="00A453C3" w:rsidRPr="002607ED" w:rsidRDefault="00A453C3" w:rsidP="00A453C3">
      <w:pPr>
        <w:rPr>
          <w:lang w:val="lv-LV"/>
        </w:rPr>
      </w:pPr>
      <w:r w:rsidRPr="002607ED">
        <w:rPr>
          <w:lang w:val="lv-LV"/>
        </w:rPr>
        <w:t xml:space="preserve">Pētnieciskie </w:t>
      </w:r>
      <w:r w:rsidRPr="007668E5">
        <w:rPr>
          <w:lang w:val="lv-LV"/>
        </w:rPr>
        <w:t xml:space="preserve">efektivitātes rezultāti liecināja, ka </w:t>
      </w:r>
      <w:r>
        <w:rPr>
          <w:lang w:val="lv-LV"/>
        </w:rPr>
        <w:t>subkutāni lietojamais tocilizumabs</w:t>
      </w:r>
      <w:r w:rsidRPr="007668E5">
        <w:rPr>
          <w:lang w:val="lv-LV"/>
        </w:rPr>
        <w:t xml:space="preserve"> uzlaboja visus pētnieciskos efektivitātes rādītājus, tajā skaitā Juvenil</w:t>
      </w:r>
      <w:r>
        <w:rPr>
          <w:lang w:val="lv-LV"/>
        </w:rPr>
        <w:t>ā</w:t>
      </w:r>
      <w:r w:rsidRPr="007668E5">
        <w:rPr>
          <w:lang w:val="lv-LV"/>
        </w:rPr>
        <w:t xml:space="preserve"> artrīta slimības aktivitātes indeksa (</w:t>
      </w:r>
      <w:r w:rsidRPr="007668E5">
        <w:rPr>
          <w:i/>
          <w:lang w:val="lv-LV"/>
        </w:rPr>
        <w:t>Juvenile Arthritis Disease Activity Score</w:t>
      </w:r>
      <w:r w:rsidRPr="007668E5">
        <w:rPr>
          <w:lang w:val="lv-LV"/>
        </w:rPr>
        <w:t>, JADAS)</w:t>
      </w:r>
      <w:r>
        <w:rPr>
          <w:lang w:val="lv-LV"/>
        </w:rPr>
        <w:noBreakHyphen/>
      </w:r>
      <w:r w:rsidRPr="007668E5">
        <w:rPr>
          <w:lang w:val="lv-LV"/>
        </w:rPr>
        <w:t xml:space="preserve">71 rādītāju, iepriekš ar </w:t>
      </w:r>
      <w:r>
        <w:rPr>
          <w:lang w:val="lv-LV"/>
        </w:rPr>
        <w:t>tocilizumabu</w:t>
      </w:r>
      <w:r w:rsidRPr="007668E5">
        <w:rPr>
          <w:lang w:val="lv-LV"/>
        </w:rPr>
        <w:t xml:space="preserve"> neārstētiem pacientiem un visā pētījuma laikā saglabāja visus pētnieciskos efektivitātes rādītājus</w:t>
      </w:r>
      <w:r w:rsidRPr="002607ED">
        <w:rPr>
          <w:lang w:val="lv-LV"/>
        </w:rPr>
        <w:t xml:space="preserve"> pacientiem, kuriem </w:t>
      </w:r>
      <w:r>
        <w:rPr>
          <w:lang w:val="lv-LV"/>
        </w:rPr>
        <w:t xml:space="preserve">intravenoza tocilizumaba </w:t>
      </w:r>
      <w:r w:rsidRPr="002607ED">
        <w:rPr>
          <w:lang w:val="lv-LV"/>
        </w:rPr>
        <w:t xml:space="preserve">terapija tika mainīta uz </w:t>
      </w:r>
      <w:r>
        <w:rPr>
          <w:lang w:val="lv-LV"/>
        </w:rPr>
        <w:t>subkutānu tocilizumaba</w:t>
      </w:r>
      <w:r w:rsidRPr="002607ED">
        <w:rPr>
          <w:lang w:val="lv-LV"/>
        </w:rPr>
        <w:t xml:space="preserve"> terapiju, abās ķermeņa masas grupās (zem 30</w:t>
      </w:r>
      <w:r>
        <w:rPr>
          <w:lang w:val="lv-LV"/>
        </w:rPr>
        <w:t> </w:t>
      </w:r>
      <w:r w:rsidRPr="002607ED">
        <w:rPr>
          <w:lang w:val="lv-LV"/>
        </w:rPr>
        <w:t>kg un ≥</w:t>
      </w:r>
      <w:r>
        <w:rPr>
          <w:lang w:val="lv-LV"/>
        </w:rPr>
        <w:t> </w:t>
      </w:r>
      <w:r w:rsidRPr="002607ED">
        <w:rPr>
          <w:lang w:val="lv-LV"/>
        </w:rPr>
        <w:t>30</w:t>
      </w:r>
      <w:r>
        <w:rPr>
          <w:lang w:val="lv-LV"/>
        </w:rPr>
        <w:t> </w:t>
      </w:r>
      <w:r w:rsidRPr="002607ED">
        <w:rPr>
          <w:lang w:val="lv-LV"/>
        </w:rPr>
        <w:t>kg).</w:t>
      </w:r>
    </w:p>
    <w:bookmarkEnd w:id="579"/>
    <w:p w14:paraId="3203B032" w14:textId="77777777" w:rsidR="00A453C3" w:rsidRPr="002607ED" w:rsidRDefault="00A453C3" w:rsidP="00A453C3">
      <w:pPr>
        <w:rPr>
          <w:lang w:val="lv-LV"/>
        </w:rPr>
      </w:pPr>
    </w:p>
    <w:p w14:paraId="528B3412" w14:textId="1FF3E925" w:rsidR="00A453C3" w:rsidRDefault="00575D91" w:rsidP="00A453C3">
      <w:pPr>
        <w:keepNext/>
        <w:keepLines/>
        <w:rPr>
          <w:ins w:id="580" w:author="Author"/>
          <w:bCs/>
          <w:u w:val="single"/>
          <w:lang w:val="lv-LV"/>
        </w:rPr>
      </w:pPr>
      <w:ins w:id="581" w:author="Author">
        <w:r>
          <w:rPr>
            <w:bCs/>
            <w:u w:val="single"/>
            <w:lang w:val="lv-LV"/>
          </w:rPr>
          <w:t>S</w:t>
        </w:r>
      </w:ins>
      <w:del w:id="582" w:author="Author">
        <w:r w:rsidR="00A453C3" w:rsidRPr="00707120" w:rsidDel="00575D91">
          <w:rPr>
            <w:bCs/>
            <w:u w:val="single"/>
            <w:lang w:val="lv-LV"/>
          </w:rPr>
          <w:delText>pJIA (s</w:delText>
        </w:r>
      </w:del>
      <w:r w:rsidR="00A453C3" w:rsidRPr="00707120">
        <w:rPr>
          <w:bCs/>
          <w:u w:val="single"/>
          <w:lang w:val="lv-LV"/>
        </w:rPr>
        <w:t>ubkutāna lietošana</w:t>
      </w:r>
      <w:del w:id="583" w:author="Author">
        <w:r w:rsidR="00A453C3" w:rsidRPr="00707120" w:rsidDel="00575D91">
          <w:rPr>
            <w:bCs/>
            <w:u w:val="single"/>
            <w:lang w:val="lv-LV"/>
          </w:rPr>
          <w:delText>)</w:delText>
        </w:r>
      </w:del>
    </w:p>
    <w:p w14:paraId="6B43ECD5" w14:textId="273CB303" w:rsidR="00575D91" w:rsidRPr="00F82186" w:rsidRDefault="00575D91" w:rsidP="00A453C3">
      <w:pPr>
        <w:keepNext/>
        <w:keepLines/>
        <w:rPr>
          <w:bCs/>
          <w:i/>
          <w:u w:val="single"/>
          <w:lang w:val="lv-LV"/>
          <w:rPrChange w:id="584" w:author="Author">
            <w:rPr>
              <w:bCs/>
              <w:u w:val="single"/>
              <w:lang w:val="lv-LV"/>
            </w:rPr>
          </w:rPrChange>
        </w:rPr>
      </w:pPr>
      <w:ins w:id="585" w:author="Author">
        <w:r w:rsidRPr="00F82186">
          <w:rPr>
            <w:i/>
            <w:rPrChange w:id="586" w:author="Author">
              <w:rPr/>
            </w:rPrChange>
          </w:rPr>
          <w:t>Pacienti ar pJIA</w:t>
        </w:r>
      </w:ins>
    </w:p>
    <w:p w14:paraId="3A9891A7" w14:textId="77777777" w:rsidR="005066A1" w:rsidRDefault="005066A1" w:rsidP="00A453C3">
      <w:pPr>
        <w:keepNext/>
        <w:keepLines/>
        <w:rPr>
          <w:ins w:id="587" w:author="Author"/>
          <w:bCs/>
          <w:i/>
          <w:iCs/>
          <w:lang w:val="lv-LV"/>
        </w:rPr>
      </w:pPr>
    </w:p>
    <w:p w14:paraId="41598270" w14:textId="40D15AE3" w:rsidR="00A453C3" w:rsidRPr="00F82186" w:rsidRDefault="00A453C3" w:rsidP="00A453C3">
      <w:pPr>
        <w:keepNext/>
        <w:keepLines/>
        <w:rPr>
          <w:bCs/>
          <w:i/>
          <w:iCs/>
          <w:u w:val="single"/>
          <w:lang w:val="lv-LV"/>
          <w:rPrChange w:id="588" w:author="Author">
            <w:rPr>
              <w:bCs/>
              <w:i/>
              <w:iCs/>
              <w:lang w:val="lv-LV"/>
            </w:rPr>
          </w:rPrChange>
        </w:rPr>
      </w:pPr>
      <w:r w:rsidRPr="00F82186">
        <w:rPr>
          <w:bCs/>
          <w:i/>
          <w:iCs/>
          <w:u w:val="single"/>
          <w:lang w:val="lv-LV"/>
          <w:rPrChange w:id="589" w:author="Author">
            <w:rPr>
              <w:bCs/>
              <w:i/>
              <w:iCs/>
              <w:lang w:val="lv-LV"/>
            </w:rPr>
          </w:rPrChange>
        </w:rPr>
        <w:t>Klīniskā efektivitāte</w:t>
      </w:r>
    </w:p>
    <w:p w14:paraId="21EDCBBF" w14:textId="5096EAC7" w:rsidR="00A453C3" w:rsidDel="00C47E5B" w:rsidRDefault="00A453C3" w:rsidP="00A453C3">
      <w:pPr>
        <w:keepNext/>
        <w:keepLines/>
        <w:rPr>
          <w:del w:id="590" w:author="Author"/>
          <w:lang w:val="lv-LV"/>
        </w:rPr>
      </w:pPr>
    </w:p>
    <w:p w14:paraId="3AAE15AF" w14:textId="02EA9DAF" w:rsidR="00A453C3" w:rsidRPr="007668E5" w:rsidRDefault="00A453C3" w:rsidP="00A453C3">
      <w:pPr>
        <w:keepNext/>
        <w:keepLines/>
        <w:rPr>
          <w:lang w:val="lv-LV"/>
        </w:rPr>
      </w:pPr>
      <w:bookmarkStart w:id="591" w:name="_Hlk174611791"/>
      <w:r w:rsidRPr="007668E5">
        <w:rPr>
          <w:lang w:val="lv-LV"/>
        </w:rPr>
        <w:t>52</w:t>
      </w:r>
      <w:r>
        <w:rPr>
          <w:lang w:val="lv-LV"/>
        </w:rPr>
        <w:t> </w:t>
      </w:r>
      <w:r w:rsidRPr="007668E5">
        <w:rPr>
          <w:lang w:val="lv-LV"/>
        </w:rPr>
        <w:t>nedēļas ilgs, atklāts, daudzcentru FK/FD un drošuma pētījums tika veikts pediatriskiem pacientiem vecumā no 1</w:t>
      </w:r>
      <w:r>
        <w:rPr>
          <w:lang w:val="lv-LV"/>
        </w:rPr>
        <w:t> </w:t>
      </w:r>
      <w:r w:rsidRPr="007668E5">
        <w:rPr>
          <w:lang w:val="lv-LV"/>
        </w:rPr>
        <w:t xml:space="preserve">līdz 17 gadiem ar pJIA, lai noteiktu atbilstošu subkutānu </w:t>
      </w:r>
      <w:r>
        <w:rPr>
          <w:lang w:val="lv-LV"/>
        </w:rPr>
        <w:t>tocilizumaba</w:t>
      </w:r>
      <w:r w:rsidRPr="007668E5">
        <w:rPr>
          <w:lang w:val="lv-LV"/>
        </w:rPr>
        <w:t xml:space="preserve"> devu, kas nodrošinātu ar </w:t>
      </w:r>
      <w:r>
        <w:rPr>
          <w:lang w:val="lv-LV"/>
        </w:rPr>
        <w:t>intravenozas lietošanas</w:t>
      </w:r>
      <w:r w:rsidRPr="007668E5">
        <w:rPr>
          <w:lang w:val="lv-LV"/>
        </w:rPr>
        <w:t xml:space="preserve"> shēmu salīdzināmus FK/FD un drošuma rādītājus.</w:t>
      </w:r>
    </w:p>
    <w:p w14:paraId="4382B65D" w14:textId="77777777" w:rsidR="00A453C3" w:rsidRPr="007668E5" w:rsidRDefault="00A453C3" w:rsidP="00A453C3">
      <w:pPr>
        <w:rPr>
          <w:lang w:val="lv-LV"/>
        </w:rPr>
      </w:pPr>
    </w:p>
    <w:p w14:paraId="089AD4D2" w14:textId="762DC636" w:rsidR="00A453C3" w:rsidRPr="009C5994" w:rsidRDefault="00A453C3" w:rsidP="00A453C3">
      <w:pPr>
        <w:rPr>
          <w:lang w:val="lv-LV"/>
        </w:rPr>
      </w:pPr>
      <w:r w:rsidRPr="007668E5">
        <w:rPr>
          <w:lang w:val="lv-LV"/>
        </w:rPr>
        <w:t xml:space="preserve">Pētījumam piemērotie </w:t>
      </w:r>
      <w:r w:rsidRPr="002607ED">
        <w:rPr>
          <w:lang w:val="lv-LV"/>
        </w:rPr>
        <w:t>pacienti saņēma tocilizum</w:t>
      </w:r>
      <w:r>
        <w:rPr>
          <w:lang w:val="lv-LV"/>
        </w:rPr>
        <w:t>a</w:t>
      </w:r>
      <w:r w:rsidRPr="002607ED">
        <w:rPr>
          <w:lang w:val="lv-LV"/>
        </w:rPr>
        <w:t>bu atbilstoši ķermeņa masai; pacienti, kuru ķermeņa masa bija</w:t>
      </w:r>
      <w:r>
        <w:rPr>
          <w:lang w:val="lv-LV"/>
        </w:rPr>
        <w:t> </w:t>
      </w:r>
      <w:r w:rsidR="004414A4" w:rsidRPr="00707120">
        <w:rPr>
          <w:szCs w:val="22"/>
          <w:lang w:val="lv-LV" w:eastAsia="ja-JP"/>
        </w:rPr>
        <w:t>≥</w:t>
      </w:r>
      <w:r w:rsidRPr="00707120">
        <w:rPr>
          <w:lang w:val="lv-LV"/>
        </w:rPr>
        <w:t> </w:t>
      </w:r>
      <w:r w:rsidRPr="009C5994">
        <w:rPr>
          <w:lang w:val="lv-LV"/>
        </w:rPr>
        <w:t>30</w:t>
      </w:r>
      <w:r>
        <w:rPr>
          <w:lang w:val="lv-LV"/>
        </w:rPr>
        <w:t> </w:t>
      </w:r>
      <w:r w:rsidRPr="009C5994">
        <w:rPr>
          <w:lang w:val="lv-LV"/>
        </w:rPr>
        <w:t>kg (n </w:t>
      </w:r>
      <w:r w:rsidRPr="00290EF7">
        <w:sym w:font="Symbol" w:char="F03D"/>
      </w:r>
      <w:r w:rsidRPr="009C5994">
        <w:rPr>
          <w:lang w:val="lv-LV"/>
        </w:rPr>
        <w:t xml:space="preserve"> 25), saņēma </w:t>
      </w:r>
      <w:r>
        <w:rPr>
          <w:lang w:val="lv-LV"/>
        </w:rPr>
        <w:t xml:space="preserve">tocilizumaba </w:t>
      </w:r>
      <w:r w:rsidRPr="009C5994">
        <w:rPr>
          <w:lang w:val="lv-LV"/>
        </w:rPr>
        <w:t>162</w:t>
      </w:r>
      <w:r>
        <w:rPr>
          <w:lang w:val="lv-LV"/>
        </w:rPr>
        <w:t> </w:t>
      </w:r>
      <w:r w:rsidRPr="009C5994">
        <w:rPr>
          <w:lang w:val="lv-LV"/>
        </w:rPr>
        <w:t xml:space="preserve">mg </w:t>
      </w:r>
      <w:r>
        <w:rPr>
          <w:lang w:val="lv-LV"/>
        </w:rPr>
        <w:t>devu</w:t>
      </w:r>
      <w:r w:rsidRPr="009C5994">
        <w:rPr>
          <w:lang w:val="lv-LV"/>
        </w:rPr>
        <w:t xml:space="preserve"> ik pēc 2</w:t>
      </w:r>
      <w:r>
        <w:rPr>
          <w:lang w:val="lv-LV"/>
        </w:rPr>
        <w:t> </w:t>
      </w:r>
      <w:r w:rsidRPr="009C5994">
        <w:rPr>
          <w:lang w:val="lv-LV"/>
        </w:rPr>
        <w:t>nedēļām (Q2W), bet pacienti, kuru ķermeņa masa bija mazāka par 30</w:t>
      </w:r>
      <w:r>
        <w:rPr>
          <w:lang w:val="lv-LV"/>
        </w:rPr>
        <w:t> </w:t>
      </w:r>
      <w:r w:rsidRPr="009C5994">
        <w:rPr>
          <w:lang w:val="lv-LV"/>
        </w:rPr>
        <w:t>kg (n </w:t>
      </w:r>
      <w:r w:rsidRPr="00290EF7">
        <w:sym w:font="Symbol" w:char="F03D"/>
      </w:r>
      <w:r w:rsidRPr="009C5994">
        <w:rPr>
          <w:lang w:val="lv-LV"/>
        </w:rPr>
        <w:t xml:space="preserve"> 27), saņēma </w:t>
      </w:r>
      <w:r>
        <w:rPr>
          <w:lang w:val="lv-LV"/>
        </w:rPr>
        <w:t xml:space="preserve">tocilizumaba </w:t>
      </w:r>
      <w:r w:rsidRPr="009C5994">
        <w:rPr>
          <w:lang w:val="lv-LV"/>
        </w:rPr>
        <w:t>162</w:t>
      </w:r>
      <w:r>
        <w:rPr>
          <w:lang w:val="lv-LV"/>
        </w:rPr>
        <w:t> </w:t>
      </w:r>
      <w:r w:rsidRPr="009C5994">
        <w:rPr>
          <w:lang w:val="lv-LV"/>
        </w:rPr>
        <w:t xml:space="preserve">mg </w:t>
      </w:r>
      <w:r>
        <w:rPr>
          <w:lang w:val="lv-LV"/>
        </w:rPr>
        <w:t xml:space="preserve">devu </w:t>
      </w:r>
      <w:r w:rsidRPr="009C5994">
        <w:rPr>
          <w:lang w:val="lv-LV"/>
        </w:rPr>
        <w:t>ik pēc 3</w:t>
      </w:r>
      <w:r>
        <w:rPr>
          <w:lang w:val="lv-LV"/>
        </w:rPr>
        <w:t> </w:t>
      </w:r>
      <w:r w:rsidRPr="009C5994">
        <w:rPr>
          <w:lang w:val="lv-LV"/>
        </w:rPr>
        <w:t>nedēļām (Q3W) 52</w:t>
      </w:r>
      <w:r>
        <w:rPr>
          <w:lang w:val="lv-LV"/>
        </w:rPr>
        <w:t> </w:t>
      </w:r>
      <w:r w:rsidRPr="009C5994">
        <w:rPr>
          <w:lang w:val="lv-LV"/>
        </w:rPr>
        <w:t>nedēļ</w:t>
      </w:r>
      <w:r>
        <w:rPr>
          <w:lang w:val="lv-LV"/>
        </w:rPr>
        <w:t>as</w:t>
      </w:r>
      <w:r w:rsidRPr="009C5994">
        <w:rPr>
          <w:lang w:val="lv-LV"/>
        </w:rPr>
        <w:t>. No šiem 52</w:t>
      </w:r>
      <w:r>
        <w:rPr>
          <w:lang w:val="lv-LV"/>
        </w:rPr>
        <w:t> </w:t>
      </w:r>
      <w:r w:rsidRPr="009C5994">
        <w:rPr>
          <w:lang w:val="lv-LV"/>
        </w:rPr>
        <w:t xml:space="preserve">pacientiem 37 (71%) iepriekš nebija saņēmuši </w:t>
      </w:r>
      <w:del w:id="592" w:author="Author">
        <w:r w:rsidDel="003428EC">
          <w:rPr>
            <w:lang w:val="lv-LV"/>
          </w:rPr>
          <w:delText>tocilizumabu</w:delText>
        </w:r>
      </w:del>
      <w:ins w:id="593" w:author="Author">
        <w:r w:rsidR="003428EC">
          <w:rPr>
            <w:lang w:val="lv-LV"/>
          </w:rPr>
          <w:t>terapiju</w:t>
        </w:r>
      </w:ins>
      <w:r w:rsidRPr="009C5994">
        <w:rPr>
          <w:lang w:val="lv-LV"/>
        </w:rPr>
        <w:t xml:space="preserve">, bet 15 (29%) </w:t>
      </w:r>
      <w:del w:id="594" w:author="Author">
        <w:r w:rsidDel="003428EC">
          <w:rPr>
            <w:lang w:val="lv-LV"/>
          </w:rPr>
          <w:delText xml:space="preserve">tocilizumabu </w:delText>
        </w:r>
      </w:del>
      <w:ins w:id="595" w:author="Author">
        <w:r w:rsidR="003428EC">
          <w:rPr>
            <w:lang w:val="lv-LV"/>
          </w:rPr>
          <w:t xml:space="preserve">terapiju </w:t>
        </w:r>
      </w:ins>
      <w:r w:rsidRPr="009C5994">
        <w:rPr>
          <w:lang w:val="lv-LV"/>
        </w:rPr>
        <w:t xml:space="preserve">bija saņēmuši </w:t>
      </w:r>
      <w:r>
        <w:rPr>
          <w:lang w:val="lv-LV"/>
        </w:rPr>
        <w:t>intravenozi</w:t>
      </w:r>
      <w:r w:rsidRPr="009C5994">
        <w:rPr>
          <w:lang w:val="lv-LV"/>
        </w:rPr>
        <w:t xml:space="preserve"> un, sākoties pētījumam, sāka </w:t>
      </w:r>
      <w:r>
        <w:rPr>
          <w:lang w:val="lv-LV"/>
        </w:rPr>
        <w:t xml:space="preserve">to </w:t>
      </w:r>
      <w:r w:rsidRPr="009C5994">
        <w:rPr>
          <w:lang w:val="lv-LV"/>
        </w:rPr>
        <w:t xml:space="preserve">saņemt </w:t>
      </w:r>
      <w:r>
        <w:rPr>
          <w:lang w:val="lv-LV"/>
        </w:rPr>
        <w:t>subkutāni</w:t>
      </w:r>
      <w:r w:rsidRPr="009C5994">
        <w:rPr>
          <w:lang w:val="lv-LV"/>
        </w:rPr>
        <w:t>.</w:t>
      </w:r>
    </w:p>
    <w:p w14:paraId="36E33742" w14:textId="77777777" w:rsidR="00A453C3" w:rsidRPr="009C5994" w:rsidRDefault="00A453C3" w:rsidP="00A453C3">
      <w:pPr>
        <w:jc w:val="both"/>
        <w:rPr>
          <w:lang w:val="lv-LV"/>
        </w:rPr>
      </w:pPr>
    </w:p>
    <w:p w14:paraId="45CBB6F1" w14:textId="06B938DA" w:rsidR="00A453C3" w:rsidRPr="009C5994" w:rsidRDefault="00A453C3" w:rsidP="00A453C3">
      <w:pPr>
        <w:rPr>
          <w:iCs/>
          <w:lang w:val="lv-LV"/>
        </w:rPr>
      </w:pPr>
      <w:r>
        <w:rPr>
          <w:lang w:val="lv-LV"/>
        </w:rPr>
        <w:t>Tocilizumaba subkutānas lietošanas</w:t>
      </w:r>
      <w:r w:rsidRPr="009C5994">
        <w:rPr>
          <w:lang w:val="lv-LV"/>
        </w:rPr>
        <w:t xml:space="preserve"> shēmas, lietojot 162 mg </w:t>
      </w:r>
      <w:r>
        <w:rPr>
          <w:lang w:val="lv-LV"/>
        </w:rPr>
        <w:t xml:space="preserve">devu </w:t>
      </w:r>
      <w:r w:rsidRPr="009C5994">
        <w:rPr>
          <w:lang w:val="lv-LV"/>
        </w:rPr>
        <w:t xml:space="preserve">Q3W pacientiem, kuru ķermeņa masa </w:t>
      </w:r>
      <w:r>
        <w:rPr>
          <w:lang w:val="lv-LV"/>
        </w:rPr>
        <w:t>ir</w:t>
      </w:r>
      <w:r w:rsidRPr="009C5994">
        <w:rPr>
          <w:lang w:val="lv-LV"/>
        </w:rPr>
        <w:t xml:space="preserve"> </w:t>
      </w:r>
      <w:r>
        <w:rPr>
          <w:lang w:val="lv-LV"/>
        </w:rPr>
        <w:t xml:space="preserve">mazāka par </w:t>
      </w:r>
      <w:r w:rsidRPr="009C5994">
        <w:rPr>
          <w:lang w:val="lv-LV"/>
        </w:rPr>
        <w:t xml:space="preserve">30 kg, un 162 mg </w:t>
      </w:r>
      <w:r>
        <w:rPr>
          <w:lang w:val="lv-LV"/>
        </w:rPr>
        <w:t xml:space="preserve">devu </w:t>
      </w:r>
      <w:r w:rsidRPr="009C5994">
        <w:rPr>
          <w:lang w:val="lv-LV"/>
        </w:rPr>
        <w:t xml:space="preserve">Q2W pacientiem, kuru ķermeņa masa </w:t>
      </w:r>
      <w:r>
        <w:rPr>
          <w:lang w:val="lv-LV"/>
        </w:rPr>
        <w:t>ir</w:t>
      </w:r>
      <w:r w:rsidRPr="009C5994">
        <w:rPr>
          <w:lang w:val="lv-LV"/>
        </w:rPr>
        <w:t xml:space="preserve"> ≥</w:t>
      </w:r>
      <w:r>
        <w:rPr>
          <w:lang w:val="lv-LV"/>
        </w:rPr>
        <w:t> </w:t>
      </w:r>
      <w:r w:rsidRPr="009C5994">
        <w:rPr>
          <w:lang w:val="lv-LV"/>
        </w:rPr>
        <w:t xml:space="preserve">30 kg, nodrošina </w:t>
      </w:r>
      <w:r>
        <w:rPr>
          <w:lang w:val="lv-LV"/>
        </w:rPr>
        <w:t>līdzīgu</w:t>
      </w:r>
      <w:r w:rsidRPr="009C5994">
        <w:rPr>
          <w:lang w:val="lv-LV"/>
        </w:rPr>
        <w:t xml:space="preserve"> FK </w:t>
      </w:r>
      <w:r>
        <w:rPr>
          <w:lang w:val="lv-LV"/>
        </w:rPr>
        <w:t>iedarbību</w:t>
      </w:r>
      <w:r w:rsidRPr="009C5994">
        <w:rPr>
          <w:lang w:val="lv-LV"/>
        </w:rPr>
        <w:t xml:space="preserve"> un FD atbildes reakciju, lai būtu iespējams panākt tādus pašus efektivitātes un drošuma rādītājus kā ar apstiprinātajām </w:t>
      </w:r>
      <w:r>
        <w:rPr>
          <w:lang w:val="lv-LV"/>
        </w:rPr>
        <w:t>tocilizumaba intravenozas lietošanas</w:t>
      </w:r>
      <w:r w:rsidRPr="009C5994">
        <w:rPr>
          <w:lang w:val="lv-LV"/>
        </w:rPr>
        <w:t xml:space="preserve"> shēmām pacientiem ar pJIA.</w:t>
      </w:r>
    </w:p>
    <w:p w14:paraId="33361ED5" w14:textId="77777777" w:rsidR="00A453C3" w:rsidRPr="009C5994" w:rsidRDefault="00A453C3" w:rsidP="00A453C3">
      <w:pPr>
        <w:jc w:val="both"/>
        <w:rPr>
          <w:iCs/>
          <w:lang w:val="lv-LV"/>
        </w:rPr>
      </w:pPr>
    </w:p>
    <w:p w14:paraId="3E499EB5" w14:textId="3CA87B62" w:rsidR="00A453C3" w:rsidRPr="009C5994" w:rsidRDefault="00A453C3" w:rsidP="00A453C3">
      <w:pPr>
        <w:rPr>
          <w:lang w:val="lv-LV"/>
        </w:rPr>
      </w:pPr>
      <w:r w:rsidRPr="009C5994">
        <w:rPr>
          <w:lang w:val="lv-LV"/>
        </w:rPr>
        <w:t>Pētnieciskie efektivitāt</w:t>
      </w:r>
      <w:r>
        <w:rPr>
          <w:lang w:val="lv-LV"/>
        </w:rPr>
        <w:t>es</w:t>
      </w:r>
      <w:r w:rsidRPr="009C5994">
        <w:rPr>
          <w:lang w:val="lv-LV"/>
        </w:rPr>
        <w:t xml:space="preserve"> rezultāti liecināja, ka </w:t>
      </w:r>
      <w:r>
        <w:rPr>
          <w:lang w:val="lv-LV"/>
        </w:rPr>
        <w:t>subkutāni lietojams tocilizumabs</w:t>
      </w:r>
      <w:r w:rsidRPr="009C5994">
        <w:rPr>
          <w:lang w:val="lv-LV"/>
        </w:rPr>
        <w:t xml:space="preserve"> uzlaboja visus pētnieciskos efektivitātes </w:t>
      </w:r>
      <w:r w:rsidRPr="00D006F4">
        <w:rPr>
          <w:lang w:val="lv-LV"/>
        </w:rPr>
        <w:t>rādītājus, tajā skaitā Juvenil</w:t>
      </w:r>
      <w:r>
        <w:rPr>
          <w:lang w:val="lv-LV"/>
        </w:rPr>
        <w:t>ā</w:t>
      </w:r>
      <w:r w:rsidRPr="00D006F4">
        <w:rPr>
          <w:lang w:val="lv-LV"/>
        </w:rPr>
        <w:t xml:space="preserve"> artrīta slimības aktivitātes indeksa (</w:t>
      </w:r>
      <w:r w:rsidRPr="00D006F4">
        <w:rPr>
          <w:i/>
          <w:lang w:val="lv-LV"/>
        </w:rPr>
        <w:t>Juvenile Arthritis Disease Activity Score</w:t>
      </w:r>
      <w:r w:rsidRPr="00D006F4">
        <w:rPr>
          <w:lang w:val="lv-LV"/>
        </w:rPr>
        <w:t>, JADAS)</w:t>
      </w:r>
      <w:r>
        <w:rPr>
          <w:lang w:val="lv-LV"/>
        </w:rPr>
        <w:noBreakHyphen/>
      </w:r>
      <w:r w:rsidRPr="00D006F4">
        <w:rPr>
          <w:lang w:val="lv-LV"/>
        </w:rPr>
        <w:t xml:space="preserve">71 rādītāja mediānu, iepriekš ar </w:t>
      </w:r>
      <w:r>
        <w:rPr>
          <w:lang w:val="lv-LV"/>
        </w:rPr>
        <w:t>tocilizumabu</w:t>
      </w:r>
      <w:r w:rsidRPr="00D006F4">
        <w:rPr>
          <w:lang w:val="lv-LV"/>
        </w:rPr>
        <w:t xml:space="preserve"> neārstētiem pacientiem un</w:t>
      </w:r>
      <w:r w:rsidRPr="009C5994">
        <w:rPr>
          <w:lang w:val="lv-LV"/>
        </w:rPr>
        <w:t xml:space="preserve"> visā pētījuma laikā saglabāja JADAS</w:t>
      </w:r>
      <w:r>
        <w:rPr>
          <w:lang w:val="lv-LV"/>
        </w:rPr>
        <w:noBreakHyphen/>
      </w:r>
      <w:r w:rsidRPr="009C5994">
        <w:rPr>
          <w:lang w:val="lv-LV"/>
        </w:rPr>
        <w:t xml:space="preserve">71 mediānu pacientiem, kuriem </w:t>
      </w:r>
      <w:r>
        <w:rPr>
          <w:lang w:val="lv-LV"/>
        </w:rPr>
        <w:t xml:space="preserve">intravenoza tocilizumaba </w:t>
      </w:r>
      <w:r w:rsidRPr="009C5994">
        <w:rPr>
          <w:lang w:val="lv-LV"/>
        </w:rPr>
        <w:t xml:space="preserve">terapija tika mainīta uz </w:t>
      </w:r>
      <w:r>
        <w:rPr>
          <w:lang w:val="lv-LV"/>
        </w:rPr>
        <w:t>subkutānu tocilizumaba</w:t>
      </w:r>
      <w:r w:rsidRPr="009C5994">
        <w:rPr>
          <w:lang w:val="lv-LV"/>
        </w:rPr>
        <w:t xml:space="preserve"> terapiju, abās ķermeņa masas grupās (zem 30 kg un </w:t>
      </w:r>
      <w:r w:rsidR="004414A4" w:rsidRPr="00707120">
        <w:rPr>
          <w:szCs w:val="22"/>
          <w:lang w:val="lv-LV" w:eastAsia="ja-JP"/>
        </w:rPr>
        <w:t>≥</w:t>
      </w:r>
      <w:r w:rsidRPr="00707120">
        <w:rPr>
          <w:lang w:val="lv-LV"/>
        </w:rPr>
        <w:t> </w:t>
      </w:r>
      <w:r w:rsidRPr="009C5994">
        <w:rPr>
          <w:lang w:val="lv-LV"/>
        </w:rPr>
        <w:t>30 kg).</w:t>
      </w:r>
    </w:p>
    <w:bookmarkEnd w:id="591"/>
    <w:p w14:paraId="295A4A9D" w14:textId="77777777" w:rsidR="00A453C3" w:rsidRDefault="00A453C3" w:rsidP="00A453C3">
      <w:pPr>
        <w:ind w:right="-2"/>
        <w:rPr>
          <w:szCs w:val="22"/>
          <w:lang w:val="lv-LV"/>
        </w:rPr>
      </w:pPr>
    </w:p>
    <w:p w14:paraId="07ED401B" w14:textId="7143C059" w:rsidR="00A453C3" w:rsidRDefault="00AD0136" w:rsidP="00A453C3">
      <w:pPr>
        <w:keepNext/>
        <w:keepLines/>
        <w:rPr>
          <w:ins w:id="596" w:author="Author"/>
          <w:bCs/>
          <w:color w:val="000000"/>
          <w:u w:val="single"/>
          <w:lang w:val="lv-LV"/>
        </w:rPr>
      </w:pPr>
      <w:ins w:id="597" w:author="Author">
        <w:r>
          <w:rPr>
            <w:bCs/>
            <w:color w:val="000000"/>
            <w:u w:val="single"/>
            <w:lang w:val="lv-LV"/>
          </w:rPr>
          <w:t>S</w:t>
        </w:r>
      </w:ins>
      <w:del w:id="598" w:author="Author">
        <w:r w:rsidR="00A453C3" w:rsidRPr="00707120" w:rsidDel="00AD0136">
          <w:rPr>
            <w:bCs/>
            <w:color w:val="000000"/>
            <w:u w:val="single"/>
            <w:lang w:val="lv-LV"/>
          </w:rPr>
          <w:delText>GCA (s</w:delText>
        </w:r>
      </w:del>
      <w:r w:rsidR="00A453C3" w:rsidRPr="00707120">
        <w:rPr>
          <w:bCs/>
          <w:color w:val="000000"/>
          <w:u w:val="single"/>
          <w:lang w:val="lv-LV"/>
        </w:rPr>
        <w:t>ubkutāna lietošana</w:t>
      </w:r>
      <w:del w:id="599" w:author="Author">
        <w:r w:rsidR="00A453C3" w:rsidRPr="00707120" w:rsidDel="00AD0136">
          <w:rPr>
            <w:bCs/>
            <w:color w:val="000000"/>
            <w:u w:val="single"/>
            <w:lang w:val="lv-LV"/>
          </w:rPr>
          <w:delText>)</w:delText>
        </w:r>
      </w:del>
    </w:p>
    <w:p w14:paraId="4F371D64" w14:textId="15C1E0FE" w:rsidR="00AD0136" w:rsidRPr="00F82186" w:rsidRDefault="00AD0136" w:rsidP="00A453C3">
      <w:pPr>
        <w:keepNext/>
        <w:keepLines/>
        <w:rPr>
          <w:rFonts w:eastAsia="MS PGothic"/>
          <w:bCs/>
          <w:i/>
          <w:color w:val="000000"/>
          <w:szCs w:val="22"/>
          <w:lang w:val="lv-LV"/>
          <w:rPrChange w:id="600" w:author="Author">
            <w:rPr>
              <w:rFonts w:eastAsia="MS PGothic"/>
              <w:bCs/>
              <w:color w:val="000000"/>
              <w:szCs w:val="22"/>
              <w:u w:val="single"/>
              <w:lang w:val="lv-LV"/>
            </w:rPr>
          </w:rPrChange>
        </w:rPr>
      </w:pPr>
      <w:ins w:id="601" w:author="Author">
        <w:r w:rsidRPr="00F82186">
          <w:rPr>
            <w:rFonts w:eastAsia="MS PGothic"/>
            <w:bCs/>
            <w:i/>
            <w:color w:val="000000"/>
            <w:szCs w:val="22"/>
            <w:lang w:val="lv-LV"/>
            <w:rPrChange w:id="602" w:author="Author">
              <w:rPr>
                <w:rFonts w:eastAsia="MS PGothic"/>
                <w:bCs/>
                <w:color w:val="000000"/>
                <w:szCs w:val="22"/>
                <w:u w:val="single"/>
                <w:lang w:val="lv-LV"/>
              </w:rPr>
            </w:rPrChange>
          </w:rPr>
          <w:t>Pacienti ar GCA</w:t>
        </w:r>
      </w:ins>
    </w:p>
    <w:p w14:paraId="50DEAA2F" w14:textId="77777777" w:rsidR="005066A1" w:rsidRDefault="005066A1" w:rsidP="00A453C3">
      <w:pPr>
        <w:keepNext/>
        <w:keepLines/>
        <w:rPr>
          <w:ins w:id="603" w:author="Author"/>
          <w:i/>
          <w:iCs/>
          <w:color w:val="000000"/>
          <w:lang w:val="lv-LV"/>
        </w:rPr>
      </w:pPr>
    </w:p>
    <w:p w14:paraId="33C101D5" w14:textId="085C1D5A" w:rsidR="00A453C3" w:rsidRPr="00F82186" w:rsidRDefault="00A453C3" w:rsidP="00A453C3">
      <w:pPr>
        <w:keepNext/>
        <w:keepLines/>
        <w:rPr>
          <w:rFonts w:eastAsia="MS PGothic"/>
          <w:i/>
          <w:iCs/>
          <w:color w:val="000000"/>
          <w:szCs w:val="22"/>
          <w:u w:val="single"/>
          <w:lang w:val="lv-LV"/>
          <w:rPrChange w:id="604" w:author="Author">
            <w:rPr>
              <w:rFonts w:eastAsia="MS PGothic"/>
              <w:i/>
              <w:iCs/>
              <w:color w:val="000000"/>
              <w:szCs w:val="22"/>
              <w:lang w:val="lv-LV"/>
            </w:rPr>
          </w:rPrChange>
        </w:rPr>
      </w:pPr>
      <w:r w:rsidRPr="00F82186">
        <w:rPr>
          <w:i/>
          <w:iCs/>
          <w:color w:val="000000"/>
          <w:u w:val="single"/>
          <w:lang w:val="lv-LV"/>
          <w:rPrChange w:id="605" w:author="Author">
            <w:rPr>
              <w:i/>
              <w:iCs/>
              <w:color w:val="000000"/>
              <w:lang w:val="lv-LV"/>
            </w:rPr>
          </w:rPrChange>
        </w:rPr>
        <w:t>Klīniskā efektivitāte</w:t>
      </w:r>
    </w:p>
    <w:p w14:paraId="0E7020CC" w14:textId="229E9FAE" w:rsidR="00A453C3" w:rsidDel="00C47E5B" w:rsidRDefault="00A453C3" w:rsidP="00A453C3">
      <w:pPr>
        <w:keepNext/>
        <w:keepLines/>
        <w:rPr>
          <w:del w:id="606" w:author="Author"/>
          <w:lang w:val="lv-LV"/>
        </w:rPr>
      </w:pPr>
    </w:p>
    <w:p w14:paraId="7EA6F278" w14:textId="48ED67B8" w:rsidR="00A453C3" w:rsidRPr="00D30C7D" w:rsidRDefault="00A453C3" w:rsidP="00A453C3">
      <w:pPr>
        <w:keepNext/>
        <w:keepLines/>
        <w:rPr>
          <w:lang w:val="lv-LV"/>
        </w:rPr>
      </w:pPr>
      <w:bookmarkStart w:id="607" w:name="_Hlk174611852"/>
      <w:r w:rsidRPr="00D30C7D">
        <w:rPr>
          <w:lang w:val="lv-LV"/>
        </w:rPr>
        <w:t xml:space="preserve">Pētījums WA28119 bija randomizēts, dubultmaskēts, </w:t>
      </w:r>
      <w:del w:id="608" w:author="Regulatory LV" w:date="2026-03-17T11:37:00Z">
        <w:r w:rsidDel="0089110E">
          <w:rPr>
            <w:lang w:val="lv-LV"/>
          </w:rPr>
          <w:delText xml:space="preserve">ar </w:delText>
        </w:r>
      </w:del>
      <w:r w:rsidRPr="00D30C7D">
        <w:rPr>
          <w:lang w:val="lv-LV"/>
        </w:rPr>
        <w:t>placebo kontrolēts</w:t>
      </w:r>
      <w:r>
        <w:rPr>
          <w:lang w:val="lv-LV"/>
        </w:rPr>
        <w:t>,</w:t>
      </w:r>
      <w:r w:rsidRPr="00D30C7D">
        <w:rPr>
          <w:lang w:val="lv-LV"/>
        </w:rPr>
        <w:t xml:space="preserve"> daudzcentru III</w:t>
      </w:r>
      <w:r>
        <w:rPr>
          <w:lang w:val="lv-LV"/>
        </w:rPr>
        <w:t> </w:t>
      </w:r>
      <w:r w:rsidRPr="00D30C7D">
        <w:rPr>
          <w:lang w:val="lv-LV"/>
        </w:rPr>
        <w:t xml:space="preserve">fāzes pētījums pārākuma noteikšanai, kas tika veikts, lai vērtētu </w:t>
      </w:r>
      <w:r>
        <w:rPr>
          <w:lang w:val="lv-LV"/>
        </w:rPr>
        <w:t>tocilizumaba</w:t>
      </w:r>
      <w:r w:rsidRPr="00D30C7D">
        <w:rPr>
          <w:lang w:val="lv-LV"/>
        </w:rPr>
        <w:t xml:space="preserve"> efektivitāti un drošumu pacientiem ar GCA. </w:t>
      </w:r>
    </w:p>
    <w:p w14:paraId="65B0E6EB" w14:textId="77777777" w:rsidR="00A453C3" w:rsidRPr="00D30C7D" w:rsidRDefault="00A453C3" w:rsidP="00A453C3">
      <w:pPr>
        <w:rPr>
          <w:lang w:val="lv-LV"/>
        </w:rPr>
      </w:pPr>
    </w:p>
    <w:p w14:paraId="4E97B2FE" w14:textId="120BF1B5" w:rsidR="00A453C3" w:rsidRPr="00D30C7D" w:rsidRDefault="00A453C3" w:rsidP="00A453C3">
      <w:pPr>
        <w:rPr>
          <w:lang w:val="lv-LV"/>
        </w:rPr>
      </w:pPr>
      <w:r w:rsidRPr="00D006F4">
        <w:rPr>
          <w:lang w:val="lv-LV"/>
        </w:rPr>
        <w:t xml:space="preserve">Divi simti piecdesmit viens (251) pacients ar pirmoreiz radušos GCA vai tā recidīvu tika iesaistīts pētījumā un iekļauts </w:t>
      </w:r>
      <w:r w:rsidRPr="00D30C7D">
        <w:rPr>
          <w:lang w:val="lv-LV"/>
        </w:rPr>
        <w:t>vienā no četrām ārstēšanas grupām. Pētījumu veidoja 52</w:t>
      </w:r>
      <w:r>
        <w:rPr>
          <w:lang w:val="lv-LV"/>
        </w:rPr>
        <w:t> </w:t>
      </w:r>
      <w:r w:rsidRPr="00D30C7D">
        <w:rPr>
          <w:lang w:val="lv-LV"/>
        </w:rPr>
        <w:t>nedēļas ilgs maskētais periods (1.</w:t>
      </w:r>
      <w:r>
        <w:rPr>
          <w:lang w:val="lv-LV"/>
        </w:rPr>
        <w:t> </w:t>
      </w:r>
      <w:r w:rsidRPr="00D30C7D">
        <w:rPr>
          <w:lang w:val="lv-LV"/>
        </w:rPr>
        <w:t>daļa), kam sekoja 104 nedēļas ilgs nemaskēts pagarinājums (2.</w:t>
      </w:r>
      <w:r>
        <w:rPr>
          <w:lang w:val="lv-LV"/>
        </w:rPr>
        <w:t> </w:t>
      </w:r>
      <w:r w:rsidRPr="00D30C7D">
        <w:rPr>
          <w:lang w:val="lv-LV"/>
        </w:rPr>
        <w:t xml:space="preserve">daļa). </w:t>
      </w:r>
      <w:r>
        <w:rPr>
          <w:lang w:val="lv-LV"/>
        </w:rPr>
        <w:t>Otrās</w:t>
      </w:r>
      <w:r w:rsidRPr="00D30C7D">
        <w:rPr>
          <w:lang w:val="lv-LV"/>
        </w:rPr>
        <w:t xml:space="preserve"> daļas mērķis bija raksturot ilgtermiņa drošumu un efektivitātes saglabāšanos pēc 52</w:t>
      </w:r>
      <w:r>
        <w:rPr>
          <w:lang w:val="lv-LV"/>
        </w:rPr>
        <w:t> </w:t>
      </w:r>
      <w:r w:rsidRPr="00D30C7D">
        <w:rPr>
          <w:lang w:val="lv-LV"/>
        </w:rPr>
        <w:t xml:space="preserve">nedēļas ilgas </w:t>
      </w:r>
      <w:ins w:id="609" w:author="Author">
        <w:r w:rsidR="00C47E5B">
          <w:rPr>
            <w:lang w:val="lv-LV"/>
          </w:rPr>
          <w:t xml:space="preserve">tocilizumaba </w:t>
        </w:r>
      </w:ins>
      <w:r w:rsidRPr="00D30C7D">
        <w:rPr>
          <w:lang w:val="lv-LV"/>
        </w:rPr>
        <w:t xml:space="preserve">terapijas, noskaidrot recidīvu </w:t>
      </w:r>
      <w:r>
        <w:rPr>
          <w:lang w:val="lv-LV"/>
        </w:rPr>
        <w:t>rādītāju</w:t>
      </w:r>
      <w:r w:rsidRPr="00D30C7D">
        <w:rPr>
          <w:lang w:val="lv-LV"/>
        </w:rPr>
        <w:t xml:space="preserve"> un nepieciešamību pēc </w:t>
      </w:r>
      <w:del w:id="610" w:author="Author">
        <w:r w:rsidDel="00C47E5B">
          <w:rPr>
            <w:lang w:val="lv-LV"/>
          </w:rPr>
          <w:delText>tocilizumaba</w:delText>
        </w:r>
        <w:r w:rsidRPr="00D30C7D" w:rsidDel="00C47E5B">
          <w:rPr>
            <w:lang w:val="lv-LV"/>
          </w:rPr>
          <w:delText xml:space="preserve"> </w:delText>
        </w:r>
      </w:del>
      <w:r w:rsidRPr="00D30C7D">
        <w:rPr>
          <w:lang w:val="lv-LV"/>
        </w:rPr>
        <w:t>terapijas pēc 52 nedēļ</w:t>
      </w:r>
      <w:r>
        <w:rPr>
          <w:lang w:val="lv-LV"/>
        </w:rPr>
        <w:t>ām, kā arī</w:t>
      </w:r>
      <w:r w:rsidRPr="00D30C7D">
        <w:rPr>
          <w:lang w:val="lv-LV"/>
        </w:rPr>
        <w:t xml:space="preserve"> gūt ieskatu par </w:t>
      </w:r>
      <w:r>
        <w:rPr>
          <w:lang w:val="lv-LV"/>
        </w:rPr>
        <w:t>šo zāļu</w:t>
      </w:r>
      <w:r w:rsidRPr="00D30C7D">
        <w:rPr>
          <w:lang w:val="lv-LV"/>
        </w:rPr>
        <w:t xml:space="preserve"> iespējamo ietekmi, ilgtermiņā samazinot nepieciešamību pēc steroīdu lietošanas.</w:t>
      </w:r>
    </w:p>
    <w:p w14:paraId="2CBA8A26" w14:textId="77777777" w:rsidR="00A453C3" w:rsidRPr="00D30C7D" w:rsidRDefault="00A453C3" w:rsidP="00A453C3">
      <w:pPr>
        <w:rPr>
          <w:lang w:val="lv-LV"/>
        </w:rPr>
      </w:pPr>
    </w:p>
    <w:p w14:paraId="0B529F69" w14:textId="6F3F4568" w:rsidR="00A453C3" w:rsidRPr="00D30C7D" w:rsidRDefault="00A453C3" w:rsidP="00A453C3">
      <w:pPr>
        <w:rPr>
          <w:lang w:val="lv-LV"/>
        </w:rPr>
      </w:pPr>
      <w:r w:rsidRPr="00D30C7D">
        <w:rPr>
          <w:lang w:val="lv-LV"/>
        </w:rPr>
        <w:t>Divas subkutāni lietota</w:t>
      </w:r>
      <w:r>
        <w:rPr>
          <w:lang w:val="lv-LV"/>
        </w:rPr>
        <w:t>s</w:t>
      </w:r>
      <w:r w:rsidRPr="00D30C7D">
        <w:rPr>
          <w:lang w:val="lv-LV"/>
        </w:rPr>
        <w:t xml:space="preserve"> </w:t>
      </w:r>
      <w:r>
        <w:rPr>
          <w:lang w:val="lv-LV"/>
        </w:rPr>
        <w:t>tocilizumaba</w:t>
      </w:r>
      <w:r w:rsidRPr="00D30C7D">
        <w:rPr>
          <w:lang w:val="lv-LV"/>
        </w:rPr>
        <w:t xml:space="preserve"> devas (162</w:t>
      </w:r>
      <w:r>
        <w:rPr>
          <w:lang w:val="lv-LV"/>
        </w:rPr>
        <w:t> </w:t>
      </w:r>
      <w:r w:rsidRPr="00D30C7D">
        <w:rPr>
          <w:lang w:val="lv-LV"/>
        </w:rPr>
        <w:t>mg</w:t>
      </w:r>
      <w:r>
        <w:rPr>
          <w:lang w:val="lv-LV"/>
        </w:rPr>
        <w:t xml:space="preserve"> vienu</w:t>
      </w:r>
      <w:r w:rsidRPr="00D30C7D">
        <w:rPr>
          <w:lang w:val="lv-LV"/>
        </w:rPr>
        <w:t xml:space="preserve"> reizi nedēļā un 162</w:t>
      </w:r>
      <w:r>
        <w:rPr>
          <w:lang w:val="lv-LV"/>
        </w:rPr>
        <w:t> </w:t>
      </w:r>
      <w:r w:rsidRPr="00D30C7D">
        <w:rPr>
          <w:lang w:val="lv-LV"/>
        </w:rPr>
        <w:t>mg katru otro nedēļu) tika salīdzinātas ar divām dažādām placebo kontroles grupām; pacienti tika randomizēti attiecībā</w:t>
      </w:r>
      <w:r>
        <w:rPr>
          <w:lang w:val="lv-LV"/>
        </w:rPr>
        <w:t> </w:t>
      </w:r>
      <w:r w:rsidRPr="00D30C7D">
        <w:rPr>
          <w:lang w:val="lv-LV"/>
        </w:rPr>
        <w:t>2:1:1:1.</w:t>
      </w:r>
    </w:p>
    <w:p w14:paraId="7BBA3D2F" w14:textId="77777777" w:rsidR="00A453C3" w:rsidRPr="00D30C7D" w:rsidRDefault="00A453C3" w:rsidP="00A453C3">
      <w:pPr>
        <w:rPr>
          <w:lang w:val="lv-LV"/>
        </w:rPr>
      </w:pPr>
    </w:p>
    <w:p w14:paraId="32CA1D33" w14:textId="25D1F8B2" w:rsidR="00A453C3" w:rsidRPr="00C74D1A" w:rsidRDefault="00A453C3" w:rsidP="00A453C3">
      <w:pPr>
        <w:rPr>
          <w:lang w:val="lv-LV"/>
        </w:rPr>
      </w:pPr>
      <w:r w:rsidRPr="00C74D1A">
        <w:rPr>
          <w:lang w:val="lv-LV"/>
        </w:rPr>
        <w:t xml:space="preserve">Visi pacienti saņēma </w:t>
      </w:r>
      <w:r>
        <w:rPr>
          <w:lang w:val="lv-LV"/>
        </w:rPr>
        <w:t>pamat</w:t>
      </w:r>
      <w:r w:rsidRPr="00C74D1A">
        <w:rPr>
          <w:lang w:val="lv-LV"/>
        </w:rPr>
        <w:t xml:space="preserve">terapiju ar glikokortikoīdiem (prednizonu). Visās </w:t>
      </w:r>
      <w:r>
        <w:rPr>
          <w:lang w:val="lv-LV"/>
        </w:rPr>
        <w:t>tocilizumaba</w:t>
      </w:r>
      <w:r w:rsidRPr="00C74D1A">
        <w:rPr>
          <w:lang w:val="lv-LV"/>
        </w:rPr>
        <w:t xml:space="preserve"> grupās un vienā no placebo grupām tika izmantota iepriekš noteikta prednizona devas pakāpeniskas samazināšanas shēma 26</w:t>
      </w:r>
      <w:r>
        <w:rPr>
          <w:lang w:val="lv-LV"/>
        </w:rPr>
        <w:t> </w:t>
      </w:r>
      <w:r w:rsidRPr="00C74D1A">
        <w:rPr>
          <w:lang w:val="lv-LV"/>
        </w:rPr>
        <w:t xml:space="preserve">nedēļu </w:t>
      </w:r>
      <w:r>
        <w:rPr>
          <w:lang w:val="lv-LV"/>
        </w:rPr>
        <w:t>laikā</w:t>
      </w:r>
      <w:r w:rsidRPr="00C74D1A">
        <w:rPr>
          <w:lang w:val="lv-LV"/>
        </w:rPr>
        <w:t>, savukārt otrā placebo grupā tika izmantota iepriekš noteikta prednizona devas pakāpeniskas samazināšanas shēma 52</w:t>
      </w:r>
      <w:r>
        <w:rPr>
          <w:lang w:val="lv-LV"/>
        </w:rPr>
        <w:t> </w:t>
      </w:r>
      <w:r w:rsidRPr="00C74D1A">
        <w:rPr>
          <w:lang w:val="lv-LV"/>
        </w:rPr>
        <w:t xml:space="preserve">nedēļu </w:t>
      </w:r>
      <w:r>
        <w:rPr>
          <w:lang w:val="lv-LV"/>
        </w:rPr>
        <w:t>laikā</w:t>
      </w:r>
      <w:r w:rsidRPr="00C74D1A">
        <w:rPr>
          <w:lang w:val="lv-LV"/>
        </w:rPr>
        <w:t>, kas bija veidota kā lielākā mērā atbilstoša standarta</w:t>
      </w:r>
      <w:r>
        <w:rPr>
          <w:lang w:val="lv-LV"/>
        </w:rPr>
        <w:t>i</w:t>
      </w:r>
      <w:r w:rsidRPr="00C74D1A">
        <w:rPr>
          <w:lang w:val="lv-LV"/>
        </w:rPr>
        <w:t xml:space="preserve"> praksei. </w:t>
      </w:r>
    </w:p>
    <w:p w14:paraId="0ECF0160" w14:textId="77777777" w:rsidR="00A453C3" w:rsidRPr="00C74D1A" w:rsidRDefault="00A453C3" w:rsidP="00A453C3">
      <w:pPr>
        <w:suppressAutoHyphens w:val="0"/>
        <w:rPr>
          <w:rFonts w:eastAsia="SimSun"/>
          <w:szCs w:val="24"/>
          <w:lang w:val="lv-LV" w:eastAsia="zh-TW"/>
        </w:rPr>
      </w:pPr>
    </w:p>
    <w:p w14:paraId="36747D2B" w14:textId="198F1C99" w:rsidR="00A453C3" w:rsidRPr="00C74D1A" w:rsidRDefault="00A453C3" w:rsidP="00A453C3">
      <w:pPr>
        <w:suppressAutoHyphens w:val="0"/>
        <w:rPr>
          <w:lang w:val="lv-LV" w:eastAsia="de-DE"/>
        </w:rPr>
      </w:pPr>
      <w:r w:rsidRPr="00C74D1A">
        <w:rPr>
          <w:rFonts w:eastAsia="SimSun"/>
          <w:szCs w:val="24"/>
          <w:lang w:val="lv-LV" w:eastAsia="zh-TW"/>
        </w:rPr>
        <w:t>Visās 4</w:t>
      </w:r>
      <w:r>
        <w:rPr>
          <w:rFonts w:eastAsia="SimSun"/>
          <w:szCs w:val="24"/>
          <w:lang w:val="lv-LV" w:eastAsia="zh-TW"/>
        </w:rPr>
        <w:t> </w:t>
      </w:r>
      <w:r w:rsidRPr="00C74D1A">
        <w:rPr>
          <w:rFonts w:eastAsia="SimSun"/>
          <w:szCs w:val="24"/>
          <w:lang w:val="lv-LV" w:eastAsia="zh-TW"/>
        </w:rPr>
        <w:t xml:space="preserve">ārstēšanas grupās glikokortikoīdu terapijas ilgums </w:t>
      </w:r>
      <w:r>
        <w:rPr>
          <w:rFonts w:eastAsia="SimSun"/>
          <w:szCs w:val="24"/>
          <w:lang w:val="lv-LV" w:eastAsia="zh-TW"/>
        </w:rPr>
        <w:t>skrīninga</w:t>
      </w:r>
      <w:r w:rsidRPr="00C74D1A">
        <w:rPr>
          <w:rFonts w:eastAsia="SimSun"/>
          <w:szCs w:val="24"/>
          <w:lang w:val="lv-LV" w:eastAsia="zh-TW"/>
        </w:rPr>
        <w:t xml:space="preserve"> posmā un pirms ārstēšanas uzsākšanas ar </w:t>
      </w:r>
      <w:r>
        <w:rPr>
          <w:rFonts w:eastAsia="SimSun"/>
          <w:szCs w:val="24"/>
          <w:lang w:val="lv-LV" w:eastAsia="zh-TW"/>
        </w:rPr>
        <w:t>tocilizumabu</w:t>
      </w:r>
      <w:r w:rsidRPr="00C74D1A">
        <w:rPr>
          <w:rFonts w:eastAsia="SimSun"/>
          <w:szCs w:val="24"/>
          <w:lang w:val="lv-LV" w:eastAsia="zh-TW"/>
        </w:rPr>
        <w:t xml:space="preserve"> (vai placebo) bija līdzīgs (skatīt </w:t>
      </w:r>
      <w:r>
        <w:rPr>
          <w:rFonts w:eastAsia="SimSun"/>
          <w:szCs w:val="24"/>
          <w:lang w:val="lv-LV" w:eastAsia="zh-TW"/>
        </w:rPr>
        <w:t>3</w:t>
      </w:r>
      <w:r w:rsidRPr="00C74D1A">
        <w:rPr>
          <w:rFonts w:eastAsia="SimSun"/>
          <w:szCs w:val="24"/>
          <w:lang w:val="lv-LV" w:eastAsia="zh-TW"/>
        </w:rPr>
        <w:t>.</w:t>
      </w:r>
      <w:r>
        <w:rPr>
          <w:rFonts w:eastAsia="SimSun"/>
          <w:szCs w:val="24"/>
          <w:lang w:val="lv-LV" w:eastAsia="zh-TW"/>
        </w:rPr>
        <w:t> </w:t>
      </w:r>
      <w:r w:rsidRPr="00C74D1A">
        <w:rPr>
          <w:rFonts w:eastAsia="SimSun"/>
          <w:szCs w:val="24"/>
          <w:lang w:val="lv-LV" w:eastAsia="zh-TW"/>
        </w:rPr>
        <w:t>tabulu).</w:t>
      </w:r>
    </w:p>
    <w:p w14:paraId="2DF2A46D" w14:textId="77777777" w:rsidR="00A453C3" w:rsidRPr="00C74D1A" w:rsidRDefault="00A453C3" w:rsidP="00A453C3">
      <w:pPr>
        <w:suppressAutoHyphens w:val="0"/>
        <w:rPr>
          <w:lang w:val="lv-LV" w:eastAsia="de-DE"/>
        </w:rPr>
      </w:pPr>
    </w:p>
    <w:p w14:paraId="509AC037" w14:textId="5AB0A53A" w:rsidR="00A453C3" w:rsidRDefault="00A453C3" w:rsidP="00A453C3">
      <w:pPr>
        <w:keepNext/>
        <w:keepLines/>
        <w:numPr>
          <w:ilvl w:val="12"/>
          <w:numId w:val="0"/>
        </w:numPr>
        <w:suppressAutoHyphens w:val="0"/>
        <w:ind w:right="-2"/>
        <w:rPr>
          <w:rFonts w:eastAsia="SimSun"/>
          <w:bCs/>
          <w:i/>
          <w:szCs w:val="22"/>
          <w:lang w:val="lv-LV" w:eastAsia="zh-CN"/>
        </w:rPr>
      </w:pPr>
      <w:r>
        <w:rPr>
          <w:rFonts w:eastAsia="SimSun"/>
          <w:bCs/>
          <w:i/>
          <w:szCs w:val="22"/>
          <w:lang w:val="lv-LV" w:eastAsia="zh-CN"/>
        </w:rPr>
        <w:t>3</w:t>
      </w:r>
      <w:r w:rsidRPr="00C74D1A">
        <w:rPr>
          <w:rFonts w:eastAsia="SimSun"/>
          <w:bCs/>
          <w:i/>
          <w:szCs w:val="22"/>
          <w:lang w:val="lv-LV" w:eastAsia="zh-CN"/>
        </w:rPr>
        <w:t>.</w:t>
      </w:r>
      <w:r>
        <w:rPr>
          <w:rFonts w:eastAsia="SimSun"/>
          <w:bCs/>
          <w:i/>
          <w:szCs w:val="22"/>
          <w:lang w:val="lv-LV" w:eastAsia="zh-CN"/>
        </w:rPr>
        <w:t> </w:t>
      </w:r>
      <w:r w:rsidRPr="00C74D1A">
        <w:rPr>
          <w:rFonts w:eastAsia="SimSun"/>
          <w:bCs/>
          <w:i/>
          <w:szCs w:val="22"/>
          <w:lang w:val="lv-LV" w:eastAsia="zh-CN"/>
        </w:rPr>
        <w:t>tabula. Glikokor</w:t>
      </w:r>
      <w:r>
        <w:rPr>
          <w:rFonts w:eastAsia="SimSun"/>
          <w:bCs/>
          <w:i/>
          <w:szCs w:val="22"/>
          <w:lang w:val="lv-LV" w:eastAsia="zh-CN"/>
        </w:rPr>
        <w:t>t</w:t>
      </w:r>
      <w:r w:rsidRPr="00C74D1A">
        <w:rPr>
          <w:rFonts w:eastAsia="SimSun"/>
          <w:bCs/>
          <w:i/>
          <w:szCs w:val="22"/>
          <w:lang w:val="lv-LV" w:eastAsia="zh-CN"/>
        </w:rPr>
        <w:t xml:space="preserve">ikoīdu terapijas ilgums pētījuma WA28119 </w:t>
      </w:r>
      <w:r>
        <w:rPr>
          <w:rFonts w:eastAsia="SimSun"/>
          <w:bCs/>
          <w:i/>
          <w:szCs w:val="22"/>
          <w:lang w:val="lv-LV" w:eastAsia="zh-CN"/>
        </w:rPr>
        <w:t>skrīninga laikā</w:t>
      </w:r>
    </w:p>
    <w:p w14:paraId="5BCCD6EB" w14:textId="77777777" w:rsidR="00A453C3" w:rsidRPr="00C74D1A" w:rsidRDefault="00A453C3" w:rsidP="00A453C3">
      <w:pPr>
        <w:keepNext/>
        <w:keepLines/>
        <w:numPr>
          <w:ilvl w:val="12"/>
          <w:numId w:val="0"/>
        </w:numPr>
        <w:suppressAutoHyphens w:val="0"/>
        <w:ind w:right="-2"/>
        <w:rPr>
          <w:rFonts w:eastAsia="SimSun"/>
          <w:i/>
          <w:szCs w:val="22"/>
          <w:lang w:val="lv-LV" w:eastAsia="zh-CN"/>
        </w:rPr>
      </w:pPr>
    </w:p>
    <w:tbl>
      <w:tblPr>
        <w:tblW w:w="836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
        <w:gridCol w:w="2244"/>
        <w:gridCol w:w="98"/>
        <w:gridCol w:w="1418"/>
        <w:gridCol w:w="8"/>
        <w:gridCol w:w="1356"/>
        <w:gridCol w:w="53"/>
        <w:gridCol w:w="1134"/>
        <w:gridCol w:w="22"/>
        <w:gridCol w:w="2026"/>
      </w:tblGrid>
      <w:tr w:rsidR="00A453C3" w:rsidRPr="0075336D" w14:paraId="0C3EAAE6" w14:textId="77777777" w:rsidTr="00707120">
        <w:trPr>
          <w:gridBefore w:val="1"/>
          <w:wBefore w:w="6" w:type="dxa"/>
          <w:cantSplit/>
        </w:trPr>
        <w:tc>
          <w:tcPr>
            <w:tcW w:w="2244" w:type="dxa"/>
            <w:tcMar>
              <w:top w:w="0" w:type="dxa"/>
              <w:left w:w="57" w:type="dxa"/>
              <w:bottom w:w="0" w:type="dxa"/>
              <w:right w:w="57" w:type="dxa"/>
            </w:tcMar>
            <w:vAlign w:val="bottom"/>
          </w:tcPr>
          <w:p w14:paraId="5C5DE683" w14:textId="77777777" w:rsidR="00A453C3" w:rsidRPr="00C74D1A" w:rsidRDefault="00A453C3" w:rsidP="0067693D">
            <w:pPr>
              <w:keepNext/>
              <w:keepLines/>
              <w:suppressAutoHyphens w:val="0"/>
              <w:spacing w:before="50" w:after="50" w:line="240" w:lineRule="exact"/>
              <w:rPr>
                <w:rFonts w:ascii="Arial" w:eastAsia="SimSun" w:hAnsi="Arial"/>
                <w:strike/>
                <w:sz w:val="18"/>
                <w:szCs w:val="18"/>
                <w:lang w:val="lv-LV" w:eastAsia="zh-CN"/>
              </w:rPr>
            </w:pPr>
          </w:p>
        </w:tc>
        <w:tc>
          <w:tcPr>
            <w:tcW w:w="1524" w:type="dxa"/>
            <w:gridSpan w:val="3"/>
            <w:tcMar>
              <w:top w:w="0" w:type="dxa"/>
              <w:left w:w="57" w:type="dxa"/>
              <w:bottom w:w="0" w:type="dxa"/>
              <w:right w:w="57" w:type="dxa"/>
            </w:tcMar>
          </w:tcPr>
          <w:p w14:paraId="19611412" w14:textId="45BF7697" w:rsidR="00A453C3" w:rsidRPr="00C74D1A" w:rsidRDefault="00A453C3" w:rsidP="0067693D">
            <w:pPr>
              <w:keepNext/>
              <w:keepLines/>
              <w:spacing w:before="50" w:after="50" w:line="240" w:lineRule="exact"/>
              <w:jc w:val="center"/>
              <w:rPr>
                <w:rFonts w:eastAsia="SimSun"/>
                <w:b/>
                <w:sz w:val="18"/>
                <w:szCs w:val="18"/>
                <w:lang w:val="lv-LV"/>
              </w:rPr>
            </w:pPr>
            <w:r w:rsidRPr="00C74D1A">
              <w:rPr>
                <w:b/>
                <w:sz w:val="18"/>
                <w:lang w:val="lv-LV"/>
              </w:rPr>
              <w:t>Placebo + 26</w:t>
            </w:r>
            <w:r>
              <w:rPr>
                <w:b/>
                <w:sz w:val="18"/>
                <w:lang w:val="lv-LV"/>
              </w:rPr>
              <w:t> </w:t>
            </w:r>
            <w:r w:rsidRPr="00C74D1A">
              <w:rPr>
                <w:b/>
                <w:sz w:val="18"/>
                <w:lang w:val="lv-LV"/>
              </w:rPr>
              <w:t>nedēļas ilga prednizona terapija, pakāpeniski samazinot devu</w:t>
            </w:r>
          </w:p>
          <w:p w14:paraId="3C4BC045" w14:textId="1219D47F" w:rsidR="00A453C3" w:rsidRPr="0075336D" w:rsidRDefault="00A453C3" w:rsidP="0067693D">
            <w:pPr>
              <w:keepNext/>
              <w:keepLines/>
              <w:suppressAutoHyphens w:val="0"/>
              <w:spacing w:before="50" w:after="50" w:line="240" w:lineRule="exact"/>
              <w:jc w:val="center"/>
              <w:rPr>
                <w:rFonts w:ascii="Arial" w:eastAsia="SimSun" w:hAnsi="Arial"/>
                <w:b/>
                <w:sz w:val="18"/>
                <w:szCs w:val="18"/>
                <w:lang w:val="en-GB" w:eastAsia="zh-CN"/>
              </w:rPr>
            </w:pPr>
            <w:del w:id="611" w:author="Author">
              <w:r w:rsidRPr="00D6314F" w:rsidDel="005066A1">
                <w:rPr>
                  <w:b/>
                  <w:sz w:val="18"/>
                </w:rPr>
                <w:delText>N</w:delText>
              </w:r>
            </w:del>
            <w:ins w:id="612" w:author="Author">
              <w:r w:rsidR="005066A1">
                <w:rPr>
                  <w:b/>
                  <w:sz w:val="18"/>
                </w:rPr>
                <w:t>n</w:t>
              </w:r>
            </w:ins>
            <w:r w:rsidRPr="00D6314F">
              <w:rPr>
                <w:b/>
                <w:sz w:val="18"/>
              </w:rPr>
              <w:t>=50</w:t>
            </w:r>
          </w:p>
        </w:tc>
        <w:tc>
          <w:tcPr>
            <w:tcW w:w="1356" w:type="dxa"/>
            <w:tcMar>
              <w:top w:w="0" w:type="dxa"/>
              <w:left w:w="57" w:type="dxa"/>
              <w:bottom w:w="0" w:type="dxa"/>
              <w:right w:w="57" w:type="dxa"/>
            </w:tcMar>
          </w:tcPr>
          <w:p w14:paraId="666ED78A" w14:textId="61F77D94" w:rsidR="00A453C3" w:rsidRPr="00707120" w:rsidRDefault="00A453C3" w:rsidP="0067693D">
            <w:pPr>
              <w:keepNext/>
              <w:keepLines/>
              <w:spacing w:before="50" w:after="50" w:line="240" w:lineRule="exact"/>
              <w:jc w:val="center"/>
              <w:rPr>
                <w:rFonts w:eastAsia="SimSun"/>
                <w:b/>
                <w:sz w:val="18"/>
                <w:szCs w:val="18"/>
                <w:lang w:val="pt-PT"/>
              </w:rPr>
            </w:pPr>
            <w:r w:rsidRPr="00707120">
              <w:rPr>
                <w:b/>
                <w:sz w:val="18"/>
                <w:lang w:val="pt-PT"/>
              </w:rPr>
              <w:t>Placebo + 52 nedēļas ilga prednizona terapija, pakāpeniski samazinot devu</w:t>
            </w:r>
          </w:p>
          <w:p w14:paraId="454FB9E6" w14:textId="70382872" w:rsidR="00A453C3" w:rsidRPr="0075336D" w:rsidRDefault="00A453C3" w:rsidP="0067693D">
            <w:pPr>
              <w:keepNext/>
              <w:keepLines/>
              <w:suppressAutoHyphens w:val="0"/>
              <w:spacing w:before="50" w:after="50" w:line="240" w:lineRule="exact"/>
              <w:jc w:val="center"/>
              <w:rPr>
                <w:rFonts w:ascii="Arial" w:eastAsia="SimSun" w:hAnsi="Arial"/>
                <w:b/>
                <w:sz w:val="18"/>
                <w:szCs w:val="18"/>
                <w:lang w:val="en-GB" w:eastAsia="zh-CN"/>
              </w:rPr>
            </w:pPr>
            <w:del w:id="613" w:author="Author">
              <w:r w:rsidRPr="00D6314F" w:rsidDel="005066A1">
                <w:rPr>
                  <w:b/>
                  <w:sz w:val="18"/>
                </w:rPr>
                <w:delText>N</w:delText>
              </w:r>
            </w:del>
            <w:ins w:id="614" w:author="Author">
              <w:r w:rsidR="005066A1">
                <w:rPr>
                  <w:b/>
                  <w:sz w:val="18"/>
                </w:rPr>
                <w:t>n</w:t>
              </w:r>
            </w:ins>
            <w:r w:rsidRPr="00D6314F">
              <w:rPr>
                <w:b/>
                <w:sz w:val="18"/>
              </w:rPr>
              <w:t>=51</w:t>
            </w:r>
          </w:p>
        </w:tc>
        <w:tc>
          <w:tcPr>
            <w:tcW w:w="1209" w:type="dxa"/>
            <w:gridSpan w:val="3"/>
          </w:tcPr>
          <w:p w14:paraId="1E9B948F" w14:textId="0F877BBA" w:rsidR="00A453C3" w:rsidRPr="00D6314F" w:rsidRDefault="00A453C3" w:rsidP="0067693D">
            <w:pPr>
              <w:keepNext/>
              <w:keepLines/>
              <w:spacing w:before="50" w:after="50" w:line="240" w:lineRule="exact"/>
              <w:jc w:val="center"/>
              <w:rPr>
                <w:rFonts w:eastAsia="SimSun"/>
                <w:b/>
                <w:sz w:val="18"/>
                <w:szCs w:val="18"/>
              </w:rPr>
            </w:pPr>
            <w:r>
              <w:rPr>
                <w:b/>
                <w:sz w:val="18"/>
              </w:rPr>
              <w:t>Tocilizumabs</w:t>
            </w:r>
            <w:r w:rsidRPr="00D6314F">
              <w:rPr>
                <w:b/>
                <w:sz w:val="18"/>
              </w:rPr>
              <w:t xml:space="preserve"> 162</w:t>
            </w:r>
            <w:r>
              <w:rPr>
                <w:b/>
                <w:sz w:val="18"/>
              </w:rPr>
              <w:t> </w:t>
            </w:r>
            <w:r w:rsidRPr="00D6314F">
              <w:rPr>
                <w:b/>
                <w:sz w:val="18"/>
              </w:rPr>
              <w:t xml:space="preserve">mg </w:t>
            </w:r>
            <w:r>
              <w:rPr>
                <w:b/>
                <w:sz w:val="18"/>
              </w:rPr>
              <w:t>s.c.</w:t>
            </w:r>
            <w:r w:rsidRPr="00D6314F">
              <w:rPr>
                <w:b/>
                <w:sz w:val="18"/>
              </w:rPr>
              <w:t xml:space="preserve"> </w:t>
            </w:r>
            <w:r>
              <w:rPr>
                <w:b/>
                <w:sz w:val="18"/>
              </w:rPr>
              <w:t xml:space="preserve">vienu </w:t>
            </w:r>
            <w:r w:rsidRPr="00D6314F">
              <w:rPr>
                <w:b/>
                <w:sz w:val="18"/>
              </w:rPr>
              <w:t>reizi nedēļā + 26</w:t>
            </w:r>
            <w:r>
              <w:rPr>
                <w:b/>
                <w:sz w:val="18"/>
              </w:rPr>
              <w:t> </w:t>
            </w:r>
            <w:r w:rsidRPr="00D6314F">
              <w:rPr>
                <w:b/>
                <w:sz w:val="18"/>
              </w:rPr>
              <w:t>nedēļas ilga prednizona terapija, pakāpeniski samazinot devu</w:t>
            </w:r>
          </w:p>
          <w:p w14:paraId="519EE9EB" w14:textId="6C39B0FA" w:rsidR="00A453C3" w:rsidRPr="0075336D" w:rsidRDefault="00A453C3" w:rsidP="0067693D">
            <w:pPr>
              <w:keepNext/>
              <w:keepLines/>
              <w:suppressAutoHyphens w:val="0"/>
              <w:spacing w:before="50" w:after="50" w:line="240" w:lineRule="exact"/>
              <w:jc w:val="center"/>
              <w:rPr>
                <w:rFonts w:ascii="Arial" w:eastAsia="SimSun" w:hAnsi="Arial"/>
                <w:b/>
                <w:sz w:val="18"/>
                <w:szCs w:val="18"/>
                <w:lang w:val="en-GB" w:eastAsia="zh-CN"/>
              </w:rPr>
            </w:pPr>
            <w:del w:id="615" w:author="Author">
              <w:r w:rsidRPr="00D6314F" w:rsidDel="005066A1">
                <w:rPr>
                  <w:b/>
                  <w:sz w:val="18"/>
                </w:rPr>
                <w:delText>N</w:delText>
              </w:r>
            </w:del>
            <w:ins w:id="616" w:author="Author">
              <w:r w:rsidR="005066A1">
                <w:rPr>
                  <w:b/>
                  <w:sz w:val="18"/>
                </w:rPr>
                <w:t>n</w:t>
              </w:r>
            </w:ins>
            <w:r w:rsidRPr="00D6314F">
              <w:rPr>
                <w:b/>
                <w:sz w:val="18"/>
              </w:rPr>
              <w:t>=100</w:t>
            </w:r>
          </w:p>
        </w:tc>
        <w:tc>
          <w:tcPr>
            <w:tcW w:w="2026" w:type="dxa"/>
            <w:tcMar>
              <w:top w:w="0" w:type="dxa"/>
              <w:left w:w="57" w:type="dxa"/>
              <w:bottom w:w="0" w:type="dxa"/>
              <w:right w:w="57" w:type="dxa"/>
            </w:tcMar>
          </w:tcPr>
          <w:p w14:paraId="5880D082" w14:textId="797F2708" w:rsidR="00A453C3" w:rsidRPr="00D6314F" w:rsidRDefault="00A453C3" w:rsidP="0067693D">
            <w:pPr>
              <w:keepNext/>
              <w:keepLines/>
              <w:spacing w:before="50" w:after="50" w:line="240" w:lineRule="exact"/>
              <w:jc w:val="center"/>
              <w:rPr>
                <w:rFonts w:eastAsia="SimSun"/>
                <w:b/>
                <w:sz w:val="18"/>
                <w:szCs w:val="18"/>
              </w:rPr>
            </w:pPr>
            <w:r>
              <w:rPr>
                <w:b/>
                <w:sz w:val="18"/>
              </w:rPr>
              <w:t>Tocilizumabs</w:t>
            </w:r>
            <w:r w:rsidRPr="00D6314F">
              <w:rPr>
                <w:b/>
                <w:sz w:val="18"/>
              </w:rPr>
              <w:t xml:space="preserve"> 162</w:t>
            </w:r>
            <w:r>
              <w:rPr>
                <w:b/>
                <w:sz w:val="18"/>
              </w:rPr>
              <w:t> </w:t>
            </w:r>
            <w:r w:rsidRPr="00D6314F">
              <w:rPr>
                <w:b/>
                <w:sz w:val="18"/>
              </w:rPr>
              <w:t xml:space="preserve">mg </w:t>
            </w:r>
            <w:r>
              <w:rPr>
                <w:b/>
                <w:sz w:val="18"/>
              </w:rPr>
              <w:t>s.c.</w:t>
            </w:r>
            <w:r w:rsidRPr="00D6314F">
              <w:rPr>
                <w:b/>
                <w:sz w:val="18"/>
              </w:rPr>
              <w:t xml:space="preserve"> katru otro nedēļu + 26</w:t>
            </w:r>
            <w:r>
              <w:rPr>
                <w:b/>
                <w:sz w:val="18"/>
              </w:rPr>
              <w:t> </w:t>
            </w:r>
            <w:r w:rsidRPr="00D6314F">
              <w:rPr>
                <w:b/>
                <w:sz w:val="18"/>
              </w:rPr>
              <w:t xml:space="preserve">nedēļas ilga prednizona terapija, pakāpeniski samazinot devu </w:t>
            </w:r>
          </w:p>
          <w:p w14:paraId="60CBF9E5" w14:textId="4389E0C0" w:rsidR="00A453C3" w:rsidRPr="0075336D" w:rsidRDefault="00A453C3" w:rsidP="0067693D">
            <w:pPr>
              <w:keepNext/>
              <w:keepLines/>
              <w:suppressAutoHyphens w:val="0"/>
              <w:spacing w:before="50" w:after="50" w:line="240" w:lineRule="exact"/>
              <w:jc w:val="center"/>
              <w:rPr>
                <w:rFonts w:ascii="Arial" w:eastAsia="SimSun" w:hAnsi="Arial"/>
                <w:b/>
                <w:sz w:val="18"/>
                <w:szCs w:val="18"/>
                <w:lang w:val="en-GB" w:eastAsia="zh-CN"/>
              </w:rPr>
            </w:pPr>
            <w:del w:id="617" w:author="Author">
              <w:r w:rsidRPr="00D6314F" w:rsidDel="005066A1">
                <w:rPr>
                  <w:b/>
                  <w:sz w:val="18"/>
                </w:rPr>
                <w:delText>N</w:delText>
              </w:r>
            </w:del>
            <w:ins w:id="618" w:author="Author">
              <w:r w:rsidR="005066A1">
                <w:rPr>
                  <w:b/>
                  <w:sz w:val="18"/>
                </w:rPr>
                <w:t>n</w:t>
              </w:r>
            </w:ins>
            <w:r w:rsidRPr="00D6314F">
              <w:rPr>
                <w:b/>
                <w:sz w:val="18"/>
              </w:rPr>
              <w:t>=49</w:t>
            </w:r>
          </w:p>
        </w:tc>
      </w:tr>
      <w:tr w:rsidR="008C698A" w:rsidRPr="00DA1321" w14:paraId="57F229BB" w14:textId="77777777" w:rsidTr="00590B03">
        <w:trPr>
          <w:cantSplit/>
        </w:trPr>
        <w:tc>
          <w:tcPr>
            <w:tcW w:w="8365" w:type="dxa"/>
            <w:gridSpan w:val="10"/>
            <w:tcMar>
              <w:top w:w="0" w:type="dxa"/>
              <w:left w:w="57" w:type="dxa"/>
              <w:bottom w:w="0" w:type="dxa"/>
              <w:right w:w="57" w:type="dxa"/>
            </w:tcMar>
          </w:tcPr>
          <w:p w14:paraId="253E0929" w14:textId="1E0948FB" w:rsidR="008C698A" w:rsidRPr="00707120" w:rsidRDefault="008C698A" w:rsidP="00707120">
            <w:pPr>
              <w:keepNext/>
              <w:keepLines/>
              <w:suppressAutoHyphens w:val="0"/>
              <w:spacing w:before="50" w:after="50" w:line="240" w:lineRule="exact"/>
              <w:rPr>
                <w:rFonts w:eastAsia="SimSun"/>
                <w:b/>
                <w:bCs/>
                <w:strike/>
                <w:szCs w:val="22"/>
                <w:lang w:val="en-GB" w:eastAsia="zh-CN"/>
              </w:rPr>
            </w:pPr>
            <w:r w:rsidRPr="00707120">
              <w:rPr>
                <w:rFonts w:eastAsia="SimSun"/>
                <w:b/>
                <w:bCs/>
                <w:szCs w:val="22"/>
                <w:lang w:val="en-GB" w:eastAsia="zh-CN"/>
              </w:rPr>
              <w:t xml:space="preserve">Ilgums (dienas) </w:t>
            </w:r>
          </w:p>
        </w:tc>
      </w:tr>
      <w:tr w:rsidR="00A453C3" w:rsidRPr="0075336D" w14:paraId="6828A4C6" w14:textId="77777777" w:rsidTr="00707120">
        <w:trPr>
          <w:cantSplit/>
        </w:trPr>
        <w:tc>
          <w:tcPr>
            <w:tcW w:w="2348" w:type="dxa"/>
            <w:gridSpan w:val="3"/>
            <w:tcMar>
              <w:top w:w="0" w:type="dxa"/>
              <w:left w:w="57" w:type="dxa"/>
              <w:bottom w:w="0" w:type="dxa"/>
              <w:right w:w="57" w:type="dxa"/>
            </w:tcMar>
          </w:tcPr>
          <w:p w14:paraId="0037E1D9" w14:textId="77777777" w:rsidR="00A453C3" w:rsidRPr="00096020" w:rsidRDefault="00A453C3" w:rsidP="00707120">
            <w:pPr>
              <w:keepNext/>
              <w:keepLines/>
              <w:suppressAutoHyphens w:val="0"/>
              <w:spacing w:before="50" w:after="50" w:line="240" w:lineRule="exact"/>
              <w:ind w:left="301"/>
              <w:rPr>
                <w:rFonts w:eastAsia="SimSun"/>
                <w:szCs w:val="22"/>
                <w:lang w:val="en-GB" w:eastAsia="zh-CN"/>
              </w:rPr>
            </w:pPr>
            <w:r>
              <w:rPr>
                <w:rFonts w:eastAsia="SimSun"/>
                <w:szCs w:val="22"/>
                <w:lang w:val="en-GB" w:eastAsia="zh-CN"/>
              </w:rPr>
              <w:t>Vidējais (SN</w:t>
            </w:r>
            <w:r w:rsidRPr="00096020">
              <w:rPr>
                <w:rFonts w:eastAsia="SimSun"/>
                <w:szCs w:val="22"/>
                <w:lang w:val="en-GB" w:eastAsia="zh-CN"/>
              </w:rPr>
              <w:t>)</w:t>
            </w:r>
          </w:p>
        </w:tc>
        <w:tc>
          <w:tcPr>
            <w:tcW w:w="1418" w:type="dxa"/>
            <w:tcMar>
              <w:top w:w="0" w:type="dxa"/>
              <w:left w:w="57" w:type="dxa"/>
              <w:bottom w:w="0" w:type="dxa"/>
              <w:right w:w="57" w:type="dxa"/>
            </w:tcMar>
          </w:tcPr>
          <w:p w14:paraId="7ADFFF6B" w14:textId="77777777" w:rsidR="00A453C3" w:rsidRPr="00096020" w:rsidRDefault="00A453C3" w:rsidP="0067693D">
            <w:pPr>
              <w:keepNext/>
              <w:keepLines/>
              <w:suppressAutoHyphens w:val="0"/>
              <w:spacing w:before="50" w:after="50" w:line="240" w:lineRule="exact"/>
              <w:jc w:val="center"/>
              <w:rPr>
                <w:rFonts w:eastAsia="SimSun"/>
                <w:szCs w:val="22"/>
                <w:lang w:val="en-GB" w:eastAsia="zh-CN"/>
              </w:rPr>
            </w:pPr>
            <w:r>
              <w:rPr>
                <w:rFonts w:eastAsia="SimSun"/>
                <w:szCs w:val="22"/>
                <w:lang w:val="en-GB" w:eastAsia="zh-CN"/>
              </w:rPr>
              <w:t>35,7 (11,</w:t>
            </w:r>
            <w:r w:rsidRPr="00096020">
              <w:rPr>
                <w:rFonts w:eastAsia="SimSun"/>
                <w:szCs w:val="22"/>
                <w:lang w:val="en-GB" w:eastAsia="zh-CN"/>
              </w:rPr>
              <w:t>5)</w:t>
            </w:r>
          </w:p>
        </w:tc>
        <w:tc>
          <w:tcPr>
            <w:tcW w:w="1417" w:type="dxa"/>
            <w:gridSpan w:val="3"/>
            <w:tcMar>
              <w:top w:w="0" w:type="dxa"/>
              <w:left w:w="57" w:type="dxa"/>
              <w:bottom w:w="0" w:type="dxa"/>
              <w:right w:w="57" w:type="dxa"/>
            </w:tcMar>
          </w:tcPr>
          <w:p w14:paraId="7E56B7E9" w14:textId="77777777" w:rsidR="00A453C3" w:rsidRPr="00096020" w:rsidRDefault="00A453C3" w:rsidP="0067693D">
            <w:pPr>
              <w:keepNext/>
              <w:keepLines/>
              <w:suppressAutoHyphens w:val="0"/>
              <w:spacing w:before="50" w:after="50" w:line="240" w:lineRule="exact"/>
              <w:jc w:val="center"/>
              <w:rPr>
                <w:rFonts w:eastAsia="SimSun"/>
                <w:szCs w:val="22"/>
                <w:lang w:val="en-GB" w:eastAsia="zh-CN"/>
              </w:rPr>
            </w:pPr>
            <w:r>
              <w:rPr>
                <w:rFonts w:eastAsia="SimSun"/>
                <w:szCs w:val="22"/>
                <w:lang w:val="en-GB" w:eastAsia="zh-CN"/>
              </w:rPr>
              <w:t>36,3 (12,</w:t>
            </w:r>
            <w:r w:rsidRPr="00096020">
              <w:rPr>
                <w:rFonts w:eastAsia="SimSun"/>
                <w:szCs w:val="22"/>
                <w:lang w:val="en-GB" w:eastAsia="zh-CN"/>
              </w:rPr>
              <w:t>5)</w:t>
            </w:r>
          </w:p>
        </w:tc>
        <w:tc>
          <w:tcPr>
            <w:tcW w:w="1134" w:type="dxa"/>
          </w:tcPr>
          <w:p w14:paraId="5FDA609A" w14:textId="77777777" w:rsidR="00A453C3" w:rsidRPr="00096020" w:rsidRDefault="00A453C3" w:rsidP="0067693D">
            <w:pPr>
              <w:keepNext/>
              <w:keepLines/>
              <w:suppressAutoHyphens w:val="0"/>
              <w:spacing w:before="50" w:after="50" w:line="240" w:lineRule="exact"/>
              <w:jc w:val="center"/>
              <w:rPr>
                <w:rFonts w:eastAsia="SimSun"/>
                <w:szCs w:val="22"/>
                <w:lang w:val="en-GB" w:eastAsia="zh-CN"/>
              </w:rPr>
            </w:pPr>
            <w:r>
              <w:rPr>
                <w:rFonts w:eastAsia="SimSun"/>
                <w:szCs w:val="22"/>
                <w:lang w:val="en-GB" w:eastAsia="zh-CN"/>
              </w:rPr>
              <w:t>35,</w:t>
            </w:r>
            <w:r w:rsidRPr="00096020">
              <w:rPr>
                <w:rFonts w:eastAsia="SimSun"/>
                <w:szCs w:val="22"/>
                <w:lang w:val="en-GB" w:eastAsia="zh-CN"/>
              </w:rPr>
              <w:t xml:space="preserve">6 </w:t>
            </w:r>
            <w:r>
              <w:rPr>
                <w:rFonts w:eastAsia="SimSun"/>
                <w:szCs w:val="22"/>
                <w:lang w:val="en-GB" w:eastAsia="zh-CN"/>
              </w:rPr>
              <w:t>(13,</w:t>
            </w:r>
            <w:r w:rsidRPr="00096020">
              <w:rPr>
                <w:rFonts w:eastAsia="SimSun"/>
                <w:szCs w:val="22"/>
                <w:lang w:val="en-GB" w:eastAsia="zh-CN"/>
              </w:rPr>
              <w:t>2)</w:t>
            </w:r>
          </w:p>
        </w:tc>
        <w:tc>
          <w:tcPr>
            <w:tcW w:w="2048" w:type="dxa"/>
            <w:gridSpan w:val="2"/>
            <w:tcMar>
              <w:top w:w="0" w:type="dxa"/>
              <w:left w:w="57" w:type="dxa"/>
              <w:bottom w:w="0" w:type="dxa"/>
              <w:right w:w="57" w:type="dxa"/>
            </w:tcMar>
          </w:tcPr>
          <w:p w14:paraId="57B8D0A1" w14:textId="77777777" w:rsidR="00A453C3" w:rsidRPr="00096020" w:rsidRDefault="00A453C3" w:rsidP="0067693D">
            <w:pPr>
              <w:keepNext/>
              <w:keepLines/>
              <w:suppressAutoHyphens w:val="0"/>
              <w:spacing w:before="50" w:after="50" w:line="240" w:lineRule="exact"/>
              <w:jc w:val="center"/>
              <w:rPr>
                <w:rFonts w:eastAsia="SimSun"/>
                <w:szCs w:val="22"/>
                <w:lang w:val="en-GB" w:eastAsia="zh-CN"/>
              </w:rPr>
            </w:pPr>
            <w:r>
              <w:rPr>
                <w:rFonts w:eastAsia="SimSun"/>
                <w:szCs w:val="22"/>
                <w:lang w:val="en-GB" w:eastAsia="zh-CN"/>
              </w:rPr>
              <w:t>37,4 (14,</w:t>
            </w:r>
            <w:r w:rsidRPr="00096020">
              <w:rPr>
                <w:rFonts w:eastAsia="SimSun"/>
                <w:szCs w:val="22"/>
                <w:lang w:val="en-GB" w:eastAsia="zh-CN"/>
              </w:rPr>
              <w:t>4)</w:t>
            </w:r>
          </w:p>
        </w:tc>
      </w:tr>
      <w:tr w:rsidR="00A453C3" w:rsidRPr="0075336D" w14:paraId="424CCB6B" w14:textId="77777777" w:rsidTr="00707120">
        <w:trPr>
          <w:cantSplit/>
        </w:trPr>
        <w:tc>
          <w:tcPr>
            <w:tcW w:w="2348" w:type="dxa"/>
            <w:gridSpan w:val="3"/>
            <w:tcMar>
              <w:top w:w="0" w:type="dxa"/>
              <w:left w:w="57" w:type="dxa"/>
              <w:bottom w:w="0" w:type="dxa"/>
              <w:right w:w="57" w:type="dxa"/>
            </w:tcMar>
          </w:tcPr>
          <w:p w14:paraId="7A463C88" w14:textId="77777777" w:rsidR="00A453C3" w:rsidRPr="00096020" w:rsidRDefault="00A453C3" w:rsidP="00707120">
            <w:pPr>
              <w:keepNext/>
              <w:keepLines/>
              <w:suppressAutoHyphens w:val="0"/>
              <w:spacing w:before="50" w:after="50" w:line="240" w:lineRule="exact"/>
              <w:ind w:left="301"/>
              <w:rPr>
                <w:rFonts w:eastAsia="SimSun"/>
                <w:szCs w:val="22"/>
                <w:lang w:val="en-GB" w:eastAsia="zh-CN"/>
              </w:rPr>
            </w:pPr>
            <w:r>
              <w:rPr>
                <w:rFonts w:eastAsia="SimSun"/>
                <w:szCs w:val="22"/>
                <w:lang w:val="en-GB" w:eastAsia="zh-CN"/>
              </w:rPr>
              <w:t>Mediāna</w:t>
            </w:r>
          </w:p>
        </w:tc>
        <w:tc>
          <w:tcPr>
            <w:tcW w:w="1418" w:type="dxa"/>
            <w:tcMar>
              <w:top w:w="0" w:type="dxa"/>
              <w:left w:w="57" w:type="dxa"/>
              <w:bottom w:w="0" w:type="dxa"/>
              <w:right w:w="57" w:type="dxa"/>
            </w:tcMar>
          </w:tcPr>
          <w:p w14:paraId="738D303A" w14:textId="77777777" w:rsidR="00A453C3" w:rsidRPr="00096020" w:rsidRDefault="00A453C3" w:rsidP="0067693D">
            <w:pPr>
              <w:keepNext/>
              <w:keepLines/>
              <w:suppressAutoHyphens w:val="0"/>
              <w:spacing w:before="50" w:after="50" w:line="240" w:lineRule="exact"/>
              <w:jc w:val="center"/>
              <w:rPr>
                <w:rFonts w:eastAsia="SimSun"/>
                <w:szCs w:val="22"/>
                <w:lang w:val="en-GB" w:eastAsia="zh-CN"/>
              </w:rPr>
            </w:pPr>
            <w:r>
              <w:rPr>
                <w:rFonts w:eastAsia="SimSun"/>
                <w:szCs w:val="22"/>
                <w:lang w:val="en-GB" w:eastAsia="zh-CN"/>
              </w:rPr>
              <w:t>42,</w:t>
            </w:r>
            <w:r w:rsidRPr="00096020">
              <w:rPr>
                <w:rFonts w:eastAsia="SimSun"/>
                <w:szCs w:val="22"/>
                <w:lang w:val="en-GB" w:eastAsia="zh-CN"/>
              </w:rPr>
              <w:t>0</w:t>
            </w:r>
          </w:p>
        </w:tc>
        <w:tc>
          <w:tcPr>
            <w:tcW w:w="1417" w:type="dxa"/>
            <w:gridSpan w:val="3"/>
            <w:tcMar>
              <w:top w:w="0" w:type="dxa"/>
              <w:left w:w="57" w:type="dxa"/>
              <w:bottom w:w="0" w:type="dxa"/>
              <w:right w:w="57" w:type="dxa"/>
            </w:tcMar>
          </w:tcPr>
          <w:p w14:paraId="0A8026F9" w14:textId="77777777" w:rsidR="00A453C3" w:rsidRPr="00096020" w:rsidRDefault="00A453C3" w:rsidP="0067693D">
            <w:pPr>
              <w:keepNext/>
              <w:keepLines/>
              <w:suppressAutoHyphens w:val="0"/>
              <w:spacing w:before="50" w:after="50" w:line="240" w:lineRule="exact"/>
              <w:jc w:val="center"/>
              <w:rPr>
                <w:rFonts w:eastAsia="SimSun"/>
                <w:szCs w:val="22"/>
                <w:lang w:val="en-GB" w:eastAsia="zh-CN"/>
              </w:rPr>
            </w:pPr>
            <w:r>
              <w:rPr>
                <w:rFonts w:eastAsia="SimSun"/>
                <w:szCs w:val="22"/>
                <w:lang w:val="en-GB" w:eastAsia="zh-CN"/>
              </w:rPr>
              <w:t>41,</w:t>
            </w:r>
            <w:r w:rsidRPr="00096020">
              <w:rPr>
                <w:rFonts w:eastAsia="SimSun"/>
                <w:szCs w:val="22"/>
                <w:lang w:val="en-GB" w:eastAsia="zh-CN"/>
              </w:rPr>
              <w:t>0</w:t>
            </w:r>
          </w:p>
        </w:tc>
        <w:tc>
          <w:tcPr>
            <w:tcW w:w="1134" w:type="dxa"/>
          </w:tcPr>
          <w:p w14:paraId="7163C258" w14:textId="77777777" w:rsidR="00A453C3" w:rsidRPr="00096020" w:rsidRDefault="00A453C3" w:rsidP="0067693D">
            <w:pPr>
              <w:keepNext/>
              <w:keepLines/>
              <w:suppressAutoHyphens w:val="0"/>
              <w:spacing w:before="50" w:after="50" w:line="240" w:lineRule="exact"/>
              <w:jc w:val="center"/>
              <w:rPr>
                <w:rFonts w:eastAsia="SimSun"/>
                <w:szCs w:val="22"/>
                <w:lang w:val="en-GB" w:eastAsia="zh-CN"/>
              </w:rPr>
            </w:pPr>
            <w:r>
              <w:rPr>
                <w:rFonts w:eastAsia="SimSun"/>
                <w:szCs w:val="22"/>
                <w:lang w:val="en-GB" w:eastAsia="zh-CN"/>
              </w:rPr>
              <w:t>41,</w:t>
            </w:r>
            <w:r w:rsidRPr="00096020">
              <w:rPr>
                <w:rFonts w:eastAsia="SimSun"/>
                <w:szCs w:val="22"/>
                <w:lang w:val="en-GB" w:eastAsia="zh-CN"/>
              </w:rPr>
              <w:t>0</w:t>
            </w:r>
          </w:p>
        </w:tc>
        <w:tc>
          <w:tcPr>
            <w:tcW w:w="2048" w:type="dxa"/>
            <w:gridSpan w:val="2"/>
            <w:tcMar>
              <w:top w:w="0" w:type="dxa"/>
              <w:left w:w="57" w:type="dxa"/>
              <w:bottom w:w="0" w:type="dxa"/>
              <w:right w:w="57" w:type="dxa"/>
            </w:tcMar>
          </w:tcPr>
          <w:p w14:paraId="1B23AA66" w14:textId="77777777" w:rsidR="00A453C3" w:rsidRPr="00096020" w:rsidRDefault="00A453C3" w:rsidP="0067693D">
            <w:pPr>
              <w:keepNext/>
              <w:keepLines/>
              <w:suppressAutoHyphens w:val="0"/>
              <w:spacing w:before="50" w:after="50" w:line="240" w:lineRule="exact"/>
              <w:jc w:val="center"/>
              <w:rPr>
                <w:rFonts w:eastAsia="SimSun"/>
                <w:szCs w:val="22"/>
                <w:lang w:val="en-GB" w:eastAsia="zh-CN"/>
              </w:rPr>
            </w:pPr>
            <w:r>
              <w:rPr>
                <w:rFonts w:eastAsia="SimSun"/>
                <w:szCs w:val="22"/>
                <w:lang w:val="en-GB" w:eastAsia="zh-CN"/>
              </w:rPr>
              <w:t>42,</w:t>
            </w:r>
            <w:r w:rsidRPr="00096020">
              <w:rPr>
                <w:rFonts w:eastAsia="SimSun"/>
                <w:szCs w:val="22"/>
                <w:lang w:val="en-GB" w:eastAsia="zh-CN"/>
              </w:rPr>
              <w:t>0</w:t>
            </w:r>
          </w:p>
        </w:tc>
      </w:tr>
      <w:tr w:rsidR="00A453C3" w:rsidRPr="0075336D" w14:paraId="0EB93E19" w14:textId="77777777" w:rsidTr="00707120">
        <w:trPr>
          <w:cantSplit/>
        </w:trPr>
        <w:tc>
          <w:tcPr>
            <w:tcW w:w="2348" w:type="dxa"/>
            <w:gridSpan w:val="3"/>
            <w:tcMar>
              <w:top w:w="0" w:type="dxa"/>
              <w:left w:w="57" w:type="dxa"/>
              <w:bottom w:w="0" w:type="dxa"/>
              <w:right w:w="57" w:type="dxa"/>
            </w:tcMar>
          </w:tcPr>
          <w:p w14:paraId="1724A2D6" w14:textId="0E9CD0B8" w:rsidR="00A453C3" w:rsidRPr="00096020" w:rsidRDefault="00A453C3" w:rsidP="00707120">
            <w:pPr>
              <w:keepNext/>
              <w:keepLines/>
              <w:suppressAutoHyphens w:val="0"/>
              <w:spacing w:before="50" w:after="50" w:line="240" w:lineRule="exact"/>
              <w:ind w:left="301"/>
              <w:rPr>
                <w:rFonts w:eastAsia="SimSun"/>
                <w:szCs w:val="22"/>
                <w:lang w:val="en-GB" w:eastAsia="zh-CN"/>
              </w:rPr>
            </w:pPr>
            <w:r w:rsidRPr="00096020">
              <w:rPr>
                <w:rFonts w:eastAsia="SimSun"/>
                <w:szCs w:val="22"/>
                <w:lang w:val="en-GB" w:eastAsia="zh-CN"/>
              </w:rPr>
              <w:t>Min</w:t>
            </w:r>
            <w:r>
              <w:rPr>
                <w:rFonts w:eastAsia="SimSun"/>
                <w:szCs w:val="22"/>
                <w:lang w:val="en-GB" w:eastAsia="zh-CN"/>
              </w:rPr>
              <w:t>imums</w:t>
            </w:r>
            <w:del w:id="619" w:author="Author">
              <w:r w:rsidRPr="00096020" w:rsidDel="00C47E5B">
                <w:rPr>
                  <w:rFonts w:eastAsia="SimSun"/>
                  <w:szCs w:val="22"/>
                  <w:lang w:val="en-GB" w:eastAsia="zh-CN"/>
                </w:rPr>
                <w:delText xml:space="preserve"> </w:delText>
              </w:r>
            </w:del>
            <w:r>
              <w:rPr>
                <w:rFonts w:eastAsia="SimSun"/>
                <w:szCs w:val="22"/>
                <w:lang w:val="en-GB" w:eastAsia="zh-CN"/>
              </w:rPr>
              <w:noBreakHyphen/>
            </w:r>
            <w:del w:id="620" w:author="Author">
              <w:r w:rsidRPr="00096020" w:rsidDel="00C47E5B">
                <w:rPr>
                  <w:rFonts w:eastAsia="SimSun"/>
                  <w:szCs w:val="22"/>
                  <w:lang w:val="en-GB" w:eastAsia="zh-CN"/>
                </w:rPr>
                <w:delText xml:space="preserve"> </w:delText>
              </w:r>
            </w:del>
            <w:r w:rsidRPr="00096020">
              <w:rPr>
                <w:rFonts w:eastAsia="SimSun"/>
                <w:szCs w:val="22"/>
                <w:lang w:val="en-GB" w:eastAsia="zh-CN"/>
              </w:rPr>
              <w:t>Ma</w:t>
            </w:r>
            <w:r>
              <w:rPr>
                <w:rFonts w:eastAsia="SimSun"/>
                <w:szCs w:val="22"/>
                <w:lang w:val="en-GB" w:eastAsia="zh-CN"/>
              </w:rPr>
              <w:t>ksimums</w:t>
            </w:r>
          </w:p>
        </w:tc>
        <w:tc>
          <w:tcPr>
            <w:tcW w:w="1418" w:type="dxa"/>
            <w:tcMar>
              <w:top w:w="0" w:type="dxa"/>
              <w:left w:w="57" w:type="dxa"/>
              <w:bottom w:w="0" w:type="dxa"/>
              <w:right w:w="57" w:type="dxa"/>
            </w:tcMar>
          </w:tcPr>
          <w:p w14:paraId="7387B2D9" w14:textId="01A92E95" w:rsidR="00A453C3" w:rsidRPr="00096020" w:rsidRDefault="00A453C3" w:rsidP="0067693D">
            <w:pPr>
              <w:keepNext/>
              <w:keepLines/>
              <w:suppressAutoHyphens w:val="0"/>
              <w:spacing w:before="50" w:after="50" w:line="240" w:lineRule="exact"/>
              <w:jc w:val="center"/>
              <w:rPr>
                <w:rFonts w:eastAsia="SimSun"/>
                <w:szCs w:val="22"/>
                <w:lang w:val="en-GB" w:eastAsia="zh-CN"/>
              </w:rPr>
            </w:pPr>
            <w:r w:rsidRPr="00096020">
              <w:rPr>
                <w:rFonts w:eastAsia="SimSun"/>
                <w:szCs w:val="22"/>
                <w:lang w:val="en-GB" w:eastAsia="zh-CN"/>
              </w:rPr>
              <w:t>6</w:t>
            </w:r>
            <w:del w:id="621" w:author="Author">
              <w:r w:rsidRPr="00096020" w:rsidDel="00C47E5B">
                <w:rPr>
                  <w:rFonts w:eastAsia="SimSun"/>
                  <w:szCs w:val="22"/>
                  <w:lang w:val="en-GB" w:eastAsia="zh-CN"/>
                </w:rPr>
                <w:delText xml:space="preserve"> </w:delText>
              </w:r>
            </w:del>
            <w:r>
              <w:rPr>
                <w:rFonts w:eastAsia="SimSun"/>
                <w:szCs w:val="22"/>
                <w:lang w:val="en-GB" w:eastAsia="zh-CN"/>
              </w:rPr>
              <w:t>–</w:t>
            </w:r>
            <w:del w:id="622" w:author="Author">
              <w:r w:rsidRPr="00096020" w:rsidDel="00C47E5B">
                <w:rPr>
                  <w:rFonts w:eastAsia="SimSun"/>
                  <w:szCs w:val="22"/>
                  <w:lang w:val="en-GB" w:eastAsia="zh-CN"/>
                </w:rPr>
                <w:delText xml:space="preserve"> </w:delText>
              </w:r>
            </w:del>
            <w:r w:rsidRPr="00096020">
              <w:rPr>
                <w:rFonts w:eastAsia="SimSun"/>
                <w:szCs w:val="22"/>
                <w:lang w:val="en-GB" w:eastAsia="zh-CN"/>
              </w:rPr>
              <w:t>63</w:t>
            </w:r>
          </w:p>
        </w:tc>
        <w:tc>
          <w:tcPr>
            <w:tcW w:w="1417" w:type="dxa"/>
            <w:gridSpan w:val="3"/>
            <w:tcMar>
              <w:top w:w="0" w:type="dxa"/>
              <w:left w:w="57" w:type="dxa"/>
              <w:bottom w:w="0" w:type="dxa"/>
              <w:right w:w="57" w:type="dxa"/>
            </w:tcMar>
          </w:tcPr>
          <w:p w14:paraId="37E51722" w14:textId="05F7DA40" w:rsidR="00A453C3" w:rsidRPr="00096020" w:rsidRDefault="00A453C3" w:rsidP="0067693D">
            <w:pPr>
              <w:keepNext/>
              <w:keepLines/>
              <w:suppressAutoHyphens w:val="0"/>
              <w:spacing w:before="50" w:after="50" w:line="240" w:lineRule="exact"/>
              <w:jc w:val="center"/>
              <w:rPr>
                <w:rFonts w:eastAsia="SimSun"/>
                <w:szCs w:val="22"/>
                <w:lang w:val="en-GB" w:eastAsia="zh-CN"/>
              </w:rPr>
            </w:pPr>
            <w:r w:rsidRPr="00096020">
              <w:rPr>
                <w:rFonts w:eastAsia="SimSun"/>
                <w:szCs w:val="22"/>
                <w:lang w:val="en-GB" w:eastAsia="zh-CN"/>
              </w:rPr>
              <w:t>12</w:t>
            </w:r>
            <w:del w:id="623" w:author="Author">
              <w:r w:rsidRPr="00096020" w:rsidDel="00C47E5B">
                <w:rPr>
                  <w:rFonts w:eastAsia="SimSun"/>
                  <w:szCs w:val="22"/>
                  <w:lang w:val="en-GB" w:eastAsia="zh-CN"/>
                </w:rPr>
                <w:delText xml:space="preserve"> </w:delText>
              </w:r>
            </w:del>
            <w:r w:rsidRPr="00096020">
              <w:rPr>
                <w:rFonts w:eastAsia="SimSun"/>
                <w:szCs w:val="22"/>
                <w:lang w:val="en-GB" w:eastAsia="zh-CN"/>
              </w:rPr>
              <w:t>–</w:t>
            </w:r>
            <w:del w:id="624" w:author="Author">
              <w:r w:rsidRPr="00096020" w:rsidDel="00C47E5B">
                <w:rPr>
                  <w:rFonts w:eastAsia="SimSun"/>
                  <w:szCs w:val="22"/>
                  <w:lang w:val="en-GB" w:eastAsia="zh-CN"/>
                </w:rPr>
                <w:delText xml:space="preserve"> </w:delText>
              </w:r>
            </w:del>
            <w:r w:rsidRPr="00096020">
              <w:rPr>
                <w:rFonts w:eastAsia="SimSun"/>
                <w:szCs w:val="22"/>
                <w:lang w:val="en-GB" w:eastAsia="zh-CN"/>
              </w:rPr>
              <w:t>82</w:t>
            </w:r>
          </w:p>
        </w:tc>
        <w:tc>
          <w:tcPr>
            <w:tcW w:w="1134" w:type="dxa"/>
          </w:tcPr>
          <w:p w14:paraId="6AB54732" w14:textId="0E10A129" w:rsidR="00A453C3" w:rsidRPr="00096020" w:rsidRDefault="00A453C3" w:rsidP="0067693D">
            <w:pPr>
              <w:keepNext/>
              <w:keepLines/>
              <w:suppressAutoHyphens w:val="0"/>
              <w:spacing w:before="50" w:after="50" w:line="240" w:lineRule="exact"/>
              <w:jc w:val="center"/>
              <w:rPr>
                <w:rFonts w:eastAsia="SimSun"/>
                <w:szCs w:val="22"/>
                <w:lang w:val="en-GB" w:eastAsia="zh-CN"/>
              </w:rPr>
            </w:pPr>
            <w:r w:rsidRPr="00096020">
              <w:rPr>
                <w:rFonts w:eastAsia="SimSun"/>
                <w:szCs w:val="22"/>
                <w:lang w:val="en-GB" w:eastAsia="zh-CN"/>
              </w:rPr>
              <w:t>1</w:t>
            </w:r>
            <w:del w:id="625" w:author="Author">
              <w:r w:rsidRPr="00096020" w:rsidDel="00C47E5B">
                <w:rPr>
                  <w:rFonts w:eastAsia="SimSun"/>
                  <w:szCs w:val="22"/>
                  <w:lang w:val="en-GB" w:eastAsia="zh-CN"/>
                </w:rPr>
                <w:delText xml:space="preserve"> </w:delText>
              </w:r>
            </w:del>
            <w:r>
              <w:rPr>
                <w:rFonts w:eastAsia="SimSun"/>
                <w:szCs w:val="22"/>
                <w:lang w:val="en-GB" w:eastAsia="zh-CN"/>
              </w:rPr>
              <w:t>–</w:t>
            </w:r>
            <w:del w:id="626" w:author="Author">
              <w:r w:rsidRPr="00096020" w:rsidDel="00C47E5B">
                <w:rPr>
                  <w:rFonts w:eastAsia="SimSun"/>
                  <w:szCs w:val="22"/>
                  <w:lang w:val="en-GB" w:eastAsia="zh-CN"/>
                </w:rPr>
                <w:delText xml:space="preserve"> </w:delText>
              </w:r>
            </w:del>
            <w:r w:rsidRPr="00096020">
              <w:rPr>
                <w:rFonts w:eastAsia="SimSun"/>
                <w:szCs w:val="22"/>
                <w:lang w:val="en-GB" w:eastAsia="zh-CN"/>
              </w:rPr>
              <w:t>87</w:t>
            </w:r>
          </w:p>
        </w:tc>
        <w:tc>
          <w:tcPr>
            <w:tcW w:w="2048" w:type="dxa"/>
            <w:gridSpan w:val="2"/>
            <w:tcMar>
              <w:top w:w="0" w:type="dxa"/>
              <w:left w:w="57" w:type="dxa"/>
              <w:bottom w:w="0" w:type="dxa"/>
              <w:right w:w="57" w:type="dxa"/>
            </w:tcMar>
          </w:tcPr>
          <w:p w14:paraId="47792CD2" w14:textId="4676CB4C" w:rsidR="00A453C3" w:rsidRPr="00096020" w:rsidRDefault="00A453C3" w:rsidP="0067693D">
            <w:pPr>
              <w:keepNext/>
              <w:keepLines/>
              <w:suppressAutoHyphens w:val="0"/>
              <w:spacing w:before="50" w:after="50" w:line="240" w:lineRule="exact"/>
              <w:jc w:val="center"/>
              <w:rPr>
                <w:rFonts w:eastAsia="SimSun"/>
                <w:szCs w:val="22"/>
                <w:lang w:val="en-GB" w:eastAsia="zh-CN"/>
              </w:rPr>
            </w:pPr>
            <w:r w:rsidRPr="00096020">
              <w:rPr>
                <w:rFonts w:eastAsia="SimSun"/>
                <w:szCs w:val="22"/>
                <w:lang w:val="en-GB" w:eastAsia="zh-CN"/>
              </w:rPr>
              <w:t>9</w:t>
            </w:r>
            <w:del w:id="627" w:author="Author">
              <w:r w:rsidRPr="00096020" w:rsidDel="00C47E5B">
                <w:rPr>
                  <w:rFonts w:eastAsia="SimSun"/>
                  <w:szCs w:val="22"/>
                  <w:lang w:val="en-GB" w:eastAsia="zh-CN"/>
                </w:rPr>
                <w:delText xml:space="preserve"> </w:delText>
              </w:r>
            </w:del>
            <w:r>
              <w:rPr>
                <w:rFonts w:eastAsia="SimSun"/>
                <w:szCs w:val="22"/>
                <w:lang w:val="en-GB" w:eastAsia="zh-CN"/>
              </w:rPr>
              <w:t>–</w:t>
            </w:r>
            <w:del w:id="628" w:author="Author">
              <w:r w:rsidRPr="00096020" w:rsidDel="00C47E5B">
                <w:rPr>
                  <w:rFonts w:eastAsia="SimSun"/>
                  <w:szCs w:val="22"/>
                  <w:lang w:val="en-GB" w:eastAsia="zh-CN"/>
                </w:rPr>
                <w:delText xml:space="preserve"> </w:delText>
              </w:r>
            </w:del>
            <w:r w:rsidRPr="00096020">
              <w:rPr>
                <w:rFonts w:eastAsia="SimSun"/>
                <w:szCs w:val="22"/>
                <w:lang w:val="en-GB" w:eastAsia="zh-CN"/>
              </w:rPr>
              <w:t>87</w:t>
            </w:r>
          </w:p>
        </w:tc>
      </w:tr>
    </w:tbl>
    <w:p w14:paraId="738FF555" w14:textId="77777777" w:rsidR="00A453C3" w:rsidRPr="00707120" w:rsidRDefault="00A453C3" w:rsidP="00A453C3">
      <w:pPr>
        <w:rPr>
          <w:sz w:val="18"/>
          <w:szCs w:val="18"/>
        </w:rPr>
      </w:pPr>
      <w:r w:rsidRPr="00707120">
        <w:rPr>
          <w:sz w:val="18"/>
          <w:szCs w:val="18"/>
        </w:rPr>
        <w:t>s.c. = subkutāni.</w:t>
      </w:r>
    </w:p>
    <w:p w14:paraId="74C3BD2E" w14:textId="77777777" w:rsidR="00A453C3" w:rsidRPr="00D6314F" w:rsidRDefault="00A453C3" w:rsidP="00A453C3"/>
    <w:p w14:paraId="143D7EEE" w14:textId="6326D6C9" w:rsidR="00A453C3" w:rsidRPr="00D6314F" w:rsidRDefault="00A453C3" w:rsidP="00A453C3">
      <w:r w:rsidRPr="00D6314F">
        <w:t xml:space="preserve">Tika </w:t>
      </w:r>
      <w:r>
        <w:t>sasniegts</w:t>
      </w:r>
      <w:r w:rsidRPr="00D6314F">
        <w:t xml:space="preserve"> primārais vērtētais efektivitātes mērķa kritērijs </w:t>
      </w:r>
      <w:r>
        <w:t>–</w:t>
      </w:r>
      <w:r w:rsidRPr="00D6314F">
        <w:t xml:space="preserve"> pacientu </w:t>
      </w:r>
      <w:r>
        <w:t xml:space="preserve">procentuālais </w:t>
      </w:r>
      <w:r w:rsidRPr="00D6314F">
        <w:t xml:space="preserve">īpatsvars, kuriem </w:t>
      </w:r>
      <w:r>
        <w:t>tocilizumaba</w:t>
      </w:r>
      <w:r w:rsidRPr="00D6314F">
        <w:t xml:space="preserve"> terapijas 52. nedēļā </w:t>
      </w:r>
      <w:r>
        <w:t>kombinācijā ar</w:t>
      </w:r>
      <w:r w:rsidRPr="00D6314F">
        <w:t xml:space="preserve"> 26</w:t>
      </w:r>
      <w:r>
        <w:t xml:space="preserve"> nedēļas </w:t>
      </w:r>
      <w:r w:rsidRPr="00D6314F">
        <w:t>ilg</w:t>
      </w:r>
      <w:r>
        <w:t>u</w:t>
      </w:r>
      <w:r w:rsidRPr="00D6314F">
        <w:t xml:space="preserve"> prednizona </w:t>
      </w:r>
      <w:r>
        <w:t>terapiju</w:t>
      </w:r>
      <w:r w:rsidRPr="00D6314F">
        <w:t xml:space="preserve">, pakāpeniski samazinot devu, bija </w:t>
      </w:r>
      <w:r>
        <w:t>panākta</w:t>
      </w:r>
      <w:r w:rsidRPr="00D6314F">
        <w:t xml:space="preserve"> noturīga remisija bez steroīdu lietošanas, salīdzinājumā ar placebo </w:t>
      </w:r>
      <w:r>
        <w:t>kombinācijā</w:t>
      </w:r>
      <w:r w:rsidRPr="00D6314F">
        <w:t xml:space="preserve"> ar 26</w:t>
      </w:r>
      <w:r>
        <w:t> </w:t>
      </w:r>
      <w:r w:rsidRPr="00D6314F">
        <w:t>nedēļas ilgu prednizona terapiju, pakāpeniski samazinot devu (</w:t>
      </w:r>
      <w:r>
        <w:t>4</w:t>
      </w:r>
      <w:r w:rsidRPr="00D6314F">
        <w:t>.</w:t>
      </w:r>
      <w:r>
        <w:t> </w:t>
      </w:r>
      <w:r w:rsidRPr="00D6314F">
        <w:t xml:space="preserve">tabula). </w:t>
      </w:r>
    </w:p>
    <w:bookmarkEnd w:id="607"/>
    <w:p w14:paraId="163B359F" w14:textId="77777777" w:rsidR="00A453C3" w:rsidRPr="00D6314F" w:rsidRDefault="00A453C3" w:rsidP="00A453C3"/>
    <w:p w14:paraId="7884E156" w14:textId="4CA24D7B" w:rsidR="00A453C3" w:rsidRPr="00D6314F" w:rsidRDefault="00A453C3" w:rsidP="00A453C3">
      <w:r w:rsidRPr="00D6314F">
        <w:t xml:space="preserve">Tika </w:t>
      </w:r>
      <w:r>
        <w:t>sasniegts</w:t>
      </w:r>
      <w:r w:rsidRPr="00D6314F">
        <w:t xml:space="preserve"> </w:t>
      </w:r>
      <w:r>
        <w:t xml:space="preserve">galvenais </w:t>
      </w:r>
      <w:r w:rsidRPr="00D6314F">
        <w:t>sekundārais efektivitātes mērķa kritērijs</w:t>
      </w:r>
      <w:r>
        <w:t>,</w:t>
      </w:r>
      <w:r w:rsidRPr="00D6314F">
        <w:t xml:space="preserve"> </w:t>
      </w:r>
      <w:r w:rsidRPr="00D006F4">
        <w:rPr>
          <w:lang w:val="lv-LV"/>
        </w:rPr>
        <w:t>kas arī pamatojās uz pacientu procentuālo</w:t>
      </w:r>
      <w:r w:rsidRPr="00D6314F">
        <w:t xml:space="preserve"> īpatsvaru, kuriem 52.</w:t>
      </w:r>
      <w:r>
        <w:t> </w:t>
      </w:r>
      <w:r w:rsidRPr="00D6314F">
        <w:t xml:space="preserve">nedēļā bija panākta noturīga remisija, salīdzinot tocilizumabu kombinācijā ar 26 nedēļas ilgu prednizona terapiju, pakāpeniski samazinot devu, un placebo </w:t>
      </w:r>
      <w:r>
        <w:t>kombinācijā</w:t>
      </w:r>
      <w:r w:rsidRPr="00D6314F">
        <w:t xml:space="preserve"> ar 52</w:t>
      </w:r>
      <w:r>
        <w:t> </w:t>
      </w:r>
      <w:r w:rsidRPr="00D6314F">
        <w:t>nedēļas ilgu prednizona terapiju, pakāpeniski samazinot devu (</w:t>
      </w:r>
      <w:r>
        <w:t>4</w:t>
      </w:r>
      <w:r w:rsidRPr="00D6314F">
        <w:t>.</w:t>
      </w:r>
      <w:r w:rsidR="0015293C">
        <w:t> </w:t>
      </w:r>
      <w:r w:rsidRPr="00D6314F">
        <w:t>tabula).</w:t>
      </w:r>
    </w:p>
    <w:p w14:paraId="1CC59283" w14:textId="77777777" w:rsidR="00A453C3" w:rsidRPr="00D6314F" w:rsidRDefault="00A453C3" w:rsidP="00A453C3"/>
    <w:p w14:paraId="62925F37" w14:textId="01B16558" w:rsidR="00A453C3" w:rsidRPr="00D6314F" w:rsidRDefault="00A453C3" w:rsidP="00A453C3">
      <w:pPr>
        <w:rPr>
          <w:color w:val="000000"/>
          <w:shd w:val="clear" w:color="auto" w:fill="FFFFFF"/>
        </w:rPr>
      </w:pPr>
      <w:r w:rsidRPr="00D006F4">
        <w:rPr>
          <w:color w:val="000000"/>
          <w:shd w:val="clear" w:color="auto" w:fill="FFFFFF"/>
          <w:lang w:val="lv-LV"/>
        </w:rPr>
        <w:t xml:space="preserve">Statistiski nozīmīgi labāks ārstēšanas efekts par labu </w:t>
      </w:r>
      <w:r>
        <w:rPr>
          <w:color w:val="000000"/>
          <w:shd w:val="clear" w:color="auto" w:fill="FFFFFF"/>
          <w:lang w:val="lv-LV"/>
        </w:rPr>
        <w:t>tocilizumabam</w:t>
      </w:r>
      <w:r w:rsidRPr="00D006F4">
        <w:rPr>
          <w:color w:val="000000"/>
          <w:shd w:val="clear" w:color="auto" w:fill="FFFFFF"/>
          <w:lang w:val="lv-LV"/>
        </w:rPr>
        <w:t xml:space="preserve"> salīdzinājumā ar placebo tika novērots</w:t>
      </w:r>
      <w:r>
        <w:rPr>
          <w:color w:val="000000"/>
          <w:shd w:val="clear" w:color="auto" w:fill="FFFFFF"/>
          <w:lang w:val="lv-LV"/>
        </w:rPr>
        <w:t>,</w:t>
      </w:r>
      <w:r w:rsidRPr="00D006F4">
        <w:rPr>
          <w:color w:val="000000"/>
          <w:shd w:val="clear" w:color="auto" w:fill="FFFFFF"/>
          <w:lang w:val="lv-LV"/>
        </w:rPr>
        <w:t xml:space="preserve"> v</w:t>
      </w:r>
      <w:r w:rsidRPr="00D6314F">
        <w:rPr>
          <w:color w:val="000000"/>
          <w:shd w:val="clear" w:color="auto" w:fill="FFFFFF"/>
        </w:rPr>
        <w:t xml:space="preserve">ērtējot noturīgas remisijas panākšanu bez steroīdu lietošanas 52. nedēļā, lietojot </w:t>
      </w:r>
      <w:r>
        <w:rPr>
          <w:color w:val="000000"/>
          <w:shd w:val="clear" w:color="auto" w:fill="FFFFFF"/>
        </w:rPr>
        <w:t>tocilizumabu</w:t>
      </w:r>
      <w:r w:rsidRPr="00D6314F">
        <w:rPr>
          <w:color w:val="000000"/>
          <w:shd w:val="clear" w:color="auto" w:fill="FFFFFF"/>
        </w:rPr>
        <w:t xml:space="preserve"> kombinācijā ar 26</w:t>
      </w:r>
      <w:r>
        <w:rPr>
          <w:color w:val="000000"/>
          <w:shd w:val="clear" w:color="auto" w:fill="FFFFFF"/>
        </w:rPr>
        <w:t> </w:t>
      </w:r>
      <w:r w:rsidRPr="00D6314F">
        <w:rPr>
          <w:color w:val="000000"/>
          <w:shd w:val="clear" w:color="auto" w:fill="FFFFFF"/>
        </w:rPr>
        <w:t>nedēļas ilgu prednizona terapiju, pakāpeniski samazinot devu, salīdzinājumā ar placebo kombinācijā ar 26</w:t>
      </w:r>
      <w:r>
        <w:rPr>
          <w:color w:val="000000"/>
          <w:shd w:val="clear" w:color="auto" w:fill="FFFFFF"/>
        </w:rPr>
        <w:t> </w:t>
      </w:r>
      <w:r w:rsidRPr="00D6314F">
        <w:rPr>
          <w:color w:val="000000"/>
          <w:shd w:val="clear" w:color="auto" w:fill="FFFFFF"/>
        </w:rPr>
        <w:t>nedēļas vai 52</w:t>
      </w:r>
      <w:r>
        <w:rPr>
          <w:color w:val="000000"/>
          <w:shd w:val="clear" w:color="auto" w:fill="FFFFFF"/>
        </w:rPr>
        <w:t> </w:t>
      </w:r>
      <w:r w:rsidRPr="00D6314F">
        <w:rPr>
          <w:color w:val="000000"/>
          <w:shd w:val="clear" w:color="auto" w:fill="FFFFFF"/>
        </w:rPr>
        <w:t>nedēļas ilgu prednizona terapiju, pakāpeniski samazinot devu.</w:t>
      </w:r>
    </w:p>
    <w:p w14:paraId="245BA097" w14:textId="77777777" w:rsidR="00A453C3" w:rsidRPr="00D6314F" w:rsidRDefault="00A453C3" w:rsidP="00A453C3"/>
    <w:p w14:paraId="6A2C9200" w14:textId="73723B2E" w:rsidR="00A453C3" w:rsidRPr="00D6314F" w:rsidRDefault="00A453C3" w:rsidP="00A453C3">
      <w:r w:rsidRPr="00D006F4">
        <w:rPr>
          <w:lang w:val="lv-LV"/>
        </w:rPr>
        <w:t xml:space="preserve">Pacientu procentuālais īpatsvars, kuriem 52. nedēļā bija panākta noturīga remisija, norādīts </w:t>
      </w:r>
      <w:r>
        <w:t>4</w:t>
      </w:r>
      <w:r w:rsidRPr="00D6314F">
        <w:t>.</w:t>
      </w:r>
      <w:r>
        <w:t> </w:t>
      </w:r>
      <w:r w:rsidRPr="00D6314F">
        <w:t>tabulā.</w:t>
      </w:r>
    </w:p>
    <w:p w14:paraId="4AE9FF56" w14:textId="77777777" w:rsidR="00A453C3" w:rsidRPr="00D6314F" w:rsidRDefault="00A453C3" w:rsidP="00A453C3"/>
    <w:p w14:paraId="0DF57151" w14:textId="00553BF1" w:rsidR="00A453C3" w:rsidRPr="00707120" w:rsidRDefault="00A453C3" w:rsidP="00A453C3">
      <w:pPr>
        <w:keepNext/>
        <w:spacing w:line="280" w:lineRule="atLeast"/>
        <w:jc w:val="both"/>
        <w:rPr>
          <w:i/>
          <w:szCs w:val="22"/>
          <w:u w:val="single"/>
        </w:rPr>
      </w:pPr>
      <w:r w:rsidRPr="00707120">
        <w:rPr>
          <w:i/>
          <w:szCs w:val="22"/>
          <w:u w:val="single"/>
        </w:rPr>
        <w:t>Sekundārie mērķa kritēriji</w:t>
      </w:r>
    </w:p>
    <w:p w14:paraId="1C08F98F" w14:textId="41DA7C1D" w:rsidR="00A453C3" w:rsidRPr="00D6314F" w:rsidRDefault="00A453C3" w:rsidP="00A453C3">
      <w:pPr>
        <w:rPr>
          <w:color w:val="000000"/>
        </w:rPr>
      </w:pPr>
      <w:r w:rsidRPr="00D6314F">
        <w:rPr>
          <w:color w:val="000000"/>
          <w:shd w:val="clear" w:color="auto" w:fill="FFFFFF"/>
        </w:rPr>
        <w:t xml:space="preserve">Vērtējot laiku līdz pirmajam GCA uzliesmojumam, tika konstatēts </w:t>
      </w:r>
      <w:r w:rsidRPr="00D006F4">
        <w:rPr>
          <w:color w:val="000000"/>
          <w:shd w:val="clear" w:color="auto" w:fill="FFFFFF"/>
          <w:lang w:val="lv-LV"/>
        </w:rPr>
        <w:t>nozīmīgi zemāks slimības uzliesmojuma risks vienu</w:t>
      </w:r>
      <w:r w:rsidRPr="00D6314F">
        <w:rPr>
          <w:color w:val="000000"/>
          <w:shd w:val="clear" w:color="auto" w:fill="FFFFFF"/>
        </w:rPr>
        <w:t xml:space="preserve"> reizi nedēļā subkutāni lietota</w:t>
      </w:r>
      <w:r>
        <w:rPr>
          <w:color w:val="000000"/>
          <w:shd w:val="clear" w:color="auto" w:fill="FFFFFF"/>
        </w:rPr>
        <w:t xml:space="preserve"> tocilizumaba</w:t>
      </w:r>
      <w:r w:rsidRPr="00D6314F">
        <w:rPr>
          <w:color w:val="000000"/>
          <w:shd w:val="clear" w:color="auto" w:fill="FFFFFF"/>
        </w:rPr>
        <w:t xml:space="preserve"> grupā salīdzinājumā ar grupu, kurā lietoja placebo kombinācijā ar 26</w:t>
      </w:r>
      <w:r>
        <w:rPr>
          <w:color w:val="000000"/>
          <w:shd w:val="clear" w:color="auto" w:fill="FFFFFF"/>
        </w:rPr>
        <w:t> </w:t>
      </w:r>
      <w:r w:rsidRPr="00D6314F">
        <w:rPr>
          <w:color w:val="000000"/>
          <w:shd w:val="clear" w:color="auto" w:fill="FFFFFF"/>
        </w:rPr>
        <w:t>nedēļas ilgu prednizona terapiju, pakāpeniski samazinot devu, un grupu, kurā lietoja placebo kombinācijā ar 52</w:t>
      </w:r>
      <w:r>
        <w:rPr>
          <w:color w:val="000000"/>
          <w:shd w:val="clear" w:color="auto" w:fill="FFFFFF"/>
        </w:rPr>
        <w:t> </w:t>
      </w:r>
      <w:r w:rsidRPr="00D6314F">
        <w:rPr>
          <w:color w:val="000000"/>
          <w:shd w:val="clear" w:color="auto" w:fill="FFFFFF"/>
        </w:rPr>
        <w:t xml:space="preserve">nedēļas ilgu prednizona terapiju, pakāpeniski samazinot devu, kā arī katru otro nedēļu subkutāni lietota </w:t>
      </w:r>
      <w:r>
        <w:rPr>
          <w:color w:val="000000"/>
          <w:shd w:val="clear" w:color="auto" w:fill="FFFFFF"/>
        </w:rPr>
        <w:t>tocilizumaba</w:t>
      </w:r>
      <w:r w:rsidRPr="00D6314F">
        <w:rPr>
          <w:color w:val="000000"/>
          <w:shd w:val="clear" w:color="auto" w:fill="FFFFFF"/>
        </w:rPr>
        <w:t xml:space="preserve"> grupā salīdzinājumā ar grupu, kurā lietoja placebo </w:t>
      </w:r>
      <w:r>
        <w:rPr>
          <w:color w:val="000000"/>
          <w:shd w:val="clear" w:color="auto" w:fill="FFFFFF"/>
        </w:rPr>
        <w:t xml:space="preserve">un </w:t>
      </w:r>
      <w:r w:rsidRPr="00D6314F">
        <w:rPr>
          <w:color w:val="000000"/>
          <w:shd w:val="clear" w:color="auto" w:fill="FFFFFF"/>
        </w:rPr>
        <w:t>26</w:t>
      </w:r>
      <w:r>
        <w:rPr>
          <w:color w:val="000000"/>
          <w:shd w:val="clear" w:color="auto" w:fill="FFFFFF"/>
        </w:rPr>
        <w:t> </w:t>
      </w:r>
      <w:r w:rsidRPr="00D6314F">
        <w:rPr>
          <w:color w:val="000000"/>
          <w:shd w:val="clear" w:color="auto" w:fill="FFFFFF"/>
        </w:rPr>
        <w:t xml:space="preserve">nedēļas ilgu prednizona terapiju (salīdzinājumā par </w:t>
      </w:r>
      <w:r>
        <w:rPr>
          <w:color w:val="000000"/>
          <w:shd w:val="clear" w:color="auto" w:fill="FFFFFF"/>
        </w:rPr>
        <w:t xml:space="preserve">statistiskā </w:t>
      </w:r>
      <w:r w:rsidRPr="00D6314F">
        <w:rPr>
          <w:color w:val="000000"/>
          <w:shd w:val="clear" w:color="auto" w:fill="FFFFFF"/>
        </w:rPr>
        <w:t>nozīmīguma robežvērtību izmantot</w:t>
      </w:r>
      <w:r>
        <w:rPr>
          <w:color w:val="000000"/>
          <w:shd w:val="clear" w:color="auto" w:fill="FFFFFF"/>
        </w:rPr>
        <w:t>s</w:t>
      </w:r>
      <w:r w:rsidRPr="00D6314F">
        <w:rPr>
          <w:color w:val="000000"/>
          <w:shd w:val="clear" w:color="auto" w:fill="FFFFFF"/>
        </w:rPr>
        <w:t xml:space="preserve"> 0,01). </w:t>
      </w:r>
      <w:r w:rsidRPr="009A2974">
        <w:rPr>
          <w:color w:val="000000"/>
          <w:lang w:val="lv-LV"/>
        </w:rPr>
        <w:t xml:space="preserve">Lietojot </w:t>
      </w:r>
      <w:r>
        <w:rPr>
          <w:color w:val="000000"/>
          <w:lang w:val="lv-LV"/>
        </w:rPr>
        <w:t>tocilizumaba</w:t>
      </w:r>
      <w:r w:rsidRPr="009A2974">
        <w:rPr>
          <w:color w:val="000000"/>
          <w:lang w:val="lv-LV"/>
        </w:rPr>
        <w:t xml:space="preserve"> devu vienu reizi nedēļā subkutāni, konstatēta arī klīniski nozīmīga slimības uzliesmojumu riska pazemināšanās salīdzinājumā ar placebo kombinācijā ar 26 nedēļas ilgu prednizona terapiju gan pacientiem, kuri iesaistījās pētījumā ar recidivējošu GCA, gan pacientiem ar pirmoreiz diagnosticētu</w:t>
      </w:r>
      <w:r w:rsidRPr="00D6314F">
        <w:rPr>
          <w:color w:val="000000"/>
        </w:rPr>
        <w:t xml:space="preserve"> slimību (</w:t>
      </w:r>
      <w:r>
        <w:rPr>
          <w:color w:val="000000"/>
        </w:rPr>
        <w:t>4</w:t>
      </w:r>
      <w:r w:rsidRPr="00D6314F">
        <w:rPr>
          <w:color w:val="000000"/>
        </w:rPr>
        <w:t>.</w:t>
      </w:r>
      <w:r>
        <w:rPr>
          <w:color w:val="000000"/>
        </w:rPr>
        <w:t> </w:t>
      </w:r>
      <w:r w:rsidRPr="00D6314F">
        <w:rPr>
          <w:color w:val="000000"/>
        </w:rPr>
        <w:t>tabula).</w:t>
      </w:r>
    </w:p>
    <w:p w14:paraId="1F5AA138" w14:textId="77777777" w:rsidR="00A453C3" w:rsidRPr="00D6314F" w:rsidRDefault="00A453C3" w:rsidP="00A453C3">
      <w:pPr>
        <w:spacing w:line="280" w:lineRule="atLeast"/>
        <w:jc w:val="both"/>
        <w:rPr>
          <w:sz w:val="24"/>
          <w:szCs w:val="24"/>
        </w:rPr>
      </w:pPr>
    </w:p>
    <w:p w14:paraId="72E792A5" w14:textId="75D84C28" w:rsidR="00A453C3" w:rsidRPr="00707120" w:rsidRDefault="00A453C3" w:rsidP="00707120">
      <w:pPr>
        <w:keepNext/>
        <w:spacing w:line="280" w:lineRule="atLeast"/>
        <w:jc w:val="both"/>
        <w:rPr>
          <w:szCs w:val="22"/>
          <w:u w:val="single"/>
        </w:rPr>
      </w:pPr>
      <w:r w:rsidRPr="00707120">
        <w:rPr>
          <w:i/>
          <w:szCs w:val="22"/>
          <w:u w:val="single"/>
        </w:rPr>
        <w:t>Kumulatīvā glikokortikoīdu deva</w:t>
      </w:r>
    </w:p>
    <w:p w14:paraId="38F1B1B6" w14:textId="7F745800" w:rsidR="00A453C3" w:rsidRPr="00D6314F" w:rsidRDefault="00A453C3" w:rsidP="00A453C3">
      <w:r w:rsidRPr="00D6314F">
        <w:t>Kumulatīvā prednizona deva 52.</w:t>
      </w:r>
      <w:r>
        <w:t> </w:t>
      </w:r>
      <w:r w:rsidRPr="00D6314F">
        <w:t xml:space="preserve">nedēļā abās </w:t>
      </w:r>
      <w:r>
        <w:t>tocilizumaba</w:t>
      </w:r>
      <w:r w:rsidRPr="00D6314F">
        <w:t xml:space="preserve"> </w:t>
      </w:r>
      <w:r>
        <w:t xml:space="preserve">devu </w:t>
      </w:r>
      <w:r w:rsidRPr="00D6314F">
        <w:t>grupās bija ievērojami mazāka nekā abās placebo grupās (</w:t>
      </w:r>
      <w:r>
        <w:t>4</w:t>
      </w:r>
      <w:r w:rsidRPr="00D6314F">
        <w:t>.</w:t>
      </w:r>
      <w:r>
        <w:t> </w:t>
      </w:r>
      <w:r w:rsidRPr="00D6314F">
        <w:t>tabula). Atsevišķā analīzē</w:t>
      </w:r>
      <w:r>
        <w:t xml:space="preserve"> par </w:t>
      </w:r>
      <w:r w:rsidRPr="00D6314F">
        <w:t xml:space="preserve">pacientiem, kuri GCA uzliesmojuma ārstēšanai pirmo 52 nedēļu laikā saņēma ārpuskārtas prednizonu, prednizona </w:t>
      </w:r>
      <w:r>
        <w:t xml:space="preserve">kumulatīvā </w:t>
      </w:r>
      <w:r w:rsidRPr="00D6314F">
        <w:t xml:space="preserve">deva ievērojami variēja. Ārpuskārtas pacientiem grupās, kurās </w:t>
      </w:r>
      <w:r>
        <w:t>tocilizumabu</w:t>
      </w:r>
      <w:r w:rsidRPr="00D6314F">
        <w:t xml:space="preserve"> lietoja </w:t>
      </w:r>
      <w:r>
        <w:t xml:space="preserve">vienu </w:t>
      </w:r>
      <w:r w:rsidRPr="00D6314F">
        <w:t>reizi nedēļā vai katru otro nedēļu, devas mediāna bija attiecīgi 3</w:t>
      </w:r>
      <w:ins w:id="629" w:author="Author">
        <w:r w:rsidR="00C47E5B">
          <w:t> </w:t>
        </w:r>
      </w:ins>
      <w:r w:rsidRPr="00D6314F">
        <w:t>129,75</w:t>
      </w:r>
      <w:r>
        <w:t> </w:t>
      </w:r>
      <w:r w:rsidRPr="00D6314F">
        <w:t>mg un 3</w:t>
      </w:r>
      <w:ins w:id="630" w:author="Author">
        <w:r w:rsidR="00C47E5B">
          <w:t> </w:t>
        </w:r>
      </w:ins>
      <w:r w:rsidRPr="00D6314F">
        <w:t>847</w:t>
      </w:r>
      <w:r>
        <w:t> </w:t>
      </w:r>
      <w:r w:rsidRPr="00D6314F">
        <w:t>mg. Abas šīs vērtības ir ievērojami zemākas nekā grupās, kurās lietoja placebo kombinācijā ar 26</w:t>
      </w:r>
      <w:r>
        <w:t> </w:t>
      </w:r>
      <w:r w:rsidRPr="00D6314F">
        <w:t>vai 52</w:t>
      </w:r>
      <w:r>
        <w:t> </w:t>
      </w:r>
      <w:r w:rsidRPr="00D6314F">
        <w:t>nedēļas ilgu prednizona terapiju, pakāpeniski samazinot devu; šajās grupās atbilstošās vērtības bija attiecīgi 4</w:t>
      </w:r>
      <w:ins w:id="631" w:author="Author">
        <w:r w:rsidR="00C47E5B">
          <w:t> </w:t>
        </w:r>
      </w:ins>
      <w:r w:rsidRPr="00D6314F">
        <w:t>023,5</w:t>
      </w:r>
      <w:r>
        <w:t> </w:t>
      </w:r>
      <w:r w:rsidRPr="00D6314F">
        <w:t>mg un 5</w:t>
      </w:r>
      <w:ins w:id="632" w:author="Author">
        <w:r w:rsidR="00C47E5B">
          <w:t> </w:t>
        </w:r>
      </w:ins>
      <w:r w:rsidRPr="00D6314F">
        <w:t>389,5</w:t>
      </w:r>
      <w:r>
        <w:t> </w:t>
      </w:r>
      <w:r w:rsidRPr="00D6314F">
        <w:t>mg.</w:t>
      </w:r>
    </w:p>
    <w:p w14:paraId="2B3B7101" w14:textId="77777777" w:rsidR="00A453C3" w:rsidRPr="00D6314F" w:rsidRDefault="00A453C3" w:rsidP="00A453C3">
      <w:pPr>
        <w:spacing w:line="280" w:lineRule="atLeast"/>
        <w:jc w:val="both"/>
        <w:rPr>
          <w:szCs w:val="22"/>
        </w:rPr>
      </w:pPr>
    </w:p>
    <w:p w14:paraId="226AFDB2" w14:textId="47F9A9E9" w:rsidR="00A453C3" w:rsidRDefault="00A453C3" w:rsidP="00707120">
      <w:pPr>
        <w:keepNext/>
        <w:keepLines/>
        <w:widowControl w:val="0"/>
        <w:numPr>
          <w:ilvl w:val="12"/>
          <w:numId w:val="0"/>
        </w:numPr>
        <w:rPr>
          <w:i/>
        </w:rPr>
      </w:pPr>
      <w:r>
        <w:rPr>
          <w:i/>
        </w:rPr>
        <w:t>4</w:t>
      </w:r>
      <w:r w:rsidRPr="00D6314F">
        <w:rPr>
          <w:i/>
        </w:rPr>
        <w:t>.</w:t>
      </w:r>
      <w:r w:rsidR="0015293C">
        <w:rPr>
          <w:i/>
        </w:rPr>
        <w:t> </w:t>
      </w:r>
      <w:r w:rsidRPr="00D6314F">
        <w:rPr>
          <w:i/>
        </w:rPr>
        <w:t xml:space="preserve">tabula. Efektivitāti raksturojošie rezultāti pētījumā WA28119 </w:t>
      </w:r>
    </w:p>
    <w:p w14:paraId="0247FC16" w14:textId="77777777" w:rsidR="0015293C" w:rsidRDefault="0015293C" w:rsidP="0015293C">
      <w:pPr>
        <w:keepNext/>
        <w:keepLines/>
        <w:widowControl w:val="0"/>
        <w:numPr>
          <w:ilvl w:val="12"/>
          <w:numId w:val="0"/>
        </w:numPr>
        <w:rPr>
          <w:i/>
        </w:rPr>
      </w:pPr>
    </w:p>
    <w:tbl>
      <w:tblPr>
        <w:tblW w:w="9923" w:type="dxa"/>
        <w:tblInd w:w="-147" w:type="dxa"/>
        <w:tblLayout w:type="fixed"/>
        <w:tblCellMar>
          <w:left w:w="0" w:type="dxa"/>
          <w:right w:w="0" w:type="dxa"/>
        </w:tblCellMar>
        <w:tblLook w:val="04A0" w:firstRow="1" w:lastRow="0" w:firstColumn="1" w:lastColumn="0" w:noHBand="0" w:noVBand="1"/>
      </w:tblPr>
      <w:tblGrid>
        <w:gridCol w:w="3821"/>
        <w:gridCol w:w="7"/>
        <w:gridCol w:w="1276"/>
        <w:gridCol w:w="1275"/>
        <w:gridCol w:w="1701"/>
        <w:gridCol w:w="1843"/>
      </w:tblGrid>
      <w:tr w:rsidR="0015293C" w:rsidRPr="00FB280D" w14:paraId="4139E6E6" w14:textId="77777777" w:rsidTr="00707120">
        <w:trPr>
          <w:cantSplit/>
          <w:tblHeader/>
        </w:trPr>
        <w:tc>
          <w:tcPr>
            <w:tcW w:w="3828" w:type="dxa"/>
            <w:gridSpan w:val="2"/>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40ED5A49" w14:textId="77777777" w:rsidR="0015293C" w:rsidRPr="00707120" w:rsidRDefault="0015293C" w:rsidP="00590B03">
            <w:pPr>
              <w:keepNext/>
              <w:keepLines/>
              <w:spacing w:before="50" w:after="50" w:line="240" w:lineRule="exact"/>
              <w:rPr>
                <w:rFonts w:eastAsia="SimSun"/>
                <w:strike/>
                <w:sz w:val="20"/>
              </w:rPr>
            </w:pPr>
            <w:bookmarkStart w:id="633" w:name="_Hlk174612221"/>
          </w:p>
        </w:tc>
        <w:tc>
          <w:tcPr>
            <w:tcW w:w="1276" w:type="dxa"/>
            <w:tcBorders>
              <w:top w:val="single" w:sz="8" w:space="0" w:color="auto"/>
              <w:left w:val="nil"/>
              <w:bottom w:val="single" w:sz="8" w:space="0" w:color="auto"/>
              <w:right w:val="nil"/>
            </w:tcBorders>
            <w:tcMar>
              <w:top w:w="0" w:type="dxa"/>
              <w:left w:w="57" w:type="dxa"/>
              <w:bottom w:w="0" w:type="dxa"/>
              <w:right w:w="57" w:type="dxa"/>
            </w:tcMar>
          </w:tcPr>
          <w:p w14:paraId="6CAD7397" w14:textId="4FF81ADF" w:rsidR="0015293C" w:rsidRPr="00707120" w:rsidRDefault="0015293C" w:rsidP="00590B03">
            <w:pPr>
              <w:keepNext/>
              <w:keepLines/>
              <w:spacing w:before="50" w:after="50" w:line="240" w:lineRule="exact"/>
              <w:jc w:val="center"/>
              <w:rPr>
                <w:rFonts w:eastAsia="SimSun"/>
                <w:b/>
                <w:sz w:val="20"/>
                <w:lang w:val="pt-PT"/>
              </w:rPr>
            </w:pPr>
            <w:r w:rsidRPr="00707120">
              <w:rPr>
                <w:b/>
                <w:sz w:val="20"/>
                <w:lang w:val="pt-PT"/>
              </w:rPr>
              <w:t>Placebo + 26 nedēļas ilga prednizona terapija, pakāpeniski samazinot devu</w:t>
            </w:r>
          </w:p>
          <w:p w14:paraId="55385639" w14:textId="0757D878" w:rsidR="0015293C" w:rsidRPr="00707120" w:rsidRDefault="0015293C" w:rsidP="00590B03">
            <w:pPr>
              <w:keepNext/>
              <w:keepLines/>
              <w:spacing w:before="50" w:after="50" w:line="240" w:lineRule="exact"/>
              <w:jc w:val="center"/>
              <w:rPr>
                <w:rFonts w:eastAsia="SimSun"/>
                <w:b/>
                <w:sz w:val="20"/>
              </w:rPr>
            </w:pPr>
            <w:del w:id="634" w:author="Author">
              <w:r w:rsidRPr="00707120" w:rsidDel="00903A29">
                <w:rPr>
                  <w:b/>
                  <w:sz w:val="20"/>
                </w:rPr>
                <w:delText>N</w:delText>
              </w:r>
            </w:del>
            <w:ins w:id="635" w:author="Author">
              <w:r w:rsidR="00903A29">
                <w:rPr>
                  <w:b/>
                  <w:sz w:val="20"/>
                </w:rPr>
                <w:t>n</w:t>
              </w:r>
            </w:ins>
            <w:r w:rsidRPr="00707120">
              <w:rPr>
                <w:b/>
                <w:sz w:val="20"/>
              </w:rPr>
              <w:t>=50</w:t>
            </w:r>
          </w:p>
        </w:tc>
        <w:tc>
          <w:tcPr>
            <w:tcW w:w="1275" w:type="dxa"/>
            <w:tcBorders>
              <w:top w:val="single" w:sz="8" w:space="0" w:color="auto"/>
              <w:left w:val="nil"/>
              <w:bottom w:val="single" w:sz="8" w:space="0" w:color="auto"/>
              <w:right w:val="nil"/>
            </w:tcBorders>
            <w:tcMar>
              <w:top w:w="0" w:type="dxa"/>
              <w:left w:w="57" w:type="dxa"/>
              <w:bottom w:w="0" w:type="dxa"/>
              <w:right w:w="57" w:type="dxa"/>
            </w:tcMar>
          </w:tcPr>
          <w:p w14:paraId="4CAEC18B" w14:textId="362F028E" w:rsidR="0015293C" w:rsidRPr="00707120" w:rsidRDefault="0015293C" w:rsidP="00590B03">
            <w:pPr>
              <w:keepNext/>
              <w:keepLines/>
              <w:spacing w:before="50" w:after="50" w:line="240" w:lineRule="exact"/>
              <w:jc w:val="center"/>
              <w:rPr>
                <w:rFonts w:eastAsia="SimSun"/>
                <w:b/>
                <w:sz w:val="20"/>
                <w:lang w:val="pt-PT"/>
              </w:rPr>
            </w:pPr>
            <w:r w:rsidRPr="00707120">
              <w:rPr>
                <w:b/>
                <w:sz w:val="20"/>
                <w:lang w:val="pt-PT"/>
              </w:rPr>
              <w:t>Placebo + 52 nedēļas ilga prednizona terapija, pakāpeniski samazinot devu</w:t>
            </w:r>
          </w:p>
          <w:p w14:paraId="6743D586" w14:textId="69EBC8EA" w:rsidR="0015293C" w:rsidRPr="00707120" w:rsidRDefault="0015293C" w:rsidP="00590B03">
            <w:pPr>
              <w:keepNext/>
              <w:keepLines/>
              <w:spacing w:before="50" w:after="50" w:line="240" w:lineRule="exact"/>
              <w:jc w:val="center"/>
              <w:rPr>
                <w:rFonts w:eastAsia="SimSun"/>
                <w:b/>
                <w:sz w:val="20"/>
              </w:rPr>
            </w:pPr>
            <w:del w:id="636" w:author="Author">
              <w:r w:rsidRPr="00707120" w:rsidDel="00903A29">
                <w:rPr>
                  <w:b/>
                  <w:sz w:val="20"/>
                </w:rPr>
                <w:delText>N</w:delText>
              </w:r>
            </w:del>
            <w:ins w:id="637" w:author="Author">
              <w:r w:rsidR="00903A29">
                <w:rPr>
                  <w:b/>
                  <w:sz w:val="20"/>
                </w:rPr>
                <w:t>n</w:t>
              </w:r>
            </w:ins>
            <w:r w:rsidRPr="00707120">
              <w:rPr>
                <w:b/>
                <w:sz w:val="20"/>
              </w:rPr>
              <w:t>=51</w:t>
            </w:r>
          </w:p>
        </w:tc>
        <w:tc>
          <w:tcPr>
            <w:tcW w:w="1701" w:type="dxa"/>
            <w:tcBorders>
              <w:top w:val="single" w:sz="8" w:space="0" w:color="auto"/>
              <w:left w:val="nil"/>
              <w:bottom w:val="single" w:sz="8" w:space="0" w:color="auto"/>
              <w:right w:val="nil"/>
            </w:tcBorders>
          </w:tcPr>
          <w:p w14:paraId="30636254" w14:textId="4481D3A2" w:rsidR="0015293C" w:rsidRPr="00707120" w:rsidRDefault="0015293C" w:rsidP="00590B03">
            <w:pPr>
              <w:keepNext/>
              <w:keepLines/>
              <w:spacing w:before="50" w:after="50" w:line="240" w:lineRule="exact"/>
              <w:jc w:val="center"/>
              <w:rPr>
                <w:rFonts w:eastAsia="SimSun"/>
                <w:b/>
                <w:sz w:val="20"/>
              </w:rPr>
            </w:pPr>
            <w:r w:rsidRPr="00707120">
              <w:rPr>
                <w:b/>
                <w:sz w:val="20"/>
              </w:rPr>
              <w:t>Tocilizumabs 162 mg s.c. vienu reizi nedēļā + 26 nedēļas ilga prednizona terapija, pakāpeniski samazinot devu</w:t>
            </w:r>
          </w:p>
          <w:p w14:paraId="6FBFF286" w14:textId="01906502" w:rsidR="0015293C" w:rsidRPr="00707120" w:rsidRDefault="0015293C" w:rsidP="00590B03">
            <w:pPr>
              <w:keepNext/>
              <w:keepLines/>
              <w:spacing w:before="50" w:after="50" w:line="240" w:lineRule="exact"/>
              <w:jc w:val="center"/>
              <w:rPr>
                <w:rFonts w:eastAsia="SimSun"/>
                <w:b/>
                <w:sz w:val="20"/>
              </w:rPr>
            </w:pPr>
            <w:del w:id="638" w:author="Author">
              <w:r w:rsidRPr="00707120" w:rsidDel="00903A29">
                <w:rPr>
                  <w:b/>
                  <w:sz w:val="20"/>
                </w:rPr>
                <w:delText>N</w:delText>
              </w:r>
            </w:del>
            <w:ins w:id="639" w:author="Author">
              <w:r w:rsidR="00903A29">
                <w:rPr>
                  <w:b/>
                  <w:sz w:val="20"/>
                </w:rPr>
                <w:t>n</w:t>
              </w:r>
            </w:ins>
            <w:r w:rsidRPr="00707120">
              <w:rPr>
                <w:b/>
                <w:sz w:val="20"/>
              </w:rPr>
              <w:t>=100</w:t>
            </w:r>
          </w:p>
        </w:tc>
        <w:tc>
          <w:tcPr>
            <w:tcW w:w="1843" w:type="dxa"/>
            <w:tcBorders>
              <w:top w:val="single" w:sz="8" w:space="0" w:color="auto"/>
              <w:left w:val="nil"/>
              <w:bottom w:val="single" w:sz="8" w:space="0" w:color="auto"/>
              <w:right w:val="single" w:sz="8" w:space="0" w:color="auto"/>
            </w:tcBorders>
            <w:tcMar>
              <w:top w:w="0" w:type="dxa"/>
              <w:left w:w="57" w:type="dxa"/>
              <w:bottom w:w="0" w:type="dxa"/>
              <w:right w:w="57" w:type="dxa"/>
            </w:tcMar>
          </w:tcPr>
          <w:p w14:paraId="31C7FFDB" w14:textId="43A0C3B8" w:rsidR="0015293C" w:rsidRPr="00707120" w:rsidRDefault="0015293C" w:rsidP="00590B03">
            <w:pPr>
              <w:keepNext/>
              <w:keepLines/>
              <w:spacing w:before="50" w:after="50" w:line="240" w:lineRule="exact"/>
              <w:jc w:val="center"/>
              <w:rPr>
                <w:rFonts w:eastAsia="SimSun"/>
                <w:b/>
                <w:sz w:val="20"/>
              </w:rPr>
            </w:pPr>
            <w:r w:rsidRPr="00707120">
              <w:rPr>
                <w:b/>
                <w:sz w:val="20"/>
              </w:rPr>
              <w:t xml:space="preserve">Tocilizumabs 162 mg s.c. katru otro nedēļu + 26 nedēļas ilga prednizona terapija, pakāpeniski samazinot devu </w:t>
            </w:r>
          </w:p>
          <w:p w14:paraId="60AF5417" w14:textId="5A3EB3E1" w:rsidR="0015293C" w:rsidRPr="00707120" w:rsidRDefault="0015293C" w:rsidP="00590B03">
            <w:pPr>
              <w:keepNext/>
              <w:keepLines/>
              <w:spacing w:before="50" w:after="50" w:line="240" w:lineRule="exact"/>
              <w:jc w:val="center"/>
              <w:rPr>
                <w:rFonts w:eastAsia="SimSun"/>
                <w:b/>
                <w:sz w:val="20"/>
              </w:rPr>
            </w:pPr>
            <w:del w:id="640" w:author="Author">
              <w:r w:rsidRPr="00707120" w:rsidDel="00903A29">
                <w:rPr>
                  <w:b/>
                  <w:sz w:val="20"/>
                </w:rPr>
                <w:delText>N</w:delText>
              </w:r>
            </w:del>
            <w:ins w:id="641" w:author="Author">
              <w:r w:rsidR="00903A29">
                <w:rPr>
                  <w:b/>
                  <w:sz w:val="20"/>
                </w:rPr>
                <w:t>n</w:t>
              </w:r>
            </w:ins>
            <w:r w:rsidRPr="00707120">
              <w:rPr>
                <w:b/>
                <w:sz w:val="20"/>
              </w:rPr>
              <w:t>=49</w:t>
            </w:r>
          </w:p>
        </w:tc>
      </w:tr>
      <w:tr w:rsidR="0015293C" w:rsidRPr="0015293C" w14:paraId="0F934301" w14:textId="77777777" w:rsidTr="00707120">
        <w:trPr>
          <w:cantSplit/>
        </w:trPr>
        <w:tc>
          <w:tcPr>
            <w:tcW w:w="9923" w:type="dxa"/>
            <w:gridSpan w:val="6"/>
            <w:tcBorders>
              <w:left w:val="single" w:sz="4" w:space="0" w:color="auto"/>
              <w:right w:val="single" w:sz="8" w:space="0" w:color="auto"/>
            </w:tcBorders>
          </w:tcPr>
          <w:p w14:paraId="655BD8A6" w14:textId="77777777" w:rsidR="0015293C" w:rsidRPr="00707120" w:rsidRDefault="0015293C" w:rsidP="00590B03">
            <w:pPr>
              <w:keepNext/>
              <w:keepLines/>
              <w:spacing w:before="50" w:after="50" w:line="240" w:lineRule="exact"/>
              <w:rPr>
                <w:rFonts w:eastAsia="SimSun"/>
                <w:b/>
                <w:sz w:val="20"/>
              </w:rPr>
            </w:pPr>
            <w:r w:rsidRPr="00707120">
              <w:rPr>
                <w:b/>
                <w:sz w:val="20"/>
              </w:rPr>
              <w:t xml:space="preserve"> Primārais mērķa kritērijs</w:t>
            </w:r>
          </w:p>
        </w:tc>
      </w:tr>
      <w:tr w:rsidR="0015293C" w:rsidRPr="00707120" w14:paraId="332A6BEE" w14:textId="77777777" w:rsidTr="00707120">
        <w:trPr>
          <w:cantSplit/>
        </w:trPr>
        <w:tc>
          <w:tcPr>
            <w:tcW w:w="9923" w:type="dxa"/>
            <w:gridSpan w:val="6"/>
            <w:tcBorders>
              <w:top w:val="single" w:sz="4" w:space="0" w:color="auto"/>
              <w:left w:val="single" w:sz="4" w:space="0" w:color="auto"/>
              <w:right w:val="single" w:sz="8" w:space="0" w:color="auto"/>
            </w:tcBorders>
            <w:tcMar>
              <w:top w:w="0" w:type="dxa"/>
              <w:left w:w="57" w:type="dxa"/>
              <w:bottom w:w="0" w:type="dxa"/>
              <w:right w:w="57" w:type="dxa"/>
            </w:tcMar>
          </w:tcPr>
          <w:p w14:paraId="19CB9BF3" w14:textId="098149D5" w:rsidR="0015293C" w:rsidRPr="00707120" w:rsidRDefault="0015293C" w:rsidP="00707120">
            <w:pPr>
              <w:keepNext/>
              <w:keepLines/>
              <w:spacing w:before="50" w:after="50" w:line="240" w:lineRule="exact"/>
              <w:rPr>
                <w:rFonts w:eastAsia="SimSun"/>
                <w:strike/>
                <w:sz w:val="20"/>
                <w:lang w:val="es-ES"/>
              </w:rPr>
            </w:pPr>
            <w:r w:rsidRPr="00707120">
              <w:rPr>
                <w:sz w:val="20"/>
                <w:lang w:val="es-ES"/>
              </w:rPr>
              <w:t xml:space="preserve">****Noturīga remisija (tocilizumaba grupas salīdzinājumā ar placebo + 26) </w:t>
            </w:r>
          </w:p>
        </w:tc>
      </w:tr>
      <w:tr w:rsidR="0015293C" w:rsidRPr="00FB280D" w14:paraId="2E753307" w14:textId="77777777" w:rsidTr="00707120">
        <w:trPr>
          <w:cantSplit/>
        </w:trPr>
        <w:tc>
          <w:tcPr>
            <w:tcW w:w="3828" w:type="dxa"/>
            <w:gridSpan w:val="2"/>
            <w:tcBorders>
              <w:left w:val="single" w:sz="4" w:space="0" w:color="auto"/>
            </w:tcBorders>
            <w:tcMar>
              <w:top w:w="0" w:type="dxa"/>
              <w:left w:w="57" w:type="dxa"/>
              <w:bottom w:w="0" w:type="dxa"/>
              <w:right w:w="57" w:type="dxa"/>
            </w:tcMar>
          </w:tcPr>
          <w:p w14:paraId="7D7B5B34" w14:textId="3FFA17A4" w:rsidR="0015293C" w:rsidRPr="00707120" w:rsidRDefault="0015293C" w:rsidP="0015293C">
            <w:pPr>
              <w:keepNext/>
              <w:keepLines/>
              <w:spacing w:before="50" w:after="50" w:line="240" w:lineRule="exact"/>
              <w:ind w:left="720"/>
              <w:rPr>
                <w:rFonts w:eastAsia="SimSun"/>
                <w:sz w:val="20"/>
                <w:lang w:val="pt-BR"/>
              </w:rPr>
            </w:pPr>
            <w:r w:rsidRPr="00707120">
              <w:rPr>
                <w:sz w:val="20"/>
                <w:lang w:val="pt-BR"/>
              </w:rPr>
              <w:t>Pacienti ar atbildes reakciju 52.</w:t>
            </w:r>
            <w:r>
              <w:rPr>
                <w:sz w:val="20"/>
                <w:lang w:val="pt-BR"/>
              </w:rPr>
              <w:t> </w:t>
            </w:r>
            <w:r w:rsidRPr="00707120">
              <w:rPr>
                <w:sz w:val="20"/>
                <w:lang w:val="pt-BR"/>
              </w:rPr>
              <w:t>nedēļā, n (%)</w:t>
            </w:r>
          </w:p>
        </w:tc>
        <w:tc>
          <w:tcPr>
            <w:tcW w:w="1276" w:type="dxa"/>
            <w:tcMar>
              <w:top w:w="0" w:type="dxa"/>
              <w:left w:w="57" w:type="dxa"/>
              <w:bottom w:w="0" w:type="dxa"/>
              <w:right w:w="57" w:type="dxa"/>
            </w:tcMar>
          </w:tcPr>
          <w:p w14:paraId="0066E09E" w14:textId="77777777" w:rsidR="0015293C" w:rsidRPr="00707120" w:rsidRDefault="0015293C" w:rsidP="00590B03">
            <w:pPr>
              <w:keepNext/>
              <w:keepLines/>
              <w:spacing w:before="50" w:after="50" w:line="240" w:lineRule="exact"/>
              <w:jc w:val="center"/>
              <w:rPr>
                <w:rFonts w:eastAsia="SimSun"/>
                <w:sz w:val="20"/>
              </w:rPr>
            </w:pPr>
            <w:r w:rsidRPr="00707120">
              <w:rPr>
                <w:sz w:val="20"/>
              </w:rPr>
              <w:t>7 (14%)</w:t>
            </w:r>
          </w:p>
        </w:tc>
        <w:tc>
          <w:tcPr>
            <w:tcW w:w="1275" w:type="dxa"/>
            <w:tcMar>
              <w:top w:w="0" w:type="dxa"/>
              <w:left w:w="57" w:type="dxa"/>
              <w:bottom w:w="0" w:type="dxa"/>
              <w:right w:w="57" w:type="dxa"/>
            </w:tcMar>
          </w:tcPr>
          <w:p w14:paraId="05C3B14B" w14:textId="77777777" w:rsidR="0015293C" w:rsidRPr="00707120" w:rsidRDefault="0015293C" w:rsidP="00590B03">
            <w:pPr>
              <w:keepNext/>
              <w:keepLines/>
              <w:spacing w:before="50" w:after="50" w:line="240" w:lineRule="exact"/>
              <w:jc w:val="center"/>
              <w:rPr>
                <w:rFonts w:eastAsia="SimSun"/>
                <w:sz w:val="20"/>
              </w:rPr>
            </w:pPr>
            <w:r w:rsidRPr="00707120">
              <w:rPr>
                <w:sz w:val="20"/>
              </w:rPr>
              <w:t>9 (17,6%)</w:t>
            </w:r>
          </w:p>
        </w:tc>
        <w:tc>
          <w:tcPr>
            <w:tcW w:w="1701" w:type="dxa"/>
            <w:tcBorders>
              <w:right w:val="nil"/>
            </w:tcBorders>
          </w:tcPr>
          <w:p w14:paraId="3F753DF3" w14:textId="77777777" w:rsidR="0015293C" w:rsidRPr="00707120" w:rsidRDefault="0015293C" w:rsidP="00590B03">
            <w:pPr>
              <w:keepNext/>
              <w:keepLines/>
              <w:spacing w:before="50" w:after="50" w:line="240" w:lineRule="exact"/>
              <w:jc w:val="center"/>
              <w:rPr>
                <w:rFonts w:eastAsia="SimSun"/>
                <w:sz w:val="20"/>
              </w:rPr>
            </w:pPr>
            <w:r w:rsidRPr="00707120">
              <w:rPr>
                <w:sz w:val="20"/>
              </w:rPr>
              <w:t>56 (56%)</w:t>
            </w:r>
          </w:p>
        </w:tc>
        <w:tc>
          <w:tcPr>
            <w:tcW w:w="1843" w:type="dxa"/>
            <w:tcBorders>
              <w:left w:val="nil"/>
              <w:right w:val="single" w:sz="8" w:space="0" w:color="auto"/>
            </w:tcBorders>
            <w:tcMar>
              <w:top w:w="0" w:type="dxa"/>
              <w:left w:w="57" w:type="dxa"/>
              <w:bottom w:w="0" w:type="dxa"/>
              <w:right w:w="57" w:type="dxa"/>
            </w:tcMar>
          </w:tcPr>
          <w:p w14:paraId="0FD661DE" w14:textId="77777777" w:rsidR="0015293C" w:rsidRPr="00707120" w:rsidRDefault="0015293C" w:rsidP="00590B03">
            <w:pPr>
              <w:keepNext/>
              <w:keepLines/>
              <w:spacing w:before="50" w:after="50" w:line="240" w:lineRule="exact"/>
              <w:jc w:val="center"/>
              <w:rPr>
                <w:rFonts w:eastAsia="SimSun"/>
                <w:sz w:val="20"/>
              </w:rPr>
            </w:pPr>
            <w:r w:rsidRPr="00707120">
              <w:rPr>
                <w:sz w:val="20"/>
              </w:rPr>
              <w:t>26 (53,1%)</w:t>
            </w:r>
          </w:p>
        </w:tc>
      </w:tr>
      <w:tr w:rsidR="0015293C" w:rsidRPr="00FB280D" w14:paraId="4939E7FD" w14:textId="77777777" w:rsidTr="00707120">
        <w:trPr>
          <w:cantSplit/>
        </w:trPr>
        <w:tc>
          <w:tcPr>
            <w:tcW w:w="3828" w:type="dxa"/>
            <w:gridSpan w:val="2"/>
            <w:tcBorders>
              <w:left w:val="single" w:sz="4" w:space="0" w:color="auto"/>
              <w:bottom w:val="single" w:sz="4" w:space="0" w:color="auto"/>
            </w:tcBorders>
            <w:tcMar>
              <w:top w:w="0" w:type="dxa"/>
              <w:left w:w="57" w:type="dxa"/>
              <w:bottom w:w="0" w:type="dxa"/>
              <w:right w:w="57" w:type="dxa"/>
            </w:tcMar>
          </w:tcPr>
          <w:p w14:paraId="613361EB" w14:textId="77777777" w:rsidR="0015293C" w:rsidRPr="00707120" w:rsidRDefault="0015293C" w:rsidP="00590B03">
            <w:pPr>
              <w:keepNext/>
              <w:keepLines/>
              <w:spacing w:before="50" w:after="50" w:line="240" w:lineRule="exact"/>
              <w:ind w:left="720"/>
              <w:rPr>
                <w:rFonts w:eastAsia="SimSun"/>
                <w:sz w:val="20"/>
                <w:lang w:val="pt-PT"/>
              </w:rPr>
            </w:pPr>
            <w:r w:rsidRPr="00707120">
              <w:rPr>
                <w:sz w:val="20"/>
                <w:lang w:val="pt-PT"/>
              </w:rPr>
              <w:t>Nekoriģēta procentuālā īpatsvara atšķirība</w:t>
            </w:r>
          </w:p>
          <w:p w14:paraId="0B404E10" w14:textId="77777777" w:rsidR="0015293C" w:rsidRPr="00707120" w:rsidRDefault="0015293C" w:rsidP="00590B03">
            <w:pPr>
              <w:keepNext/>
              <w:keepLines/>
              <w:spacing w:before="50" w:after="50" w:line="240" w:lineRule="exact"/>
              <w:ind w:left="720"/>
              <w:rPr>
                <w:rFonts w:eastAsia="SimSun"/>
                <w:sz w:val="20"/>
                <w:lang w:val="pt-PT"/>
              </w:rPr>
            </w:pPr>
            <w:r w:rsidRPr="00707120">
              <w:rPr>
                <w:sz w:val="20"/>
                <w:lang w:val="pt-PT"/>
              </w:rPr>
              <w:t>(99,5% TI)</w:t>
            </w:r>
          </w:p>
        </w:tc>
        <w:tc>
          <w:tcPr>
            <w:tcW w:w="1276" w:type="dxa"/>
            <w:tcBorders>
              <w:bottom w:val="single" w:sz="4" w:space="0" w:color="auto"/>
            </w:tcBorders>
            <w:tcMar>
              <w:top w:w="0" w:type="dxa"/>
              <w:left w:w="57" w:type="dxa"/>
              <w:bottom w:w="0" w:type="dxa"/>
              <w:right w:w="57" w:type="dxa"/>
            </w:tcMar>
          </w:tcPr>
          <w:p w14:paraId="3CFF7F8C" w14:textId="77777777" w:rsidR="0015293C" w:rsidRPr="00707120" w:rsidRDefault="0015293C" w:rsidP="00590B03">
            <w:pPr>
              <w:keepNext/>
              <w:keepLines/>
              <w:spacing w:before="50" w:after="50" w:line="240" w:lineRule="exact"/>
              <w:jc w:val="center"/>
              <w:rPr>
                <w:rFonts w:eastAsia="SimSun"/>
                <w:sz w:val="20"/>
              </w:rPr>
            </w:pPr>
            <w:r w:rsidRPr="00707120">
              <w:rPr>
                <w:sz w:val="20"/>
              </w:rPr>
              <w:t>N/P</w:t>
            </w:r>
          </w:p>
        </w:tc>
        <w:tc>
          <w:tcPr>
            <w:tcW w:w="1275" w:type="dxa"/>
            <w:tcBorders>
              <w:bottom w:val="single" w:sz="4" w:space="0" w:color="auto"/>
            </w:tcBorders>
            <w:tcMar>
              <w:top w:w="0" w:type="dxa"/>
              <w:left w:w="57" w:type="dxa"/>
              <w:bottom w:w="0" w:type="dxa"/>
              <w:right w:w="57" w:type="dxa"/>
            </w:tcMar>
          </w:tcPr>
          <w:p w14:paraId="30CCFF7E" w14:textId="77777777" w:rsidR="0015293C" w:rsidRPr="00707120" w:rsidRDefault="0015293C" w:rsidP="00590B03">
            <w:pPr>
              <w:keepNext/>
              <w:keepLines/>
              <w:spacing w:before="50" w:after="50" w:line="240" w:lineRule="exact"/>
              <w:jc w:val="center"/>
              <w:rPr>
                <w:rFonts w:eastAsia="SimSun"/>
                <w:sz w:val="20"/>
              </w:rPr>
            </w:pPr>
            <w:r w:rsidRPr="00707120">
              <w:rPr>
                <w:sz w:val="20"/>
              </w:rPr>
              <w:t>N/P</w:t>
            </w:r>
          </w:p>
        </w:tc>
        <w:tc>
          <w:tcPr>
            <w:tcW w:w="1701" w:type="dxa"/>
            <w:tcBorders>
              <w:bottom w:val="single" w:sz="4" w:space="0" w:color="auto"/>
              <w:right w:val="nil"/>
            </w:tcBorders>
          </w:tcPr>
          <w:p w14:paraId="43725240" w14:textId="77777777" w:rsidR="0015293C" w:rsidRPr="00707120" w:rsidRDefault="0015293C" w:rsidP="00590B03">
            <w:pPr>
              <w:keepNext/>
              <w:keepLines/>
              <w:spacing w:before="50" w:after="50" w:line="240" w:lineRule="exact"/>
              <w:jc w:val="center"/>
              <w:rPr>
                <w:rFonts w:eastAsia="SimSun"/>
                <w:sz w:val="20"/>
              </w:rPr>
            </w:pPr>
            <w:r w:rsidRPr="00707120">
              <w:rPr>
                <w:sz w:val="20"/>
              </w:rPr>
              <w:t>42%*</w:t>
            </w:r>
          </w:p>
          <w:p w14:paraId="13CA340C" w14:textId="77777777" w:rsidR="0015293C" w:rsidRPr="00707120" w:rsidRDefault="0015293C" w:rsidP="00590B03">
            <w:pPr>
              <w:keepNext/>
              <w:keepLines/>
              <w:spacing w:before="50" w:after="50" w:line="240" w:lineRule="exact"/>
              <w:jc w:val="center"/>
              <w:rPr>
                <w:rFonts w:eastAsia="SimSun"/>
                <w:sz w:val="20"/>
              </w:rPr>
            </w:pPr>
            <w:r w:rsidRPr="00707120">
              <w:rPr>
                <w:sz w:val="20"/>
              </w:rPr>
              <w:t>(18,00; 66,00)</w:t>
            </w:r>
          </w:p>
        </w:tc>
        <w:tc>
          <w:tcPr>
            <w:tcW w:w="1843" w:type="dxa"/>
            <w:tcBorders>
              <w:left w:val="nil"/>
              <w:bottom w:val="single" w:sz="4" w:space="0" w:color="auto"/>
              <w:right w:val="single" w:sz="8" w:space="0" w:color="auto"/>
            </w:tcBorders>
            <w:tcMar>
              <w:top w:w="0" w:type="dxa"/>
              <w:left w:w="57" w:type="dxa"/>
              <w:bottom w:w="0" w:type="dxa"/>
              <w:right w:w="57" w:type="dxa"/>
            </w:tcMar>
          </w:tcPr>
          <w:p w14:paraId="4F3B7F2F" w14:textId="77777777" w:rsidR="0015293C" w:rsidRPr="00707120" w:rsidRDefault="0015293C" w:rsidP="00590B03">
            <w:pPr>
              <w:keepNext/>
              <w:keepLines/>
              <w:spacing w:before="50" w:after="50" w:line="240" w:lineRule="exact"/>
              <w:jc w:val="center"/>
              <w:rPr>
                <w:rFonts w:eastAsia="SimSun"/>
                <w:sz w:val="20"/>
              </w:rPr>
            </w:pPr>
            <w:r w:rsidRPr="00707120">
              <w:rPr>
                <w:sz w:val="20"/>
              </w:rPr>
              <w:t>39,06%*</w:t>
            </w:r>
          </w:p>
          <w:p w14:paraId="388B0B36" w14:textId="77777777" w:rsidR="0015293C" w:rsidRPr="00707120" w:rsidRDefault="0015293C" w:rsidP="00590B03">
            <w:pPr>
              <w:keepNext/>
              <w:keepLines/>
              <w:spacing w:before="50" w:after="50" w:line="240" w:lineRule="exact"/>
              <w:jc w:val="center"/>
              <w:rPr>
                <w:rFonts w:eastAsia="SimSun"/>
                <w:sz w:val="20"/>
              </w:rPr>
            </w:pPr>
            <w:r w:rsidRPr="00707120">
              <w:rPr>
                <w:sz w:val="20"/>
              </w:rPr>
              <w:t>(12,46; 65,66)</w:t>
            </w:r>
          </w:p>
        </w:tc>
      </w:tr>
      <w:tr w:rsidR="0015293C" w:rsidRPr="0015293C" w14:paraId="1E0EFC18" w14:textId="77777777" w:rsidTr="00707120">
        <w:trPr>
          <w:cantSplit/>
        </w:trPr>
        <w:tc>
          <w:tcPr>
            <w:tcW w:w="9923" w:type="dxa"/>
            <w:gridSpan w:val="6"/>
            <w:tcBorders>
              <w:top w:val="single" w:sz="4" w:space="0" w:color="auto"/>
              <w:left w:val="single" w:sz="4" w:space="0" w:color="auto"/>
              <w:bottom w:val="single" w:sz="4" w:space="0" w:color="auto"/>
              <w:right w:val="single" w:sz="8" w:space="0" w:color="auto"/>
            </w:tcBorders>
          </w:tcPr>
          <w:p w14:paraId="4D85B8CA" w14:textId="77777777" w:rsidR="0015293C" w:rsidRPr="00707120" w:rsidRDefault="0015293C" w:rsidP="00590B03">
            <w:pPr>
              <w:keepNext/>
              <w:keepLines/>
              <w:spacing w:before="50" w:after="50" w:line="240" w:lineRule="exact"/>
              <w:rPr>
                <w:rFonts w:eastAsia="SimSun"/>
                <w:b/>
                <w:sz w:val="20"/>
              </w:rPr>
            </w:pPr>
            <w:r w:rsidRPr="00707120">
              <w:rPr>
                <w:b/>
                <w:sz w:val="20"/>
              </w:rPr>
              <w:t xml:space="preserve"> Galvenais sekundārais mērķa kritērijs</w:t>
            </w:r>
            <w:r w:rsidRPr="00707120">
              <w:rPr>
                <w:sz w:val="20"/>
              </w:rPr>
              <w:t xml:space="preserve"> </w:t>
            </w:r>
          </w:p>
        </w:tc>
      </w:tr>
      <w:tr w:rsidR="0015293C" w:rsidRPr="00707120" w14:paraId="3A7AC238" w14:textId="77777777" w:rsidTr="00707120">
        <w:trPr>
          <w:cantSplit/>
        </w:trPr>
        <w:tc>
          <w:tcPr>
            <w:tcW w:w="9923" w:type="dxa"/>
            <w:gridSpan w:val="6"/>
            <w:tcBorders>
              <w:top w:val="single" w:sz="4" w:space="0" w:color="auto"/>
              <w:left w:val="single" w:sz="4" w:space="0" w:color="auto"/>
              <w:right w:val="single" w:sz="8" w:space="0" w:color="auto"/>
            </w:tcBorders>
            <w:tcMar>
              <w:top w:w="0" w:type="dxa"/>
              <w:left w:w="57" w:type="dxa"/>
              <w:bottom w:w="0" w:type="dxa"/>
              <w:right w:w="57" w:type="dxa"/>
            </w:tcMar>
          </w:tcPr>
          <w:p w14:paraId="63F7F4E4" w14:textId="7869CF4F" w:rsidR="0015293C" w:rsidRPr="00707120" w:rsidRDefault="0015293C" w:rsidP="00707120">
            <w:pPr>
              <w:keepNext/>
              <w:keepLines/>
              <w:spacing w:before="50" w:after="50" w:line="240" w:lineRule="exact"/>
              <w:rPr>
                <w:rFonts w:eastAsia="SimSun"/>
                <w:sz w:val="20"/>
                <w:lang w:val="es-ES"/>
              </w:rPr>
            </w:pPr>
            <w:r w:rsidRPr="00707120">
              <w:rPr>
                <w:sz w:val="20"/>
                <w:lang w:val="es-ES"/>
              </w:rPr>
              <w:t xml:space="preserve">Noturīga remisija (tocilizumaba grupas salīdzinājumā ar placebo + 52)                  </w:t>
            </w:r>
          </w:p>
        </w:tc>
      </w:tr>
      <w:tr w:rsidR="0015293C" w:rsidRPr="00FB280D" w14:paraId="625365B0" w14:textId="77777777" w:rsidTr="00707120">
        <w:trPr>
          <w:cantSplit/>
        </w:trPr>
        <w:tc>
          <w:tcPr>
            <w:tcW w:w="3821" w:type="dxa"/>
            <w:tcBorders>
              <w:left w:val="single" w:sz="4" w:space="0" w:color="auto"/>
            </w:tcBorders>
            <w:tcMar>
              <w:top w:w="0" w:type="dxa"/>
              <w:left w:w="57" w:type="dxa"/>
              <w:bottom w:w="0" w:type="dxa"/>
              <w:right w:w="57" w:type="dxa"/>
            </w:tcMar>
          </w:tcPr>
          <w:p w14:paraId="1279ADB2" w14:textId="0E42F6A6" w:rsidR="0015293C" w:rsidRPr="00707120" w:rsidRDefault="0015293C" w:rsidP="0015293C">
            <w:pPr>
              <w:keepNext/>
              <w:keepLines/>
              <w:spacing w:before="50" w:after="50" w:line="240" w:lineRule="exact"/>
              <w:ind w:left="720"/>
              <w:rPr>
                <w:rFonts w:eastAsia="SimSun"/>
                <w:sz w:val="20"/>
                <w:lang w:val="pt-BR"/>
              </w:rPr>
            </w:pPr>
            <w:r w:rsidRPr="00707120">
              <w:rPr>
                <w:sz w:val="20"/>
                <w:lang w:val="pt-BR"/>
              </w:rPr>
              <w:t>Pacienti ar atbildes reakciju 52.</w:t>
            </w:r>
            <w:r>
              <w:rPr>
                <w:sz w:val="20"/>
                <w:lang w:val="pt-BR"/>
              </w:rPr>
              <w:t> </w:t>
            </w:r>
            <w:r w:rsidRPr="00707120">
              <w:rPr>
                <w:sz w:val="20"/>
                <w:lang w:val="pt-BR"/>
              </w:rPr>
              <w:t>nedēļā, n (%)</w:t>
            </w:r>
          </w:p>
        </w:tc>
        <w:tc>
          <w:tcPr>
            <w:tcW w:w="1283" w:type="dxa"/>
            <w:gridSpan w:val="2"/>
            <w:tcMar>
              <w:top w:w="0" w:type="dxa"/>
              <w:left w:w="57" w:type="dxa"/>
              <w:bottom w:w="0" w:type="dxa"/>
              <w:right w:w="57" w:type="dxa"/>
            </w:tcMar>
          </w:tcPr>
          <w:p w14:paraId="610946DA" w14:textId="77777777" w:rsidR="0015293C" w:rsidRPr="00707120" w:rsidRDefault="0015293C" w:rsidP="00590B03">
            <w:pPr>
              <w:keepNext/>
              <w:keepLines/>
              <w:spacing w:before="50" w:after="50" w:line="240" w:lineRule="exact"/>
              <w:jc w:val="center"/>
              <w:rPr>
                <w:rFonts w:eastAsia="SimSun"/>
                <w:sz w:val="20"/>
              </w:rPr>
            </w:pPr>
            <w:r w:rsidRPr="00707120">
              <w:rPr>
                <w:sz w:val="20"/>
              </w:rPr>
              <w:t>7 (14%)</w:t>
            </w:r>
          </w:p>
        </w:tc>
        <w:tc>
          <w:tcPr>
            <w:tcW w:w="1275" w:type="dxa"/>
            <w:tcMar>
              <w:top w:w="0" w:type="dxa"/>
              <w:left w:w="57" w:type="dxa"/>
              <w:bottom w:w="0" w:type="dxa"/>
              <w:right w:w="57" w:type="dxa"/>
            </w:tcMar>
          </w:tcPr>
          <w:p w14:paraId="3BEFF415" w14:textId="77777777" w:rsidR="0015293C" w:rsidRPr="00707120" w:rsidRDefault="0015293C" w:rsidP="00590B03">
            <w:pPr>
              <w:keepNext/>
              <w:keepLines/>
              <w:spacing w:before="50" w:after="50" w:line="240" w:lineRule="exact"/>
              <w:jc w:val="center"/>
              <w:rPr>
                <w:rFonts w:eastAsia="SimSun"/>
                <w:sz w:val="20"/>
              </w:rPr>
            </w:pPr>
            <w:r w:rsidRPr="00707120">
              <w:rPr>
                <w:sz w:val="20"/>
              </w:rPr>
              <w:t>9 (17,6%)</w:t>
            </w:r>
          </w:p>
        </w:tc>
        <w:tc>
          <w:tcPr>
            <w:tcW w:w="1701" w:type="dxa"/>
            <w:tcBorders>
              <w:right w:val="nil"/>
            </w:tcBorders>
          </w:tcPr>
          <w:p w14:paraId="7F73B021" w14:textId="77777777" w:rsidR="0015293C" w:rsidRPr="00707120" w:rsidRDefault="0015293C" w:rsidP="00590B03">
            <w:pPr>
              <w:keepNext/>
              <w:keepLines/>
              <w:spacing w:before="50" w:after="50" w:line="240" w:lineRule="exact"/>
              <w:jc w:val="center"/>
              <w:rPr>
                <w:rFonts w:eastAsia="SimSun"/>
                <w:sz w:val="20"/>
              </w:rPr>
            </w:pPr>
            <w:r w:rsidRPr="00707120">
              <w:rPr>
                <w:sz w:val="20"/>
              </w:rPr>
              <w:t>56 (56%)</w:t>
            </w:r>
          </w:p>
        </w:tc>
        <w:tc>
          <w:tcPr>
            <w:tcW w:w="1843" w:type="dxa"/>
            <w:tcBorders>
              <w:left w:val="nil"/>
              <w:right w:val="single" w:sz="4" w:space="0" w:color="auto"/>
            </w:tcBorders>
            <w:tcMar>
              <w:top w:w="0" w:type="dxa"/>
              <w:left w:w="57" w:type="dxa"/>
              <w:bottom w:w="0" w:type="dxa"/>
              <w:right w:w="57" w:type="dxa"/>
            </w:tcMar>
          </w:tcPr>
          <w:p w14:paraId="1438CE6A" w14:textId="77777777" w:rsidR="0015293C" w:rsidRPr="00707120" w:rsidRDefault="0015293C" w:rsidP="00590B03">
            <w:pPr>
              <w:keepNext/>
              <w:keepLines/>
              <w:spacing w:before="50" w:after="50" w:line="240" w:lineRule="exact"/>
              <w:jc w:val="center"/>
              <w:rPr>
                <w:rFonts w:eastAsia="SimSun"/>
                <w:sz w:val="20"/>
              </w:rPr>
            </w:pPr>
            <w:r w:rsidRPr="00707120">
              <w:rPr>
                <w:sz w:val="20"/>
              </w:rPr>
              <w:t>26 (53,1%)</w:t>
            </w:r>
          </w:p>
        </w:tc>
      </w:tr>
      <w:tr w:rsidR="0015293C" w:rsidRPr="00FB280D" w14:paraId="31AC96CA" w14:textId="77777777" w:rsidTr="00707120">
        <w:trPr>
          <w:cantSplit/>
        </w:trPr>
        <w:tc>
          <w:tcPr>
            <w:tcW w:w="3821" w:type="dxa"/>
            <w:tcBorders>
              <w:left w:val="single" w:sz="4" w:space="0" w:color="auto"/>
              <w:bottom w:val="single" w:sz="4" w:space="0" w:color="auto"/>
            </w:tcBorders>
            <w:tcMar>
              <w:top w:w="0" w:type="dxa"/>
              <w:left w:w="57" w:type="dxa"/>
              <w:bottom w:w="0" w:type="dxa"/>
              <w:right w:w="57" w:type="dxa"/>
            </w:tcMar>
          </w:tcPr>
          <w:p w14:paraId="3470FF15" w14:textId="77777777" w:rsidR="0015293C" w:rsidRPr="00707120" w:rsidRDefault="0015293C" w:rsidP="00590B03">
            <w:pPr>
              <w:keepNext/>
              <w:keepLines/>
              <w:spacing w:before="50" w:after="50" w:line="240" w:lineRule="exact"/>
              <w:ind w:left="720"/>
              <w:rPr>
                <w:rFonts w:eastAsia="SimSun"/>
                <w:sz w:val="20"/>
                <w:lang w:val="pt-PT"/>
              </w:rPr>
            </w:pPr>
            <w:r w:rsidRPr="00707120">
              <w:rPr>
                <w:sz w:val="20"/>
                <w:lang w:val="pt-PT"/>
              </w:rPr>
              <w:t>Nekoriģēta procentuālā īpatsvara atšķirība</w:t>
            </w:r>
          </w:p>
          <w:p w14:paraId="6DF6A2EA" w14:textId="77777777" w:rsidR="0015293C" w:rsidRPr="00707120" w:rsidRDefault="0015293C" w:rsidP="00590B03">
            <w:pPr>
              <w:keepNext/>
              <w:keepLines/>
              <w:spacing w:before="50" w:after="50" w:line="240" w:lineRule="exact"/>
              <w:ind w:left="720"/>
              <w:rPr>
                <w:rFonts w:eastAsia="SimSun"/>
                <w:sz w:val="20"/>
                <w:lang w:val="pt-PT"/>
              </w:rPr>
            </w:pPr>
            <w:r w:rsidRPr="00707120">
              <w:rPr>
                <w:sz w:val="20"/>
                <w:lang w:val="pt-PT"/>
              </w:rPr>
              <w:t>(99,5% TI)</w:t>
            </w:r>
          </w:p>
        </w:tc>
        <w:tc>
          <w:tcPr>
            <w:tcW w:w="1283" w:type="dxa"/>
            <w:gridSpan w:val="2"/>
            <w:tcBorders>
              <w:bottom w:val="single" w:sz="4" w:space="0" w:color="auto"/>
            </w:tcBorders>
            <w:tcMar>
              <w:top w:w="0" w:type="dxa"/>
              <w:left w:w="57" w:type="dxa"/>
              <w:bottom w:w="0" w:type="dxa"/>
              <w:right w:w="57" w:type="dxa"/>
            </w:tcMar>
          </w:tcPr>
          <w:p w14:paraId="29D4E67E" w14:textId="77777777" w:rsidR="0015293C" w:rsidRPr="00707120" w:rsidRDefault="0015293C" w:rsidP="00590B03">
            <w:pPr>
              <w:keepNext/>
              <w:keepLines/>
              <w:spacing w:before="50" w:after="50" w:line="240" w:lineRule="exact"/>
              <w:jc w:val="center"/>
              <w:rPr>
                <w:rFonts w:eastAsia="SimSun"/>
                <w:sz w:val="20"/>
              </w:rPr>
            </w:pPr>
            <w:r w:rsidRPr="00707120">
              <w:rPr>
                <w:sz w:val="20"/>
              </w:rPr>
              <w:t>N/P</w:t>
            </w:r>
          </w:p>
        </w:tc>
        <w:tc>
          <w:tcPr>
            <w:tcW w:w="1275" w:type="dxa"/>
            <w:tcBorders>
              <w:bottom w:val="single" w:sz="4" w:space="0" w:color="auto"/>
            </w:tcBorders>
            <w:tcMar>
              <w:top w:w="0" w:type="dxa"/>
              <w:left w:w="57" w:type="dxa"/>
              <w:bottom w:w="0" w:type="dxa"/>
              <w:right w:w="57" w:type="dxa"/>
            </w:tcMar>
          </w:tcPr>
          <w:p w14:paraId="679B306F" w14:textId="77777777" w:rsidR="0015293C" w:rsidRPr="00707120" w:rsidDel="00CA004A" w:rsidRDefault="0015293C" w:rsidP="00590B03">
            <w:pPr>
              <w:keepNext/>
              <w:keepLines/>
              <w:spacing w:before="50" w:after="50" w:line="240" w:lineRule="exact"/>
              <w:jc w:val="center"/>
              <w:rPr>
                <w:rFonts w:eastAsia="SimSun"/>
                <w:sz w:val="20"/>
              </w:rPr>
            </w:pPr>
            <w:r w:rsidRPr="00707120">
              <w:rPr>
                <w:sz w:val="20"/>
              </w:rPr>
              <w:t>N/P</w:t>
            </w:r>
          </w:p>
        </w:tc>
        <w:tc>
          <w:tcPr>
            <w:tcW w:w="1701" w:type="dxa"/>
            <w:tcBorders>
              <w:bottom w:val="single" w:sz="4" w:space="0" w:color="auto"/>
              <w:right w:val="nil"/>
            </w:tcBorders>
          </w:tcPr>
          <w:p w14:paraId="479E0929" w14:textId="77777777" w:rsidR="0015293C" w:rsidRPr="00707120" w:rsidRDefault="0015293C" w:rsidP="00590B03">
            <w:pPr>
              <w:keepNext/>
              <w:keepLines/>
              <w:spacing w:before="50" w:after="50" w:line="240" w:lineRule="exact"/>
              <w:jc w:val="center"/>
              <w:rPr>
                <w:rFonts w:eastAsia="SimSun"/>
                <w:sz w:val="20"/>
              </w:rPr>
            </w:pPr>
            <w:r w:rsidRPr="00707120">
              <w:rPr>
                <w:sz w:val="20"/>
              </w:rPr>
              <w:t>38,35%*</w:t>
            </w:r>
          </w:p>
          <w:p w14:paraId="14D246E2" w14:textId="77777777" w:rsidR="0015293C" w:rsidRPr="00707120" w:rsidDel="00CA004A" w:rsidRDefault="0015293C" w:rsidP="00590B03">
            <w:pPr>
              <w:keepNext/>
              <w:keepLines/>
              <w:spacing w:before="50" w:after="50" w:line="240" w:lineRule="exact"/>
              <w:jc w:val="center"/>
              <w:rPr>
                <w:rFonts w:eastAsia="SimSun"/>
                <w:sz w:val="20"/>
              </w:rPr>
            </w:pPr>
            <w:r w:rsidRPr="00707120">
              <w:rPr>
                <w:sz w:val="20"/>
              </w:rPr>
              <w:t>(17,89; 58,81)</w:t>
            </w:r>
          </w:p>
        </w:tc>
        <w:tc>
          <w:tcPr>
            <w:tcW w:w="1843" w:type="dxa"/>
            <w:tcBorders>
              <w:left w:val="nil"/>
              <w:bottom w:val="single" w:sz="4" w:space="0" w:color="auto"/>
              <w:right w:val="single" w:sz="4" w:space="0" w:color="auto"/>
            </w:tcBorders>
            <w:tcMar>
              <w:top w:w="0" w:type="dxa"/>
              <w:left w:w="57" w:type="dxa"/>
              <w:bottom w:w="0" w:type="dxa"/>
              <w:right w:w="57" w:type="dxa"/>
            </w:tcMar>
          </w:tcPr>
          <w:p w14:paraId="61F60F89" w14:textId="77777777" w:rsidR="0015293C" w:rsidRPr="00707120" w:rsidRDefault="0015293C" w:rsidP="00590B03">
            <w:pPr>
              <w:keepNext/>
              <w:keepLines/>
              <w:spacing w:before="50" w:after="50" w:line="240" w:lineRule="exact"/>
              <w:jc w:val="center"/>
              <w:rPr>
                <w:rFonts w:eastAsia="SimSun"/>
                <w:sz w:val="20"/>
              </w:rPr>
            </w:pPr>
            <w:r w:rsidRPr="00707120">
              <w:rPr>
                <w:sz w:val="20"/>
              </w:rPr>
              <w:t>35,41%**</w:t>
            </w:r>
          </w:p>
          <w:p w14:paraId="37BEE6E4" w14:textId="77777777" w:rsidR="0015293C" w:rsidRPr="00707120" w:rsidRDefault="0015293C" w:rsidP="00590B03">
            <w:pPr>
              <w:keepNext/>
              <w:keepLines/>
              <w:spacing w:before="50" w:after="50" w:line="240" w:lineRule="exact"/>
              <w:jc w:val="center"/>
              <w:rPr>
                <w:rFonts w:eastAsia="SimSun"/>
                <w:sz w:val="20"/>
              </w:rPr>
            </w:pPr>
            <w:r w:rsidRPr="00707120">
              <w:rPr>
                <w:sz w:val="20"/>
              </w:rPr>
              <w:t>(10,41; 60,41)</w:t>
            </w:r>
          </w:p>
        </w:tc>
      </w:tr>
      <w:tr w:rsidR="0015293C" w:rsidRPr="00FB280D" w14:paraId="25249371" w14:textId="77777777" w:rsidTr="00707120">
        <w:trPr>
          <w:cantSplit/>
        </w:trPr>
        <w:tc>
          <w:tcPr>
            <w:tcW w:w="3821" w:type="dxa"/>
            <w:tcBorders>
              <w:top w:val="single" w:sz="4" w:space="0" w:color="auto"/>
              <w:left w:val="single" w:sz="4" w:space="0" w:color="auto"/>
              <w:bottom w:val="single" w:sz="4" w:space="0" w:color="auto"/>
            </w:tcBorders>
            <w:tcMar>
              <w:top w:w="0" w:type="dxa"/>
              <w:left w:w="57" w:type="dxa"/>
              <w:bottom w:w="0" w:type="dxa"/>
              <w:right w:w="57" w:type="dxa"/>
            </w:tcMar>
          </w:tcPr>
          <w:p w14:paraId="452194AE" w14:textId="77777777" w:rsidR="0015293C" w:rsidRPr="00707120" w:rsidRDefault="0015293C" w:rsidP="00590B03">
            <w:pPr>
              <w:keepNext/>
              <w:keepLines/>
              <w:spacing w:before="50" w:after="50" w:line="240" w:lineRule="exact"/>
              <w:rPr>
                <w:rFonts w:eastAsia="SimSun"/>
                <w:sz w:val="20"/>
              </w:rPr>
            </w:pPr>
            <w:r w:rsidRPr="00707120">
              <w:rPr>
                <w:b/>
                <w:sz w:val="20"/>
              </w:rPr>
              <w:t>Citi sekundārie mērķa kritēriji</w:t>
            </w:r>
          </w:p>
        </w:tc>
        <w:tc>
          <w:tcPr>
            <w:tcW w:w="1283" w:type="dxa"/>
            <w:gridSpan w:val="2"/>
            <w:tcBorders>
              <w:top w:val="single" w:sz="4" w:space="0" w:color="auto"/>
              <w:bottom w:val="single" w:sz="4" w:space="0" w:color="auto"/>
            </w:tcBorders>
            <w:tcMar>
              <w:top w:w="0" w:type="dxa"/>
              <w:left w:w="57" w:type="dxa"/>
              <w:bottom w:w="0" w:type="dxa"/>
              <w:right w:w="57" w:type="dxa"/>
            </w:tcMar>
          </w:tcPr>
          <w:p w14:paraId="3451B420" w14:textId="77777777" w:rsidR="0015293C" w:rsidRPr="00707120" w:rsidRDefault="0015293C" w:rsidP="00590B03">
            <w:pPr>
              <w:keepNext/>
              <w:keepLines/>
              <w:spacing w:before="50" w:after="50" w:line="240" w:lineRule="exact"/>
              <w:jc w:val="center"/>
              <w:rPr>
                <w:rFonts w:eastAsia="SimSun"/>
                <w:sz w:val="20"/>
              </w:rPr>
            </w:pPr>
          </w:p>
        </w:tc>
        <w:tc>
          <w:tcPr>
            <w:tcW w:w="1275" w:type="dxa"/>
            <w:tcBorders>
              <w:top w:val="single" w:sz="4" w:space="0" w:color="auto"/>
              <w:bottom w:val="single" w:sz="4" w:space="0" w:color="auto"/>
            </w:tcBorders>
            <w:tcMar>
              <w:top w:w="0" w:type="dxa"/>
              <w:left w:w="57" w:type="dxa"/>
              <w:bottom w:w="0" w:type="dxa"/>
              <w:right w:w="57" w:type="dxa"/>
            </w:tcMar>
          </w:tcPr>
          <w:p w14:paraId="3D77EC18" w14:textId="77777777" w:rsidR="0015293C" w:rsidRPr="00707120" w:rsidRDefault="0015293C" w:rsidP="00590B03">
            <w:pPr>
              <w:keepNext/>
              <w:keepLines/>
              <w:spacing w:before="50" w:after="50" w:line="240" w:lineRule="exact"/>
              <w:jc w:val="center"/>
              <w:rPr>
                <w:rFonts w:eastAsia="SimSun"/>
                <w:sz w:val="20"/>
              </w:rPr>
            </w:pPr>
          </w:p>
        </w:tc>
        <w:tc>
          <w:tcPr>
            <w:tcW w:w="1701" w:type="dxa"/>
            <w:tcBorders>
              <w:top w:val="single" w:sz="4" w:space="0" w:color="auto"/>
              <w:bottom w:val="single" w:sz="4" w:space="0" w:color="auto"/>
              <w:right w:val="nil"/>
            </w:tcBorders>
          </w:tcPr>
          <w:p w14:paraId="3CA91E99" w14:textId="77777777" w:rsidR="0015293C" w:rsidRPr="00707120" w:rsidRDefault="0015293C" w:rsidP="00590B03">
            <w:pPr>
              <w:keepNext/>
              <w:keepLines/>
              <w:spacing w:before="50" w:after="50" w:line="240" w:lineRule="exact"/>
              <w:jc w:val="center"/>
              <w:rPr>
                <w:rFonts w:eastAsia="SimSun"/>
                <w:sz w:val="20"/>
              </w:rPr>
            </w:pPr>
          </w:p>
        </w:tc>
        <w:tc>
          <w:tcPr>
            <w:tcW w:w="1843" w:type="dxa"/>
            <w:tcBorders>
              <w:top w:val="single" w:sz="4" w:space="0" w:color="auto"/>
              <w:left w:val="nil"/>
              <w:bottom w:val="single" w:sz="4" w:space="0" w:color="auto"/>
              <w:right w:val="single" w:sz="4" w:space="0" w:color="auto"/>
            </w:tcBorders>
            <w:tcMar>
              <w:top w:w="0" w:type="dxa"/>
              <w:left w:w="57" w:type="dxa"/>
              <w:bottom w:w="0" w:type="dxa"/>
              <w:right w:w="57" w:type="dxa"/>
            </w:tcMar>
          </w:tcPr>
          <w:p w14:paraId="3F07B12B" w14:textId="77777777" w:rsidR="0015293C" w:rsidRPr="00707120" w:rsidRDefault="0015293C" w:rsidP="00590B03">
            <w:pPr>
              <w:keepNext/>
              <w:keepLines/>
              <w:spacing w:before="50" w:after="50" w:line="240" w:lineRule="exact"/>
              <w:jc w:val="center"/>
              <w:rPr>
                <w:rFonts w:eastAsia="SimSun"/>
                <w:sz w:val="20"/>
              </w:rPr>
            </w:pPr>
          </w:p>
        </w:tc>
      </w:tr>
      <w:tr w:rsidR="0015293C" w:rsidRPr="00FB280D" w14:paraId="7316DAC1" w14:textId="77777777" w:rsidTr="00707120">
        <w:trPr>
          <w:cantSplit/>
        </w:trPr>
        <w:tc>
          <w:tcPr>
            <w:tcW w:w="3821" w:type="dxa"/>
            <w:tcBorders>
              <w:top w:val="single" w:sz="4" w:space="0" w:color="auto"/>
              <w:left w:val="single" w:sz="4" w:space="0" w:color="auto"/>
              <w:bottom w:val="single" w:sz="4" w:space="0" w:color="auto"/>
            </w:tcBorders>
            <w:tcMar>
              <w:top w:w="0" w:type="dxa"/>
              <w:left w:w="57" w:type="dxa"/>
              <w:bottom w:w="0" w:type="dxa"/>
              <w:right w:w="57" w:type="dxa"/>
            </w:tcMar>
          </w:tcPr>
          <w:p w14:paraId="07392135" w14:textId="4F6164B3" w:rsidR="0015293C" w:rsidRPr="00707120" w:rsidRDefault="0015293C" w:rsidP="00707120">
            <w:pPr>
              <w:rPr>
                <w:rFonts w:eastAsia="SimSun"/>
                <w:sz w:val="20"/>
              </w:rPr>
            </w:pPr>
            <w:r w:rsidRPr="00707120">
              <w:rPr>
                <w:sz w:val="20"/>
              </w:rPr>
              <w:t>Laiks līdz pirmajam GCA uzliesmojumam¹ (tocilizumaba grupa</w:t>
            </w:r>
            <w:r>
              <w:rPr>
                <w:sz w:val="20"/>
              </w:rPr>
              <w:t>s</w:t>
            </w:r>
            <w:r w:rsidRPr="00707120">
              <w:rPr>
                <w:sz w:val="20"/>
              </w:rPr>
              <w:t xml:space="preserve"> salīdzinājumā ar placebo + 26)</w:t>
            </w:r>
          </w:p>
          <w:p w14:paraId="35BBA8D9" w14:textId="046DD2E1" w:rsidR="0015293C" w:rsidRPr="00707120" w:rsidRDefault="0015293C" w:rsidP="00707120">
            <w:pPr>
              <w:rPr>
                <w:rFonts w:eastAsia="SimSun"/>
                <w:sz w:val="20"/>
                <w:lang w:val="pt-PT"/>
              </w:rPr>
            </w:pPr>
            <w:r w:rsidRPr="00291364">
              <w:rPr>
                <w:rFonts w:eastAsia="SimSun"/>
                <w:sz w:val="20"/>
                <w:lang w:val="en-GB" w:eastAsia="zh-CN"/>
              </w:rPr>
              <w:tab/>
            </w:r>
            <w:r w:rsidRPr="00707120">
              <w:rPr>
                <w:sz w:val="20"/>
                <w:lang w:val="pt-PT"/>
              </w:rPr>
              <w:t>RA (99% TI)</w:t>
            </w:r>
          </w:p>
          <w:p w14:paraId="7B496851" w14:textId="0EAFD8BA" w:rsidR="0015293C" w:rsidRPr="00707120" w:rsidRDefault="0015293C" w:rsidP="00707120">
            <w:pPr>
              <w:ind w:left="-58"/>
              <w:rPr>
                <w:rFonts w:eastAsia="SimSun"/>
                <w:sz w:val="20"/>
                <w:lang w:val="pt-PT"/>
              </w:rPr>
            </w:pPr>
            <w:r w:rsidRPr="00707120">
              <w:rPr>
                <w:sz w:val="20"/>
                <w:lang w:val="pt-PT"/>
              </w:rPr>
              <w:t xml:space="preserve"> Laiks līdz pirmajam GCA uzliesmojumam¹ (tocilizumaba grupas salīdzinājumā ar placebo + +52)</w:t>
            </w:r>
          </w:p>
          <w:p w14:paraId="4A33E350" w14:textId="39FCF5FA" w:rsidR="0015293C" w:rsidRPr="00707120" w:rsidRDefault="0015293C" w:rsidP="00707120">
            <w:pPr>
              <w:rPr>
                <w:rFonts w:eastAsia="SimSun"/>
                <w:sz w:val="20"/>
                <w:lang w:val="pt-PT"/>
              </w:rPr>
            </w:pPr>
            <w:r w:rsidRPr="00707120">
              <w:rPr>
                <w:rFonts w:eastAsia="SimSun"/>
                <w:sz w:val="20"/>
                <w:lang w:val="pt-PT" w:eastAsia="zh-CN"/>
              </w:rPr>
              <w:tab/>
            </w:r>
            <w:r w:rsidRPr="00707120">
              <w:rPr>
                <w:sz w:val="20"/>
                <w:lang w:val="pt-PT"/>
              </w:rPr>
              <w:t>RA (99% TI)</w:t>
            </w:r>
          </w:p>
          <w:p w14:paraId="43A43F84" w14:textId="38755016" w:rsidR="0015293C" w:rsidRPr="00707120" w:rsidRDefault="0015293C" w:rsidP="00707120">
            <w:pPr>
              <w:rPr>
                <w:rFonts w:eastAsia="SimSun"/>
                <w:sz w:val="20"/>
                <w:lang w:val="pt-PT"/>
              </w:rPr>
            </w:pPr>
            <w:r w:rsidRPr="00707120">
              <w:rPr>
                <w:sz w:val="20"/>
                <w:lang w:val="pt-PT"/>
              </w:rPr>
              <w:t>Laiks līdz pirmajam GCA uzliesmojumam¹ (pacienti ar slimības recidīvu; tocilizumaba grupas salīdzinājumā ar placebo + 26) RA (99% TI)</w:t>
            </w:r>
          </w:p>
          <w:p w14:paraId="0F25816C" w14:textId="758BBFDC" w:rsidR="0015293C" w:rsidRPr="00707120" w:rsidRDefault="0015293C" w:rsidP="00707120">
            <w:pPr>
              <w:rPr>
                <w:rFonts w:eastAsia="SimSun"/>
                <w:sz w:val="20"/>
                <w:lang w:val="pt-PT"/>
              </w:rPr>
            </w:pPr>
            <w:r w:rsidRPr="00707120">
              <w:rPr>
                <w:sz w:val="20"/>
                <w:lang w:val="pt-PT"/>
              </w:rPr>
              <w:t>Laiks līdz pirmajam GCA uzliesmojumam¹ (pacienti ar slimības recidīvu; tocilizumaba grupas salīdzinājumā ar placebo + 52) RA (99% TI)</w:t>
            </w:r>
          </w:p>
          <w:p w14:paraId="2CE2D73D" w14:textId="0D4C47A5" w:rsidR="0015293C" w:rsidRPr="00707120" w:rsidRDefault="0015293C" w:rsidP="00707120">
            <w:pPr>
              <w:rPr>
                <w:rFonts w:eastAsia="SimSun"/>
                <w:sz w:val="20"/>
                <w:lang w:val="pt-PT"/>
              </w:rPr>
            </w:pPr>
            <w:r w:rsidRPr="00707120">
              <w:rPr>
                <w:sz w:val="20"/>
                <w:lang w:val="pt-PT"/>
              </w:rPr>
              <w:t>Laiks līdz pirmajam GCA uzliesmojumam¹ (pacienti ar pirmoreiz konstatētu slimību; tocilizumaba grupas salīdzinājumā ar placebo + 26) RA (99% TI)</w:t>
            </w:r>
          </w:p>
          <w:p w14:paraId="1568122F" w14:textId="42654DFF" w:rsidR="0015293C" w:rsidRPr="00707120" w:rsidRDefault="0015293C" w:rsidP="00707120">
            <w:pPr>
              <w:rPr>
                <w:rFonts w:eastAsia="SimSun"/>
                <w:sz w:val="20"/>
                <w:lang w:val="pt-PT"/>
              </w:rPr>
            </w:pPr>
            <w:r w:rsidRPr="00707120">
              <w:rPr>
                <w:sz w:val="20"/>
                <w:lang w:val="pt-PT"/>
              </w:rPr>
              <w:t>Laiks līdz pirmajam GCA uzliesmojumam¹ (pacienti ar pirmoreiz diagnosticētu slimību; tocilizumaba grupas salīdzinājumā ar placebo + 52) RA (99% TI)</w:t>
            </w:r>
          </w:p>
        </w:tc>
        <w:tc>
          <w:tcPr>
            <w:tcW w:w="1283" w:type="dxa"/>
            <w:gridSpan w:val="2"/>
            <w:tcBorders>
              <w:top w:val="single" w:sz="4" w:space="0" w:color="auto"/>
              <w:bottom w:val="single" w:sz="4" w:space="0" w:color="auto"/>
            </w:tcBorders>
            <w:tcMar>
              <w:top w:w="0" w:type="dxa"/>
              <w:left w:w="57" w:type="dxa"/>
              <w:bottom w:w="0" w:type="dxa"/>
              <w:right w:w="57" w:type="dxa"/>
            </w:tcMar>
          </w:tcPr>
          <w:p w14:paraId="548E5271" w14:textId="77777777" w:rsidR="0015293C" w:rsidRPr="00707120" w:rsidRDefault="0015293C" w:rsidP="00707120">
            <w:pPr>
              <w:jc w:val="center"/>
              <w:rPr>
                <w:rFonts w:eastAsia="SimSun"/>
                <w:sz w:val="20"/>
                <w:lang w:val="pt-BR"/>
              </w:rPr>
            </w:pPr>
            <w:r w:rsidRPr="00707120">
              <w:rPr>
                <w:sz w:val="20"/>
                <w:lang w:val="pt-BR"/>
              </w:rPr>
              <w:t>N/P</w:t>
            </w:r>
          </w:p>
          <w:p w14:paraId="72FD89D2" w14:textId="0B55F470" w:rsidR="0015293C" w:rsidRDefault="0015293C" w:rsidP="00707120">
            <w:pPr>
              <w:jc w:val="center"/>
              <w:rPr>
                <w:rFonts w:eastAsia="SimSun"/>
                <w:sz w:val="20"/>
                <w:lang w:val="pt-BR"/>
              </w:rPr>
            </w:pPr>
          </w:p>
          <w:p w14:paraId="7B8F1BAA" w14:textId="41282AF9" w:rsidR="0015293C" w:rsidRDefault="0015293C" w:rsidP="00707120">
            <w:pPr>
              <w:jc w:val="center"/>
              <w:rPr>
                <w:rFonts w:eastAsia="SimSun"/>
                <w:sz w:val="20"/>
                <w:lang w:val="pt-BR"/>
              </w:rPr>
            </w:pPr>
          </w:p>
          <w:p w14:paraId="3D055A77" w14:textId="77777777" w:rsidR="0015293C" w:rsidRPr="00707120" w:rsidRDefault="0015293C" w:rsidP="00707120">
            <w:pPr>
              <w:jc w:val="center"/>
              <w:rPr>
                <w:rFonts w:eastAsia="SimSun"/>
                <w:sz w:val="20"/>
                <w:lang w:val="pt-BR"/>
              </w:rPr>
            </w:pPr>
          </w:p>
          <w:p w14:paraId="039D3627" w14:textId="77777777" w:rsidR="0015293C" w:rsidRPr="00707120" w:rsidRDefault="0015293C" w:rsidP="00707120">
            <w:pPr>
              <w:jc w:val="center"/>
              <w:rPr>
                <w:rFonts w:eastAsia="SimSun"/>
                <w:sz w:val="20"/>
                <w:lang w:val="pt-BR"/>
              </w:rPr>
            </w:pPr>
            <w:r w:rsidRPr="00707120">
              <w:rPr>
                <w:sz w:val="20"/>
                <w:lang w:val="pt-BR"/>
              </w:rPr>
              <w:t>N/P</w:t>
            </w:r>
          </w:p>
          <w:p w14:paraId="41332932" w14:textId="77777777" w:rsidR="0015293C" w:rsidRPr="00707120" w:rsidRDefault="0015293C" w:rsidP="00707120">
            <w:pPr>
              <w:jc w:val="center"/>
              <w:rPr>
                <w:rFonts w:eastAsia="SimSun"/>
                <w:sz w:val="20"/>
                <w:lang w:val="pt-BR"/>
              </w:rPr>
            </w:pPr>
          </w:p>
          <w:p w14:paraId="62C03163" w14:textId="271C8248" w:rsidR="0015293C" w:rsidRDefault="0015293C" w:rsidP="00707120">
            <w:pPr>
              <w:jc w:val="center"/>
              <w:rPr>
                <w:rFonts w:eastAsia="SimSun"/>
                <w:sz w:val="20"/>
                <w:lang w:val="pt-BR"/>
              </w:rPr>
            </w:pPr>
          </w:p>
          <w:p w14:paraId="0BBEBB9B" w14:textId="77777777" w:rsidR="0015293C" w:rsidRPr="00707120" w:rsidRDefault="0015293C" w:rsidP="00707120">
            <w:pPr>
              <w:jc w:val="center"/>
              <w:rPr>
                <w:rFonts w:eastAsia="SimSun"/>
                <w:sz w:val="20"/>
                <w:lang w:val="pt-BR"/>
              </w:rPr>
            </w:pPr>
          </w:p>
          <w:p w14:paraId="02339516" w14:textId="77777777" w:rsidR="0015293C" w:rsidRPr="00707120" w:rsidRDefault="0015293C" w:rsidP="00707120">
            <w:pPr>
              <w:jc w:val="center"/>
              <w:rPr>
                <w:rFonts w:eastAsia="SimSun"/>
                <w:sz w:val="20"/>
                <w:lang w:val="pt-BR"/>
              </w:rPr>
            </w:pPr>
            <w:r w:rsidRPr="00707120">
              <w:rPr>
                <w:sz w:val="20"/>
                <w:lang w:val="pt-BR"/>
              </w:rPr>
              <w:t>N/P</w:t>
            </w:r>
          </w:p>
          <w:p w14:paraId="0FEB129C" w14:textId="77777777" w:rsidR="0015293C" w:rsidRPr="00707120" w:rsidRDefault="0015293C" w:rsidP="00707120">
            <w:pPr>
              <w:rPr>
                <w:rFonts w:eastAsia="SimSun"/>
                <w:sz w:val="20"/>
                <w:lang w:val="pt-BR"/>
              </w:rPr>
            </w:pPr>
          </w:p>
          <w:p w14:paraId="05DA7A19" w14:textId="77777777" w:rsidR="0015293C" w:rsidRDefault="0015293C" w:rsidP="00707120">
            <w:pPr>
              <w:jc w:val="center"/>
              <w:rPr>
                <w:sz w:val="20"/>
                <w:lang w:val="pt-BR"/>
              </w:rPr>
            </w:pPr>
          </w:p>
          <w:p w14:paraId="14761D39" w14:textId="77777777" w:rsidR="0015293C" w:rsidRDefault="0015293C" w:rsidP="00707120">
            <w:pPr>
              <w:jc w:val="center"/>
              <w:rPr>
                <w:sz w:val="20"/>
                <w:lang w:val="pt-BR"/>
              </w:rPr>
            </w:pPr>
          </w:p>
          <w:p w14:paraId="4835A531" w14:textId="6FDD3639" w:rsidR="0015293C" w:rsidRPr="00707120" w:rsidRDefault="0015293C" w:rsidP="00707120">
            <w:pPr>
              <w:jc w:val="center"/>
              <w:rPr>
                <w:rFonts w:eastAsia="SimSun"/>
                <w:sz w:val="20"/>
                <w:lang w:val="pt-BR"/>
              </w:rPr>
            </w:pPr>
            <w:r w:rsidRPr="00707120">
              <w:rPr>
                <w:sz w:val="20"/>
                <w:lang w:val="pt-BR"/>
              </w:rPr>
              <w:t>N/P</w:t>
            </w:r>
          </w:p>
          <w:p w14:paraId="4D0F3453" w14:textId="77777777" w:rsidR="0015293C" w:rsidRPr="00707120" w:rsidRDefault="0015293C" w:rsidP="00707120">
            <w:pPr>
              <w:jc w:val="center"/>
              <w:rPr>
                <w:rFonts w:eastAsia="SimSun"/>
                <w:sz w:val="20"/>
                <w:lang w:val="pt-BR"/>
              </w:rPr>
            </w:pPr>
          </w:p>
          <w:p w14:paraId="5B7CCC85" w14:textId="77777777" w:rsidR="0015293C" w:rsidRDefault="0015293C" w:rsidP="00707120">
            <w:pPr>
              <w:jc w:val="center"/>
              <w:rPr>
                <w:sz w:val="20"/>
                <w:lang w:val="pt-BR"/>
              </w:rPr>
            </w:pPr>
          </w:p>
          <w:p w14:paraId="2630966D" w14:textId="77777777" w:rsidR="0015293C" w:rsidRDefault="0015293C" w:rsidP="00707120">
            <w:pPr>
              <w:jc w:val="center"/>
              <w:rPr>
                <w:sz w:val="20"/>
                <w:lang w:val="pt-BR"/>
              </w:rPr>
            </w:pPr>
          </w:p>
          <w:p w14:paraId="5B5720BA" w14:textId="75A7172A" w:rsidR="0015293C" w:rsidRPr="00707120" w:rsidRDefault="0015293C" w:rsidP="00707120">
            <w:pPr>
              <w:jc w:val="center"/>
              <w:rPr>
                <w:rFonts w:eastAsia="SimSun"/>
                <w:sz w:val="20"/>
                <w:lang w:val="pt-BR"/>
              </w:rPr>
            </w:pPr>
            <w:r w:rsidRPr="00707120">
              <w:rPr>
                <w:sz w:val="20"/>
                <w:lang w:val="pt-BR"/>
              </w:rPr>
              <w:t>N/P</w:t>
            </w:r>
          </w:p>
          <w:p w14:paraId="388F71D6" w14:textId="77777777" w:rsidR="0015293C" w:rsidRPr="00707120" w:rsidRDefault="0015293C" w:rsidP="00707120">
            <w:pPr>
              <w:rPr>
                <w:rFonts w:eastAsia="SimSun"/>
                <w:sz w:val="20"/>
                <w:lang w:val="pt-BR"/>
              </w:rPr>
            </w:pPr>
          </w:p>
          <w:p w14:paraId="6407BDF9" w14:textId="77777777" w:rsidR="0015293C" w:rsidRDefault="0015293C" w:rsidP="00707120">
            <w:pPr>
              <w:jc w:val="center"/>
              <w:rPr>
                <w:sz w:val="20"/>
                <w:lang w:val="pt-BR"/>
              </w:rPr>
            </w:pPr>
          </w:p>
          <w:p w14:paraId="100DEFF9" w14:textId="77777777" w:rsidR="0015293C" w:rsidRDefault="0015293C" w:rsidP="00707120">
            <w:pPr>
              <w:jc w:val="center"/>
              <w:rPr>
                <w:sz w:val="20"/>
                <w:lang w:val="pt-BR"/>
              </w:rPr>
            </w:pPr>
          </w:p>
          <w:p w14:paraId="720EF8A7" w14:textId="1E3FC8FA" w:rsidR="0015293C" w:rsidRPr="00707120" w:rsidRDefault="0015293C" w:rsidP="00707120">
            <w:pPr>
              <w:jc w:val="center"/>
              <w:rPr>
                <w:rFonts w:eastAsia="SimSun"/>
                <w:sz w:val="20"/>
                <w:lang w:val="pt-BR"/>
              </w:rPr>
            </w:pPr>
            <w:r w:rsidRPr="00707120">
              <w:rPr>
                <w:sz w:val="20"/>
                <w:lang w:val="pt-BR"/>
              </w:rPr>
              <w:t>N/P</w:t>
            </w:r>
          </w:p>
        </w:tc>
        <w:tc>
          <w:tcPr>
            <w:tcW w:w="1275" w:type="dxa"/>
            <w:tcBorders>
              <w:top w:val="single" w:sz="4" w:space="0" w:color="auto"/>
              <w:bottom w:val="single" w:sz="4" w:space="0" w:color="auto"/>
            </w:tcBorders>
            <w:tcMar>
              <w:top w:w="0" w:type="dxa"/>
              <w:left w:w="57" w:type="dxa"/>
              <w:bottom w:w="0" w:type="dxa"/>
              <w:right w:w="57" w:type="dxa"/>
            </w:tcMar>
          </w:tcPr>
          <w:p w14:paraId="43661DAC" w14:textId="77777777" w:rsidR="0015293C" w:rsidRPr="00707120" w:rsidRDefault="0015293C" w:rsidP="00707120">
            <w:pPr>
              <w:jc w:val="center"/>
              <w:rPr>
                <w:rFonts w:eastAsia="SimSun"/>
                <w:sz w:val="20"/>
                <w:lang w:val="pt-BR"/>
              </w:rPr>
            </w:pPr>
            <w:r w:rsidRPr="00707120">
              <w:rPr>
                <w:sz w:val="20"/>
                <w:lang w:val="pt-BR"/>
              </w:rPr>
              <w:t>N/P</w:t>
            </w:r>
          </w:p>
          <w:p w14:paraId="3F8D24D4" w14:textId="2C502EC5" w:rsidR="0015293C" w:rsidRDefault="0015293C" w:rsidP="00707120">
            <w:pPr>
              <w:jc w:val="center"/>
              <w:rPr>
                <w:rFonts w:eastAsia="SimSun"/>
                <w:sz w:val="20"/>
                <w:lang w:val="pt-BR"/>
              </w:rPr>
            </w:pPr>
          </w:p>
          <w:p w14:paraId="1B1F0526" w14:textId="38E42687" w:rsidR="0015293C" w:rsidRDefault="0015293C" w:rsidP="00707120">
            <w:pPr>
              <w:jc w:val="center"/>
              <w:rPr>
                <w:rFonts w:eastAsia="SimSun"/>
                <w:sz w:val="20"/>
                <w:lang w:val="pt-BR"/>
              </w:rPr>
            </w:pPr>
          </w:p>
          <w:p w14:paraId="23A6D326" w14:textId="77777777" w:rsidR="0015293C" w:rsidRPr="00707120" w:rsidRDefault="0015293C" w:rsidP="00707120">
            <w:pPr>
              <w:jc w:val="center"/>
              <w:rPr>
                <w:rFonts w:eastAsia="SimSun"/>
                <w:sz w:val="20"/>
                <w:lang w:val="pt-BR"/>
              </w:rPr>
            </w:pPr>
          </w:p>
          <w:p w14:paraId="24CAAE96" w14:textId="77777777" w:rsidR="0015293C" w:rsidRPr="00707120" w:rsidRDefault="0015293C" w:rsidP="00707120">
            <w:pPr>
              <w:jc w:val="center"/>
              <w:rPr>
                <w:rFonts w:eastAsia="SimSun"/>
                <w:sz w:val="20"/>
                <w:lang w:val="pt-BR"/>
              </w:rPr>
            </w:pPr>
            <w:r w:rsidRPr="00707120">
              <w:rPr>
                <w:sz w:val="20"/>
                <w:lang w:val="pt-BR"/>
              </w:rPr>
              <w:t>N/P</w:t>
            </w:r>
          </w:p>
          <w:p w14:paraId="0E98749B" w14:textId="77777777" w:rsidR="0015293C" w:rsidRPr="00707120" w:rsidRDefault="0015293C" w:rsidP="00707120">
            <w:pPr>
              <w:jc w:val="center"/>
              <w:rPr>
                <w:rFonts w:eastAsia="SimSun"/>
                <w:sz w:val="20"/>
                <w:lang w:val="pt-BR"/>
              </w:rPr>
            </w:pPr>
          </w:p>
          <w:p w14:paraId="09BE160F" w14:textId="30F4A4B4" w:rsidR="0015293C" w:rsidRDefault="0015293C" w:rsidP="00707120">
            <w:pPr>
              <w:jc w:val="center"/>
              <w:rPr>
                <w:rFonts w:eastAsia="SimSun"/>
                <w:sz w:val="20"/>
                <w:lang w:val="pt-BR"/>
              </w:rPr>
            </w:pPr>
          </w:p>
          <w:p w14:paraId="345F4C8E" w14:textId="77777777" w:rsidR="0015293C" w:rsidRPr="00707120" w:rsidRDefault="0015293C" w:rsidP="00707120">
            <w:pPr>
              <w:jc w:val="center"/>
              <w:rPr>
                <w:rFonts w:eastAsia="SimSun"/>
                <w:sz w:val="20"/>
                <w:lang w:val="pt-BR"/>
              </w:rPr>
            </w:pPr>
          </w:p>
          <w:p w14:paraId="5C60F652" w14:textId="77777777" w:rsidR="0015293C" w:rsidRPr="00707120" w:rsidRDefault="0015293C" w:rsidP="00707120">
            <w:pPr>
              <w:jc w:val="center"/>
              <w:rPr>
                <w:rFonts w:eastAsia="SimSun"/>
                <w:sz w:val="20"/>
                <w:lang w:val="pt-BR"/>
              </w:rPr>
            </w:pPr>
            <w:r w:rsidRPr="00707120">
              <w:rPr>
                <w:sz w:val="20"/>
                <w:lang w:val="pt-BR"/>
              </w:rPr>
              <w:t>N/P</w:t>
            </w:r>
          </w:p>
          <w:p w14:paraId="0ED67C76" w14:textId="77777777" w:rsidR="0015293C" w:rsidRPr="00707120" w:rsidRDefault="0015293C" w:rsidP="00707120">
            <w:pPr>
              <w:rPr>
                <w:rFonts w:eastAsia="SimSun"/>
                <w:sz w:val="20"/>
                <w:lang w:val="pt-BR"/>
              </w:rPr>
            </w:pPr>
          </w:p>
          <w:p w14:paraId="10A8091D" w14:textId="77777777" w:rsidR="0015293C" w:rsidRDefault="0015293C" w:rsidP="00707120">
            <w:pPr>
              <w:jc w:val="center"/>
              <w:rPr>
                <w:sz w:val="20"/>
                <w:lang w:val="pt-BR"/>
              </w:rPr>
            </w:pPr>
          </w:p>
          <w:p w14:paraId="512EBCD2" w14:textId="77777777" w:rsidR="0015293C" w:rsidRDefault="0015293C" w:rsidP="00707120">
            <w:pPr>
              <w:jc w:val="center"/>
              <w:rPr>
                <w:sz w:val="20"/>
                <w:lang w:val="pt-BR"/>
              </w:rPr>
            </w:pPr>
          </w:p>
          <w:p w14:paraId="55717815" w14:textId="11B112E6" w:rsidR="0015293C" w:rsidRPr="00707120" w:rsidRDefault="0015293C" w:rsidP="00707120">
            <w:pPr>
              <w:jc w:val="center"/>
              <w:rPr>
                <w:rFonts w:eastAsia="SimSun"/>
                <w:sz w:val="20"/>
                <w:lang w:val="pt-BR"/>
              </w:rPr>
            </w:pPr>
            <w:r w:rsidRPr="00707120">
              <w:rPr>
                <w:sz w:val="20"/>
                <w:lang w:val="pt-BR"/>
              </w:rPr>
              <w:t>N/P</w:t>
            </w:r>
          </w:p>
          <w:p w14:paraId="7D18A6D3" w14:textId="77777777" w:rsidR="0015293C" w:rsidRPr="00707120" w:rsidRDefault="0015293C" w:rsidP="00707120">
            <w:pPr>
              <w:jc w:val="center"/>
              <w:rPr>
                <w:rFonts w:eastAsia="SimSun"/>
                <w:sz w:val="20"/>
                <w:lang w:val="pt-BR"/>
              </w:rPr>
            </w:pPr>
          </w:p>
          <w:p w14:paraId="0AA19DFC" w14:textId="77777777" w:rsidR="0015293C" w:rsidRDefault="0015293C" w:rsidP="00707120">
            <w:pPr>
              <w:jc w:val="center"/>
              <w:rPr>
                <w:sz w:val="20"/>
                <w:lang w:val="pt-BR"/>
              </w:rPr>
            </w:pPr>
          </w:p>
          <w:p w14:paraId="5D1C95D9" w14:textId="77777777" w:rsidR="0015293C" w:rsidRDefault="0015293C" w:rsidP="00707120">
            <w:pPr>
              <w:jc w:val="center"/>
              <w:rPr>
                <w:sz w:val="20"/>
                <w:lang w:val="pt-BR"/>
              </w:rPr>
            </w:pPr>
          </w:p>
          <w:p w14:paraId="35C4EDC1" w14:textId="4B3F7948" w:rsidR="0015293C" w:rsidRPr="00707120" w:rsidRDefault="0015293C" w:rsidP="00707120">
            <w:pPr>
              <w:jc w:val="center"/>
              <w:rPr>
                <w:rFonts w:eastAsia="SimSun"/>
                <w:sz w:val="20"/>
                <w:lang w:val="pt-BR"/>
              </w:rPr>
            </w:pPr>
            <w:r w:rsidRPr="00707120">
              <w:rPr>
                <w:sz w:val="20"/>
                <w:lang w:val="pt-BR"/>
              </w:rPr>
              <w:t>N/P</w:t>
            </w:r>
          </w:p>
          <w:p w14:paraId="5EE1DDC0" w14:textId="77777777" w:rsidR="0015293C" w:rsidRPr="00707120" w:rsidRDefault="0015293C" w:rsidP="00707120">
            <w:pPr>
              <w:rPr>
                <w:rFonts w:eastAsia="SimSun"/>
                <w:sz w:val="20"/>
                <w:lang w:val="pt-BR"/>
              </w:rPr>
            </w:pPr>
          </w:p>
          <w:p w14:paraId="46D33718" w14:textId="77777777" w:rsidR="0015293C" w:rsidRDefault="0015293C" w:rsidP="00707120">
            <w:pPr>
              <w:jc w:val="center"/>
              <w:rPr>
                <w:sz w:val="20"/>
                <w:lang w:val="pt-BR"/>
              </w:rPr>
            </w:pPr>
          </w:p>
          <w:p w14:paraId="416F118D" w14:textId="77777777" w:rsidR="0015293C" w:rsidRDefault="0015293C" w:rsidP="00707120">
            <w:pPr>
              <w:jc w:val="center"/>
              <w:rPr>
                <w:sz w:val="20"/>
                <w:lang w:val="pt-BR"/>
              </w:rPr>
            </w:pPr>
          </w:p>
          <w:p w14:paraId="1A050A62" w14:textId="768E0552" w:rsidR="0015293C" w:rsidRPr="00707120" w:rsidRDefault="0015293C" w:rsidP="00707120">
            <w:pPr>
              <w:jc w:val="center"/>
              <w:rPr>
                <w:rFonts w:eastAsia="SimSun"/>
                <w:sz w:val="20"/>
                <w:lang w:val="pt-BR"/>
              </w:rPr>
            </w:pPr>
            <w:r w:rsidRPr="00707120">
              <w:rPr>
                <w:sz w:val="20"/>
                <w:lang w:val="pt-BR"/>
              </w:rPr>
              <w:t>N/P</w:t>
            </w:r>
          </w:p>
        </w:tc>
        <w:tc>
          <w:tcPr>
            <w:tcW w:w="1701" w:type="dxa"/>
            <w:tcBorders>
              <w:top w:val="single" w:sz="4" w:space="0" w:color="auto"/>
              <w:bottom w:val="single" w:sz="4" w:space="0" w:color="auto"/>
              <w:right w:val="nil"/>
            </w:tcBorders>
          </w:tcPr>
          <w:p w14:paraId="4E6C2033" w14:textId="77777777" w:rsidR="0015293C" w:rsidRPr="00707120" w:rsidRDefault="0015293C" w:rsidP="00707120">
            <w:pPr>
              <w:jc w:val="center"/>
              <w:rPr>
                <w:rFonts w:eastAsia="SimSun"/>
                <w:sz w:val="20"/>
              </w:rPr>
            </w:pPr>
            <w:r w:rsidRPr="00707120">
              <w:rPr>
                <w:sz w:val="20"/>
              </w:rPr>
              <w:t>0,23*</w:t>
            </w:r>
          </w:p>
          <w:p w14:paraId="251C3320" w14:textId="5FD3D4DA" w:rsidR="0015293C" w:rsidRDefault="0015293C" w:rsidP="00707120">
            <w:pPr>
              <w:jc w:val="center"/>
              <w:rPr>
                <w:sz w:val="20"/>
              </w:rPr>
            </w:pPr>
            <w:r w:rsidRPr="00707120">
              <w:rPr>
                <w:sz w:val="20"/>
              </w:rPr>
              <w:t>(0,11; 0,46)</w:t>
            </w:r>
          </w:p>
          <w:p w14:paraId="5C99935F" w14:textId="7CC7460D" w:rsidR="0015293C" w:rsidRDefault="0015293C" w:rsidP="00707120">
            <w:pPr>
              <w:jc w:val="center"/>
              <w:rPr>
                <w:sz w:val="20"/>
              </w:rPr>
            </w:pPr>
          </w:p>
          <w:p w14:paraId="03D752D8" w14:textId="77777777" w:rsidR="0015293C" w:rsidRPr="00707120" w:rsidRDefault="0015293C" w:rsidP="00707120">
            <w:pPr>
              <w:jc w:val="center"/>
              <w:rPr>
                <w:rFonts w:eastAsia="SimSun"/>
                <w:sz w:val="20"/>
              </w:rPr>
            </w:pPr>
          </w:p>
          <w:p w14:paraId="45E209FF" w14:textId="77777777" w:rsidR="0015293C" w:rsidRPr="00707120" w:rsidRDefault="0015293C" w:rsidP="00707120">
            <w:pPr>
              <w:jc w:val="center"/>
              <w:rPr>
                <w:rFonts w:eastAsia="SimSun"/>
                <w:sz w:val="20"/>
              </w:rPr>
            </w:pPr>
            <w:r w:rsidRPr="00707120">
              <w:rPr>
                <w:sz w:val="20"/>
              </w:rPr>
              <w:t>0,39**</w:t>
            </w:r>
          </w:p>
          <w:p w14:paraId="0BA65E65" w14:textId="77777777" w:rsidR="0015293C" w:rsidRPr="00707120" w:rsidRDefault="0015293C" w:rsidP="00707120">
            <w:pPr>
              <w:jc w:val="center"/>
              <w:rPr>
                <w:rFonts w:eastAsia="SimSun"/>
                <w:sz w:val="20"/>
              </w:rPr>
            </w:pPr>
            <w:r w:rsidRPr="00707120">
              <w:rPr>
                <w:sz w:val="20"/>
              </w:rPr>
              <w:t xml:space="preserve">(0,18; 0,82) </w:t>
            </w:r>
          </w:p>
          <w:p w14:paraId="08800B9B" w14:textId="3B660F53" w:rsidR="0015293C" w:rsidRDefault="0015293C" w:rsidP="00707120">
            <w:pPr>
              <w:jc w:val="center"/>
              <w:rPr>
                <w:rFonts w:eastAsia="SimSun"/>
                <w:sz w:val="20"/>
              </w:rPr>
            </w:pPr>
          </w:p>
          <w:p w14:paraId="5566B3B3" w14:textId="77777777" w:rsidR="0015293C" w:rsidRPr="00707120" w:rsidRDefault="0015293C" w:rsidP="00707120">
            <w:pPr>
              <w:jc w:val="center"/>
              <w:rPr>
                <w:rFonts w:eastAsia="SimSun"/>
                <w:sz w:val="20"/>
              </w:rPr>
            </w:pPr>
          </w:p>
          <w:p w14:paraId="3349F4A7" w14:textId="77777777" w:rsidR="0015293C" w:rsidRPr="00707120" w:rsidRDefault="0015293C" w:rsidP="00707120">
            <w:pPr>
              <w:jc w:val="center"/>
              <w:rPr>
                <w:rFonts w:eastAsia="SimSun"/>
                <w:sz w:val="20"/>
              </w:rPr>
            </w:pPr>
            <w:r w:rsidRPr="00707120">
              <w:rPr>
                <w:sz w:val="20"/>
              </w:rPr>
              <w:t>0,23***</w:t>
            </w:r>
          </w:p>
          <w:p w14:paraId="373B7F1D" w14:textId="77777777" w:rsidR="0015293C" w:rsidRPr="00707120" w:rsidRDefault="0015293C" w:rsidP="00707120">
            <w:pPr>
              <w:jc w:val="center"/>
              <w:rPr>
                <w:rFonts w:eastAsia="SimSun"/>
                <w:sz w:val="20"/>
              </w:rPr>
            </w:pPr>
            <w:r w:rsidRPr="00707120">
              <w:rPr>
                <w:sz w:val="20"/>
              </w:rPr>
              <w:t>(0,09; 0,61)</w:t>
            </w:r>
          </w:p>
          <w:p w14:paraId="02A7A3E4" w14:textId="77777777" w:rsidR="0015293C" w:rsidRDefault="0015293C" w:rsidP="00707120">
            <w:pPr>
              <w:jc w:val="center"/>
              <w:rPr>
                <w:sz w:val="20"/>
              </w:rPr>
            </w:pPr>
          </w:p>
          <w:p w14:paraId="3D8F0EAE" w14:textId="77777777" w:rsidR="0015293C" w:rsidRDefault="0015293C" w:rsidP="00707120">
            <w:pPr>
              <w:jc w:val="center"/>
              <w:rPr>
                <w:sz w:val="20"/>
              </w:rPr>
            </w:pPr>
          </w:p>
          <w:p w14:paraId="00884A37" w14:textId="06170E5F" w:rsidR="0015293C" w:rsidRPr="00707120" w:rsidRDefault="0015293C" w:rsidP="00707120">
            <w:pPr>
              <w:jc w:val="center"/>
              <w:rPr>
                <w:rFonts w:eastAsia="SimSun"/>
                <w:sz w:val="20"/>
              </w:rPr>
            </w:pPr>
            <w:r w:rsidRPr="00707120">
              <w:rPr>
                <w:sz w:val="20"/>
              </w:rPr>
              <w:t>0,36</w:t>
            </w:r>
          </w:p>
          <w:p w14:paraId="0793C8D2" w14:textId="77777777" w:rsidR="0015293C" w:rsidRPr="00707120" w:rsidRDefault="0015293C" w:rsidP="00707120">
            <w:pPr>
              <w:jc w:val="center"/>
              <w:rPr>
                <w:rFonts w:eastAsia="SimSun"/>
                <w:sz w:val="20"/>
              </w:rPr>
            </w:pPr>
            <w:r w:rsidRPr="00707120">
              <w:rPr>
                <w:sz w:val="20"/>
              </w:rPr>
              <w:t>(0,13; 1,00)</w:t>
            </w:r>
          </w:p>
          <w:p w14:paraId="11FB23F7" w14:textId="77777777" w:rsidR="0015293C" w:rsidRDefault="0015293C" w:rsidP="00707120">
            <w:pPr>
              <w:jc w:val="center"/>
              <w:rPr>
                <w:sz w:val="20"/>
              </w:rPr>
            </w:pPr>
          </w:p>
          <w:p w14:paraId="1B2C2EAE" w14:textId="77777777" w:rsidR="0015293C" w:rsidRDefault="0015293C" w:rsidP="00707120">
            <w:pPr>
              <w:jc w:val="center"/>
              <w:rPr>
                <w:sz w:val="20"/>
              </w:rPr>
            </w:pPr>
          </w:p>
          <w:p w14:paraId="4B8BD38A" w14:textId="7246A4C6" w:rsidR="0015293C" w:rsidRPr="00707120" w:rsidRDefault="0015293C" w:rsidP="00707120">
            <w:pPr>
              <w:jc w:val="center"/>
              <w:rPr>
                <w:rFonts w:eastAsia="SimSun"/>
                <w:sz w:val="20"/>
              </w:rPr>
            </w:pPr>
            <w:r w:rsidRPr="00707120">
              <w:rPr>
                <w:sz w:val="20"/>
              </w:rPr>
              <w:t>0,25***</w:t>
            </w:r>
          </w:p>
          <w:p w14:paraId="4E3F43C4" w14:textId="77777777" w:rsidR="0015293C" w:rsidRPr="00707120" w:rsidRDefault="0015293C" w:rsidP="00707120">
            <w:pPr>
              <w:jc w:val="center"/>
              <w:rPr>
                <w:rFonts w:eastAsia="SimSun"/>
                <w:sz w:val="20"/>
              </w:rPr>
            </w:pPr>
            <w:r w:rsidRPr="00707120">
              <w:rPr>
                <w:sz w:val="20"/>
              </w:rPr>
              <w:t>(0,09; 0,70)</w:t>
            </w:r>
          </w:p>
          <w:p w14:paraId="326D8A2E" w14:textId="77777777" w:rsidR="0015293C" w:rsidRDefault="0015293C" w:rsidP="00707120">
            <w:pPr>
              <w:jc w:val="center"/>
              <w:rPr>
                <w:sz w:val="20"/>
              </w:rPr>
            </w:pPr>
          </w:p>
          <w:p w14:paraId="525AD348" w14:textId="77777777" w:rsidR="0015293C" w:rsidRDefault="0015293C" w:rsidP="00707120">
            <w:pPr>
              <w:jc w:val="center"/>
              <w:rPr>
                <w:sz w:val="20"/>
              </w:rPr>
            </w:pPr>
          </w:p>
          <w:p w14:paraId="6C178447" w14:textId="07DA0768" w:rsidR="0015293C" w:rsidRPr="00707120" w:rsidRDefault="0015293C" w:rsidP="00707120">
            <w:pPr>
              <w:jc w:val="center"/>
              <w:rPr>
                <w:rFonts w:eastAsia="SimSun"/>
                <w:sz w:val="20"/>
              </w:rPr>
            </w:pPr>
            <w:r w:rsidRPr="00707120">
              <w:rPr>
                <w:sz w:val="20"/>
              </w:rPr>
              <w:t>0,44</w:t>
            </w:r>
          </w:p>
          <w:p w14:paraId="5D3A7BF8" w14:textId="77777777" w:rsidR="0015293C" w:rsidRPr="00707120" w:rsidRDefault="0015293C" w:rsidP="00707120">
            <w:pPr>
              <w:jc w:val="center"/>
              <w:rPr>
                <w:rFonts w:eastAsia="SimSun"/>
                <w:sz w:val="20"/>
              </w:rPr>
            </w:pPr>
            <w:r w:rsidRPr="00707120">
              <w:rPr>
                <w:sz w:val="20"/>
              </w:rPr>
              <w:t>(0,14; 1,32)</w:t>
            </w:r>
          </w:p>
          <w:p w14:paraId="27B2D3C1" w14:textId="77777777" w:rsidR="0015293C" w:rsidRPr="00707120" w:rsidRDefault="0015293C" w:rsidP="00707120">
            <w:pPr>
              <w:jc w:val="center"/>
              <w:rPr>
                <w:rFonts w:eastAsia="SimSun"/>
                <w:sz w:val="20"/>
              </w:rPr>
            </w:pPr>
          </w:p>
        </w:tc>
        <w:tc>
          <w:tcPr>
            <w:tcW w:w="1843" w:type="dxa"/>
            <w:tcBorders>
              <w:top w:val="single" w:sz="4" w:space="0" w:color="auto"/>
              <w:left w:val="nil"/>
              <w:bottom w:val="single" w:sz="4" w:space="0" w:color="auto"/>
              <w:right w:val="single" w:sz="4" w:space="0" w:color="auto"/>
            </w:tcBorders>
            <w:tcMar>
              <w:top w:w="0" w:type="dxa"/>
              <w:left w:w="57" w:type="dxa"/>
              <w:bottom w:w="0" w:type="dxa"/>
              <w:right w:w="57" w:type="dxa"/>
            </w:tcMar>
          </w:tcPr>
          <w:p w14:paraId="127253DB" w14:textId="77777777" w:rsidR="0015293C" w:rsidRPr="00707120" w:rsidRDefault="0015293C" w:rsidP="00707120">
            <w:pPr>
              <w:jc w:val="center"/>
              <w:rPr>
                <w:rFonts w:eastAsia="SimSun"/>
                <w:sz w:val="20"/>
              </w:rPr>
            </w:pPr>
            <w:r w:rsidRPr="00707120">
              <w:rPr>
                <w:sz w:val="20"/>
              </w:rPr>
              <w:t>0,28**</w:t>
            </w:r>
          </w:p>
          <w:p w14:paraId="4707A9A3" w14:textId="23D2BFA6" w:rsidR="0015293C" w:rsidRDefault="0015293C" w:rsidP="00707120">
            <w:pPr>
              <w:jc w:val="center"/>
              <w:rPr>
                <w:sz w:val="20"/>
              </w:rPr>
            </w:pPr>
            <w:r w:rsidRPr="00707120">
              <w:rPr>
                <w:sz w:val="20"/>
              </w:rPr>
              <w:t>(0,12; 0,66)</w:t>
            </w:r>
          </w:p>
          <w:p w14:paraId="670EF80D" w14:textId="7A6FC97A" w:rsidR="0015293C" w:rsidRDefault="0015293C" w:rsidP="00707120">
            <w:pPr>
              <w:jc w:val="center"/>
              <w:rPr>
                <w:sz w:val="20"/>
              </w:rPr>
            </w:pPr>
          </w:p>
          <w:p w14:paraId="2D91456F" w14:textId="77777777" w:rsidR="0015293C" w:rsidRPr="00707120" w:rsidRDefault="0015293C" w:rsidP="00707120">
            <w:pPr>
              <w:jc w:val="center"/>
              <w:rPr>
                <w:rFonts w:eastAsia="SimSun"/>
                <w:sz w:val="20"/>
              </w:rPr>
            </w:pPr>
          </w:p>
          <w:p w14:paraId="0C03AB15" w14:textId="77777777" w:rsidR="0015293C" w:rsidRPr="00707120" w:rsidRDefault="0015293C" w:rsidP="00707120">
            <w:pPr>
              <w:jc w:val="center"/>
              <w:rPr>
                <w:rFonts w:eastAsia="SimSun"/>
                <w:sz w:val="20"/>
              </w:rPr>
            </w:pPr>
            <w:r w:rsidRPr="00707120">
              <w:rPr>
                <w:sz w:val="20"/>
              </w:rPr>
              <w:t>0,48</w:t>
            </w:r>
          </w:p>
          <w:p w14:paraId="03C70871" w14:textId="77777777" w:rsidR="0015293C" w:rsidRPr="00707120" w:rsidRDefault="0015293C" w:rsidP="00707120">
            <w:pPr>
              <w:jc w:val="center"/>
              <w:rPr>
                <w:rFonts w:eastAsia="SimSun"/>
                <w:sz w:val="20"/>
              </w:rPr>
            </w:pPr>
            <w:r w:rsidRPr="00707120">
              <w:rPr>
                <w:sz w:val="20"/>
              </w:rPr>
              <w:t xml:space="preserve">(0,20; 1,16) </w:t>
            </w:r>
          </w:p>
          <w:p w14:paraId="059B994B" w14:textId="67BCE563" w:rsidR="0015293C" w:rsidRDefault="0015293C" w:rsidP="00707120">
            <w:pPr>
              <w:jc w:val="center"/>
              <w:rPr>
                <w:rFonts w:eastAsia="SimSun"/>
                <w:sz w:val="20"/>
              </w:rPr>
            </w:pPr>
          </w:p>
          <w:p w14:paraId="54B8F7CE" w14:textId="77777777" w:rsidR="0015293C" w:rsidRPr="00707120" w:rsidRDefault="0015293C" w:rsidP="00707120">
            <w:pPr>
              <w:jc w:val="center"/>
              <w:rPr>
                <w:rFonts w:eastAsia="SimSun"/>
                <w:sz w:val="20"/>
              </w:rPr>
            </w:pPr>
          </w:p>
          <w:p w14:paraId="3D54753D" w14:textId="77777777" w:rsidR="0015293C" w:rsidRPr="00707120" w:rsidRDefault="0015293C" w:rsidP="00707120">
            <w:pPr>
              <w:jc w:val="center"/>
              <w:rPr>
                <w:rFonts w:eastAsia="SimSun"/>
                <w:sz w:val="20"/>
              </w:rPr>
            </w:pPr>
            <w:r w:rsidRPr="00707120">
              <w:rPr>
                <w:sz w:val="20"/>
              </w:rPr>
              <w:t>0,42</w:t>
            </w:r>
          </w:p>
          <w:p w14:paraId="6C227854" w14:textId="77777777" w:rsidR="0015293C" w:rsidRPr="00707120" w:rsidRDefault="0015293C" w:rsidP="00707120">
            <w:pPr>
              <w:jc w:val="center"/>
              <w:rPr>
                <w:rFonts w:eastAsia="SimSun"/>
                <w:sz w:val="20"/>
              </w:rPr>
            </w:pPr>
            <w:r w:rsidRPr="00707120">
              <w:rPr>
                <w:sz w:val="20"/>
              </w:rPr>
              <w:t>(0,14; 1,28)</w:t>
            </w:r>
          </w:p>
          <w:p w14:paraId="02FC74AF" w14:textId="77777777" w:rsidR="0015293C" w:rsidRDefault="0015293C" w:rsidP="00707120">
            <w:pPr>
              <w:jc w:val="center"/>
              <w:rPr>
                <w:sz w:val="20"/>
              </w:rPr>
            </w:pPr>
          </w:p>
          <w:p w14:paraId="2873D9EB" w14:textId="77777777" w:rsidR="0015293C" w:rsidRDefault="0015293C" w:rsidP="00707120">
            <w:pPr>
              <w:jc w:val="center"/>
              <w:rPr>
                <w:sz w:val="20"/>
              </w:rPr>
            </w:pPr>
          </w:p>
          <w:p w14:paraId="016F2030" w14:textId="0A0CCF28" w:rsidR="0015293C" w:rsidRPr="00707120" w:rsidRDefault="0015293C" w:rsidP="00707120">
            <w:pPr>
              <w:jc w:val="center"/>
              <w:rPr>
                <w:rFonts w:eastAsia="SimSun"/>
                <w:sz w:val="20"/>
              </w:rPr>
            </w:pPr>
            <w:r w:rsidRPr="00707120">
              <w:rPr>
                <w:sz w:val="20"/>
              </w:rPr>
              <w:t>0,67</w:t>
            </w:r>
          </w:p>
          <w:p w14:paraId="1F3273AF" w14:textId="77777777" w:rsidR="0015293C" w:rsidRPr="00707120" w:rsidRDefault="0015293C" w:rsidP="00707120">
            <w:pPr>
              <w:jc w:val="center"/>
              <w:rPr>
                <w:rFonts w:eastAsia="SimSun"/>
                <w:sz w:val="20"/>
              </w:rPr>
            </w:pPr>
            <w:r w:rsidRPr="00707120">
              <w:rPr>
                <w:sz w:val="20"/>
              </w:rPr>
              <w:t>(0,21; 2,10)</w:t>
            </w:r>
          </w:p>
          <w:p w14:paraId="6CADFB99" w14:textId="77777777" w:rsidR="0015293C" w:rsidRDefault="0015293C" w:rsidP="00707120">
            <w:pPr>
              <w:jc w:val="center"/>
              <w:rPr>
                <w:sz w:val="20"/>
              </w:rPr>
            </w:pPr>
          </w:p>
          <w:p w14:paraId="7C30F5C8" w14:textId="77777777" w:rsidR="0015293C" w:rsidRDefault="0015293C" w:rsidP="00707120">
            <w:pPr>
              <w:jc w:val="center"/>
              <w:rPr>
                <w:sz w:val="20"/>
              </w:rPr>
            </w:pPr>
          </w:p>
          <w:p w14:paraId="6D8CB46C" w14:textId="22824F82" w:rsidR="0015293C" w:rsidRPr="00707120" w:rsidRDefault="0015293C" w:rsidP="00707120">
            <w:pPr>
              <w:jc w:val="center"/>
              <w:rPr>
                <w:rFonts w:eastAsia="SimSun"/>
                <w:sz w:val="20"/>
              </w:rPr>
            </w:pPr>
            <w:r w:rsidRPr="00707120">
              <w:rPr>
                <w:sz w:val="20"/>
              </w:rPr>
              <w:t>0,20***</w:t>
            </w:r>
          </w:p>
          <w:p w14:paraId="49F29340" w14:textId="77777777" w:rsidR="0015293C" w:rsidRPr="00707120" w:rsidRDefault="0015293C" w:rsidP="00707120">
            <w:pPr>
              <w:jc w:val="center"/>
              <w:rPr>
                <w:rFonts w:eastAsia="SimSun"/>
                <w:sz w:val="20"/>
              </w:rPr>
            </w:pPr>
            <w:r w:rsidRPr="00707120">
              <w:rPr>
                <w:sz w:val="20"/>
              </w:rPr>
              <w:t>(0,05; 0,76)</w:t>
            </w:r>
          </w:p>
          <w:p w14:paraId="6D78DE0F" w14:textId="77777777" w:rsidR="0015293C" w:rsidRDefault="0015293C" w:rsidP="00707120">
            <w:pPr>
              <w:jc w:val="center"/>
              <w:rPr>
                <w:sz w:val="20"/>
              </w:rPr>
            </w:pPr>
          </w:p>
          <w:p w14:paraId="335DDFD4" w14:textId="77777777" w:rsidR="0015293C" w:rsidRDefault="0015293C" w:rsidP="00707120">
            <w:pPr>
              <w:jc w:val="center"/>
              <w:rPr>
                <w:sz w:val="20"/>
              </w:rPr>
            </w:pPr>
          </w:p>
          <w:p w14:paraId="7A07D1CB" w14:textId="4159F6CD" w:rsidR="0015293C" w:rsidRPr="00707120" w:rsidRDefault="0015293C" w:rsidP="00707120">
            <w:pPr>
              <w:jc w:val="center"/>
              <w:rPr>
                <w:rFonts w:eastAsia="SimSun"/>
                <w:sz w:val="20"/>
              </w:rPr>
            </w:pPr>
            <w:r w:rsidRPr="00707120">
              <w:rPr>
                <w:sz w:val="20"/>
              </w:rPr>
              <w:t>0,35</w:t>
            </w:r>
          </w:p>
          <w:p w14:paraId="190846E5" w14:textId="77777777" w:rsidR="0015293C" w:rsidRPr="00707120" w:rsidRDefault="0015293C" w:rsidP="00707120">
            <w:pPr>
              <w:jc w:val="center"/>
              <w:rPr>
                <w:rFonts w:eastAsia="SimSun"/>
                <w:sz w:val="20"/>
              </w:rPr>
            </w:pPr>
            <w:r w:rsidRPr="00707120">
              <w:rPr>
                <w:sz w:val="20"/>
              </w:rPr>
              <w:t>(0,09; 1,42)</w:t>
            </w:r>
          </w:p>
          <w:p w14:paraId="6D947344" w14:textId="77777777" w:rsidR="0015293C" w:rsidRPr="00707120" w:rsidRDefault="0015293C" w:rsidP="00707120">
            <w:pPr>
              <w:jc w:val="center"/>
              <w:rPr>
                <w:rFonts w:eastAsia="SimSun"/>
                <w:sz w:val="20"/>
              </w:rPr>
            </w:pPr>
          </w:p>
        </w:tc>
      </w:tr>
      <w:tr w:rsidR="0015293C" w:rsidRPr="00FB280D" w14:paraId="415AF0A3" w14:textId="77777777" w:rsidTr="00707120">
        <w:trPr>
          <w:cantSplit/>
        </w:trPr>
        <w:tc>
          <w:tcPr>
            <w:tcW w:w="3821" w:type="dxa"/>
            <w:tcBorders>
              <w:top w:val="single" w:sz="4" w:space="0" w:color="auto"/>
              <w:left w:val="single" w:sz="4" w:space="0" w:color="auto"/>
              <w:bottom w:val="single" w:sz="4" w:space="0" w:color="auto"/>
            </w:tcBorders>
            <w:tcMar>
              <w:top w:w="0" w:type="dxa"/>
              <w:left w:w="57" w:type="dxa"/>
              <w:bottom w:w="0" w:type="dxa"/>
              <w:right w:w="57" w:type="dxa"/>
            </w:tcMar>
          </w:tcPr>
          <w:p w14:paraId="4ED32369" w14:textId="77777777" w:rsidR="0015293C" w:rsidRPr="00707120" w:rsidRDefault="0015293C" w:rsidP="00707120">
            <w:pPr>
              <w:rPr>
                <w:rFonts w:eastAsia="SimSun"/>
                <w:i/>
                <w:sz w:val="20"/>
              </w:rPr>
            </w:pPr>
            <w:r w:rsidRPr="00707120">
              <w:rPr>
                <w:i/>
                <w:sz w:val="20"/>
              </w:rPr>
              <w:t>Kumulatīvā glikokortikoīdu deva (mg)</w:t>
            </w:r>
          </w:p>
          <w:p w14:paraId="15025262" w14:textId="7000F865" w:rsidR="0015293C" w:rsidRPr="00707120" w:rsidRDefault="0015293C" w:rsidP="00707120">
            <w:pPr>
              <w:keepNext/>
              <w:keepLines/>
              <w:ind w:left="720"/>
              <w:rPr>
                <w:rFonts w:eastAsia="SimSun"/>
                <w:i/>
                <w:sz w:val="20"/>
                <w:lang w:val="pt-PT"/>
              </w:rPr>
            </w:pPr>
            <w:r w:rsidRPr="00707120">
              <w:rPr>
                <w:i/>
                <w:sz w:val="20"/>
              </w:rPr>
              <w:t>mediāna 52.</w:t>
            </w:r>
            <w:r>
              <w:rPr>
                <w:i/>
                <w:sz w:val="20"/>
              </w:rPr>
              <w:t> </w:t>
            </w:r>
            <w:r w:rsidRPr="00707120">
              <w:rPr>
                <w:i/>
                <w:sz w:val="20"/>
                <w:lang w:val="pt-PT"/>
              </w:rPr>
              <w:t>nedēļā (tocilizumaba grupas salīdzinājumā ar placebo + 26</w:t>
            </w:r>
            <w:r w:rsidRPr="00707120">
              <w:rPr>
                <w:i/>
                <w:sz w:val="20"/>
                <w:vertAlign w:val="superscript"/>
                <w:lang w:val="pt-PT"/>
              </w:rPr>
              <w:t>2</w:t>
            </w:r>
            <w:r w:rsidRPr="00707120">
              <w:rPr>
                <w:i/>
                <w:sz w:val="20"/>
                <w:lang w:val="pt-PT"/>
              </w:rPr>
              <w:t>)</w:t>
            </w:r>
          </w:p>
          <w:p w14:paraId="151F27E9" w14:textId="21450932" w:rsidR="0015293C" w:rsidRPr="00707120" w:rsidRDefault="0015293C" w:rsidP="00707120">
            <w:pPr>
              <w:keepNext/>
              <w:keepLines/>
              <w:ind w:left="720"/>
              <w:rPr>
                <w:rFonts w:eastAsia="SimSun"/>
                <w:sz w:val="20"/>
                <w:lang w:val="pt-PT"/>
              </w:rPr>
            </w:pPr>
            <w:r w:rsidRPr="00707120">
              <w:rPr>
                <w:i/>
                <w:sz w:val="20"/>
                <w:lang w:val="pt-PT"/>
              </w:rPr>
              <w:t>mediāna 52. nedēļā (tocilizumaba grupas salīdzinājumā ar placebo + +52</w:t>
            </w:r>
            <w:r w:rsidRPr="00707120">
              <w:rPr>
                <w:i/>
                <w:sz w:val="20"/>
                <w:vertAlign w:val="superscript"/>
                <w:lang w:val="pt-PT"/>
              </w:rPr>
              <w:t>2</w:t>
            </w:r>
            <w:r w:rsidRPr="00707120">
              <w:rPr>
                <w:i/>
                <w:sz w:val="20"/>
                <w:lang w:val="pt-PT"/>
              </w:rPr>
              <w:t>)</w:t>
            </w:r>
            <w:r w:rsidRPr="00707120">
              <w:rPr>
                <w:sz w:val="20"/>
                <w:lang w:val="pt-PT"/>
              </w:rPr>
              <w:t xml:space="preserve"> </w:t>
            </w:r>
          </w:p>
        </w:tc>
        <w:tc>
          <w:tcPr>
            <w:tcW w:w="1283" w:type="dxa"/>
            <w:gridSpan w:val="2"/>
            <w:tcBorders>
              <w:top w:val="single" w:sz="4" w:space="0" w:color="auto"/>
              <w:bottom w:val="single" w:sz="4" w:space="0" w:color="auto"/>
            </w:tcBorders>
            <w:tcMar>
              <w:top w:w="0" w:type="dxa"/>
              <w:left w:w="57" w:type="dxa"/>
              <w:bottom w:w="0" w:type="dxa"/>
              <w:right w:w="57" w:type="dxa"/>
            </w:tcMar>
          </w:tcPr>
          <w:p w14:paraId="674AD2DC" w14:textId="77777777" w:rsidR="0015293C" w:rsidRPr="00707120" w:rsidRDefault="0015293C" w:rsidP="00707120">
            <w:pPr>
              <w:keepNext/>
              <w:keepLines/>
              <w:jc w:val="center"/>
              <w:rPr>
                <w:rFonts w:eastAsia="SimSun"/>
                <w:sz w:val="20"/>
                <w:lang w:val="pt-PT"/>
              </w:rPr>
            </w:pPr>
          </w:p>
          <w:p w14:paraId="3C882B1F" w14:textId="294D17E8" w:rsidR="0015293C" w:rsidRPr="00707120" w:rsidRDefault="0015293C" w:rsidP="00707120">
            <w:pPr>
              <w:keepNext/>
              <w:keepLines/>
              <w:jc w:val="center"/>
              <w:rPr>
                <w:rFonts w:eastAsia="SimSun"/>
                <w:sz w:val="20"/>
              </w:rPr>
            </w:pPr>
            <w:r w:rsidRPr="00707120">
              <w:rPr>
                <w:sz w:val="20"/>
              </w:rPr>
              <w:t>3</w:t>
            </w:r>
            <w:ins w:id="642" w:author="Author">
              <w:r w:rsidR="008D01CE">
                <w:rPr>
                  <w:sz w:val="20"/>
                </w:rPr>
                <w:t> </w:t>
              </w:r>
            </w:ins>
            <w:r w:rsidRPr="00707120">
              <w:rPr>
                <w:sz w:val="20"/>
              </w:rPr>
              <w:t>296,00</w:t>
            </w:r>
          </w:p>
          <w:p w14:paraId="4EEB1F00" w14:textId="15EF47D1" w:rsidR="0015293C" w:rsidRDefault="0015293C" w:rsidP="00707120">
            <w:pPr>
              <w:keepNext/>
              <w:keepLines/>
              <w:jc w:val="center"/>
              <w:rPr>
                <w:rFonts w:eastAsia="SimSun"/>
                <w:sz w:val="20"/>
              </w:rPr>
            </w:pPr>
          </w:p>
          <w:p w14:paraId="17A2D846" w14:textId="77777777" w:rsidR="00D42B4E" w:rsidRPr="00707120" w:rsidRDefault="00D42B4E" w:rsidP="00707120">
            <w:pPr>
              <w:keepNext/>
              <w:keepLines/>
              <w:jc w:val="center"/>
              <w:rPr>
                <w:rFonts w:eastAsia="SimSun"/>
                <w:sz w:val="20"/>
              </w:rPr>
            </w:pPr>
          </w:p>
          <w:p w14:paraId="2D111B91" w14:textId="77777777" w:rsidR="0015293C" w:rsidRPr="00707120" w:rsidRDefault="0015293C" w:rsidP="00707120">
            <w:pPr>
              <w:keepNext/>
              <w:keepLines/>
              <w:jc w:val="center"/>
              <w:rPr>
                <w:rFonts w:eastAsia="SimSun"/>
                <w:sz w:val="20"/>
              </w:rPr>
            </w:pPr>
            <w:r w:rsidRPr="00707120">
              <w:rPr>
                <w:sz w:val="20"/>
              </w:rPr>
              <w:t>N/P</w:t>
            </w:r>
          </w:p>
        </w:tc>
        <w:tc>
          <w:tcPr>
            <w:tcW w:w="1275" w:type="dxa"/>
            <w:tcBorders>
              <w:top w:val="single" w:sz="4" w:space="0" w:color="auto"/>
              <w:bottom w:val="single" w:sz="4" w:space="0" w:color="auto"/>
            </w:tcBorders>
            <w:tcMar>
              <w:top w:w="0" w:type="dxa"/>
              <w:left w:w="57" w:type="dxa"/>
              <w:bottom w:w="0" w:type="dxa"/>
              <w:right w:w="57" w:type="dxa"/>
            </w:tcMar>
          </w:tcPr>
          <w:p w14:paraId="045B57FB" w14:textId="77777777" w:rsidR="0015293C" w:rsidRPr="00707120" w:rsidRDefault="0015293C" w:rsidP="00707120">
            <w:pPr>
              <w:keepNext/>
              <w:keepLines/>
              <w:jc w:val="center"/>
              <w:rPr>
                <w:rFonts w:eastAsia="SimSun"/>
                <w:sz w:val="20"/>
              </w:rPr>
            </w:pPr>
          </w:p>
          <w:p w14:paraId="3F4AE48B" w14:textId="77777777" w:rsidR="0015293C" w:rsidRPr="00707120" w:rsidRDefault="0015293C" w:rsidP="00707120">
            <w:pPr>
              <w:keepNext/>
              <w:keepLines/>
              <w:jc w:val="center"/>
              <w:rPr>
                <w:rFonts w:eastAsia="SimSun"/>
                <w:sz w:val="20"/>
              </w:rPr>
            </w:pPr>
            <w:r w:rsidRPr="00707120">
              <w:rPr>
                <w:sz w:val="20"/>
              </w:rPr>
              <w:t>N/P</w:t>
            </w:r>
          </w:p>
          <w:p w14:paraId="372E705A" w14:textId="13499564" w:rsidR="0015293C" w:rsidRDefault="0015293C" w:rsidP="00707120">
            <w:pPr>
              <w:keepNext/>
              <w:keepLines/>
              <w:jc w:val="center"/>
              <w:rPr>
                <w:rFonts w:eastAsia="SimSun"/>
                <w:sz w:val="20"/>
              </w:rPr>
            </w:pPr>
          </w:p>
          <w:p w14:paraId="08F4DA19" w14:textId="77777777" w:rsidR="00D42B4E" w:rsidRPr="00707120" w:rsidRDefault="00D42B4E" w:rsidP="00707120">
            <w:pPr>
              <w:keepNext/>
              <w:keepLines/>
              <w:jc w:val="center"/>
              <w:rPr>
                <w:rFonts w:eastAsia="SimSun"/>
                <w:sz w:val="20"/>
              </w:rPr>
            </w:pPr>
          </w:p>
          <w:p w14:paraId="0B990DF5" w14:textId="77777777" w:rsidR="0015293C" w:rsidRPr="00707120" w:rsidRDefault="0015293C" w:rsidP="00707120">
            <w:pPr>
              <w:keepNext/>
              <w:keepLines/>
              <w:jc w:val="center"/>
              <w:rPr>
                <w:rFonts w:eastAsia="SimSun"/>
                <w:sz w:val="20"/>
              </w:rPr>
            </w:pPr>
            <w:r w:rsidRPr="00707120">
              <w:rPr>
                <w:sz w:val="20"/>
              </w:rPr>
              <w:t>3817,50</w:t>
            </w:r>
          </w:p>
        </w:tc>
        <w:tc>
          <w:tcPr>
            <w:tcW w:w="1701" w:type="dxa"/>
            <w:tcBorders>
              <w:top w:val="single" w:sz="4" w:space="0" w:color="auto"/>
              <w:bottom w:val="single" w:sz="4" w:space="0" w:color="auto"/>
              <w:right w:val="nil"/>
            </w:tcBorders>
          </w:tcPr>
          <w:p w14:paraId="09B91AA4" w14:textId="77777777" w:rsidR="0015293C" w:rsidRPr="00707120" w:rsidRDefault="0015293C" w:rsidP="00707120">
            <w:pPr>
              <w:keepNext/>
              <w:keepLines/>
              <w:jc w:val="center"/>
              <w:rPr>
                <w:rFonts w:eastAsia="SimSun"/>
                <w:sz w:val="20"/>
              </w:rPr>
            </w:pPr>
          </w:p>
          <w:p w14:paraId="1D3FC69E" w14:textId="5929509B" w:rsidR="0015293C" w:rsidRPr="00707120" w:rsidRDefault="0015293C" w:rsidP="00707120">
            <w:pPr>
              <w:keepNext/>
              <w:keepLines/>
              <w:jc w:val="center"/>
              <w:rPr>
                <w:rFonts w:eastAsia="SimSun"/>
                <w:sz w:val="20"/>
              </w:rPr>
            </w:pPr>
            <w:r w:rsidRPr="00707120">
              <w:rPr>
                <w:sz w:val="20"/>
              </w:rPr>
              <w:t>1</w:t>
            </w:r>
            <w:ins w:id="643" w:author="Author">
              <w:r w:rsidR="008D01CE">
                <w:rPr>
                  <w:sz w:val="20"/>
                </w:rPr>
                <w:t> </w:t>
              </w:r>
            </w:ins>
            <w:r w:rsidRPr="00707120">
              <w:rPr>
                <w:sz w:val="20"/>
              </w:rPr>
              <w:t>862,00*</w:t>
            </w:r>
          </w:p>
          <w:p w14:paraId="32B3685A" w14:textId="7B62F4EB" w:rsidR="0015293C" w:rsidRDefault="0015293C" w:rsidP="00707120">
            <w:pPr>
              <w:keepNext/>
              <w:keepLines/>
              <w:jc w:val="center"/>
              <w:rPr>
                <w:rFonts w:eastAsia="SimSun"/>
                <w:sz w:val="20"/>
              </w:rPr>
            </w:pPr>
          </w:p>
          <w:p w14:paraId="1E5ADA27" w14:textId="77777777" w:rsidR="00D42B4E" w:rsidRPr="00707120" w:rsidRDefault="00D42B4E" w:rsidP="00707120">
            <w:pPr>
              <w:keepNext/>
              <w:keepLines/>
              <w:jc w:val="center"/>
              <w:rPr>
                <w:rFonts w:eastAsia="SimSun"/>
                <w:sz w:val="20"/>
              </w:rPr>
            </w:pPr>
          </w:p>
          <w:p w14:paraId="27B70D14" w14:textId="77777777" w:rsidR="0015293C" w:rsidRPr="00707120" w:rsidRDefault="0015293C" w:rsidP="00707120">
            <w:pPr>
              <w:keepNext/>
              <w:keepLines/>
              <w:jc w:val="center"/>
              <w:rPr>
                <w:rFonts w:eastAsia="SimSun"/>
                <w:sz w:val="20"/>
              </w:rPr>
            </w:pPr>
            <w:r w:rsidRPr="00707120">
              <w:rPr>
                <w:sz w:val="20"/>
              </w:rPr>
              <w:t>1862,00*</w:t>
            </w:r>
          </w:p>
        </w:tc>
        <w:tc>
          <w:tcPr>
            <w:tcW w:w="1843" w:type="dxa"/>
            <w:tcBorders>
              <w:top w:val="single" w:sz="4" w:space="0" w:color="auto"/>
              <w:left w:val="nil"/>
              <w:bottom w:val="single" w:sz="4" w:space="0" w:color="auto"/>
              <w:right w:val="single" w:sz="4" w:space="0" w:color="auto"/>
            </w:tcBorders>
            <w:tcMar>
              <w:top w:w="0" w:type="dxa"/>
              <w:left w:w="57" w:type="dxa"/>
              <w:bottom w:w="0" w:type="dxa"/>
              <w:right w:w="57" w:type="dxa"/>
            </w:tcMar>
          </w:tcPr>
          <w:p w14:paraId="347D7D93" w14:textId="77777777" w:rsidR="0015293C" w:rsidRPr="00707120" w:rsidRDefault="0015293C" w:rsidP="00707120">
            <w:pPr>
              <w:keepNext/>
              <w:keepLines/>
              <w:jc w:val="center"/>
              <w:rPr>
                <w:rFonts w:eastAsia="SimSun"/>
                <w:sz w:val="20"/>
              </w:rPr>
            </w:pPr>
          </w:p>
          <w:p w14:paraId="4D474AEA" w14:textId="75FD282E" w:rsidR="0015293C" w:rsidRPr="00707120" w:rsidRDefault="0015293C" w:rsidP="00707120">
            <w:pPr>
              <w:keepNext/>
              <w:keepLines/>
              <w:jc w:val="center"/>
              <w:rPr>
                <w:rFonts w:eastAsia="SimSun"/>
                <w:sz w:val="20"/>
              </w:rPr>
            </w:pPr>
            <w:r w:rsidRPr="00707120">
              <w:rPr>
                <w:sz w:val="20"/>
              </w:rPr>
              <w:t>1</w:t>
            </w:r>
            <w:ins w:id="644" w:author="Author">
              <w:r w:rsidR="008D01CE">
                <w:rPr>
                  <w:sz w:val="20"/>
                </w:rPr>
                <w:t> </w:t>
              </w:r>
            </w:ins>
            <w:r w:rsidRPr="00707120">
              <w:rPr>
                <w:sz w:val="20"/>
              </w:rPr>
              <w:t>862,00*</w:t>
            </w:r>
          </w:p>
          <w:p w14:paraId="4311DD08" w14:textId="35ED9F4E" w:rsidR="0015293C" w:rsidRDefault="0015293C" w:rsidP="00707120">
            <w:pPr>
              <w:keepNext/>
              <w:keepLines/>
              <w:jc w:val="center"/>
              <w:rPr>
                <w:rFonts w:eastAsia="SimSun"/>
                <w:sz w:val="20"/>
              </w:rPr>
            </w:pPr>
          </w:p>
          <w:p w14:paraId="78053FE9" w14:textId="77777777" w:rsidR="00D42B4E" w:rsidRPr="00707120" w:rsidRDefault="00D42B4E" w:rsidP="00707120">
            <w:pPr>
              <w:keepNext/>
              <w:keepLines/>
              <w:jc w:val="center"/>
              <w:rPr>
                <w:rFonts w:eastAsia="SimSun"/>
                <w:sz w:val="20"/>
              </w:rPr>
            </w:pPr>
          </w:p>
          <w:p w14:paraId="1F595692" w14:textId="77777777" w:rsidR="0015293C" w:rsidRPr="00707120" w:rsidRDefault="0015293C" w:rsidP="00707120">
            <w:pPr>
              <w:keepNext/>
              <w:keepLines/>
              <w:jc w:val="center"/>
              <w:rPr>
                <w:rFonts w:eastAsia="SimSun"/>
                <w:sz w:val="20"/>
              </w:rPr>
            </w:pPr>
            <w:r w:rsidRPr="00707120">
              <w:rPr>
                <w:sz w:val="20"/>
              </w:rPr>
              <w:t>1862,00*</w:t>
            </w:r>
          </w:p>
        </w:tc>
      </w:tr>
      <w:tr w:rsidR="0015293C" w:rsidRPr="0015293C" w14:paraId="029D9291" w14:textId="77777777" w:rsidTr="00707120">
        <w:trPr>
          <w:cantSplit/>
        </w:trPr>
        <w:tc>
          <w:tcPr>
            <w:tcW w:w="9923" w:type="dxa"/>
            <w:gridSpan w:val="6"/>
            <w:tcBorders>
              <w:top w:val="single" w:sz="4" w:space="0" w:color="auto"/>
              <w:left w:val="single" w:sz="4" w:space="0" w:color="auto"/>
              <w:bottom w:val="single" w:sz="4" w:space="0" w:color="auto"/>
              <w:right w:val="single" w:sz="8" w:space="0" w:color="auto"/>
            </w:tcBorders>
          </w:tcPr>
          <w:p w14:paraId="58CE6FA3" w14:textId="77777777" w:rsidR="0015293C" w:rsidRPr="00707120" w:rsidRDefault="0015293C" w:rsidP="00590B03">
            <w:pPr>
              <w:keepNext/>
              <w:keepLines/>
              <w:spacing w:before="50" w:after="50" w:line="240" w:lineRule="exact"/>
              <w:rPr>
                <w:rFonts w:eastAsia="SimSun"/>
                <w:b/>
                <w:sz w:val="20"/>
              </w:rPr>
            </w:pPr>
            <w:r w:rsidRPr="00707120">
              <w:rPr>
                <w:b/>
                <w:sz w:val="20"/>
              </w:rPr>
              <w:t xml:space="preserve"> Pētnieciskie mērķa kritēriji</w:t>
            </w:r>
          </w:p>
        </w:tc>
      </w:tr>
      <w:tr w:rsidR="0015293C" w:rsidRPr="00FB280D" w14:paraId="6D7D72DA" w14:textId="77777777" w:rsidTr="00707120">
        <w:trPr>
          <w:cantSplit/>
        </w:trPr>
        <w:tc>
          <w:tcPr>
            <w:tcW w:w="3828" w:type="dxa"/>
            <w:gridSpan w:val="2"/>
            <w:tcBorders>
              <w:top w:val="single" w:sz="4" w:space="0" w:color="auto"/>
              <w:left w:val="single" w:sz="4" w:space="0" w:color="auto"/>
              <w:bottom w:val="single" w:sz="4" w:space="0" w:color="auto"/>
            </w:tcBorders>
            <w:tcMar>
              <w:top w:w="0" w:type="dxa"/>
              <w:left w:w="57" w:type="dxa"/>
              <w:bottom w:w="0" w:type="dxa"/>
              <w:right w:w="57" w:type="dxa"/>
            </w:tcMar>
          </w:tcPr>
          <w:p w14:paraId="720C69B0" w14:textId="707E870C" w:rsidR="0015293C" w:rsidRPr="00707120" w:rsidRDefault="0015293C" w:rsidP="00590B03">
            <w:pPr>
              <w:keepNext/>
              <w:keepLines/>
              <w:spacing w:before="50" w:after="50" w:line="240" w:lineRule="exact"/>
              <w:rPr>
                <w:rFonts w:eastAsia="SimSun"/>
                <w:sz w:val="20"/>
              </w:rPr>
            </w:pPr>
            <w:r w:rsidRPr="00707120">
              <w:rPr>
                <w:sz w:val="20"/>
              </w:rPr>
              <w:t>Ikgadējais recidīvu rādītājs, 52.</w:t>
            </w:r>
            <w:r w:rsidR="00D42B4E">
              <w:rPr>
                <w:sz w:val="20"/>
              </w:rPr>
              <w:t> </w:t>
            </w:r>
            <w:r w:rsidRPr="00707120">
              <w:rPr>
                <w:sz w:val="20"/>
              </w:rPr>
              <w:t>nedēļa</w:t>
            </w:r>
            <w:r w:rsidRPr="00707120">
              <w:rPr>
                <w:sz w:val="20"/>
                <w:vertAlign w:val="superscript"/>
              </w:rPr>
              <w:t>§</w:t>
            </w:r>
          </w:p>
          <w:p w14:paraId="5B56F099" w14:textId="154F5DC6" w:rsidR="0015293C" w:rsidRPr="00707120" w:rsidRDefault="00D42B4E" w:rsidP="00D42B4E">
            <w:pPr>
              <w:keepNext/>
              <w:keepLines/>
              <w:spacing w:before="50" w:after="50" w:line="240" w:lineRule="exact"/>
              <w:rPr>
                <w:rFonts w:eastAsia="SimSun"/>
                <w:sz w:val="20"/>
              </w:rPr>
            </w:pPr>
            <w:r w:rsidRPr="00291364">
              <w:rPr>
                <w:rFonts w:eastAsia="SimSun"/>
                <w:sz w:val="20"/>
                <w:lang w:val="en-GB" w:eastAsia="zh-CN"/>
              </w:rPr>
              <w:tab/>
            </w:r>
            <w:r w:rsidR="0015293C" w:rsidRPr="00707120">
              <w:rPr>
                <w:sz w:val="20"/>
              </w:rPr>
              <w:t>Vidējais (SN)</w:t>
            </w:r>
          </w:p>
        </w:tc>
        <w:tc>
          <w:tcPr>
            <w:tcW w:w="1276" w:type="dxa"/>
            <w:tcBorders>
              <w:top w:val="single" w:sz="4" w:space="0" w:color="auto"/>
              <w:bottom w:val="single" w:sz="4" w:space="0" w:color="auto"/>
            </w:tcBorders>
            <w:tcMar>
              <w:top w:w="0" w:type="dxa"/>
              <w:left w:w="57" w:type="dxa"/>
              <w:bottom w:w="0" w:type="dxa"/>
              <w:right w:w="57" w:type="dxa"/>
            </w:tcMar>
            <w:vAlign w:val="center"/>
          </w:tcPr>
          <w:p w14:paraId="31590D87" w14:textId="77777777" w:rsidR="0015293C" w:rsidRPr="00707120" w:rsidRDefault="0015293C" w:rsidP="00590B03">
            <w:pPr>
              <w:keepNext/>
              <w:keepLines/>
              <w:spacing w:before="50" w:after="50" w:line="240" w:lineRule="exact"/>
              <w:jc w:val="center"/>
              <w:rPr>
                <w:rFonts w:eastAsia="SimSun"/>
                <w:sz w:val="20"/>
              </w:rPr>
            </w:pPr>
          </w:p>
          <w:p w14:paraId="4068B5C1" w14:textId="77777777" w:rsidR="0015293C" w:rsidRPr="00707120" w:rsidRDefault="0015293C" w:rsidP="00590B03">
            <w:pPr>
              <w:keepNext/>
              <w:keepLines/>
              <w:spacing w:before="50" w:after="50" w:line="240" w:lineRule="exact"/>
              <w:jc w:val="center"/>
              <w:rPr>
                <w:rFonts w:eastAsia="SimSun"/>
                <w:sz w:val="20"/>
              </w:rPr>
            </w:pPr>
            <w:r w:rsidRPr="00707120">
              <w:rPr>
                <w:sz w:val="20"/>
              </w:rPr>
              <w:t xml:space="preserve">1,74 </w:t>
            </w:r>
          </w:p>
          <w:p w14:paraId="0C11926B" w14:textId="77777777" w:rsidR="0015293C" w:rsidRPr="00707120" w:rsidRDefault="0015293C" w:rsidP="00590B03">
            <w:pPr>
              <w:keepNext/>
              <w:keepLines/>
              <w:spacing w:before="50" w:after="50" w:line="240" w:lineRule="exact"/>
              <w:jc w:val="center"/>
              <w:rPr>
                <w:rFonts w:eastAsia="SimSun"/>
                <w:sz w:val="20"/>
              </w:rPr>
            </w:pPr>
            <w:r w:rsidRPr="00707120">
              <w:rPr>
                <w:sz w:val="20"/>
              </w:rPr>
              <w:t>(2,18)</w:t>
            </w:r>
          </w:p>
        </w:tc>
        <w:tc>
          <w:tcPr>
            <w:tcW w:w="1275" w:type="dxa"/>
            <w:tcBorders>
              <w:top w:val="single" w:sz="4" w:space="0" w:color="auto"/>
              <w:bottom w:val="single" w:sz="4" w:space="0" w:color="auto"/>
            </w:tcBorders>
            <w:tcMar>
              <w:top w:w="0" w:type="dxa"/>
              <w:left w:w="57" w:type="dxa"/>
              <w:bottom w:w="0" w:type="dxa"/>
              <w:right w:w="57" w:type="dxa"/>
            </w:tcMar>
            <w:vAlign w:val="center"/>
          </w:tcPr>
          <w:p w14:paraId="192ADC87" w14:textId="77777777" w:rsidR="0015293C" w:rsidRPr="00707120" w:rsidRDefault="0015293C" w:rsidP="00590B03">
            <w:pPr>
              <w:keepNext/>
              <w:keepLines/>
              <w:spacing w:before="50" w:after="50" w:line="240" w:lineRule="exact"/>
              <w:jc w:val="center"/>
              <w:rPr>
                <w:rFonts w:eastAsia="SimSun"/>
                <w:sz w:val="20"/>
              </w:rPr>
            </w:pPr>
          </w:p>
          <w:p w14:paraId="1C5AEFBA" w14:textId="77777777" w:rsidR="0015293C" w:rsidRPr="00707120" w:rsidRDefault="0015293C" w:rsidP="00590B03">
            <w:pPr>
              <w:keepNext/>
              <w:keepLines/>
              <w:spacing w:before="50" w:after="50" w:line="240" w:lineRule="exact"/>
              <w:jc w:val="center"/>
              <w:rPr>
                <w:rFonts w:eastAsia="SimSun"/>
                <w:sz w:val="20"/>
              </w:rPr>
            </w:pPr>
            <w:r w:rsidRPr="00707120">
              <w:rPr>
                <w:sz w:val="20"/>
              </w:rPr>
              <w:t xml:space="preserve">1,30 </w:t>
            </w:r>
          </w:p>
          <w:p w14:paraId="67AB6D63" w14:textId="77777777" w:rsidR="0015293C" w:rsidRPr="00707120" w:rsidRDefault="0015293C" w:rsidP="00590B03">
            <w:pPr>
              <w:keepNext/>
              <w:keepLines/>
              <w:spacing w:before="50" w:after="50" w:line="240" w:lineRule="exact"/>
              <w:jc w:val="center"/>
              <w:rPr>
                <w:rFonts w:eastAsia="SimSun"/>
                <w:sz w:val="20"/>
              </w:rPr>
            </w:pPr>
            <w:r w:rsidRPr="00707120">
              <w:rPr>
                <w:sz w:val="20"/>
              </w:rPr>
              <w:t>(1,84)</w:t>
            </w:r>
          </w:p>
        </w:tc>
        <w:tc>
          <w:tcPr>
            <w:tcW w:w="1701" w:type="dxa"/>
            <w:tcBorders>
              <w:top w:val="single" w:sz="4" w:space="0" w:color="auto"/>
              <w:bottom w:val="single" w:sz="4" w:space="0" w:color="auto"/>
              <w:right w:val="nil"/>
            </w:tcBorders>
            <w:vAlign w:val="center"/>
          </w:tcPr>
          <w:p w14:paraId="36905F5C" w14:textId="77777777" w:rsidR="0015293C" w:rsidRPr="00707120" w:rsidRDefault="0015293C" w:rsidP="00590B03">
            <w:pPr>
              <w:keepNext/>
              <w:keepLines/>
              <w:spacing w:before="50" w:after="50" w:line="240" w:lineRule="exact"/>
              <w:jc w:val="center"/>
              <w:rPr>
                <w:rFonts w:eastAsia="SimSun"/>
                <w:sz w:val="20"/>
              </w:rPr>
            </w:pPr>
          </w:p>
          <w:p w14:paraId="5BA71194" w14:textId="77777777" w:rsidR="0015293C" w:rsidRPr="00707120" w:rsidRDefault="0015293C" w:rsidP="00590B03">
            <w:pPr>
              <w:keepNext/>
              <w:keepLines/>
              <w:spacing w:before="50" w:after="50" w:line="240" w:lineRule="exact"/>
              <w:jc w:val="center"/>
              <w:rPr>
                <w:rFonts w:eastAsia="SimSun"/>
                <w:sz w:val="20"/>
              </w:rPr>
            </w:pPr>
            <w:r w:rsidRPr="00707120">
              <w:rPr>
                <w:sz w:val="20"/>
              </w:rPr>
              <w:t>0,41</w:t>
            </w:r>
          </w:p>
          <w:p w14:paraId="335A4DB5" w14:textId="77777777" w:rsidR="0015293C" w:rsidRPr="00707120" w:rsidRDefault="0015293C" w:rsidP="00590B03">
            <w:pPr>
              <w:keepNext/>
              <w:keepLines/>
              <w:spacing w:before="50" w:after="50" w:line="240" w:lineRule="exact"/>
              <w:jc w:val="center"/>
              <w:rPr>
                <w:rFonts w:eastAsia="SimSun"/>
                <w:sz w:val="20"/>
              </w:rPr>
            </w:pPr>
            <w:r w:rsidRPr="00707120">
              <w:rPr>
                <w:sz w:val="20"/>
              </w:rPr>
              <w:t xml:space="preserve"> (0,78)</w:t>
            </w:r>
          </w:p>
        </w:tc>
        <w:tc>
          <w:tcPr>
            <w:tcW w:w="1843" w:type="dxa"/>
            <w:tcBorders>
              <w:top w:val="single" w:sz="4" w:space="0" w:color="auto"/>
              <w:left w:val="nil"/>
              <w:bottom w:val="single" w:sz="4" w:space="0" w:color="auto"/>
              <w:right w:val="single" w:sz="8" w:space="0" w:color="auto"/>
            </w:tcBorders>
            <w:tcMar>
              <w:top w:w="0" w:type="dxa"/>
              <w:left w:w="57" w:type="dxa"/>
              <w:bottom w:w="0" w:type="dxa"/>
              <w:right w:w="57" w:type="dxa"/>
            </w:tcMar>
            <w:vAlign w:val="center"/>
          </w:tcPr>
          <w:p w14:paraId="2A63E4A8" w14:textId="77777777" w:rsidR="0015293C" w:rsidRPr="00707120" w:rsidRDefault="0015293C" w:rsidP="00590B03">
            <w:pPr>
              <w:keepNext/>
              <w:keepLines/>
              <w:spacing w:before="50" w:after="50" w:line="240" w:lineRule="exact"/>
              <w:jc w:val="center"/>
              <w:rPr>
                <w:rFonts w:eastAsia="SimSun"/>
                <w:sz w:val="20"/>
              </w:rPr>
            </w:pPr>
          </w:p>
          <w:p w14:paraId="5547DAF2" w14:textId="77777777" w:rsidR="0015293C" w:rsidRPr="00707120" w:rsidRDefault="0015293C" w:rsidP="00590B03">
            <w:pPr>
              <w:keepNext/>
              <w:keepLines/>
              <w:spacing w:before="50" w:after="50" w:line="240" w:lineRule="exact"/>
              <w:jc w:val="center"/>
              <w:rPr>
                <w:rFonts w:eastAsia="SimSun"/>
                <w:sz w:val="20"/>
              </w:rPr>
            </w:pPr>
            <w:r w:rsidRPr="00707120">
              <w:rPr>
                <w:sz w:val="20"/>
              </w:rPr>
              <w:t>0,67</w:t>
            </w:r>
          </w:p>
          <w:p w14:paraId="40A74E8E" w14:textId="77777777" w:rsidR="0015293C" w:rsidRPr="00707120" w:rsidRDefault="0015293C" w:rsidP="00590B03">
            <w:pPr>
              <w:keepNext/>
              <w:keepLines/>
              <w:spacing w:before="50" w:after="50" w:line="240" w:lineRule="exact"/>
              <w:jc w:val="center"/>
              <w:rPr>
                <w:rFonts w:eastAsia="SimSun"/>
                <w:sz w:val="20"/>
              </w:rPr>
            </w:pPr>
            <w:r w:rsidRPr="00707120">
              <w:rPr>
                <w:sz w:val="20"/>
              </w:rPr>
              <w:t xml:space="preserve"> (1,10)</w:t>
            </w:r>
          </w:p>
        </w:tc>
      </w:tr>
    </w:tbl>
    <w:p w14:paraId="2F802F78" w14:textId="77777777" w:rsidR="00A453C3" w:rsidRPr="00D6314F" w:rsidRDefault="00A453C3" w:rsidP="00A453C3">
      <w:pPr>
        <w:keepNext/>
        <w:keepLines/>
        <w:jc w:val="both"/>
        <w:rPr>
          <w:sz w:val="18"/>
          <w:szCs w:val="18"/>
        </w:rPr>
      </w:pPr>
      <w:r w:rsidRPr="00D6314F">
        <w:rPr>
          <w:sz w:val="18"/>
        </w:rPr>
        <w:t xml:space="preserve">* </w:t>
      </w:r>
      <w:del w:id="645" w:author="Author">
        <w:r w:rsidRPr="00D6314F" w:rsidDel="00CE6B8D">
          <w:rPr>
            <w:sz w:val="18"/>
          </w:rPr>
          <w:delText xml:space="preserve"> </w:delText>
        </w:r>
      </w:del>
      <w:r w:rsidRPr="00D6314F">
        <w:rPr>
          <w:sz w:val="18"/>
        </w:rPr>
        <w:t>p</w:t>
      </w:r>
      <w:r>
        <w:rPr>
          <w:sz w:val="18"/>
        </w:rPr>
        <w:t> </w:t>
      </w:r>
      <w:r w:rsidRPr="00D6314F">
        <w:rPr>
          <w:sz w:val="18"/>
        </w:rPr>
        <w:t>&lt;</w:t>
      </w:r>
      <w:r>
        <w:rPr>
          <w:sz w:val="18"/>
        </w:rPr>
        <w:t> </w:t>
      </w:r>
      <w:r w:rsidRPr="00D6314F">
        <w:rPr>
          <w:sz w:val="18"/>
        </w:rPr>
        <w:t>0,0001</w:t>
      </w:r>
      <w:r>
        <w:rPr>
          <w:sz w:val="18"/>
        </w:rPr>
        <w:t>.</w:t>
      </w:r>
    </w:p>
    <w:p w14:paraId="63A9CAD6" w14:textId="41FDE54A" w:rsidR="00A453C3" w:rsidRPr="00D6314F" w:rsidRDefault="00A453C3" w:rsidP="00A453C3">
      <w:pPr>
        <w:keepNext/>
        <w:keepLines/>
        <w:jc w:val="both"/>
        <w:rPr>
          <w:sz w:val="18"/>
          <w:szCs w:val="18"/>
        </w:rPr>
      </w:pPr>
      <w:r w:rsidRPr="00D6314F">
        <w:rPr>
          <w:sz w:val="18"/>
        </w:rPr>
        <w:t>** p</w:t>
      </w:r>
      <w:r>
        <w:rPr>
          <w:sz w:val="18"/>
        </w:rPr>
        <w:t> </w:t>
      </w:r>
      <w:r w:rsidRPr="00D6314F">
        <w:rPr>
          <w:sz w:val="18"/>
        </w:rPr>
        <w:t>&lt;</w:t>
      </w:r>
      <w:r>
        <w:rPr>
          <w:sz w:val="18"/>
        </w:rPr>
        <w:t> </w:t>
      </w:r>
      <w:r w:rsidRPr="00D6314F">
        <w:rPr>
          <w:sz w:val="18"/>
        </w:rPr>
        <w:t xml:space="preserve">0,005 (nozīmīguma </w:t>
      </w:r>
      <w:r>
        <w:rPr>
          <w:sz w:val="18"/>
        </w:rPr>
        <w:t>robežvērtība</w:t>
      </w:r>
      <w:r w:rsidRPr="00D6314F">
        <w:rPr>
          <w:sz w:val="18"/>
        </w:rPr>
        <w:t xml:space="preserve"> pārākuma primārajam un galvenajiem sekundārajiem testiem)</w:t>
      </w:r>
      <w:r>
        <w:rPr>
          <w:sz w:val="18"/>
        </w:rPr>
        <w:t>.</w:t>
      </w:r>
    </w:p>
    <w:p w14:paraId="03D74F15" w14:textId="79ADCE49" w:rsidR="00A453C3" w:rsidRDefault="00A453C3" w:rsidP="00A453C3">
      <w:pPr>
        <w:keepNext/>
        <w:keepLines/>
        <w:jc w:val="both"/>
        <w:rPr>
          <w:sz w:val="18"/>
          <w:u w:val="single"/>
        </w:rPr>
      </w:pPr>
      <w:r w:rsidRPr="00D6314F">
        <w:rPr>
          <w:sz w:val="18"/>
        </w:rPr>
        <w:t>***Aprakstošā p</w:t>
      </w:r>
      <w:r>
        <w:rPr>
          <w:sz w:val="18"/>
        </w:rPr>
        <w:t> </w:t>
      </w:r>
      <w:r w:rsidRPr="00D6314F">
        <w:rPr>
          <w:sz w:val="18"/>
        </w:rPr>
        <w:t>vērtība</w:t>
      </w:r>
      <w:r>
        <w:rPr>
          <w:sz w:val="18"/>
        </w:rPr>
        <w:t> </w:t>
      </w:r>
      <w:r w:rsidRPr="002007A3">
        <w:rPr>
          <w:sz w:val="18"/>
          <w:rPrChange w:id="646" w:author="Author">
            <w:rPr>
              <w:sz w:val="18"/>
              <w:u w:val="single"/>
            </w:rPr>
          </w:rPrChange>
        </w:rPr>
        <w:t>&lt; 0,005.</w:t>
      </w:r>
    </w:p>
    <w:p w14:paraId="76019C36" w14:textId="0D27179C" w:rsidR="00A453C3" w:rsidRPr="00C2155B" w:rsidRDefault="00A453C3" w:rsidP="00A453C3">
      <w:pPr>
        <w:keepNext/>
        <w:keepLines/>
        <w:shd w:val="clear" w:color="auto" w:fill="FFFFFF"/>
        <w:suppressAutoHyphens w:val="0"/>
        <w:rPr>
          <w:sz w:val="18"/>
          <w:szCs w:val="18"/>
          <w:lang w:val="lv-LV" w:eastAsia="zh-TW"/>
        </w:rPr>
      </w:pPr>
      <w:r w:rsidRPr="00E1075D">
        <w:rPr>
          <w:sz w:val="18"/>
          <w:szCs w:val="18"/>
          <w:lang w:val="lv-LV" w:eastAsia="en-US"/>
        </w:rPr>
        <w:t>****</w:t>
      </w:r>
      <w:r w:rsidRPr="00707120">
        <w:rPr>
          <w:iCs/>
          <w:sz w:val="18"/>
          <w:szCs w:val="18"/>
          <w:shd w:val="clear" w:color="auto" w:fill="FFFFFF"/>
          <w:lang w:val="lv-LV" w:eastAsia="zh-TW"/>
        </w:rPr>
        <w:t xml:space="preserve">Uzliesmojums: GCA pazīmju vai simptomu recidīvs un/vai EGĀ </w:t>
      </w:r>
      <w:r w:rsidRPr="00707120">
        <w:rPr>
          <w:iCs/>
          <w:color w:val="706F6F"/>
          <w:sz w:val="18"/>
          <w:szCs w:val="18"/>
          <w:shd w:val="clear" w:color="auto" w:fill="FFFFFF"/>
          <w:lang w:val="en-GB" w:eastAsia="zh-TW"/>
        </w:rPr>
        <w:t>≥</w:t>
      </w:r>
      <w:r>
        <w:rPr>
          <w:iCs/>
          <w:color w:val="706F6F"/>
          <w:sz w:val="18"/>
          <w:szCs w:val="18"/>
          <w:shd w:val="clear" w:color="auto" w:fill="FFFFFF"/>
          <w:lang w:val="en-GB" w:eastAsia="zh-TW"/>
        </w:rPr>
        <w:t> </w:t>
      </w:r>
      <w:r w:rsidRPr="00707120">
        <w:rPr>
          <w:iCs/>
          <w:sz w:val="18"/>
          <w:szCs w:val="18"/>
          <w:shd w:val="clear" w:color="auto" w:fill="FFFFFF"/>
          <w:lang w:val="lv-LV" w:eastAsia="zh-TW"/>
        </w:rPr>
        <w:t>30</w:t>
      </w:r>
      <w:r>
        <w:rPr>
          <w:iCs/>
          <w:sz w:val="18"/>
          <w:szCs w:val="18"/>
          <w:shd w:val="clear" w:color="auto" w:fill="FFFFFF"/>
          <w:lang w:val="lv-LV" w:eastAsia="zh-TW"/>
        </w:rPr>
        <w:t> </w:t>
      </w:r>
      <w:r w:rsidRPr="00707120">
        <w:rPr>
          <w:iCs/>
          <w:sz w:val="18"/>
          <w:szCs w:val="18"/>
          <w:shd w:val="clear" w:color="auto" w:fill="FFFFFF"/>
          <w:lang w:val="lv-LV" w:eastAsia="zh-TW"/>
        </w:rPr>
        <w:t>mm/h </w:t>
      </w:r>
      <w:r w:rsidRPr="00546C50">
        <w:rPr>
          <w:iCs/>
          <w:sz w:val="18"/>
          <w:szCs w:val="18"/>
          <w:lang w:val="lv-LV" w:eastAsia="zh-TW"/>
        </w:rPr>
        <w:t>–</w:t>
      </w:r>
      <w:r w:rsidRPr="00C2155B">
        <w:rPr>
          <w:iCs/>
          <w:sz w:val="18"/>
          <w:szCs w:val="18"/>
          <w:lang w:val="lv-LV" w:eastAsia="zh-TW"/>
        </w:rPr>
        <w:t> nepieciešamā</w:t>
      </w:r>
      <w:r>
        <w:rPr>
          <w:iCs/>
          <w:sz w:val="18"/>
          <w:szCs w:val="18"/>
          <w:lang w:val="lv-LV" w:eastAsia="zh-TW"/>
        </w:rPr>
        <w:t>s</w:t>
      </w:r>
      <w:r w:rsidRPr="00C2155B">
        <w:rPr>
          <w:iCs/>
          <w:sz w:val="18"/>
          <w:szCs w:val="18"/>
          <w:lang w:val="lv-LV" w:eastAsia="zh-TW"/>
        </w:rPr>
        <w:t xml:space="preserve"> prednizona deva</w:t>
      </w:r>
      <w:r>
        <w:rPr>
          <w:iCs/>
          <w:sz w:val="18"/>
          <w:szCs w:val="18"/>
          <w:lang w:val="lv-LV" w:eastAsia="zh-TW"/>
        </w:rPr>
        <w:t>s pieaugums.</w:t>
      </w:r>
    </w:p>
    <w:p w14:paraId="36D2BDAD" w14:textId="77777777" w:rsidR="00A453C3" w:rsidRPr="00546C50" w:rsidRDefault="00A453C3" w:rsidP="00A453C3">
      <w:pPr>
        <w:keepNext/>
        <w:keepLines/>
        <w:shd w:val="clear" w:color="auto" w:fill="FFFFFF"/>
        <w:suppressAutoHyphens w:val="0"/>
        <w:rPr>
          <w:sz w:val="18"/>
          <w:szCs w:val="18"/>
          <w:lang w:val="lv-LV" w:eastAsia="zh-TW"/>
        </w:rPr>
      </w:pPr>
      <w:r w:rsidRPr="00707120">
        <w:rPr>
          <w:iCs/>
          <w:sz w:val="18"/>
          <w:szCs w:val="18"/>
          <w:lang w:val="lv-LV" w:eastAsia="zh-TW"/>
        </w:rPr>
        <w:t>Remisija: nav uzliesmojuma un CRO normalizējas.</w:t>
      </w:r>
    </w:p>
    <w:p w14:paraId="4DC36BA4" w14:textId="5AD11065" w:rsidR="00A453C3" w:rsidRPr="002B34B7" w:rsidRDefault="00A453C3" w:rsidP="00A453C3">
      <w:pPr>
        <w:keepNext/>
        <w:keepLines/>
        <w:shd w:val="clear" w:color="auto" w:fill="FFFFFF"/>
        <w:suppressAutoHyphens w:val="0"/>
        <w:rPr>
          <w:iCs/>
          <w:sz w:val="18"/>
          <w:szCs w:val="18"/>
          <w:lang w:val="lv-LV" w:eastAsia="zh-TW"/>
        </w:rPr>
      </w:pPr>
      <w:r w:rsidRPr="00707120">
        <w:rPr>
          <w:iCs/>
          <w:sz w:val="18"/>
          <w:szCs w:val="18"/>
          <w:lang w:val="lv-LV" w:eastAsia="zh-TW"/>
        </w:rPr>
        <w:t>Stabila remisija: remisija no 12.</w:t>
      </w:r>
      <w:r>
        <w:rPr>
          <w:iCs/>
          <w:sz w:val="18"/>
          <w:szCs w:val="18"/>
          <w:lang w:val="lv-LV" w:eastAsia="zh-TW"/>
        </w:rPr>
        <w:t> </w:t>
      </w:r>
      <w:r w:rsidRPr="00707120">
        <w:rPr>
          <w:iCs/>
          <w:sz w:val="18"/>
          <w:szCs w:val="18"/>
          <w:lang w:val="lv-LV" w:eastAsia="zh-TW"/>
        </w:rPr>
        <w:t>nedēļas līdz 52.</w:t>
      </w:r>
      <w:r>
        <w:rPr>
          <w:iCs/>
          <w:sz w:val="18"/>
          <w:szCs w:val="18"/>
          <w:lang w:val="lv-LV" w:eastAsia="zh-TW"/>
        </w:rPr>
        <w:t> </w:t>
      </w:r>
      <w:r w:rsidRPr="00707120">
        <w:rPr>
          <w:iCs/>
          <w:sz w:val="18"/>
          <w:szCs w:val="18"/>
          <w:lang w:val="lv-LV" w:eastAsia="zh-TW"/>
        </w:rPr>
        <w:t>nedēļa</w:t>
      </w:r>
      <w:r>
        <w:rPr>
          <w:iCs/>
          <w:sz w:val="18"/>
          <w:szCs w:val="18"/>
          <w:lang w:val="lv-LV" w:eastAsia="zh-TW"/>
        </w:rPr>
        <w:t xml:space="preserve">i </w:t>
      </w:r>
      <w:r w:rsidRPr="00546C50">
        <w:rPr>
          <w:iCs/>
          <w:sz w:val="18"/>
          <w:szCs w:val="18"/>
          <w:lang w:val="lv-LV" w:eastAsia="zh-TW"/>
        </w:rPr>
        <w:t>–</w:t>
      </w:r>
      <w:r>
        <w:rPr>
          <w:iCs/>
          <w:sz w:val="18"/>
          <w:szCs w:val="18"/>
          <w:lang w:val="lv-LV" w:eastAsia="zh-TW"/>
        </w:rPr>
        <w:t xml:space="preserve"> </w:t>
      </w:r>
      <w:r w:rsidRPr="00C2155B">
        <w:rPr>
          <w:iCs/>
          <w:sz w:val="18"/>
          <w:szCs w:val="18"/>
          <w:lang w:val="lv-LV" w:eastAsia="zh-TW"/>
        </w:rPr>
        <w:t>pacientiem jāievēro protokolā noteikt</w:t>
      </w:r>
      <w:r>
        <w:rPr>
          <w:iCs/>
          <w:sz w:val="18"/>
          <w:szCs w:val="18"/>
          <w:lang w:val="lv-LV" w:eastAsia="zh-TW"/>
        </w:rPr>
        <w:t>ā</w:t>
      </w:r>
      <w:r w:rsidRPr="00C2155B">
        <w:rPr>
          <w:iCs/>
          <w:sz w:val="18"/>
          <w:szCs w:val="18"/>
          <w:lang w:val="lv-LV" w:eastAsia="zh-TW"/>
        </w:rPr>
        <w:t xml:space="preserve"> pakāpenisk</w:t>
      </w:r>
      <w:r>
        <w:rPr>
          <w:iCs/>
          <w:sz w:val="18"/>
          <w:szCs w:val="18"/>
          <w:lang w:val="lv-LV" w:eastAsia="zh-TW"/>
        </w:rPr>
        <w:t>ā</w:t>
      </w:r>
      <w:r w:rsidRPr="00C2155B">
        <w:rPr>
          <w:iCs/>
          <w:sz w:val="18"/>
          <w:szCs w:val="18"/>
          <w:lang w:val="lv-LV" w:eastAsia="zh-TW"/>
        </w:rPr>
        <w:t xml:space="preserve"> prednizona devas samazināšan</w:t>
      </w:r>
      <w:r>
        <w:rPr>
          <w:iCs/>
          <w:sz w:val="18"/>
          <w:szCs w:val="18"/>
          <w:lang w:val="lv-LV" w:eastAsia="zh-TW"/>
        </w:rPr>
        <w:t>a.</w:t>
      </w:r>
    </w:p>
    <w:p w14:paraId="5D054B97" w14:textId="77777777" w:rsidR="00A453C3" w:rsidRPr="005E4E3F" w:rsidRDefault="00A453C3" w:rsidP="00A453C3">
      <w:pPr>
        <w:keepNext/>
        <w:keepLines/>
        <w:jc w:val="both"/>
        <w:rPr>
          <w:sz w:val="18"/>
          <w:szCs w:val="18"/>
          <w:lang w:val="lv-LV"/>
        </w:rPr>
      </w:pPr>
      <w:r w:rsidRPr="005E4E3F">
        <w:rPr>
          <w:sz w:val="18"/>
          <w:lang w:val="lv-LV"/>
        </w:rPr>
        <w:t>¹ Analīze par laiku (dienās) no klīniskās remisijas līdz pirmajam slimības uzliesmojumam</w:t>
      </w:r>
      <w:r>
        <w:rPr>
          <w:sz w:val="18"/>
          <w:lang w:val="lv-LV"/>
        </w:rPr>
        <w:t>.</w:t>
      </w:r>
    </w:p>
    <w:p w14:paraId="2F31D7F8" w14:textId="216EC9D6" w:rsidR="00A453C3" w:rsidRPr="00C74D1A" w:rsidRDefault="00A453C3" w:rsidP="00A453C3">
      <w:pPr>
        <w:keepNext/>
        <w:keepLines/>
        <w:jc w:val="both"/>
        <w:rPr>
          <w:sz w:val="18"/>
          <w:szCs w:val="18"/>
          <w:lang w:val="lv-LV"/>
        </w:rPr>
      </w:pPr>
      <w:r w:rsidRPr="00C74D1A">
        <w:rPr>
          <w:sz w:val="18"/>
          <w:vertAlign w:val="superscript"/>
          <w:lang w:val="lv-LV"/>
        </w:rPr>
        <w:t>2</w:t>
      </w:r>
      <w:r w:rsidRPr="00C74D1A">
        <w:rPr>
          <w:sz w:val="18"/>
          <w:lang w:val="lv-LV"/>
        </w:rPr>
        <w:t xml:space="preserve"> p</w:t>
      </w:r>
      <w:r>
        <w:rPr>
          <w:sz w:val="18"/>
          <w:lang w:val="lv-LV"/>
        </w:rPr>
        <w:t> </w:t>
      </w:r>
      <w:r w:rsidRPr="00C74D1A">
        <w:rPr>
          <w:sz w:val="18"/>
          <w:lang w:val="lv-LV"/>
        </w:rPr>
        <w:t xml:space="preserve">vērtības noteiktas, izmantojot neparametrisko datu </w:t>
      </w:r>
      <w:r w:rsidRPr="00C74D1A">
        <w:rPr>
          <w:i/>
          <w:sz w:val="18"/>
          <w:lang w:val="lv-LV"/>
        </w:rPr>
        <w:t>Van Elteren</w:t>
      </w:r>
      <w:r w:rsidRPr="00C74D1A">
        <w:rPr>
          <w:sz w:val="18"/>
          <w:lang w:val="lv-LV"/>
        </w:rPr>
        <w:t xml:space="preserve"> analīzi</w:t>
      </w:r>
      <w:r>
        <w:rPr>
          <w:sz w:val="18"/>
          <w:lang w:val="lv-LV"/>
        </w:rPr>
        <w:t>.</w:t>
      </w:r>
    </w:p>
    <w:p w14:paraId="2636FF17" w14:textId="3241D3BC" w:rsidR="00A453C3" w:rsidRPr="00C74D1A" w:rsidRDefault="00A453C3" w:rsidP="00A453C3">
      <w:pPr>
        <w:keepNext/>
        <w:keepLines/>
        <w:jc w:val="both"/>
        <w:rPr>
          <w:sz w:val="18"/>
          <w:szCs w:val="18"/>
          <w:lang w:val="lv-LV"/>
        </w:rPr>
      </w:pPr>
      <w:r w:rsidRPr="00C74D1A">
        <w:rPr>
          <w:sz w:val="18"/>
          <w:vertAlign w:val="superscript"/>
          <w:lang w:val="lv-LV"/>
        </w:rPr>
        <w:t>§</w:t>
      </w:r>
      <w:r w:rsidRPr="00C74D1A">
        <w:rPr>
          <w:sz w:val="18"/>
          <w:lang w:val="lv-LV"/>
        </w:rPr>
        <w:t xml:space="preserve"> </w:t>
      </w:r>
      <w:r>
        <w:rPr>
          <w:sz w:val="18"/>
          <w:lang w:val="lv-LV"/>
        </w:rPr>
        <w:t>S</w:t>
      </w:r>
      <w:r w:rsidRPr="00C74D1A">
        <w:rPr>
          <w:sz w:val="18"/>
          <w:lang w:val="lv-LV"/>
        </w:rPr>
        <w:t>tatistiskā analīze nav veikta</w:t>
      </w:r>
      <w:r>
        <w:rPr>
          <w:sz w:val="18"/>
          <w:lang w:val="lv-LV"/>
        </w:rPr>
        <w:t>.</w:t>
      </w:r>
    </w:p>
    <w:p w14:paraId="26E4DF76" w14:textId="77777777" w:rsidR="00A453C3" w:rsidRPr="00C74D1A" w:rsidRDefault="00A453C3" w:rsidP="00A453C3">
      <w:pPr>
        <w:keepNext/>
        <w:keepLines/>
        <w:jc w:val="both"/>
        <w:rPr>
          <w:sz w:val="18"/>
          <w:szCs w:val="18"/>
          <w:lang w:val="lv-LV"/>
        </w:rPr>
      </w:pPr>
      <w:r w:rsidRPr="00C74D1A">
        <w:rPr>
          <w:sz w:val="18"/>
          <w:lang w:val="lv-LV"/>
        </w:rPr>
        <w:t>N/P = nav piemērojams</w:t>
      </w:r>
      <w:r>
        <w:rPr>
          <w:sz w:val="18"/>
          <w:lang w:val="lv-LV"/>
        </w:rPr>
        <w:t>.</w:t>
      </w:r>
    </w:p>
    <w:p w14:paraId="355D7DFF" w14:textId="77777777" w:rsidR="00A453C3" w:rsidRPr="00C74D1A" w:rsidRDefault="00A453C3" w:rsidP="00A453C3">
      <w:pPr>
        <w:keepNext/>
        <w:keepLines/>
        <w:jc w:val="both"/>
        <w:rPr>
          <w:sz w:val="18"/>
          <w:szCs w:val="18"/>
          <w:lang w:val="it-IT"/>
        </w:rPr>
      </w:pPr>
      <w:r w:rsidRPr="00C74D1A">
        <w:rPr>
          <w:sz w:val="18"/>
          <w:lang w:val="it-IT"/>
        </w:rPr>
        <w:t>RA = riska attiecība</w:t>
      </w:r>
      <w:r>
        <w:rPr>
          <w:sz w:val="18"/>
          <w:lang w:val="it-IT"/>
        </w:rPr>
        <w:t>.</w:t>
      </w:r>
    </w:p>
    <w:p w14:paraId="5EB76817" w14:textId="77777777" w:rsidR="00A453C3" w:rsidRDefault="00A453C3" w:rsidP="00A453C3">
      <w:pPr>
        <w:keepNext/>
        <w:keepLines/>
        <w:jc w:val="both"/>
        <w:rPr>
          <w:sz w:val="18"/>
          <w:lang w:val="it-IT"/>
        </w:rPr>
      </w:pPr>
      <w:r w:rsidRPr="00C74D1A">
        <w:rPr>
          <w:sz w:val="18"/>
          <w:lang w:val="it-IT"/>
        </w:rPr>
        <w:t>TI = ticamības intervāls</w:t>
      </w:r>
      <w:r>
        <w:rPr>
          <w:sz w:val="18"/>
          <w:lang w:val="it-IT"/>
        </w:rPr>
        <w:t>.</w:t>
      </w:r>
    </w:p>
    <w:p w14:paraId="3D212CFF" w14:textId="77777777" w:rsidR="00A453C3" w:rsidRPr="00C74D1A" w:rsidRDefault="00A453C3" w:rsidP="00707120">
      <w:pPr>
        <w:keepLines/>
        <w:jc w:val="both"/>
        <w:rPr>
          <w:sz w:val="18"/>
          <w:szCs w:val="18"/>
          <w:lang w:val="it-IT"/>
        </w:rPr>
      </w:pPr>
      <w:r>
        <w:rPr>
          <w:sz w:val="18"/>
          <w:lang w:val="it-IT"/>
        </w:rPr>
        <w:t>s.c. = subkutāni.</w:t>
      </w:r>
    </w:p>
    <w:bookmarkEnd w:id="633"/>
    <w:p w14:paraId="3CC80908" w14:textId="77777777" w:rsidR="00A453C3" w:rsidRPr="00C74D1A" w:rsidRDefault="00A453C3" w:rsidP="00A453C3">
      <w:pPr>
        <w:jc w:val="both"/>
        <w:rPr>
          <w:sz w:val="18"/>
          <w:szCs w:val="18"/>
          <w:lang w:val="it-IT"/>
        </w:rPr>
      </w:pPr>
    </w:p>
    <w:p w14:paraId="610F3BF0" w14:textId="77777777" w:rsidR="00A453C3" w:rsidRPr="00707120" w:rsidRDefault="00A453C3" w:rsidP="00A453C3">
      <w:pPr>
        <w:keepNext/>
        <w:keepLines/>
        <w:spacing w:line="280" w:lineRule="atLeast"/>
        <w:jc w:val="both"/>
        <w:rPr>
          <w:i/>
          <w:szCs w:val="22"/>
          <w:u w:val="single"/>
          <w:lang w:val="it-IT"/>
        </w:rPr>
      </w:pPr>
      <w:r w:rsidRPr="00707120">
        <w:rPr>
          <w:i/>
          <w:u w:val="single"/>
          <w:lang w:val="it-IT"/>
        </w:rPr>
        <w:t>Ar dzīves kvalitāti saistītie iznākumi</w:t>
      </w:r>
    </w:p>
    <w:p w14:paraId="38AC60A8" w14:textId="6A271C05" w:rsidR="00A453C3" w:rsidRPr="000200A3" w:rsidRDefault="00A453C3" w:rsidP="00A453C3">
      <w:pPr>
        <w:keepNext/>
        <w:keepLines/>
        <w:rPr>
          <w:lang w:val="lv-LV"/>
        </w:rPr>
      </w:pPr>
      <w:bookmarkStart w:id="647" w:name="_Hlk174612261"/>
      <w:r w:rsidRPr="00C74D1A">
        <w:rPr>
          <w:lang w:val="it-IT"/>
        </w:rPr>
        <w:t>Pētījumā WA28119 SF</w:t>
      </w:r>
      <w:r>
        <w:rPr>
          <w:lang w:val="it-IT"/>
        </w:rPr>
        <w:noBreakHyphen/>
      </w:r>
      <w:r w:rsidRPr="00C74D1A">
        <w:rPr>
          <w:lang w:val="it-IT"/>
        </w:rPr>
        <w:t xml:space="preserve">36 rezultāti tika sadalīti fiziskās un garīgās komponentes </w:t>
      </w:r>
      <w:r w:rsidRPr="009A2974">
        <w:rPr>
          <w:lang w:val="lv-LV"/>
        </w:rPr>
        <w:t xml:space="preserve">kopējā novērtējuma punktu skaitā (attiecīgi FKS un GKS). Grupās, kurās </w:t>
      </w:r>
      <w:r>
        <w:rPr>
          <w:lang w:val="lv-LV"/>
        </w:rPr>
        <w:t>tocilizumabu</w:t>
      </w:r>
      <w:r w:rsidRPr="009A2974">
        <w:rPr>
          <w:lang w:val="lv-LV"/>
        </w:rPr>
        <w:t xml:space="preserve"> lietoja vienu reizi nedēļā un katru otro nedēļu, bija lielākas FKS vidējās izmaiņas (uzrādot izteiktāku uzlabošanos) </w:t>
      </w:r>
      <w:r w:rsidRPr="000200A3">
        <w:rPr>
          <w:lang w:val="lv-LV"/>
        </w:rPr>
        <w:t>no sākotnējā stāvokļa līdz 52.</w:t>
      </w:r>
      <w:r>
        <w:rPr>
          <w:lang w:val="lv-LV"/>
        </w:rPr>
        <w:t> </w:t>
      </w:r>
      <w:r w:rsidRPr="000200A3">
        <w:rPr>
          <w:lang w:val="lv-LV"/>
        </w:rPr>
        <w:t>nedēļai [attiecīgi 4,10 un 2,76] nekā abās placebo grupās [placebo</w:t>
      </w:r>
      <w:r>
        <w:rPr>
          <w:lang w:val="lv-LV"/>
        </w:rPr>
        <w:t> + </w:t>
      </w:r>
      <w:del w:id="648" w:author="Author">
        <w:r w:rsidRPr="000200A3" w:rsidDel="00CE6B8D">
          <w:rPr>
            <w:lang w:val="lv-LV"/>
          </w:rPr>
          <w:delText xml:space="preserve"> </w:delText>
        </w:r>
      </w:del>
      <w:r w:rsidRPr="000200A3">
        <w:rPr>
          <w:lang w:val="lv-LV"/>
        </w:rPr>
        <w:t>26</w:t>
      </w:r>
      <w:r>
        <w:rPr>
          <w:lang w:val="lv-LV"/>
        </w:rPr>
        <w:t> </w:t>
      </w:r>
      <w:r w:rsidRPr="000200A3">
        <w:rPr>
          <w:lang w:val="lv-LV"/>
        </w:rPr>
        <w:t>nedēļ</w:t>
      </w:r>
      <w:r>
        <w:rPr>
          <w:lang w:val="lv-LV"/>
        </w:rPr>
        <w:t>as</w:t>
      </w:r>
      <w:r w:rsidRPr="000200A3">
        <w:rPr>
          <w:lang w:val="lv-LV"/>
        </w:rPr>
        <w:t xml:space="preserve">; </w:t>
      </w:r>
      <w:r>
        <w:rPr>
          <w:lang w:val="lv-LV"/>
        </w:rPr>
        <w:noBreakHyphen/>
      </w:r>
      <w:r w:rsidRPr="000200A3">
        <w:rPr>
          <w:lang w:val="lv-LV"/>
        </w:rPr>
        <w:t>0,28, placebo</w:t>
      </w:r>
      <w:r>
        <w:rPr>
          <w:lang w:val="lv-LV"/>
        </w:rPr>
        <w:t> + </w:t>
      </w:r>
      <w:r w:rsidRPr="000200A3">
        <w:rPr>
          <w:lang w:val="lv-LV"/>
        </w:rPr>
        <w:t>52</w:t>
      </w:r>
      <w:r>
        <w:rPr>
          <w:lang w:val="lv-LV"/>
        </w:rPr>
        <w:t> </w:t>
      </w:r>
      <w:r w:rsidRPr="000200A3">
        <w:rPr>
          <w:lang w:val="lv-LV"/>
        </w:rPr>
        <w:t>nedēļ</w:t>
      </w:r>
      <w:r>
        <w:rPr>
          <w:lang w:val="lv-LV"/>
        </w:rPr>
        <w:t>as</w:t>
      </w:r>
      <w:r w:rsidRPr="000200A3">
        <w:rPr>
          <w:lang w:val="lv-LV"/>
        </w:rPr>
        <w:t xml:space="preserve">; </w:t>
      </w:r>
      <w:r>
        <w:rPr>
          <w:lang w:val="lv-LV"/>
        </w:rPr>
        <w:noBreakHyphen/>
      </w:r>
      <w:r w:rsidRPr="000200A3">
        <w:rPr>
          <w:lang w:val="lv-LV"/>
        </w:rPr>
        <w:t>1,49], lai gan statistiski ticama atšķirība (p</w:t>
      </w:r>
      <w:r>
        <w:rPr>
          <w:lang w:val="lv-LV"/>
        </w:rPr>
        <w:t> </w:t>
      </w:r>
      <w:r w:rsidRPr="000200A3">
        <w:rPr>
          <w:lang w:val="lv-LV"/>
        </w:rPr>
        <w:t>=</w:t>
      </w:r>
      <w:r>
        <w:rPr>
          <w:lang w:val="lv-LV"/>
        </w:rPr>
        <w:t> </w:t>
      </w:r>
      <w:r w:rsidRPr="000200A3">
        <w:rPr>
          <w:lang w:val="lv-LV"/>
        </w:rPr>
        <w:t xml:space="preserve">0,0024) bija tikai starp grupu, kurā </w:t>
      </w:r>
      <w:r>
        <w:rPr>
          <w:lang w:val="lv-LV"/>
        </w:rPr>
        <w:t xml:space="preserve">tocilizumabu </w:t>
      </w:r>
      <w:r w:rsidRPr="000200A3">
        <w:rPr>
          <w:lang w:val="lv-LV"/>
        </w:rPr>
        <w:t>lietoja kombinācijā ar 26</w:t>
      </w:r>
      <w:r>
        <w:rPr>
          <w:lang w:val="lv-LV"/>
        </w:rPr>
        <w:t> </w:t>
      </w:r>
      <w:r w:rsidRPr="000200A3">
        <w:rPr>
          <w:lang w:val="lv-LV"/>
        </w:rPr>
        <w:t>nedēļas ilgu prednizona terapiju, pakāpeniski samazinot devu, un grupu, kurā lietoja placebo kombinācijā ar 52</w:t>
      </w:r>
      <w:r>
        <w:rPr>
          <w:lang w:val="lv-LV"/>
        </w:rPr>
        <w:t> </w:t>
      </w:r>
      <w:r w:rsidRPr="000200A3">
        <w:rPr>
          <w:lang w:val="lv-LV"/>
        </w:rPr>
        <w:t xml:space="preserve">nedēļas ilgu prednizona terapiju, pakāpeniski samazinot devu (5,59, 99% TI: 8,6; 10,32). Attiecībā uz GKS grupās, kurās </w:t>
      </w:r>
      <w:r>
        <w:rPr>
          <w:lang w:val="lv-LV"/>
        </w:rPr>
        <w:t>tocilizumabu</w:t>
      </w:r>
      <w:r w:rsidRPr="000200A3">
        <w:rPr>
          <w:lang w:val="lv-LV"/>
        </w:rPr>
        <w:t xml:space="preserve"> </w:t>
      </w:r>
      <w:r w:rsidRPr="009A2974">
        <w:rPr>
          <w:lang w:val="lv-LV"/>
        </w:rPr>
        <w:t>lietoja vienu reizi nedēļā un katru otro nedēļu, vidējās izmaiņas no sākotnējā stāvokļa līdz 52.</w:t>
      </w:r>
      <w:r>
        <w:rPr>
          <w:lang w:val="lv-LV"/>
        </w:rPr>
        <w:t> </w:t>
      </w:r>
      <w:r w:rsidRPr="009A2974">
        <w:rPr>
          <w:lang w:val="lv-LV"/>
        </w:rPr>
        <w:t>nedēļai [attiecīgi 7,28,</w:t>
      </w:r>
      <w:r>
        <w:rPr>
          <w:lang w:val="lv-LV"/>
        </w:rPr>
        <w:t> </w:t>
      </w:r>
      <w:r w:rsidRPr="009A2974">
        <w:rPr>
          <w:lang w:val="lv-LV"/>
        </w:rPr>
        <w:t>6,12] bija lielākas nekā grupā, kurā lietoja placebo kombinācijā ar 52</w:t>
      </w:r>
      <w:r>
        <w:rPr>
          <w:lang w:val="lv-LV"/>
        </w:rPr>
        <w:t> </w:t>
      </w:r>
      <w:r w:rsidRPr="009A2974">
        <w:rPr>
          <w:lang w:val="lv-LV"/>
        </w:rPr>
        <w:t>nedēļas ilgu prednizona terapiju, pakāpeniski samazinot devu [2,84] (lai gan atšķirības nebija statistiski ticamas [lietošana vienu</w:t>
      </w:r>
      <w:r w:rsidRPr="000200A3">
        <w:rPr>
          <w:lang w:val="lv-LV"/>
        </w:rPr>
        <w:t xml:space="preserve"> reizi nedēļā, p</w:t>
      </w:r>
      <w:r>
        <w:rPr>
          <w:lang w:val="lv-LV"/>
        </w:rPr>
        <w:t> </w:t>
      </w:r>
      <w:r w:rsidRPr="000200A3">
        <w:rPr>
          <w:lang w:val="lv-LV"/>
        </w:rPr>
        <w:t>=</w:t>
      </w:r>
      <w:r>
        <w:rPr>
          <w:lang w:val="lv-LV"/>
        </w:rPr>
        <w:t> </w:t>
      </w:r>
      <w:r w:rsidRPr="000200A3">
        <w:rPr>
          <w:lang w:val="lv-LV"/>
        </w:rPr>
        <w:t>0,0252; lietošana katru otro nedēļu, p</w:t>
      </w:r>
      <w:r>
        <w:rPr>
          <w:lang w:val="lv-LV"/>
        </w:rPr>
        <w:t> </w:t>
      </w:r>
      <w:r w:rsidRPr="000200A3">
        <w:rPr>
          <w:lang w:val="lv-LV"/>
        </w:rPr>
        <w:t>=</w:t>
      </w:r>
      <w:r>
        <w:rPr>
          <w:lang w:val="lv-LV"/>
        </w:rPr>
        <w:t> </w:t>
      </w:r>
      <w:r w:rsidRPr="000200A3">
        <w:rPr>
          <w:lang w:val="lv-LV"/>
        </w:rPr>
        <w:t>0,1468]), un līdzīgas kā grupā, kurā lietoja placebo apvienojumā ar 26</w:t>
      </w:r>
      <w:r>
        <w:rPr>
          <w:lang w:val="lv-LV"/>
        </w:rPr>
        <w:t> </w:t>
      </w:r>
      <w:r w:rsidRPr="000200A3">
        <w:rPr>
          <w:lang w:val="lv-LV"/>
        </w:rPr>
        <w:t xml:space="preserve">nedēļas ilgu prednizona terapiju, pakāpeniski samazinot devu [6,67]. </w:t>
      </w:r>
    </w:p>
    <w:p w14:paraId="4804E153" w14:textId="77777777" w:rsidR="00A453C3" w:rsidRPr="000200A3" w:rsidRDefault="00A453C3" w:rsidP="00A453C3">
      <w:pPr>
        <w:rPr>
          <w:i/>
          <w:lang w:val="lv-LV"/>
        </w:rPr>
      </w:pPr>
    </w:p>
    <w:p w14:paraId="7E451440" w14:textId="1827C8E1" w:rsidR="00A453C3" w:rsidRPr="000200A3" w:rsidRDefault="00A453C3" w:rsidP="00A453C3">
      <w:pPr>
        <w:rPr>
          <w:lang w:val="lv-LV"/>
        </w:rPr>
      </w:pPr>
      <w:r w:rsidRPr="000200A3">
        <w:rPr>
          <w:lang w:val="lv-LV"/>
        </w:rPr>
        <w:t>Vispārējā slimības aktivitāte pacienta vērtējumā tika novērtēta, izmantojot 0</w:t>
      </w:r>
      <w:r>
        <w:rPr>
          <w:lang w:val="lv-LV"/>
        </w:rPr>
        <w:noBreakHyphen/>
      </w:r>
      <w:r w:rsidRPr="000200A3">
        <w:rPr>
          <w:lang w:val="lv-LV"/>
        </w:rPr>
        <w:t>100 mm vizuālo analogu skalu (VAS). Pacienta vispārējās VAS vidējās izmaiņas 52.</w:t>
      </w:r>
      <w:r>
        <w:rPr>
          <w:lang w:val="lv-LV"/>
        </w:rPr>
        <w:t> </w:t>
      </w:r>
      <w:r w:rsidRPr="000200A3">
        <w:rPr>
          <w:lang w:val="lv-LV"/>
        </w:rPr>
        <w:t xml:space="preserve">nedēļā </w:t>
      </w:r>
      <w:r w:rsidRPr="009A2974">
        <w:rPr>
          <w:lang w:val="lv-LV"/>
        </w:rPr>
        <w:t xml:space="preserve">bija mazākas (uzrādot izteiktāku uzlabošanos) [attiecīgi </w:t>
      </w:r>
      <w:r>
        <w:rPr>
          <w:lang w:val="lv-LV"/>
        </w:rPr>
        <w:noBreakHyphen/>
      </w:r>
      <w:r w:rsidRPr="009A2974">
        <w:rPr>
          <w:lang w:val="lv-LV"/>
        </w:rPr>
        <w:t xml:space="preserve">19,0, </w:t>
      </w:r>
      <w:r>
        <w:rPr>
          <w:lang w:val="lv-LV"/>
        </w:rPr>
        <w:noBreakHyphen/>
      </w:r>
      <w:r w:rsidRPr="009A2974">
        <w:rPr>
          <w:lang w:val="lv-LV"/>
        </w:rPr>
        <w:t xml:space="preserve">25,3] grupās, kurās </w:t>
      </w:r>
      <w:r>
        <w:rPr>
          <w:lang w:val="lv-LV"/>
        </w:rPr>
        <w:t>tocilizumabu</w:t>
      </w:r>
      <w:r w:rsidRPr="009A2974">
        <w:rPr>
          <w:lang w:val="lv-LV"/>
        </w:rPr>
        <w:t xml:space="preserve"> lietoja vienu reizi nedēļā un katru otro nedēļu, </w:t>
      </w:r>
      <w:r w:rsidRPr="000200A3">
        <w:rPr>
          <w:lang w:val="lv-LV"/>
        </w:rPr>
        <w:t>nekā abās placebo grupās [placebo</w:t>
      </w:r>
      <w:r>
        <w:rPr>
          <w:lang w:val="lv-LV"/>
        </w:rPr>
        <w:t> + </w:t>
      </w:r>
      <w:r w:rsidRPr="000200A3">
        <w:rPr>
          <w:lang w:val="lv-LV"/>
        </w:rPr>
        <w:t>26</w:t>
      </w:r>
      <w:r>
        <w:rPr>
          <w:lang w:val="lv-LV"/>
        </w:rPr>
        <w:t> </w:t>
      </w:r>
      <w:r w:rsidRPr="000200A3">
        <w:rPr>
          <w:lang w:val="lv-LV"/>
        </w:rPr>
        <w:t>nedēļ</w:t>
      </w:r>
      <w:r>
        <w:rPr>
          <w:lang w:val="lv-LV"/>
        </w:rPr>
        <w:t>as</w:t>
      </w:r>
      <w:r w:rsidRPr="000200A3">
        <w:rPr>
          <w:lang w:val="lv-LV"/>
        </w:rPr>
        <w:t xml:space="preserve"> </w:t>
      </w:r>
      <w:r>
        <w:rPr>
          <w:lang w:val="lv-LV"/>
        </w:rPr>
        <w:noBreakHyphen/>
      </w:r>
      <w:r w:rsidRPr="000200A3">
        <w:rPr>
          <w:lang w:val="lv-LV"/>
        </w:rPr>
        <w:t>3,4, placebo</w:t>
      </w:r>
      <w:r>
        <w:rPr>
          <w:lang w:val="lv-LV"/>
        </w:rPr>
        <w:t> + </w:t>
      </w:r>
      <w:r w:rsidRPr="000200A3">
        <w:rPr>
          <w:lang w:val="lv-LV"/>
        </w:rPr>
        <w:t>52</w:t>
      </w:r>
      <w:r>
        <w:rPr>
          <w:lang w:val="lv-LV"/>
        </w:rPr>
        <w:t> </w:t>
      </w:r>
      <w:r w:rsidRPr="000200A3">
        <w:rPr>
          <w:lang w:val="lv-LV"/>
        </w:rPr>
        <w:t>nedēļ</w:t>
      </w:r>
      <w:r>
        <w:rPr>
          <w:lang w:val="lv-LV"/>
        </w:rPr>
        <w:t>as</w:t>
      </w:r>
      <w:r w:rsidRPr="000200A3">
        <w:rPr>
          <w:lang w:val="lv-LV"/>
        </w:rPr>
        <w:t xml:space="preserve"> </w:t>
      </w:r>
      <w:r>
        <w:rPr>
          <w:lang w:val="lv-LV"/>
        </w:rPr>
        <w:noBreakHyphen/>
      </w:r>
      <w:r w:rsidRPr="000200A3">
        <w:rPr>
          <w:lang w:val="lv-LV"/>
        </w:rPr>
        <w:t xml:space="preserve">7,2], lai gan statistiski nozīmīga atšķirība bija tikai starp grupu, kurā </w:t>
      </w:r>
      <w:r>
        <w:rPr>
          <w:lang w:val="lv-LV"/>
        </w:rPr>
        <w:t>tocilizumabu</w:t>
      </w:r>
      <w:r w:rsidRPr="000200A3">
        <w:rPr>
          <w:lang w:val="lv-LV"/>
        </w:rPr>
        <w:t xml:space="preserve"> lietoja katru otro nedēļu kombinācijā ar 26</w:t>
      </w:r>
      <w:r>
        <w:rPr>
          <w:lang w:val="lv-LV"/>
        </w:rPr>
        <w:t> </w:t>
      </w:r>
      <w:r w:rsidRPr="000200A3">
        <w:rPr>
          <w:lang w:val="lv-LV"/>
        </w:rPr>
        <w:t>nedēļas ilgu prednizona terapiju, pakāpeniski samazinot devu, un placebo grupām [placebo kombinācijā ar 26</w:t>
      </w:r>
      <w:r>
        <w:rPr>
          <w:lang w:val="lv-LV"/>
        </w:rPr>
        <w:t> </w:t>
      </w:r>
      <w:r w:rsidRPr="000200A3">
        <w:rPr>
          <w:lang w:val="lv-LV"/>
        </w:rPr>
        <w:t>nedēļas ilgu terapiju, samazinot devu, p</w:t>
      </w:r>
      <w:r>
        <w:rPr>
          <w:lang w:val="lv-LV"/>
        </w:rPr>
        <w:t> </w:t>
      </w:r>
      <w:r w:rsidRPr="000200A3">
        <w:rPr>
          <w:lang w:val="lv-LV"/>
        </w:rPr>
        <w:t>=</w:t>
      </w:r>
      <w:r>
        <w:rPr>
          <w:lang w:val="lv-LV"/>
        </w:rPr>
        <w:t> </w:t>
      </w:r>
      <w:r w:rsidRPr="000200A3">
        <w:rPr>
          <w:lang w:val="lv-LV"/>
        </w:rPr>
        <w:t>0,0059, un placebo kombinācijā ar 52 nedēļas ilgu terapiju, pakāpeniski samazinot devu</w:t>
      </w:r>
      <w:r>
        <w:rPr>
          <w:lang w:val="lv-LV"/>
        </w:rPr>
        <w:t>,</w:t>
      </w:r>
      <w:r w:rsidRPr="000200A3">
        <w:rPr>
          <w:lang w:val="lv-LV"/>
        </w:rPr>
        <w:t xml:space="preserve"> p</w:t>
      </w:r>
      <w:r>
        <w:rPr>
          <w:lang w:val="lv-LV"/>
        </w:rPr>
        <w:t> </w:t>
      </w:r>
      <w:r w:rsidRPr="000200A3">
        <w:rPr>
          <w:lang w:val="lv-LV"/>
        </w:rPr>
        <w:t>=</w:t>
      </w:r>
      <w:r>
        <w:rPr>
          <w:lang w:val="lv-LV"/>
        </w:rPr>
        <w:t> </w:t>
      </w:r>
      <w:r w:rsidRPr="000200A3">
        <w:rPr>
          <w:lang w:val="lv-LV"/>
        </w:rPr>
        <w:t>0,0081].</w:t>
      </w:r>
    </w:p>
    <w:p w14:paraId="3B26D90E" w14:textId="77777777" w:rsidR="00A453C3" w:rsidRPr="000200A3" w:rsidRDefault="00A453C3" w:rsidP="00A453C3">
      <w:pPr>
        <w:rPr>
          <w:lang w:val="lv-LV"/>
        </w:rPr>
      </w:pPr>
    </w:p>
    <w:p w14:paraId="5C61C706" w14:textId="5A66784B" w:rsidR="00A453C3" w:rsidRPr="000200A3" w:rsidRDefault="00A453C3" w:rsidP="00A453C3">
      <w:pPr>
        <w:rPr>
          <w:lang w:val="lv-LV"/>
        </w:rPr>
      </w:pPr>
      <w:r w:rsidRPr="000200A3">
        <w:rPr>
          <w:lang w:val="lv-LV"/>
        </w:rPr>
        <w:t xml:space="preserve">Visām grupām aprēķināja FACIT – noguruma </w:t>
      </w:r>
      <w:r w:rsidRPr="009A2974">
        <w:rPr>
          <w:lang w:val="lv-LV"/>
        </w:rPr>
        <w:t xml:space="preserve">rādītāju izmaiņas no sākotnējā stāvokļa līdz 52. nedēļai. Vidējās [SN] novērtējuma punktu skaita izmaiņas bija šādas: </w:t>
      </w:r>
      <w:r>
        <w:rPr>
          <w:lang w:val="lv-LV"/>
        </w:rPr>
        <w:t>tocilizumabs</w:t>
      </w:r>
      <w:r w:rsidRPr="009A2974">
        <w:rPr>
          <w:lang w:val="lv-LV"/>
        </w:rPr>
        <w:t xml:space="preserve"> vienu</w:t>
      </w:r>
      <w:r w:rsidRPr="000200A3" w:rsidDel="009A2974">
        <w:rPr>
          <w:lang w:val="lv-LV"/>
        </w:rPr>
        <w:t xml:space="preserve"> </w:t>
      </w:r>
      <w:r w:rsidRPr="000200A3">
        <w:rPr>
          <w:lang w:val="lv-LV"/>
        </w:rPr>
        <w:t>reizi nedēļā</w:t>
      </w:r>
      <w:r>
        <w:rPr>
          <w:lang w:val="lv-LV"/>
        </w:rPr>
        <w:t> + </w:t>
      </w:r>
      <w:r w:rsidRPr="000200A3">
        <w:rPr>
          <w:lang w:val="lv-LV"/>
        </w:rPr>
        <w:t>26</w:t>
      </w:r>
      <w:r>
        <w:rPr>
          <w:lang w:val="lv-LV"/>
        </w:rPr>
        <w:t> </w:t>
      </w:r>
      <w:r w:rsidRPr="000200A3">
        <w:rPr>
          <w:lang w:val="lv-LV"/>
        </w:rPr>
        <w:t>nedēļ</w:t>
      </w:r>
      <w:r>
        <w:rPr>
          <w:lang w:val="lv-LV"/>
        </w:rPr>
        <w:t>as</w:t>
      </w:r>
      <w:r w:rsidRPr="000200A3">
        <w:rPr>
          <w:lang w:val="lv-LV"/>
        </w:rPr>
        <w:t xml:space="preserve"> 5,61 [10,115], </w:t>
      </w:r>
      <w:r>
        <w:rPr>
          <w:lang w:val="lv-LV"/>
        </w:rPr>
        <w:t>tocilizumabs</w:t>
      </w:r>
      <w:r w:rsidRPr="000200A3">
        <w:rPr>
          <w:lang w:val="lv-LV"/>
        </w:rPr>
        <w:t xml:space="preserve"> katru otro nedēļu</w:t>
      </w:r>
      <w:r>
        <w:rPr>
          <w:lang w:val="lv-LV"/>
        </w:rPr>
        <w:t> + </w:t>
      </w:r>
      <w:r w:rsidRPr="000200A3">
        <w:rPr>
          <w:lang w:val="lv-LV"/>
        </w:rPr>
        <w:t>26</w:t>
      </w:r>
      <w:r>
        <w:rPr>
          <w:lang w:val="lv-LV"/>
        </w:rPr>
        <w:t> </w:t>
      </w:r>
      <w:r w:rsidRPr="000200A3">
        <w:rPr>
          <w:lang w:val="lv-LV"/>
        </w:rPr>
        <w:t>nedēļ</w:t>
      </w:r>
      <w:r>
        <w:rPr>
          <w:lang w:val="lv-LV"/>
        </w:rPr>
        <w:t>as</w:t>
      </w:r>
      <w:r w:rsidRPr="000200A3">
        <w:rPr>
          <w:lang w:val="lv-LV"/>
        </w:rPr>
        <w:t xml:space="preserve"> 1,81 [8,836], placebo</w:t>
      </w:r>
      <w:r>
        <w:rPr>
          <w:lang w:val="lv-LV"/>
        </w:rPr>
        <w:t> + </w:t>
      </w:r>
      <w:r w:rsidRPr="000200A3">
        <w:rPr>
          <w:lang w:val="lv-LV"/>
        </w:rPr>
        <w:t>26</w:t>
      </w:r>
      <w:r>
        <w:rPr>
          <w:lang w:val="lv-LV"/>
        </w:rPr>
        <w:t> </w:t>
      </w:r>
      <w:r w:rsidRPr="000200A3">
        <w:rPr>
          <w:lang w:val="lv-LV"/>
        </w:rPr>
        <w:t>nedēļ</w:t>
      </w:r>
      <w:r>
        <w:rPr>
          <w:lang w:val="lv-LV"/>
        </w:rPr>
        <w:t>as</w:t>
      </w:r>
      <w:r w:rsidRPr="000200A3">
        <w:rPr>
          <w:lang w:val="lv-LV"/>
        </w:rPr>
        <w:t xml:space="preserve"> 0,26 [10,702] un placebo</w:t>
      </w:r>
      <w:r>
        <w:rPr>
          <w:lang w:val="lv-LV"/>
        </w:rPr>
        <w:t> + </w:t>
      </w:r>
      <w:r w:rsidRPr="000200A3">
        <w:rPr>
          <w:lang w:val="lv-LV"/>
        </w:rPr>
        <w:t>52</w:t>
      </w:r>
      <w:r>
        <w:rPr>
          <w:lang w:val="lv-LV"/>
        </w:rPr>
        <w:t> </w:t>
      </w:r>
      <w:r w:rsidRPr="000200A3">
        <w:rPr>
          <w:lang w:val="lv-LV"/>
        </w:rPr>
        <w:t>nedēļ</w:t>
      </w:r>
      <w:r>
        <w:rPr>
          <w:lang w:val="lv-LV"/>
        </w:rPr>
        <w:t>as</w:t>
      </w:r>
      <w:r w:rsidRPr="000200A3">
        <w:rPr>
          <w:lang w:val="lv-LV"/>
        </w:rPr>
        <w:t xml:space="preserve"> </w:t>
      </w:r>
      <w:r>
        <w:rPr>
          <w:lang w:val="lv-LV"/>
        </w:rPr>
        <w:noBreakHyphen/>
      </w:r>
      <w:r w:rsidRPr="000200A3">
        <w:rPr>
          <w:lang w:val="lv-LV"/>
        </w:rPr>
        <w:t xml:space="preserve">1,63 [6,753]. </w:t>
      </w:r>
    </w:p>
    <w:p w14:paraId="2E1D2253" w14:textId="77777777" w:rsidR="00A453C3" w:rsidRPr="000200A3" w:rsidRDefault="00A453C3" w:rsidP="00A453C3">
      <w:pPr>
        <w:rPr>
          <w:lang w:val="lv-LV"/>
        </w:rPr>
      </w:pPr>
    </w:p>
    <w:p w14:paraId="2EBA8845" w14:textId="67D13DB2" w:rsidR="00A453C3" w:rsidRPr="000200A3" w:rsidRDefault="00A453C3" w:rsidP="00A453C3">
      <w:pPr>
        <w:rPr>
          <w:lang w:val="lv-LV"/>
        </w:rPr>
      </w:pPr>
      <w:r w:rsidRPr="000200A3">
        <w:rPr>
          <w:lang w:val="lv-LV"/>
        </w:rPr>
        <w:t xml:space="preserve">EQ5D </w:t>
      </w:r>
      <w:r w:rsidRPr="009A2974">
        <w:rPr>
          <w:lang w:val="lv-LV"/>
        </w:rPr>
        <w:t>novērtējuma punktu skaita izmaiņas no sākotnējā stāvokļa līdz 52.</w:t>
      </w:r>
      <w:r>
        <w:rPr>
          <w:lang w:val="lv-LV"/>
        </w:rPr>
        <w:t> </w:t>
      </w:r>
      <w:r w:rsidRPr="009A2974">
        <w:rPr>
          <w:lang w:val="lv-LV"/>
        </w:rPr>
        <w:t xml:space="preserve">nedēļai </w:t>
      </w:r>
      <w:r>
        <w:rPr>
          <w:lang w:val="lv-LV"/>
        </w:rPr>
        <w:t>tocilizumaba</w:t>
      </w:r>
      <w:r w:rsidRPr="009A2974">
        <w:rPr>
          <w:lang w:val="lv-LV"/>
        </w:rPr>
        <w:t xml:space="preserve"> vienu</w:t>
      </w:r>
      <w:r w:rsidRPr="000200A3">
        <w:rPr>
          <w:lang w:val="lv-LV"/>
        </w:rPr>
        <w:t xml:space="preserve"> reizi nedēļā kombinācijā ar 26</w:t>
      </w:r>
      <w:r>
        <w:rPr>
          <w:lang w:val="lv-LV"/>
        </w:rPr>
        <w:t> </w:t>
      </w:r>
      <w:r w:rsidRPr="000200A3">
        <w:rPr>
          <w:lang w:val="lv-LV"/>
        </w:rPr>
        <w:t xml:space="preserve">nedēļām grupā bija 0,10 [0,198], </w:t>
      </w:r>
      <w:r>
        <w:rPr>
          <w:lang w:val="lv-LV"/>
        </w:rPr>
        <w:t>tocilizumaba</w:t>
      </w:r>
      <w:r w:rsidRPr="000200A3">
        <w:rPr>
          <w:lang w:val="lv-LV"/>
        </w:rPr>
        <w:t xml:space="preserve"> katru otro nedēļu kombinācijā ar 26</w:t>
      </w:r>
      <w:r>
        <w:rPr>
          <w:lang w:val="lv-LV"/>
        </w:rPr>
        <w:t> </w:t>
      </w:r>
      <w:r w:rsidRPr="000200A3">
        <w:rPr>
          <w:lang w:val="lv-LV"/>
        </w:rPr>
        <w:t>nedēļām grupā 0,05 [0,215], placebo kombinācijā ar 26</w:t>
      </w:r>
      <w:r>
        <w:rPr>
          <w:lang w:val="lv-LV"/>
        </w:rPr>
        <w:t> </w:t>
      </w:r>
      <w:r w:rsidRPr="000200A3">
        <w:rPr>
          <w:lang w:val="lv-LV"/>
        </w:rPr>
        <w:t>nedēļām grupā 0,07 [0,293], bet placebo kombinācijā ar 52</w:t>
      </w:r>
      <w:r>
        <w:rPr>
          <w:lang w:val="lv-LV"/>
        </w:rPr>
        <w:t> </w:t>
      </w:r>
      <w:r w:rsidRPr="000200A3">
        <w:rPr>
          <w:lang w:val="lv-LV"/>
        </w:rPr>
        <w:t>nedēļām grupā 0,02 [0,159].</w:t>
      </w:r>
    </w:p>
    <w:p w14:paraId="450A88CC" w14:textId="77777777" w:rsidR="00A453C3" w:rsidRPr="000200A3" w:rsidRDefault="00A453C3" w:rsidP="00A453C3">
      <w:pPr>
        <w:rPr>
          <w:lang w:val="lv-LV"/>
        </w:rPr>
      </w:pPr>
    </w:p>
    <w:p w14:paraId="402EC9C2" w14:textId="282DC101" w:rsidR="00A453C3" w:rsidRPr="00732183" w:rsidRDefault="00A453C3" w:rsidP="00A453C3">
      <w:pPr>
        <w:rPr>
          <w:lang w:val="lv-LV"/>
        </w:rPr>
      </w:pPr>
      <w:r w:rsidRPr="00732183">
        <w:rPr>
          <w:lang w:val="lv-LV"/>
        </w:rPr>
        <w:t>Augstāki FACIT noguruma un EQ5D novērtējuma punkti norāda uz uzlabošanos.</w:t>
      </w:r>
    </w:p>
    <w:bookmarkEnd w:id="647"/>
    <w:p w14:paraId="5DFEF489" w14:textId="77777777" w:rsidR="00A453C3" w:rsidRPr="00CB0477" w:rsidRDefault="00A453C3" w:rsidP="00A453C3">
      <w:pPr>
        <w:rPr>
          <w:szCs w:val="22"/>
          <w:lang w:val="lv-LV"/>
        </w:rPr>
      </w:pPr>
    </w:p>
    <w:p w14:paraId="18F81C8A" w14:textId="77777777" w:rsidR="00A453C3" w:rsidRDefault="00A453C3" w:rsidP="00A453C3">
      <w:pPr>
        <w:keepNext/>
        <w:rPr>
          <w:rFonts w:eastAsia="MS Mincho"/>
          <w:u w:val="single"/>
          <w:lang w:val="lv-LV"/>
        </w:rPr>
      </w:pPr>
      <w:r>
        <w:rPr>
          <w:rFonts w:eastAsia="MS Mincho"/>
          <w:u w:val="single"/>
          <w:lang w:val="lv-LV"/>
        </w:rPr>
        <w:t>Intravenoza lietošana</w:t>
      </w:r>
    </w:p>
    <w:p w14:paraId="016B9BC6" w14:textId="77777777" w:rsidR="00A453C3" w:rsidRPr="00707120" w:rsidRDefault="00A453C3" w:rsidP="00A453C3">
      <w:pPr>
        <w:keepNext/>
        <w:numPr>
          <w:ilvl w:val="12"/>
          <w:numId w:val="0"/>
        </w:numPr>
        <w:ind w:right="-2"/>
        <w:rPr>
          <w:bCs/>
          <w:i/>
          <w:iCs/>
          <w:szCs w:val="22"/>
          <w:lang w:val="lv-LV"/>
        </w:rPr>
      </w:pPr>
      <w:r w:rsidRPr="00707120">
        <w:rPr>
          <w:bCs/>
          <w:i/>
          <w:iCs/>
          <w:szCs w:val="22"/>
          <w:lang w:val="lv-LV"/>
        </w:rPr>
        <w:t>Pacienti ar RA</w:t>
      </w:r>
    </w:p>
    <w:p w14:paraId="2312A405" w14:textId="77777777" w:rsidR="00903A29" w:rsidRDefault="00903A29" w:rsidP="00A453C3">
      <w:pPr>
        <w:keepNext/>
        <w:rPr>
          <w:ins w:id="649" w:author="Author"/>
          <w:rFonts w:eastAsia="MS Mincho"/>
          <w:i/>
          <w:iCs/>
          <w:u w:val="single"/>
          <w:lang w:val="lv-LV"/>
        </w:rPr>
      </w:pPr>
    </w:p>
    <w:p w14:paraId="1843B2E7" w14:textId="64441626" w:rsidR="00A453C3" w:rsidRPr="002007A3" w:rsidRDefault="00A453C3" w:rsidP="00A453C3">
      <w:pPr>
        <w:keepNext/>
        <w:rPr>
          <w:i/>
          <w:iCs/>
          <w:szCs w:val="22"/>
          <w:u w:val="single"/>
          <w:lang w:val="lv-LV"/>
          <w:rPrChange w:id="650" w:author="Author">
            <w:rPr>
              <w:i/>
              <w:iCs/>
              <w:szCs w:val="22"/>
              <w:lang w:val="lv-LV"/>
            </w:rPr>
          </w:rPrChange>
        </w:rPr>
      </w:pPr>
      <w:r w:rsidRPr="002007A3">
        <w:rPr>
          <w:rFonts w:eastAsia="MS Mincho"/>
          <w:i/>
          <w:iCs/>
          <w:u w:val="single"/>
          <w:lang w:val="lv-LV"/>
          <w:rPrChange w:id="651" w:author="Author">
            <w:rPr>
              <w:rFonts w:eastAsia="MS Mincho"/>
              <w:i/>
              <w:iCs/>
              <w:lang w:val="lv-LV"/>
            </w:rPr>
          </w:rPrChange>
        </w:rPr>
        <w:t xml:space="preserve">Klīniskā efektivitāte </w:t>
      </w:r>
    </w:p>
    <w:p w14:paraId="783315B1" w14:textId="2047C57C" w:rsidR="00A453C3" w:rsidRDefault="00A453C3" w:rsidP="00A453C3">
      <w:pPr>
        <w:rPr>
          <w:rFonts w:eastAsia="MS Mincho"/>
          <w:szCs w:val="22"/>
          <w:lang w:val="lv-LV"/>
        </w:rPr>
      </w:pPr>
      <w:bookmarkStart w:id="652" w:name="_Hlk174612407"/>
      <w:r>
        <w:rPr>
          <w:szCs w:val="22"/>
          <w:lang w:val="lv-LV"/>
        </w:rPr>
        <w:t>Tocilizumaba</w:t>
      </w:r>
      <w:r w:rsidRPr="002607ED">
        <w:rPr>
          <w:szCs w:val="22"/>
          <w:lang w:val="lv-LV"/>
        </w:rPr>
        <w:t xml:space="preserve"> </w:t>
      </w:r>
      <w:r>
        <w:rPr>
          <w:szCs w:val="22"/>
          <w:lang w:val="lv-LV"/>
        </w:rPr>
        <w:t>efektivitāti RA pazīmju un simptomu mazināšanā vērtēja piecos randomizētos, dubultmaskētos, daudzcentru pētījumos. I</w:t>
      </w:r>
      <w:r>
        <w:rPr>
          <w:szCs w:val="22"/>
          <w:lang w:val="lv-LV"/>
        </w:rPr>
        <w:noBreakHyphen/>
        <w:t xml:space="preserve">V pētījumā iekļāva </w:t>
      </w:r>
      <w:r>
        <w:rPr>
          <w:rFonts w:eastAsia="MS Mincho"/>
          <w:szCs w:val="22"/>
          <w:lang w:val="lv-LV"/>
        </w:rPr>
        <w:t xml:space="preserve">≥ 18 gadus vecus pacientus ar aktīvu </w:t>
      </w:r>
      <w:r>
        <w:rPr>
          <w:szCs w:val="22"/>
          <w:lang w:val="lv-LV"/>
        </w:rPr>
        <w:t>RA</w:t>
      </w:r>
      <w:r>
        <w:rPr>
          <w:rFonts w:eastAsia="MS Mincho"/>
          <w:szCs w:val="22"/>
          <w:lang w:val="lv-LV"/>
        </w:rPr>
        <w:t>, kuriem diagnoze noteikta atbilstoši Amerikas Reimatoloģijas kolēģijas (ACR) kritērijiem un kuriem pētījuma sākumā bija vismaz astoņas jutīgas un sešas pietūkušas locītavas.</w:t>
      </w:r>
    </w:p>
    <w:p w14:paraId="5AD42178" w14:textId="77777777" w:rsidR="00A453C3" w:rsidRDefault="00A453C3" w:rsidP="00A453C3">
      <w:pPr>
        <w:rPr>
          <w:rFonts w:eastAsia="MS Mincho"/>
          <w:szCs w:val="22"/>
          <w:lang w:val="lv-LV"/>
        </w:rPr>
      </w:pPr>
    </w:p>
    <w:p w14:paraId="1714EC10" w14:textId="2663FDC1" w:rsidR="00A453C3" w:rsidRDefault="00A453C3" w:rsidP="00A453C3">
      <w:pPr>
        <w:rPr>
          <w:rFonts w:eastAsia="MS Mincho"/>
          <w:szCs w:val="22"/>
          <w:lang w:val="lv-LV"/>
        </w:rPr>
      </w:pPr>
      <w:r>
        <w:rPr>
          <w:szCs w:val="22"/>
          <w:lang w:val="lv-LV"/>
        </w:rPr>
        <w:t>I pētījumā tocilizumabu</w:t>
      </w:r>
      <w:r w:rsidDel="001D4271">
        <w:rPr>
          <w:szCs w:val="22"/>
          <w:lang w:val="lv-LV"/>
        </w:rPr>
        <w:t xml:space="preserve"> </w:t>
      </w:r>
      <w:r>
        <w:rPr>
          <w:szCs w:val="22"/>
          <w:lang w:val="lv-LV"/>
        </w:rPr>
        <w:t>ievadīja intravenozi ik pēc četrām nedēļām monoterapijas veidā. II, III un V pētījumā tocilizumabu</w:t>
      </w:r>
      <w:r w:rsidDel="001D4271">
        <w:rPr>
          <w:szCs w:val="22"/>
          <w:lang w:val="lv-LV"/>
        </w:rPr>
        <w:t xml:space="preserve"> </w:t>
      </w:r>
      <w:r>
        <w:rPr>
          <w:szCs w:val="22"/>
          <w:lang w:val="lv-LV"/>
        </w:rPr>
        <w:t>ievadīja intravenozi ik pēc četrām nedēļām kombinācijā ar MTX salīdzinājumā ar placebo un MTX. IV pētījumā tocilizumabu</w:t>
      </w:r>
      <w:r w:rsidDel="001D4271">
        <w:rPr>
          <w:szCs w:val="22"/>
          <w:lang w:val="lv-LV"/>
        </w:rPr>
        <w:t xml:space="preserve"> </w:t>
      </w:r>
      <w:r>
        <w:rPr>
          <w:szCs w:val="22"/>
          <w:lang w:val="lv-LV"/>
        </w:rPr>
        <w:t>ievadīja intravenozi ik pēc 4 nedēļām kombinācijā ar citiem DMARD salīdzinājumā ar placebo un citiem DMARD. Primārais mērķa kritērijs visiem pieciem pētījumiem bija pacientu īpatsvars, kas sasniedza ACR 20 atbildes reakciju 24. nedēļā.</w:t>
      </w:r>
    </w:p>
    <w:p w14:paraId="18B0D1C5" w14:textId="77777777" w:rsidR="00A453C3" w:rsidRDefault="00A453C3" w:rsidP="00A453C3">
      <w:pPr>
        <w:rPr>
          <w:rFonts w:eastAsia="MS Mincho"/>
          <w:szCs w:val="22"/>
          <w:lang w:val="lv-LV"/>
        </w:rPr>
      </w:pPr>
    </w:p>
    <w:p w14:paraId="526C2FA2" w14:textId="4E130A11" w:rsidR="00A453C3" w:rsidRDefault="00A453C3" w:rsidP="00A453C3">
      <w:pPr>
        <w:rPr>
          <w:rFonts w:eastAsia="MS Mincho"/>
          <w:szCs w:val="22"/>
          <w:lang w:val="lv-LV"/>
        </w:rPr>
      </w:pPr>
      <w:r>
        <w:rPr>
          <w:rFonts w:eastAsia="MS Mincho"/>
          <w:szCs w:val="22"/>
          <w:lang w:val="lv-LV"/>
        </w:rPr>
        <w:t xml:space="preserve">I pētījumā novērtēja 673 pacientus, kuri nebija ārstēti ar MTX sešus mēnešus pirms randomizācijas un kuriem nebija pārtraukta iepriekšēja MTX terapija klīniski nozīmīgas toksiskas iedarbības vai atbildes reakcijas trūkuma dēļ. Lielākā daļa pacientu (67%) iepriekš ar MTX nebija ārstēti. </w:t>
      </w:r>
      <w:r>
        <w:rPr>
          <w:szCs w:val="22"/>
          <w:lang w:val="lv-LV"/>
        </w:rPr>
        <w:t>Ik pēc četrām nedēļām monoterapijas veidā</w:t>
      </w:r>
      <w:r>
        <w:rPr>
          <w:rFonts w:eastAsia="MS Mincho"/>
          <w:szCs w:val="22"/>
          <w:lang w:val="lv-LV"/>
        </w:rPr>
        <w:t xml:space="preserve"> </w:t>
      </w:r>
      <w:r>
        <w:rPr>
          <w:szCs w:val="22"/>
          <w:lang w:val="lv-LV"/>
        </w:rPr>
        <w:t>lietoja tocilizumaba</w:t>
      </w:r>
      <w:r w:rsidDel="001D4271">
        <w:rPr>
          <w:szCs w:val="22"/>
          <w:lang w:val="lv-LV"/>
        </w:rPr>
        <w:t xml:space="preserve"> </w:t>
      </w:r>
      <w:r>
        <w:rPr>
          <w:rFonts w:eastAsia="MS Mincho"/>
          <w:szCs w:val="22"/>
          <w:lang w:val="lv-LV"/>
        </w:rPr>
        <w:t>8 mg/kg devu</w:t>
      </w:r>
      <w:r>
        <w:rPr>
          <w:szCs w:val="22"/>
          <w:lang w:val="lv-LV"/>
        </w:rPr>
        <w:t>. Salīdzinošajā grupā lietoja MTX reizi nedēļā (deva titrēta no 7,5 mg līdz maksimāli 20 mg nedēļā astoņu nedēļu laikā)</w:t>
      </w:r>
      <w:r>
        <w:rPr>
          <w:rFonts w:eastAsia="MS Mincho"/>
          <w:szCs w:val="22"/>
          <w:lang w:val="lv-LV"/>
        </w:rPr>
        <w:t xml:space="preserve">. </w:t>
      </w:r>
    </w:p>
    <w:p w14:paraId="1B6C351E" w14:textId="77777777" w:rsidR="00A453C3" w:rsidRDefault="00A453C3" w:rsidP="00A453C3">
      <w:pPr>
        <w:rPr>
          <w:rFonts w:eastAsia="MS Mincho"/>
          <w:szCs w:val="22"/>
          <w:lang w:val="lv-LV"/>
        </w:rPr>
      </w:pPr>
    </w:p>
    <w:p w14:paraId="213E7C85" w14:textId="2C160138" w:rsidR="00A453C3" w:rsidRDefault="00A453C3" w:rsidP="00A453C3">
      <w:pPr>
        <w:rPr>
          <w:rFonts w:eastAsia="MS Mincho"/>
          <w:szCs w:val="22"/>
          <w:lang w:val="lv-LV"/>
        </w:rPr>
      </w:pPr>
      <w:r>
        <w:rPr>
          <w:szCs w:val="22"/>
          <w:lang w:val="lv-LV"/>
        </w:rPr>
        <w:t>II pētījumā, divus gadus ilgā pētījumā ar plānotām analīzēm 24., 52. un 104. nedēļā, novērtēja 1196 pacientus, kuriem bija nepietiekama klīniskā atbildes reakcija uz MTX. Tocilizumaba</w:t>
      </w:r>
      <w:r w:rsidDel="001D4271">
        <w:rPr>
          <w:szCs w:val="22"/>
          <w:lang w:val="lv-LV"/>
        </w:rPr>
        <w:t xml:space="preserve"> </w:t>
      </w:r>
      <w:r>
        <w:rPr>
          <w:szCs w:val="22"/>
          <w:lang w:val="lv-LV"/>
        </w:rPr>
        <w:t>4 vai 8 mg/kg devas vai placebo ievadīja ik pēc četrām nedēļām maskētas terapijas veidā 52 nedēļas kombinācijā ar stabilu MTX devu (10 mg līdz 25 mg nedēļā). Pēc 52. nedēļas visi pacienti varēja saņemt nemaskētu ārstēšanu ar tocilizumaba 8 mg/kg devām. 86% pacientu, kuri pabeidza pētījumu un sākotnēji bija randomizēti placebo un MTX saņemšanai, 2. gadā nemaskēti saņēma tocilizumaba 8 mg/kg devas.</w:t>
      </w:r>
      <w:r>
        <w:rPr>
          <w:lang w:val="lv-LV"/>
        </w:rPr>
        <w:t xml:space="preserve"> </w:t>
      </w:r>
      <w:r>
        <w:rPr>
          <w:szCs w:val="22"/>
          <w:lang w:val="lv-LV"/>
        </w:rPr>
        <w:t>Primārais mērķa kritērijs 24.</w:t>
      </w:r>
      <w:r w:rsidR="007F7850">
        <w:rPr>
          <w:szCs w:val="22"/>
          <w:lang w:val="lv-LV"/>
        </w:rPr>
        <w:t> </w:t>
      </w:r>
      <w:r>
        <w:rPr>
          <w:szCs w:val="22"/>
          <w:lang w:val="lv-LV"/>
        </w:rPr>
        <w:t>nedēļā bija pacientu daļa, kas sasniedza ACR 20 atbildi. 52. un 104. nedēļā papildus vērtētie primārie mērķa kritēriji bija locītavu bojājuma novēršana un fiziskās funkcijas uzlabošanās.</w:t>
      </w:r>
      <w:r>
        <w:rPr>
          <w:rFonts w:eastAsia="MS Mincho"/>
          <w:szCs w:val="22"/>
          <w:lang w:val="lv-LV"/>
        </w:rPr>
        <w:t xml:space="preserve"> </w:t>
      </w:r>
    </w:p>
    <w:p w14:paraId="753BABC4" w14:textId="77777777" w:rsidR="00A453C3" w:rsidRDefault="00A453C3" w:rsidP="00A453C3">
      <w:pPr>
        <w:autoSpaceDE w:val="0"/>
        <w:rPr>
          <w:rFonts w:eastAsia="MS Mincho"/>
          <w:szCs w:val="22"/>
          <w:lang w:val="lv-LV"/>
        </w:rPr>
      </w:pPr>
    </w:p>
    <w:p w14:paraId="0D3979EA" w14:textId="32866DFB" w:rsidR="00A453C3" w:rsidRDefault="00A453C3" w:rsidP="00A453C3">
      <w:pPr>
        <w:rPr>
          <w:rFonts w:eastAsia="MS Mincho"/>
          <w:szCs w:val="22"/>
          <w:lang w:val="lv-LV"/>
        </w:rPr>
      </w:pPr>
      <w:r>
        <w:rPr>
          <w:rFonts w:eastAsia="MS Mincho"/>
          <w:szCs w:val="22"/>
          <w:lang w:val="lv-LV"/>
        </w:rPr>
        <w:t xml:space="preserve">III pētījumā vērtēja 623 pacientus, kuriem bija nepietiekama klīniskā atbildes reakcija uz MTX. </w:t>
      </w:r>
      <w:r>
        <w:rPr>
          <w:szCs w:val="22"/>
          <w:lang w:val="lv-LV"/>
        </w:rPr>
        <w:t>Tocilizumaba</w:t>
      </w:r>
      <w:r w:rsidDel="001D4271">
        <w:rPr>
          <w:szCs w:val="22"/>
          <w:lang w:val="lv-LV"/>
        </w:rPr>
        <w:t xml:space="preserve"> </w:t>
      </w:r>
      <w:r>
        <w:rPr>
          <w:szCs w:val="22"/>
          <w:lang w:val="lv-LV"/>
        </w:rPr>
        <w:t>4 vai 8 mg/kg devas vai placebo ievadīja ik pēc četrām nedēļām kombinācijā ar stabilu MTX devu (10 mg līdz 25 mg nedēļā).</w:t>
      </w:r>
    </w:p>
    <w:p w14:paraId="7106B549" w14:textId="77777777" w:rsidR="00A453C3" w:rsidRDefault="00A453C3" w:rsidP="00A453C3">
      <w:pPr>
        <w:rPr>
          <w:rFonts w:eastAsia="MS Mincho"/>
          <w:szCs w:val="22"/>
          <w:lang w:val="lv-LV"/>
        </w:rPr>
      </w:pPr>
    </w:p>
    <w:p w14:paraId="2965A2F6" w14:textId="466841A1" w:rsidR="00A453C3" w:rsidRDefault="00A453C3" w:rsidP="00A453C3">
      <w:pPr>
        <w:rPr>
          <w:rFonts w:eastAsia="MS Mincho"/>
          <w:szCs w:val="22"/>
          <w:lang w:val="lv-LV"/>
        </w:rPr>
      </w:pPr>
      <w:r>
        <w:rPr>
          <w:rFonts w:eastAsia="MS Mincho"/>
          <w:szCs w:val="22"/>
          <w:lang w:val="lv-LV"/>
        </w:rPr>
        <w:t xml:space="preserve">IV pētījumā vērtēja 1220 pacientus, kuriem bija nepietiekama atbildes reakcija uz lietoto reimatoloģisko terapiju, tajā skaitā vienu vai vairākiem </w:t>
      </w:r>
      <w:r>
        <w:rPr>
          <w:szCs w:val="22"/>
          <w:lang w:val="lv-LV"/>
        </w:rPr>
        <w:t>DMARD. Tocilizumaba</w:t>
      </w:r>
      <w:r w:rsidDel="001D4271">
        <w:rPr>
          <w:szCs w:val="22"/>
          <w:lang w:val="lv-LV"/>
        </w:rPr>
        <w:t xml:space="preserve"> </w:t>
      </w:r>
      <w:r>
        <w:rPr>
          <w:szCs w:val="22"/>
          <w:lang w:val="lv-LV"/>
        </w:rPr>
        <w:t>8 mg/kg devu vai placebo ievadīja ik pēc četrām nedēļām kombinācijā ar stabilām DMARD devām</w:t>
      </w:r>
      <w:r>
        <w:rPr>
          <w:rFonts w:eastAsia="MS Mincho"/>
          <w:szCs w:val="22"/>
          <w:lang w:val="lv-LV"/>
        </w:rPr>
        <w:t xml:space="preserve">. </w:t>
      </w:r>
    </w:p>
    <w:p w14:paraId="3B299182" w14:textId="77777777" w:rsidR="00A453C3" w:rsidRDefault="00A453C3" w:rsidP="00A453C3">
      <w:pPr>
        <w:rPr>
          <w:rFonts w:eastAsia="MS Mincho"/>
          <w:szCs w:val="22"/>
          <w:lang w:val="lv-LV"/>
        </w:rPr>
      </w:pPr>
    </w:p>
    <w:p w14:paraId="44BFEF69" w14:textId="58798705" w:rsidR="00A453C3" w:rsidRDefault="00A453C3" w:rsidP="00A453C3">
      <w:pPr>
        <w:rPr>
          <w:rFonts w:eastAsia="MS Mincho"/>
          <w:szCs w:val="22"/>
          <w:lang w:val="lv-LV"/>
        </w:rPr>
      </w:pPr>
      <w:r>
        <w:rPr>
          <w:rFonts w:eastAsia="MS Mincho"/>
          <w:szCs w:val="22"/>
          <w:lang w:val="lv-LV"/>
        </w:rPr>
        <w:t xml:space="preserve">V pētījumā novērtēja 499 pacientus, kuriem bija nepietiekama klīniskā atbildes reakcija uz vienu vai vairākiem TNF antagonistu terapijas līdzekļiem vai to nepanesamība. TNF antagonistu lietošanu pārtrauca pirms randomizācijas. </w:t>
      </w:r>
      <w:r>
        <w:rPr>
          <w:szCs w:val="22"/>
          <w:lang w:val="lv-LV"/>
        </w:rPr>
        <w:t>Tocilizumaba</w:t>
      </w:r>
      <w:r w:rsidRPr="002607ED">
        <w:rPr>
          <w:szCs w:val="22"/>
          <w:lang w:val="lv-LV"/>
        </w:rPr>
        <w:t xml:space="preserve"> </w:t>
      </w:r>
      <w:r>
        <w:rPr>
          <w:szCs w:val="22"/>
          <w:lang w:val="lv-LV"/>
        </w:rPr>
        <w:t>4 vai 8 mg/kg devas vai placebo ievadīja ik pēc četrām nedēļām kombinācijā ar stabilu MTX devu (10 mg līdz 25 mg nedēļā).</w:t>
      </w:r>
    </w:p>
    <w:bookmarkEnd w:id="652"/>
    <w:p w14:paraId="1250580E" w14:textId="77777777" w:rsidR="00A453C3" w:rsidRDefault="00A453C3" w:rsidP="00A453C3">
      <w:pPr>
        <w:rPr>
          <w:rFonts w:eastAsia="MS Mincho"/>
          <w:szCs w:val="22"/>
          <w:lang w:val="lv-LV"/>
        </w:rPr>
      </w:pPr>
    </w:p>
    <w:p w14:paraId="2F4EBA73" w14:textId="77777777" w:rsidR="00A453C3" w:rsidRPr="00707120" w:rsidRDefault="00A453C3">
      <w:pPr>
        <w:keepNext/>
        <w:rPr>
          <w:rFonts w:eastAsia="MS Mincho"/>
          <w:i/>
          <w:szCs w:val="22"/>
          <w:u w:val="single"/>
          <w:lang w:val="lv-LV"/>
        </w:rPr>
        <w:pPrChange w:id="653" w:author="Author">
          <w:pPr/>
        </w:pPrChange>
      </w:pPr>
      <w:r w:rsidRPr="00707120">
        <w:rPr>
          <w:rFonts w:eastAsia="MS Mincho"/>
          <w:i/>
          <w:szCs w:val="22"/>
          <w:u w:val="single"/>
          <w:lang w:val="lv-LV"/>
        </w:rPr>
        <w:t>Klīniskā atbildes reakcija</w:t>
      </w:r>
    </w:p>
    <w:p w14:paraId="7A538B71" w14:textId="6BA5F21C" w:rsidR="00A453C3" w:rsidRDefault="00A453C3" w:rsidP="00A453C3">
      <w:pPr>
        <w:rPr>
          <w:rFonts w:eastAsia="MS Mincho"/>
          <w:szCs w:val="22"/>
          <w:lang w:val="lv-LV"/>
        </w:rPr>
      </w:pPr>
      <w:bookmarkStart w:id="654" w:name="_Hlk174612426"/>
      <w:r>
        <w:rPr>
          <w:rFonts w:eastAsia="MS Mincho"/>
          <w:szCs w:val="22"/>
          <w:lang w:val="lv-LV"/>
        </w:rPr>
        <w:t xml:space="preserve">Visos pētījumos ar tocilizumaba </w:t>
      </w:r>
      <w:r>
        <w:rPr>
          <w:szCs w:val="22"/>
          <w:lang w:val="lv-LV"/>
        </w:rPr>
        <w:t>8 mg/kg devām ārstētiem pacientiem bija statistiski nozīmīgi lielāka ACR 20, 50, 70 atbildes reakcijas sastopamība pēc 6 mēnešiem salīdzinājumā ar kontroles grupu (5. tabula). I pētījumā pierādīja tocilizumaba</w:t>
      </w:r>
      <w:r w:rsidDel="001D4271">
        <w:rPr>
          <w:szCs w:val="22"/>
          <w:lang w:val="lv-LV"/>
        </w:rPr>
        <w:t xml:space="preserve"> </w:t>
      </w:r>
      <w:r>
        <w:rPr>
          <w:szCs w:val="22"/>
          <w:lang w:val="lv-LV"/>
        </w:rPr>
        <w:t xml:space="preserve">8 mg/kg devas </w:t>
      </w:r>
      <w:r>
        <w:rPr>
          <w:rFonts w:eastAsia="MS Mincho"/>
          <w:szCs w:val="22"/>
          <w:lang w:val="lv-LV"/>
        </w:rPr>
        <w:t>pārākumu pār aktīvo salīdzināmo līdzekli MTX.</w:t>
      </w:r>
    </w:p>
    <w:p w14:paraId="72195AB2" w14:textId="77777777" w:rsidR="00A453C3" w:rsidRDefault="00A453C3" w:rsidP="00A453C3">
      <w:pPr>
        <w:rPr>
          <w:rFonts w:eastAsia="MS Mincho"/>
          <w:szCs w:val="22"/>
          <w:lang w:val="lv-LV"/>
        </w:rPr>
      </w:pPr>
    </w:p>
    <w:p w14:paraId="51B94730" w14:textId="72534D0A" w:rsidR="00A453C3" w:rsidRDefault="00A453C3" w:rsidP="00A453C3">
      <w:pPr>
        <w:rPr>
          <w:rFonts w:eastAsia="MS Mincho"/>
          <w:szCs w:val="22"/>
          <w:lang w:val="lv-LV"/>
        </w:rPr>
      </w:pPr>
      <w:r>
        <w:rPr>
          <w:rFonts w:eastAsia="MS Mincho"/>
          <w:szCs w:val="22"/>
          <w:lang w:val="lv-LV"/>
        </w:rPr>
        <w:t>Ārstēšanas ietekme pacientiem bija līdzīga, neatkarīgi no reimatoīdā faktora statusa, vecuma, dzimuma, rases, iepriekš lietoto ārstēšanas līdzekļu skaita vai slimības stāvokļa. Laiks līdz iedarbības sākumam bija neliels (tā sākās jau 2. nedēļā), un atbildes reakcijas apjoms turpināja palielināties līdz ar ārstēšanas ilgumu. Nepārtrauktu ilgstošu atbildes reakciju novēroja vairāk nekā 3 gadus</w:t>
      </w:r>
      <w:r w:rsidR="00DD134D">
        <w:rPr>
          <w:rFonts w:eastAsia="MS Mincho"/>
          <w:szCs w:val="22"/>
          <w:lang w:val="lv-LV"/>
        </w:rPr>
        <w:t xml:space="preserve"> ilgos</w:t>
      </w:r>
      <w:r>
        <w:rPr>
          <w:rFonts w:eastAsia="MS Mincho"/>
          <w:szCs w:val="22"/>
          <w:lang w:val="lv-LV"/>
        </w:rPr>
        <w:t xml:space="preserve"> atklātos I</w:t>
      </w:r>
      <w:r>
        <w:rPr>
          <w:rFonts w:eastAsia="MS Mincho"/>
          <w:szCs w:val="22"/>
          <w:lang w:val="lv-LV"/>
        </w:rPr>
        <w:noBreakHyphen/>
        <w:t>V pētījuma pagarinājumos.</w:t>
      </w:r>
    </w:p>
    <w:p w14:paraId="4BECE543" w14:textId="77777777" w:rsidR="00A453C3" w:rsidRDefault="00A453C3" w:rsidP="00A453C3">
      <w:pPr>
        <w:rPr>
          <w:rFonts w:eastAsia="MS Mincho"/>
          <w:szCs w:val="22"/>
          <w:lang w:val="lv-LV"/>
        </w:rPr>
      </w:pPr>
    </w:p>
    <w:p w14:paraId="5A241999" w14:textId="10127FA2" w:rsidR="00A453C3" w:rsidRDefault="00A453C3" w:rsidP="00A453C3">
      <w:pPr>
        <w:rPr>
          <w:rFonts w:eastAsia="MS Mincho"/>
          <w:szCs w:val="22"/>
          <w:lang w:val="lv-LV"/>
        </w:rPr>
      </w:pPr>
      <w:r>
        <w:rPr>
          <w:rFonts w:eastAsia="MS Mincho"/>
          <w:szCs w:val="22"/>
          <w:lang w:val="lv-LV"/>
        </w:rPr>
        <w:t xml:space="preserve">Ar </w:t>
      </w:r>
      <w:r>
        <w:rPr>
          <w:szCs w:val="22"/>
          <w:lang w:val="lv-LV"/>
        </w:rPr>
        <w:t>tocilizumaba</w:t>
      </w:r>
      <w:r w:rsidDel="001D4271">
        <w:rPr>
          <w:szCs w:val="22"/>
          <w:lang w:val="lv-LV"/>
        </w:rPr>
        <w:t xml:space="preserve"> </w:t>
      </w:r>
      <w:r>
        <w:rPr>
          <w:szCs w:val="22"/>
          <w:lang w:val="lv-LV"/>
        </w:rPr>
        <w:t>8 mg/kg devu ārstētiem pacientiem konstatēja nozīmīgu visu atsevišķo ACR atbildes reakcijas komponentu uzlabošanos, kas ietver jutīgo un pietūkušo locītavu skaitu; pacienta un ārsta vispārējo slimības novērtējumu; invaliditātes indeksa punktu skaitu; sāpju novērtēšanu un CRO salīdzinājumā ar pacientiem, kuri saņem placebo un MTX vai citus DMARD visos pētījumos.</w:t>
      </w:r>
    </w:p>
    <w:p w14:paraId="35F6EFC1" w14:textId="77777777" w:rsidR="00A453C3" w:rsidRDefault="00A453C3" w:rsidP="00A453C3">
      <w:pPr>
        <w:rPr>
          <w:rFonts w:eastAsia="MS Mincho"/>
          <w:szCs w:val="22"/>
          <w:lang w:val="lv-LV"/>
        </w:rPr>
      </w:pPr>
    </w:p>
    <w:p w14:paraId="5D588B8A" w14:textId="0835253C" w:rsidR="00A453C3" w:rsidRDefault="00A453C3" w:rsidP="00A453C3">
      <w:pPr>
        <w:rPr>
          <w:rFonts w:eastAsia="MS Mincho"/>
          <w:szCs w:val="22"/>
          <w:lang w:val="lv-LV"/>
        </w:rPr>
      </w:pPr>
      <w:r>
        <w:rPr>
          <w:rFonts w:eastAsia="MS Mincho"/>
          <w:szCs w:val="22"/>
          <w:lang w:val="lv-LV"/>
        </w:rPr>
        <w:t>I</w:t>
      </w:r>
      <w:r>
        <w:rPr>
          <w:rFonts w:eastAsia="MS Mincho"/>
          <w:szCs w:val="22"/>
          <w:lang w:val="lv-LV"/>
        </w:rPr>
        <w:noBreakHyphen/>
        <w:t>V pētījumā iekļautajiem pacientiem pirms terapijas sākuma vidējais slimības aktivitātes vērtējuma punktu skaits (pēc DAS28 metodes) bija 6,5</w:t>
      </w:r>
      <w:r>
        <w:rPr>
          <w:rFonts w:eastAsia="MS Mincho"/>
          <w:szCs w:val="22"/>
          <w:lang w:val="lv-LV"/>
        </w:rPr>
        <w:noBreakHyphen/>
        <w:t>6,8 salīdzinājumā ar kontroles grupas pacientiem (1,3</w:t>
      </w:r>
      <w:r>
        <w:rPr>
          <w:rFonts w:eastAsia="MS Mincho"/>
          <w:szCs w:val="22"/>
          <w:lang w:val="lv-LV"/>
        </w:rPr>
        <w:noBreakHyphen/>
        <w:t>2,1). Ar tocilizumabu ārstētajiem pacientiem novēroja nozīmīgu pēc DAS28 veiktā vērtējuma punktu skaita samazinājumu (par 3,1</w:t>
      </w:r>
      <w:r>
        <w:rPr>
          <w:rFonts w:eastAsia="MS Mincho"/>
          <w:szCs w:val="22"/>
          <w:lang w:val="lv-LV"/>
        </w:rPr>
        <w:noBreakHyphen/>
        <w:t xml:space="preserve">3,4) salīdzinājumā ar stāvokli pirms terapijas sākuma. Pacientu īpatsvars, kas, vērtējot pēc DAS28, pēc 24 nedēļām sasniedza klīnisku remisiju (pēc DAS28 iegūto punktu skaits &lt; 2,6), bija ievērojami lielāks pacientiem, kuri saņēma </w:t>
      </w:r>
      <w:r>
        <w:rPr>
          <w:szCs w:val="22"/>
          <w:lang w:val="lv-LV"/>
        </w:rPr>
        <w:t>tocilizumabu</w:t>
      </w:r>
      <w:r w:rsidRPr="002607ED">
        <w:rPr>
          <w:szCs w:val="22"/>
          <w:lang w:val="lv-LV"/>
        </w:rPr>
        <w:t xml:space="preserve"> </w:t>
      </w:r>
      <w:r>
        <w:rPr>
          <w:rFonts w:eastAsia="MS Mincho"/>
          <w:szCs w:val="22"/>
          <w:lang w:val="lv-LV"/>
        </w:rPr>
        <w:t>(28</w:t>
      </w:r>
      <w:r>
        <w:rPr>
          <w:rFonts w:eastAsia="MS Mincho"/>
          <w:szCs w:val="22"/>
          <w:lang w:val="lv-LV"/>
        </w:rPr>
        <w:noBreakHyphen/>
        <w:t>34%), nekā kontroles pacientu grupā (1</w:t>
      </w:r>
      <w:r>
        <w:rPr>
          <w:rFonts w:eastAsia="MS Mincho"/>
          <w:szCs w:val="22"/>
          <w:lang w:val="lv-LV"/>
        </w:rPr>
        <w:noBreakHyphen/>
        <w:t xml:space="preserve">12% pacientu). II pētījumā pēc 104 nedēļām DAS28 &lt; 2,6 sasniedza 65% pacientu, salīdzinot ar 48% pacientu pēc 52 nedēļām un 33% pacientu pēc 24 nedēļām. </w:t>
      </w:r>
    </w:p>
    <w:p w14:paraId="28EE1177" w14:textId="77777777" w:rsidR="00A453C3" w:rsidRDefault="00A453C3" w:rsidP="00A453C3">
      <w:pPr>
        <w:rPr>
          <w:rFonts w:eastAsia="MS Mincho"/>
          <w:szCs w:val="22"/>
          <w:lang w:val="lv-LV"/>
        </w:rPr>
      </w:pPr>
    </w:p>
    <w:p w14:paraId="5020BE06" w14:textId="09739FBB" w:rsidR="00A453C3" w:rsidRDefault="00A453C3" w:rsidP="00A453C3">
      <w:pPr>
        <w:rPr>
          <w:rFonts w:eastAsia="MS Mincho"/>
          <w:szCs w:val="22"/>
          <w:lang w:val="lv-LV"/>
        </w:rPr>
      </w:pPr>
      <w:r>
        <w:rPr>
          <w:rFonts w:eastAsia="MS Mincho"/>
          <w:szCs w:val="22"/>
          <w:lang w:val="lv-LV"/>
        </w:rPr>
        <w:t xml:space="preserve">II, III un IV pētījumu apvienotā analīzē pacientu īpatsvars, kas sasniedza ACR 20, 50 un 70 atbildes reakciju bija nozīmīgi lielāks (attiecīgi 59% salīdzinājumā ar 50%, 37% salīdzinājumā ar 27%, 18% salīdzinājumā ar 11%) tocilizumaba 8 mg/kg devas plus DMARD terapijas grupā nekā tocilizumaba 4 mg/kg devas plus DMARD grupā (p &lt; 0,03). Līdzīgi pacientu īpatsvars, kas sasniedza DAS28 remisiju (DAS28 &lt; 2,6) bija nozīmīgi lielāks (attiecīgi 31% salīdzinājumā ar 16%) pacientiem, kuri saņēma </w:t>
      </w:r>
      <w:r>
        <w:rPr>
          <w:szCs w:val="22"/>
          <w:lang w:val="lv-LV"/>
        </w:rPr>
        <w:t>tocilizumaba</w:t>
      </w:r>
      <w:r w:rsidDel="001D4271">
        <w:rPr>
          <w:szCs w:val="22"/>
          <w:lang w:val="lv-LV"/>
        </w:rPr>
        <w:t xml:space="preserve"> </w:t>
      </w:r>
      <w:r>
        <w:rPr>
          <w:rFonts w:eastAsia="MS Mincho"/>
          <w:szCs w:val="22"/>
          <w:lang w:val="lv-LV"/>
        </w:rPr>
        <w:t xml:space="preserve">8 mg/kg devu un DMARD nekā pacientiem, kuri saņēma tocilizumaba 4 mg/kg </w:t>
      </w:r>
      <w:r>
        <w:rPr>
          <w:szCs w:val="22"/>
          <w:lang w:val="lv-LV"/>
        </w:rPr>
        <w:t>devu</w:t>
      </w:r>
      <w:r w:rsidDel="001D4271">
        <w:rPr>
          <w:szCs w:val="22"/>
          <w:lang w:val="lv-LV"/>
        </w:rPr>
        <w:t xml:space="preserve"> </w:t>
      </w:r>
      <w:r>
        <w:rPr>
          <w:rFonts w:eastAsia="MS Mincho"/>
          <w:szCs w:val="22"/>
          <w:lang w:val="lv-LV"/>
        </w:rPr>
        <w:t>un DMARD (p &lt; 0,0001).</w:t>
      </w:r>
    </w:p>
    <w:bookmarkEnd w:id="654"/>
    <w:p w14:paraId="1326C413" w14:textId="77777777" w:rsidR="00A453C3" w:rsidRDefault="00A453C3" w:rsidP="00A453C3">
      <w:pPr>
        <w:rPr>
          <w:rFonts w:eastAsia="MS Mincho"/>
          <w:szCs w:val="22"/>
          <w:lang w:val="lv-LV"/>
        </w:rPr>
      </w:pPr>
    </w:p>
    <w:p w14:paraId="513CC2DA" w14:textId="77777777" w:rsidR="00A453C3" w:rsidRDefault="00A453C3" w:rsidP="00A453C3">
      <w:pPr>
        <w:keepNext/>
        <w:keepLines/>
        <w:suppressLineNumbers/>
        <w:ind w:left="924" w:hanging="924"/>
        <w:rPr>
          <w:bCs/>
          <w:i/>
          <w:szCs w:val="22"/>
          <w:lang w:val="lv-LV"/>
        </w:rPr>
      </w:pPr>
      <w:r>
        <w:rPr>
          <w:bCs/>
          <w:i/>
          <w:szCs w:val="22"/>
          <w:lang w:val="lv-LV"/>
        </w:rPr>
        <w:t>5. tabula. ACR atbildes reakcija ar placebo / MTX / DMARD kontrolētos pētījumos (% pacientu)</w:t>
      </w:r>
    </w:p>
    <w:p w14:paraId="230BF6A5" w14:textId="77777777" w:rsidR="00A453C3" w:rsidRDefault="00A453C3" w:rsidP="00A453C3">
      <w:pPr>
        <w:keepNext/>
        <w:keepLines/>
        <w:suppressLineNumbers/>
        <w:ind w:left="924" w:hanging="924"/>
        <w:rPr>
          <w:szCs w:val="22"/>
          <w:lang w:val="lv-LV"/>
        </w:rPr>
      </w:pPr>
    </w:p>
    <w:tbl>
      <w:tblPr>
        <w:tblW w:w="9317" w:type="dxa"/>
        <w:tblInd w:w="-15" w:type="dxa"/>
        <w:tblLayout w:type="fixed"/>
        <w:tblLook w:val="0000" w:firstRow="0" w:lastRow="0" w:firstColumn="0" w:lastColumn="0" w:noHBand="0" w:noVBand="0"/>
      </w:tblPr>
      <w:tblGrid>
        <w:gridCol w:w="744"/>
        <w:gridCol w:w="28"/>
        <w:gridCol w:w="922"/>
        <w:gridCol w:w="671"/>
        <w:gridCol w:w="906"/>
        <w:gridCol w:w="782"/>
        <w:gridCol w:w="919"/>
        <w:gridCol w:w="769"/>
        <w:gridCol w:w="929"/>
        <w:gridCol w:w="920"/>
        <w:gridCol w:w="11"/>
        <w:gridCol w:w="914"/>
        <w:gridCol w:w="802"/>
      </w:tblGrid>
      <w:tr w:rsidR="00A453C3" w:rsidRPr="007F7850" w14:paraId="210035B5" w14:textId="77777777" w:rsidTr="0067693D">
        <w:trPr>
          <w:trHeight w:val="463"/>
        </w:trPr>
        <w:tc>
          <w:tcPr>
            <w:tcW w:w="744" w:type="dxa"/>
            <w:tcBorders>
              <w:top w:val="single" w:sz="4" w:space="0" w:color="000000"/>
              <w:left w:val="single" w:sz="4" w:space="0" w:color="000000"/>
              <w:bottom w:val="single" w:sz="4" w:space="0" w:color="000000"/>
            </w:tcBorders>
          </w:tcPr>
          <w:p w14:paraId="1D01DC6E" w14:textId="77777777" w:rsidR="00A453C3" w:rsidRPr="00707120" w:rsidRDefault="00A453C3" w:rsidP="0067693D">
            <w:pPr>
              <w:keepNext/>
              <w:keepLines/>
              <w:suppressLineNumbers/>
              <w:snapToGrid w:val="0"/>
              <w:ind w:right="-2"/>
              <w:jc w:val="center"/>
              <w:rPr>
                <w:sz w:val="20"/>
                <w:lang w:val="lv-LV"/>
              </w:rPr>
            </w:pPr>
          </w:p>
        </w:tc>
        <w:tc>
          <w:tcPr>
            <w:tcW w:w="1621" w:type="dxa"/>
            <w:gridSpan w:val="3"/>
            <w:tcBorders>
              <w:top w:val="single" w:sz="4" w:space="0" w:color="000000"/>
              <w:left w:val="single" w:sz="4" w:space="0" w:color="000000"/>
              <w:bottom w:val="single" w:sz="4" w:space="0" w:color="000000"/>
            </w:tcBorders>
          </w:tcPr>
          <w:p w14:paraId="6B721C2F" w14:textId="77777777" w:rsidR="00A453C3" w:rsidRPr="00707120" w:rsidRDefault="00A453C3" w:rsidP="0067693D">
            <w:pPr>
              <w:keepNext/>
              <w:keepLines/>
              <w:suppressLineNumbers/>
              <w:ind w:right="-2"/>
              <w:jc w:val="center"/>
              <w:rPr>
                <w:b/>
                <w:bCs/>
                <w:sz w:val="20"/>
                <w:lang w:val="lv-LV"/>
              </w:rPr>
            </w:pPr>
            <w:r w:rsidRPr="00707120">
              <w:rPr>
                <w:b/>
                <w:bCs/>
                <w:sz w:val="20"/>
                <w:lang w:val="lv-LV"/>
              </w:rPr>
              <w:t>I pētījums</w:t>
            </w:r>
          </w:p>
          <w:p w14:paraId="13B02812" w14:textId="77777777" w:rsidR="00A453C3" w:rsidRPr="00707120" w:rsidRDefault="00A453C3" w:rsidP="0067693D">
            <w:pPr>
              <w:keepNext/>
              <w:keepLines/>
              <w:suppressLineNumbers/>
              <w:ind w:right="-2"/>
              <w:jc w:val="center"/>
              <w:rPr>
                <w:b/>
                <w:bCs/>
                <w:sz w:val="20"/>
                <w:lang w:val="lv-LV"/>
              </w:rPr>
            </w:pPr>
            <w:r w:rsidRPr="00707120">
              <w:rPr>
                <w:b/>
                <w:bCs/>
                <w:sz w:val="20"/>
                <w:lang w:val="lv-LV"/>
              </w:rPr>
              <w:t>AMBITION</w:t>
            </w:r>
          </w:p>
        </w:tc>
        <w:tc>
          <w:tcPr>
            <w:tcW w:w="1688" w:type="dxa"/>
            <w:gridSpan w:val="2"/>
            <w:tcBorders>
              <w:top w:val="single" w:sz="4" w:space="0" w:color="000000"/>
              <w:left w:val="single" w:sz="4" w:space="0" w:color="000000"/>
              <w:bottom w:val="single" w:sz="4" w:space="0" w:color="000000"/>
            </w:tcBorders>
          </w:tcPr>
          <w:p w14:paraId="67FDEAB7" w14:textId="77777777" w:rsidR="00A453C3" w:rsidRPr="00707120" w:rsidRDefault="00A453C3" w:rsidP="0067693D">
            <w:pPr>
              <w:keepNext/>
              <w:keepLines/>
              <w:suppressLineNumbers/>
              <w:ind w:right="-2"/>
              <w:jc w:val="center"/>
              <w:rPr>
                <w:b/>
                <w:bCs/>
                <w:sz w:val="20"/>
                <w:lang w:val="lv-LV"/>
              </w:rPr>
            </w:pPr>
            <w:r w:rsidRPr="00707120">
              <w:rPr>
                <w:b/>
                <w:bCs/>
                <w:sz w:val="20"/>
                <w:lang w:val="lv-LV"/>
              </w:rPr>
              <w:t>II pētījums</w:t>
            </w:r>
          </w:p>
          <w:p w14:paraId="132266D2" w14:textId="77777777" w:rsidR="00A453C3" w:rsidRPr="00707120" w:rsidRDefault="00A453C3" w:rsidP="0067693D">
            <w:pPr>
              <w:keepNext/>
              <w:keepLines/>
              <w:suppressLineNumbers/>
              <w:ind w:right="-2"/>
              <w:jc w:val="center"/>
              <w:rPr>
                <w:b/>
                <w:bCs/>
                <w:sz w:val="20"/>
                <w:lang w:val="lv-LV"/>
              </w:rPr>
            </w:pPr>
            <w:r w:rsidRPr="00707120">
              <w:rPr>
                <w:b/>
                <w:bCs/>
                <w:sz w:val="20"/>
                <w:lang w:val="lv-LV"/>
              </w:rPr>
              <w:t>LITHE</w:t>
            </w:r>
          </w:p>
        </w:tc>
        <w:tc>
          <w:tcPr>
            <w:tcW w:w="1688" w:type="dxa"/>
            <w:gridSpan w:val="2"/>
            <w:tcBorders>
              <w:top w:val="single" w:sz="4" w:space="0" w:color="000000"/>
              <w:left w:val="single" w:sz="4" w:space="0" w:color="000000"/>
              <w:bottom w:val="single" w:sz="4" w:space="0" w:color="000000"/>
            </w:tcBorders>
          </w:tcPr>
          <w:p w14:paraId="29CF2ED4" w14:textId="77777777" w:rsidR="00A453C3" w:rsidRPr="00707120" w:rsidRDefault="00A453C3" w:rsidP="0067693D">
            <w:pPr>
              <w:keepNext/>
              <w:keepLines/>
              <w:suppressLineNumbers/>
              <w:ind w:right="-2"/>
              <w:jc w:val="center"/>
              <w:rPr>
                <w:b/>
                <w:bCs/>
                <w:sz w:val="20"/>
                <w:lang w:val="lv-LV"/>
              </w:rPr>
            </w:pPr>
            <w:r w:rsidRPr="00707120">
              <w:rPr>
                <w:b/>
                <w:bCs/>
                <w:sz w:val="20"/>
                <w:lang w:val="lv-LV"/>
              </w:rPr>
              <w:t>III pētījums</w:t>
            </w:r>
          </w:p>
          <w:p w14:paraId="0C4438C3" w14:textId="77777777" w:rsidR="00A453C3" w:rsidRPr="00707120" w:rsidRDefault="00A453C3" w:rsidP="0067693D">
            <w:pPr>
              <w:keepNext/>
              <w:keepLines/>
              <w:suppressLineNumbers/>
              <w:ind w:right="-2"/>
              <w:jc w:val="center"/>
              <w:rPr>
                <w:b/>
                <w:bCs/>
                <w:sz w:val="20"/>
                <w:lang w:val="lv-LV"/>
              </w:rPr>
            </w:pPr>
            <w:r w:rsidRPr="00707120">
              <w:rPr>
                <w:b/>
                <w:bCs/>
                <w:sz w:val="20"/>
                <w:lang w:val="lv-LV"/>
              </w:rPr>
              <w:t>OPTION</w:t>
            </w:r>
          </w:p>
        </w:tc>
        <w:tc>
          <w:tcPr>
            <w:tcW w:w="1860" w:type="dxa"/>
            <w:gridSpan w:val="3"/>
            <w:tcBorders>
              <w:top w:val="single" w:sz="4" w:space="0" w:color="000000"/>
              <w:left w:val="single" w:sz="4" w:space="0" w:color="000000"/>
              <w:bottom w:val="single" w:sz="4" w:space="0" w:color="000000"/>
            </w:tcBorders>
          </w:tcPr>
          <w:p w14:paraId="304237BB" w14:textId="77777777" w:rsidR="00A453C3" w:rsidRPr="00707120" w:rsidRDefault="00A453C3" w:rsidP="0067693D">
            <w:pPr>
              <w:keepNext/>
              <w:keepLines/>
              <w:suppressLineNumbers/>
              <w:ind w:right="-2"/>
              <w:jc w:val="center"/>
              <w:rPr>
                <w:b/>
                <w:bCs/>
                <w:sz w:val="20"/>
                <w:lang w:val="lv-LV"/>
              </w:rPr>
            </w:pPr>
            <w:r w:rsidRPr="00707120">
              <w:rPr>
                <w:b/>
                <w:bCs/>
                <w:sz w:val="20"/>
                <w:lang w:val="lv-LV"/>
              </w:rPr>
              <w:t>IV pētījums</w:t>
            </w:r>
          </w:p>
          <w:p w14:paraId="7760BED2" w14:textId="77777777" w:rsidR="00A453C3" w:rsidRPr="00707120" w:rsidRDefault="00A453C3" w:rsidP="0067693D">
            <w:pPr>
              <w:keepNext/>
              <w:keepLines/>
              <w:suppressLineNumbers/>
              <w:ind w:right="-2"/>
              <w:jc w:val="center"/>
              <w:rPr>
                <w:b/>
                <w:bCs/>
                <w:sz w:val="20"/>
                <w:lang w:val="lv-LV"/>
              </w:rPr>
            </w:pPr>
            <w:r w:rsidRPr="00707120">
              <w:rPr>
                <w:b/>
                <w:bCs/>
                <w:sz w:val="20"/>
                <w:lang w:val="lv-LV"/>
              </w:rPr>
              <w:t>TOWARD</w:t>
            </w:r>
          </w:p>
        </w:tc>
        <w:tc>
          <w:tcPr>
            <w:tcW w:w="1716" w:type="dxa"/>
            <w:gridSpan w:val="2"/>
            <w:tcBorders>
              <w:top w:val="single" w:sz="4" w:space="0" w:color="000000"/>
              <w:left w:val="single" w:sz="4" w:space="0" w:color="000000"/>
              <w:bottom w:val="single" w:sz="4" w:space="0" w:color="000000"/>
              <w:right w:val="single" w:sz="4" w:space="0" w:color="000000"/>
            </w:tcBorders>
          </w:tcPr>
          <w:p w14:paraId="55857FD7" w14:textId="77777777" w:rsidR="00A453C3" w:rsidRPr="00707120" w:rsidRDefault="00A453C3" w:rsidP="0067693D">
            <w:pPr>
              <w:keepNext/>
              <w:keepLines/>
              <w:suppressLineNumbers/>
              <w:ind w:right="-2"/>
              <w:jc w:val="center"/>
              <w:rPr>
                <w:b/>
                <w:bCs/>
                <w:sz w:val="20"/>
                <w:lang w:val="lv-LV"/>
              </w:rPr>
            </w:pPr>
            <w:r w:rsidRPr="00707120">
              <w:rPr>
                <w:b/>
                <w:bCs/>
                <w:sz w:val="20"/>
                <w:lang w:val="lv-LV"/>
              </w:rPr>
              <w:t>V pētījums</w:t>
            </w:r>
          </w:p>
          <w:p w14:paraId="7D863730" w14:textId="77777777" w:rsidR="00A453C3" w:rsidRPr="00707120" w:rsidRDefault="00A453C3" w:rsidP="0067693D">
            <w:pPr>
              <w:keepNext/>
              <w:keepLines/>
              <w:suppressLineNumbers/>
              <w:ind w:right="-2"/>
              <w:jc w:val="center"/>
              <w:rPr>
                <w:b/>
                <w:bCs/>
                <w:sz w:val="20"/>
                <w:lang w:val="lv-LV"/>
              </w:rPr>
            </w:pPr>
            <w:r w:rsidRPr="00707120">
              <w:rPr>
                <w:b/>
                <w:bCs/>
                <w:sz w:val="20"/>
                <w:lang w:val="lv-LV"/>
              </w:rPr>
              <w:t>RADIATE</w:t>
            </w:r>
          </w:p>
        </w:tc>
      </w:tr>
      <w:tr w:rsidR="00A453C3" w:rsidRPr="007F7850" w14:paraId="3B09AED1" w14:textId="77777777" w:rsidTr="00707120">
        <w:trPr>
          <w:trHeight w:val="737"/>
        </w:trPr>
        <w:tc>
          <w:tcPr>
            <w:tcW w:w="744" w:type="dxa"/>
            <w:tcBorders>
              <w:top w:val="single" w:sz="4" w:space="0" w:color="000000"/>
              <w:left w:val="single" w:sz="4" w:space="0" w:color="000000"/>
              <w:bottom w:val="single" w:sz="4" w:space="0" w:color="000000"/>
            </w:tcBorders>
          </w:tcPr>
          <w:p w14:paraId="2019319B" w14:textId="77777777" w:rsidR="00A453C3" w:rsidRPr="00707120" w:rsidRDefault="00A453C3" w:rsidP="0067693D">
            <w:pPr>
              <w:keepNext/>
              <w:keepLines/>
              <w:suppressLineNumbers/>
              <w:ind w:right="-2"/>
              <w:jc w:val="center"/>
              <w:rPr>
                <w:bCs/>
                <w:sz w:val="20"/>
                <w:lang w:val="lv-LV"/>
              </w:rPr>
            </w:pPr>
            <w:r w:rsidRPr="00707120">
              <w:rPr>
                <w:bCs/>
                <w:sz w:val="20"/>
                <w:lang w:val="lv-LV"/>
              </w:rPr>
              <w:t>Nedēļa</w:t>
            </w:r>
          </w:p>
        </w:tc>
        <w:tc>
          <w:tcPr>
            <w:tcW w:w="950" w:type="dxa"/>
            <w:gridSpan w:val="2"/>
            <w:tcBorders>
              <w:top w:val="single" w:sz="4" w:space="0" w:color="000000"/>
              <w:left w:val="single" w:sz="4" w:space="0" w:color="000000"/>
              <w:bottom w:val="single" w:sz="4" w:space="0" w:color="000000"/>
            </w:tcBorders>
          </w:tcPr>
          <w:p w14:paraId="0190BA6A" w14:textId="77777777" w:rsidR="00A453C3" w:rsidRPr="00707120" w:rsidRDefault="00A453C3" w:rsidP="0067693D">
            <w:pPr>
              <w:keepNext/>
              <w:keepLines/>
              <w:suppressLineNumbers/>
              <w:ind w:right="-2"/>
              <w:jc w:val="center"/>
              <w:rPr>
                <w:b/>
                <w:bCs/>
                <w:sz w:val="20"/>
                <w:lang w:val="lv-LV"/>
              </w:rPr>
            </w:pPr>
            <w:r w:rsidRPr="00707120">
              <w:rPr>
                <w:b/>
                <w:bCs/>
                <w:sz w:val="20"/>
                <w:lang w:val="lv-LV"/>
              </w:rPr>
              <w:t>TCZ</w:t>
            </w:r>
          </w:p>
          <w:p w14:paraId="284C2357" w14:textId="77777777" w:rsidR="00A453C3" w:rsidRPr="00707120" w:rsidRDefault="00A453C3" w:rsidP="0067693D">
            <w:pPr>
              <w:keepNext/>
              <w:keepLines/>
              <w:suppressLineNumbers/>
              <w:ind w:right="-2"/>
              <w:jc w:val="center"/>
              <w:rPr>
                <w:b/>
                <w:bCs/>
                <w:sz w:val="20"/>
                <w:lang w:val="lv-LV"/>
              </w:rPr>
            </w:pPr>
            <w:r w:rsidRPr="00707120">
              <w:rPr>
                <w:b/>
                <w:bCs/>
                <w:sz w:val="20"/>
                <w:lang w:val="lv-LV"/>
              </w:rPr>
              <w:t>8 mg/kg</w:t>
            </w:r>
          </w:p>
        </w:tc>
        <w:tc>
          <w:tcPr>
            <w:tcW w:w="671" w:type="dxa"/>
            <w:tcBorders>
              <w:top w:val="single" w:sz="4" w:space="0" w:color="000000"/>
              <w:left w:val="single" w:sz="4" w:space="0" w:color="000000"/>
              <w:bottom w:val="single" w:sz="4" w:space="0" w:color="000000"/>
            </w:tcBorders>
          </w:tcPr>
          <w:p w14:paraId="0BF4883E" w14:textId="77777777" w:rsidR="00A453C3" w:rsidRPr="00707120" w:rsidRDefault="00A453C3" w:rsidP="0067693D">
            <w:pPr>
              <w:keepNext/>
              <w:keepLines/>
              <w:suppressLineNumbers/>
              <w:ind w:right="-2"/>
              <w:jc w:val="center"/>
              <w:rPr>
                <w:b/>
                <w:bCs/>
                <w:sz w:val="20"/>
                <w:lang w:val="lv-LV"/>
              </w:rPr>
            </w:pPr>
            <w:r w:rsidRPr="00707120">
              <w:rPr>
                <w:b/>
                <w:bCs/>
                <w:sz w:val="20"/>
                <w:lang w:val="lv-LV"/>
              </w:rPr>
              <w:t>MTX</w:t>
            </w:r>
          </w:p>
        </w:tc>
        <w:tc>
          <w:tcPr>
            <w:tcW w:w="906" w:type="dxa"/>
            <w:tcBorders>
              <w:top w:val="single" w:sz="4" w:space="0" w:color="000000"/>
              <w:left w:val="single" w:sz="4" w:space="0" w:color="000000"/>
              <w:bottom w:val="single" w:sz="4" w:space="0" w:color="000000"/>
            </w:tcBorders>
          </w:tcPr>
          <w:p w14:paraId="3F1B6404" w14:textId="77777777" w:rsidR="00A453C3" w:rsidRPr="00707120" w:rsidRDefault="00A453C3" w:rsidP="0067693D">
            <w:pPr>
              <w:keepNext/>
              <w:keepLines/>
              <w:suppressLineNumbers/>
              <w:ind w:right="-2"/>
              <w:jc w:val="center"/>
              <w:rPr>
                <w:b/>
                <w:bCs/>
                <w:sz w:val="20"/>
                <w:lang w:val="lv-LV"/>
              </w:rPr>
            </w:pPr>
            <w:r w:rsidRPr="00707120">
              <w:rPr>
                <w:b/>
                <w:bCs/>
                <w:sz w:val="20"/>
                <w:lang w:val="lv-LV"/>
              </w:rPr>
              <w:t>TCZ</w:t>
            </w:r>
          </w:p>
          <w:p w14:paraId="18D8B31A" w14:textId="77777777" w:rsidR="00A453C3" w:rsidRPr="00707120" w:rsidRDefault="00A453C3" w:rsidP="0067693D">
            <w:pPr>
              <w:keepNext/>
              <w:keepLines/>
              <w:suppressLineNumbers/>
              <w:ind w:right="-2"/>
              <w:jc w:val="center"/>
              <w:rPr>
                <w:b/>
                <w:bCs/>
                <w:sz w:val="20"/>
                <w:lang w:val="lv-LV"/>
              </w:rPr>
            </w:pPr>
            <w:r w:rsidRPr="00707120">
              <w:rPr>
                <w:b/>
                <w:bCs/>
                <w:sz w:val="20"/>
                <w:lang w:val="lv-LV"/>
              </w:rPr>
              <w:t>8 mg/kg + MTX</w:t>
            </w:r>
          </w:p>
        </w:tc>
        <w:tc>
          <w:tcPr>
            <w:tcW w:w="782" w:type="dxa"/>
            <w:tcBorders>
              <w:top w:val="single" w:sz="4" w:space="0" w:color="000000"/>
              <w:left w:val="single" w:sz="4" w:space="0" w:color="000000"/>
              <w:bottom w:val="single" w:sz="4" w:space="0" w:color="000000"/>
            </w:tcBorders>
          </w:tcPr>
          <w:p w14:paraId="4C5BACBC" w14:textId="77777777" w:rsidR="00A453C3" w:rsidRPr="00707120" w:rsidRDefault="00A453C3" w:rsidP="0067693D">
            <w:pPr>
              <w:keepNext/>
              <w:keepLines/>
              <w:suppressLineNumbers/>
              <w:ind w:right="-2"/>
              <w:jc w:val="center"/>
              <w:rPr>
                <w:b/>
                <w:bCs/>
                <w:sz w:val="20"/>
                <w:lang w:val="lv-LV"/>
              </w:rPr>
            </w:pPr>
            <w:r w:rsidRPr="00707120">
              <w:rPr>
                <w:b/>
                <w:bCs/>
                <w:sz w:val="20"/>
                <w:lang w:val="lv-LV"/>
              </w:rPr>
              <w:t>PBO + MTX</w:t>
            </w:r>
          </w:p>
        </w:tc>
        <w:tc>
          <w:tcPr>
            <w:tcW w:w="919" w:type="dxa"/>
            <w:tcBorders>
              <w:top w:val="single" w:sz="4" w:space="0" w:color="000000"/>
              <w:left w:val="single" w:sz="4" w:space="0" w:color="000000"/>
              <w:bottom w:val="single" w:sz="4" w:space="0" w:color="000000"/>
            </w:tcBorders>
          </w:tcPr>
          <w:p w14:paraId="73FE7C4A" w14:textId="77777777" w:rsidR="00A453C3" w:rsidRPr="00707120" w:rsidRDefault="00A453C3" w:rsidP="0067693D">
            <w:pPr>
              <w:keepNext/>
              <w:keepLines/>
              <w:suppressLineNumbers/>
              <w:ind w:right="-2"/>
              <w:jc w:val="center"/>
              <w:rPr>
                <w:b/>
                <w:bCs/>
                <w:sz w:val="20"/>
                <w:lang w:val="lv-LV"/>
              </w:rPr>
            </w:pPr>
            <w:r w:rsidRPr="00707120">
              <w:rPr>
                <w:b/>
                <w:bCs/>
                <w:sz w:val="20"/>
                <w:lang w:val="lv-LV"/>
              </w:rPr>
              <w:t>TCZ</w:t>
            </w:r>
          </w:p>
          <w:p w14:paraId="04F3147A" w14:textId="77777777" w:rsidR="00A453C3" w:rsidRPr="00707120" w:rsidRDefault="00A453C3" w:rsidP="0067693D">
            <w:pPr>
              <w:keepNext/>
              <w:keepLines/>
              <w:suppressLineNumbers/>
              <w:ind w:right="-2"/>
              <w:jc w:val="center"/>
              <w:rPr>
                <w:b/>
                <w:bCs/>
                <w:sz w:val="20"/>
                <w:lang w:val="lv-LV"/>
              </w:rPr>
            </w:pPr>
            <w:r w:rsidRPr="00707120">
              <w:rPr>
                <w:b/>
                <w:bCs/>
                <w:sz w:val="20"/>
                <w:lang w:val="lv-LV"/>
              </w:rPr>
              <w:t>8 mg/kg + MTX</w:t>
            </w:r>
          </w:p>
        </w:tc>
        <w:tc>
          <w:tcPr>
            <w:tcW w:w="769" w:type="dxa"/>
            <w:tcBorders>
              <w:top w:val="single" w:sz="4" w:space="0" w:color="000000"/>
              <w:left w:val="single" w:sz="4" w:space="0" w:color="000000"/>
              <w:bottom w:val="single" w:sz="4" w:space="0" w:color="000000"/>
            </w:tcBorders>
          </w:tcPr>
          <w:p w14:paraId="7C654DE1" w14:textId="77777777" w:rsidR="00A453C3" w:rsidRPr="00707120" w:rsidRDefault="00A453C3" w:rsidP="0067693D">
            <w:pPr>
              <w:keepNext/>
              <w:keepLines/>
              <w:suppressLineNumbers/>
              <w:ind w:right="-2"/>
              <w:jc w:val="center"/>
              <w:rPr>
                <w:b/>
                <w:bCs/>
                <w:sz w:val="20"/>
                <w:lang w:val="lv-LV"/>
              </w:rPr>
            </w:pPr>
            <w:r w:rsidRPr="00707120">
              <w:rPr>
                <w:b/>
                <w:bCs/>
                <w:sz w:val="20"/>
                <w:lang w:val="lv-LV"/>
              </w:rPr>
              <w:t>PBO + MTX</w:t>
            </w:r>
          </w:p>
        </w:tc>
        <w:tc>
          <w:tcPr>
            <w:tcW w:w="929" w:type="dxa"/>
            <w:tcBorders>
              <w:top w:val="single" w:sz="4" w:space="0" w:color="000000"/>
              <w:left w:val="single" w:sz="4" w:space="0" w:color="000000"/>
              <w:bottom w:val="single" w:sz="4" w:space="0" w:color="000000"/>
            </w:tcBorders>
          </w:tcPr>
          <w:p w14:paraId="5569AE78" w14:textId="77777777" w:rsidR="00A453C3" w:rsidRPr="00707120" w:rsidRDefault="00A453C3" w:rsidP="0067693D">
            <w:pPr>
              <w:keepNext/>
              <w:keepLines/>
              <w:suppressLineNumbers/>
              <w:ind w:right="-2"/>
              <w:jc w:val="center"/>
              <w:rPr>
                <w:b/>
                <w:bCs/>
                <w:sz w:val="20"/>
                <w:lang w:val="lv-LV"/>
              </w:rPr>
            </w:pPr>
            <w:r w:rsidRPr="00707120">
              <w:rPr>
                <w:b/>
                <w:bCs/>
                <w:sz w:val="20"/>
                <w:lang w:val="lv-LV"/>
              </w:rPr>
              <w:t>TCZ</w:t>
            </w:r>
          </w:p>
          <w:p w14:paraId="525703A4" w14:textId="77777777" w:rsidR="00A453C3" w:rsidRPr="00707120" w:rsidRDefault="00A453C3" w:rsidP="0067693D">
            <w:pPr>
              <w:keepNext/>
              <w:keepLines/>
              <w:suppressLineNumbers/>
              <w:ind w:right="-2"/>
              <w:jc w:val="center"/>
              <w:rPr>
                <w:b/>
                <w:bCs/>
                <w:sz w:val="20"/>
                <w:lang w:val="lv-LV"/>
              </w:rPr>
            </w:pPr>
            <w:r w:rsidRPr="00707120">
              <w:rPr>
                <w:b/>
                <w:bCs/>
                <w:sz w:val="20"/>
                <w:lang w:val="lv-LV"/>
              </w:rPr>
              <w:t>8 mg/kg + DMARD</w:t>
            </w:r>
          </w:p>
        </w:tc>
        <w:tc>
          <w:tcPr>
            <w:tcW w:w="931" w:type="dxa"/>
            <w:gridSpan w:val="2"/>
            <w:tcBorders>
              <w:top w:val="single" w:sz="4" w:space="0" w:color="000000"/>
              <w:left w:val="single" w:sz="4" w:space="0" w:color="000000"/>
              <w:bottom w:val="single" w:sz="4" w:space="0" w:color="000000"/>
            </w:tcBorders>
          </w:tcPr>
          <w:p w14:paraId="6F338072" w14:textId="77777777" w:rsidR="00A453C3" w:rsidRPr="00707120" w:rsidRDefault="00A453C3" w:rsidP="0067693D">
            <w:pPr>
              <w:keepNext/>
              <w:keepLines/>
              <w:suppressLineNumbers/>
              <w:ind w:right="-2"/>
              <w:jc w:val="center"/>
              <w:rPr>
                <w:b/>
                <w:bCs/>
                <w:sz w:val="20"/>
                <w:lang w:val="lv-LV"/>
              </w:rPr>
            </w:pPr>
            <w:r w:rsidRPr="00707120">
              <w:rPr>
                <w:b/>
                <w:bCs/>
                <w:sz w:val="20"/>
                <w:lang w:val="lv-LV"/>
              </w:rPr>
              <w:t>PBO + DMARD</w:t>
            </w:r>
          </w:p>
        </w:tc>
        <w:tc>
          <w:tcPr>
            <w:tcW w:w="914" w:type="dxa"/>
            <w:tcBorders>
              <w:top w:val="single" w:sz="4" w:space="0" w:color="000000"/>
              <w:left w:val="single" w:sz="4" w:space="0" w:color="000000"/>
              <w:bottom w:val="single" w:sz="4" w:space="0" w:color="000000"/>
            </w:tcBorders>
          </w:tcPr>
          <w:p w14:paraId="25D37566" w14:textId="77777777" w:rsidR="00A453C3" w:rsidRPr="00707120" w:rsidRDefault="00A453C3" w:rsidP="0067693D">
            <w:pPr>
              <w:keepNext/>
              <w:keepLines/>
              <w:suppressLineNumbers/>
              <w:ind w:right="-2"/>
              <w:jc w:val="center"/>
              <w:rPr>
                <w:b/>
                <w:bCs/>
                <w:sz w:val="20"/>
                <w:lang w:val="lv-LV"/>
              </w:rPr>
            </w:pPr>
            <w:r w:rsidRPr="00707120">
              <w:rPr>
                <w:b/>
                <w:bCs/>
                <w:sz w:val="20"/>
                <w:lang w:val="lv-LV"/>
              </w:rPr>
              <w:t>TCZ 8 mg/kg + MTX</w:t>
            </w:r>
          </w:p>
        </w:tc>
        <w:tc>
          <w:tcPr>
            <w:tcW w:w="802" w:type="dxa"/>
            <w:tcBorders>
              <w:top w:val="single" w:sz="4" w:space="0" w:color="000000"/>
              <w:left w:val="single" w:sz="4" w:space="0" w:color="000000"/>
              <w:bottom w:val="single" w:sz="4" w:space="0" w:color="000000"/>
              <w:right w:val="single" w:sz="4" w:space="0" w:color="000000"/>
            </w:tcBorders>
          </w:tcPr>
          <w:p w14:paraId="3C4B97C2" w14:textId="77777777" w:rsidR="00A453C3" w:rsidRPr="00707120" w:rsidRDefault="00A453C3" w:rsidP="0067693D">
            <w:pPr>
              <w:keepNext/>
              <w:keepLines/>
              <w:suppressLineNumbers/>
              <w:ind w:right="-2"/>
              <w:jc w:val="center"/>
              <w:rPr>
                <w:b/>
                <w:bCs/>
                <w:sz w:val="20"/>
                <w:lang w:val="lv-LV"/>
              </w:rPr>
            </w:pPr>
            <w:r w:rsidRPr="00707120">
              <w:rPr>
                <w:b/>
                <w:bCs/>
                <w:sz w:val="20"/>
                <w:lang w:val="lv-LV"/>
              </w:rPr>
              <w:t>PBO + MTX</w:t>
            </w:r>
            <w:r w:rsidRPr="00707120">
              <w:rPr>
                <w:b/>
                <w:bCs/>
                <w:sz w:val="20"/>
                <w:lang w:val="lv-LV"/>
              </w:rPr>
              <w:br/>
            </w:r>
          </w:p>
        </w:tc>
      </w:tr>
      <w:tr w:rsidR="00A453C3" w:rsidRPr="007F7850" w14:paraId="3327C9FC" w14:textId="77777777" w:rsidTr="00707120">
        <w:trPr>
          <w:trHeight w:val="521"/>
        </w:trPr>
        <w:tc>
          <w:tcPr>
            <w:tcW w:w="744" w:type="dxa"/>
            <w:tcBorders>
              <w:top w:val="single" w:sz="4" w:space="0" w:color="000000"/>
              <w:left w:val="single" w:sz="4" w:space="0" w:color="000000"/>
              <w:bottom w:val="single" w:sz="4" w:space="0" w:color="000000"/>
            </w:tcBorders>
          </w:tcPr>
          <w:p w14:paraId="7D844A62" w14:textId="77777777" w:rsidR="00A453C3" w:rsidRPr="00707120" w:rsidRDefault="00A453C3" w:rsidP="0067693D">
            <w:pPr>
              <w:keepNext/>
              <w:keepLines/>
              <w:suppressLineNumbers/>
              <w:snapToGrid w:val="0"/>
              <w:ind w:right="-2"/>
              <w:jc w:val="center"/>
              <w:rPr>
                <w:b/>
                <w:bCs/>
                <w:sz w:val="20"/>
                <w:lang w:val="lv-LV"/>
              </w:rPr>
            </w:pPr>
          </w:p>
        </w:tc>
        <w:tc>
          <w:tcPr>
            <w:tcW w:w="950" w:type="dxa"/>
            <w:gridSpan w:val="2"/>
            <w:tcBorders>
              <w:top w:val="single" w:sz="4" w:space="0" w:color="000000"/>
              <w:left w:val="single" w:sz="4" w:space="0" w:color="000000"/>
              <w:bottom w:val="single" w:sz="4" w:space="0" w:color="000000"/>
            </w:tcBorders>
          </w:tcPr>
          <w:p w14:paraId="57269639" w14:textId="273A7B8E" w:rsidR="00A453C3" w:rsidRPr="00707120" w:rsidDel="00BC6328" w:rsidRDefault="00A453C3" w:rsidP="00BC6328">
            <w:pPr>
              <w:keepNext/>
              <w:keepLines/>
              <w:suppressLineNumbers/>
              <w:ind w:right="-2"/>
              <w:jc w:val="center"/>
              <w:rPr>
                <w:del w:id="655" w:author="Author"/>
                <w:b/>
                <w:bCs/>
                <w:sz w:val="20"/>
                <w:lang w:val="lv-LV"/>
              </w:rPr>
            </w:pPr>
            <w:del w:id="656" w:author="Author">
              <w:r w:rsidRPr="00707120" w:rsidDel="00903A29">
                <w:rPr>
                  <w:b/>
                  <w:bCs/>
                  <w:sz w:val="20"/>
                  <w:lang w:val="lv-LV"/>
                </w:rPr>
                <w:delText>N</w:delText>
              </w:r>
            </w:del>
            <w:ins w:id="657" w:author="Author">
              <w:r w:rsidR="00903A29">
                <w:rPr>
                  <w:b/>
                  <w:bCs/>
                  <w:sz w:val="20"/>
                  <w:lang w:val="lv-LV"/>
                </w:rPr>
                <w:t>n</w:t>
              </w:r>
            </w:ins>
            <w:del w:id="658" w:author="Author">
              <w:r w:rsidRPr="00707120" w:rsidDel="00BC6328">
                <w:rPr>
                  <w:b/>
                  <w:bCs/>
                  <w:sz w:val="20"/>
                  <w:lang w:val="lv-LV"/>
                </w:rPr>
                <w:delText xml:space="preserve"> </w:delText>
              </w:r>
            </w:del>
            <w:r w:rsidRPr="00707120">
              <w:rPr>
                <w:b/>
                <w:bCs/>
                <w:sz w:val="20"/>
                <w:lang w:val="lv-LV"/>
              </w:rPr>
              <w:t>=</w:t>
            </w:r>
          </w:p>
          <w:p w14:paraId="7E5DF606" w14:textId="77777777" w:rsidR="00A453C3" w:rsidRPr="00707120" w:rsidRDefault="00A453C3" w:rsidP="0067693D">
            <w:pPr>
              <w:keepNext/>
              <w:keepLines/>
              <w:suppressLineNumbers/>
              <w:ind w:right="-2"/>
              <w:jc w:val="center"/>
              <w:rPr>
                <w:b/>
                <w:bCs/>
                <w:sz w:val="20"/>
                <w:lang w:val="lv-LV"/>
              </w:rPr>
            </w:pPr>
            <w:r w:rsidRPr="00707120">
              <w:rPr>
                <w:b/>
                <w:bCs/>
                <w:sz w:val="20"/>
                <w:lang w:val="lv-LV"/>
              </w:rPr>
              <w:t>286</w:t>
            </w:r>
          </w:p>
        </w:tc>
        <w:tc>
          <w:tcPr>
            <w:tcW w:w="671" w:type="dxa"/>
            <w:tcBorders>
              <w:top w:val="single" w:sz="4" w:space="0" w:color="000000"/>
              <w:left w:val="single" w:sz="4" w:space="0" w:color="000000"/>
              <w:bottom w:val="single" w:sz="4" w:space="0" w:color="000000"/>
            </w:tcBorders>
          </w:tcPr>
          <w:p w14:paraId="75B444E7" w14:textId="4A5DDFF3" w:rsidR="00A453C3" w:rsidRPr="00707120" w:rsidDel="00BC6328" w:rsidRDefault="00A453C3" w:rsidP="00BC6328">
            <w:pPr>
              <w:keepNext/>
              <w:keepLines/>
              <w:suppressLineNumbers/>
              <w:ind w:right="-2"/>
              <w:jc w:val="center"/>
              <w:rPr>
                <w:del w:id="659" w:author="Author"/>
                <w:b/>
                <w:bCs/>
                <w:sz w:val="20"/>
                <w:lang w:val="lv-LV"/>
              </w:rPr>
            </w:pPr>
            <w:del w:id="660" w:author="Author">
              <w:r w:rsidRPr="00707120" w:rsidDel="00903A29">
                <w:rPr>
                  <w:b/>
                  <w:bCs/>
                  <w:sz w:val="20"/>
                  <w:lang w:val="lv-LV"/>
                </w:rPr>
                <w:delText>N</w:delText>
              </w:r>
            </w:del>
            <w:ins w:id="661" w:author="Author">
              <w:r w:rsidR="00903A29">
                <w:rPr>
                  <w:b/>
                  <w:bCs/>
                  <w:sz w:val="20"/>
                  <w:lang w:val="lv-LV"/>
                </w:rPr>
                <w:t>n</w:t>
              </w:r>
            </w:ins>
            <w:del w:id="662" w:author="Author">
              <w:r w:rsidRPr="00707120" w:rsidDel="00BC6328">
                <w:rPr>
                  <w:b/>
                  <w:bCs/>
                  <w:sz w:val="20"/>
                  <w:lang w:val="lv-LV"/>
                </w:rPr>
                <w:delText xml:space="preserve"> </w:delText>
              </w:r>
            </w:del>
            <w:r w:rsidRPr="00707120">
              <w:rPr>
                <w:b/>
                <w:bCs/>
                <w:sz w:val="20"/>
                <w:lang w:val="lv-LV"/>
              </w:rPr>
              <w:t>=</w:t>
            </w:r>
          </w:p>
          <w:p w14:paraId="1FC45485" w14:textId="77777777" w:rsidR="00A453C3" w:rsidRPr="00707120" w:rsidRDefault="00A453C3" w:rsidP="0067693D">
            <w:pPr>
              <w:keepNext/>
              <w:keepLines/>
              <w:suppressLineNumbers/>
              <w:ind w:right="-2"/>
              <w:jc w:val="center"/>
              <w:rPr>
                <w:b/>
                <w:bCs/>
                <w:sz w:val="20"/>
                <w:lang w:val="lv-LV"/>
              </w:rPr>
            </w:pPr>
            <w:r w:rsidRPr="00707120">
              <w:rPr>
                <w:b/>
                <w:bCs/>
                <w:sz w:val="20"/>
                <w:lang w:val="lv-LV"/>
              </w:rPr>
              <w:t>284</w:t>
            </w:r>
          </w:p>
        </w:tc>
        <w:tc>
          <w:tcPr>
            <w:tcW w:w="906" w:type="dxa"/>
            <w:tcBorders>
              <w:top w:val="single" w:sz="4" w:space="0" w:color="000000"/>
              <w:left w:val="single" w:sz="4" w:space="0" w:color="000000"/>
              <w:bottom w:val="single" w:sz="4" w:space="0" w:color="000000"/>
            </w:tcBorders>
          </w:tcPr>
          <w:p w14:paraId="49EB3CDF" w14:textId="60EA0CBF" w:rsidR="00A453C3" w:rsidRPr="00707120" w:rsidDel="00BC6328" w:rsidRDefault="00A453C3" w:rsidP="00BC6328">
            <w:pPr>
              <w:keepNext/>
              <w:keepLines/>
              <w:suppressLineNumbers/>
              <w:ind w:right="-2"/>
              <w:jc w:val="center"/>
              <w:rPr>
                <w:del w:id="663" w:author="Author"/>
                <w:b/>
                <w:bCs/>
                <w:sz w:val="20"/>
                <w:lang w:val="lv-LV"/>
              </w:rPr>
            </w:pPr>
            <w:del w:id="664" w:author="Author">
              <w:r w:rsidRPr="00707120" w:rsidDel="00903A29">
                <w:rPr>
                  <w:b/>
                  <w:bCs/>
                  <w:sz w:val="20"/>
                  <w:lang w:val="lv-LV"/>
                </w:rPr>
                <w:delText>N</w:delText>
              </w:r>
            </w:del>
            <w:ins w:id="665" w:author="Author">
              <w:r w:rsidR="00903A29">
                <w:rPr>
                  <w:b/>
                  <w:bCs/>
                  <w:sz w:val="20"/>
                  <w:lang w:val="lv-LV"/>
                </w:rPr>
                <w:t>n</w:t>
              </w:r>
            </w:ins>
            <w:del w:id="666" w:author="Author">
              <w:r w:rsidRPr="00707120" w:rsidDel="00BC6328">
                <w:rPr>
                  <w:b/>
                  <w:bCs/>
                  <w:sz w:val="20"/>
                  <w:lang w:val="lv-LV"/>
                </w:rPr>
                <w:delText xml:space="preserve"> </w:delText>
              </w:r>
            </w:del>
            <w:r w:rsidRPr="00707120">
              <w:rPr>
                <w:b/>
                <w:bCs/>
                <w:sz w:val="20"/>
                <w:lang w:val="lv-LV"/>
              </w:rPr>
              <w:t>=</w:t>
            </w:r>
          </w:p>
          <w:p w14:paraId="608B0695" w14:textId="77777777" w:rsidR="00A453C3" w:rsidRPr="00707120" w:rsidRDefault="00A453C3" w:rsidP="0067693D">
            <w:pPr>
              <w:keepNext/>
              <w:keepLines/>
              <w:suppressLineNumbers/>
              <w:ind w:right="-2"/>
              <w:jc w:val="center"/>
              <w:rPr>
                <w:b/>
                <w:bCs/>
                <w:sz w:val="20"/>
                <w:lang w:val="lv-LV"/>
              </w:rPr>
            </w:pPr>
            <w:r w:rsidRPr="00707120">
              <w:rPr>
                <w:b/>
                <w:bCs/>
                <w:sz w:val="20"/>
                <w:lang w:val="lv-LV"/>
              </w:rPr>
              <w:t>398</w:t>
            </w:r>
          </w:p>
        </w:tc>
        <w:tc>
          <w:tcPr>
            <w:tcW w:w="782" w:type="dxa"/>
            <w:tcBorders>
              <w:top w:val="single" w:sz="4" w:space="0" w:color="000000"/>
              <w:left w:val="single" w:sz="4" w:space="0" w:color="000000"/>
              <w:bottom w:val="single" w:sz="4" w:space="0" w:color="000000"/>
            </w:tcBorders>
          </w:tcPr>
          <w:p w14:paraId="50887E96" w14:textId="11E9F829" w:rsidR="00A453C3" w:rsidRPr="00707120" w:rsidDel="00BC6328" w:rsidRDefault="00A453C3" w:rsidP="00BC6328">
            <w:pPr>
              <w:keepNext/>
              <w:keepLines/>
              <w:suppressLineNumbers/>
              <w:ind w:right="-2"/>
              <w:jc w:val="center"/>
              <w:rPr>
                <w:del w:id="667" w:author="Author"/>
                <w:b/>
                <w:bCs/>
                <w:sz w:val="20"/>
                <w:lang w:val="lv-LV"/>
              </w:rPr>
            </w:pPr>
            <w:del w:id="668" w:author="Author">
              <w:r w:rsidRPr="00707120" w:rsidDel="00903A29">
                <w:rPr>
                  <w:b/>
                  <w:bCs/>
                  <w:sz w:val="20"/>
                  <w:lang w:val="lv-LV"/>
                </w:rPr>
                <w:delText>N</w:delText>
              </w:r>
            </w:del>
            <w:ins w:id="669" w:author="Author">
              <w:r w:rsidR="00903A29">
                <w:rPr>
                  <w:b/>
                  <w:bCs/>
                  <w:sz w:val="20"/>
                  <w:lang w:val="lv-LV"/>
                </w:rPr>
                <w:t>n</w:t>
              </w:r>
            </w:ins>
            <w:del w:id="670" w:author="Author">
              <w:r w:rsidRPr="00707120" w:rsidDel="00BC6328">
                <w:rPr>
                  <w:b/>
                  <w:bCs/>
                  <w:sz w:val="20"/>
                  <w:lang w:val="lv-LV"/>
                </w:rPr>
                <w:delText xml:space="preserve"> </w:delText>
              </w:r>
            </w:del>
            <w:r w:rsidRPr="00707120">
              <w:rPr>
                <w:b/>
                <w:bCs/>
                <w:sz w:val="20"/>
                <w:lang w:val="lv-LV"/>
              </w:rPr>
              <w:t>=</w:t>
            </w:r>
          </w:p>
          <w:p w14:paraId="1F6D0F05" w14:textId="77777777" w:rsidR="00A453C3" w:rsidRPr="00707120" w:rsidRDefault="00A453C3" w:rsidP="0067693D">
            <w:pPr>
              <w:keepNext/>
              <w:keepLines/>
              <w:suppressLineNumbers/>
              <w:ind w:right="-2"/>
              <w:jc w:val="center"/>
              <w:rPr>
                <w:b/>
                <w:bCs/>
                <w:sz w:val="20"/>
                <w:lang w:val="lv-LV"/>
              </w:rPr>
            </w:pPr>
            <w:r w:rsidRPr="00707120">
              <w:rPr>
                <w:b/>
                <w:bCs/>
                <w:sz w:val="20"/>
                <w:lang w:val="lv-LV"/>
              </w:rPr>
              <w:t>393</w:t>
            </w:r>
          </w:p>
        </w:tc>
        <w:tc>
          <w:tcPr>
            <w:tcW w:w="919" w:type="dxa"/>
            <w:tcBorders>
              <w:top w:val="single" w:sz="4" w:space="0" w:color="000000"/>
              <w:left w:val="single" w:sz="4" w:space="0" w:color="000000"/>
              <w:bottom w:val="single" w:sz="4" w:space="0" w:color="000000"/>
            </w:tcBorders>
          </w:tcPr>
          <w:p w14:paraId="35E5F414" w14:textId="691ECF4C" w:rsidR="00A453C3" w:rsidRPr="00707120" w:rsidDel="00BC6328" w:rsidRDefault="00A453C3" w:rsidP="00BC6328">
            <w:pPr>
              <w:keepNext/>
              <w:keepLines/>
              <w:suppressLineNumbers/>
              <w:ind w:right="-2"/>
              <w:jc w:val="center"/>
              <w:rPr>
                <w:del w:id="671" w:author="Author"/>
                <w:b/>
                <w:bCs/>
                <w:sz w:val="20"/>
                <w:lang w:val="lv-LV"/>
              </w:rPr>
            </w:pPr>
            <w:del w:id="672" w:author="Author">
              <w:r w:rsidRPr="00707120" w:rsidDel="00903A29">
                <w:rPr>
                  <w:b/>
                  <w:bCs/>
                  <w:sz w:val="20"/>
                  <w:lang w:val="lv-LV"/>
                </w:rPr>
                <w:delText>N</w:delText>
              </w:r>
            </w:del>
            <w:ins w:id="673" w:author="Author">
              <w:r w:rsidR="00903A29">
                <w:rPr>
                  <w:b/>
                  <w:bCs/>
                  <w:sz w:val="20"/>
                  <w:lang w:val="lv-LV"/>
                </w:rPr>
                <w:t>n</w:t>
              </w:r>
            </w:ins>
            <w:del w:id="674" w:author="Author">
              <w:r w:rsidRPr="00707120" w:rsidDel="00BC6328">
                <w:rPr>
                  <w:b/>
                  <w:bCs/>
                  <w:sz w:val="20"/>
                  <w:lang w:val="lv-LV"/>
                </w:rPr>
                <w:delText xml:space="preserve"> </w:delText>
              </w:r>
            </w:del>
            <w:r w:rsidRPr="00707120">
              <w:rPr>
                <w:b/>
                <w:bCs/>
                <w:sz w:val="20"/>
                <w:lang w:val="lv-LV"/>
              </w:rPr>
              <w:t>=</w:t>
            </w:r>
          </w:p>
          <w:p w14:paraId="51D1851F" w14:textId="77777777" w:rsidR="00A453C3" w:rsidRPr="00707120" w:rsidRDefault="00A453C3" w:rsidP="0067693D">
            <w:pPr>
              <w:keepNext/>
              <w:keepLines/>
              <w:suppressLineNumbers/>
              <w:ind w:right="-2"/>
              <w:jc w:val="center"/>
              <w:rPr>
                <w:b/>
                <w:bCs/>
                <w:sz w:val="20"/>
                <w:lang w:val="lv-LV"/>
              </w:rPr>
            </w:pPr>
            <w:r w:rsidRPr="00707120">
              <w:rPr>
                <w:b/>
                <w:bCs/>
                <w:sz w:val="20"/>
                <w:lang w:val="lv-LV"/>
              </w:rPr>
              <w:t>205</w:t>
            </w:r>
          </w:p>
        </w:tc>
        <w:tc>
          <w:tcPr>
            <w:tcW w:w="769" w:type="dxa"/>
            <w:tcBorders>
              <w:top w:val="single" w:sz="4" w:space="0" w:color="000000"/>
              <w:left w:val="single" w:sz="4" w:space="0" w:color="000000"/>
              <w:bottom w:val="single" w:sz="4" w:space="0" w:color="000000"/>
            </w:tcBorders>
          </w:tcPr>
          <w:p w14:paraId="6DECD8A4" w14:textId="739FD8BC" w:rsidR="00A453C3" w:rsidRPr="00707120" w:rsidDel="00BC6328" w:rsidRDefault="00A453C3" w:rsidP="00BC6328">
            <w:pPr>
              <w:keepNext/>
              <w:keepLines/>
              <w:suppressLineNumbers/>
              <w:ind w:right="-2"/>
              <w:jc w:val="center"/>
              <w:rPr>
                <w:del w:id="675" w:author="Author"/>
                <w:b/>
                <w:bCs/>
                <w:sz w:val="20"/>
                <w:lang w:val="lv-LV"/>
              </w:rPr>
            </w:pPr>
            <w:del w:id="676" w:author="Author">
              <w:r w:rsidRPr="00707120" w:rsidDel="00903A29">
                <w:rPr>
                  <w:b/>
                  <w:bCs/>
                  <w:sz w:val="20"/>
                  <w:lang w:val="lv-LV"/>
                </w:rPr>
                <w:delText>N</w:delText>
              </w:r>
            </w:del>
            <w:ins w:id="677" w:author="Author">
              <w:r w:rsidR="00903A29">
                <w:rPr>
                  <w:b/>
                  <w:bCs/>
                  <w:sz w:val="20"/>
                  <w:lang w:val="lv-LV"/>
                </w:rPr>
                <w:t>n</w:t>
              </w:r>
            </w:ins>
            <w:del w:id="678" w:author="Author">
              <w:r w:rsidRPr="00707120" w:rsidDel="00BC6328">
                <w:rPr>
                  <w:b/>
                  <w:bCs/>
                  <w:sz w:val="20"/>
                  <w:lang w:val="lv-LV"/>
                </w:rPr>
                <w:delText xml:space="preserve"> </w:delText>
              </w:r>
            </w:del>
            <w:r w:rsidRPr="00707120">
              <w:rPr>
                <w:b/>
                <w:bCs/>
                <w:sz w:val="20"/>
                <w:lang w:val="lv-LV"/>
              </w:rPr>
              <w:t>=</w:t>
            </w:r>
          </w:p>
          <w:p w14:paraId="323FF860" w14:textId="77777777" w:rsidR="00A453C3" w:rsidRPr="00707120" w:rsidRDefault="00A453C3" w:rsidP="0067693D">
            <w:pPr>
              <w:keepNext/>
              <w:keepLines/>
              <w:suppressLineNumbers/>
              <w:ind w:right="-2"/>
              <w:jc w:val="center"/>
              <w:rPr>
                <w:b/>
                <w:bCs/>
                <w:sz w:val="20"/>
                <w:lang w:val="lv-LV"/>
              </w:rPr>
            </w:pPr>
            <w:r w:rsidRPr="00707120">
              <w:rPr>
                <w:b/>
                <w:bCs/>
                <w:sz w:val="20"/>
                <w:lang w:val="lv-LV"/>
              </w:rPr>
              <w:t>204</w:t>
            </w:r>
          </w:p>
        </w:tc>
        <w:tc>
          <w:tcPr>
            <w:tcW w:w="929" w:type="dxa"/>
            <w:tcBorders>
              <w:top w:val="single" w:sz="4" w:space="0" w:color="000000"/>
              <w:left w:val="single" w:sz="4" w:space="0" w:color="000000"/>
              <w:bottom w:val="single" w:sz="4" w:space="0" w:color="000000"/>
            </w:tcBorders>
          </w:tcPr>
          <w:p w14:paraId="5B284AD2" w14:textId="72E65EBB" w:rsidR="00A453C3" w:rsidRPr="00707120" w:rsidDel="00BC6328" w:rsidRDefault="00A453C3" w:rsidP="00BC6328">
            <w:pPr>
              <w:keepNext/>
              <w:keepLines/>
              <w:suppressLineNumbers/>
              <w:ind w:right="-2"/>
              <w:jc w:val="center"/>
              <w:rPr>
                <w:del w:id="679" w:author="Author"/>
                <w:b/>
                <w:bCs/>
                <w:sz w:val="20"/>
                <w:lang w:val="lv-LV"/>
              </w:rPr>
            </w:pPr>
            <w:del w:id="680" w:author="Author">
              <w:r w:rsidRPr="00707120" w:rsidDel="00903A29">
                <w:rPr>
                  <w:b/>
                  <w:bCs/>
                  <w:sz w:val="20"/>
                  <w:lang w:val="lv-LV"/>
                </w:rPr>
                <w:delText>N</w:delText>
              </w:r>
            </w:del>
            <w:ins w:id="681" w:author="Author">
              <w:r w:rsidR="00903A29">
                <w:rPr>
                  <w:b/>
                  <w:bCs/>
                  <w:sz w:val="20"/>
                  <w:lang w:val="lv-LV"/>
                </w:rPr>
                <w:t>n</w:t>
              </w:r>
            </w:ins>
            <w:del w:id="682" w:author="Author">
              <w:r w:rsidRPr="00707120" w:rsidDel="00BC6328">
                <w:rPr>
                  <w:b/>
                  <w:bCs/>
                  <w:sz w:val="20"/>
                  <w:lang w:val="lv-LV"/>
                </w:rPr>
                <w:delText xml:space="preserve"> </w:delText>
              </w:r>
            </w:del>
            <w:r w:rsidRPr="00707120">
              <w:rPr>
                <w:b/>
                <w:bCs/>
                <w:sz w:val="20"/>
                <w:lang w:val="lv-LV"/>
              </w:rPr>
              <w:t>=</w:t>
            </w:r>
          </w:p>
          <w:p w14:paraId="33CB5339" w14:textId="77777777" w:rsidR="00A453C3" w:rsidRPr="00707120" w:rsidRDefault="00A453C3" w:rsidP="0067693D">
            <w:pPr>
              <w:keepNext/>
              <w:keepLines/>
              <w:suppressLineNumbers/>
              <w:ind w:right="-2"/>
              <w:jc w:val="center"/>
              <w:rPr>
                <w:b/>
                <w:bCs/>
                <w:sz w:val="20"/>
                <w:lang w:val="lv-LV"/>
              </w:rPr>
            </w:pPr>
            <w:r w:rsidRPr="00707120">
              <w:rPr>
                <w:b/>
                <w:bCs/>
                <w:sz w:val="20"/>
                <w:lang w:val="lv-LV"/>
              </w:rPr>
              <w:t>803</w:t>
            </w:r>
          </w:p>
        </w:tc>
        <w:tc>
          <w:tcPr>
            <w:tcW w:w="931" w:type="dxa"/>
            <w:gridSpan w:val="2"/>
            <w:tcBorders>
              <w:top w:val="single" w:sz="4" w:space="0" w:color="000000"/>
              <w:left w:val="single" w:sz="4" w:space="0" w:color="000000"/>
              <w:bottom w:val="single" w:sz="4" w:space="0" w:color="000000"/>
            </w:tcBorders>
          </w:tcPr>
          <w:p w14:paraId="1A4491FE" w14:textId="0AC8ECDC" w:rsidR="00A453C3" w:rsidRPr="00707120" w:rsidDel="00BC6328" w:rsidRDefault="00A453C3" w:rsidP="00BC6328">
            <w:pPr>
              <w:keepNext/>
              <w:keepLines/>
              <w:suppressLineNumbers/>
              <w:ind w:right="-2"/>
              <w:jc w:val="center"/>
              <w:rPr>
                <w:del w:id="683" w:author="Author"/>
                <w:b/>
                <w:bCs/>
                <w:sz w:val="20"/>
                <w:lang w:val="lv-LV"/>
              </w:rPr>
            </w:pPr>
            <w:del w:id="684" w:author="Author">
              <w:r w:rsidRPr="00707120" w:rsidDel="00903A29">
                <w:rPr>
                  <w:b/>
                  <w:bCs/>
                  <w:sz w:val="20"/>
                  <w:lang w:val="lv-LV"/>
                </w:rPr>
                <w:delText>N</w:delText>
              </w:r>
            </w:del>
            <w:ins w:id="685" w:author="Author">
              <w:r w:rsidR="00903A29">
                <w:rPr>
                  <w:b/>
                  <w:bCs/>
                  <w:sz w:val="20"/>
                  <w:lang w:val="lv-LV"/>
                </w:rPr>
                <w:t>n</w:t>
              </w:r>
            </w:ins>
            <w:del w:id="686" w:author="Author">
              <w:r w:rsidRPr="00707120" w:rsidDel="00BC6328">
                <w:rPr>
                  <w:b/>
                  <w:bCs/>
                  <w:sz w:val="20"/>
                  <w:lang w:val="lv-LV"/>
                </w:rPr>
                <w:delText xml:space="preserve"> </w:delText>
              </w:r>
            </w:del>
            <w:r w:rsidRPr="00707120">
              <w:rPr>
                <w:b/>
                <w:bCs/>
                <w:sz w:val="20"/>
                <w:lang w:val="lv-LV"/>
              </w:rPr>
              <w:t>=</w:t>
            </w:r>
          </w:p>
          <w:p w14:paraId="53A18069" w14:textId="77777777" w:rsidR="00A453C3" w:rsidRPr="00707120" w:rsidRDefault="00A453C3" w:rsidP="0067693D">
            <w:pPr>
              <w:keepNext/>
              <w:keepLines/>
              <w:suppressLineNumbers/>
              <w:ind w:right="-2"/>
              <w:jc w:val="center"/>
              <w:rPr>
                <w:b/>
                <w:bCs/>
                <w:sz w:val="20"/>
                <w:lang w:val="lv-LV"/>
              </w:rPr>
            </w:pPr>
            <w:r w:rsidRPr="00707120">
              <w:rPr>
                <w:b/>
                <w:bCs/>
                <w:sz w:val="20"/>
                <w:lang w:val="lv-LV"/>
              </w:rPr>
              <w:t>413</w:t>
            </w:r>
          </w:p>
        </w:tc>
        <w:tc>
          <w:tcPr>
            <w:tcW w:w="914" w:type="dxa"/>
            <w:tcBorders>
              <w:top w:val="single" w:sz="4" w:space="0" w:color="000000"/>
              <w:left w:val="single" w:sz="4" w:space="0" w:color="000000"/>
              <w:bottom w:val="single" w:sz="4" w:space="0" w:color="000000"/>
            </w:tcBorders>
          </w:tcPr>
          <w:p w14:paraId="75C80C64" w14:textId="2C10E218" w:rsidR="00A453C3" w:rsidRPr="00707120" w:rsidDel="00BC6328" w:rsidRDefault="00A453C3" w:rsidP="00BC6328">
            <w:pPr>
              <w:keepNext/>
              <w:keepLines/>
              <w:suppressLineNumbers/>
              <w:ind w:right="-2"/>
              <w:jc w:val="center"/>
              <w:rPr>
                <w:del w:id="687" w:author="Author"/>
                <w:b/>
                <w:bCs/>
                <w:sz w:val="20"/>
                <w:lang w:val="lv-LV"/>
              </w:rPr>
            </w:pPr>
            <w:del w:id="688" w:author="Author">
              <w:r w:rsidRPr="00707120" w:rsidDel="00903A29">
                <w:rPr>
                  <w:b/>
                  <w:bCs/>
                  <w:sz w:val="20"/>
                  <w:lang w:val="lv-LV"/>
                </w:rPr>
                <w:delText>N</w:delText>
              </w:r>
            </w:del>
            <w:ins w:id="689" w:author="Author">
              <w:r w:rsidR="00903A29">
                <w:rPr>
                  <w:b/>
                  <w:bCs/>
                  <w:sz w:val="20"/>
                  <w:lang w:val="lv-LV"/>
                </w:rPr>
                <w:t>n</w:t>
              </w:r>
            </w:ins>
            <w:del w:id="690" w:author="Author">
              <w:r w:rsidRPr="00707120" w:rsidDel="00BC6328">
                <w:rPr>
                  <w:b/>
                  <w:bCs/>
                  <w:sz w:val="20"/>
                  <w:lang w:val="lv-LV"/>
                </w:rPr>
                <w:delText xml:space="preserve"> </w:delText>
              </w:r>
            </w:del>
            <w:r w:rsidRPr="00707120">
              <w:rPr>
                <w:b/>
                <w:bCs/>
                <w:sz w:val="20"/>
                <w:lang w:val="lv-LV"/>
              </w:rPr>
              <w:t>=</w:t>
            </w:r>
          </w:p>
          <w:p w14:paraId="169046C6" w14:textId="77777777" w:rsidR="00A453C3" w:rsidRPr="00707120" w:rsidRDefault="00A453C3" w:rsidP="0067693D">
            <w:pPr>
              <w:keepNext/>
              <w:keepLines/>
              <w:suppressLineNumbers/>
              <w:ind w:right="-2"/>
              <w:jc w:val="center"/>
              <w:rPr>
                <w:b/>
                <w:bCs/>
                <w:sz w:val="20"/>
                <w:lang w:val="lv-LV"/>
              </w:rPr>
            </w:pPr>
            <w:r w:rsidRPr="00707120">
              <w:rPr>
                <w:b/>
                <w:bCs/>
                <w:sz w:val="20"/>
                <w:lang w:val="lv-LV"/>
              </w:rPr>
              <w:t>170</w:t>
            </w:r>
          </w:p>
        </w:tc>
        <w:tc>
          <w:tcPr>
            <w:tcW w:w="802" w:type="dxa"/>
            <w:tcBorders>
              <w:top w:val="single" w:sz="4" w:space="0" w:color="000000"/>
              <w:left w:val="single" w:sz="4" w:space="0" w:color="000000"/>
              <w:bottom w:val="single" w:sz="4" w:space="0" w:color="000000"/>
              <w:right w:val="single" w:sz="4" w:space="0" w:color="000000"/>
            </w:tcBorders>
          </w:tcPr>
          <w:p w14:paraId="37F7E9E1" w14:textId="4BCC06B5" w:rsidR="00A453C3" w:rsidRPr="00707120" w:rsidDel="00BC6328" w:rsidRDefault="00A453C3" w:rsidP="00BC6328">
            <w:pPr>
              <w:keepNext/>
              <w:keepLines/>
              <w:suppressLineNumbers/>
              <w:ind w:right="-2"/>
              <w:jc w:val="center"/>
              <w:rPr>
                <w:del w:id="691" w:author="Author"/>
                <w:b/>
                <w:bCs/>
                <w:sz w:val="20"/>
                <w:lang w:val="lv-LV"/>
              </w:rPr>
            </w:pPr>
            <w:del w:id="692" w:author="Author">
              <w:r w:rsidRPr="00707120" w:rsidDel="00903A29">
                <w:rPr>
                  <w:b/>
                  <w:bCs/>
                  <w:sz w:val="20"/>
                  <w:lang w:val="lv-LV"/>
                </w:rPr>
                <w:delText>N</w:delText>
              </w:r>
            </w:del>
            <w:ins w:id="693" w:author="Author">
              <w:r w:rsidR="00903A29">
                <w:rPr>
                  <w:b/>
                  <w:bCs/>
                  <w:sz w:val="20"/>
                  <w:lang w:val="lv-LV"/>
                </w:rPr>
                <w:t>n</w:t>
              </w:r>
            </w:ins>
            <w:del w:id="694" w:author="Author">
              <w:r w:rsidRPr="00707120" w:rsidDel="00BC6328">
                <w:rPr>
                  <w:b/>
                  <w:bCs/>
                  <w:sz w:val="20"/>
                  <w:lang w:val="lv-LV"/>
                </w:rPr>
                <w:delText xml:space="preserve"> </w:delText>
              </w:r>
            </w:del>
            <w:r w:rsidRPr="00707120">
              <w:rPr>
                <w:b/>
                <w:bCs/>
                <w:sz w:val="20"/>
                <w:lang w:val="lv-LV"/>
              </w:rPr>
              <w:t>=</w:t>
            </w:r>
          </w:p>
          <w:p w14:paraId="3CD42F4F" w14:textId="77777777" w:rsidR="00A453C3" w:rsidRPr="00707120" w:rsidRDefault="00A453C3" w:rsidP="0067693D">
            <w:pPr>
              <w:keepNext/>
              <w:keepLines/>
              <w:suppressLineNumbers/>
              <w:ind w:right="-2"/>
              <w:jc w:val="center"/>
              <w:rPr>
                <w:b/>
                <w:sz w:val="20"/>
                <w:lang w:val="lv-LV"/>
              </w:rPr>
            </w:pPr>
            <w:r w:rsidRPr="00707120">
              <w:rPr>
                <w:b/>
                <w:bCs/>
                <w:sz w:val="20"/>
                <w:lang w:val="lv-LV"/>
              </w:rPr>
              <w:t>158</w:t>
            </w:r>
          </w:p>
        </w:tc>
      </w:tr>
      <w:tr w:rsidR="00A453C3" w:rsidRPr="007F7850" w14:paraId="7D0788D2" w14:textId="77777777" w:rsidTr="0067693D">
        <w:tc>
          <w:tcPr>
            <w:tcW w:w="9317" w:type="dxa"/>
            <w:gridSpan w:val="13"/>
            <w:tcBorders>
              <w:top w:val="single" w:sz="4" w:space="0" w:color="000000"/>
              <w:left w:val="single" w:sz="4" w:space="0" w:color="000000"/>
              <w:bottom w:val="single" w:sz="4" w:space="0" w:color="000000"/>
              <w:right w:val="single" w:sz="4" w:space="0" w:color="000000"/>
            </w:tcBorders>
          </w:tcPr>
          <w:p w14:paraId="187C8BAF" w14:textId="3820F3ED" w:rsidR="00A453C3" w:rsidRPr="00707120" w:rsidRDefault="00A453C3" w:rsidP="0067693D">
            <w:pPr>
              <w:keepNext/>
              <w:keepLines/>
              <w:suppressLineNumbers/>
              <w:ind w:right="-2"/>
              <w:jc w:val="center"/>
              <w:rPr>
                <w:sz w:val="20"/>
                <w:lang w:val="lv-LV"/>
              </w:rPr>
            </w:pPr>
            <w:r w:rsidRPr="00707120">
              <w:rPr>
                <w:b/>
                <w:sz w:val="20"/>
                <w:lang w:val="lv-LV"/>
              </w:rPr>
              <w:t>ACR 20</w:t>
            </w:r>
          </w:p>
        </w:tc>
      </w:tr>
      <w:tr w:rsidR="00A453C3" w:rsidRPr="007F7850" w14:paraId="7E44962D" w14:textId="77777777" w:rsidTr="00707120">
        <w:tc>
          <w:tcPr>
            <w:tcW w:w="772" w:type="dxa"/>
            <w:gridSpan w:val="2"/>
            <w:tcBorders>
              <w:top w:val="single" w:sz="4" w:space="0" w:color="000000"/>
              <w:left w:val="single" w:sz="4" w:space="0" w:color="000000"/>
              <w:bottom w:val="single" w:sz="4" w:space="0" w:color="000000"/>
            </w:tcBorders>
          </w:tcPr>
          <w:p w14:paraId="2518CEBC" w14:textId="77777777" w:rsidR="00A453C3" w:rsidRPr="00707120" w:rsidRDefault="00A453C3" w:rsidP="0067693D">
            <w:pPr>
              <w:keepNext/>
              <w:keepLines/>
              <w:suppressLineNumbers/>
              <w:ind w:right="-2"/>
              <w:jc w:val="center"/>
              <w:rPr>
                <w:sz w:val="20"/>
                <w:lang w:val="lv-LV"/>
              </w:rPr>
            </w:pPr>
            <w:r w:rsidRPr="00707120">
              <w:rPr>
                <w:sz w:val="20"/>
                <w:lang w:val="lv-LV"/>
              </w:rPr>
              <w:t>24.</w:t>
            </w:r>
          </w:p>
        </w:tc>
        <w:tc>
          <w:tcPr>
            <w:tcW w:w="922" w:type="dxa"/>
            <w:tcBorders>
              <w:top w:val="single" w:sz="4" w:space="0" w:color="000000"/>
              <w:left w:val="single" w:sz="4" w:space="0" w:color="000000"/>
              <w:bottom w:val="single" w:sz="4" w:space="0" w:color="000000"/>
            </w:tcBorders>
          </w:tcPr>
          <w:p w14:paraId="43BFD23F" w14:textId="77777777" w:rsidR="00A453C3" w:rsidRPr="00707120" w:rsidRDefault="00A453C3" w:rsidP="0067693D">
            <w:pPr>
              <w:keepNext/>
              <w:keepLines/>
              <w:suppressLineNumbers/>
              <w:ind w:right="-2"/>
              <w:jc w:val="center"/>
              <w:rPr>
                <w:sz w:val="20"/>
                <w:lang w:val="lv-LV"/>
              </w:rPr>
            </w:pPr>
            <w:r w:rsidRPr="00707120">
              <w:rPr>
                <w:sz w:val="20"/>
                <w:lang w:val="lv-LV"/>
              </w:rPr>
              <w:t>70%***</w:t>
            </w:r>
          </w:p>
        </w:tc>
        <w:tc>
          <w:tcPr>
            <w:tcW w:w="671" w:type="dxa"/>
            <w:tcBorders>
              <w:top w:val="single" w:sz="4" w:space="0" w:color="000000"/>
              <w:left w:val="single" w:sz="4" w:space="0" w:color="000000"/>
              <w:bottom w:val="single" w:sz="4" w:space="0" w:color="000000"/>
            </w:tcBorders>
          </w:tcPr>
          <w:p w14:paraId="30F18D75" w14:textId="77777777" w:rsidR="00A453C3" w:rsidRPr="00707120" w:rsidRDefault="00A453C3" w:rsidP="0067693D">
            <w:pPr>
              <w:keepNext/>
              <w:keepLines/>
              <w:suppressLineNumbers/>
              <w:ind w:right="-2"/>
              <w:jc w:val="center"/>
              <w:rPr>
                <w:sz w:val="20"/>
                <w:lang w:val="lv-LV"/>
              </w:rPr>
            </w:pPr>
            <w:r w:rsidRPr="00707120">
              <w:rPr>
                <w:sz w:val="20"/>
                <w:lang w:val="lv-LV"/>
              </w:rPr>
              <w:t>52%</w:t>
            </w:r>
          </w:p>
        </w:tc>
        <w:tc>
          <w:tcPr>
            <w:tcW w:w="906" w:type="dxa"/>
            <w:tcBorders>
              <w:top w:val="single" w:sz="4" w:space="0" w:color="000000"/>
              <w:left w:val="single" w:sz="4" w:space="0" w:color="000000"/>
              <w:bottom w:val="single" w:sz="4" w:space="0" w:color="000000"/>
            </w:tcBorders>
          </w:tcPr>
          <w:p w14:paraId="3DCCA1CA" w14:textId="77777777" w:rsidR="00A453C3" w:rsidRPr="00707120" w:rsidRDefault="00A453C3" w:rsidP="0067693D">
            <w:pPr>
              <w:keepNext/>
              <w:keepLines/>
              <w:suppressLineNumbers/>
              <w:ind w:right="-2"/>
              <w:jc w:val="center"/>
              <w:rPr>
                <w:sz w:val="20"/>
                <w:lang w:val="lv-LV"/>
              </w:rPr>
            </w:pPr>
            <w:r w:rsidRPr="00707120">
              <w:rPr>
                <w:sz w:val="20"/>
                <w:lang w:val="lv-LV"/>
              </w:rPr>
              <w:t>56%***</w:t>
            </w:r>
          </w:p>
        </w:tc>
        <w:tc>
          <w:tcPr>
            <w:tcW w:w="782" w:type="dxa"/>
            <w:tcBorders>
              <w:top w:val="single" w:sz="4" w:space="0" w:color="000000"/>
              <w:left w:val="single" w:sz="4" w:space="0" w:color="000000"/>
              <w:bottom w:val="single" w:sz="4" w:space="0" w:color="000000"/>
            </w:tcBorders>
          </w:tcPr>
          <w:p w14:paraId="6E678584" w14:textId="77777777" w:rsidR="00A453C3" w:rsidRPr="00707120" w:rsidRDefault="00A453C3" w:rsidP="0067693D">
            <w:pPr>
              <w:keepNext/>
              <w:keepLines/>
              <w:suppressLineNumbers/>
              <w:ind w:right="-2"/>
              <w:jc w:val="center"/>
              <w:rPr>
                <w:sz w:val="20"/>
                <w:lang w:val="lv-LV"/>
              </w:rPr>
            </w:pPr>
            <w:r w:rsidRPr="00707120">
              <w:rPr>
                <w:sz w:val="20"/>
                <w:lang w:val="lv-LV"/>
              </w:rPr>
              <w:t>27%</w:t>
            </w:r>
          </w:p>
        </w:tc>
        <w:tc>
          <w:tcPr>
            <w:tcW w:w="919" w:type="dxa"/>
            <w:tcBorders>
              <w:top w:val="single" w:sz="4" w:space="0" w:color="000000"/>
              <w:left w:val="single" w:sz="4" w:space="0" w:color="000000"/>
              <w:bottom w:val="single" w:sz="4" w:space="0" w:color="000000"/>
            </w:tcBorders>
          </w:tcPr>
          <w:p w14:paraId="147A0F91" w14:textId="77777777" w:rsidR="00A453C3" w:rsidRPr="00707120" w:rsidRDefault="00A453C3" w:rsidP="0067693D">
            <w:pPr>
              <w:keepNext/>
              <w:keepLines/>
              <w:suppressLineNumbers/>
              <w:ind w:right="-2"/>
              <w:jc w:val="center"/>
              <w:rPr>
                <w:sz w:val="20"/>
                <w:lang w:val="lv-LV"/>
              </w:rPr>
            </w:pPr>
            <w:r w:rsidRPr="00707120">
              <w:rPr>
                <w:sz w:val="20"/>
                <w:lang w:val="lv-LV"/>
              </w:rPr>
              <w:t>59%***</w:t>
            </w:r>
          </w:p>
        </w:tc>
        <w:tc>
          <w:tcPr>
            <w:tcW w:w="769" w:type="dxa"/>
            <w:tcBorders>
              <w:top w:val="single" w:sz="4" w:space="0" w:color="000000"/>
              <w:left w:val="single" w:sz="4" w:space="0" w:color="000000"/>
              <w:bottom w:val="single" w:sz="4" w:space="0" w:color="000000"/>
            </w:tcBorders>
          </w:tcPr>
          <w:p w14:paraId="29B3F5D5" w14:textId="77777777" w:rsidR="00A453C3" w:rsidRPr="00707120" w:rsidRDefault="00A453C3" w:rsidP="0067693D">
            <w:pPr>
              <w:keepNext/>
              <w:keepLines/>
              <w:suppressLineNumbers/>
              <w:ind w:right="-2"/>
              <w:jc w:val="center"/>
              <w:rPr>
                <w:sz w:val="20"/>
                <w:lang w:val="lv-LV"/>
              </w:rPr>
            </w:pPr>
            <w:r w:rsidRPr="00707120">
              <w:rPr>
                <w:sz w:val="20"/>
                <w:lang w:val="lv-LV"/>
              </w:rPr>
              <w:t>26%</w:t>
            </w:r>
          </w:p>
        </w:tc>
        <w:tc>
          <w:tcPr>
            <w:tcW w:w="929" w:type="dxa"/>
            <w:tcBorders>
              <w:top w:val="single" w:sz="4" w:space="0" w:color="000000"/>
              <w:left w:val="single" w:sz="4" w:space="0" w:color="000000"/>
              <w:bottom w:val="single" w:sz="4" w:space="0" w:color="000000"/>
            </w:tcBorders>
          </w:tcPr>
          <w:p w14:paraId="77EAC325" w14:textId="77777777" w:rsidR="00A453C3" w:rsidRPr="00707120" w:rsidRDefault="00A453C3" w:rsidP="0067693D">
            <w:pPr>
              <w:keepNext/>
              <w:keepLines/>
              <w:suppressLineNumbers/>
              <w:ind w:right="-2"/>
              <w:jc w:val="center"/>
              <w:rPr>
                <w:sz w:val="20"/>
                <w:lang w:val="lv-LV"/>
              </w:rPr>
            </w:pPr>
            <w:r w:rsidRPr="00707120">
              <w:rPr>
                <w:sz w:val="20"/>
                <w:lang w:val="lv-LV"/>
              </w:rPr>
              <w:t>61%***</w:t>
            </w:r>
          </w:p>
        </w:tc>
        <w:tc>
          <w:tcPr>
            <w:tcW w:w="931" w:type="dxa"/>
            <w:gridSpan w:val="2"/>
            <w:tcBorders>
              <w:top w:val="single" w:sz="4" w:space="0" w:color="000000"/>
              <w:left w:val="single" w:sz="4" w:space="0" w:color="000000"/>
              <w:bottom w:val="single" w:sz="4" w:space="0" w:color="000000"/>
            </w:tcBorders>
          </w:tcPr>
          <w:p w14:paraId="044D4952" w14:textId="77777777" w:rsidR="00A453C3" w:rsidRPr="00707120" w:rsidRDefault="00A453C3" w:rsidP="0067693D">
            <w:pPr>
              <w:keepNext/>
              <w:keepLines/>
              <w:suppressLineNumbers/>
              <w:ind w:right="-2"/>
              <w:jc w:val="center"/>
              <w:rPr>
                <w:sz w:val="20"/>
                <w:lang w:val="lv-LV"/>
              </w:rPr>
            </w:pPr>
            <w:r w:rsidRPr="00707120">
              <w:rPr>
                <w:sz w:val="20"/>
                <w:lang w:val="lv-LV"/>
              </w:rPr>
              <w:t>24%</w:t>
            </w:r>
          </w:p>
        </w:tc>
        <w:tc>
          <w:tcPr>
            <w:tcW w:w="914" w:type="dxa"/>
            <w:tcBorders>
              <w:top w:val="single" w:sz="4" w:space="0" w:color="000000"/>
              <w:left w:val="single" w:sz="4" w:space="0" w:color="000000"/>
              <w:bottom w:val="single" w:sz="4" w:space="0" w:color="000000"/>
            </w:tcBorders>
          </w:tcPr>
          <w:p w14:paraId="24029167" w14:textId="77777777" w:rsidR="00A453C3" w:rsidRPr="00707120" w:rsidRDefault="00A453C3" w:rsidP="0067693D">
            <w:pPr>
              <w:keepNext/>
              <w:keepLines/>
              <w:suppressLineNumbers/>
              <w:ind w:right="-2"/>
              <w:jc w:val="center"/>
              <w:rPr>
                <w:sz w:val="20"/>
                <w:lang w:val="lv-LV"/>
              </w:rPr>
            </w:pPr>
            <w:r w:rsidRPr="00707120">
              <w:rPr>
                <w:sz w:val="20"/>
                <w:lang w:val="lv-LV"/>
              </w:rPr>
              <w:t>50%***</w:t>
            </w:r>
          </w:p>
        </w:tc>
        <w:tc>
          <w:tcPr>
            <w:tcW w:w="802" w:type="dxa"/>
            <w:tcBorders>
              <w:top w:val="single" w:sz="4" w:space="0" w:color="000000"/>
              <w:left w:val="single" w:sz="4" w:space="0" w:color="000000"/>
              <w:bottom w:val="single" w:sz="4" w:space="0" w:color="000000"/>
              <w:right w:val="single" w:sz="4" w:space="0" w:color="000000"/>
            </w:tcBorders>
          </w:tcPr>
          <w:p w14:paraId="1190E241" w14:textId="77777777" w:rsidR="00A453C3" w:rsidRPr="00707120" w:rsidRDefault="00A453C3" w:rsidP="0067693D">
            <w:pPr>
              <w:keepNext/>
              <w:keepLines/>
              <w:suppressLineNumbers/>
              <w:ind w:right="-2"/>
              <w:jc w:val="center"/>
              <w:rPr>
                <w:sz w:val="20"/>
                <w:lang w:val="lv-LV"/>
              </w:rPr>
            </w:pPr>
            <w:r w:rsidRPr="00707120">
              <w:rPr>
                <w:sz w:val="20"/>
                <w:lang w:val="lv-LV"/>
              </w:rPr>
              <w:t>10%</w:t>
            </w:r>
          </w:p>
        </w:tc>
      </w:tr>
      <w:tr w:rsidR="00A453C3" w:rsidRPr="007F7850" w14:paraId="34EBD29F" w14:textId="77777777" w:rsidTr="00707120">
        <w:tc>
          <w:tcPr>
            <w:tcW w:w="772" w:type="dxa"/>
            <w:gridSpan w:val="2"/>
            <w:tcBorders>
              <w:top w:val="single" w:sz="4" w:space="0" w:color="000000"/>
              <w:left w:val="single" w:sz="4" w:space="0" w:color="000000"/>
              <w:bottom w:val="single" w:sz="4" w:space="0" w:color="000000"/>
            </w:tcBorders>
          </w:tcPr>
          <w:p w14:paraId="28422FE4" w14:textId="77777777" w:rsidR="00A453C3" w:rsidRPr="00707120" w:rsidRDefault="00A453C3" w:rsidP="0067693D">
            <w:pPr>
              <w:keepNext/>
              <w:keepLines/>
              <w:suppressLineNumbers/>
              <w:ind w:right="-2"/>
              <w:jc w:val="center"/>
              <w:rPr>
                <w:sz w:val="20"/>
                <w:lang w:val="lv-LV"/>
              </w:rPr>
            </w:pPr>
            <w:r w:rsidRPr="00707120">
              <w:rPr>
                <w:sz w:val="20"/>
                <w:lang w:val="lv-LV"/>
              </w:rPr>
              <w:t>52.</w:t>
            </w:r>
          </w:p>
        </w:tc>
        <w:tc>
          <w:tcPr>
            <w:tcW w:w="922" w:type="dxa"/>
            <w:tcBorders>
              <w:top w:val="single" w:sz="4" w:space="0" w:color="000000"/>
              <w:left w:val="single" w:sz="4" w:space="0" w:color="000000"/>
              <w:bottom w:val="single" w:sz="4" w:space="0" w:color="000000"/>
            </w:tcBorders>
          </w:tcPr>
          <w:p w14:paraId="0E33F4E7" w14:textId="77777777" w:rsidR="00A453C3" w:rsidRPr="00707120" w:rsidRDefault="00A453C3" w:rsidP="0067693D">
            <w:pPr>
              <w:keepNext/>
              <w:keepLines/>
              <w:suppressLineNumbers/>
              <w:snapToGrid w:val="0"/>
              <w:ind w:right="-2"/>
              <w:jc w:val="center"/>
              <w:rPr>
                <w:sz w:val="20"/>
                <w:lang w:val="lv-LV"/>
              </w:rPr>
            </w:pPr>
          </w:p>
        </w:tc>
        <w:tc>
          <w:tcPr>
            <w:tcW w:w="671" w:type="dxa"/>
            <w:tcBorders>
              <w:top w:val="single" w:sz="4" w:space="0" w:color="000000"/>
              <w:left w:val="single" w:sz="4" w:space="0" w:color="000000"/>
              <w:bottom w:val="single" w:sz="4" w:space="0" w:color="000000"/>
            </w:tcBorders>
          </w:tcPr>
          <w:p w14:paraId="7A4708CC" w14:textId="77777777" w:rsidR="00A453C3" w:rsidRPr="00707120" w:rsidRDefault="00A453C3" w:rsidP="0067693D">
            <w:pPr>
              <w:keepNext/>
              <w:keepLines/>
              <w:suppressLineNumbers/>
              <w:snapToGrid w:val="0"/>
              <w:ind w:right="-2"/>
              <w:jc w:val="center"/>
              <w:rPr>
                <w:sz w:val="20"/>
                <w:lang w:val="lv-LV"/>
              </w:rPr>
            </w:pPr>
          </w:p>
        </w:tc>
        <w:tc>
          <w:tcPr>
            <w:tcW w:w="906" w:type="dxa"/>
            <w:tcBorders>
              <w:top w:val="single" w:sz="4" w:space="0" w:color="000000"/>
              <w:left w:val="single" w:sz="4" w:space="0" w:color="000000"/>
              <w:bottom w:val="single" w:sz="4" w:space="0" w:color="000000"/>
            </w:tcBorders>
          </w:tcPr>
          <w:p w14:paraId="122973DF" w14:textId="77777777" w:rsidR="00A453C3" w:rsidRPr="00707120" w:rsidRDefault="00A453C3" w:rsidP="0067693D">
            <w:pPr>
              <w:keepNext/>
              <w:keepLines/>
              <w:suppressLineNumbers/>
              <w:ind w:right="-2"/>
              <w:jc w:val="center"/>
              <w:rPr>
                <w:sz w:val="20"/>
                <w:lang w:val="lv-LV"/>
              </w:rPr>
            </w:pPr>
            <w:r w:rsidRPr="00707120">
              <w:rPr>
                <w:sz w:val="20"/>
                <w:lang w:val="lv-LV"/>
              </w:rPr>
              <w:t>56%***</w:t>
            </w:r>
          </w:p>
        </w:tc>
        <w:tc>
          <w:tcPr>
            <w:tcW w:w="782" w:type="dxa"/>
            <w:tcBorders>
              <w:top w:val="single" w:sz="4" w:space="0" w:color="000000"/>
              <w:left w:val="single" w:sz="4" w:space="0" w:color="000000"/>
              <w:bottom w:val="single" w:sz="4" w:space="0" w:color="000000"/>
            </w:tcBorders>
          </w:tcPr>
          <w:p w14:paraId="5B4EEBEE" w14:textId="77777777" w:rsidR="00A453C3" w:rsidRPr="00707120" w:rsidRDefault="00A453C3" w:rsidP="0067693D">
            <w:pPr>
              <w:keepNext/>
              <w:keepLines/>
              <w:suppressLineNumbers/>
              <w:ind w:right="-2"/>
              <w:jc w:val="center"/>
              <w:rPr>
                <w:sz w:val="20"/>
                <w:lang w:val="lv-LV"/>
              </w:rPr>
            </w:pPr>
            <w:r w:rsidRPr="00707120">
              <w:rPr>
                <w:sz w:val="20"/>
                <w:lang w:val="lv-LV"/>
              </w:rPr>
              <w:t>25%</w:t>
            </w:r>
          </w:p>
        </w:tc>
        <w:tc>
          <w:tcPr>
            <w:tcW w:w="919" w:type="dxa"/>
            <w:tcBorders>
              <w:top w:val="single" w:sz="4" w:space="0" w:color="000000"/>
              <w:left w:val="single" w:sz="4" w:space="0" w:color="000000"/>
              <w:bottom w:val="single" w:sz="4" w:space="0" w:color="000000"/>
            </w:tcBorders>
          </w:tcPr>
          <w:p w14:paraId="7DBDF2F5" w14:textId="77777777" w:rsidR="00A453C3" w:rsidRPr="00707120" w:rsidRDefault="00A453C3" w:rsidP="0067693D">
            <w:pPr>
              <w:keepNext/>
              <w:keepLines/>
              <w:suppressLineNumbers/>
              <w:snapToGrid w:val="0"/>
              <w:ind w:right="-2"/>
              <w:jc w:val="center"/>
              <w:rPr>
                <w:sz w:val="20"/>
                <w:lang w:val="lv-LV"/>
              </w:rPr>
            </w:pPr>
          </w:p>
        </w:tc>
        <w:tc>
          <w:tcPr>
            <w:tcW w:w="769" w:type="dxa"/>
            <w:tcBorders>
              <w:top w:val="single" w:sz="4" w:space="0" w:color="000000"/>
              <w:left w:val="single" w:sz="4" w:space="0" w:color="000000"/>
              <w:bottom w:val="single" w:sz="4" w:space="0" w:color="000000"/>
            </w:tcBorders>
          </w:tcPr>
          <w:p w14:paraId="7B1E979D" w14:textId="77777777" w:rsidR="00A453C3" w:rsidRPr="00707120" w:rsidRDefault="00A453C3" w:rsidP="0067693D">
            <w:pPr>
              <w:keepNext/>
              <w:keepLines/>
              <w:suppressLineNumbers/>
              <w:snapToGrid w:val="0"/>
              <w:ind w:right="-2"/>
              <w:jc w:val="center"/>
              <w:rPr>
                <w:sz w:val="20"/>
                <w:lang w:val="lv-LV"/>
              </w:rPr>
            </w:pPr>
          </w:p>
        </w:tc>
        <w:tc>
          <w:tcPr>
            <w:tcW w:w="929" w:type="dxa"/>
            <w:tcBorders>
              <w:top w:val="single" w:sz="4" w:space="0" w:color="000000"/>
              <w:left w:val="single" w:sz="4" w:space="0" w:color="000000"/>
              <w:bottom w:val="single" w:sz="4" w:space="0" w:color="000000"/>
            </w:tcBorders>
          </w:tcPr>
          <w:p w14:paraId="5FAB508E" w14:textId="77777777" w:rsidR="00A453C3" w:rsidRPr="00707120" w:rsidRDefault="00A453C3" w:rsidP="0067693D">
            <w:pPr>
              <w:keepNext/>
              <w:keepLines/>
              <w:suppressLineNumbers/>
              <w:snapToGrid w:val="0"/>
              <w:ind w:right="-2"/>
              <w:jc w:val="center"/>
              <w:rPr>
                <w:sz w:val="20"/>
                <w:lang w:val="lv-LV"/>
              </w:rPr>
            </w:pPr>
          </w:p>
        </w:tc>
        <w:tc>
          <w:tcPr>
            <w:tcW w:w="931" w:type="dxa"/>
            <w:gridSpan w:val="2"/>
            <w:tcBorders>
              <w:top w:val="single" w:sz="4" w:space="0" w:color="000000"/>
              <w:left w:val="single" w:sz="4" w:space="0" w:color="000000"/>
              <w:bottom w:val="single" w:sz="4" w:space="0" w:color="000000"/>
            </w:tcBorders>
          </w:tcPr>
          <w:p w14:paraId="4A3E2E6D" w14:textId="77777777" w:rsidR="00A453C3" w:rsidRPr="00707120" w:rsidRDefault="00A453C3" w:rsidP="0067693D">
            <w:pPr>
              <w:keepNext/>
              <w:keepLines/>
              <w:suppressLineNumbers/>
              <w:snapToGrid w:val="0"/>
              <w:ind w:right="-2"/>
              <w:jc w:val="center"/>
              <w:rPr>
                <w:sz w:val="20"/>
                <w:lang w:val="lv-LV"/>
              </w:rPr>
            </w:pPr>
          </w:p>
        </w:tc>
        <w:tc>
          <w:tcPr>
            <w:tcW w:w="914" w:type="dxa"/>
            <w:tcBorders>
              <w:top w:val="single" w:sz="4" w:space="0" w:color="000000"/>
              <w:left w:val="single" w:sz="4" w:space="0" w:color="000000"/>
              <w:bottom w:val="single" w:sz="4" w:space="0" w:color="000000"/>
            </w:tcBorders>
          </w:tcPr>
          <w:p w14:paraId="4E87F971" w14:textId="77777777" w:rsidR="00A453C3" w:rsidRPr="00707120" w:rsidRDefault="00A453C3" w:rsidP="0067693D">
            <w:pPr>
              <w:keepNext/>
              <w:keepLines/>
              <w:suppressLineNumbers/>
              <w:snapToGrid w:val="0"/>
              <w:ind w:right="-2"/>
              <w:jc w:val="center"/>
              <w:rPr>
                <w:sz w:val="20"/>
                <w:lang w:val="lv-LV"/>
              </w:rPr>
            </w:pPr>
          </w:p>
        </w:tc>
        <w:tc>
          <w:tcPr>
            <w:tcW w:w="802" w:type="dxa"/>
            <w:tcBorders>
              <w:top w:val="single" w:sz="4" w:space="0" w:color="000000"/>
              <w:left w:val="single" w:sz="4" w:space="0" w:color="000000"/>
              <w:bottom w:val="single" w:sz="4" w:space="0" w:color="000000"/>
              <w:right w:val="single" w:sz="4" w:space="0" w:color="000000"/>
            </w:tcBorders>
          </w:tcPr>
          <w:p w14:paraId="517948D4" w14:textId="77777777" w:rsidR="00A453C3" w:rsidRPr="00707120" w:rsidRDefault="00A453C3" w:rsidP="0067693D">
            <w:pPr>
              <w:keepNext/>
              <w:keepLines/>
              <w:suppressLineNumbers/>
              <w:snapToGrid w:val="0"/>
              <w:ind w:right="-2"/>
              <w:jc w:val="center"/>
              <w:rPr>
                <w:sz w:val="20"/>
                <w:lang w:val="lv-LV"/>
              </w:rPr>
            </w:pPr>
          </w:p>
        </w:tc>
      </w:tr>
      <w:tr w:rsidR="00A453C3" w:rsidRPr="007F7850" w14:paraId="3A574EA8" w14:textId="77777777" w:rsidTr="0067693D">
        <w:tc>
          <w:tcPr>
            <w:tcW w:w="9317" w:type="dxa"/>
            <w:gridSpan w:val="13"/>
            <w:tcBorders>
              <w:top w:val="single" w:sz="4" w:space="0" w:color="000000"/>
              <w:left w:val="single" w:sz="4" w:space="0" w:color="000000"/>
              <w:bottom w:val="single" w:sz="4" w:space="0" w:color="000000"/>
              <w:right w:val="single" w:sz="4" w:space="0" w:color="000000"/>
            </w:tcBorders>
          </w:tcPr>
          <w:p w14:paraId="55FBDCED" w14:textId="633A8B62" w:rsidR="00A453C3" w:rsidRPr="00707120" w:rsidRDefault="00A453C3" w:rsidP="0067693D">
            <w:pPr>
              <w:keepNext/>
              <w:keepLines/>
              <w:suppressLineNumbers/>
              <w:ind w:right="-2"/>
              <w:jc w:val="center"/>
              <w:rPr>
                <w:sz w:val="20"/>
                <w:lang w:val="lv-LV"/>
              </w:rPr>
            </w:pPr>
            <w:r w:rsidRPr="00707120">
              <w:rPr>
                <w:b/>
                <w:sz w:val="20"/>
                <w:lang w:val="lv-LV"/>
              </w:rPr>
              <w:t>ACR 50</w:t>
            </w:r>
          </w:p>
        </w:tc>
      </w:tr>
      <w:tr w:rsidR="00A453C3" w:rsidRPr="007F7850" w14:paraId="2FBB786D" w14:textId="77777777" w:rsidTr="00707120">
        <w:tc>
          <w:tcPr>
            <w:tcW w:w="772" w:type="dxa"/>
            <w:gridSpan w:val="2"/>
            <w:tcBorders>
              <w:top w:val="single" w:sz="4" w:space="0" w:color="000000"/>
              <w:left w:val="single" w:sz="4" w:space="0" w:color="000000"/>
              <w:bottom w:val="single" w:sz="4" w:space="0" w:color="000000"/>
            </w:tcBorders>
          </w:tcPr>
          <w:p w14:paraId="427165B6" w14:textId="77777777" w:rsidR="00A453C3" w:rsidRPr="00707120" w:rsidRDefault="00A453C3" w:rsidP="0067693D">
            <w:pPr>
              <w:keepNext/>
              <w:keepLines/>
              <w:suppressLineNumbers/>
              <w:ind w:right="-2"/>
              <w:jc w:val="center"/>
              <w:rPr>
                <w:sz w:val="20"/>
                <w:lang w:val="lv-LV"/>
              </w:rPr>
            </w:pPr>
            <w:r w:rsidRPr="00707120">
              <w:rPr>
                <w:sz w:val="20"/>
                <w:lang w:val="lv-LV"/>
              </w:rPr>
              <w:t>24.</w:t>
            </w:r>
          </w:p>
        </w:tc>
        <w:tc>
          <w:tcPr>
            <w:tcW w:w="922" w:type="dxa"/>
            <w:tcBorders>
              <w:top w:val="single" w:sz="4" w:space="0" w:color="000000"/>
              <w:left w:val="single" w:sz="4" w:space="0" w:color="000000"/>
              <w:bottom w:val="single" w:sz="4" w:space="0" w:color="000000"/>
            </w:tcBorders>
          </w:tcPr>
          <w:p w14:paraId="1357D96D" w14:textId="77777777" w:rsidR="00A453C3" w:rsidRPr="00707120" w:rsidRDefault="00A453C3" w:rsidP="0067693D">
            <w:pPr>
              <w:keepNext/>
              <w:keepLines/>
              <w:suppressLineNumbers/>
              <w:ind w:right="-2"/>
              <w:jc w:val="center"/>
              <w:rPr>
                <w:sz w:val="20"/>
                <w:lang w:val="lv-LV"/>
              </w:rPr>
            </w:pPr>
            <w:r w:rsidRPr="00707120">
              <w:rPr>
                <w:sz w:val="20"/>
                <w:lang w:val="lv-LV"/>
              </w:rPr>
              <w:t>44%**</w:t>
            </w:r>
          </w:p>
        </w:tc>
        <w:tc>
          <w:tcPr>
            <w:tcW w:w="671" w:type="dxa"/>
            <w:tcBorders>
              <w:top w:val="single" w:sz="4" w:space="0" w:color="000000"/>
              <w:left w:val="single" w:sz="4" w:space="0" w:color="000000"/>
              <w:bottom w:val="single" w:sz="4" w:space="0" w:color="000000"/>
            </w:tcBorders>
          </w:tcPr>
          <w:p w14:paraId="2C3CEA10" w14:textId="77777777" w:rsidR="00A453C3" w:rsidRPr="00707120" w:rsidRDefault="00A453C3" w:rsidP="0067693D">
            <w:pPr>
              <w:keepNext/>
              <w:keepLines/>
              <w:suppressLineNumbers/>
              <w:ind w:right="-2"/>
              <w:jc w:val="center"/>
              <w:rPr>
                <w:sz w:val="20"/>
                <w:lang w:val="lv-LV"/>
              </w:rPr>
            </w:pPr>
            <w:r w:rsidRPr="00707120">
              <w:rPr>
                <w:sz w:val="20"/>
                <w:lang w:val="lv-LV"/>
              </w:rPr>
              <w:t>33%</w:t>
            </w:r>
          </w:p>
        </w:tc>
        <w:tc>
          <w:tcPr>
            <w:tcW w:w="906" w:type="dxa"/>
            <w:tcBorders>
              <w:top w:val="single" w:sz="4" w:space="0" w:color="000000"/>
              <w:left w:val="single" w:sz="4" w:space="0" w:color="000000"/>
              <w:bottom w:val="single" w:sz="4" w:space="0" w:color="000000"/>
            </w:tcBorders>
          </w:tcPr>
          <w:p w14:paraId="37EC3BE2" w14:textId="77777777" w:rsidR="00A453C3" w:rsidRPr="00707120" w:rsidRDefault="00A453C3" w:rsidP="0067693D">
            <w:pPr>
              <w:keepNext/>
              <w:keepLines/>
              <w:suppressLineNumbers/>
              <w:ind w:right="-2"/>
              <w:jc w:val="center"/>
              <w:rPr>
                <w:sz w:val="20"/>
                <w:lang w:val="lv-LV"/>
              </w:rPr>
            </w:pPr>
            <w:r w:rsidRPr="00707120">
              <w:rPr>
                <w:sz w:val="20"/>
                <w:lang w:val="lv-LV"/>
              </w:rPr>
              <w:t>32%***</w:t>
            </w:r>
          </w:p>
        </w:tc>
        <w:tc>
          <w:tcPr>
            <w:tcW w:w="782" w:type="dxa"/>
            <w:tcBorders>
              <w:top w:val="single" w:sz="4" w:space="0" w:color="000000"/>
              <w:left w:val="single" w:sz="4" w:space="0" w:color="000000"/>
              <w:bottom w:val="single" w:sz="4" w:space="0" w:color="000000"/>
            </w:tcBorders>
          </w:tcPr>
          <w:p w14:paraId="7CC21F4B" w14:textId="77777777" w:rsidR="00A453C3" w:rsidRPr="00707120" w:rsidRDefault="00A453C3" w:rsidP="0067693D">
            <w:pPr>
              <w:keepNext/>
              <w:keepLines/>
              <w:suppressLineNumbers/>
              <w:ind w:right="-2"/>
              <w:jc w:val="center"/>
              <w:rPr>
                <w:sz w:val="20"/>
                <w:lang w:val="lv-LV"/>
              </w:rPr>
            </w:pPr>
            <w:r w:rsidRPr="00707120">
              <w:rPr>
                <w:sz w:val="20"/>
                <w:lang w:val="lv-LV"/>
              </w:rPr>
              <w:t>10%</w:t>
            </w:r>
          </w:p>
        </w:tc>
        <w:tc>
          <w:tcPr>
            <w:tcW w:w="919" w:type="dxa"/>
            <w:tcBorders>
              <w:top w:val="single" w:sz="4" w:space="0" w:color="000000"/>
              <w:left w:val="single" w:sz="4" w:space="0" w:color="000000"/>
              <w:bottom w:val="single" w:sz="4" w:space="0" w:color="000000"/>
            </w:tcBorders>
          </w:tcPr>
          <w:p w14:paraId="3E378A6A" w14:textId="77777777" w:rsidR="00A453C3" w:rsidRPr="00707120" w:rsidRDefault="00A453C3" w:rsidP="0067693D">
            <w:pPr>
              <w:keepNext/>
              <w:keepLines/>
              <w:suppressLineNumbers/>
              <w:ind w:right="-2"/>
              <w:jc w:val="center"/>
              <w:rPr>
                <w:sz w:val="20"/>
                <w:lang w:val="lv-LV"/>
              </w:rPr>
            </w:pPr>
            <w:r w:rsidRPr="00707120">
              <w:rPr>
                <w:sz w:val="20"/>
                <w:lang w:val="lv-LV"/>
              </w:rPr>
              <w:t>44%***</w:t>
            </w:r>
          </w:p>
        </w:tc>
        <w:tc>
          <w:tcPr>
            <w:tcW w:w="769" w:type="dxa"/>
            <w:tcBorders>
              <w:top w:val="single" w:sz="4" w:space="0" w:color="000000"/>
              <w:left w:val="single" w:sz="4" w:space="0" w:color="000000"/>
              <w:bottom w:val="single" w:sz="4" w:space="0" w:color="000000"/>
            </w:tcBorders>
          </w:tcPr>
          <w:p w14:paraId="73C5DC3F" w14:textId="77777777" w:rsidR="00A453C3" w:rsidRPr="00707120" w:rsidRDefault="00A453C3" w:rsidP="0067693D">
            <w:pPr>
              <w:keepNext/>
              <w:keepLines/>
              <w:suppressLineNumbers/>
              <w:ind w:right="-2"/>
              <w:jc w:val="center"/>
              <w:rPr>
                <w:sz w:val="20"/>
                <w:lang w:val="lv-LV"/>
              </w:rPr>
            </w:pPr>
            <w:r w:rsidRPr="00707120">
              <w:rPr>
                <w:sz w:val="20"/>
                <w:lang w:val="lv-LV"/>
              </w:rPr>
              <w:t>11%</w:t>
            </w:r>
          </w:p>
        </w:tc>
        <w:tc>
          <w:tcPr>
            <w:tcW w:w="929" w:type="dxa"/>
            <w:tcBorders>
              <w:top w:val="single" w:sz="4" w:space="0" w:color="000000"/>
              <w:left w:val="single" w:sz="4" w:space="0" w:color="000000"/>
              <w:bottom w:val="single" w:sz="4" w:space="0" w:color="000000"/>
            </w:tcBorders>
          </w:tcPr>
          <w:p w14:paraId="089F51A1" w14:textId="77777777" w:rsidR="00A453C3" w:rsidRPr="00707120" w:rsidRDefault="00A453C3" w:rsidP="0067693D">
            <w:pPr>
              <w:keepNext/>
              <w:keepLines/>
              <w:suppressLineNumbers/>
              <w:ind w:right="-2"/>
              <w:jc w:val="center"/>
              <w:rPr>
                <w:sz w:val="20"/>
                <w:lang w:val="lv-LV"/>
              </w:rPr>
            </w:pPr>
            <w:r w:rsidRPr="00707120">
              <w:rPr>
                <w:sz w:val="20"/>
                <w:lang w:val="lv-LV"/>
              </w:rPr>
              <w:t>38%***</w:t>
            </w:r>
          </w:p>
        </w:tc>
        <w:tc>
          <w:tcPr>
            <w:tcW w:w="920" w:type="dxa"/>
            <w:tcBorders>
              <w:top w:val="single" w:sz="4" w:space="0" w:color="000000"/>
              <w:left w:val="single" w:sz="4" w:space="0" w:color="000000"/>
              <w:bottom w:val="single" w:sz="4" w:space="0" w:color="000000"/>
            </w:tcBorders>
          </w:tcPr>
          <w:p w14:paraId="630B40F6" w14:textId="77777777" w:rsidR="00A453C3" w:rsidRPr="00707120" w:rsidRDefault="00A453C3" w:rsidP="0067693D">
            <w:pPr>
              <w:keepNext/>
              <w:keepLines/>
              <w:suppressLineNumbers/>
              <w:ind w:right="-2"/>
              <w:jc w:val="center"/>
              <w:rPr>
                <w:sz w:val="20"/>
                <w:lang w:val="lv-LV"/>
              </w:rPr>
            </w:pPr>
            <w:r w:rsidRPr="00707120">
              <w:rPr>
                <w:sz w:val="20"/>
                <w:lang w:val="lv-LV"/>
              </w:rPr>
              <w:t>9%</w:t>
            </w:r>
          </w:p>
        </w:tc>
        <w:tc>
          <w:tcPr>
            <w:tcW w:w="925" w:type="dxa"/>
            <w:gridSpan w:val="2"/>
            <w:tcBorders>
              <w:top w:val="single" w:sz="4" w:space="0" w:color="000000"/>
              <w:left w:val="single" w:sz="4" w:space="0" w:color="000000"/>
              <w:bottom w:val="single" w:sz="4" w:space="0" w:color="000000"/>
            </w:tcBorders>
          </w:tcPr>
          <w:p w14:paraId="41C81567" w14:textId="77777777" w:rsidR="00A453C3" w:rsidRPr="00707120" w:rsidRDefault="00A453C3" w:rsidP="0067693D">
            <w:pPr>
              <w:keepNext/>
              <w:keepLines/>
              <w:suppressLineNumbers/>
              <w:ind w:right="-2"/>
              <w:jc w:val="center"/>
              <w:rPr>
                <w:sz w:val="20"/>
                <w:lang w:val="lv-LV"/>
              </w:rPr>
            </w:pPr>
            <w:r w:rsidRPr="00707120">
              <w:rPr>
                <w:sz w:val="20"/>
                <w:lang w:val="lv-LV"/>
              </w:rPr>
              <w:t>29%***</w:t>
            </w:r>
          </w:p>
        </w:tc>
        <w:tc>
          <w:tcPr>
            <w:tcW w:w="802" w:type="dxa"/>
            <w:tcBorders>
              <w:top w:val="single" w:sz="4" w:space="0" w:color="000000"/>
              <w:left w:val="single" w:sz="4" w:space="0" w:color="000000"/>
              <w:bottom w:val="single" w:sz="4" w:space="0" w:color="000000"/>
              <w:right w:val="single" w:sz="4" w:space="0" w:color="000000"/>
            </w:tcBorders>
          </w:tcPr>
          <w:p w14:paraId="33E9E9CF" w14:textId="77777777" w:rsidR="00A453C3" w:rsidRPr="00707120" w:rsidRDefault="00A453C3" w:rsidP="0067693D">
            <w:pPr>
              <w:keepNext/>
              <w:keepLines/>
              <w:suppressLineNumbers/>
              <w:ind w:right="-2"/>
              <w:jc w:val="center"/>
              <w:rPr>
                <w:sz w:val="20"/>
                <w:lang w:val="lv-LV"/>
              </w:rPr>
            </w:pPr>
            <w:r w:rsidRPr="00707120">
              <w:rPr>
                <w:sz w:val="20"/>
                <w:lang w:val="lv-LV"/>
              </w:rPr>
              <w:t>4%</w:t>
            </w:r>
          </w:p>
        </w:tc>
      </w:tr>
      <w:tr w:rsidR="00A453C3" w:rsidRPr="007F7850" w14:paraId="4A2EFF0C" w14:textId="77777777" w:rsidTr="00707120">
        <w:tc>
          <w:tcPr>
            <w:tcW w:w="772" w:type="dxa"/>
            <w:gridSpan w:val="2"/>
            <w:tcBorders>
              <w:top w:val="single" w:sz="4" w:space="0" w:color="000000"/>
              <w:left w:val="single" w:sz="4" w:space="0" w:color="000000"/>
              <w:bottom w:val="single" w:sz="4" w:space="0" w:color="000000"/>
            </w:tcBorders>
          </w:tcPr>
          <w:p w14:paraId="4607B95A" w14:textId="77777777" w:rsidR="00A453C3" w:rsidRPr="00707120" w:rsidRDefault="00A453C3" w:rsidP="0067693D">
            <w:pPr>
              <w:keepNext/>
              <w:keepLines/>
              <w:suppressLineNumbers/>
              <w:jc w:val="center"/>
              <w:rPr>
                <w:sz w:val="20"/>
                <w:lang w:val="lv-LV"/>
              </w:rPr>
            </w:pPr>
            <w:r w:rsidRPr="00707120">
              <w:rPr>
                <w:sz w:val="20"/>
                <w:lang w:val="lv-LV"/>
              </w:rPr>
              <w:t>52.</w:t>
            </w:r>
          </w:p>
        </w:tc>
        <w:tc>
          <w:tcPr>
            <w:tcW w:w="922" w:type="dxa"/>
            <w:tcBorders>
              <w:top w:val="single" w:sz="4" w:space="0" w:color="000000"/>
              <w:left w:val="single" w:sz="4" w:space="0" w:color="000000"/>
              <w:bottom w:val="single" w:sz="4" w:space="0" w:color="000000"/>
            </w:tcBorders>
          </w:tcPr>
          <w:p w14:paraId="315E7DAC" w14:textId="77777777" w:rsidR="00A453C3" w:rsidRPr="00707120" w:rsidRDefault="00A453C3" w:rsidP="0067693D">
            <w:pPr>
              <w:keepNext/>
              <w:keepLines/>
              <w:suppressLineNumbers/>
              <w:snapToGrid w:val="0"/>
              <w:jc w:val="center"/>
              <w:rPr>
                <w:sz w:val="20"/>
                <w:lang w:val="lv-LV"/>
              </w:rPr>
            </w:pPr>
          </w:p>
        </w:tc>
        <w:tc>
          <w:tcPr>
            <w:tcW w:w="671" w:type="dxa"/>
            <w:tcBorders>
              <w:top w:val="single" w:sz="4" w:space="0" w:color="000000"/>
              <w:left w:val="single" w:sz="4" w:space="0" w:color="000000"/>
              <w:bottom w:val="single" w:sz="4" w:space="0" w:color="000000"/>
            </w:tcBorders>
          </w:tcPr>
          <w:p w14:paraId="1108105F" w14:textId="77777777" w:rsidR="00A453C3" w:rsidRPr="00707120" w:rsidRDefault="00A453C3" w:rsidP="0067693D">
            <w:pPr>
              <w:keepNext/>
              <w:keepLines/>
              <w:suppressLineNumbers/>
              <w:snapToGrid w:val="0"/>
              <w:jc w:val="center"/>
              <w:rPr>
                <w:sz w:val="20"/>
                <w:lang w:val="lv-LV"/>
              </w:rPr>
            </w:pPr>
          </w:p>
        </w:tc>
        <w:tc>
          <w:tcPr>
            <w:tcW w:w="906" w:type="dxa"/>
            <w:tcBorders>
              <w:top w:val="single" w:sz="4" w:space="0" w:color="000000"/>
              <w:left w:val="single" w:sz="4" w:space="0" w:color="000000"/>
              <w:bottom w:val="single" w:sz="4" w:space="0" w:color="000000"/>
            </w:tcBorders>
          </w:tcPr>
          <w:p w14:paraId="7D68BAAA" w14:textId="77777777" w:rsidR="00A453C3" w:rsidRPr="00707120" w:rsidRDefault="00A453C3" w:rsidP="0067693D">
            <w:pPr>
              <w:keepNext/>
              <w:keepLines/>
              <w:suppressLineNumbers/>
              <w:jc w:val="center"/>
              <w:rPr>
                <w:sz w:val="20"/>
                <w:lang w:val="lv-LV"/>
              </w:rPr>
            </w:pPr>
            <w:r w:rsidRPr="00707120">
              <w:rPr>
                <w:sz w:val="20"/>
                <w:lang w:val="lv-LV"/>
              </w:rPr>
              <w:t>36%***</w:t>
            </w:r>
          </w:p>
        </w:tc>
        <w:tc>
          <w:tcPr>
            <w:tcW w:w="782" w:type="dxa"/>
            <w:tcBorders>
              <w:top w:val="single" w:sz="4" w:space="0" w:color="000000"/>
              <w:left w:val="single" w:sz="4" w:space="0" w:color="000000"/>
              <w:bottom w:val="single" w:sz="4" w:space="0" w:color="000000"/>
            </w:tcBorders>
          </w:tcPr>
          <w:p w14:paraId="35CE07C4" w14:textId="77777777" w:rsidR="00A453C3" w:rsidRPr="00707120" w:rsidRDefault="00A453C3" w:rsidP="0067693D">
            <w:pPr>
              <w:keepNext/>
              <w:keepLines/>
              <w:suppressLineNumbers/>
              <w:jc w:val="center"/>
              <w:rPr>
                <w:sz w:val="20"/>
                <w:lang w:val="lv-LV"/>
              </w:rPr>
            </w:pPr>
            <w:r w:rsidRPr="00707120">
              <w:rPr>
                <w:sz w:val="20"/>
                <w:lang w:val="lv-LV"/>
              </w:rPr>
              <w:t>10%</w:t>
            </w:r>
          </w:p>
        </w:tc>
        <w:tc>
          <w:tcPr>
            <w:tcW w:w="919" w:type="dxa"/>
            <w:tcBorders>
              <w:top w:val="single" w:sz="4" w:space="0" w:color="000000"/>
              <w:left w:val="single" w:sz="4" w:space="0" w:color="000000"/>
              <w:bottom w:val="single" w:sz="4" w:space="0" w:color="000000"/>
            </w:tcBorders>
          </w:tcPr>
          <w:p w14:paraId="3C0CB55B" w14:textId="77777777" w:rsidR="00A453C3" w:rsidRPr="00707120" w:rsidRDefault="00A453C3" w:rsidP="0067693D">
            <w:pPr>
              <w:keepNext/>
              <w:keepLines/>
              <w:suppressLineNumbers/>
              <w:snapToGrid w:val="0"/>
              <w:jc w:val="center"/>
              <w:rPr>
                <w:sz w:val="20"/>
                <w:lang w:val="lv-LV"/>
              </w:rPr>
            </w:pPr>
          </w:p>
        </w:tc>
        <w:tc>
          <w:tcPr>
            <w:tcW w:w="769" w:type="dxa"/>
            <w:tcBorders>
              <w:top w:val="single" w:sz="4" w:space="0" w:color="000000"/>
              <w:left w:val="single" w:sz="4" w:space="0" w:color="000000"/>
              <w:bottom w:val="single" w:sz="4" w:space="0" w:color="000000"/>
            </w:tcBorders>
          </w:tcPr>
          <w:p w14:paraId="4E964504" w14:textId="77777777" w:rsidR="00A453C3" w:rsidRPr="00707120" w:rsidRDefault="00A453C3" w:rsidP="0067693D">
            <w:pPr>
              <w:keepNext/>
              <w:keepLines/>
              <w:suppressLineNumbers/>
              <w:snapToGrid w:val="0"/>
              <w:jc w:val="center"/>
              <w:rPr>
                <w:sz w:val="20"/>
                <w:lang w:val="lv-LV"/>
              </w:rPr>
            </w:pPr>
          </w:p>
        </w:tc>
        <w:tc>
          <w:tcPr>
            <w:tcW w:w="929" w:type="dxa"/>
            <w:tcBorders>
              <w:top w:val="single" w:sz="4" w:space="0" w:color="000000"/>
              <w:left w:val="single" w:sz="4" w:space="0" w:color="000000"/>
              <w:bottom w:val="single" w:sz="4" w:space="0" w:color="000000"/>
            </w:tcBorders>
          </w:tcPr>
          <w:p w14:paraId="75E285F0" w14:textId="77777777" w:rsidR="00A453C3" w:rsidRPr="00707120" w:rsidRDefault="00A453C3" w:rsidP="0067693D">
            <w:pPr>
              <w:keepNext/>
              <w:keepLines/>
              <w:suppressLineNumbers/>
              <w:snapToGrid w:val="0"/>
              <w:jc w:val="center"/>
              <w:rPr>
                <w:sz w:val="20"/>
                <w:lang w:val="lv-LV"/>
              </w:rPr>
            </w:pPr>
          </w:p>
        </w:tc>
        <w:tc>
          <w:tcPr>
            <w:tcW w:w="920" w:type="dxa"/>
            <w:tcBorders>
              <w:top w:val="single" w:sz="4" w:space="0" w:color="000000"/>
              <w:left w:val="single" w:sz="4" w:space="0" w:color="000000"/>
              <w:bottom w:val="single" w:sz="4" w:space="0" w:color="000000"/>
            </w:tcBorders>
          </w:tcPr>
          <w:p w14:paraId="0E394013" w14:textId="77777777" w:rsidR="00A453C3" w:rsidRPr="00707120" w:rsidRDefault="00A453C3" w:rsidP="0067693D">
            <w:pPr>
              <w:keepNext/>
              <w:keepLines/>
              <w:suppressLineNumbers/>
              <w:snapToGrid w:val="0"/>
              <w:jc w:val="center"/>
              <w:rPr>
                <w:sz w:val="20"/>
                <w:lang w:val="lv-LV"/>
              </w:rPr>
            </w:pPr>
          </w:p>
        </w:tc>
        <w:tc>
          <w:tcPr>
            <w:tcW w:w="925" w:type="dxa"/>
            <w:gridSpan w:val="2"/>
            <w:tcBorders>
              <w:top w:val="single" w:sz="4" w:space="0" w:color="000000"/>
              <w:left w:val="single" w:sz="4" w:space="0" w:color="000000"/>
              <w:bottom w:val="single" w:sz="4" w:space="0" w:color="000000"/>
            </w:tcBorders>
          </w:tcPr>
          <w:p w14:paraId="455BE45B" w14:textId="77777777" w:rsidR="00A453C3" w:rsidRPr="00707120" w:rsidRDefault="00A453C3" w:rsidP="0067693D">
            <w:pPr>
              <w:keepNext/>
              <w:keepLines/>
              <w:suppressLineNumbers/>
              <w:snapToGrid w:val="0"/>
              <w:jc w:val="center"/>
              <w:rPr>
                <w:sz w:val="20"/>
                <w:lang w:val="lv-LV"/>
              </w:rPr>
            </w:pPr>
          </w:p>
        </w:tc>
        <w:tc>
          <w:tcPr>
            <w:tcW w:w="802" w:type="dxa"/>
            <w:tcBorders>
              <w:top w:val="single" w:sz="4" w:space="0" w:color="000000"/>
              <w:left w:val="single" w:sz="4" w:space="0" w:color="000000"/>
              <w:bottom w:val="single" w:sz="4" w:space="0" w:color="000000"/>
              <w:right w:val="single" w:sz="4" w:space="0" w:color="000000"/>
            </w:tcBorders>
          </w:tcPr>
          <w:p w14:paraId="71544D86" w14:textId="77777777" w:rsidR="00A453C3" w:rsidRPr="00707120" w:rsidRDefault="00A453C3" w:rsidP="0067693D">
            <w:pPr>
              <w:keepNext/>
              <w:keepLines/>
              <w:suppressLineNumbers/>
              <w:snapToGrid w:val="0"/>
              <w:jc w:val="center"/>
              <w:rPr>
                <w:sz w:val="20"/>
                <w:lang w:val="lv-LV"/>
              </w:rPr>
            </w:pPr>
          </w:p>
        </w:tc>
      </w:tr>
      <w:tr w:rsidR="00A453C3" w:rsidRPr="007F7850" w14:paraId="4D3146D7" w14:textId="77777777" w:rsidTr="0067693D">
        <w:tc>
          <w:tcPr>
            <w:tcW w:w="9317" w:type="dxa"/>
            <w:gridSpan w:val="13"/>
            <w:tcBorders>
              <w:top w:val="single" w:sz="4" w:space="0" w:color="000000"/>
              <w:left w:val="single" w:sz="4" w:space="0" w:color="000000"/>
              <w:bottom w:val="single" w:sz="4" w:space="0" w:color="000000"/>
              <w:right w:val="single" w:sz="4" w:space="0" w:color="000000"/>
            </w:tcBorders>
          </w:tcPr>
          <w:p w14:paraId="07FB4275" w14:textId="580228F5" w:rsidR="00A453C3" w:rsidRPr="00707120" w:rsidRDefault="00A453C3" w:rsidP="0067693D">
            <w:pPr>
              <w:keepNext/>
              <w:keepLines/>
              <w:suppressLineNumbers/>
              <w:jc w:val="center"/>
              <w:rPr>
                <w:sz w:val="20"/>
                <w:lang w:val="lv-LV"/>
              </w:rPr>
            </w:pPr>
            <w:r w:rsidRPr="00707120">
              <w:rPr>
                <w:b/>
                <w:sz w:val="20"/>
                <w:lang w:val="lv-LV"/>
              </w:rPr>
              <w:t>ACR 70</w:t>
            </w:r>
          </w:p>
        </w:tc>
      </w:tr>
      <w:tr w:rsidR="00A453C3" w:rsidRPr="007F7850" w14:paraId="76F459DB" w14:textId="77777777" w:rsidTr="00707120">
        <w:tc>
          <w:tcPr>
            <w:tcW w:w="772" w:type="dxa"/>
            <w:gridSpan w:val="2"/>
            <w:tcBorders>
              <w:top w:val="single" w:sz="4" w:space="0" w:color="000000"/>
              <w:left w:val="single" w:sz="4" w:space="0" w:color="000000"/>
              <w:bottom w:val="single" w:sz="4" w:space="0" w:color="000000"/>
            </w:tcBorders>
          </w:tcPr>
          <w:p w14:paraId="767772C1" w14:textId="77777777" w:rsidR="00A453C3" w:rsidRPr="00707120" w:rsidRDefault="00A453C3" w:rsidP="0067693D">
            <w:pPr>
              <w:keepNext/>
              <w:keepLines/>
              <w:suppressLineNumbers/>
              <w:jc w:val="center"/>
              <w:rPr>
                <w:sz w:val="20"/>
                <w:lang w:val="lv-LV"/>
              </w:rPr>
            </w:pPr>
            <w:r w:rsidRPr="00707120">
              <w:rPr>
                <w:sz w:val="20"/>
                <w:lang w:val="lv-LV"/>
              </w:rPr>
              <w:t>24.</w:t>
            </w:r>
          </w:p>
        </w:tc>
        <w:tc>
          <w:tcPr>
            <w:tcW w:w="922" w:type="dxa"/>
            <w:tcBorders>
              <w:top w:val="single" w:sz="4" w:space="0" w:color="000000"/>
              <w:left w:val="single" w:sz="4" w:space="0" w:color="000000"/>
              <w:bottom w:val="single" w:sz="4" w:space="0" w:color="000000"/>
            </w:tcBorders>
          </w:tcPr>
          <w:p w14:paraId="5F7A4F58" w14:textId="77777777" w:rsidR="00A453C3" w:rsidRPr="00707120" w:rsidRDefault="00A453C3" w:rsidP="0067693D">
            <w:pPr>
              <w:keepNext/>
              <w:keepLines/>
              <w:suppressLineNumbers/>
              <w:jc w:val="center"/>
              <w:rPr>
                <w:sz w:val="20"/>
                <w:lang w:val="lv-LV"/>
              </w:rPr>
            </w:pPr>
            <w:r w:rsidRPr="00707120">
              <w:rPr>
                <w:sz w:val="20"/>
                <w:lang w:val="lv-LV"/>
              </w:rPr>
              <w:t>28%**</w:t>
            </w:r>
          </w:p>
        </w:tc>
        <w:tc>
          <w:tcPr>
            <w:tcW w:w="671" w:type="dxa"/>
            <w:tcBorders>
              <w:top w:val="single" w:sz="4" w:space="0" w:color="000000"/>
              <w:left w:val="single" w:sz="4" w:space="0" w:color="000000"/>
              <w:bottom w:val="single" w:sz="4" w:space="0" w:color="000000"/>
            </w:tcBorders>
          </w:tcPr>
          <w:p w14:paraId="7242DF46" w14:textId="77777777" w:rsidR="00A453C3" w:rsidRPr="00707120" w:rsidRDefault="00A453C3" w:rsidP="0067693D">
            <w:pPr>
              <w:keepNext/>
              <w:keepLines/>
              <w:suppressLineNumbers/>
              <w:jc w:val="center"/>
              <w:rPr>
                <w:sz w:val="20"/>
                <w:lang w:val="lv-LV"/>
              </w:rPr>
            </w:pPr>
            <w:r w:rsidRPr="00707120">
              <w:rPr>
                <w:sz w:val="20"/>
                <w:lang w:val="lv-LV"/>
              </w:rPr>
              <w:t>15%</w:t>
            </w:r>
          </w:p>
        </w:tc>
        <w:tc>
          <w:tcPr>
            <w:tcW w:w="906" w:type="dxa"/>
            <w:tcBorders>
              <w:top w:val="single" w:sz="4" w:space="0" w:color="000000"/>
              <w:left w:val="single" w:sz="4" w:space="0" w:color="000000"/>
              <w:bottom w:val="single" w:sz="4" w:space="0" w:color="000000"/>
            </w:tcBorders>
          </w:tcPr>
          <w:p w14:paraId="0A7C6763" w14:textId="77777777" w:rsidR="00A453C3" w:rsidRPr="00707120" w:rsidRDefault="00A453C3" w:rsidP="0067693D">
            <w:pPr>
              <w:keepNext/>
              <w:keepLines/>
              <w:suppressLineNumbers/>
              <w:jc w:val="center"/>
              <w:rPr>
                <w:sz w:val="20"/>
                <w:lang w:val="lv-LV"/>
              </w:rPr>
            </w:pPr>
            <w:r w:rsidRPr="00707120">
              <w:rPr>
                <w:sz w:val="20"/>
                <w:lang w:val="lv-LV"/>
              </w:rPr>
              <w:t>13%***</w:t>
            </w:r>
          </w:p>
        </w:tc>
        <w:tc>
          <w:tcPr>
            <w:tcW w:w="782" w:type="dxa"/>
            <w:tcBorders>
              <w:top w:val="single" w:sz="4" w:space="0" w:color="000000"/>
              <w:left w:val="single" w:sz="4" w:space="0" w:color="000000"/>
              <w:bottom w:val="single" w:sz="4" w:space="0" w:color="000000"/>
            </w:tcBorders>
          </w:tcPr>
          <w:p w14:paraId="6196E441" w14:textId="77777777" w:rsidR="00A453C3" w:rsidRPr="00707120" w:rsidRDefault="00A453C3" w:rsidP="0067693D">
            <w:pPr>
              <w:keepNext/>
              <w:keepLines/>
              <w:suppressLineNumbers/>
              <w:jc w:val="center"/>
              <w:rPr>
                <w:sz w:val="20"/>
                <w:lang w:val="lv-LV"/>
              </w:rPr>
            </w:pPr>
            <w:r w:rsidRPr="00707120">
              <w:rPr>
                <w:sz w:val="20"/>
                <w:lang w:val="lv-LV"/>
              </w:rPr>
              <w:t>2%</w:t>
            </w:r>
          </w:p>
        </w:tc>
        <w:tc>
          <w:tcPr>
            <w:tcW w:w="919" w:type="dxa"/>
            <w:tcBorders>
              <w:top w:val="single" w:sz="4" w:space="0" w:color="000000"/>
              <w:left w:val="single" w:sz="4" w:space="0" w:color="000000"/>
              <w:bottom w:val="single" w:sz="4" w:space="0" w:color="000000"/>
            </w:tcBorders>
          </w:tcPr>
          <w:p w14:paraId="74BF80A7" w14:textId="77777777" w:rsidR="00A453C3" w:rsidRPr="00707120" w:rsidRDefault="00A453C3" w:rsidP="0067693D">
            <w:pPr>
              <w:keepNext/>
              <w:keepLines/>
              <w:suppressLineNumbers/>
              <w:jc w:val="center"/>
              <w:rPr>
                <w:sz w:val="20"/>
                <w:lang w:val="lv-LV"/>
              </w:rPr>
            </w:pPr>
            <w:r w:rsidRPr="00707120">
              <w:rPr>
                <w:sz w:val="20"/>
                <w:lang w:val="lv-LV"/>
              </w:rPr>
              <w:t>22%***</w:t>
            </w:r>
          </w:p>
        </w:tc>
        <w:tc>
          <w:tcPr>
            <w:tcW w:w="769" w:type="dxa"/>
            <w:tcBorders>
              <w:top w:val="single" w:sz="4" w:space="0" w:color="000000"/>
              <w:left w:val="single" w:sz="4" w:space="0" w:color="000000"/>
              <w:bottom w:val="single" w:sz="4" w:space="0" w:color="000000"/>
            </w:tcBorders>
          </w:tcPr>
          <w:p w14:paraId="71B78E36" w14:textId="77777777" w:rsidR="00A453C3" w:rsidRPr="00707120" w:rsidRDefault="00A453C3" w:rsidP="0067693D">
            <w:pPr>
              <w:keepNext/>
              <w:keepLines/>
              <w:suppressLineNumbers/>
              <w:jc w:val="center"/>
              <w:rPr>
                <w:sz w:val="20"/>
                <w:lang w:val="lv-LV"/>
              </w:rPr>
            </w:pPr>
            <w:r w:rsidRPr="00707120">
              <w:rPr>
                <w:sz w:val="20"/>
                <w:lang w:val="lv-LV"/>
              </w:rPr>
              <w:t>2%</w:t>
            </w:r>
          </w:p>
        </w:tc>
        <w:tc>
          <w:tcPr>
            <w:tcW w:w="929" w:type="dxa"/>
            <w:tcBorders>
              <w:top w:val="single" w:sz="4" w:space="0" w:color="000000"/>
              <w:left w:val="single" w:sz="4" w:space="0" w:color="000000"/>
              <w:bottom w:val="single" w:sz="4" w:space="0" w:color="000000"/>
            </w:tcBorders>
          </w:tcPr>
          <w:p w14:paraId="29D79E16" w14:textId="77777777" w:rsidR="00A453C3" w:rsidRPr="00707120" w:rsidRDefault="00A453C3" w:rsidP="0067693D">
            <w:pPr>
              <w:keepNext/>
              <w:keepLines/>
              <w:suppressLineNumbers/>
              <w:jc w:val="center"/>
              <w:rPr>
                <w:sz w:val="20"/>
                <w:lang w:val="lv-LV"/>
              </w:rPr>
            </w:pPr>
            <w:r w:rsidRPr="00707120">
              <w:rPr>
                <w:sz w:val="20"/>
                <w:lang w:val="lv-LV"/>
              </w:rPr>
              <w:t>21%***</w:t>
            </w:r>
          </w:p>
        </w:tc>
        <w:tc>
          <w:tcPr>
            <w:tcW w:w="931" w:type="dxa"/>
            <w:gridSpan w:val="2"/>
            <w:tcBorders>
              <w:top w:val="single" w:sz="4" w:space="0" w:color="000000"/>
              <w:left w:val="single" w:sz="4" w:space="0" w:color="000000"/>
              <w:bottom w:val="single" w:sz="4" w:space="0" w:color="000000"/>
            </w:tcBorders>
          </w:tcPr>
          <w:p w14:paraId="4FD87E32" w14:textId="77777777" w:rsidR="00A453C3" w:rsidRPr="00707120" w:rsidRDefault="00A453C3" w:rsidP="0067693D">
            <w:pPr>
              <w:keepNext/>
              <w:keepLines/>
              <w:suppressLineNumbers/>
              <w:jc w:val="center"/>
              <w:rPr>
                <w:sz w:val="20"/>
                <w:lang w:val="lv-LV"/>
              </w:rPr>
            </w:pPr>
            <w:r w:rsidRPr="00707120">
              <w:rPr>
                <w:sz w:val="20"/>
                <w:lang w:val="lv-LV"/>
              </w:rPr>
              <w:t>3%</w:t>
            </w:r>
          </w:p>
        </w:tc>
        <w:tc>
          <w:tcPr>
            <w:tcW w:w="914" w:type="dxa"/>
            <w:tcBorders>
              <w:top w:val="single" w:sz="4" w:space="0" w:color="000000"/>
              <w:left w:val="single" w:sz="4" w:space="0" w:color="000000"/>
              <w:bottom w:val="single" w:sz="4" w:space="0" w:color="000000"/>
            </w:tcBorders>
          </w:tcPr>
          <w:p w14:paraId="3F6E1397" w14:textId="77777777" w:rsidR="00A453C3" w:rsidRPr="00707120" w:rsidRDefault="00A453C3" w:rsidP="0067693D">
            <w:pPr>
              <w:keepNext/>
              <w:keepLines/>
              <w:suppressLineNumbers/>
              <w:jc w:val="center"/>
              <w:rPr>
                <w:sz w:val="20"/>
                <w:lang w:val="lv-LV"/>
              </w:rPr>
            </w:pPr>
            <w:r w:rsidRPr="00707120">
              <w:rPr>
                <w:sz w:val="20"/>
                <w:lang w:val="lv-LV"/>
              </w:rPr>
              <w:t>12%**</w:t>
            </w:r>
          </w:p>
        </w:tc>
        <w:tc>
          <w:tcPr>
            <w:tcW w:w="802" w:type="dxa"/>
            <w:tcBorders>
              <w:top w:val="single" w:sz="4" w:space="0" w:color="000000"/>
              <w:left w:val="single" w:sz="4" w:space="0" w:color="000000"/>
              <w:bottom w:val="single" w:sz="4" w:space="0" w:color="000000"/>
              <w:right w:val="single" w:sz="4" w:space="0" w:color="000000"/>
            </w:tcBorders>
          </w:tcPr>
          <w:p w14:paraId="7CF25002" w14:textId="77777777" w:rsidR="00A453C3" w:rsidRPr="00707120" w:rsidRDefault="00A453C3" w:rsidP="0067693D">
            <w:pPr>
              <w:keepNext/>
              <w:keepLines/>
              <w:suppressLineNumbers/>
              <w:jc w:val="center"/>
              <w:rPr>
                <w:sz w:val="20"/>
                <w:lang w:val="lv-LV"/>
              </w:rPr>
            </w:pPr>
            <w:r w:rsidRPr="00707120">
              <w:rPr>
                <w:sz w:val="20"/>
                <w:lang w:val="lv-LV"/>
              </w:rPr>
              <w:t>1%</w:t>
            </w:r>
          </w:p>
        </w:tc>
      </w:tr>
      <w:tr w:rsidR="00A453C3" w:rsidRPr="007F7850" w14:paraId="754B0A50" w14:textId="77777777" w:rsidTr="00707120">
        <w:tc>
          <w:tcPr>
            <w:tcW w:w="772" w:type="dxa"/>
            <w:gridSpan w:val="2"/>
            <w:tcBorders>
              <w:top w:val="single" w:sz="4" w:space="0" w:color="000000"/>
              <w:left w:val="single" w:sz="4" w:space="0" w:color="000000"/>
              <w:bottom w:val="single" w:sz="4" w:space="0" w:color="000000"/>
            </w:tcBorders>
          </w:tcPr>
          <w:p w14:paraId="17280D96" w14:textId="77777777" w:rsidR="00A453C3" w:rsidRPr="00707120" w:rsidRDefault="00A453C3" w:rsidP="0067693D">
            <w:pPr>
              <w:keepNext/>
              <w:keepLines/>
              <w:suppressLineNumbers/>
              <w:jc w:val="center"/>
              <w:rPr>
                <w:sz w:val="20"/>
                <w:lang w:val="lv-LV"/>
              </w:rPr>
            </w:pPr>
            <w:r w:rsidRPr="00707120">
              <w:rPr>
                <w:sz w:val="20"/>
                <w:lang w:val="lv-LV"/>
              </w:rPr>
              <w:t>52.</w:t>
            </w:r>
          </w:p>
        </w:tc>
        <w:tc>
          <w:tcPr>
            <w:tcW w:w="922" w:type="dxa"/>
            <w:tcBorders>
              <w:top w:val="single" w:sz="4" w:space="0" w:color="000000"/>
              <w:left w:val="single" w:sz="4" w:space="0" w:color="000000"/>
              <w:bottom w:val="single" w:sz="4" w:space="0" w:color="000000"/>
            </w:tcBorders>
          </w:tcPr>
          <w:p w14:paraId="769E0409" w14:textId="77777777" w:rsidR="00A453C3" w:rsidRPr="00707120" w:rsidRDefault="00A453C3" w:rsidP="0067693D">
            <w:pPr>
              <w:keepNext/>
              <w:keepLines/>
              <w:suppressLineNumbers/>
              <w:snapToGrid w:val="0"/>
              <w:jc w:val="center"/>
              <w:rPr>
                <w:sz w:val="20"/>
                <w:lang w:val="lv-LV"/>
              </w:rPr>
            </w:pPr>
          </w:p>
        </w:tc>
        <w:tc>
          <w:tcPr>
            <w:tcW w:w="671" w:type="dxa"/>
            <w:tcBorders>
              <w:top w:val="single" w:sz="4" w:space="0" w:color="000000"/>
              <w:bottom w:val="single" w:sz="4" w:space="0" w:color="000000"/>
            </w:tcBorders>
          </w:tcPr>
          <w:p w14:paraId="270DD797" w14:textId="77777777" w:rsidR="00A453C3" w:rsidRPr="00707120" w:rsidRDefault="00A453C3" w:rsidP="0067693D">
            <w:pPr>
              <w:keepNext/>
              <w:keepLines/>
              <w:suppressLineNumbers/>
              <w:snapToGrid w:val="0"/>
              <w:jc w:val="center"/>
              <w:rPr>
                <w:sz w:val="20"/>
                <w:lang w:val="lv-LV"/>
              </w:rPr>
            </w:pPr>
          </w:p>
        </w:tc>
        <w:tc>
          <w:tcPr>
            <w:tcW w:w="906" w:type="dxa"/>
            <w:tcBorders>
              <w:top w:val="single" w:sz="4" w:space="0" w:color="000000"/>
              <w:left w:val="single" w:sz="4" w:space="0" w:color="000000"/>
              <w:bottom w:val="single" w:sz="4" w:space="0" w:color="000000"/>
            </w:tcBorders>
          </w:tcPr>
          <w:p w14:paraId="59147B52" w14:textId="77777777" w:rsidR="00A453C3" w:rsidRPr="00707120" w:rsidRDefault="00A453C3" w:rsidP="0067693D">
            <w:pPr>
              <w:keepNext/>
              <w:keepLines/>
              <w:suppressLineNumbers/>
              <w:jc w:val="center"/>
              <w:rPr>
                <w:sz w:val="20"/>
                <w:lang w:val="lv-LV"/>
              </w:rPr>
            </w:pPr>
            <w:r w:rsidRPr="00707120">
              <w:rPr>
                <w:sz w:val="20"/>
                <w:lang w:val="lv-LV"/>
              </w:rPr>
              <w:t>20%***</w:t>
            </w:r>
          </w:p>
        </w:tc>
        <w:tc>
          <w:tcPr>
            <w:tcW w:w="782" w:type="dxa"/>
            <w:tcBorders>
              <w:top w:val="single" w:sz="4" w:space="0" w:color="000000"/>
              <w:left w:val="single" w:sz="4" w:space="0" w:color="000000"/>
              <w:bottom w:val="single" w:sz="4" w:space="0" w:color="000000"/>
            </w:tcBorders>
          </w:tcPr>
          <w:p w14:paraId="01CBCCDD" w14:textId="77777777" w:rsidR="00A453C3" w:rsidRPr="00707120" w:rsidRDefault="00A453C3" w:rsidP="0067693D">
            <w:pPr>
              <w:keepNext/>
              <w:keepLines/>
              <w:suppressLineNumbers/>
              <w:jc w:val="center"/>
              <w:rPr>
                <w:sz w:val="20"/>
                <w:lang w:val="lv-LV"/>
              </w:rPr>
            </w:pPr>
            <w:r w:rsidRPr="00707120">
              <w:rPr>
                <w:sz w:val="20"/>
                <w:lang w:val="lv-LV"/>
              </w:rPr>
              <w:t>4%</w:t>
            </w:r>
          </w:p>
        </w:tc>
        <w:tc>
          <w:tcPr>
            <w:tcW w:w="919" w:type="dxa"/>
            <w:tcBorders>
              <w:top w:val="single" w:sz="4" w:space="0" w:color="000000"/>
              <w:left w:val="single" w:sz="4" w:space="0" w:color="000000"/>
              <w:bottom w:val="single" w:sz="4" w:space="0" w:color="000000"/>
            </w:tcBorders>
          </w:tcPr>
          <w:p w14:paraId="027EE61F" w14:textId="77777777" w:rsidR="00A453C3" w:rsidRPr="00707120" w:rsidRDefault="00A453C3" w:rsidP="0067693D">
            <w:pPr>
              <w:keepNext/>
              <w:keepLines/>
              <w:suppressLineNumbers/>
              <w:snapToGrid w:val="0"/>
              <w:jc w:val="center"/>
              <w:rPr>
                <w:sz w:val="20"/>
                <w:lang w:val="lv-LV"/>
              </w:rPr>
            </w:pPr>
          </w:p>
        </w:tc>
        <w:tc>
          <w:tcPr>
            <w:tcW w:w="769" w:type="dxa"/>
            <w:tcBorders>
              <w:top w:val="single" w:sz="4" w:space="0" w:color="000000"/>
              <w:bottom w:val="single" w:sz="4" w:space="0" w:color="000000"/>
            </w:tcBorders>
          </w:tcPr>
          <w:p w14:paraId="594EF0B4" w14:textId="77777777" w:rsidR="00A453C3" w:rsidRPr="00707120" w:rsidRDefault="00A453C3" w:rsidP="0067693D">
            <w:pPr>
              <w:keepNext/>
              <w:keepLines/>
              <w:suppressLineNumbers/>
              <w:snapToGrid w:val="0"/>
              <w:jc w:val="center"/>
              <w:rPr>
                <w:sz w:val="20"/>
                <w:lang w:val="lv-LV"/>
              </w:rPr>
            </w:pPr>
          </w:p>
        </w:tc>
        <w:tc>
          <w:tcPr>
            <w:tcW w:w="929" w:type="dxa"/>
            <w:tcBorders>
              <w:top w:val="single" w:sz="4" w:space="0" w:color="000000"/>
              <w:left w:val="single" w:sz="4" w:space="0" w:color="000000"/>
              <w:bottom w:val="single" w:sz="4" w:space="0" w:color="000000"/>
            </w:tcBorders>
          </w:tcPr>
          <w:p w14:paraId="44751821" w14:textId="77777777" w:rsidR="00A453C3" w:rsidRPr="00707120" w:rsidRDefault="00A453C3" w:rsidP="0067693D">
            <w:pPr>
              <w:keepNext/>
              <w:keepLines/>
              <w:suppressLineNumbers/>
              <w:snapToGrid w:val="0"/>
              <w:jc w:val="center"/>
              <w:rPr>
                <w:sz w:val="20"/>
                <w:lang w:val="lv-LV"/>
              </w:rPr>
            </w:pPr>
          </w:p>
        </w:tc>
        <w:tc>
          <w:tcPr>
            <w:tcW w:w="931" w:type="dxa"/>
            <w:gridSpan w:val="2"/>
            <w:tcBorders>
              <w:top w:val="single" w:sz="4" w:space="0" w:color="000000"/>
              <w:left w:val="single" w:sz="4" w:space="0" w:color="000000"/>
              <w:bottom w:val="single" w:sz="4" w:space="0" w:color="000000"/>
            </w:tcBorders>
          </w:tcPr>
          <w:p w14:paraId="5B2B8E04" w14:textId="77777777" w:rsidR="00A453C3" w:rsidRPr="00707120" w:rsidRDefault="00A453C3" w:rsidP="0067693D">
            <w:pPr>
              <w:keepNext/>
              <w:keepLines/>
              <w:suppressLineNumbers/>
              <w:snapToGrid w:val="0"/>
              <w:jc w:val="center"/>
              <w:rPr>
                <w:sz w:val="20"/>
                <w:lang w:val="lv-LV"/>
              </w:rPr>
            </w:pPr>
          </w:p>
        </w:tc>
        <w:tc>
          <w:tcPr>
            <w:tcW w:w="914" w:type="dxa"/>
            <w:tcBorders>
              <w:top w:val="single" w:sz="4" w:space="0" w:color="000000"/>
              <w:left w:val="single" w:sz="4" w:space="0" w:color="000000"/>
              <w:bottom w:val="single" w:sz="4" w:space="0" w:color="000000"/>
            </w:tcBorders>
          </w:tcPr>
          <w:p w14:paraId="30F41C1A" w14:textId="77777777" w:rsidR="00A453C3" w:rsidRPr="00707120" w:rsidRDefault="00A453C3" w:rsidP="0067693D">
            <w:pPr>
              <w:keepNext/>
              <w:keepLines/>
              <w:suppressLineNumbers/>
              <w:snapToGrid w:val="0"/>
              <w:jc w:val="center"/>
              <w:rPr>
                <w:sz w:val="20"/>
                <w:lang w:val="lv-LV"/>
              </w:rPr>
            </w:pPr>
          </w:p>
        </w:tc>
        <w:tc>
          <w:tcPr>
            <w:tcW w:w="802" w:type="dxa"/>
            <w:tcBorders>
              <w:top w:val="single" w:sz="4" w:space="0" w:color="000000"/>
              <w:left w:val="single" w:sz="4" w:space="0" w:color="000000"/>
              <w:bottom w:val="single" w:sz="4" w:space="0" w:color="000000"/>
              <w:right w:val="single" w:sz="4" w:space="0" w:color="000000"/>
            </w:tcBorders>
          </w:tcPr>
          <w:p w14:paraId="1FE6D376" w14:textId="77777777" w:rsidR="00A453C3" w:rsidRPr="00707120" w:rsidRDefault="00A453C3" w:rsidP="0067693D">
            <w:pPr>
              <w:keepNext/>
              <w:keepLines/>
              <w:suppressLineNumbers/>
              <w:snapToGrid w:val="0"/>
              <w:jc w:val="center"/>
              <w:rPr>
                <w:sz w:val="20"/>
                <w:lang w:val="lv-LV"/>
              </w:rPr>
            </w:pPr>
          </w:p>
        </w:tc>
      </w:tr>
    </w:tbl>
    <w:p w14:paraId="5AD7A4F5" w14:textId="77777777" w:rsidR="00A453C3" w:rsidRPr="00976261" w:rsidRDefault="00A453C3" w:rsidP="00A453C3">
      <w:pPr>
        <w:keepNext/>
        <w:keepLines/>
        <w:suppressLineNumbers/>
        <w:rPr>
          <w:rFonts w:eastAsia="MS Mincho"/>
          <w:sz w:val="18"/>
          <w:szCs w:val="18"/>
          <w:lang w:val="lv-LV"/>
        </w:rPr>
      </w:pPr>
      <w:bookmarkStart w:id="695" w:name="_Hlk174612474"/>
      <w:r w:rsidRPr="00976261">
        <w:rPr>
          <w:rFonts w:eastAsia="MS Mincho"/>
          <w:sz w:val="18"/>
          <w:szCs w:val="18"/>
          <w:lang w:val="lv-LV"/>
        </w:rPr>
        <w:t>ACR</w:t>
      </w:r>
      <w:r w:rsidRPr="00976261">
        <w:rPr>
          <w:rFonts w:eastAsia="MS Mincho"/>
          <w:sz w:val="18"/>
          <w:szCs w:val="18"/>
          <w:lang w:val="lv-LV"/>
        </w:rPr>
        <w:tab/>
      </w:r>
      <w:r w:rsidRPr="00976261">
        <w:rPr>
          <w:rFonts w:eastAsia="MS Mincho"/>
          <w:sz w:val="18"/>
          <w:szCs w:val="18"/>
          <w:lang w:val="lv-LV"/>
        </w:rPr>
        <w:tab/>
      </w:r>
      <w:r w:rsidRPr="00B47B7D">
        <w:rPr>
          <w:rFonts w:eastAsia="MS Mincho"/>
          <w:sz w:val="18"/>
          <w:szCs w:val="18"/>
          <w:lang w:val="lv-LV"/>
        </w:rPr>
        <w:t xml:space="preserve">- </w:t>
      </w:r>
      <w:r w:rsidRPr="00976261">
        <w:rPr>
          <w:rFonts w:eastAsia="MS Mincho"/>
          <w:sz w:val="18"/>
          <w:szCs w:val="18"/>
          <w:lang w:val="lv-LV"/>
        </w:rPr>
        <w:t>Amerikas Reimatoloģijas kolēģijas (ACR) kritēriji</w:t>
      </w:r>
      <w:r w:rsidRPr="00B47B7D">
        <w:rPr>
          <w:rFonts w:eastAsia="MS Mincho"/>
          <w:sz w:val="18"/>
          <w:szCs w:val="18"/>
          <w:lang w:val="lv-LV"/>
        </w:rPr>
        <w:t>.</w:t>
      </w:r>
    </w:p>
    <w:bookmarkEnd w:id="695"/>
    <w:p w14:paraId="1DE03BA0" w14:textId="77777777" w:rsidR="00A453C3" w:rsidRPr="00707120" w:rsidRDefault="00A453C3" w:rsidP="00A453C3">
      <w:pPr>
        <w:keepNext/>
        <w:suppressLineNumbers/>
        <w:rPr>
          <w:rFonts w:eastAsia="MS Mincho"/>
          <w:sz w:val="18"/>
          <w:szCs w:val="18"/>
          <w:lang w:val="lv-LV"/>
        </w:rPr>
      </w:pPr>
      <w:r w:rsidRPr="00707120">
        <w:rPr>
          <w:rFonts w:eastAsia="MS Mincho"/>
          <w:sz w:val="18"/>
          <w:szCs w:val="18"/>
          <w:lang w:val="lv-LV"/>
        </w:rPr>
        <w:t xml:space="preserve">TCZ </w:t>
      </w:r>
      <w:r w:rsidRPr="00707120">
        <w:rPr>
          <w:rFonts w:eastAsia="MS Mincho"/>
          <w:sz w:val="18"/>
          <w:szCs w:val="18"/>
          <w:lang w:val="lv-LV"/>
        </w:rPr>
        <w:tab/>
      </w:r>
      <w:r w:rsidRPr="00707120">
        <w:rPr>
          <w:rFonts w:eastAsia="MS Mincho"/>
          <w:sz w:val="18"/>
          <w:szCs w:val="18"/>
          <w:lang w:val="lv-LV"/>
        </w:rPr>
        <w:tab/>
        <w:t>- Tocilizumabs.</w:t>
      </w:r>
    </w:p>
    <w:p w14:paraId="3E5C1CD3" w14:textId="77777777" w:rsidR="00A453C3" w:rsidRPr="00707120" w:rsidRDefault="00A453C3" w:rsidP="00A453C3">
      <w:pPr>
        <w:keepNext/>
        <w:suppressLineNumbers/>
        <w:rPr>
          <w:rFonts w:eastAsia="MS Mincho"/>
          <w:sz w:val="18"/>
          <w:szCs w:val="18"/>
          <w:lang w:val="lv-LV"/>
        </w:rPr>
      </w:pPr>
      <w:r w:rsidRPr="00707120">
        <w:rPr>
          <w:rFonts w:eastAsia="MS Mincho"/>
          <w:sz w:val="18"/>
          <w:szCs w:val="18"/>
          <w:lang w:val="lv-LV"/>
        </w:rPr>
        <w:t>MTX</w:t>
      </w:r>
      <w:r w:rsidRPr="00707120">
        <w:rPr>
          <w:rFonts w:eastAsia="MS Mincho"/>
          <w:sz w:val="18"/>
          <w:szCs w:val="18"/>
          <w:lang w:val="lv-LV"/>
        </w:rPr>
        <w:tab/>
      </w:r>
      <w:r w:rsidRPr="00707120">
        <w:rPr>
          <w:rFonts w:eastAsia="MS Mincho"/>
          <w:sz w:val="18"/>
          <w:szCs w:val="18"/>
          <w:lang w:val="lv-LV"/>
        </w:rPr>
        <w:tab/>
        <w:t>- Metotreksāts.</w:t>
      </w:r>
    </w:p>
    <w:p w14:paraId="6ECAB13A" w14:textId="77777777" w:rsidR="00A453C3" w:rsidRPr="00707120" w:rsidRDefault="00A453C3" w:rsidP="00A453C3">
      <w:pPr>
        <w:keepNext/>
        <w:suppressLineNumbers/>
        <w:rPr>
          <w:rFonts w:eastAsia="MS Mincho"/>
          <w:sz w:val="18"/>
          <w:szCs w:val="18"/>
          <w:lang w:val="lv-LV"/>
        </w:rPr>
      </w:pPr>
      <w:r w:rsidRPr="00707120">
        <w:rPr>
          <w:rFonts w:eastAsia="MS Mincho"/>
          <w:sz w:val="18"/>
          <w:szCs w:val="18"/>
          <w:lang w:val="lv-LV"/>
        </w:rPr>
        <w:t>PBO</w:t>
      </w:r>
      <w:r w:rsidRPr="00707120">
        <w:rPr>
          <w:rFonts w:eastAsia="MS Mincho"/>
          <w:sz w:val="18"/>
          <w:szCs w:val="18"/>
          <w:lang w:val="lv-LV"/>
        </w:rPr>
        <w:tab/>
      </w:r>
      <w:r w:rsidRPr="00707120">
        <w:rPr>
          <w:rFonts w:eastAsia="MS Mincho"/>
          <w:sz w:val="18"/>
          <w:szCs w:val="18"/>
          <w:lang w:val="lv-LV"/>
        </w:rPr>
        <w:tab/>
        <w:t>- Placebo.</w:t>
      </w:r>
    </w:p>
    <w:p w14:paraId="70FDF175" w14:textId="77777777" w:rsidR="00A453C3" w:rsidRPr="00707120" w:rsidRDefault="00A453C3" w:rsidP="00A453C3">
      <w:pPr>
        <w:keepNext/>
        <w:suppressLineNumbers/>
        <w:rPr>
          <w:rFonts w:eastAsia="MS Mincho"/>
          <w:sz w:val="18"/>
          <w:szCs w:val="18"/>
          <w:lang w:val="lv-LV"/>
        </w:rPr>
      </w:pPr>
      <w:r w:rsidRPr="00707120">
        <w:rPr>
          <w:rFonts w:eastAsia="MS Mincho"/>
          <w:sz w:val="18"/>
          <w:szCs w:val="18"/>
          <w:lang w:val="lv-LV"/>
        </w:rPr>
        <w:t xml:space="preserve">DMARD </w:t>
      </w:r>
      <w:r w:rsidRPr="00707120">
        <w:rPr>
          <w:rFonts w:eastAsia="MS Mincho"/>
          <w:sz w:val="18"/>
          <w:szCs w:val="18"/>
          <w:lang w:val="lv-LV"/>
        </w:rPr>
        <w:tab/>
        <w:t>- Slimības gaitu modificējošie pretreimatisma līdzekļi.</w:t>
      </w:r>
    </w:p>
    <w:p w14:paraId="59250B37" w14:textId="77777777" w:rsidR="00A453C3" w:rsidRPr="00707120" w:rsidRDefault="00A453C3" w:rsidP="00A453C3">
      <w:pPr>
        <w:keepNext/>
        <w:suppressLineNumbers/>
        <w:rPr>
          <w:rFonts w:eastAsia="MS Mincho"/>
          <w:sz w:val="18"/>
          <w:szCs w:val="18"/>
          <w:lang w:val="lv-LV"/>
        </w:rPr>
      </w:pPr>
      <w:r w:rsidRPr="00707120">
        <w:rPr>
          <w:rFonts w:eastAsia="MS Mincho"/>
          <w:sz w:val="18"/>
          <w:szCs w:val="18"/>
          <w:lang w:val="lv-LV"/>
        </w:rPr>
        <w:t xml:space="preserve">** </w:t>
      </w:r>
      <w:r w:rsidRPr="00707120">
        <w:rPr>
          <w:rFonts w:eastAsia="MS Mincho"/>
          <w:sz w:val="18"/>
          <w:szCs w:val="18"/>
          <w:lang w:val="lv-LV"/>
        </w:rPr>
        <w:tab/>
      </w:r>
      <w:r w:rsidRPr="00707120">
        <w:rPr>
          <w:rFonts w:eastAsia="MS Mincho"/>
          <w:sz w:val="18"/>
          <w:szCs w:val="18"/>
          <w:lang w:val="lv-LV"/>
        </w:rPr>
        <w:tab/>
        <w:t>- p</w:t>
      </w:r>
      <w:r>
        <w:rPr>
          <w:rFonts w:eastAsia="MS Mincho"/>
          <w:sz w:val="18"/>
          <w:szCs w:val="18"/>
          <w:lang w:val="lv-LV"/>
        </w:rPr>
        <w:t> </w:t>
      </w:r>
      <w:r w:rsidRPr="00707120">
        <w:rPr>
          <w:rFonts w:eastAsia="MS Mincho"/>
          <w:sz w:val="18"/>
          <w:szCs w:val="18"/>
          <w:lang w:val="lv-LV"/>
        </w:rPr>
        <w:t>&lt;</w:t>
      </w:r>
      <w:r>
        <w:rPr>
          <w:rFonts w:eastAsia="MS Mincho"/>
          <w:sz w:val="18"/>
          <w:szCs w:val="18"/>
          <w:lang w:val="lv-LV"/>
        </w:rPr>
        <w:t> </w:t>
      </w:r>
      <w:r w:rsidRPr="00707120">
        <w:rPr>
          <w:rFonts w:eastAsia="MS Mincho"/>
          <w:sz w:val="18"/>
          <w:szCs w:val="18"/>
          <w:lang w:val="lv-LV"/>
        </w:rPr>
        <w:t>0,01, TCZ salīdzinājumā ar PBO + MTX</w:t>
      </w:r>
      <w:r>
        <w:rPr>
          <w:rFonts w:eastAsia="MS Mincho"/>
          <w:sz w:val="18"/>
          <w:szCs w:val="18"/>
          <w:lang w:val="lv-LV"/>
        </w:rPr>
        <w:t xml:space="preserve"> </w:t>
      </w:r>
      <w:r w:rsidRPr="00707120">
        <w:rPr>
          <w:rFonts w:eastAsia="MS Mincho"/>
          <w:sz w:val="18"/>
          <w:szCs w:val="18"/>
          <w:lang w:val="lv-LV"/>
        </w:rPr>
        <w:t>/</w:t>
      </w:r>
      <w:r>
        <w:rPr>
          <w:rFonts w:eastAsia="MS Mincho"/>
          <w:sz w:val="18"/>
          <w:szCs w:val="18"/>
          <w:lang w:val="lv-LV"/>
        </w:rPr>
        <w:t xml:space="preserve"> </w:t>
      </w:r>
      <w:r w:rsidRPr="00707120">
        <w:rPr>
          <w:rFonts w:eastAsia="MS Mincho"/>
          <w:sz w:val="18"/>
          <w:szCs w:val="18"/>
          <w:lang w:val="lv-LV"/>
        </w:rPr>
        <w:t>DMARD.</w:t>
      </w:r>
    </w:p>
    <w:p w14:paraId="7D2C249A" w14:textId="77777777" w:rsidR="00A453C3" w:rsidRPr="00707120" w:rsidRDefault="00A453C3" w:rsidP="00707120">
      <w:pPr>
        <w:suppressLineNumbers/>
        <w:rPr>
          <w:rFonts w:eastAsia="MS Mincho"/>
          <w:sz w:val="18"/>
          <w:szCs w:val="18"/>
          <w:lang w:val="lv-LV"/>
        </w:rPr>
      </w:pPr>
      <w:r w:rsidRPr="00707120">
        <w:rPr>
          <w:rFonts w:eastAsia="MS Mincho"/>
          <w:sz w:val="18"/>
          <w:szCs w:val="18"/>
          <w:lang w:val="lv-LV"/>
        </w:rPr>
        <w:t xml:space="preserve">*** </w:t>
      </w:r>
      <w:r w:rsidRPr="00707120">
        <w:rPr>
          <w:rFonts w:eastAsia="MS Mincho"/>
          <w:sz w:val="18"/>
          <w:szCs w:val="18"/>
          <w:lang w:val="lv-LV"/>
        </w:rPr>
        <w:tab/>
      </w:r>
      <w:r w:rsidRPr="00707120">
        <w:rPr>
          <w:rFonts w:eastAsia="MS Mincho"/>
          <w:sz w:val="18"/>
          <w:szCs w:val="18"/>
          <w:lang w:val="lv-LV"/>
        </w:rPr>
        <w:tab/>
        <w:t>- p</w:t>
      </w:r>
      <w:r>
        <w:rPr>
          <w:rFonts w:eastAsia="MS Mincho"/>
          <w:sz w:val="18"/>
          <w:szCs w:val="18"/>
          <w:lang w:val="lv-LV"/>
        </w:rPr>
        <w:t> </w:t>
      </w:r>
      <w:r w:rsidRPr="00707120">
        <w:rPr>
          <w:rFonts w:eastAsia="MS Mincho"/>
          <w:sz w:val="18"/>
          <w:szCs w:val="18"/>
          <w:lang w:val="lv-LV"/>
        </w:rPr>
        <w:t>&lt;</w:t>
      </w:r>
      <w:r>
        <w:rPr>
          <w:rFonts w:eastAsia="MS Mincho"/>
          <w:sz w:val="18"/>
          <w:szCs w:val="18"/>
          <w:lang w:val="lv-LV"/>
        </w:rPr>
        <w:t> </w:t>
      </w:r>
      <w:r w:rsidRPr="00707120">
        <w:rPr>
          <w:rFonts w:eastAsia="MS Mincho"/>
          <w:sz w:val="18"/>
          <w:szCs w:val="18"/>
          <w:lang w:val="lv-LV"/>
        </w:rPr>
        <w:t>0,0001, TCZ salīdzinājumā ar PBO + MTX</w:t>
      </w:r>
      <w:r>
        <w:rPr>
          <w:rFonts w:eastAsia="MS Mincho"/>
          <w:sz w:val="18"/>
          <w:szCs w:val="18"/>
          <w:lang w:val="lv-LV"/>
        </w:rPr>
        <w:t xml:space="preserve"> </w:t>
      </w:r>
      <w:r w:rsidRPr="00707120">
        <w:rPr>
          <w:rFonts w:eastAsia="MS Mincho"/>
          <w:sz w:val="18"/>
          <w:szCs w:val="18"/>
          <w:lang w:val="lv-LV"/>
        </w:rPr>
        <w:t>/</w:t>
      </w:r>
      <w:r>
        <w:rPr>
          <w:rFonts w:eastAsia="MS Mincho"/>
          <w:sz w:val="18"/>
          <w:szCs w:val="18"/>
          <w:lang w:val="lv-LV"/>
        </w:rPr>
        <w:t xml:space="preserve"> </w:t>
      </w:r>
      <w:r w:rsidRPr="00707120">
        <w:rPr>
          <w:rFonts w:eastAsia="MS Mincho"/>
          <w:sz w:val="18"/>
          <w:szCs w:val="18"/>
          <w:lang w:val="lv-LV"/>
        </w:rPr>
        <w:t>DMARD.</w:t>
      </w:r>
    </w:p>
    <w:p w14:paraId="2185302B" w14:textId="77777777" w:rsidR="00A453C3" w:rsidRDefault="00A453C3" w:rsidP="00707120">
      <w:pPr>
        <w:rPr>
          <w:rFonts w:eastAsia="SimSun"/>
          <w:i/>
          <w:szCs w:val="22"/>
          <w:lang w:val="lv-LV"/>
        </w:rPr>
      </w:pPr>
    </w:p>
    <w:p w14:paraId="0D959DCB" w14:textId="77777777" w:rsidR="00A453C3" w:rsidRPr="00707120" w:rsidRDefault="00A453C3">
      <w:pPr>
        <w:keepNext/>
        <w:rPr>
          <w:szCs w:val="22"/>
          <w:u w:val="single"/>
          <w:lang w:val="lv-LV"/>
        </w:rPr>
        <w:pPrChange w:id="696" w:author="Author">
          <w:pPr/>
        </w:pPrChange>
      </w:pPr>
      <w:r w:rsidRPr="00707120">
        <w:rPr>
          <w:i/>
          <w:u w:val="single"/>
          <w:lang w:val="lv-LV"/>
        </w:rPr>
        <w:t>Nozīmīga klīniska atbildes reakcija</w:t>
      </w:r>
    </w:p>
    <w:p w14:paraId="3FD322C1" w14:textId="66AFC818" w:rsidR="00A453C3" w:rsidRDefault="00A453C3" w:rsidP="00A453C3">
      <w:pPr>
        <w:rPr>
          <w:rFonts w:eastAsia="SimSun"/>
          <w:i/>
          <w:szCs w:val="22"/>
          <w:lang w:val="lv-LV"/>
        </w:rPr>
      </w:pPr>
      <w:r>
        <w:rPr>
          <w:szCs w:val="22"/>
          <w:lang w:val="lv-LV"/>
        </w:rPr>
        <w:t>Pēc 2 gadus ilgas ārstēšanas ar tocilizumabu</w:t>
      </w:r>
      <w:r w:rsidRPr="002607ED">
        <w:rPr>
          <w:szCs w:val="22"/>
          <w:lang w:val="lv-LV"/>
        </w:rPr>
        <w:t xml:space="preserve"> </w:t>
      </w:r>
      <w:r>
        <w:rPr>
          <w:szCs w:val="22"/>
          <w:lang w:val="lv-LV"/>
        </w:rPr>
        <w:t>un MTX 14% pacientu sasniedza nozīmīgu klīnisku atbildes reakciju (atbildes reakcijas vērtējums pēc ACR70 saglabājās 24 nedēļas vai ilgāk).</w:t>
      </w:r>
    </w:p>
    <w:p w14:paraId="21E90DD2" w14:textId="77777777" w:rsidR="00A453C3" w:rsidRDefault="00A453C3" w:rsidP="00707120">
      <w:pPr>
        <w:rPr>
          <w:rFonts w:eastAsia="SimSun"/>
          <w:i/>
          <w:szCs w:val="22"/>
          <w:lang w:val="lv-LV"/>
        </w:rPr>
      </w:pPr>
    </w:p>
    <w:p w14:paraId="04C4049D" w14:textId="70119190" w:rsidR="00A453C3" w:rsidRPr="00707120" w:rsidRDefault="00A453C3">
      <w:pPr>
        <w:keepNext/>
        <w:rPr>
          <w:rFonts w:eastAsia="MS Mincho"/>
          <w:szCs w:val="22"/>
          <w:u w:val="single"/>
          <w:lang w:val="lv-LV"/>
        </w:rPr>
        <w:pPrChange w:id="697" w:author="Author">
          <w:pPr/>
        </w:pPrChange>
      </w:pPr>
      <w:r w:rsidRPr="00707120">
        <w:rPr>
          <w:rFonts w:eastAsia="MS Mincho"/>
          <w:i/>
          <w:iCs/>
          <w:szCs w:val="22"/>
          <w:u w:val="single"/>
          <w:lang w:val="lv-LV"/>
        </w:rPr>
        <w:t>Rentgenogrāfiskā atbildes reakcija</w:t>
      </w:r>
    </w:p>
    <w:p w14:paraId="6EF1ADE9" w14:textId="6D845B73" w:rsidR="00A453C3" w:rsidRDefault="00A453C3" w:rsidP="00A453C3">
      <w:pPr>
        <w:rPr>
          <w:rFonts w:eastAsia="MS Mincho"/>
          <w:szCs w:val="22"/>
          <w:lang w:val="lv-LV"/>
        </w:rPr>
      </w:pPr>
      <w:bookmarkStart w:id="698" w:name="_Hlk174612511"/>
      <w:r>
        <w:rPr>
          <w:rFonts w:eastAsia="MS Mincho"/>
          <w:szCs w:val="22"/>
          <w:lang w:val="lv-LV"/>
        </w:rPr>
        <w:t xml:space="preserve">II pētījumā pacientiem ar nepietiekamu atbildes reakciju uz MTX strukturālā locītavu bojājuma nomākšana tika novērtēta rentgenogrāfiski un izteikta kā modificētā </w:t>
      </w:r>
      <w:r>
        <w:rPr>
          <w:rFonts w:eastAsia="MS Mincho"/>
          <w:i/>
          <w:szCs w:val="22"/>
          <w:lang w:val="lv-LV"/>
        </w:rPr>
        <w:t>Sharp</w:t>
      </w:r>
      <w:r>
        <w:rPr>
          <w:rFonts w:eastAsia="MS Mincho"/>
          <w:szCs w:val="22"/>
          <w:lang w:val="lv-LV"/>
        </w:rPr>
        <w:t xml:space="preserve"> vērtējuma un tā komponentu – erozijas vērtējuma un locītavu spraugas sašaurinājuma vērtējuma – izmaiņas. Pacientiem, kuri saņem </w:t>
      </w:r>
      <w:r>
        <w:rPr>
          <w:szCs w:val="22"/>
          <w:lang w:val="lv-LV"/>
        </w:rPr>
        <w:t>tocilizumabu</w:t>
      </w:r>
      <w:r>
        <w:rPr>
          <w:rFonts w:eastAsia="MS Mincho"/>
          <w:szCs w:val="22"/>
          <w:lang w:val="lv-LV"/>
        </w:rPr>
        <w:t>, salīdzinājumā ar kontroles grupu pierādīja locītavu strukturālā bojājuma nomākumu ar nozīmīgi mazāku rentgenoloģisko progresēšanu (6. tabula).</w:t>
      </w:r>
    </w:p>
    <w:p w14:paraId="48A9AA4C" w14:textId="77777777" w:rsidR="00A453C3" w:rsidRDefault="00A453C3" w:rsidP="00A453C3">
      <w:pPr>
        <w:rPr>
          <w:rFonts w:eastAsia="MS Mincho"/>
          <w:szCs w:val="22"/>
          <w:lang w:val="lv-LV"/>
        </w:rPr>
      </w:pPr>
    </w:p>
    <w:p w14:paraId="2FF6F9C1" w14:textId="08F90529" w:rsidR="00A453C3" w:rsidRDefault="00A453C3" w:rsidP="00A453C3">
      <w:pPr>
        <w:rPr>
          <w:rFonts w:eastAsia="MS Mincho"/>
          <w:szCs w:val="22"/>
          <w:lang w:val="lv-LV"/>
        </w:rPr>
      </w:pPr>
      <w:r>
        <w:rPr>
          <w:szCs w:val="22"/>
          <w:lang w:val="lv-LV"/>
        </w:rPr>
        <w:t>II pētījuma nemaskētā pagarinājuma laikā ar tocilizumabu</w:t>
      </w:r>
      <w:r w:rsidRPr="002607ED">
        <w:rPr>
          <w:szCs w:val="22"/>
          <w:lang w:val="lv-LV"/>
        </w:rPr>
        <w:t xml:space="preserve"> </w:t>
      </w:r>
      <w:r>
        <w:rPr>
          <w:szCs w:val="22"/>
          <w:lang w:val="lv-LV"/>
        </w:rPr>
        <w:t xml:space="preserve">un MTX ārstēto pacientu strukturālā locītavu bojājuma progresēšanas ātruma samazināšanās saglabājās arī terapijas otrajā gadā. Tocilizumaba 8 mg/kg devu un MTX saņemšanai randomizētajiem pacientiem, salīdzinot ar placebo un MTX saņemšanai randomizētajiem pacientiem, 104. nedēļā vidējais novērtējuma punktu skaits pēc </w:t>
      </w:r>
      <w:r>
        <w:rPr>
          <w:i/>
          <w:iCs/>
          <w:szCs w:val="22"/>
          <w:lang w:val="lv-LV"/>
        </w:rPr>
        <w:t>Sharp-Genant</w:t>
      </w:r>
      <w:r>
        <w:rPr>
          <w:szCs w:val="22"/>
          <w:lang w:val="lv-LV"/>
        </w:rPr>
        <w:t xml:space="preserve"> bija ievērojami mazāks (p &lt; 0,0001).</w:t>
      </w:r>
    </w:p>
    <w:bookmarkEnd w:id="698"/>
    <w:p w14:paraId="30D83A47" w14:textId="77777777" w:rsidR="00A453C3" w:rsidRDefault="00A453C3" w:rsidP="00A453C3">
      <w:pPr>
        <w:rPr>
          <w:rFonts w:eastAsia="MS Mincho"/>
          <w:szCs w:val="22"/>
          <w:lang w:val="lv-LV"/>
        </w:rPr>
      </w:pPr>
    </w:p>
    <w:p w14:paraId="72409579" w14:textId="165FAAC1" w:rsidR="00A453C3" w:rsidRDefault="00A453C3" w:rsidP="00A453C3">
      <w:pPr>
        <w:keepNext/>
        <w:rPr>
          <w:rFonts w:eastAsia="MS Mincho"/>
          <w:bCs/>
          <w:i/>
          <w:szCs w:val="22"/>
          <w:lang w:val="lv-LV"/>
        </w:rPr>
      </w:pPr>
      <w:r>
        <w:rPr>
          <w:rFonts w:eastAsia="MS Mincho"/>
          <w:bCs/>
          <w:i/>
          <w:szCs w:val="22"/>
          <w:lang w:val="lv-LV"/>
        </w:rPr>
        <w:t>6. tabula. Vidējās rentgenoloģiskās pārmaiņas 52 nedēļu laikā II pētījumā</w:t>
      </w:r>
    </w:p>
    <w:p w14:paraId="32B34170" w14:textId="77777777" w:rsidR="00A453C3" w:rsidRDefault="00A453C3" w:rsidP="00A453C3">
      <w:pPr>
        <w:keepNext/>
        <w:rPr>
          <w:bCs/>
          <w:lang w:val="lv-LV"/>
        </w:rPr>
      </w:pPr>
    </w:p>
    <w:tbl>
      <w:tblPr>
        <w:tblW w:w="9082" w:type="dxa"/>
        <w:tblInd w:w="-15" w:type="dxa"/>
        <w:tblLayout w:type="fixed"/>
        <w:tblLook w:val="0000" w:firstRow="0" w:lastRow="0" w:firstColumn="0" w:lastColumn="0" w:noHBand="0" w:noVBand="0"/>
      </w:tblPr>
      <w:tblGrid>
        <w:gridCol w:w="3412"/>
        <w:gridCol w:w="2835"/>
        <w:gridCol w:w="2835"/>
      </w:tblGrid>
      <w:tr w:rsidR="00A453C3" w:rsidRPr="00707120" w14:paraId="3EC21DBE" w14:textId="77777777" w:rsidTr="00707120">
        <w:tc>
          <w:tcPr>
            <w:tcW w:w="3412" w:type="dxa"/>
            <w:tcBorders>
              <w:top w:val="single" w:sz="4" w:space="0" w:color="000000"/>
              <w:left w:val="single" w:sz="4" w:space="0" w:color="000000"/>
              <w:bottom w:val="single" w:sz="4" w:space="0" w:color="000000"/>
            </w:tcBorders>
          </w:tcPr>
          <w:p w14:paraId="21E2308B" w14:textId="77777777" w:rsidR="00A453C3" w:rsidRDefault="00A453C3" w:rsidP="0067693D">
            <w:pPr>
              <w:keepNext/>
              <w:snapToGrid w:val="0"/>
              <w:rPr>
                <w:lang w:val="lv-LV"/>
              </w:rPr>
            </w:pPr>
          </w:p>
        </w:tc>
        <w:tc>
          <w:tcPr>
            <w:tcW w:w="2835" w:type="dxa"/>
            <w:tcBorders>
              <w:top w:val="single" w:sz="4" w:space="0" w:color="000000"/>
              <w:left w:val="single" w:sz="4" w:space="0" w:color="000000"/>
              <w:bottom w:val="single" w:sz="4" w:space="0" w:color="000000"/>
            </w:tcBorders>
          </w:tcPr>
          <w:p w14:paraId="7D6D0994" w14:textId="77777777" w:rsidR="00A453C3" w:rsidRDefault="00A453C3" w:rsidP="0067693D">
            <w:pPr>
              <w:keepNext/>
              <w:jc w:val="center"/>
              <w:rPr>
                <w:b/>
                <w:szCs w:val="22"/>
                <w:lang w:val="lv-LV"/>
              </w:rPr>
            </w:pPr>
            <w:r>
              <w:rPr>
                <w:b/>
                <w:szCs w:val="22"/>
                <w:lang w:val="lv-LV"/>
              </w:rPr>
              <w:t>PBO + MTX</w:t>
            </w:r>
          </w:p>
          <w:p w14:paraId="5B155EBC" w14:textId="6F266DCD" w:rsidR="00A453C3" w:rsidRDefault="00A453C3" w:rsidP="0067693D">
            <w:pPr>
              <w:keepNext/>
              <w:jc w:val="center"/>
              <w:rPr>
                <w:b/>
                <w:szCs w:val="22"/>
                <w:lang w:val="lv-LV"/>
              </w:rPr>
            </w:pPr>
            <w:r>
              <w:rPr>
                <w:b/>
                <w:szCs w:val="22"/>
                <w:lang w:val="lv-LV"/>
              </w:rPr>
              <w:t>(+TCZ no 24. nedēļas)</w:t>
            </w:r>
          </w:p>
          <w:p w14:paraId="5DE048C2" w14:textId="4190F1E6" w:rsidR="00A453C3" w:rsidRDefault="00A453C3" w:rsidP="0067693D">
            <w:pPr>
              <w:keepNext/>
              <w:jc w:val="center"/>
              <w:rPr>
                <w:b/>
                <w:szCs w:val="22"/>
                <w:lang w:val="lv-LV"/>
              </w:rPr>
            </w:pPr>
            <w:del w:id="699" w:author="Author">
              <w:r w:rsidDel="00903A29">
                <w:rPr>
                  <w:b/>
                  <w:szCs w:val="22"/>
                  <w:lang w:val="lv-LV"/>
                </w:rPr>
                <w:delText xml:space="preserve">N </w:delText>
              </w:r>
            </w:del>
            <w:ins w:id="700" w:author="Author">
              <w:r w:rsidR="00903A29">
                <w:rPr>
                  <w:b/>
                  <w:szCs w:val="22"/>
                  <w:lang w:val="lv-LV"/>
                </w:rPr>
                <w:t>n</w:t>
              </w:r>
              <w:del w:id="701" w:author="Author">
                <w:r w:rsidR="00903A29" w:rsidDel="00BC6328">
                  <w:rPr>
                    <w:b/>
                    <w:szCs w:val="22"/>
                    <w:lang w:val="lv-LV"/>
                  </w:rPr>
                  <w:delText xml:space="preserve"> </w:delText>
                </w:r>
              </w:del>
            </w:ins>
            <w:r>
              <w:rPr>
                <w:b/>
                <w:szCs w:val="22"/>
                <w:lang w:val="lv-LV"/>
              </w:rPr>
              <w:t>=</w:t>
            </w:r>
            <w:del w:id="702" w:author="Author">
              <w:r w:rsidDel="00BC6328">
                <w:rPr>
                  <w:b/>
                  <w:szCs w:val="22"/>
                  <w:lang w:val="lv-LV"/>
                </w:rPr>
                <w:delText xml:space="preserve"> </w:delText>
              </w:r>
            </w:del>
            <w:r>
              <w:rPr>
                <w:b/>
                <w:szCs w:val="22"/>
                <w:lang w:val="lv-LV"/>
              </w:rPr>
              <w:t>393</w:t>
            </w:r>
          </w:p>
        </w:tc>
        <w:tc>
          <w:tcPr>
            <w:tcW w:w="2835" w:type="dxa"/>
            <w:tcBorders>
              <w:top w:val="single" w:sz="4" w:space="0" w:color="000000"/>
              <w:left w:val="single" w:sz="4" w:space="0" w:color="000000"/>
              <w:bottom w:val="single" w:sz="4" w:space="0" w:color="000000"/>
              <w:right w:val="single" w:sz="4" w:space="0" w:color="000000"/>
            </w:tcBorders>
          </w:tcPr>
          <w:p w14:paraId="00541AFD" w14:textId="77777777" w:rsidR="00A453C3" w:rsidRDefault="00A453C3" w:rsidP="0067693D">
            <w:pPr>
              <w:keepNext/>
              <w:jc w:val="center"/>
              <w:rPr>
                <w:b/>
                <w:szCs w:val="22"/>
                <w:lang w:val="lv-LV"/>
              </w:rPr>
            </w:pPr>
            <w:r>
              <w:rPr>
                <w:b/>
                <w:szCs w:val="22"/>
                <w:lang w:val="lv-LV"/>
              </w:rPr>
              <w:t>TCZ 8 mg/kg + MTX</w:t>
            </w:r>
          </w:p>
          <w:p w14:paraId="359C0D97" w14:textId="4F5D2947" w:rsidR="00A453C3" w:rsidRDefault="00A453C3" w:rsidP="0067693D">
            <w:pPr>
              <w:keepNext/>
              <w:jc w:val="center"/>
              <w:rPr>
                <w:bCs/>
                <w:szCs w:val="22"/>
                <w:lang w:val="lv-LV"/>
              </w:rPr>
            </w:pPr>
            <w:del w:id="703" w:author="Author">
              <w:r w:rsidDel="00903A29">
                <w:rPr>
                  <w:b/>
                  <w:szCs w:val="22"/>
                  <w:lang w:val="lv-LV"/>
                </w:rPr>
                <w:delText xml:space="preserve">N </w:delText>
              </w:r>
            </w:del>
            <w:ins w:id="704" w:author="Author">
              <w:r w:rsidR="00903A29">
                <w:rPr>
                  <w:b/>
                  <w:szCs w:val="22"/>
                  <w:lang w:val="lv-LV"/>
                </w:rPr>
                <w:t>n</w:t>
              </w:r>
              <w:del w:id="705" w:author="Author">
                <w:r w:rsidR="00903A29" w:rsidDel="00BC6328">
                  <w:rPr>
                    <w:b/>
                    <w:szCs w:val="22"/>
                    <w:lang w:val="lv-LV"/>
                  </w:rPr>
                  <w:delText xml:space="preserve"> </w:delText>
                </w:r>
              </w:del>
            </w:ins>
            <w:r>
              <w:rPr>
                <w:b/>
                <w:szCs w:val="22"/>
                <w:lang w:val="lv-LV"/>
              </w:rPr>
              <w:t>=</w:t>
            </w:r>
            <w:del w:id="706" w:author="Author">
              <w:r w:rsidDel="00BC6328">
                <w:rPr>
                  <w:b/>
                  <w:szCs w:val="22"/>
                  <w:lang w:val="lv-LV"/>
                </w:rPr>
                <w:delText xml:space="preserve"> </w:delText>
              </w:r>
            </w:del>
            <w:r>
              <w:rPr>
                <w:b/>
                <w:szCs w:val="22"/>
                <w:lang w:val="lv-LV"/>
              </w:rPr>
              <w:t>398</w:t>
            </w:r>
          </w:p>
        </w:tc>
      </w:tr>
      <w:tr w:rsidR="00A453C3" w14:paraId="6212C8D5" w14:textId="77777777" w:rsidTr="00707120">
        <w:tc>
          <w:tcPr>
            <w:tcW w:w="3412" w:type="dxa"/>
            <w:tcBorders>
              <w:top w:val="single" w:sz="4" w:space="0" w:color="000000"/>
              <w:left w:val="single" w:sz="4" w:space="0" w:color="000000"/>
              <w:bottom w:val="single" w:sz="4" w:space="0" w:color="000000"/>
            </w:tcBorders>
          </w:tcPr>
          <w:p w14:paraId="37FBD99E" w14:textId="77777777" w:rsidR="00A453C3" w:rsidRDefault="00A453C3" w:rsidP="0067693D">
            <w:pPr>
              <w:keepNext/>
              <w:rPr>
                <w:bCs/>
                <w:szCs w:val="22"/>
                <w:lang w:val="lv-LV"/>
              </w:rPr>
            </w:pPr>
            <w:r>
              <w:rPr>
                <w:bCs/>
                <w:szCs w:val="22"/>
                <w:lang w:val="lv-LV"/>
              </w:rPr>
              <w:t xml:space="preserve">Kopējais </w:t>
            </w:r>
            <w:r>
              <w:rPr>
                <w:bCs/>
                <w:i/>
                <w:szCs w:val="22"/>
                <w:lang w:val="lv-LV"/>
              </w:rPr>
              <w:t>Sharp-Genant</w:t>
            </w:r>
            <w:r>
              <w:rPr>
                <w:bCs/>
                <w:szCs w:val="22"/>
                <w:lang w:val="lv-LV"/>
              </w:rPr>
              <w:t xml:space="preserve"> vērtējums</w:t>
            </w:r>
          </w:p>
        </w:tc>
        <w:tc>
          <w:tcPr>
            <w:tcW w:w="2835" w:type="dxa"/>
            <w:tcBorders>
              <w:top w:val="single" w:sz="4" w:space="0" w:color="000000"/>
              <w:left w:val="single" w:sz="4" w:space="0" w:color="000000"/>
              <w:bottom w:val="single" w:sz="4" w:space="0" w:color="000000"/>
            </w:tcBorders>
          </w:tcPr>
          <w:p w14:paraId="53D842D6" w14:textId="77777777" w:rsidR="00A453C3" w:rsidRDefault="00A453C3" w:rsidP="0067693D">
            <w:pPr>
              <w:keepNext/>
              <w:jc w:val="center"/>
              <w:rPr>
                <w:bCs/>
                <w:szCs w:val="22"/>
                <w:lang w:val="lv-LV"/>
              </w:rPr>
            </w:pPr>
            <w:r>
              <w:rPr>
                <w:bCs/>
                <w:szCs w:val="22"/>
                <w:lang w:val="lv-LV"/>
              </w:rPr>
              <w:t>1,13</w:t>
            </w:r>
          </w:p>
        </w:tc>
        <w:tc>
          <w:tcPr>
            <w:tcW w:w="2835" w:type="dxa"/>
            <w:tcBorders>
              <w:top w:val="single" w:sz="4" w:space="0" w:color="000000"/>
              <w:left w:val="single" w:sz="4" w:space="0" w:color="000000"/>
              <w:bottom w:val="single" w:sz="4" w:space="0" w:color="000000"/>
              <w:right w:val="single" w:sz="4" w:space="0" w:color="000000"/>
            </w:tcBorders>
          </w:tcPr>
          <w:p w14:paraId="2A88EDAD" w14:textId="77777777" w:rsidR="00A453C3" w:rsidRDefault="00A453C3" w:rsidP="0067693D">
            <w:pPr>
              <w:keepNext/>
              <w:jc w:val="center"/>
              <w:rPr>
                <w:bCs/>
                <w:szCs w:val="22"/>
                <w:lang w:val="lv-LV"/>
              </w:rPr>
            </w:pPr>
            <w:r>
              <w:rPr>
                <w:bCs/>
                <w:szCs w:val="22"/>
                <w:lang w:val="lv-LV"/>
              </w:rPr>
              <w:t>0,29*</w:t>
            </w:r>
          </w:p>
        </w:tc>
      </w:tr>
      <w:tr w:rsidR="00A453C3" w14:paraId="321C25D8" w14:textId="77777777" w:rsidTr="00707120">
        <w:tc>
          <w:tcPr>
            <w:tcW w:w="3412" w:type="dxa"/>
            <w:tcBorders>
              <w:top w:val="single" w:sz="4" w:space="0" w:color="000000"/>
              <w:left w:val="single" w:sz="4" w:space="0" w:color="000000"/>
              <w:bottom w:val="single" w:sz="4" w:space="0" w:color="000000"/>
            </w:tcBorders>
          </w:tcPr>
          <w:p w14:paraId="05AF7C0F" w14:textId="77777777" w:rsidR="00A453C3" w:rsidRDefault="00A453C3" w:rsidP="0067693D">
            <w:pPr>
              <w:keepNext/>
              <w:rPr>
                <w:bCs/>
                <w:szCs w:val="22"/>
                <w:lang w:val="lv-LV"/>
              </w:rPr>
            </w:pPr>
            <w:r>
              <w:rPr>
                <w:bCs/>
                <w:szCs w:val="22"/>
                <w:lang w:val="lv-LV"/>
              </w:rPr>
              <w:t>Erozijas vērtējums</w:t>
            </w:r>
          </w:p>
        </w:tc>
        <w:tc>
          <w:tcPr>
            <w:tcW w:w="2835" w:type="dxa"/>
            <w:tcBorders>
              <w:top w:val="single" w:sz="4" w:space="0" w:color="000000"/>
              <w:left w:val="single" w:sz="4" w:space="0" w:color="000000"/>
              <w:bottom w:val="single" w:sz="4" w:space="0" w:color="000000"/>
            </w:tcBorders>
          </w:tcPr>
          <w:p w14:paraId="3836F569" w14:textId="77777777" w:rsidR="00A453C3" w:rsidRDefault="00A453C3" w:rsidP="0067693D">
            <w:pPr>
              <w:keepNext/>
              <w:jc w:val="center"/>
              <w:rPr>
                <w:bCs/>
                <w:szCs w:val="22"/>
                <w:lang w:val="lv-LV"/>
              </w:rPr>
            </w:pPr>
            <w:r>
              <w:rPr>
                <w:bCs/>
                <w:szCs w:val="22"/>
                <w:lang w:val="lv-LV"/>
              </w:rPr>
              <w:t>0,71</w:t>
            </w:r>
          </w:p>
        </w:tc>
        <w:tc>
          <w:tcPr>
            <w:tcW w:w="2835" w:type="dxa"/>
            <w:tcBorders>
              <w:top w:val="single" w:sz="4" w:space="0" w:color="000000"/>
              <w:left w:val="single" w:sz="4" w:space="0" w:color="000000"/>
              <w:bottom w:val="single" w:sz="4" w:space="0" w:color="000000"/>
              <w:right w:val="single" w:sz="4" w:space="0" w:color="000000"/>
            </w:tcBorders>
          </w:tcPr>
          <w:p w14:paraId="2F718C32" w14:textId="77777777" w:rsidR="00A453C3" w:rsidRDefault="00A453C3" w:rsidP="0067693D">
            <w:pPr>
              <w:keepNext/>
              <w:jc w:val="center"/>
              <w:rPr>
                <w:bCs/>
                <w:szCs w:val="22"/>
                <w:lang w:val="lv-LV"/>
              </w:rPr>
            </w:pPr>
            <w:r>
              <w:rPr>
                <w:bCs/>
                <w:szCs w:val="22"/>
                <w:lang w:val="lv-LV"/>
              </w:rPr>
              <w:t>0,17*</w:t>
            </w:r>
          </w:p>
        </w:tc>
      </w:tr>
      <w:tr w:rsidR="00A453C3" w14:paraId="162829C7" w14:textId="77777777" w:rsidTr="00707120">
        <w:tc>
          <w:tcPr>
            <w:tcW w:w="3412" w:type="dxa"/>
            <w:tcBorders>
              <w:top w:val="single" w:sz="4" w:space="0" w:color="000000"/>
              <w:left w:val="single" w:sz="4" w:space="0" w:color="000000"/>
              <w:bottom w:val="single" w:sz="4" w:space="0" w:color="000000"/>
            </w:tcBorders>
          </w:tcPr>
          <w:p w14:paraId="7CE49479" w14:textId="77777777" w:rsidR="00A453C3" w:rsidRDefault="00A453C3" w:rsidP="0067693D">
            <w:pPr>
              <w:keepNext/>
              <w:rPr>
                <w:bCs/>
                <w:szCs w:val="22"/>
                <w:lang w:val="lv-LV"/>
              </w:rPr>
            </w:pPr>
            <w:r>
              <w:rPr>
                <w:bCs/>
                <w:szCs w:val="22"/>
                <w:lang w:val="lv-LV"/>
              </w:rPr>
              <w:t>LSS vērtējums</w:t>
            </w:r>
          </w:p>
        </w:tc>
        <w:tc>
          <w:tcPr>
            <w:tcW w:w="2835" w:type="dxa"/>
            <w:tcBorders>
              <w:top w:val="single" w:sz="4" w:space="0" w:color="000000"/>
              <w:left w:val="single" w:sz="4" w:space="0" w:color="000000"/>
              <w:bottom w:val="single" w:sz="4" w:space="0" w:color="000000"/>
            </w:tcBorders>
          </w:tcPr>
          <w:p w14:paraId="6820F152" w14:textId="77777777" w:rsidR="00A453C3" w:rsidRDefault="00A453C3" w:rsidP="0067693D">
            <w:pPr>
              <w:keepNext/>
              <w:jc w:val="center"/>
              <w:rPr>
                <w:bCs/>
                <w:szCs w:val="22"/>
                <w:lang w:val="lv-LV"/>
              </w:rPr>
            </w:pPr>
            <w:r>
              <w:rPr>
                <w:bCs/>
                <w:szCs w:val="22"/>
                <w:lang w:val="lv-LV"/>
              </w:rPr>
              <w:t>0,42</w:t>
            </w:r>
          </w:p>
        </w:tc>
        <w:tc>
          <w:tcPr>
            <w:tcW w:w="2835" w:type="dxa"/>
            <w:tcBorders>
              <w:top w:val="single" w:sz="4" w:space="0" w:color="000000"/>
              <w:left w:val="single" w:sz="4" w:space="0" w:color="000000"/>
              <w:bottom w:val="single" w:sz="4" w:space="0" w:color="000000"/>
              <w:right w:val="single" w:sz="4" w:space="0" w:color="000000"/>
            </w:tcBorders>
          </w:tcPr>
          <w:p w14:paraId="52D6D14C" w14:textId="77777777" w:rsidR="00A453C3" w:rsidRDefault="00A453C3" w:rsidP="0067693D">
            <w:pPr>
              <w:keepNext/>
              <w:jc w:val="center"/>
              <w:rPr>
                <w:bCs/>
                <w:i/>
                <w:iCs/>
                <w:sz w:val="18"/>
                <w:szCs w:val="18"/>
                <w:lang w:val="lv-LV"/>
              </w:rPr>
            </w:pPr>
            <w:r>
              <w:rPr>
                <w:bCs/>
                <w:szCs w:val="22"/>
                <w:lang w:val="lv-LV"/>
              </w:rPr>
              <w:t>0,12**</w:t>
            </w:r>
          </w:p>
        </w:tc>
      </w:tr>
    </w:tbl>
    <w:p w14:paraId="1DD7709E" w14:textId="77777777" w:rsidR="00A453C3" w:rsidRPr="00707120" w:rsidRDefault="00A453C3" w:rsidP="00A453C3">
      <w:pPr>
        <w:keepNext/>
        <w:spacing w:line="180" w:lineRule="exact"/>
        <w:rPr>
          <w:bCs/>
          <w:sz w:val="18"/>
          <w:szCs w:val="18"/>
          <w:lang w:val="lv-LV"/>
        </w:rPr>
      </w:pPr>
      <w:r w:rsidRPr="00707120">
        <w:rPr>
          <w:bCs/>
          <w:sz w:val="18"/>
          <w:szCs w:val="18"/>
          <w:lang w:val="lv-LV"/>
        </w:rPr>
        <w:t>PBO</w:t>
      </w:r>
      <w:r w:rsidRPr="00707120">
        <w:rPr>
          <w:bCs/>
          <w:sz w:val="18"/>
          <w:szCs w:val="18"/>
          <w:lang w:val="lv-LV"/>
        </w:rPr>
        <w:tab/>
      </w:r>
      <w:r w:rsidRPr="00707120">
        <w:rPr>
          <w:bCs/>
          <w:sz w:val="18"/>
          <w:szCs w:val="18"/>
          <w:lang w:val="lv-LV"/>
        </w:rPr>
        <w:tab/>
        <w:t>- placebo.</w:t>
      </w:r>
    </w:p>
    <w:p w14:paraId="6D080F26" w14:textId="77777777" w:rsidR="00A453C3" w:rsidRPr="00707120" w:rsidRDefault="00A453C3" w:rsidP="00A453C3">
      <w:pPr>
        <w:keepNext/>
        <w:spacing w:line="180" w:lineRule="exact"/>
        <w:rPr>
          <w:bCs/>
          <w:sz w:val="18"/>
          <w:szCs w:val="18"/>
          <w:lang w:val="lv-LV"/>
        </w:rPr>
      </w:pPr>
      <w:r w:rsidRPr="00707120">
        <w:rPr>
          <w:bCs/>
          <w:sz w:val="18"/>
          <w:szCs w:val="18"/>
          <w:lang w:val="lv-LV"/>
        </w:rPr>
        <w:t>MTX</w:t>
      </w:r>
      <w:r w:rsidRPr="00707120">
        <w:rPr>
          <w:bCs/>
          <w:sz w:val="18"/>
          <w:szCs w:val="18"/>
          <w:lang w:val="lv-LV"/>
        </w:rPr>
        <w:tab/>
        <w:t xml:space="preserve"> </w:t>
      </w:r>
      <w:r w:rsidRPr="00707120">
        <w:rPr>
          <w:bCs/>
          <w:sz w:val="18"/>
          <w:szCs w:val="18"/>
          <w:lang w:val="lv-LV"/>
        </w:rPr>
        <w:tab/>
        <w:t>- metotreksāts.</w:t>
      </w:r>
    </w:p>
    <w:p w14:paraId="693A1605" w14:textId="77777777" w:rsidR="00A453C3" w:rsidRPr="00707120" w:rsidRDefault="00A453C3" w:rsidP="00A453C3">
      <w:pPr>
        <w:keepNext/>
        <w:spacing w:line="180" w:lineRule="exact"/>
        <w:rPr>
          <w:bCs/>
          <w:sz w:val="18"/>
          <w:szCs w:val="18"/>
          <w:lang w:val="lv-LV"/>
        </w:rPr>
      </w:pPr>
      <w:r w:rsidRPr="00707120">
        <w:rPr>
          <w:bCs/>
          <w:sz w:val="18"/>
          <w:szCs w:val="18"/>
          <w:lang w:val="lv-LV"/>
        </w:rPr>
        <w:t xml:space="preserve">TCZ </w:t>
      </w:r>
      <w:r w:rsidRPr="00707120">
        <w:rPr>
          <w:bCs/>
          <w:sz w:val="18"/>
          <w:szCs w:val="18"/>
          <w:lang w:val="lv-LV"/>
        </w:rPr>
        <w:tab/>
      </w:r>
      <w:r w:rsidRPr="00707120">
        <w:rPr>
          <w:bCs/>
          <w:sz w:val="18"/>
          <w:szCs w:val="18"/>
          <w:lang w:val="lv-LV"/>
        </w:rPr>
        <w:tab/>
        <w:t>- tocilizumabs.</w:t>
      </w:r>
    </w:p>
    <w:p w14:paraId="746BA956" w14:textId="77777777" w:rsidR="00A453C3" w:rsidRPr="00707120" w:rsidRDefault="00A453C3" w:rsidP="00A453C3">
      <w:pPr>
        <w:keepNext/>
        <w:spacing w:line="180" w:lineRule="exact"/>
        <w:rPr>
          <w:bCs/>
          <w:sz w:val="18"/>
          <w:szCs w:val="18"/>
          <w:lang w:val="lv-LV"/>
        </w:rPr>
      </w:pPr>
      <w:r w:rsidRPr="00707120">
        <w:rPr>
          <w:bCs/>
          <w:sz w:val="18"/>
          <w:szCs w:val="18"/>
          <w:lang w:val="lv-LV"/>
        </w:rPr>
        <w:t>LSS</w:t>
      </w:r>
      <w:r w:rsidRPr="00707120">
        <w:rPr>
          <w:bCs/>
          <w:sz w:val="18"/>
          <w:szCs w:val="18"/>
          <w:lang w:val="lv-LV"/>
        </w:rPr>
        <w:tab/>
      </w:r>
      <w:r w:rsidRPr="00707120">
        <w:rPr>
          <w:bCs/>
          <w:sz w:val="18"/>
          <w:szCs w:val="18"/>
          <w:lang w:val="lv-LV"/>
        </w:rPr>
        <w:tab/>
        <w:t>- locītavas spraugas sašaurināšanās.</w:t>
      </w:r>
    </w:p>
    <w:p w14:paraId="614C3B2E" w14:textId="6A8213AF" w:rsidR="00A453C3" w:rsidRPr="00707120" w:rsidRDefault="00A453C3" w:rsidP="00A453C3">
      <w:pPr>
        <w:spacing w:line="180" w:lineRule="exact"/>
        <w:rPr>
          <w:bCs/>
          <w:sz w:val="18"/>
          <w:szCs w:val="18"/>
          <w:lang w:val="lv-LV"/>
        </w:rPr>
      </w:pPr>
      <w:r w:rsidRPr="00707120">
        <w:rPr>
          <w:bCs/>
          <w:sz w:val="18"/>
          <w:szCs w:val="18"/>
          <w:lang w:val="lv-LV"/>
        </w:rPr>
        <w:t>*</w:t>
      </w:r>
      <w:r w:rsidRPr="00707120">
        <w:rPr>
          <w:bCs/>
          <w:sz w:val="18"/>
          <w:szCs w:val="18"/>
          <w:lang w:val="lv-LV"/>
        </w:rPr>
        <w:tab/>
      </w:r>
      <w:r w:rsidRPr="00707120">
        <w:rPr>
          <w:bCs/>
          <w:sz w:val="18"/>
          <w:szCs w:val="18"/>
          <w:lang w:val="lv-LV"/>
        </w:rPr>
        <w:tab/>
        <w:t>- p</w:t>
      </w:r>
      <w:r>
        <w:rPr>
          <w:bCs/>
          <w:sz w:val="18"/>
          <w:szCs w:val="18"/>
          <w:lang w:val="lv-LV"/>
        </w:rPr>
        <w:t> ≤ </w:t>
      </w:r>
      <w:r w:rsidRPr="00707120">
        <w:rPr>
          <w:bCs/>
          <w:sz w:val="18"/>
          <w:szCs w:val="18"/>
          <w:lang w:val="lv-LV"/>
        </w:rPr>
        <w:t>0,0001, TCZ salīdzinājumā ar PBO + MTX.</w:t>
      </w:r>
    </w:p>
    <w:p w14:paraId="44874620" w14:textId="77777777" w:rsidR="00A453C3" w:rsidRPr="00707120" w:rsidRDefault="00A453C3" w:rsidP="00A453C3">
      <w:pPr>
        <w:spacing w:line="180" w:lineRule="exact"/>
        <w:rPr>
          <w:b/>
          <w:szCs w:val="22"/>
          <w:lang w:val="lv-LV"/>
        </w:rPr>
      </w:pPr>
      <w:r w:rsidRPr="00707120">
        <w:rPr>
          <w:bCs/>
          <w:sz w:val="18"/>
          <w:szCs w:val="18"/>
          <w:lang w:val="lv-LV"/>
        </w:rPr>
        <w:t>**</w:t>
      </w:r>
      <w:r w:rsidRPr="00707120">
        <w:rPr>
          <w:bCs/>
          <w:sz w:val="18"/>
          <w:szCs w:val="18"/>
          <w:lang w:val="lv-LV"/>
        </w:rPr>
        <w:tab/>
      </w:r>
      <w:r w:rsidRPr="00707120">
        <w:rPr>
          <w:bCs/>
          <w:sz w:val="18"/>
          <w:szCs w:val="18"/>
          <w:lang w:val="lv-LV"/>
        </w:rPr>
        <w:tab/>
        <w:t>- p</w:t>
      </w:r>
      <w:r>
        <w:rPr>
          <w:bCs/>
          <w:sz w:val="18"/>
          <w:szCs w:val="18"/>
          <w:lang w:val="lv-LV"/>
        </w:rPr>
        <w:t> </w:t>
      </w:r>
      <w:r w:rsidRPr="00707120">
        <w:rPr>
          <w:bCs/>
          <w:sz w:val="18"/>
          <w:szCs w:val="18"/>
          <w:lang w:val="lv-LV"/>
        </w:rPr>
        <w:t>&lt;</w:t>
      </w:r>
      <w:r>
        <w:rPr>
          <w:bCs/>
          <w:sz w:val="18"/>
          <w:szCs w:val="18"/>
          <w:lang w:val="lv-LV"/>
        </w:rPr>
        <w:t> </w:t>
      </w:r>
      <w:r w:rsidRPr="00707120">
        <w:rPr>
          <w:bCs/>
          <w:sz w:val="18"/>
          <w:szCs w:val="18"/>
          <w:lang w:val="lv-LV"/>
        </w:rPr>
        <w:t>0,005, TCZ salīdzinājumā ar PBO + MTX.</w:t>
      </w:r>
    </w:p>
    <w:p w14:paraId="149A217B" w14:textId="77777777" w:rsidR="00A453C3" w:rsidRDefault="00A453C3" w:rsidP="00A453C3">
      <w:pPr>
        <w:rPr>
          <w:b/>
          <w:i/>
          <w:szCs w:val="22"/>
          <w:lang w:val="lv-LV"/>
        </w:rPr>
      </w:pPr>
    </w:p>
    <w:p w14:paraId="780315B7" w14:textId="30A2DCCA" w:rsidR="00A453C3" w:rsidRDefault="00A453C3" w:rsidP="00A453C3">
      <w:pPr>
        <w:rPr>
          <w:b/>
          <w:i/>
          <w:szCs w:val="22"/>
          <w:lang w:val="lv-LV"/>
        </w:rPr>
      </w:pPr>
      <w:r>
        <w:rPr>
          <w:szCs w:val="22"/>
          <w:lang w:val="lv-LV"/>
        </w:rPr>
        <w:t>Salīdzinot ar 67% pacientu (n=290), kurus ārstēja ar placebo un MTX, pēc 1 gadu ilgas ārstēšanas ar tocilizumabu</w:t>
      </w:r>
      <w:r w:rsidRPr="002607ED">
        <w:rPr>
          <w:szCs w:val="22"/>
          <w:lang w:val="lv-LV"/>
        </w:rPr>
        <w:t xml:space="preserve"> </w:t>
      </w:r>
      <w:r>
        <w:rPr>
          <w:szCs w:val="22"/>
          <w:lang w:val="lv-LV"/>
        </w:rPr>
        <w:t xml:space="preserve">un MTX locītavu struktūras bojājumi neprogresēja 85% pacientu (n=348), kas definēts kā izmaiņas kopējā </w:t>
      </w:r>
      <w:r>
        <w:rPr>
          <w:i/>
          <w:iCs/>
          <w:szCs w:val="22"/>
          <w:lang w:val="lv-LV"/>
        </w:rPr>
        <w:t>Sharp</w:t>
      </w:r>
      <w:r>
        <w:rPr>
          <w:szCs w:val="22"/>
          <w:lang w:val="lv-LV"/>
        </w:rPr>
        <w:t xml:space="preserve"> novērtējuma punktu skaitā par 0 vai mazāk (p ≤ 0,001). Šie rezultāti saglabājās nemainīgi arī pēc 2 gadus ilgas ārstēšanas (83%; n=353). Deviņdesmit trīs procentiem (93%, n=271) pacientu laikā starp 52. un 104. nedēļu slimība neprogresēja.</w:t>
      </w:r>
    </w:p>
    <w:p w14:paraId="296509DD" w14:textId="77777777" w:rsidR="00A453C3" w:rsidRDefault="00A453C3" w:rsidP="00A453C3">
      <w:pPr>
        <w:rPr>
          <w:b/>
          <w:i/>
          <w:szCs w:val="22"/>
          <w:lang w:val="lv-LV"/>
        </w:rPr>
      </w:pPr>
    </w:p>
    <w:p w14:paraId="24382AD8" w14:textId="77777777" w:rsidR="00A453C3" w:rsidRPr="00707120" w:rsidRDefault="00A453C3">
      <w:pPr>
        <w:keepNext/>
        <w:rPr>
          <w:bCs/>
          <w:iCs/>
          <w:szCs w:val="22"/>
          <w:u w:val="single"/>
          <w:lang w:val="lv-LV"/>
        </w:rPr>
        <w:pPrChange w:id="707" w:author="Author">
          <w:pPr/>
        </w:pPrChange>
      </w:pPr>
      <w:r w:rsidRPr="00707120">
        <w:rPr>
          <w:i/>
          <w:u w:val="single"/>
          <w:lang w:val="lv-LV"/>
        </w:rPr>
        <w:t>Ar veselību un dzīves kvalitāti saistītie iznākumi</w:t>
      </w:r>
    </w:p>
    <w:p w14:paraId="19D065DB" w14:textId="0B634883" w:rsidR="00A453C3" w:rsidRDefault="00A453C3" w:rsidP="00A453C3">
      <w:pPr>
        <w:rPr>
          <w:lang w:val="lv-LV"/>
        </w:rPr>
      </w:pPr>
      <w:bookmarkStart w:id="708" w:name="_Hlk174612659"/>
      <w:r>
        <w:rPr>
          <w:bCs/>
          <w:iCs/>
          <w:szCs w:val="22"/>
          <w:lang w:val="lv-LV"/>
        </w:rPr>
        <w:t xml:space="preserve">Ar </w:t>
      </w:r>
      <w:r>
        <w:rPr>
          <w:szCs w:val="22"/>
          <w:lang w:val="lv-LV"/>
        </w:rPr>
        <w:t>tocilizumabu</w:t>
      </w:r>
      <w:r w:rsidDel="001D4271">
        <w:rPr>
          <w:szCs w:val="22"/>
          <w:lang w:val="lv-LV"/>
        </w:rPr>
        <w:t xml:space="preserve"> </w:t>
      </w:r>
      <w:r>
        <w:rPr>
          <w:bCs/>
          <w:iCs/>
          <w:szCs w:val="22"/>
          <w:lang w:val="lv-LV"/>
        </w:rPr>
        <w:t xml:space="preserve">ārstētie pacienti ziņoja par visu pacienta novērtēto iznākumu (Veselības novērtēšanas anketas-invaliditātes indeksa – </w:t>
      </w:r>
      <w:r>
        <w:rPr>
          <w:bCs/>
          <w:i/>
          <w:szCs w:val="22"/>
          <w:lang w:val="lv-LV"/>
        </w:rPr>
        <w:t>Health Assessment Questionnaire-Disability Index;</w:t>
      </w:r>
      <w:r>
        <w:rPr>
          <w:bCs/>
          <w:iCs/>
          <w:szCs w:val="22"/>
          <w:lang w:val="lv-LV"/>
        </w:rPr>
        <w:t xml:space="preserve"> HAQ</w:t>
      </w:r>
      <w:r>
        <w:rPr>
          <w:bCs/>
          <w:iCs/>
          <w:szCs w:val="22"/>
          <w:lang w:val="lv-LV"/>
        </w:rPr>
        <w:noBreakHyphen/>
        <w:t>DI), īso formu-36 un funkcionālo vērtējumu hroniskas slimības terapijas laikā) vērtējuma uzlabošanos. Ar tocilizumabu ārstētiem pacientiem novēroja statistiski nozīmīgu pēc HAQ</w:t>
      </w:r>
      <w:r>
        <w:rPr>
          <w:bCs/>
          <w:iCs/>
          <w:szCs w:val="22"/>
          <w:lang w:val="lv-LV"/>
        </w:rPr>
        <w:noBreakHyphen/>
        <w:t xml:space="preserve">DI iegūtā rezultāta uzlabošanos salīdzinājumā ar DMARD ārstētiem pacientiem. </w:t>
      </w:r>
      <w:r>
        <w:rPr>
          <w:szCs w:val="22"/>
          <w:lang w:val="lv-LV"/>
        </w:rPr>
        <w:t>II pētījuma nemaskētā perioda laikā fizisko funkciju uzlabošanās saglabājās līdz 2 gadiem. Pēc 52 nedēļām grupā, kas saņēma tocilizumaba 8 mg/kg devas un MTX, vidējās HAQ</w:t>
      </w:r>
      <w:r>
        <w:rPr>
          <w:szCs w:val="22"/>
          <w:lang w:val="lv-LV"/>
        </w:rPr>
        <w:noBreakHyphen/>
        <w:t>DI novērtējuma izmaiņas bija </w:t>
      </w:r>
      <w:r>
        <w:rPr>
          <w:szCs w:val="22"/>
          <w:lang w:val="lv-LV"/>
        </w:rPr>
        <w:noBreakHyphen/>
        <w:t xml:space="preserve">0,58, salīdzinot ar </w:t>
      </w:r>
      <w:r>
        <w:rPr>
          <w:szCs w:val="22"/>
          <w:lang w:val="lv-LV"/>
        </w:rPr>
        <w:noBreakHyphen/>
        <w:t>0,39 grupā, kas saņēma placebo un MTX. Grupā, kas saņēma tocilizumaba 8 mg/kg devas un MTX, vidējās HAQ</w:t>
      </w:r>
      <w:r>
        <w:rPr>
          <w:szCs w:val="22"/>
          <w:lang w:val="lv-LV"/>
        </w:rPr>
        <w:noBreakHyphen/>
        <w:t>DI novērtējuma izmaiņas (</w:t>
      </w:r>
      <w:r>
        <w:rPr>
          <w:szCs w:val="22"/>
          <w:lang w:val="lv-LV"/>
        </w:rPr>
        <w:noBreakHyphen/>
        <w:t>0,61) saglabājās pēc 104 nedēļām.</w:t>
      </w:r>
    </w:p>
    <w:bookmarkEnd w:id="708"/>
    <w:p w14:paraId="6AE03DAD" w14:textId="77777777" w:rsidR="00A453C3" w:rsidRDefault="00A453C3" w:rsidP="00A453C3">
      <w:pPr>
        <w:rPr>
          <w:lang w:val="lv-LV"/>
        </w:rPr>
      </w:pPr>
    </w:p>
    <w:p w14:paraId="37AAFBC0" w14:textId="77777777" w:rsidR="00A453C3" w:rsidRPr="00707120" w:rsidRDefault="00A453C3" w:rsidP="00A453C3">
      <w:pPr>
        <w:keepNext/>
        <w:rPr>
          <w:szCs w:val="22"/>
          <w:u w:val="single"/>
          <w:lang w:val="lv-LV"/>
        </w:rPr>
      </w:pPr>
      <w:r w:rsidRPr="00707120">
        <w:rPr>
          <w:i/>
          <w:u w:val="single"/>
          <w:lang w:val="lv-LV"/>
        </w:rPr>
        <w:t>Hemoglobīna līmenis</w:t>
      </w:r>
    </w:p>
    <w:p w14:paraId="3588CFCA" w14:textId="3A2DB777" w:rsidR="00A453C3" w:rsidRDefault="00A453C3" w:rsidP="00707120">
      <w:pPr>
        <w:rPr>
          <w:szCs w:val="22"/>
          <w:lang w:val="lv-LV"/>
        </w:rPr>
      </w:pPr>
      <w:bookmarkStart w:id="709" w:name="_Hlk174612671"/>
      <w:r>
        <w:rPr>
          <w:szCs w:val="22"/>
          <w:lang w:val="lv-LV"/>
        </w:rPr>
        <w:t>24. nedēļā, lietojot tocilizumabu, novērota statistiski nozīmīga (p &lt; 0,0001) hemoglobīna līmeņa uzlabošanās</w:t>
      </w:r>
      <w:r>
        <w:rPr>
          <w:lang w:val="lv-LV"/>
        </w:rPr>
        <w:t xml:space="preserve"> </w:t>
      </w:r>
      <w:r>
        <w:rPr>
          <w:szCs w:val="22"/>
          <w:lang w:val="lv-LV"/>
        </w:rPr>
        <w:t xml:space="preserve">salīdzinājumā ar DMARD. Vidējais hemoglobīna līmenis palielinājās 2. nedēļā un saglabājās normas robežās līdz 24. nedēļai. </w:t>
      </w:r>
    </w:p>
    <w:bookmarkEnd w:id="709"/>
    <w:p w14:paraId="5C984675" w14:textId="77777777" w:rsidR="00A453C3" w:rsidRDefault="00A453C3" w:rsidP="00A453C3">
      <w:pPr>
        <w:rPr>
          <w:szCs w:val="22"/>
          <w:lang w:val="lv-LV"/>
        </w:rPr>
      </w:pPr>
    </w:p>
    <w:p w14:paraId="58D3DAAF" w14:textId="5691B015" w:rsidR="00A453C3" w:rsidRPr="002007A3" w:rsidRDefault="00A453C3">
      <w:pPr>
        <w:keepNext/>
        <w:rPr>
          <w:u w:val="single"/>
          <w:lang w:val="lv-LV"/>
          <w:rPrChange w:id="710" w:author="Author">
            <w:rPr>
              <w:lang w:val="lv-LV"/>
            </w:rPr>
          </w:rPrChange>
        </w:rPr>
        <w:pPrChange w:id="711" w:author="Author">
          <w:pPr>
            <w:ind w:right="-2"/>
          </w:pPr>
        </w:pPrChange>
      </w:pPr>
      <w:r w:rsidRPr="002007A3">
        <w:rPr>
          <w:i/>
          <w:szCs w:val="22"/>
          <w:u w:val="single"/>
          <w:lang w:val="lv-LV"/>
          <w:rPrChange w:id="712" w:author="Author">
            <w:rPr>
              <w:i/>
              <w:szCs w:val="22"/>
              <w:lang w:val="lv-LV"/>
            </w:rPr>
          </w:rPrChange>
        </w:rPr>
        <w:t>Tocilizumabs</w:t>
      </w:r>
      <w:r w:rsidRPr="002007A3">
        <w:rPr>
          <w:szCs w:val="22"/>
          <w:u w:val="single"/>
          <w:lang w:val="lv-LV"/>
          <w:rPrChange w:id="713" w:author="Author">
            <w:rPr>
              <w:szCs w:val="22"/>
              <w:lang w:val="lv-LV"/>
            </w:rPr>
          </w:rPrChange>
        </w:rPr>
        <w:t xml:space="preserve"> </w:t>
      </w:r>
      <w:r w:rsidRPr="002007A3">
        <w:rPr>
          <w:i/>
          <w:u w:val="single"/>
          <w:lang w:val="lv-LV"/>
          <w:rPrChange w:id="714" w:author="Author">
            <w:rPr>
              <w:i/>
              <w:lang w:val="lv-LV"/>
            </w:rPr>
          </w:rPrChange>
        </w:rPr>
        <w:t>salīdzinājumā ar adalimumabu monoterapijā</w:t>
      </w:r>
    </w:p>
    <w:p w14:paraId="52793FCB" w14:textId="00DE7427" w:rsidR="00A453C3" w:rsidRDefault="00A453C3" w:rsidP="00A453C3">
      <w:pPr>
        <w:rPr>
          <w:lang w:val="lv-LV"/>
        </w:rPr>
      </w:pPr>
      <w:bookmarkStart w:id="715" w:name="_Hlk174612696"/>
      <w:r>
        <w:rPr>
          <w:lang w:val="lv-LV"/>
        </w:rPr>
        <w:t xml:space="preserve">VI pētījumā (WA19924), kas bija 24 nedēļas ilgs dubultmaskēts pētījums, kurā </w:t>
      </w:r>
      <w:r>
        <w:rPr>
          <w:szCs w:val="22"/>
          <w:lang w:val="lv-LV"/>
        </w:rPr>
        <w:t>tocilizumaba</w:t>
      </w:r>
      <w:r w:rsidDel="001D4271">
        <w:rPr>
          <w:szCs w:val="22"/>
          <w:lang w:val="lv-LV"/>
        </w:rPr>
        <w:t xml:space="preserve"> </w:t>
      </w:r>
      <w:r>
        <w:rPr>
          <w:lang w:val="lv-LV"/>
        </w:rPr>
        <w:t xml:space="preserve">monoterapiju salīdzināja ar adalimumaba monoterapiju, novērtēja 326 pacientus ar RA, kuri nepanesa MTX vai kuriem turpmāka ārstēšana ar MTX bija uzskatāma par nepiemērotu (tajā skaitā personas, kurām bija neatbilstoša atbildes reakcija uz MTX). </w:t>
      </w:r>
      <w:r>
        <w:rPr>
          <w:szCs w:val="22"/>
          <w:lang w:val="lv-LV"/>
        </w:rPr>
        <w:t>Tocilizumaba</w:t>
      </w:r>
      <w:r w:rsidDel="001D4271">
        <w:rPr>
          <w:szCs w:val="22"/>
          <w:lang w:val="lv-LV"/>
        </w:rPr>
        <w:t xml:space="preserve"> </w:t>
      </w:r>
      <w:r>
        <w:rPr>
          <w:lang w:val="lv-LV"/>
        </w:rPr>
        <w:t xml:space="preserve">grupas pacientiem lietoja </w:t>
      </w:r>
      <w:r>
        <w:rPr>
          <w:szCs w:val="22"/>
          <w:lang w:val="lv-LV"/>
        </w:rPr>
        <w:t>tocilizumabu</w:t>
      </w:r>
      <w:r w:rsidDel="001D4271">
        <w:rPr>
          <w:szCs w:val="22"/>
          <w:lang w:val="lv-LV"/>
        </w:rPr>
        <w:t xml:space="preserve"> </w:t>
      </w:r>
      <w:r>
        <w:rPr>
          <w:lang w:val="lv-LV"/>
        </w:rPr>
        <w:t>(8 mg/kg) intravenozas infūzijas veidā reizi četrās nedēļās (q4w) un subkutānas placebo injekcijas reizi divās nedēļās (q2w). Adalimumaba grupas pacientiem lietoja adalimumabu (40 mg) subkutānu injekciju veidā reizi divās nedēļās un placebo intravenozas infūzijas veidā reizi četrās nedēļās.</w:t>
      </w:r>
    </w:p>
    <w:bookmarkEnd w:id="715"/>
    <w:p w14:paraId="10912EE2" w14:textId="77777777" w:rsidR="00A453C3" w:rsidRDefault="00A453C3" w:rsidP="00A453C3">
      <w:pPr>
        <w:rPr>
          <w:lang w:val="lv-LV"/>
        </w:rPr>
      </w:pPr>
    </w:p>
    <w:p w14:paraId="2CC0494D" w14:textId="6A515633" w:rsidR="00A453C3" w:rsidRDefault="00A453C3" w:rsidP="00A453C3">
      <w:pPr>
        <w:rPr>
          <w:lang w:val="lv-LV"/>
        </w:rPr>
      </w:pPr>
      <w:r>
        <w:rPr>
          <w:lang w:val="lv-LV"/>
        </w:rPr>
        <w:t xml:space="preserve">Vērtējot slimības aktivitātes kontrolēšanu no pētījuma sākumam līdz 24. nedēļai, proti, DAS28 izmaiņas kā primāro mērķa kritēriju un visus sekundāros mērķa kritērijus, salīdzinot ar adalimumabu, </w:t>
      </w:r>
      <w:r>
        <w:rPr>
          <w:szCs w:val="22"/>
          <w:lang w:val="lv-LV"/>
        </w:rPr>
        <w:t>tocilizumabam</w:t>
      </w:r>
      <w:r w:rsidDel="001D4271">
        <w:rPr>
          <w:szCs w:val="22"/>
          <w:lang w:val="lv-LV"/>
        </w:rPr>
        <w:t xml:space="preserve"> </w:t>
      </w:r>
      <w:r>
        <w:rPr>
          <w:lang w:val="lv-LV"/>
        </w:rPr>
        <w:t>konstatēja labāku iedarbību, kas bija statistiski nozīmīga (7. tabula).</w:t>
      </w:r>
    </w:p>
    <w:p w14:paraId="67C8E776" w14:textId="77777777" w:rsidR="00A453C3" w:rsidRDefault="00A453C3" w:rsidP="00A453C3">
      <w:pPr>
        <w:rPr>
          <w:lang w:val="lv-LV"/>
        </w:rPr>
      </w:pPr>
    </w:p>
    <w:p w14:paraId="21648790" w14:textId="2FEE0D8B" w:rsidR="00A453C3" w:rsidRDefault="00A453C3" w:rsidP="00A453C3">
      <w:pPr>
        <w:keepNext/>
        <w:keepLines/>
        <w:rPr>
          <w:i/>
          <w:szCs w:val="22"/>
          <w:lang w:val="lv-LV"/>
        </w:rPr>
      </w:pPr>
      <w:r>
        <w:rPr>
          <w:i/>
          <w:szCs w:val="22"/>
          <w:lang w:val="lv-LV"/>
        </w:rPr>
        <w:t>7. tabula. VI pētījuma (WA19924) efektivitāti raksturojošie rezultāti</w:t>
      </w:r>
    </w:p>
    <w:p w14:paraId="28B17628" w14:textId="77777777" w:rsidR="00A453C3" w:rsidRDefault="00A453C3" w:rsidP="00A453C3">
      <w:pPr>
        <w:keepNext/>
        <w:keepLines/>
        <w:rPr>
          <w:szCs w:val="22"/>
          <w:lang w:val="lv-LV"/>
        </w:rPr>
      </w:pPr>
      <w:bookmarkStart w:id="716" w:name="_Hlk174612774"/>
    </w:p>
    <w:tbl>
      <w:tblPr>
        <w:tblW w:w="9076" w:type="dxa"/>
        <w:tblInd w:w="-9" w:type="dxa"/>
        <w:tblLayout w:type="fixed"/>
        <w:tblCellMar>
          <w:left w:w="0" w:type="dxa"/>
          <w:right w:w="0" w:type="dxa"/>
        </w:tblCellMar>
        <w:tblLook w:val="0000" w:firstRow="0" w:lastRow="0" w:firstColumn="0" w:lastColumn="0" w:noHBand="0" w:noVBand="0"/>
      </w:tblPr>
      <w:tblGrid>
        <w:gridCol w:w="3690"/>
        <w:gridCol w:w="1984"/>
        <w:gridCol w:w="2127"/>
        <w:gridCol w:w="1275"/>
      </w:tblGrid>
      <w:tr w:rsidR="00A453C3" w:rsidRPr="00FB280D" w14:paraId="7B358B91" w14:textId="77777777" w:rsidTr="00707120">
        <w:trPr>
          <w:cantSplit/>
        </w:trPr>
        <w:tc>
          <w:tcPr>
            <w:tcW w:w="3690" w:type="dxa"/>
            <w:tcBorders>
              <w:top w:val="single" w:sz="8" w:space="0" w:color="000000"/>
              <w:left w:val="single" w:sz="4" w:space="0" w:color="000000"/>
              <w:bottom w:val="single" w:sz="8" w:space="0" w:color="000000"/>
            </w:tcBorders>
            <w:vAlign w:val="bottom"/>
          </w:tcPr>
          <w:p w14:paraId="3B0EA403" w14:textId="77777777" w:rsidR="00A453C3" w:rsidRPr="007F7850" w:rsidRDefault="00A453C3" w:rsidP="0067693D">
            <w:pPr>
              <w:keepNext/>
              <w:keepLines/>
              <w:snapToGrid w:val="0"/>
              <w:rPr>
                <w:szCs w:val="22"/>
                <w:lang w:val="lv-LV"/>
              </w:rPr>
            </w:pPr>
          </w:p>
        </w:tc>
        <w:tc>
          <w:tcPr>
            <w:tcW w:w="1984" w:type="dxa"/>
            <w:tcBorders>
              <w:top w:val="single" w:sz="8" w:space="0" w:color="000000"/>
              <w:bottom w:val="single" w:sz="8" w:space="0" w:color="000000"/>
            </w:tcBorders>
            <w:vAlign w:val="bottom"/>
          </w:tcPr>
          <w:p w14:paraId="3BB6EBDE" w14:textId="77777777" w:rsidR="00A453C3" w:rsidRPr="00707120" w:rsidRDefault="00A453C3" w:rsidP="0067693D">
            <w:pPr>
              <w:keepNext/>
              <w:keepLines/>
              <w:spacing w:before="40" w:after="40" w:line="240" w:lineRule="exact"/>
              <w:jc w:val="center"/>
              <w:rPr>
                <w:b/>
                <w:szCs w:val="22"/>
                <w:lang w:val="lv-LV"/>
              </w:rPr>
            </w:pPr>
            <w:r w:rsidRPr="00707120">
              <w:rPr>
                <w:b/>
                <w:szCs w:val="22"/>
                <w:lang w:val="lv-LV"/>
              </w:rPr>
              <w:t>ADA + placebo (i.v.)</w:t>
            </w:r>
          </w:p>
          <w:p w14:paraId="73838940" w14:textId="03FF703B" w:rsidR="00A453C3" w:rsidRPr="00707120" w:rsidRDefault="00A453C3" w:rsidP="0067693D">
            <w:pPr>
              <w:keepNext/>
              <w:keepLines/>
              <w:spacing w:before="40" w:after="40" w:line="240" w:lineRule="exact"/>
              <w:jc w:val="center"/>
              <w:rPr>
                <w:b/>
                <w:szCs w:val="22"/>
                <w:lang w:val="lv-LV"/>
              </w:rPr>
            </w:pPr>
            <w:del w:id="717" w:author="Author">
              <w:r w:rsidRPr="00707120" w:rsidDel="00903A29">
                <w:rPr>
                  <w:b/>
                  <w:szCs w:val="22"/>
                  <w:lang w:val="lv-LV"/>
                </w:rPr>
                <w:delText xml:space="preserve">N </w:delText>
              </w:r>
            </w:del>
            <w:ins w:id="718" w:author="Author">
              <w:r w:rsidR="00903A29">
                <w:rPr>
                  <w:b/>
                  <w:szCs w:val="22"/>
                  <w:lang w:val="lv-LV"/>
                </w:rPr>
                <w:t>n</w:t>
              </w:r>
              <w:del w:id="719" w:author="Author">
                <w:r w:rsidR="00903A29" w:rsidRPr="00707120" w:rsidDel="00BC6328">
                  <w:rPr>
                    <w:b/>
                    <w:szCs w:val="22"/>
                    <w:lang w:val="lv-LV"/>
                  </w:rPr>
                  <w:delText xml:space="preserve"> </w:delText>
                </w:r>
              </w:del>
            </w:ins>
            <w:r w:rsidRPr="00707120">
              <w:rPr>
                <w:b/>
                <w:szCs w:val="22"/>
                <w:lang w:val="lv-LV"/>
              </w:rPr>
              <w:t>=</w:t>
            </w:r>
            <w:del w:id="720" w:author="Author">
              <w:r w:rsidRPr="00707120" w:rsidDel="00BC6328">
                <w:rPr>
                  <w:b/>
                  <w:szCs w:val="22"/>
                  <w:lang w:val="lv-LV"/>
                </w:rPr>
                <w:delText xml:space="preserve"> </w:delText>
              </w:r>
            </w:del>
            <w:r w:rsidRPr="00707120">
              <w:rPr>
                <w:b/>
                <w:szCs w:val="22"/>
                <w:lang w:val="lv-LV"/>
              </w:rPr>
              <w:t>162</w:t>
            </w:r>
          </w:p>
        </w:tc>
        <w:tc>
          <w:tcPr>
            <w:tcW w:w="2127" w:type="dxa"/>
            <w:tcBorders>
              <w:top w:val="single" w:sz="8" w:space="0" w:color="000000"/>
              <w:bottom w:val="single" w:sz="8" w:space="0" w:color="000000"/>
            </w:tcBorders>
            <w:vAlign w:val="bottom"/>
          </w:tcPr>
          <w:p w14:paraId="183541C8" w14:textId="77777777" w:rsidR="00A453C3" w:rsidRPr="00707120" w:rsidRDefault="00A453C3" w:rsidP="0067693D">
            <w:pPr>
              <w:keepNext/>
              <w:keepLines/>
              <w:spacing w:before="40" w:after="40" w:line="240" w:lineRule="exact"/>
              <w:jc w:val="center"/>
              <w:rPr>
                <w:b/>
                <w:szCs w:val="22"/>
                <w:lang w:val="lv-LV"/>
              </w:rPr>
            </w:pPr>
            <w:r w:rsidRPr="00707120">
              <w:rPr>
                <w:b/>
                <w:szCs w:val="22"/>
                <w:lang w:val="lv-LV"/>
              </w:rPr>
              <w:t>TCZ + placebo (s.c.)</w:t>
            </w:r>
          </w:p>
          <w:p w14:paraId="4E294DED" w14:textId="62CA6516" w:rsidR="00A453C3" w:rsidRPr="00707120" w:rsidRDefault="00A453C3" w:rsidP="0067693D">
            <w:pPr>
              <w:keepNext/>
              <w:keepLines/>
              <w:spacing w:before="40" w:after="40" w:line="240" w:lineRule="exact"/>
              <w:jc w:val="center"/>
              <w:rPr>
                <w:szCs w:val="22"/>
                <w:lang w:val="lv-LV"/>
              </w:rPr>
            </w:pPr>
            <w:del w:id="721" w:author="Author">
              <w:r w:rsidRPr="00707120" w:rsidDel="00903A29">
                <w:rPr>
                  <w:b/>
                  <w:szCs w:val="22"/>
                  <w:lang w:val="lv-LV"/>
                </w:rPr>
                <w:delText xml:space="preserve">N </w:delText>
              </w:r>
            </w:del>
            <w:ins w:id="722" w:author="Author">
              <w:r w:rsidR="00903A29">
                <w:rPr>
                  <w:b/>
                  <w:szCs w:val="22"/>
                  <w:lang w:val="lv-LV"/>
                </w:rPr>
                <w:t>n</w:t>
              </w:r>
              <w:del w:id="723" w:author="Author">
                <w:r w:rsidR="00903A29" w:rsidRPr="00707120" w:rsidDel="00BC6328">
                  <w:rPr>
                    <w:b/>
                    <w:szCs w:val="22"/>
                    <w:lang w:val="lv-LV"/>
                  </w:rPr>
                  <w:delText xml:space="preserve"> </w:delText>
                </w:r>
              </w:del>
            </w:ins>
            <w:r w:rsidRPr="00707120">
              <w:rPr>
                <w:b/>
                <w:szCs w:val="22"/>
                <w:lang w:val="lv-LV"/>
              </w:rPr>
              <w:t>=</w:t>
            </w:r>
            <w:del w:id="724" w:author="Author">
              <w:r w:rsidRPr="00707120" w:rsidDel="00BC6328">
                <w:rPr>
                  <w:b/>
                  <w:szCs w:val="22"/>
                  <w:lang w:val="lv-LV"/>
                </w:rPr>
                <w:delText xml:space="preserve"> </w:delText>
              </w:r>
            </w:del>
            <w:r w:rsidRPr="00707120">
              <w:rPr>
                <w:b/>
                <w:szCs w:val="22"/>
                <w:lang w:val="lv-LV"/>
              </w:rPr>
              <w:t>163</w:t>
            </w:r>
          </w:p>
        </w:tc>
        <w:tc>
          <w:tcPr>
            <w:tcW w:w="1275" w:type="dxa"/>
            <w:tcBorders>
              <w:top w:val="single" w:sz="8" w:space="0" w:color="000000"/>
              <w:bottom w:val="single" w:sz="8" w:space="0" w:color="000000"/>
              <w:right w:val="single" w:sz="8" w:space="0" w:color="000000"/>
            </w:tcBorders>
            <w:vAlign w:val="bottom"/>
          </w:tcPr>
          <w:p w14:paraId="219F66C0" w14:textId="77777777" w:rsidR="00A453C3" w:rsidRPr="00707120" w:rsidRDefault="00A453C3" w:rsidP="0067693D">
            <w:pPr>
              <w:keepNext/>
              <w:keepLines/>
              <w:spacing w:before="40" w:after="40" w:line="240" w:lineRule="exact"/>
              <w:jc w:val="center"/>
              <w:rPr>
                <w:b/>
                <w:szCs w:val="22"/>
                <w:lang w:val="lv-LV"/>
              </w:rPr>
            </w:pPr>
            <w:r w:rsidRPr="00707120">
              <w:rPr>
                <w:b/>
                <w:szCs w:val="22"/>
                <w:lang w:val="lv-LV"/>
              </w:rPr>
              <w:t>p vērtība</w:t>
            </w:r>
            <w:r w:rsidRPr="00707120">
              <w:rPr>
                <w:b/>
                <w:szCs w:val="22"/>
                <w:vertAlign w:val="superscript"/>
                <w:lang w:val="lv-LV"/>
              </w:rPr>
              <w:t>(a)</w:t>
            </w:r>
          </w:p>
        </w:tc>
      </w:tr>
      <w:tr w:rsidR="00A453C3" w:rsidRPr="00FB280D" w14:paraId="19EB8913" w14:textId="77777777" w:rsidTr="00707120">
        <w:tblPrEx>
          <w:tblCellMar>
            <w:left w:w="57" w:type="dxa"/>
            <w:right w:w="57" w:type="dxa"/>
          </w:tblCellMar>
        </w:tblPrEx>
        <w:trPr>
          <w:cantSplit/>
        </w:trPr>
        <w:tc>
          <w:tcPr>
            <w:tcW w:w="9076" w:type="dxa"/>
            <w:gridSpan w:val="4"/>
            <w:tcBorders>
              <w:left w:val="single" w:sz="4" w:space="0" w:color="000000"/>
              <w:right w:val="single" w:sz="8" w:space="0" w:color="000000"/>
            </w:tcBorders>
          </w:tcPr>
          <w:p w14:paraId="5038463E" w14:textId="5A8A4850" w:rsidR="00A453C3" w:rsidRPr="00707120" w:rsidRDefault="00A453C3" w:rsidP="0067693D">
            <w:pPr>
              <w:keepNext/>
              <w:keepLines/>
              <w:spacing w:before="40" w:after="40" w:line="240" w:lineRule="exact"/>
              <w:rPr>
                <w:b/>
                <w:szCs w:val="22"/>
                <w:lang w:val="lv-LV"/>
              </w:rPr>
            </w:pPr>
            <w:r w:rsidRPr="00707120">
              <w:rPr>
                <w:b/>
                <w:szCs w:val="22"/>
                <w:lang w:val="lv-LV"/>
              </w:rPr>
              <w:t xml:space="preserve">Primārais mērķa kritērijs – vidējās izmaiņas 24. nedēļā salīdzinājumā ar pētījuma sākumu </w:t>
            </w:r>
          </w:p>
        </w:tc>
      </w:tr>
      <w:tr w:rsidR="00A453C3" w:rsidRPr="00FB280D" w14:paraId="50E2C298" w14:textId="77777777" w:rsidTr="00707120">
        <w:trPr>
          <w:cantSplit/>
        </w:trPr>
        <w:tc>
          <w:tcPr>
            <w:tcW w:w="3690" w:type="dxa"/>
            <w:tcBorders>
              <w:top w:val="single" w:sz="4" w:space="0" w:color="000000"/>
              <w:left w:val="single" w:sz="4" w:space="0" w:color="000000"/>
            </w:tcBorders>
          </w:tcPr>
          <w:p w14:paraId="7BF65B7D" w14:textId="77777777" w:rsidR="00A453C3" w:rsidRPr="00707120" w:rsidRDefault="00A453C3" w:rsidP="0067693D">
            <w:pPr>
              <w:keepNext/>
              <w:keepLines/>
              <w:spacing w:before="40" w:after="40" w:line="240" w:lineRule="exact"/>
              <w:jc w:val="right"/>
              <w:rPr>
                <w:bCs/>
                <w:szCs w:val="22"/>
                <w:lang w:val="lv-LV"/>
              </w:rPr>
            </w:pPr>
            <w:r w:rsidRPr="00707120">
              <w:rPr>
                <w:bCs/>
                <w:szCs w:val="22"/>
                <w:lang w:val="lv-LV"/>
              </w:rPr>
              <w:t xml:space="preserve">DAS28 (koriģēta vidējā vērtība) </w:t>
            </w:r>
          </w:p>
        </w:tc>
        <w:tc>
          <w:tcPr>
            <w:tcW w:w="1984" w:type="dxa"/>
            <w:tcBorders>
              <w:top w:val="single" w:sz="4" w:space="0" w:color="000000"/>
            </w:tcBorders>
          </w:tcPr>
          <w:p w14:paraId="3520D674" w14:textId="77777777" w:rsidR="00A453C3" w:rsidRPr="00707120" w:rsidRDefault="00A453C3" w:rsidP="0067693D">
            <w:pPr>
              <w:keepNext/>
              <w:keepLines/>
              <w:spacing w:before="50" w:after="50" w:line="240" w:lineRule="exact"/>
              <w:jc w:val="center"/>
              <w:rPr>
                <w:bCs/>
                <w:szCs w:val="22"/>
                <w:lang w:val="lv-LV"/>
              </w:rPr>
            </w:pPr>
            <w:r w:rsidRPr="00707120">
              <w:rPr>
                <w:bCs/>
                <w:szCs w:val="22"/>
                <w:lang w:val="lv-LV"/>
              </w:rPr>
              <w:t>-1,8</w:t>
            </w:r>
          </w:p>
        </w:tc>
        <w:tc>
          <w:tcPr>
            <w:tcW w:w="2127" w:type="dxa"/>
            <w:tcBorders>
              <w:top w:val="single" w:sz="4" w:space="0" w:color="000000"/>
            </w:tcBorders>
          </w:tcPr>
          <w:p w14:paraId="47CFE659" w14:textId="77777777" w:rsidR="00A453C3" w:rsidRPr="00707120" w:rsidRDefault="00A453C3" w:rsidP="0067693D">
            <w:pPr>
              <w:keepNext/>
              <w:keepLines/>
              <w:spacing w:before="50" w:after="50" w:line="240" w:lineRule="exact"/>
              <w:jc w:val="center"/>
              <w:rPr>
                <w:bCs/>
                <w:szCs w:val="22"/>
                <w:lang w:val="lv-LV"/>
              </w:rPr>
            </w:pPr>
            <w:r w:rsidRPr="00707120">
              <w:rPr>
                <w:bCs/>
                <w:szCs w:val="22"/>
                <w:lang w:val="lv-LV"/>
              </w:rPr>
              <w:t xml:space="preserve">-3,3 </w:t>
            </w:r>
          </w:p>
        </w:tc>
        <w:tc>
          <w:tcPr>
            <w:tcW w:w="1275" w:type="dxa"/>
            <w:tcBorders>
              <w:top w:val="single" w:sz="4" w:space="0" w:color="000000"/>
              <w:right w:val="single" w:sz="8" w:space="0" w:color="000000"/>
            </w:tcBorders>
          </w:tcPr>
          <w:p w14:paraId="0DC4C5BE" w14:textId="77777777" w:rsidR="00A453C3" w:rsidRPr="00707120" w:rsidRDefault="00A453C3" w:rsidP="0067693D">
            <w:pPr>
              <w:keepNext/>
              <w:keepLines/>
              <w:snapToGrid w:val="0"/>
              <w:spacing w:before="50" w:after="50" w:line="240" w:lineRule="exact"/>
              <w:jc w:val="center"/>
              <w:rPr>
                <w:bCs/>
                <w:szCs w:val="22"/>
                <w:lang w:val="lv-LV"/>
              </w:rPr>
            </w:pPr>
          </w:p>
        </w:tc>
      </w:tr>
      <w:tr w:rsidR="00A453C3" w:rsidRPr="00FB280D" w14:paraId="1668B94B" w14:textId="77777777" w:rsidTr="00707120">
        <w:trPr>
          <w:cantSplit/>
        </w:trPr>
        <w:tc>
          <w:tcPr>
            <w:tcW w:w="3690" w:type="dxa"/>
            <w:tcBorders>
              <w:left w:val="single" w:sz="4" w:space="0" w:color="000000"/>
              <w:bottom w:val="single" w:sz="4" w:space="0" w:color="000000"/>
            </w:tcBorders>
          </w:tcPr>
          <w:p w14:paraId="26502061" w14:textId="77777777" w:rsidR="00A453C3" w:rsidRPr="00707120" w:rsidRDefault="00A453C3" w:rsidP="0067693D">
            <w:pPr>
              <w:keepNext/>
              <w:keepLines/>
              <w:spacing w:before="40" w:after="40" w:line="240" w:lineRule="exact"/>
              <w:jc w:val="right"/>
              <w:rPr>
                <w:bCs/>
                <w:szCs w:val="22"/>
                <w:lang w:val="lv-LV"/>
              </w:rPr>
            </w:pPr>
            <w:r w:rsidRPr="00707120">
              <w:rPr>
                <w:bCs/>
                <w:szCs w:val="22"/>
                <w:lang w:val="lv-LV"/>
              </w:rPr>
              <w:t>Koriģētās vidējās vērtības atšķirība (95% TI)</w:t>
            </w:r>
          </w:p>
        </w:tc>
        <w:tc>
          <w:tcPr>
            <w:tcW w:w="4111" w:type="dxa"/>
            <w:gridSpan w:val="2"/>
            <w:tcBorders>
              <w:bottom w:val="single" w:sz="4" w:space="0" w:color="000000"/>
            </w:tcBorders>
          </w:tcPr>
          <w:p w14:paraId="6AF6F6F0" w14:textId="06051575" w:rsidR="00A453C3" w:rsidRPr="00707120" w:rsidRDefault="00A453C3" w:rsidP="0067693D">
            <w:pPr>
              <w:keepNext/>
              <w:keepLines/>
              <w:spacing w:before="50" w:after="50" w:line="240" w:lineRule="exact"/>
              <w:jc w:val="center"/>
              <w:rPr>
                <w:bCs/>
                <w:szCs w:val="22"/>
                <w:lang w:val="lv-LV"/>
              </w:rPr>
            </w:pPr>
            <w:r w:rsidRPr="00707120">
              <w:rPr>
                <w:bCs/>
                <w:szCs w:val="22"/>
                <w:lang w:val="lv-LV"/>
              </w:rPr>
              <w:t>-1,5 (-1,8; -1,1)</w:t>
            </w:r>
          </w:p>
        </w:tc>
        <w:tc>
          <w:tcPr>
            <w:tcW w:w="1275" w:type="dxa"/>
            <w:tcBorders>
              <w:bottom w:val="single" w:sz="4" w:space="0" w:color="000000"/>
              <w:right w:val="single" w:sz="8" w:space="0" w:color="000000"/>
            </w:tcBorders>
          </w:tcPr>
          <w:p w14:paraId="1F6C3CE4" w14:textId="77777777" w:rsidR="00A453C3" w:rsidRPr="00707120" w:rsidRDefault="00A453C3" w:rsidP="0067693D">
            <w:pPr>
              <w:keepNext/>
              <w:keepLines/>
              <w:spacing w:before="50" w:after="50" w:line="240" w:lineRule="exact"/>
              <w:jc w:val="center"/>
              <w:rPr>
                <w:bCs/>
                <w:szCs w:val="22"/>
                <w:lang w:val="lv-LV"/>
              </w:rPr>
            </w:pPr>
            <w:r w:rsidRPr="00707120">
              <w:rPr>
                <w:bCs/>
                <w:szCs w:val="22"/>
                <w:lang w:val="lv-LV"/>
              </w:rPr>
              <w:t>&lt; 0,0001</w:t>
            </w:r>
          </w:p>
        </w:tc>
      </w:tr>
      <w:tr w:rsidR="00A453C3" w:rsidRPr="00FB280D" w14:paraId="70F2943F" w14:textId="77777777" w:rsidTr="00707120">
        <w:tblPrEx>
          <w:tblCellMar>
            <w:left w:w="57" w:type="dxa"/>
            <w:right w:w="57" w:type="dxa"/>
          </w:tblCellMar>
        </w:tblPrEx>
        <w:trPr>
          <w:cantSplit/>
        </w:trPr>
        <w:tc>
          <w:tcPr>
            <w:tcW w:w="9076" w:type="dxa"/>
            <w:gridSpan w:val="4"/>
            <w:tcBorders>
              <w:left w:val="single" w:sz="4" w:space="0" w:color="000000"/>
              <w:bottom w:val="single" w:sz="4" w:space="0" w:color="auto"/>
              <w:right w:val="single" w:sz="8" w:space="0" w:color="000000"/>
            </w:tcBorders>
          </w:tcPr>
          <w:p w14:paraId="4A992A24" w14:textId="1A14BC56" w:rsidR="00A453C3" w:rsidRPr="00707120" w:rsidRDefault="00A453C3" w:rsidP="0067693D">
            <w:pPr>
              <w:keepNext/>
              <w:keepLines/>
              <w:spacing w:before="40" w:after="40" w:line="240" w:lineRule="exact"/>
              <w:rPr>
                <w:szCs w:val="22"/>
                <w:lang w:val="lv-LV"/>
              </w:rPr>
            </w:pPr>
            <w:r w:rsidRPr="00707120">
              <w:rPr>
                <w:b/>
                <w:szCs w:val="22"/>
                <w:lang w:val="lv-LV"/>
              </w:rPr>
              <w:t>Sekundārie mērķa kritēriji –</w:t>
            </w:r>
            <w:r w:rsidRPr="00707120">
              <w:rPr>
                <w:szCs w:val="22"/>
              </w:rPr>
              <w:t xml:space="preserve"> </w:t>
            </w:r>
            <w:r w:rsidRPr="00707120">
              <w:rPr>
                <w:b/>
                <w:szCs w:val="22"/>
                <w:lang w:val="lv-LV"/>
              </w:rPr>
              <w:t>pacientu procentuālais daudzums 24. nedēļā, kuriem bija atbildes reakcija</w:t>
            </w:r>
            <w:r w:rsidRPr="00707120">
              <w:rPr>
                <w:b/>
                <w:szCs w:val="22"/>
                <w:vertAlign w:val="superscript"/>
                <w:lang w:val="lv-LV"/>
              </w:rPr>
              <w:t>(b)</w:t>
            </w:r>
          </w:p>
        </w:tc>
      </w:tr>
      <w:tr w:rsidR="00A453C3" w:rsidRPr="00FB280D" w14:paraId="4659102B" w14:textId="77777777" w:rsidTr="00707120">
        <w:trPr>
          <w:cantSplit/>
        </w:trPr>
        <w:tc>
          <w:tcPr>
            <w:tcW w:w="3690" w:type="dxa"/>
            <w:tcBorders>
              <w:top w:val="single" w:sz="4" w:space="0" w:color="auto"/>
              <w:left w:val="single" w:sz="4" w:space="0" w:color="auto"/>
              <w:bottom w:val="single" w:sz="4" w:space="0" w:color="auto"/>
              <w:right w:val="single" w:sz="4" w:space="0" w:color="auto"/>
            </w:tcBorders>
          </w:tcPr>
          <w:p w14:paraId="252E27AE" w14:textId="77777777" w:rsidR="00A453C3" w:rsidRPr="00707120" w:rsidRDefault="00A453C3" w:rsidP="0067693D">
            <w:pPr>
              <w:keepNext/>
              <w:keepLines/>
              <w:spacing w:before="40" w:after="40" w:line="240" w:lineRule="exact"/>
              <w:jc w:val="right"/>
              <w:rPr>
                <w:szCs w:val="22"/>
                <w:lang w:val="lv-LV"/>
              </w:rPr>
            </w:pPr>
            <w:r w:rsidRPr="00707120">
              <w:rPr>
                <w:szCs w:val="22"/>
                <w:lang w:val="lv-LV"/>
              </w:rPr>
              <w:t>DAS28 &lt; 2,6, n (%)</w:t>
            </w:r>
          </w:p>
        </w:tc>
        <w:tc>
          <w:tcPr>
            <w:tcW w:w="1984" w:type="dxa"/>
            <w:tcBorders>
              <w:top w:val="single" w:sz="4" w:space="0" w:color="auto"/>
              <w:left w:val="single" w:sz="4" w:space="0" w:color="auto"/>
              <w:bottom w:val="single" w:sz="4" w:space="0" w:color="auto"/>
              <w:right w:val="single" w:sz="4" w:space="0" w:color="auto"/>
            </w:tcBorders>
          </w:tcPr>
          <w:p w14:paraId="76B4FC2C" w14:textId="77777777" w:rsidR="00A453C3" w:rsidRPr="00707120" w:rsidRDefault="00A453C3" w:rsidP="0067693D">
            <w:pPr>
              <w:keepNext/>
              <w:keepLines/>
              <w:spacing w:before="50" w:after="50" w:line="240" w:lineRule="exact"/>
              <w:jc w:val="center"/>
              <w:rPr>
                <w:szCs w:val="22"/>
                <w:lang w:val="lv-LV"/>
              </w:rPr>
            </w:pPr>
            <w:r w:rsidRPr="00707120">
              <w:rPr>
                <w:szCs w:val="22"/>
                <w:lang w:val="lv-LV"/>
              </w:rPr>
              <w:t>17 (10,5)</w:t>
            </w:r>
          </w:p>
        </w:tc>
        <w:tc>
          <w:tcPr>
            <w:tcW w:w="2127" w:type="dxa"/>
            <w:tcBorders>
              <w:top w:val="single" w:sz="4" w:space="0" w:color="auto"/>
              <w:left w:val="single" w:sz="4" w:space="0" w:color="auto"/>
              <w:bottom w:val="single" w:sz="4" w:space="0" w:color="auto"/>
              <w:right w:val="single" w:sz="4" w:space="0" w:color="auto"/>
            </w:tcBorders>
          </w:tcPr>
          <w:p w14:paraId="183B2C82" w14:textId="77777777" w:rsidR="00A453C3" w:rsidRPr="00707120" w:rsidRDefault="00A453C3" w:rsidP="0067693D">
            <w:pPr>
              <w:keepNext/>
              <w:keepLines/>
              <w:spacing w:before="50" w:after="50" w:line="240" w:lineRule="exact"/>
              <w:jc w:val="center"/>
              <w:rPr>
                <w:szCs w:val="22"/>
                <w:lang w:val="lv-LV"/>
              </w:rPr>
            </w:pPr>
            <w:r w:rsidRPr="00707120">
              <w:rPr>
                <w:szCs w:val="22"/>
                <w:lang w:val="lv-LV"/>
              </w:rPr>
              <w:t>65 (39,9)</w:t>
            </w:r>
          </w:p>
        </w:tc>
        <w:tc>
          <w:tcPr>
            <w:tcW w:w="1275" w:type="dxa"/>
            <w:tcBorders>
              <w:top w:val="single" w:sz="4" w:space="0" w:color="auto"/>
              <w:left w:val="single" w:sz="4" w:space="0" w:color="auto"/>
              <w:bottom w:val="single" w:sz="4" w:space="0" w:color="auto"/>
              <w:right w:val="single" w:sz="4" w:space="0" w:color="auto"/>
            </w:tcBorders>
          </w:tcPr>
          <w:p w14:paraId="312728E8" w14:textId="77777777" w:rsidR="00A453C3" w:rsidRPr="00707120" w:rsidRDefault="00A453C3" w:rsidP="0067693D">
            <w:pPr>
              <w:keepNext/>
              <w:keepLines/>
              <w:spacing w:before="50" w:after="50" w:line="240" w:lineRule="exact"/>
              <w:jc w:val="center"/>
              <w:rPr>
                <w:szCs w:val="22"/>
                <w:lang w:val="lv-LV"/>
              </w:rPr>
            </w:pPr>
            <w:r w:rsidRPr="00707120">
              <w:rPr>
                <w:szCs w:val="22"/>
                <w:lang w:val="lv-LV"/>
              </w:rPr>
              <w:t>&lt; 0,0001</w:t>
            </w:r>
          </w:p>
        </w:tc>
      </w:tr>
      <w:tr w:rsidR="00A453C3" w:rsidRPr="00FB280D" w14:paraId="60EA7044" w14:textId="77777777" w:rsidTr="00707120">
        <w:trPr>
          <w:cantSplit/>
        </w:trPr>
        <w:tc>
          <w:tcPr>
            <w:tcW w:w="3690" w:type="dxa"/>
            <w:tcBorders>
              <w:top w:val="single" w:sz="4" w:space="0" w:color="auto"/>
              <w:left w:val="single" w:sz="4" w:space="0" w:color="auto"/>
              <w:bottom w:val="single" w:sz="4" w:space="0" w:color="auto"/>
              <w:right w:val="single" w:sz="4" w:space="0" w:color="auto"/>
            </w:tcBorders>
          </w:tcPr>
          <w:p w14:paraId="61CE0AD3" w14:textId="77777777" w:rsidR="00A453C3" w:rsidRPr="00707120" w:rsidRDefault="00A453C3" w:rsidP="0067693D">
            <w:pPr>
              <w:keepNext/>
              <w:keepLines/>
              <w:spacing w:before="40" w:after="40" w:line="240" w:lineRule="exact"/>
              <w:jc w:val="right"/>
              <w:rPr>
                <w:szCs w:val="22"/>
                <w:lang w:val="lv-LV"/>
              </w:rPr>
            </w:pPr>
            <w:r w:rsidRPr="00707120">
              <w:rPr>
                <w:szCs w:val="22"/>
                <w:lang w:val="lv-LV"/>
              </w:rPr>
              <w:t xml:space="preserve">DAS28 ≤ 3,2, n (%) </w:t>
            </w:r>
          </w:p>
        </w:tc>
        <w:tc>
          <w:tcPr>
            <w:tcW w:w="1984" w:type="dxa"/>
            <w:tcBorders>
              <w:top w:val="single" w:sz="4" w:space="0" w:color="auto"/>
              <w:left w:val="single" w:sz="4" w:space="0" w:color="auto"/>
              <w:bottom w:val="single" w:sz="4" w:space="0" w:color="auto"/>
              <w:right w:val="single" w:sz="4" w:space="0" w:color="auto"/>
            </w:tcBorders>
          </w:tcPr>
          <w:p w14:paraId="38822C40" w14:textId="77777777" w:rsidR="00A453C3" w:rsidRPr="00707120" w:rsidRDefault="00A453C3" w:rsidP="0067693D">
            <w:pPr>
              <w:keepNext/>
              <w:keepLines/>
              <w:spacing w:before="50" w:after="50" w:line="240" w:lineRule="exact"/>
              <w:jc w:val="center"/>
              <w:rPr>
                <w:szCs w:val="22"/>
                <w:lang w:val="lv-LV"/>
              </w:rPr>
            </w:pPr>
            <w:r w:rsidRPr="00707120">
              <w:rPr>
                <w:szCs w:val="22"/>
                <w:lang w:val="lv-LV"/>
              </w:rPr>
              <w:t xml:space="preserve">32 (19,8) </w:t>
            </w:r>
          </w:p>
        </w:tc>
        <w:tc>
          <w:tcPr>
            <w:tcW w:w="2127" w:type="dxa"/>
            <w:tcBorders>
              <w:top w:val="single" w:sz="4" w:space="0" w:color="auto"/>
              <w:left w:val="single" w:sz="4" w:space="0" w:color="auto"/>
              <w:bottom w:val="single" w:sz="4" w:space="0" w:color="auto"/>
              <w:right w:val="single" w:sz="4" w:space="0" w:color="auto"/>
            </w:tcBorders>
          </w:tcPr>
          <w:p w14:paraId="74E866CB" w14:textId="77777777" w:rsidR="00A453C3" w:rsidRPr="00707120" w:rsidRDefault="00A453C3" w:rsidP="0067693D">
            <w:pPr>
              <w:keepNext/>
              <w:keepLines/>
              <w:spacing w:before="50" w:after="50" w:line="240" w:lineRule="exact"/>
              <w:jc w:val="center"/>
              <w:rPr>
                <w:szCs w:val="22"/>
                <w:lang w:val="lv-LV"/>
              </w:rPr>
            </w:pPr>
            <w:r w:rsidRPr="00707120">
              <w:rPr>
                <w:szCs w:val="22"/>
                <w:lang w:val="lv-LV"/>
              </w:rPr>
              <w:t>84 (51,5)</w:t>
            </w:r>
          </w:p>
        </w:tc>
        <w:tc>
          <w:tcPr>
            <w:tcW w:w="1275" w:type="dxa"/>
            <w:tcBorders>
              <w:top w:val="single" w:sz="4" w:space="0" w:color="auto"/>
              <w:left w:val="single" w:sz="4" w:space="0" w:color="auto"/>
              <w:bottom w:val="single" w:sz="4" w:space="0" w:color="auto"/>
              <w:right w:val="single" w:sz="4" w:space="0" w:color="auto"/>
            </w:tcBorders>
          </w:tcPr>
          <w:p w14:paraId="12BC67E5" w14:textId="77777777" w:rsidR="00A453C3" w:rsidRPr="00707120" w:rsidRDefault="00A453C3" w:rsidP="0067693D">
            <w:pPr>
              <w:keepNext/>
              <w:keepLines/>
              <w:spacing w:before="50" w:after="50" w:line="240" w:lineRule="exact"/>
              <w:jc w:val="center"/>
              <w:rPr>
                <w:szCs w:val="22"/>
                <w:lang w:val="lv-LV"/>
              </w:rPr>
            </w:pPr>
            <w:r w:rsidRPr="00707120">
              <w:rPr>
                <w:szCs w:val="22"/>
                <w:lang w:val="lv-LV"/>
              </w:rPr>
              <w:t>&lt; 0,0001</w:t>
            </w:r>
          </w:p>
        </w:tc>
      </w:tr>
      <w:tr w:rsidR="00A453C3" w:rsidRPr="00FB280D" w14:paraId="54D30190" w14:textId="77777777" w:rsidTr="00707120">
        <w:trPr>
          <w:cantSplit/>
        </w:trPr>
        <w:tc>
          <w:tcPr>
            <w:tcW w:w="3690" w:type="dxa"/>
            <w:tcBorders>
              <w:top w:val="single" w:sz="4" w:space="0" w:color="auto"/>
              <w:left w:val="single" w:sz="4" w:space="0" w:color="auto"/>
              <w:bottom w:val="single" w:sz="4" w:space="0" w:color="auto"/>
              <w:right w:val="single" w:sz="4" w:space="0" w:color="auto"/>
            </w:tcBorders>
          </w:tcPr>
          <w:p w14:paraId="1CE1C3C3" w14:textId="77777777" w:rsidR="00A453C3" w:rsidRPr="00707120" w:rsidRDefault="00A453C3" w:rsidP="0067693D">
            <w:pPr>
              <w:keepNext/>
              <w:keepLines/>
              <w:spacing w:before="40" w:after="40" w:line="240" w:lineRule="exact"/>
              <w:jc w:val="right"/>
              <w:rPr>
                <w:szCs w:val="22"/>
                <w:lang w:val="lv-LV"/>
              </w:rPr>
            </w:pPr>
            <w:r w:rsidRPr="00707120">
              <w:rPr>
                <w:szCs w:val="22"/>
                <w:lang w:val="lv-LV"/>
              </w:rPr>
              <w:t>ACR 20 atbildes reakcija, n (%)</w:t>
            </w:r>
          </w:p>
        </w:tc>
        <w:tc>
          <w:tcPr>
            <w:tcW w:w="1984" w:type="dxa"/>
            <w:tcBorders>
              <w:top w:val="single" w:sz="4" w:space="0" w:color="auto"/>
              <w:left w:val="single" w:sz="4" w:space="0" w:color="auto"/>
              <w:bottom w:val="single" w:sz="4" w:space="0" w:color="auto"/>
              <w:right w:val="single" w:sz="4" w:space="0" w:color="auto"/>
            </w:tcBorders>
          </w:tcPr>
          <w:p w14:paraId="1C1FC843" w14:textId="77777777" w:rsidR="00A453C3" w:rsidRPr="00707120" w:rsidRDefault="00A453C3" w:rsidP="0067693D">
            <w:pPr>
              <w:keepNext/>
              <w:keepLines/>
              <w:spacing w:before="50" w:after="50" w:line="240" w:lineRule="exact"/>
              <w:jc w:val="center"/>
              <w:rPr>
                <w:szCs w:val="22"/>
                <w:lang w:val="lv-LV"/>
              </w:rPr>
            </w:pPr>
            <w:r w:rsidRPr="00707120">
              <w:rPr>
                <w:szCs w:val="22"/>
                <w:lang w:val="lv-LV"/>
              </w:rPr>
              <w:t>80 (49,4)</w:t>
            </w:r>
          </w:p>
        </w:tc>
        <w:tc>
          <w:tcPr>
            <w:tcW w:w="2127" w:type="dxa"/>
            <w:tcBorders>
              <w:top w:val="single" w:sz="4" w:space="0" w:color="auto"/>
              <w:left w:val="single" w:sz="4" w:space="0" w:color="auto"/>
              <w:bottom w:val="single" w:sz="4" w:space="0" w:color="auto"/>
              <w:right w:val="single" w:sz="4" w:space="0" w:color="auto"/>
            </w:tcBorders>
          </w:tcPr>
          <w:p w14:paraId="0A528391" w14:textId="77777777" w:rsidR="00A453C3" w:rsidRPr="00707120" w:rsidRDefault="00A453C3" w:rsidP="0067693D">
            <w:pPr>
              <w:keepNext/>
              <w:keepLines/>
              <w:spacing w:before="50" w:after="50" w:line="240" w:lineRule="exact"/>
              <w:jc w:val="center"/>
              <w:rPr>
                <w:szCs w:val="22"/>
                <w:lang w:val="lv-LV"/>
              </w:rPr>
            </w:pPr>
            <w:r w:rsidRPr="00707120">
              <w:rPr>
                <w:szCs w:val="22"/>
                <w:lang w:val="lv-LV"/>
              </w:rPr>
              <w:t>106 (65,0)</w:t>
            </w:r>
          </w:p>
        </w:tc>
        <w:tc>
          <w:tcPr>
            <w:tcW w:w="1275" w:type="dxa"/>
            <w:tcBorders>
              <w:top w:val="single" w:sz="4" w:space="0" w:color="auto"/>
              <w:left w:val="single" w:sz="4" w:space="0" w:color="auto"/>
              <w:bottom w:val="single" w:sz="4" w:space="0" w:color="auto"/>
              <w:right w:val="single" w:sz="4" w:space="0" w:color="auto"/>
            </w:tcBorders>
          </w:tcPr>
          <w:p w14:paraId="1A8E0142" w14:textId="77777777" w:rsidR="00A453C3" w:rsidRPr="00707120" w:rsidRDefault="00A453C3" w:rsidP="0067693D">
            <w:pPr>
              <w:keepNext/>
              <w:keepLines/>
              <w:spacing w:before="50" w:after="50" w:line="240" w:lineRule="exact"/>
              <w:jc w:val="center"/>
              <w:rPr>
                <w:szCs w:val="22"/>
                <w:lang w:val="lv-LV"/>
              </w:rPr>
            </w:pPr>
            <w:r w:rsidRPr="00707120">
              <w:rPr>
                <w:szCs w:val="22"/>
                <w:lang w:val="lv-LV"/>
              </w:rPr>
              <w:t>0,0038</w:t>
            </w:r>
          </w:p>
        </w:tc>
      </w:tr>
      <w:tr w:rsidR="00A453C3" w:rsidRPr="00FB280D" w14:paraId="68ED312C" w14:textId="77777777" w:rsidTr="00707120">
        <w:trPr>
          <w:cantSplit/>
        </w:trPr>
        <w:tc>
          <w:tcPr>
            <w:tcW w:w="3690" w:type="dxa"/>
            <w:tcBorders>
              <w:top w:val="single" w:sz="4" w:space="0" w:color="auto"/>
              <w:left w:val="single" w:sz="4" w:space="0" w:color="auto"/>
              <w:bottom w:val="single" w:sz="4" w:space="0" w:color="auto"/>
              <w:right w:val="single" w:sz="4" w:space="0" w:color="auto"/>
            </w:tcBorders>
          </w:tcPr>
          <w:p w14:paraId="3DEFE12E" w14:textId="77777777" w:rsidR="00A453C3" w:rsidRPr="00707120" w:rsidRDefault="00A453C3" w:rsidP="0067693D">
            <w:pPr>
              <w:keepNext/>
              <w:keepLines/>
              <w:spacing w:before="40" w:after="40" w:line="240" w:lineRule="exact"/>
              <w:jc w:val="right"/>
              <w:rPr>
                <w:szCs w:val="22"/>
                <w:lang w:val="lv-LV"/>
              </w:rPr>
            </w:pPr>
            <w:r w:rsidRPr="00707120">
              <w:rPr>
                <w:szCs w:val="22"/>
                <w:lang w:val="lv-LV"/>
              </w:rPr>
              <w:t>ACR 50 atbildes reakcija, n (%)</w:t>
            </w:r>
          </w:p>
        </w:tc>
        <w:tc>
          <w:tcPr>
            <w:tcW w:w="1984" w:type="dxa"/>
            <w:tcBorders>
              <w:top w:val="single" w:sz="4" w:space="0" w:color="auto"/>
              <w:left w:val="single" w:sz="4" w:space="0" w:color="auto"/>
              <w:bottom w:val="single" w:sz="4" w:space="0" w:color="auto"/>
              <w:right w:val="single" w:sz="4" w:space="0" w:color="auto"/>
            </w:tcBorders>
          </w:tcPr>
          <w:p w14:paraId="369E82D2" w14:textId="77777777" w:rsidR="00A453C3" w:rsidRPr="00707120" w:rsidRDefault="00A453C3" w:rsidP="0067693D">
            <w:pPr>
              <w:keepNext/>
              <w:keepLines/>
              <w:spacing w:before="50" w:after="50" w:line="240" w:lineRule="exact"/>
              <w:jc w:val="center"/>
              <w:rPr>
                <w:szCs w:val="22"/>
                <w:lang w:val="lv-LV"/>
              </w:rPr>
            </w:pPr>
            <w:r w:rsidRPr="00707120">
              <w:rPr>
                <w:szCs w:val="22"/>
                <w:lang w:val="lv-LV"/>
              </w:rPr>
              <w:t>45 (27,8)</w:t>
            </w:r>
          </w:p>
        </w:tc>
        <w:tc>
          <w:tcPr>
            <w:tcW w:w="2127" w:type="dxa"/>
            <w:tcBorders>
              <w:top w:val="single" w:sz="4" w:space="0" w:color="auto"/>
              <w:left w:val="single" w:sz="4" w:space="0" w:color="auto"/>
              <w:bottom w:val="single" w:sz="4" w:space="0" w:color="auto"/>
              <w:right w:val="single" w:sz="4" w:space="0" w:color="auto"/>
            </w:tcBorders>
          </w:tcPr>
          <w:p w14:paraId="7A0D7559" w14:textId="77777777" w:rsidR="00A453C3" w:rsidRPr="00707120" w:rsidRDefault="00A453C3" w:rsidP="0067693D">
            <w:pPr>
              <w:keepNext/>
              <w:keepLines/>
              <w:spacing w:before="50" w:after="50" w:line="240" w:lineRule="exact"/>
              <w:jc w:val="center"/>
              <w:rPr>
                <w:szCs w:val="22"/>
                <w:lang w:val="lv-LV"/>
              </w:rPr>
            </w:pPr>
            <w:r w:rsidRPr="00707120">
              <w:rPr>
                <w:szCs w:val="22"/>
                <w:lang w:val="lv-LV"/>
              </w:rPr>
              <w:t>77 (47,2)</w:t>
            </w:r>
          </w:p>
        </w:tc>
        <w:tc>
          <w:tcPr>
            <w:tcW w:w="1275" w:type="dxa"/>
            <w:tcBorders>
              <w:top w:val="single" w:sz="4" w:space="0" w:color="auto"/>
              <w:left w:val="single" w:sz="4" w:space="0" w:color="auto"/>
              <w:bottom w:val="single" w:sz="4" w:space="0" w:color="auto"/>
              <w:right w:val="single" w:sz="4" w:space="0" w:color="auto"/>
            </w:tcBorders>
          </w:tcPr>
          <w:p w14:paraId="715BC6F9" w14:textId="77777777" w:rsidR="00A453C3" w:rsidRPr="00707120" w:rsidRDefault="00A453C3" w:rsidP="0067693D">
            <w:pPr>
              <w:keepNext/>
              <w:keepLines/>
              <w:spacing w:before="50" w:after="50" w:line="240" w:lineRule="exact"/>
              <w:jc w:val="center"/>
              <w:rPr>
                <w:szCs w:val="22"/>
                <w:lang w:val="lv-LV"/>
              </w:rPr>
            </w:pPr>
            <w:r w:rsidRPr="00707120">
              <w:rPr>
                <w:szCs w:val="22"/>
                <w:lang w:val="lv-LV"/>
              </w:rPr>
              <w:t>0,0002</w:t>
            </w:r>
          </w:p>
        </w:tc>
      </w:tr>
      <w:tr w:rsidR="00A453C3" w:rsidRPr="00FB280D" w14:paraId="3627B374" w14:textId="77777777" w:rsidTr="00707120">
        <w:trPr>
          <w:cantSplit/>
        </w:trPr>
        <w:tc>
          <w:tcPr>
            <w:tcW w:w="3690" w:type="dxa"/>
            <w:tcBorders>
              <w:top w:val="single" w:sz="4" w:space="0" w:color="auto"/>
              <w:left w:val="single" w:sz="4" w:space="0" w:color="auto"/>
              <w:bottom w:val="single" w:sz="4" w:space="0" w:color="auto"/>
              <w:right w:val="single" w:sz="4" w:space="0" w:color="auto"/>
            </w:tcBorders>
          </w:tcPr>
          <w:p w14:paraId="6E84426B" w14:textId="77777777" w:rsidR="00A453C3" w:rsidRPr="00707120" w:rsidRDefault="00A453C3" w:rsidP="0067693D">
            <w:pPr>
              <w:keepNext/>
              <w:keepLines/>
              <w:spacing w:before="40" w:after="40" w:line="240" w:lineRule="exact"/>
              <w:jc w:val="right"/>
              <w:rPr>
                <w:szCs w:val="22"/>
                <w:lang w:val="lv-LV"/>
              </w:rPr>
            </w:pPr>
            <w:r w:rsidRPr="00707120">
              <w:rPr>
                <w:szCs w:val="22"/>
                <w:lang w:val="lv-LV"/>
              </w:rPr>
              <w:t>ACR 70 atbildes reakcija, n (%)</w:t>
            </w:r>
          </w:p>
        </w:tc>
        <w:tc>
          <w:tcPr>
            <w:tcW w:w="1984" w:type="dxa"/>
            <w:tcBorders>
              <w:top w:val="single" w:sz="4" w:space="0" w:color="auto"/>
              <w:left w:val="single" w:sz="4" w:space="0" w:color="auto"/>
              <w:bottom w:val="single" w:sz="4" w:space="0" w:color="auto"/>
              <w:right w:val="single" w:sz="4" w:space="0" w:color="auto"/>
            </w:tcBorders>
          </w:tcPr>
          <w:p w14:paraId="62F4F01D" w14:textId="77777777" w:rsidR="00A453C3" w:rsidRPr="00707120" w:rsidRDefault="00A453C3" w:rsidP="0067693D">
            <w:pPr>
              <w:keepNext/>
              <w:keepLines/>
              <w:spacing w:before="50" w:after="50" w:line="240" w:lineRule="exact"/>
              <w:jc w:val="center"/>
              <w:rPr>
                <w:szCs w:val="22"/>
                <w:lang w:val="lv-LV"/>
              </w:rPr>
            </w:pPr>
            <w:r w:rsidRPr="00707120">
              <w:rPr>
                <w:szCs w:val="22"/>
                <w:lang w:val="lv-LV"/>
              </w:rPr>
              <w:t>29 (17,9)</w:t>
            </w:r>
          </w:p>
        </w:tc>
        <w:tc>
          <w:tcPr>
            <w:tcW w:w="2127" w:type="dxa"/>
            <w:tcBorders>
              <w:top w:val="single" w:sz="4" w:space="0" w:color="auto"/>
              <w:left w:val="single" w:sz="4" w:space="0" w:color="auto"/>
              <w:bottom w:val="single" w:sz="4" w:space="0" w:color="auto"/>
              <w:right w:val="single" w:sz="4" w:space="0" w:color="auto"/>
            </w:tcBorders>
          </w:tcPr>
          <w:p w14:paraId="69AC8271" w14:textId="77777777" w:rsidR="00A453C3" w:rsidRPr="00707120" w:rsidRDefault="00A453C3" w:rsidP="0067693D">
            <w:pPr>
              <w:keepNext/>
              <w:keepLines/>
              <w:spacing w:before="50" w:after="50" w:line="240" w:lineRule="exact"/>
              <w:jc w:val="center"/>
              <w:rPr>
                <w:szCs w:val="22"/>
                <w:lang w:val="lv-LV"/>
              </w:rPr>
            </w:pPr>
            <w:r w:rsidRPr="00707120">
              <w:rPr>
                <w:szCs w:val="22"/>
                <w:lang w:val="lv-LV"/>
              </w:rPr>
              <w:t>53 (32,5)</w:t>
            </w:r>
          </w:p>
        </w:tc>
        <w:tc>
          <w:tcPr>
            <w:tcW w:w="1275" w:type="dxa"/>
            <w:tcBorders>
              <w:top w:val="single" w:sz="4" w:space="0" w:color="auto"/>
              <w:left w:val="single" w:sz="4" w:space="0" w:color="auto"/>
              <w:bottom w:val="single" w:sz="4" w:space="0" w:color="auto"/>
              <w:right w:val="single" w:sz="4" w:space="0" w:color="auto"/>
            </w:tcBorders>
          </w:tcPr>
          <w:p w14:paraId="1A151733" w14:textId="77777777" w:rsidR="00A453C3" w:rsidRPr="00707120" w:rsidRDefault="00A453C3" w:rsidP="0067693D">
            <w:pPr>
              <w:keepNext/>
              <w:keepLines/>
              <w:spacing w:before="50" w:after="50" w:line="240" w:lineRule="exact"/>
              <w:jc w:val="center"/>
              <w:rPr>
                <w:i/>
                <w:szCs w:val="22"/>
                <w:vertAlign w:val="superscript"/>
                <w:lang w:val="lv-LV"/>
              </w:rPr>
            </w:pPr>
            <w:r w:rsidRPr="00707120">
              <w:rPr>
                <w:szCs w:val="22"/>
                <w:lang w:val="lv-LV"/>
              </w:rPr>
              <w:t>0,0023</w:t>
            </w:r>
          </w:p>
        </w:tc>
      </w:tr>
    </w:tbl>
    <w:p w14:paraId="2C1C3E43" w14:textId="2889FB25" w:rsidR="00A453C3" w:rsidRPr="00C33956" w:rsidRDefault="00A453C3" w:rsidP="00A453C3">
      <w:pPr>
        <w:keepNext/>
        <w:keepLines/>
        <w:rPr>
          <w:iCs/>
          <w:lang w:val="lv-LV"/>
        </w:rPr>
      </w:pPr>
      <w:r w:rsidRPr="00707120">
        <w:rPr>
          <w:iCs/>
          <w:sz w:val="18"/>
          <w:vertAlign w:val="superscript"/>
          <w:lang w:val="lv-LV"/>
        </w:rPr>
        <w:t>a</w:t>
      </w:r>
      <w:r w:rsidRPr="00707120">
        <w:rPr>
          <w:iCs/>
          <w:sz w:val="18"/>
          <w:lang w:val="lv-LV"/>
        </w:rPr>
        <w:t>p vērtība visiem mērķa kritērijiem ir koriģēta pēc RA reģiona un RA ilguma, un visiem pastāvīgajiem kritērijiem</w:t>
      </w:r>
      <w:r>
        <w:rPr>
          <w:iCs/>
          <w:sz w:val="18"/>
          <w:lang w:val="lv-LV"/>
        </w:rPr>
        <w:t xml:space="preserve"> </w:t>
      </w:r>
      <w:r>
        <w:rPr>
          <w:iCs/>
          <w:sz w:val="18"/>
          <w:lang w:val="lv-LV"/>
        </w:rPr>
        <w:noBreakHyphen/>
        <w:t xml:space="preserve"> </w:t>
      </w:r>
      <w:r w:rsidRPr="00707120">
        <w:rPr>
          <w:iCs/>
          <w:sz w:val="18"/>
          <w:lang w:val="lv-LV"/>
        </w:rPr>
        <w:t>papildus pēc sākotnējās vērtības.</w:t>
      </w:r>
      <w:r w:rsidRPr="00707120">
        <w:rPr>
          <w:iCs/>
          <w:sz w:val="18"/>
          <w:lang w:val="lv-LV"/>
        </w:rPr>
        <w:br/>
      </w:r>
      <w:r w:rsidRPr="00707120">
        <w:rPr>
          <w:iCs/>
          <w:sz w:val="18"/>
          <w:vertAlign w:val="superscript"/>
          <w:lang w:val="lv-LV"/>
        </w:rPr>
        <w:t>b</w:t>
      </w:r>
      <w:r w:rsidRPr="00707120">
        <w:rPr>
          <w:iCs/>
          <w:sz w:val="18"/>
          <w:lang w:val="lv-LV"/>
        </w:rPr>
        <w:t xml:space="preserve"> Datu trūkuma gadījumā tika pieņemts, ka atbildes reakcijas nav. Daudzveidība kontrolēta, izmantojot </w:t>
      </w:r>
      <w:r w:rsidRPr="00707120">
        <w:rPr>
          <w:i/>
          <w:sz w:val="18"/>
          <w:lang w:val="lv-LV"/>
        </w:rPr>
        <w:t>Bonferroni-Holm</w:t>
      </w:r>
      <w:r w:rsidRPr="00707120">
        <w:rPr>
          <w:iCs/>
          <w:sz w:val="18"/>
          <w:lang w:val="lv-LV"/>
        </w:rPr>
        <w:t xml:space="preserve"> procedūru.</w:t>
      </w:r>
    </w:p>
    <w:p w14:paraId="528D5101" w14:textId="77777777" w:rsidR="00A453C3" w:rsidRDefault="00A453C3" w:rsidP="00A453C3">
      <w:pPr>
        <w:keepNext/>
        <w:keepLines/>
        <w:rPr>
          <w:iCs/>
          <w:sz w:val="18"/>
          <w:lang w:val="lv-LV"/>
        </w:rPr>
      </w:pPr>
      <w:r>
        <w:rPr>
          <w:iCs/>
          <w:sz w:val="18"/>
          <w:lang w:val="lv-LV"/>
        </w:rPr>
        <w:t>i.v. = intravenozi.</w:t>
      </w:r>
    </w:p>
    <w:p w14:paraId="126963D7" w14:textId="77777777" w:rsidR="00A453C3" w:rsidRDefault="00A453C3" w:rsidP="00A453C3">
      <w:pPr>
        <w:keepNext/>
        <w:keepLines/>
        <w:rPr>
          <w:iCs/>
          <w:sz w:val="18"/>
          <w:lang w:val="lv-LV"/>
        </w:rPr>
      </w:pPr>
      <w:r>
        <w:rPr>
          <w:iCs/>
          <w:sz w:val="18"/>
          <w:lang w:val="lv-LV"/>
        </w:rPr>
        <w:t>s.c. = subkutāni.</w:t>
      </w:r>
    </w:p>
    <w:p w14:paraId="022BF2B6" w14:textId="77777777" w:rsidR="00D55AFA" w:rsidRDefault="00D55AFA" w:rsidP="00A453C3">
      <w:pPr>
        <w:keepNext/>
        <w:keepLines/>
        <w:rPr>
          <w:iCs/>
          <w:sz w:val="18"/>
          <w:lang w:val="lv-LV"/>
        </w:rPr>
      </w:pPr>
      <w:r>
        <w:rPr>
          <w:iCs/>
          <w:sz w:val="18"/>
          <w:lang w:val="lv-LV"/>
        </w:rPr>
        <w:t>ADA = adalimumabs.</w:t>
      </w:r>
    </w:p>
    <w:p w14:paraId="7027E5BA" w14:textId="5074945B" w:rsidR="00A453C3" w:rsidRDefault="00A453C3" w:rsidP="00A453C3">
      <w:pPr>
        <w:keepNext/>
        <w:keepLines/>
        <w:rPr>
          <w:iCs/>
          <w:sz w:val="18"/>
          <w:lang w:val="lv-LV"/>
        </w:rPr>
      </w:pPr>
      <w:r>
        <w:rPr>
          <w:iCs/>
          <w:sz w:val="18"/>
          <w:lang w:val="lv-LV"/>
        </w:rPr>
        <w:t>TCZ = tocilizumabs.</w:t>
      </w:r>
    </w:p>
    <w:p w14:paraId="6525D445" w14:textId="77777777" w:rsidR="00A453C3" w:rsidRDefault="00A453C3" w:rsidP="00A453C3">
      <w:pPr>
        <w:ind w:right="-2"/>
        <w:rPr>
          <w:lang w:val="lv-LV"/>
        </w:rPr>
      </w:pPr>
    </w:p>
    <w:p w14:paraId="774D3906" w14:textId="1E5EC8D2" w:rsidR="00A453C3" w:rsidRDefault="00A453C3" w:rsidP="00A453C3">
      <w:pPr>
        <w:ind w:right="-2"/>
        <w:rPr>
          <w:lang w:val="lv-LV"/>
        </w:rPr>
      </w:pPr>
      <w:r>
        <w:rPr>
          <w:lang w:val="lv-LV"/>
        </w:rPr>
        <w:t xml:space="preserve">Kopējais klīnisko blakusparādību profils </w:t>
      </w:r>
      <w:r>
        <w:rPr>
          <w:szCs w:val="22"/>
          <w:lang w:val="lv-LV"/>
        </w:rPr>
        <w:t>tocilizumabam</w:t>
      </w:r>
      <w:r w:rsidRPr="002607ED">
        <w:rPr>
          <w:szCs w:val="22"/>
          <w:lang w:val="lv-LV"/>
        </w:rPr>
        <w:t xml:space="preserve"> </w:t>
      </w:r>
      <w:r>
        <w:rPr>
          <w:lang w:val="lv-LV"/>
        </w:rPr>
        <w:t>un adalimumabam bija līdzīgs. Abās ārstēšanas grupās bija līdzīgs tādu pacientu īpatsvars, kuriem radās nopietnas blakusparādības (</w:t>
      </w:r>
      <w:r>
        <w:rPr>
          <w:szCs w:val="22"/>
          <w:lang w:val="lv-LV"/>
        </w:rPr>
        <w:t>tocilizumaba grupā</w:t>
      </w:r>
      <w:r w:rsidDel="001D4271">
        <w:rPr>
          <w:szCs w:val="22"/>
          <w:lang w:val="lv-LV"/>
        </w:rPr>
        <w:t xml:space="preserve"> </w:t>
      </w:r>
      <w:r>
        <w:rPr>
          <w:lang w:val="lv-LV"/>
        </w:rPr>
        <w:t xml:space="preserve">11,7%, adalimumaba grupā 9,9%). </w:t>
      </w:r>
      <w:r>
        <w:rPr>
          <w:szCs w:val="22"/>
          <w:lang w:val="lv-LV"/>
        </w:rPr>
        <w:t>Tocilizumaba</w:t>
      </w:r>
      <w:r w:rsidRPr="002607ED">
        <w:rPr>
          <w:szCs w:val="22"/>
          <w:lang w:val="lv-LV"/>
        </w:rPr>
        <w:t xml:space="preserve"> </w:t>
      </w:r>
      <w:r>
        <w:rPr>
          <w:lang w:val="lv-LV"/>
        </w:rPr>
        <w:t xml:space="preserve">grupā blakusparādību veidi atbilda zināmām </w:t>
      </w:r>
      <w:r>
        <w:rPr>
          <w:szCs w:val="22"/>
          <w:lang w:val="lv-LV"/>
        </w:rPr>
        <w:t>tocilizumaba</w:t>
      </w:r>
      <w:r w:rsidDel="001D4271">
        <w:rPr>
          <w:szCs w:val="22"/>
          <w:lang w:val="lv-LV"/>
        </w:rPr>
        <w:t xml:space="preserve"> </w:t>
      </w:r>
      <w:r>
        <w:rPr>
          <w:lang w:val="lv-LV"/>
        </w:rPr>
        <w:t xml:space="preserve">drošuma īpašībām, un tika ziņots, ka nevēlamo blakusparādību biežums bija līdzīgs 1. tabulā minētam biežumam. </w:t>
      </w:r>
      <w:r>
        <w:rPr>
          <w:szCs w:val="22"/>
          <w:lang w:val="lv-LV"/>
        </w:rPr>
        <w:t>Tocilizumaba</w:t>
      </w:r>
      <w:r w:rsidDel="001D4271">
        <w:rPr>
          <w:szCs w:val="22"/>
          <w:lang w:val="lv-LV"/>
        </w:rPr>
        <w:t xml:space="preserve"> </w:t>
      </w:r>
      <w:r>
        <w:rPr>
          <w:lang w:val="lv-LV"/>
        </w:rPr>
        <w:t xml:space="preserve">grupā bija lielāka infekciju un infestāciju sastopamība (48%, salīdzinot ar 42%), bet neatšķīrās nopietnu infekciju sastopamība (3,1%). Abas pētījuma terapijas ietvēra līdzīgas laboratorisko drošuma rādītāju izmaiņas (neitrofilo leikocītu un trombocītu skaita samazināšanās, ALAT, ASAT un lipīdu līmeņa paaugstināšanās), lai gan </w:t>
      </w:r>
      <w:r>
        <w:rPr>
          <w:szCs w:val="22"/>
          <w:lang w:val="lv-LV"/>
        </w:rPr>
        <w:t>tocilizumabs</w:t>
      </w:r>
      <w:r w:rsidDel="001D4271">
        <w:rPr>
          <w:szCs w:val="22"/>
          <w:lang w:val="lv-LV"/>
        </w:rPr>
        <w:t xml:space="preserve"> </w:t>
      </w:r>
      <w:r>
        <w:rPr>
          <w:lang w:val="lv-LV"/>
        </w:rPr>
        <w:t xml:space="preserve">salīdzinājumā ar adalimumabu bija saistīts ar lielāku izmaiņu nozīmīgumu un izteiktāku patoloģiju biežumu. Četriem pacientiem </w:t>
      </w:r>
      <w:r>
        <w:rPr>
          <w:szCs w:val="22"/>
          <w:lang w:val="lv-LV"/>
        </w:rPr>
        <w:t>tocilizumaba</w:t>
      </w:r>
      <w:r w:rsidDel="001D4271">
        <w:rPr>
          <w:szCs w:val="22"/>
          <w:lang w:val="lv-LV"/>
        </w:rPr>
        <w:t xml:space="preserve"> </w:t>
      </w:r>
      <w:r>
        <w:rPr>
          <w:lang w:val="lv-LV"/>
        </w:rPr>
        <w:t xml:space="preserve">grupā (2,5%) un diviem pacientiem adalimumaba grupā (1,2%) radās 3. vai 4. pakāpei pēc CTC klasifikācijas atbilstoša neitrofilo leikocītu skaita samazināšanās. Vienpadsmit pacientiem </w:t>
      </w:r>
      <w:r>
        <w:rPr>
          <w:szCs w:val="22"/>
          <w:lang w:val="lv-LV"/>
        </w:rPr>
        <w:t>tocilizumaba</w:t>
      </w:r>
      <w:r w:rsidDel="001D4271">
        <w:rPr>
          <w:szCs w:val="22"/>
          <w:lang w:val="lv-LV"/>
        </w:rPr>
        <w:t xml:space="preserve"> </w:t>
      </w:r>
      <w:r>
        <w:rPr>
          <w:lang w:val="lv-LV"/>
        </w:rPr>
        <w:t xml:space="preserve">grupā (6,8%) un pieciem pacientiem adalimumaba grupā (3,1%) radās ALAT līmeņa paaugstināšanās, kas atbilda 2. vai augstākai pakāpei pēc CTC klasifikācijas. ZBL līmeņa vidējā paaugstināšanās salīdzinājumā ar sākotnējo vērtību bija 0,64 mmol/l (25 mg/dl) </w:t>
      </w:r>
      <w:r>
        <w:rPr>
          <w:szCs w:val="22"/>
          <w:lang w:val="lv-LV"/>
        </w:rPr>
        <w:t>tocilizumaba</w:t>
      </w:r>
      <w:r w:rsidDel="001D4271">
        <w:rPr>
          <w:szCs w:val="22"/>
          <w:lang w:val="lv-LV"/>
        </w:rPr>
        <w:t xml:space="preserve"> </w:t>
      </w:r>
      <w:r>
        <w:rPr>
          <w:lang w:val="lv-LV"/>
        </w:rPr>
        <w:t xml:space="preserve">grupas pacientiem un 0,19 mmol/l (7 mg/dl) adalimumaba grupas pacientiem. Tocilizumaba grupā novērotais drošums atbilda zināmajam </w:t>
      </w:r>
      <w:r>
        <w:rPr>
          <w:szCs w:val="22"/>
          <w:lang w:val="lv-LV"/>
        </w:rPr>
        <w:t>tocilizumaba</w:t>
      </w:r>
      <w:r w:rsidDel="001D4271">
        <w:rPr>
          <w:szCs w:val="22"/>
          <w:lang w:val="lv-LV"/>
        </w:rPr>
        <w:t xml:space="preserve"> </w:t>
      </w:r>
      <w:r>
        <w:rPr>
          <w:lang w:val="lv-LV"/>
        </w:rPr>
        <w:t xml:space="preserve">drošuma profilam, un jaunas vai neparedzētas nevēlamās blakusparādības netika novērotas (skatīt 1. tabulu). </w:t>
      </w:r>
    </w:p>
    <w:bookmarkEnd w:id="716"/>
    <w:p w14:paraId="689192D7" w14:textId="77777777" w:rsidR="00A453C3" w:rsidRDefault="00A453C3" w:rsidP="00A453C3">
      <w:pPr>
        <w:ind w:right="-2"/>
        <w:rPr>
          <w:lang w:val="lv-LV"/>
        </w:rPr>
      </w:pPr>
    </w:p>
    <w:p w14:paraId="33BB1F18" w14:textId="77777777" w:rsidR="00A453C3" w:rsidRDefault="00A453C3" w:rsidP="00A453C3">
      <w:pPr>
        <w:keepNext/>
        <w:keepLines/>
        <w:rPr>
          <w:szCs w:val="22"/>
          <w:lang w:val="lv-LV"/>
        </w:rPr>
      </w:pPr>
      <w:r>
        <w:rPr>
          <w:b/>
          <w:szCs w:val="22"/>
          <w:lang w:val="lv-LV"/>
        </w:rPr>
        <w:t>5.2.</w:t>
      </w:r>
      <w:r>
        <w:rPr>
          <w:b/>
          <w:szCs w:val="22"/>
          <w:lang w:val="lv-LV"/>
        </w:rPr>
        <w:tab/>
        <w:t xml:space="preserve">Farmakokinētiskās īpašības </w:t>
      </w:r>
    </w:p>
    <w:p w14:paraId="2CA49F28" w14:textId="77777777" w:rsidR="00A453C3" w:rsidRDefault="00A453C3" w:rsidP="00A453C3">
      <w:pPr>
        <w:keepNext/>
        <w:rPr>
          <w:szCs w:val="22"/>
          <w:lang w:val="lv-LV"/>
        </w:rPr>
      </w:pPr>
    </w:p>
    <w:p w14:paraId="427A874A" w14:textId="5815BBEA" w:rsidR="00A453C3" w:rsidRPr="00D30C7D" w:rsidRDefault="00A453C3" w:rsidP="00A453C3">
      <w:pPr>
        <w:rPr>
          <w:color w:val="000000"/>
          <w:lang w:val="lv-LV"/>
        </w:rPr>
      </w:pPr>
      <w:bookmarkStart w:id="725" w:name="_Hlk174612816"/>
      <w:r>
        <w:rPr>
          <w:color w:val="000000"/>
          <w:lang w:val="lv-LV"/>
        </w:rPr>
        <w:t>Tocilizumaba</w:t>
      </w:r>
      <w:r w:rsidRPr="00D30C7D">
        <w:rPr>
          <w:color w:val="000000"/>
          <w:lang w:val="lv-LV"/>
        </w:rPr>
        <w:t xml:space="preserve"> farmakokinētikai raksturīga nelineāra eliminācija, kas ir lineāra klīrensa un </w:t>
      </w:r>
      <w:r>
        <w:rPr>
          <w:color w:val="000000"/>
          <w:lang w:val="lv-LV"/>
        </w:rPr>
        <w:t>Mihaelisa</w:t>
      </w:r>
      <w:r>
        <w:rPr>
          <w:color w:val="000000"/>
          <w:lang w:val="lv-LV"/>
        </w:rPr>
        <w:noBreakHyphen/>
        <w:t>Mentenas (</w:t>
      </w:r>
      <w:r w:rsidRPr="00D30C7D">
        <w:rPr>
          <w:i/>
          <w:color w:val="000000"/>
          <w:lang w:val="lv-LV"/>
        </w:rPr>
        <w:t>Michaelis-Menten</w:t>
      </w:r>
      <w:r>
        <w:rPr>
          <w:iCs/>
          <w:color w:val="000000"/>
          <w:lang w:val="lv-LV"/>
        </w:rPr>
        <w:t>)</w:t>
      </w:r>
      <w:r w:rsidRPr="00D30C7D">
        <w:rPr>
          <w:color w:val="000000"/>
          <w:lang w:val="lv-LV"/>
        </w:rPr>
        <w:t xml:space="preserve"> </w:t>
      </w:r>
      <w:r>
        <w:rPr>
          <w:color w:val="000000"/>
          <w:lang w:val="lv-LV"/>
        </w:rPr>
        <w:t xml:space="preserve">kinētikai atbilstošas </w:t>
      </w:r>
      <w:r w:rsidRPr="00D30C7D">
        <w:rPr>
          <w:color w:val="000000"/>
          <w:lang w:val="lv-LV"/>
        </w:rPr>
        <w:t xml:space="preserve">eliminācijas kombinācija. </w:t>
      </w:r>
      <w:r>
        <w:rPr>
          <w:color w:val="000000"/>
          <w:lang w:val="lv-LV"/>
        </w:rPr>
        <w:t>E</w:t>
      </w:r>
      <w:r w:rsidRPr="00D30C7D">
        <w:rPr>
          <w:color w:val="000000"/>
          <w:lang w:val="lv-LV"/>
        </w:rPr>
        <w:t xml:space="preserve">liminācijas nelineārā daļa izraisa vairāk nekā devai proporcionālu kopējās iedarbības pieaugumu. Laika gaitā </w:t>
      </w:r>
      <w:r>
        <w:rPr>
          <w:color w:val="000000"/>
          <w:lang w:val="lv-LV"/>
        </w:rPr>
        <w:t>tocilizumaba</w:t>
      </w:r>
      <w:r w:rsidRPr="00D30C7D">
        <w:rPr>
          <w:color w:val="000000"/>
          <w:lang w:val="lv-LV"/>
        </w:rPr>
        <w:t xml:space="preserve"> farmakokinētiskie </w:t>
      </w:r>
      <w:r>
        <w:rPr>
          <w:color w:val="000000"/>
          <w:lang w:val="lv-LV"/>
        </w:rPr>
        <w:t>rādītāji</w:t>
      </w:r>
      <w:r w:rsidRPr="00D30C7D">
        <w:rPr>
          <w:color w:val="000000"/>
          <w:lang w:val="lv-LV"/>
        </w:rPr>
        <w:t xml:space="preserve"> nemainās. Tā kā kopējais klīrenss ir atkarīgs no </w:t>
      </w:r>
      <w:r>
        <w:rPr>
          <w:color w:val="000000"/>
          <w:lang w:val="lv-LV"/>
        </w:rPr>
        <w:t>tocilizumaba</w:t>
      </w:r>
      <w:r w:rsidRPr="00D30C7D">
        <w:rPr>
          <w:color w:val="000000"/>
          <w:lang w:val="lv-LV"/>
        </w:rPr>
        <w:t xml:space="preserve"> koncentrācijas serumā, arī </w:t>
      </w:r>
      <w:r>
        <w:rPr>
          <w:color w:val="000000"/>
          <w:lang w:val="lv-LV"/>
        </w:rPr>
        <w:t>tocilizumaba</w:t>
      </w:r>
      <w:r w:rsidRPr="00D30C7D">
        <w:rPr>
          <w:color w:val="000000"/>
          <w:lang w:val="lv-LV"/>
        </w:rPr>
        <w:t xml:space="preserve"> pusperiods ir atkarīgs no koncentrācijas un variē atkarībā no koncentrācijas serumā līmeņa. Populācijas farmakokinētikas analīzes visās līdz šim testētajās pacientu populācijās liecina, ka nepastāv sakarība starp šķietamo klīrensu un antivielu pret zālēm klātbūtni. </w:t>
      </w:r>
    </w:p>
    <w:bookmarkEnd w:id="725"/>
    <w:p w14:paraId="71A4FFD7" w14:textId="77777777" w:rsidR="00A453C3" w:rsidRDefault="00A453C3" w:rsidP="00707120">
      <w:pPr>
        <w:rPr>
          <w:szCs w:val="22"/>
          <w:lang w:val="lv-LV"/>
        </w:rPr>
      </w:pPr>
    </w:p>
    <w:p w14:paraId="61F7D2C4" w14:textId="35F8C75B" w:rsidR="00A453C3" w:rsidDel="00903A29" w:rsidRDefault="00A453C3" w:rsidP="00707120">
      <w:pPr>
        <w:keepNext/>
        <w:numPr>
          <w:ilvl w:val="12"/>
          <w:numId w:val="0"/>
        </w:numPr>
        <w:rPr>
          <w:del w:id="726" w:author="Author"/>
          <w:szCs w:val="22"/>
          <w:lang w:val="lv-LV"/>
        </w:rPr>
      </w:pPr>
      <w:del w:id="727" w:author="Author">
        <w:r w:rsidRPr="009C5994" w:rsidDel="00903A29">
          <w:rPr>
            <w:szCs w:val="22"/>
            <w:u w:val="single"/>
            <w:lang w:val="lv-LV"/>
          </w:rPr>
          <w:delText>RA</w:delText>
        </w:r>
      </w:del>
    </w:p>
    <w:p w14:paraId="7B5D8630" w14:textId="77777777" w:rsidR="00A453C3" w:rsidRPr="00F82186" w:rsidRDefault="00A453C3" w:rsidP="00707120">
      <w:pPr>
        <w:keepNext/>
        <w:rPr>
          <w:bCs/>
          <w:iCs/>
          <w:szCs w:val="22"/>
          <w:u w:val="single"/>
          <w:lang w:val="lv-LV"/>
          <w:rPrChange w:id="728" w:author="Author">
            <w:rPr>
              <w:bCs/>
              <w:i/>
              <w:iCs/>
              <w:szCs w:val="22"/>
              <w:lang w:val="lv-LV"/>
            </w:rPr>
          </w:rPrChange>
        </w:rPr>
      </w:pPr>
      <w:r w:rsidRPr="00F82186">
        <w:rPr>
          <w:bCs/>
          <w:iCs/>
          <w:szCs w:val="22"/>
          <w:u w:val="single"/>
          <w:lang w:val="lv-LV"/>
          <w:rPrChange w:id="729" w:author="Author">
            <w:rPr>
              <w:bCs/>
              <w:i/>
              <w:iCs/>
              <w:szCs w:val="22"/>
              <w:lang w:val="lv-LV"/>
            </w:rPr>
          </w:rPrChange>
        </w:rPr>
        <w:t>Intravenoza lietošana</w:t>
      </w:r>
    </w:p>
    <w:p w14:paraId="7029367E" w14:textId="34888BE0" w:rsidR="00903A29" w:rsidRDefault="00903A29" w:rsidP="00BC6328">
      <w:pPr>
        <w:keepNext/>
        <w:rPr>
          <w:ins w:id="730" w:author="Author"/>
          <w:i/>
          <w:szCs w:val="22"/>
          <w:lang w:val="lv-LV"/>
        </w:rPr>
      </w:pPr>
      <w:bookmarkStart w:id="731" w:name="_Hlk174612855"/>
      <w:ins w:id="732" w:author="Author">
        <w:r w:rsidRPr="00F82186">
          <w:rPr>
            <w:i/>
            <w:szCs w:val="22"/>
            <w:lang w:val="lv-LV"/>
            <w:rPrChange w:id="733" w:author="Author">
              <w:rPr>
                <w:szCs w:val="22"/>
                <w:u w:val="single"/>
                <w:lang w:val="lv-LV"/>
              </w:rPr>
            </w:rPrChange>
          </w:rPr>
          <w:t>Pacienti ar RA</w:t>
        </w:r>
      </w:ins>
    </w:p>
    <w:p w14:paraId="73016D3A" w14:textId="77777777" w:rsidR="00BC6328" w:rsidRPr="00F82186" w:rsidRDefault="00BC6328">
      <w:pPr>
        <w:keepNext/>
        <w:rPr>
          <w:ins w:id="734" w:author="Author"/>
          <w:i/>
          <w:szCs w:val="22"/>
          <w:lang w:val="lv-LV"/>
          <w:rPrChange w:id="735" w:author="Author">
            <w:rPr>
              <w:ins w:id="736" w:author="Author"/>
              <w:szCs w:val="22"/>
              <w:lang w:val="lv-LV"/>
            </w:rPr>
          </w:rPrChange>
        </w:rPr>
        <w:pPrChange w:id="737" w:author="Author">
          <w:pPr/>
        </w:pPrChange>
      </w:pPr>
    </w:p>
    <w:p w14:paraId="4DF1C93C" w14:textId="0851C10D" w:rsidR="00A453C3" w:rsidRDefault="00A453C3" w:rsidP="00A453C3">
      <w:pPr>
        <w:rPr>
          <w:szCs w:val="22"/>
          <w:lang w:val="lv-LV"/>
        </w:rPr>
      </w:pPr>
      <w:r>
        <w:rPr>
          <w:szCs w:val="22"/>
          <w:lang w:val="lv-LV"/>
        </w:rPr>
        <w:t>Tocilizumaba farmakokinētiku noteica, izmantojot populācijas farmakokinētikas analīzi datu bāzei, kurā iekļauti 3</w:t>
      </w:r>
      <w:ins w:id="738" w:author="Author">
        <w:r w:rsidR="00461112">
          <w:rPr>
            <w:szCs w:val="22"/>
            <w:lang w:val="lv-LV"/>
          </w:rPr>
          <w:t> </w:t>
        </w:r>
      </w:ins>
      <w:r>
        <w:rPr>
          <w:szCs w:val="22"/>
          <w:lang w:val="lv-LV"/>
        </w:rPr>
        <w:t xml:space="preserve">552 RA slimnieki, kuri ārstēti ar vienu stundu ilgu tocilizumaba 4 vai 8 mg/kg devas infūziju ik pēc 4 nedēļām 24 nedēļas vai ar subkutāni ievadītu tocilizumaba 162 mg devu vienu reizi nedēļā vai katru otro nedēļu 24 nedēļas. </w:t>
      </w:r>
    </w:p>
    <w:p w14:paraId="4FC1EEEB" w14:textId="77777777" w:rsidR="00A453C3" w:rsidRDefault="00A453C3" w:rsidP="00A453C3">
      <w:pPr>
        <w:rPr>
          <w:szCs w:val="22"/>
          <w:lang w:val="lv-LV"/>
        </w:rPr>
      </w:pPr>
    </w:p>
    <w:p w14:paraId="5DF78B54" w14:textId="2847F1DF" w:rsidR="00A453C3" w:rsidRDefault="00A453C3" w:rsidP="00A453C3">
      <w:pPr>
        <w:rPr>
          <w:szCs w:val="22"/>
          <w:lang w:val="lv-LV"/>
        </w:rPr>
      </w:pPr>
      <w:r>
        <w:rPr>
          <w:szCs w:val="22"/>
          <w:lang w:val="lv-LV"/>
        </w:rPr>
        <w:t xml:space="preserve">Lietojot tocilizumaba 8 mg/kg devu ik pēc 4 nedēļām, iegūti šādi dati: (paredzamais vidējais </w:t>
      </w:r>
      <w:r w:rsidRPr="00CE558B">
        <w:rPr>
          <w:szCs w:val="22"/>
          <w:lang w:val="lv-LV"/>
        </w:rPr>
        <w:t>± </w:t>
      </w:r>
      <w:r>
        <w:rPr>
          <w:szCs w:val="22"/>
          <w:lang w:val="lv-LV"/>
        </w:rPr>
        <w:t xml:space="preserve">SN): tocilizumaba līdzsvara stāvoklī zemlīknes laukums (AUC) = </w:t>
      </w:r>
      <w:r>
        <w:rPr>
          <w:iCs/>
          <w:lang w:val="lv-LV"/>
        </w:rPr>
        <w:t>38 000 </w:t>
      </w:r>
      <w:r w:rsidRPr="00CE558B">
        <w:rPr>
          <w:iCs/>
          <w:lang w:val="lv-LV"/>
        </w:rPr>
        <w:t>± </w:t>
      </w:r>
      <w:r>
        <w:rPr>
          <w:iCs/>
          <w:lang w:val="lv-LV"/>
        </w:rPr>
        <w:t>13 000 h</w:t>
      </w:r>
      <w:ins w:id="739" w:author="Author">
        <w:r w:rsidR="001D0A34" w:rsidRPr="00DD58C9">
          <w:rPr>
            <w:szCs w:val="22"/>
            <w:lang w:val="lv-LV"/>
            <w:rPrChange w:id="740" w:author="Author">
              <w:rPr>
                <w:szCs w:val="22"/>
              </w:rPr>
            </w:rPrChange>
          </w:rPr>
          <w:t>×</w:t>
        </w:r>
      </w:ins>
      <w:del w:id="741" w:author="Author">
        <w:r w:rsidDel="001D0A34">
          <w:rPr>
            <w:iCs/>
            <w:lang w:val="lv-LV"/>
          </w:rPr>
          <w:delText>·</w:delText>
        </w:r>
      </w:del>
      <w:r>
        <w:rPr>
          <w:iCs/>
          <w:lang w:val="lv-LV"/>
        </w:rPr>
        <w:t>µg/ml</w:t>
      </w:r>
      <w:r>
        <w:rPr>
          <w:szCs w:val="22"/>
          <w:lang w:val="lv-LV"/>
        </w:rPr>
        <w:t>, minimālā koncentrācija (C</w:t>
      </w:r>
      <w:r>
        <w:rPr>
          <w:szCs w:val="22"/>
          <w:vertAlign w:val="subscript"/>
          <w:lang w:val="lv-LV"/>
        </w:rPr>
        <w:t>min</w:t>
      </w:r>
      <w:r>
        <w:rPr>
          <w:szCs w:val="22"/>
          <w:lang w:val="lv-LV"/>
        </w:rPr>
        <w:t xml:space="preserve">) </w:t>
      </w:r>
      <w:r>
        <w:rPr>
          <w:iCs/>
          <w:lang w:val="lv-LV"/>
        </w:rPr>
        <w:t xml:space="preserve">= 15,9 </w:t>
      </w:r>
      <w:r w:rsidRPr="00CE558B">
        <w:rPr>
          <w:iCs/>
          <w:lang w:val="lv-LV"/>
        </w:rPr>
        <w:t>± 1</w:t>
      </w:r>
      <w:r>
        <w:rPr>
          <w:iCs/>
          <w:lang w:val="lv-LV"/>
        </w:rPr>
        <w:t>3,1 </w:t>
      </w:r>
      <w:r w:rsidRPr="00CE558B">
        <w:rPr>
          <w:iCs/>
          <w:lang w:val="lv-LV"/>
        </w:rPr>
        <w:t>μ</w:t>
      </w:r>
      <w:r>
        <w:rPr>
          <w:iCs/>
          <w:lang w:val="lv-LV"/>
        </w:rPr>
        <w:t>g/ml</w:t>
      </w:r>
      <w:r>
        <w:rPr>
          <w:szCs w:val="22"/>
          <w:lang w:val="lv-LV"/>
        </w:rPr>
        <w:t xml:space="preserve"> un maksimālā koncentrācija (C</w:t>
      </w:r>
      <w:r>
        <w:rPr>
          <w:szCs w:val="22"/>
          <w:vertAlign w:val="subscript"/>
          <w:lang w:val="lv-LV"/>
        </w:rPr>
        <w:t>max</w:t>
      </w:r>
      <w:r>
        <w:rPr>
          <w:szCs w:val="22"/>
          <w:lang w:val="lv-LV"/>
        </w:rPr>
        <w:t xml:space="preserve">) </w:t>
      </w:r>
      <w:r>
        <w:rPr>
          <w:iCs/>
          <w:lang w:val="lv-LV"/>
        </w:rPr>
        <w:t xml:space="preserve">= 182 </w:t>
      </w:r>
      <w:r w:rsidRPr="00CE558B">
        <w:rPr>
          <w:iCs/>
          <w:lang w:val="lv-LV"/>
        </w:rPr>
        <w:t>±</w:t>
      </w:r>
      <w:r>
        <w:rPr>
          <w:iCs/>
          <w:lang w:val="lv-LV"/>
        </w:rPr>
        <w:t> 50,4 µg/ml</w:t>
      </w:r>
      <w:r>
        <w:rPr>
          <w:szCs w:val="22"/>
          <w:lang w:val="lv-LV"/>
        </w:rPr>
        <w:t>, un AUC un C</w:t>
      </w:r>
      <w:r>
        <w:rPr>
          <w:szCs w:val="22"/>
          <w:vertAlign w:val="subscript"/>
          <w:lang w:val="lv-LV"/>
        </w:rPr>
        <w:t>max</w:t>
      </w:r>
      <w:r>
        <w:rPr>
          <w:szCs w:val="22"/>
          <w:lang w:val="lv-LV"/>
        </w:rPr>
        <w:t xml:space="preserve"> akumulācijas pakāpe bija neliela, attiecīgi 1,32 un 1,09. Akumulācijas pakāpe bija lielāka C</w:t>
      </w:r>
      <w:r>
        <w:rPr>
          <w:szCs w:val="22"/>
          <w:vertAlign w:val="subscript"/>
          <w:lang w:val="lv-LV"/>
        </w:rPr>
        <w:t>min</w:t>
      </w:r>
      <w:r>
        <w:rPr>
          <w:szCs w:val="22"/>
          <w:lang w:val="lv-LV"/>
        </w:rPr>
        <w:t xml:space="preserve"> (2,49), kas bija paredzams, ņemot vērā nelineārā klīrensa apjomu pie mazākas koncentrācijas. C</w:t>
      </w:r>
      <w:r>
        <w:rPr>
          <w:szCs w:val="22"/>
          <w:vertAlign w:val="subscript"/>
          <w:lang w:val="lv-LV"/>
        </w:rPr>
        <w:t>max</w:t>
      </w:r>
      <w:r>
        <w:rPr>
          <w:szCs w:val="22"/>
          <w:lang w:val="lv-LV"/>
        </w:rPr>
        <w:t>, AUC un C</w:t>
      </w:r>
      <w:r>
        <w:rPr>
          <w:szCs w:val="22"/>
          <w:vertAlign w:val="subscript"/>
          <w:lang w:val="lv-LV"/>
        </w:rPr>
        <w:t>min</w:t>
      </w:r>
      <w:r>
        <w:rPr>
          <w:szCs w:val="22"/>
          <w:lang w:val="lv-LV"/>
        </w:rPr>
        <w:t xml:space="preserve"> līdzsvara koncentrāciju sasniedza attiecīgi pēc pirmās lietošanas, pēc 8 un 20 nedēļām. Tocilizumaba AUC, C</w:t>
      </w:r>
      <w:r>
        <w:rPr>
          <w:szCs w:val="22"/>
          <w:vertAlign w:val="subscript"/>
          <w:lang w:val="lv-LV"/>
        </w:rPr>
        <w:t>min</w:t>
      </w:r>
      <w:r>
        <w:rPr>
          <w:szCs w:val="22"/>
          <w:lang w:val="lv-LV"/>
        </w:rPr>
        <w:t xml:space="preserve"> un C</w:t>
      </w:r>
      <w:r>
        <w:rPr>
          <w:szCs w:val="22"/>
          <w:vertAlign w:val="subscript"/>
          <w:lang w:val="lv-LV"/>
        </w:rPr>
        <w:t>max</w:t>
      </w:r>
      <w:r>
        <w:rPr>
          <w:szCs w:val="22"/>
          <w:lang w:val="lv-LV"/>
        </w:rPr>
        <w:t xml:space="preserve"> vērtības palielinājās, palielinoties pacientu ķermeņa masai. Ja pacienta ķermeņa masa bija </w:t>
      </w:r>
      <w:r w:rsidRPr="00CE558B">
        <w:rPr>
          <w:szCs w:val="22"/>
          <w:lang w:val="lv-LV"/>
        </w:rPr>
        <w:t>≥ </w:t>
      </w:r>
      <w:r>
        <w:rPr>
          <w:szCs w:val="22"/>
          <w:lang w:val="lv-LV"/>
        </w:rPr>
        <w:t>100 kg, paredzētās tocilizumaba AUC, C</w:t>
      </w:r>
      <w:r>
        <w:rPr>
          <w:szCs w:val="22"/>
          <w:vertAlign w:val="subscript"/>
          <w:lang w:val="lv-LV"/>
        </w:rPr>
        <w:t>min</w:t>
      </w:r>
      <w:r>
        <w:rPr>
          <w:szCs w:val="22"/>
          <w:lang w:val="lv-LV"/>
        </w:rPr>
        <w:t xml:space="preserve"> un C</w:t>
      </w:r>
      <w:r>
        <w:rPr>
          <w:szCs w:val="22"/>
          <w:vertAlign w:val="subscript"/>
          <w:lang w:val="lv-LV"/>
        </w:rPr>
        <w:t>max</w:t>
      </w:r>
      <w:r>
        <w:rPr>
          <w:szCs w:val="22"/>
          <w:lang w:val="lv-LV"/>
        </w:rPr>
        <w:t xml:space="preserve"> vidējās vērtības (</w:t>
      </w:r>
      <w:r w:rsidRPr="00CE558B">
        <w:rPr>
          <w:szCs w:val="22"/>
          <w:lang w:val="lv-LV"/>
        </w:rPr>
        <w:t>±</w:t>
      </w:r>
      <w:r>
        <w:rPr>
          <w:szCs w:val="22"/>
          <w:lang w:val="lv-LV"/>
        </w:rPr>
        <w:t> SN) līdzsvara koncentrācijas apstākļos bija attiecīgi 50 000 ± 16 800</w:t>
      </w:r>
      <w:r w:rsidR="004414A4">
        <w:rPr>
          <w:szCs w:val="22"/>
          <w:lang w:val="lv-LV"/>
        </w:rPr>
        <w:t> </w:t>
      </w:r>
      <w:r>
        <w:rPr>
          <w:szCs w:val="22"/>
          <w:lang w:val="lv-LV"/>
        </w:rPr>
        <w:t>μg</w:t>
      </w:r>
      <w:ins w:id="742" w:author="Author">
        <w:r w:rsidR="001D0A34" w:rsidRPr="00DD58C9">
          <w:rPr>
            <w:szCs w:val="22"/>
            <w:lang w:val="lv-LV"/>
            <w:rPrChange w:id="743" w:author="Author">
              <w:rPr>
                <w:szCs w:val="22"/>
              </w:rPr>
            </w:rPrChange>
          </w:rPr>
          <w:t>×</w:t>
        </w:r>
      </w:ins>
      <w:del w:id="744" w:author="Author">
        <w:r w:rsidDel="001D0A34">
          <w:rPr>
            <w:szCs w:val="22"/>
            <w:lang w:val="lv-LV"/>
          </w:rPr>
          <w:delText>·</w:delText>
        </w:r>
      </w:del>
      <w:r>
        <w:rPr>
          <w:szCs w:val="22"/>
          <w:lang w:val="lv-LV"/>
        </w:rPr>
        <w:t>h/ml, 24,4 ± 17,5 μg/ml un 226 ± 50,3 μg/ml, kas bija lielākas par vidējām vērtībām augstākminētā zāļu iedarbībai pakļauto pacientu populācijā (t.i. visām ķermeņa masām). Lielākas iedarbības intensitātes gadījumā devas/atbildes reakcijas attiecības līkne izlīdzinās, kā rezultātā pēc katra tocilizumaba koncentrācijas paaugstināšanās soļa tā efektivitāte palielinās mazāk, tādēļ attiecībā uz pacientiem, kuri ārstēti ar tocilizumaba devām, kas lielākas par 800 mg, klīniski nozīmīga efektivitātes palielināšanās nav pierādīta. Tādēļ vienas infūzijas laikā ievadīt tocilizumaba devas, kas lielākas par 800 mg, nav ieteicams (skatīt 4.2. apakšpunktu).</w:t>
      </w:r>
    </w:p>
    <w:bookmarkEnd w:id="731"/>
    <w:p w14:paraId="7CA90D2C" w14:textId="77777777" w:rsidR="00A453C3" w:rsidRDefault="00A453C3" w:rsidP="00A453C3">
      <w:pPr>
        <w:rPr>
          <w:szCs w:val="22"/>
          <w:lang w:val="lv-LV"/>
        </w:rPr>
      </w:pPr>
    </w:p>
    <w:p w14:paraId="7C6B5441" w14:textId="77777777" w:rsidR="00A453C3" w:rsidRPr="00707120" w:rsidRDefault="00A453C3" w:rsidP="00707120">
      <w:pPr>
        <w:keepNext/>
        <w:rPr>
          <w:i/>
          <w:iCs/>
          <w:szCs w:val="22"/>
          <w:lang w:val="lv-LV"/>
        </w:rPr>
      </w:pPr>
      <w:r w:rsidRPr="00707120">
        <w:rPr>
          <w:i/>
          <w:iCs/>
          <w:szCs w:val="22"/>
          <w:u w:val="single"/>
          <w:lang w:val="lv-LV"/>
        </w:rPr>
        <w:t>Izkliede</w:t>
      </w:r>
    </w:p>
    <w:p w14:paraId="3C8C4ACF" w14:textId="777B0BBE" w:rsidR="00A453C3" w:rsidRDefault="00A453C3" w:rsidP="00A453C3">
      <w:pPr>
        <w:rPr>
          <w:szCs w:val="22"/>
          <w:lang w:val="lv-LV"/>
        </w:rPr>
      </w:pPr>
      <w:r>
        <w:rPr>
          <w:szCs w:val="22"/>
          <w:lang w:val="lv-LV"/>
        </w:rPr>
        <w:t>RA slimniekiem centrālais izkliedes tilpums bija 3,72 l, perifēriskais izkliedes tilpums bija 3,35 l, un kopējais izkliedes tilpums līdzsvara koncentrācijā bija 7,07 l.</w:t>
      </w:r>
    </w:p>
    <w:p w14:paraId="6D1EB127" w14:textId="77777777" w:rsidR="00A453C3" w:rsidRDefault="00A453C3" w:rsidP="00A453C3">
      <w:pPr>
        <w:rPr>
          <w:szCs w:val="22"/>
          <w:lang w:val="lv-LV"/>
        </w:rPr>
      </w:pPr>
    </w:p>
    <w:p w14:paraId="4D7F09B9" w14:textId="77777777" w:rsidR="00A453C3" w:rsidRPr="00707120" w:rsidRDefault="00A453C3" w:rsidP="00707120">
      <w:pPr>
        <w:keepNext/>
        <w:rPr>
          <w:i/>
          <w:iCs/>
          <w:szCs w:val="22"/>
          <w:u w:val="single"/>
          <w:lang w:val="lv-LV"/>
        </w:rPr>
      </w:pPr>
      <w:r w:rsidRPr="00707120">
        <w:rPr>
          <w:i/>
          <w:iCs/>
          <w:szCs w:val="22"/>
          <w:u w:val="single"/>
          <w:lang w:val="lv-LV"/>
        </w:rPr>
        <w:t>Eliminācija</w:t>
      </w:r>
    </w:p>
    <w:p w14:paraId="1DA4CF0F" w14:textId="7468124D" w:rsidR="00A453C3" w:rsidRDefault="00A453C3" w:rsidP="00A453C3">
      <w:pPr>
        <w:rPr>
          <w:szCs w:val="22"/>
          <w:lang w:val="lv-LV"/>
        </w:rPr>
      </w:pPr>
      <w:bookmarkStart w:id="745" w:name="_Hlk174612921"/>
      <w:r>
        <w:rPr>
          <w:szCs w:val="22"/>
          <w:lang w:val="lv-LV"/>
        </w:rPr>
        <w:t xml:space="preserve">Pēc intravenozas ievadīšanas tocilizumabs tiek pakļauts divfāziskai eliminācijai no asinsrites. Tocilizumaba kopējais klīrenss bija atkarīgs no koncentrācijas un ir lineārā un nelineārā klīrensa summa. Lineārais klīrenss tika aprēķināts kā rādītājs populācijas farmakokinētikas analīzē, un tas bija 9,5 ml/h. No koncentrācijas atkarīgajam nelineārajam klīrensam ir liela nozīme mazas tocilizumaba koncentrācijas gadījumā. Kad nelineārā klīrensa izvadceļš ir piesātināts, lielākas tocilizumaba koncentrācijas gadījumā klīrensu nosaka galvenokārt lineārais klīrenss. </w:t>
      </w:r>
    </w:p>
    <w:p w14:paraId="56A8258D" w14:textId="77777777" w:rsidR="00A453C3" w:rsidRDefault="00A453C3" w:rsidP="00A453C3">
      <w:pPr>
        <w:rPr>
          <w:szCs w:val="22"/>
          <w:lang w:val="lv-LV"/>
        </w:rPr>
      </w:pPr>
    </w:p>
    <w:p w14:paraId="0BB5676B" w14:textId="3E5D6C68" w:rsidR="00A453C3" w:rsidRDefault="00A453C3" w:rsidP="00A453C3">
      <w:pPr>
        <w:rPr>
          <w:szCs w:val="22"/>
          <w:lang w:val="lv-LV"/>
        </w:rPr>
      </w:pPr>
      <w:r>
        <w:rPr>
          <w:szCs w:val="22"/>
          <w:lang w:val="lv-LV"/>
        </w:rPr>
        <w:t>Tocilizumaba eliminācijas pusperiods (t</w:t>
      </w:r>
      <w:r>
        <w:rPr>
          <w:szCs w:val="22"/>
          <w:vertAlign w:val="subscript"/>
          <w:lang w:val="lv-LV"/>
        </w:rPr>
        <w:t>1/2</w:t>
      </w:r>
      <w:r>
        <w:rPr>
          <w:szCs w:val="22"/>
          <w:lang w:val="lv-LV"/>
        </w:rPr>
        <w:t>) bija atkarīgs no koncentrācijas. Līdzsvara stāvoklī pēc 8 mg/kg devas lietošanas ik pēc 4 nedēļām efektīvais t</w:t>
      </w:r>
      <w:r>
        <w:rPr>
          <w:szCs w:val="22"/>
          <w:vertAlign w:val="subscript"/>
          <w:lang w:val="lv-LV"/>
        </w:rPr>
        <w:t>1/2</w:t>
      </w:r>
      <w:r>
        <w:rPr>
          <w:szCs w:val="22"/>
          <w:lang w:val="lv-LV"/>
        </w:rPr>
        <w:t xml:space="preserve"> samazinājās, samazinoties koncentrācijai, dozēšanas intervālā 18</w:t>
      </w:r>
      <w:r>
        <w:rPr>
          <w:szCs w:val="22"/>
          <w:lang w:val="lv-LV"/>
        </w:rPr>
        <w:noBreakHyphen/>
        <w:t>6 dienas.</w:t>
      </w:r>
    </w:p>
    <w:bookmarkEnd w:id="745"/>
    <w:p w14:paraId="494D3B81" w14:textId="77777777" w:rsidR="00A453C3" w:rsidRDefault="00A453C3" w:rsidP="00A453C3">
      <w:pPr>
        <w:rPr>
          <w:szCs w:val="22"/>
          <w:lang w:val="lv-LV"/>
        </w:rPr>
      </w:pPr>
    </w:p>
    <w:p w14:paraId="32F09037" w14:textId="77777777" w:rsidR="00A453C3" w:rsidRPr="00707120" w:rsidRDefault="00A453C3" w:rsidP="00707120">
      <w:pPr>
        <w:keepNext/>
        <w:rPr>
          <w:i/>
          <w:iCs/>
          <w:szCs w:val="22"/>
          <w:lang w:val="lv-LV"/>
        </w:rPr>
      </w:pPr>
      <w:r w:rsidRPr="00707120">
        <w:rPr>
          <w:i/>
          <w:iCs/>
          <w:szCs w:val="22"/>
          <w:u w:val="single"/>
          <w:lang w:val="lv-LV"/>
        </w:rPr>
        <w:t>Linearitāte</w:t>
      </w:r>
    </w:p>
    <w:p w14:paraId="51D96B57" w14:textId="78121778" w:rsidR="00A453C3" w:rsidRDefault="00A453C3" w:rsidP="00A453C3">
      <w:pPr>
        <w:rPr>
          <w:szCs w:val="22"/>
          <w:lang w:val="lv-LV"/>
        </w:rPr>
      </w:pPr>
      <w:r>
        <w:rPr>
          <w:szCs w:val="22"/>
          <w:lang w:val="lv-LV"/>
        </w:rPr>
        <w:t>Tocilizumaba farmakokinētiskie rādītāji laika gaitā nemainījās. Lietojot 4 un 8 mg/kg devu ik pēc 4 nedēļām, novēroja vairāk nekā devai proporcionālu zemlīknes laukuma (AUC) un C</w:t>
      </w:r>
      <w:r>
        <w:rPr>
          <w:szCs w:val="22"/>
          <w:vertAlign w:val="subscript"/>
          <w:lang w:val="lv-LV"/>
        </w:rPr>
        <w:t>min</w:t>
      </w:r>
      <w:r>
        <w:rPr>
          <w:szCs w:val="22"/>
          <w:lang w:val="lv-LV"/>
        </w:rPr>
        <w:t xml:space="preserve"> palielināšanos. C</w:t>
      </w:r>
      <w:r>
        <w:rPr>
          <w:szCs w:val="22"/>
          <w:vertAlign w:val="subscript"/>
          <w:lang w:val="lv-LV"/>
        </w:rPr>
        <w:t>max</w:t>
      </w:r>
      <w:r>
        <w:rPr>
          <w:szCs w:val="22"/>
          <w:lang w:val="lv-LV"/>
        </w:rPr>
        <w:t xml:space="preserve"> palielinājās proporcionāli devai. Līdzsvara apstākļos paredzamais AUC un C</w:t>
      </w:r>
      <w:r>
        <w:rPr>
          <w:szCs w:val="22"/>
          <w:vertAlign w:val="subscript"/>
          <w:lang w:val="lv-LV"/>
        </w:rPr>
        <w:t>min</w:t>
      </w:r>
      <w:r>
        <w:rPr>
          <w:szCs w:val="22"/>
          <w:lang w:val="lv-LV"/>
        </w:rPr>
        <w:t xml:space="preserve"> 8 mg/kg devai bija attiecīgi 3,2 un 30 reizes lielāks nekā 4 mg/kg devai.</w:t>
      </w:r>
    </w:p>
    <w:p w14:paraId="1CF7CEE3" w14:textId="77777777" w:rsidR="00A453C3" w:rsidRDefault="00A453C3" w:rsidP="00A453C3">
      <w:pPr>
        <w:rPr>
          <w:szCs w:val="22"/>
          <w:lang w:val="lv-LV"/>
        </w:rPr>
      </w:pPr>
    </w:p>
    <w:p w14:paraId="69C88B9E" w14:textId="77777777" w:rsidR="00A453C3" w:rsidRPr="00F82186" w:rsidRDefault="00A453C3" w:rsidP="00707120">
      <w:pPr>
        <w:keepNext/>
        <w:rPr>
          <w:iCs/>
          <w:szCs w:val="22"/>
          <w:u w:val="single"/>
          <w:lang w:val="lv-LV"/>
          <w:rPrChange w:id="746" w:author="Author">
            <w:rPr>
              <w:i/>
              <w:iCs/>
              <w:szCs w:val="22"/>
              <w:lang w:val="lv-LV"/>
            </w:rPr>
          </w:rPrChange>
        </w:rPr>
      </w:pPr>
      <w:r w:rsidRPr="00F82186">
        <w:rPr>
          <w:iCs/>
          <w:szCs w:val="22"/>
          <w:u w:val="single"/>
          <w:lang w:val="lv-LV"/>
          <w:rPrChange w:id="747" w:author="Author">
            <w:rPr>
              <w:i/>
              <w:iCs/>
              <w:szCs w:val="22"/>
              <w:lang w:val="lv-LV"/>
            </w:rPr>
          </w:rPrChange>
        </w:rPr>
        <w:t>Subkutāna lietošana</w:t>
      </w:r>
    </w:p>
    <w:p w14:paraId="4DA10C3B" w14:textId="15E2CE22" w:rsidR="00A453C3" w:rsidRDefault="00D44660" w:rsidP="00707120">
      <w:pPr>
        <w:keepNext/>
        <w:rPr>
          <w:ins w:id="748" w:author="Author"/>
          <w:i/>
          <w:szCs w:val="22"/>
          <w:lang w:val="lv-LV"/>
        </w:rPr>
      </w:pPr>
      <w:ins w:id="749" w:author="Author">
        <w:r w:rsidRPr="00F82186">
          <w:rPr>
            <w:i/>
            <w:szCs w:val="22"/>
            <w:lang w:val="lv-LV"/>
            <w:rPrChange w:id="750" w:author="Author">
              <w:rPr>
                <w:szCs w:val="22"/>
                <w:u w:val="single"/>
                <w:lang w:val="lv-LV"/>
              </w:rPr>
            </w:rPrChange>
          </w:rPr>
          <w:t>Pacienti ar RA</w:t>
        </w:r>
      </w:ins>
    </w:p>
    <w:p w14:paraId="432289C8" w14:textId="77777777" w:rsidR="00D44660" w:rsidRPr="00707120" w:rsidRDefault="00D44660" w:rsidP="00707120">
      <w:pPr>
        <w:keepNext/>
        <w:rPr>
          <w:i/>
          <w:iCs/>
          <w:szCs w:val="22"/>
          <w:lang w:val="lv-LV"/>
        </w:rPr>
      </w:pPr>
    </w:p>
    <w:p w14:paraId="365F197D" w14:textId="461DEFAE" w:rsidR="00A453C3" w:rsidRDefault="00A453C3" w:rsidP="00A453C3">
      <w:pPr>
        <w:rPr>
          <w:szCs w:val="22"/>
          <w:lang w:val="lv-LV"/>
        </w:rPr>
      </w:pPr>
      <w:bookmarkStart w:id="751" w:name="_Hlk174613019"/>
      <w:r>
        <w:rPr>
          <w:szCs w:val="22"/>
          <w:lang w:val="lv-LV"/>
        </w:rPr>
        <w:t>Tocilizumaba farmakokinētiku noteica ar populācijas farmakokinētikas analīzes palīdzību datu bāzē, kurā iekļauti dati par 3</w:t>
      </w:r>
      <w:ins w:id="752" w:author="Author">
        <w:r w:rsidR="00711599">
          <w:rPr>
            <w:szCs w:val="22"/>
            <w:lang w:val="lv-LV"/>
          </w:rPr>
          <w:t> </w:t>
        </w:r>
      </w:ins>
      <w:r>
        <w:rPr>
          <w:szCs w:val="22"/>
          <w:lang w:val="lv-LV"/>
        </w:rPr>
        <w:t xml:space="preserve">552 RA slimniekiem, kuri 24 nedēļas lietojuši tocilizumaba 162 mg devu subkutāni reizi nedēļā, 162 mg devu subkutāni katru otro nedēļu un 4 vai 8 mg/kg devu intravenozi ik pēc 4 nedēļām. </w:t>
      </w:r>
    </w:p>
    <w:p w14:paraId="79619305" w14:textId="77777777" w:rsidR="00A453C3" w:rsidRDefault="00A453C3" w:rsidP="00A453C3">
      <w:pPr>
        <w:rPr>
          <w:szCs w:val="22"/>
          <w:lang w:val="lv-LV"/>
        </w:rPr>
      </w:pPr>
    </w:p>
    <w:p w14:paraId="2F521304" w14:textId="66C5B70F" w:rsidR="00A453C3" w:rsidRDefault="00A453C3" w:rsidP="00A453C3">
      <w:pPr>
        <w:rPr>
          <w:szCs w:val="22"/>
          <w:lang w:val="lv-LV"/>
        </w:rPr>
      </w:pPr>
      <w:r>
        <w:rPr>
          <w:szCs w:val="22"/>
          <w:lang w:val="lv-LV"/>
        </w:rPr>
        <w:t>Laika gaitā tocilizumaba farmakokinētiskie raksturlielumi nemainījās. Tocilizumaba 162 mg devas lietošanai reizi nedēļā prognozētā vidējā (± SN) līdzsvara AUC</w:t>
      </w:r>
      <w:r>
        <w:rPr>
          <w:szCs w:val="22"/>
          <w:vertAlign w:val="subscript"/>
          <w:lang w:val="lv-LV"/>
        </w:rPr>
        <w:t>1nedēļa</w:t>
      </w:r>
      <w:r>
        <w:rPr>
          <w:szCs w:val="22"/>
          <w:lang w:val="lv-LV"/>
        </w:rPr>
        <w:t>, C</w:t>
      </w:r>
      <w:r>
        <w:rPr>
          <w:szCs w:val="22"/>
          <w:vertAlign w:val="subscript"/>
          <w:lang w:val="lv-LV"/>
        </w:rPr>
        <w:t>min</w:t>
      </w:r>
      <w:r>
        <w:rPr>
          <w:szCs w:val="22"/>
          <w:lang w:val="lv-LV"/>
        </w:rPr>
        <w:t xml:space="preserve"> un C</w:t>
      </w:r>
      <w:r>
        <w:rPr>
          <w:szCs w:val="22"/>
          <w:vertAlign w:val="subscript"/>
          <w:lang w:val="lv-LV"/>
        </w:rPr>
        <w:t>max</w:t>
      </w:r>
      <w:r>
        <w:rPr>
          <w:szCs w:val="22"/>
          <w:lang w:val="lv-LV"/>
        </w:rPr>
        <w:t xml:space="preserve"> bija attiecīgi 7</w:t>
      </w:r>
      <w:ins w:id="753" w:author="Author">
        <w:r w:rsidR="00711599">
          <w:rPr>
            <w:szCs w:val="22"/>
            <w:lang w:val="lv-LV"/>
          </w:rPr>
          <w:t> </w:t>
        </w:r>
      </w:ins>
      <w:r>
        <w:rPr>
          <w:szCs w:val="22"/>
          <w:lang w:val="lv-LV"/>
        </w:rPr>
        <w:t>970 ± 3</w:t>
      </w:r>
      <w:ins w:id="754" w:author="Author">
        <w:r w:rsidR="00711599">
          <w:rPr>
            <w:szCs w:val="22"/>
            <w:lang w:val="lv-LV"/>
          </w:rPr>
          <w:t> </w:t>
        </w:r>
      </w:ins>
      <w:r>
        <w:rPr>
          <w:szCs w:val="22"/>
          <w:lang w:val="lv-LV"/>
        </w:rPr>
        <w:t>432 μg</w:t>
      </w:r>
      <w:ins w:id="755" w:author="Author">
        <w:r w:rsidR="00711599">
          <w:rPr>
            <w:szCs w:val="22"/>
            <w:lang w:val="lv-LV"/>
          </w:rPr>
          <w:t> </w:t>
        </w:r>
        <w:r w:rsidR="001D0A34" w:rsidRPr="00DD58C9">
          <w:rPr>
            <w:szCs w:val="22"/>
            <w:lang w:val="lv-LV"/>
            <w:rPrChange w:id="756" w:author="Author">
              <w:rPr>
                <w:szCs w:val="22"/>
              </w:rPr>
            </w:rPrChange>
          </w:rPr>
          <w:t>×</w:t>
        </w:r>
        <w:r w:rsidR="00711599">
          <w:rPr>
            <w:szCs w:val="22"/>
            <w:lang w:val="lv-LV"/>
          </w:rPr>
          <w:t> </w:t>
        </w:r>
      </w:ins>
      <w:del w:id="757" w:author="Author">
        <w:r w:rsidDel="00711599">
          <w:rPr>
            <w:szCs w:val="22"/>
            <w:lang w:val="lv-LV"/>
          </w:rPr>
          <w:delText>·</w:delText>
        </w:r>
      </w:del>
      <w:r>
        <w:rPr>
          <w:szCs w:val="22"/>
          <w:lang w:val="lv-LV"/>
        </w:rPr>
        <w:t>h/ml, 43,0 ± 19,8 μg/ml un 49,8 ± 21,0 μg/ml. AUC, C</w:t>
      </w:r>
      <w:r>
        <w:rPr>
          <w:szCs w:val="22"/>
          <w:vertAlign w:val="subscript"/>
          <w:lang w:val="lv-LV"/>
        </w:rPr>
        <w:t>min</w:t>
      </w:r>
      <w:r>
        <w:rPr>
          <w:szCs w:val="22"/>
          <w:lang w:val="lv-LV"/>
        </w:rPr>
        <w:t xml:space="preserve"> un C</w:t>
      </w:r>
      <w:r>
        <w:rPr>
          <w:szCs w:val="22"/>
          <w:vertAlign w:val="subscript"/>
          <w:lang w:val="lv-LV"/>
        </w:rPr>
        <w:t>max</w:t>
      </w:r>
      <w:r>
        <w:rPr>
          <w:szCs w:val="22"/>
          <w:lang w:val="lv-LV"/>
        </w:rPr>
        <w:t xml:space="preserve"> akumulācijas pakāpe bija attiecīgi 6,32, 6,30 un 5,27. AUC, C</w:t>
      </w:r>
      <w:r>
        <w:rPr>
          <w:szCs w:val="22"/>
          <w:vertAlign w:val="subscript"/>
          <w:lang w:val="lv-LV"/>
        </w:rPr>
        <w:t>min</w:t>
      </w:r>
      <w:r>
        <w:rPr>
          <w:szCs w:val="22"/>
          <w:lang w:val="lv-LV"/>
        </w:rPr>
        <w:t xml:space="preserve"> un C</w:t>
      </w:r>
      <w:r>
        <w:rPr>
          <w:szCs w:val="22"/>
          <w:vertAlign w:val="subscript"/>
          <w:lang w:val="lv-LV"/>
        </w:rPr>
        <w:t>max</w:t>
      </w:r>
      <w:r>
        <w:rPr>
          <w:szCs w:val="22"/>
          <w:lang w:val="lv-LV"/>
        </w:rPr>
        <w:t xml:space="preserve"> līdzsvars tika sasniegts pēc 12 nedēļām. </w:t>
      </w:r>
    </w:p>
    <w:p w14:paraId="7AB03F04" w14:textId="77777777" w:rsidR="00A453C3" w:rsidRDefault="00A453C3" w:rsidP="00A453C3">
      <w:pPr>
        <w:rPr>
          <w:szCs w:val="22"/>
          <w:lang w:val="lv-LV"/>
        </w:rPr>
      </w:pPr>
    </w:p>
    <w:p w14:paraId="566E6FFE" w14:textId="564C9BC4" w:rsidR="00A453C3" w:rsidRDefault="00A453C3" w:rsidP="00A453C3">
      <w:pPr>
        <w:rPr>
          <w:szCs w:val="22"/>
          <w:lang w:val="lv-LV"/>
        </w:rPr>
      </w:pPr>
      <w:r>
        <w:rPr>
          <w:szCs w:val="22"/>
          <w:lang w:val="lv-LV"/>
        </w:rPr>
        <w:t>Tocilizumaba 162 mg devas lietošanai katru otro nedēļu prognozētā vidējā (± SN) līdzsvara AUC</w:t>
      </w:r>
      <w:r>
        <w:rPr>
          <w:szCs w:val="22"/>
          <w:vertAlign w:val="subscript"/>
          <w:lang w:val="lv-LV"/>
        </w:rPr>
        <w:t>2nedēļas</w:t>
      </w:r>
      <w:r>
        <w:rPr>
          <w:szCs w:val="22"/>
          <w:lang w:val="lv-LV"/>
        </w:rPr>
        <w:t>, C</w:t>
      </w:r>
      <w:r>
        <w:rPr>
          <w:szCs w:val="22"/>
          <w:vertAlign w:val="subscript"/>
          <w:lang w:val="lv-LV"/>
        </w:rPr>
        <w:t>min</w:t>
      </w:r>
      <w:r>
        <w:rPr>
          <w:szCs w:val="22"/>
          <w:lang w:val="lv-LV"/>
        </w:rPr>
        <w:t xml:space="preserve"> un C</w:t>
      </w:r>
      <w:r>
        <w:rPr>
          <w:szCs w:val="22"/>
          <w:vertAlign w:val="subscript"/>
          <w:lang w:val="lv-LV"/>
        </w:rPr>
        <w:t>max</w:t>
      </w:r>
      <w:r>
        <w:rPr>
          <w:szCs w:val="22"/>
          <w:lang w:val="lv-LV"/>
        </w:rPr>
        <w:t xml:space="preserve"> bija attiecīgi 3</w:t>
      </w:r>
      <w:ins w:id="758" w:author="Author">
        <w:r w:rsidR="00711599">
          <w:rPr>
            <w:szCs w:val="22"/>
            <w:lang w:val="lv-LV"/>
          </w:rPr>
          <w:t> </w:t>
        </w:r>
      </w:ins>
      <w:r>
        <w:rPr>
          <w:szCs w:val="22"/>
          <w:lang w:val="lv-LV"/>
        </w:rPr>
        <w:t>430 ± 2</w:t>
      </w:r>
      <w:ins w:id="759" w:author="Author">
        <w:r w:rsidR="00711599">
          <w:rPr>
            <w:szCs w:val="22"/>
            <w:lang w:val="lv-LV"/>
          </w:rPr>
          <w:t> </w:t>
        </w:r>
      </w:ins>
      <w:r>
        <w:rPr>
          <w:szCs w:val="22"/>
          <w:lang w:val="lv-LV"/>
        </w:rPr>
        <w:t>660 μg</w:t>
      </w:r>
      <w:ins w:id="760" w:author="Author">
        <w:r w:rsidR="00711599">
          <w:rPr>
            <w:szCs w:val="22"/>
            <w:lang w:val="lv-LV"/>
          </w:rPr>
          <w:t> </w:t>
        </w:r>
        <w:r w:rsidR="001D0A34" w:rsidRPr="00DD58C9">
          <w:rPr>
            <w:szCs w:val="22"/>
            <w:lang w:val="lv-LV"/>
            <w:rPrChange w:id="761" w:author="Author">
              <w:rPr>
                <w:szCs w:val="22"/>
              </w:rPr>
            </w:rPrChange>
          </w:rPr>
          <w:t>×</w:t>
        </w:r>
        <w:r w:rsidR="00711599">
          <w:rPr>
            <w:szCs w:val="22"/>
            <w:lang w:val="lv-LV"/>
          </w:rPr>
          <w:t> </w:t>
        </w:r>
      </w:ins>
      <w:del w:id="762" w:author="Author">
        <w:r w:rsidDel="00711599">
          <w:rPr>
            <w:szCs w:val="22"/>
            <w:lang w:val="lv-LV"/>
          </w:rPr>
          <w:delText>·</w:delText>
        </w:r>
      </w:del>
      <w:r>
        <w:rPr>
          <w:szCs w:val="22"/>
          <w:lang w:val="lv-LV"/>
        </w:rPr>
        <w:t>h/ml, 5,7 ± 6,8 μg/ml un 13,2 ± 8,8 μg/ml. AUC, C</w:t>
      </w:r>
      <w:r>
        <w:rPr>
          <w:szCs w:val="22"/>
          <w:vertAlign w:val="subscript"/>
          <w:lang w:val="lv-LV"/>
        </w:rPr>
        <w:t>min</w:t>
      </w:r>
      <w:r>
        <w:rPr>
          <w:szCs w:val="22"/>
          <w:lang w:val="lv-LV"/>
        </w:rPr>
        <w:t xml:space="preserve"> un C</w:t>
      </w:r>
      <w:r>
        <w:rPr>
          <w:szCs w:val="22"/>
          <w:vertAlign w:val="subscript"/>
          <w:lang w:val="lv-LV"/>
        </w:rPr>
        <w:t>max</w:t>
      </w:r>
      <w:r>
        <w:rPr>
          <w:szCs w:val="22"/>
          <w:lang w:val="lv-LV"/>
        </w:rPr>
        <w:t xml:space="preserve"> akumulācijas pakāpe bija attiecīgi 2,67, 6,02 un 2,12. AUC un C</w:t>
      </w:r>
      <w:r>
        <w:rPr>
          <w:szCs w:val="22"/>
          <w:vertAlign w:val="subscript"/>
          <w:lang w:val="lv-LV"/>
        </w:rPr>
        <w:t>min</w:t>
      </w:r>
      <w:r>
        <w:rPr>
          <w:szCs w:val="22"/>
          <w:lang w:val="lv-LV"/>
        </w:rPr>
        <w:t xml:space="preserve"> līdzsvars tika sasniegts pēc 12 nedēļām, savukārt C</w:t>
      </w:r>
      <w:r>
        <w:rPr>
          <w:szCs w:val="22"/>
          <w:vertAlign w:val="subscript"/>
          <w:lang w:val="lv-LV"/>
        </w:rPr>
        <w:t>max</w:t>
      </w:r>
      <w:r>
        <w:rPr>
          <w:szCs w:val="22"/>
          <w:lang w:val="lv-LV"/>
        </w:rPr>
        <w:t xml:space="preserve"> līdzsvars – pēc 10 nedēļām. </w:t>
      </w:r>
    </w:p>
    <w:bookmarkEnd w:id="751"/>
    <w:p w14:paraId="65CB40B5" w14:textId="77777777" w:rsidR="00A453C3" w:rsidRDefault="00A453C3" w:rsidP="00A453C3">
      <w:pPr>
        <w:rPr>
          <w:szCs w:val="22"/>
          <w:lang w:val="lv-LV"/>
        </w:rPr>
      </w:pPr>
    </w:p>
    <w:p w14:paraId="417E4D00" w14:textId="77777777" w:rsidR="00A453C3" w:rsidRPr="00707120" w:rsidRDefault="00A453C3" w:rsidP="00A453C3">
      <w:pPr>
        <w:keepNext/>
        <w:keepLines/>
        <w:rPr>
          <w:i/>
          <w:iCs/>
          <w:szCs w:val="22"/>
          <w:lang w:val="lv-LV"/>
        </w:rPr>
      </w:pPr>
      <w:r w:rsidRPr="00707120">
        <w:rPr>
          <w:i/>
          <w:iCs/>
          <w:szCs w:val="22"/>
          <w:u w:val="single"/>
          <w:lang w:val="lv-LV"/>
        </w:rPr>
        <w:t>Uzsūkšanās</w:t>
      </w:r>
    </w:p>
    <w:p w14:paraId="255CCC66" w14:textId="263B873E" w:rsidR="00A453C3" w:rsidRDefault="00A453C3" w:rsidP="00707120">
      <w:pPr>
        <w:keepLines/>
        <w:rPr>
          <w:szCs w:val="22"/>
          <w:lang w:val="lv-LV"/>
        </w:rPr>
      </w:pPr>
      <w:r>
        <w:rPr>
          <w:szCs w:val="22"/>
          <w:lang w:val="lv-LV"/>
        </w:rPr>
        <w:t xml:space="preserve">Pēc subkutānas lietošanas RA slimniekiem laiks līdz maksimālai tocilizumaba koncentrācijai serumā bija 2,8 dienas. Subkutāni lietojamās zāļu formas biopieejamība bija 79%. </w:t>
      </w:r>
    </w:p>
    <w:p w14:paraId="741A1EE5" w14:textId="77777777" w:rsidR="00A453C3" w:rsidRDefault="00A453C3" w:rsidP="00A453C3">
      <w:pPr>
        <w:rPr>
          <w:szCs w:val="22"/>
          <w:lang w:val="lv-LV"/>
        </w:rPr>
      </w:pPr>
    </w:p>
    <w:p w14:paraId="29204016" w14:textId="77777777" w:rsidR="00A453C3" w:rsidRPr="00707120" w:rsidRDefault="00A453C3" w:rsidP="00707120">
      <w:pPr>
        <w:keepNext/>
        <w:rPr>
          <w:i/>
          <w:iCs/>
          <w:szCs w:val="22"/>
          <w:lang w:val="lv-LV"/>
        </w:rPr>
      </w:pPr>
      <w:r w:rsidRPr="00707120">
        <w:rPr>
          <w:i/>
          <w:iCs/>
          <w:szCs w:val="22"/>
          <w:u w:val="single"/>
          <w:lang w:val="lv-LV"/>
        </w:rPr>
        <w:t>Eliminācija</w:t>
      </w:r>
    </w:p>
    <w:p w14:paraId="5547606F" w14:textId="4EA28950" w:rsidR="00A453C3" w:rsidRDefault="00A453C3" w:rsidP="00A453C3">
      <w:pPr>
        <w:rPr>
          <w:szCs w:val="22"/>
          <w:lang w:val="lv-LV"/>
        </w:rPr>
      </w:pPr>
      <w:r>
        <w:rPr>
          <w:szCs w:val="22"/>
          <w:lang w:val="lv-LV"/>
        </w:rPr>
        <w:t xml:space="preserve">Subkutānas lietošanas gadījumā pacientiem ar RA, </w:t>
      </w:r>
      <w:ins w:id="763" w:author="Author">
        <w:r w:rsidR="003428EC" w:rsidRPr="006C3D40">
          <w:rPr>
            <w:iCs/>
            <w:szCs w:val="22"/>
            <w:lang w:val="lv-LV"/>
          </w:rPr>
          <w:t>no koncentrācijas atkarīg</w:t>
        </w:r>
        <w:r w:rsidR="003428EC">
          <w:rPr>
            <w:iCs/>
            <w:szCs w:val="22"/>
            <w:lang w:val="lv-LV"/>
          </w:rPr>
          <w:t>ais</w:t>
        </w:r>
        <w:r w:rsidR="003428EC" w:rsidRPr="006C3D40">
          <w:rPr>
            <w:iCs/>
            <w:szCs w:val="22"/>
            <w:lang w:val="lv-LV"/>
          </w:rPr>
          <w:t xml:space="preserve"> šķietam</w:t>
        </w:r>
        <w:r w:rsidR="003428EC">
          <w:rPr>
            <w:iCs/>
            <w:szCs w:val="22"/>
            <w:lang w:val="lv-LV"/>
          </w:rPr>
          <w:t xml:space="preserve">ais līdzsvara </w:t>
        </w:r>
        <w:r w:rsidR="003428EC" w:rsidRPr="00DD7A4F">
          <w:rPr>
            <w:szCs w:val="22"/>
            <w:lang w:val="lv-LV"/>
          </w:rPr>
          <w:t>t</w:t>
        </w:r>
        <w:r w:rsidR="003428EC" w:rsidRPr="00DD7A4F">
          <w:rPr>
            <w:szCs w:val="22"/>
            <w:vertAlign w:val="subscript"/>
            <w:lang w:val="lv-LV"/>
          </w:rPr>
          <w:t>1/2</w:t>
        </w:r>
        <w:r w:rsidR="003428EC" w:rsidRPr="00DD7A4F">
          <w:rPr>
            <w:szCs w:val="22"/>
            <w:lang w:val="lv-LV"/>
          </w:rPr>
          <w:t xml:space="preserve"> ir līdz 1</w:t>
        </w:r>
        <w:r w:rsidR="003428EC">
          <w:rPr>
            <w:szCs w:val="22"/>
            <w:lang w:val="lv-LV"/>
          </w:rPr>
          <w:t>3</w:t>
        </w:r>
        <w:r w:rsidR="003428EC" w:rsidRPr="00DD7A4F">
          <w:rPr>
            <w:szCs w:val="22"/>
            <w:lang w:val="lv-LV"/>
          </w:rPr>
          <w:t> dien</w:t>
        </w:r>
      </w:ins>
      <w:ins w:id="764" w:author="Regulatory LV" w:date="2026-03-17T11:21:00Z">
        <w:r w:rsidR="00E45E04">
          <w:rPr>
            <w:szCs w:val="22"/>
            <w:lang w:val="lv-LV"/>
          </w:rPr>
          <w:t>ām</w:t>
        </w:r>
      </w:ins>
      <w:ins w:id="765" w:author="Author">
        <w:del w:id="766" w:author="Regulatory LV" w:date="2026-03-17T11:22:00Z">
          <w:r w:rsidR="003428EC" w:rsidRPr="00DD7A4F" w:rsidDel="00E45E04">
            <w:rPr>
              <w:szCs w:val="22"/>
              <w:lang w:val="lv-LV"/>
            </w:rPr>
            <w:delText>as</w:delText>
          </w:r>
        </w:del>
        <w:r w:rsidR="003428EC">
          <w:rPr>
            <w:szCs w:val="22"/>
            <w:lang w:val="lv-LV"/>
          </w:rPr>
          <w:t xml:space="preserve">, </w:t>
        </w:r>
      </w:ins>
      <w:r>
        <w:rPr>
          <w:szCs w:val="22"/>
          <w:lang w:val="lv-LV"/>
        </w:rPr>
        <w:t>lietojot 162 mg devu reizi nedēļā, un 5 dienas, lietojot 162 mg devu katru otro nedēļu</w:t>
      </w:r>
      <w:del w:id="767" w:author="Author">
        <w:r w:rsidDel="003428EC">
          <w:rPr>
            <w:szCs w:val="22"/>
            <w:lang w:val="lv-LV"/>
          </w:rPr>
          <w:delText>,</w:delText>
        </w:r>
        <w:r w:rsidRPr="006E7E4F" w:rsidDel="003428EC">
          <w:rPr>
            <w:iCs/>
            <w:szCs w:val="22"/>
            <w:lang w:val="lv-LV"/>
          </w:rPr>
          <w:delText xml:space="preserve"> efektīvais </w:delText>
        </w:r>
        <w:r w:rsidRPr="006E7E4F" w:rsidDel="003428EC">
          <w:rPr>
            <w:lang w:val="lv-LV"/>
          </w:rPr>
          <w:delText>t</w:delText>
        </w:r>
        <w:r w:rsidRPr="006E7E4F" w:rsidDel="003428EC">
          <w:rPr>
            <w:vertAlign w:val="subscript"/>
            <w:lang w:val="lv-LV"/>
          </w:rPr>
          <w:delText>1/2</w:delText>
        </w:r>
        <w:r w:rsidRPr="00390652" w:rsidDel="003428EC">
          <w:rPr>
            <w:vertAlign w:val="subscript"/>
            <w:lang w:val="lv-LV"/>
          </w:rPr>
          <w:delText xml:space="preserve"> </w:delText>
        </w:r>
        <w:r w:rsidRPr="006E7E4F" w:rsidDel="003428EC">
          <w:rPr>
            <w:lang w:val="lv-LV"/>
          </w:rPr>
          <w:delText>ir līdz 13</w:delText>
        </w:r>
        <w:r w:rsidR="007F7850" w:rsidDel="003428EC">
          <w:rPr>
            <w:lang w:val="lv-LV"/>
          </w:rPr>
          <w:delText> </w:delText>
        </w:r>
        <w:r w:rsidRPr="006E7E4F" w:rsidDel="003428EC">
          <w:rPr>
            <w:lang w:val="lv-LV"/>
          </w:rPr>
          <w:delText>dienām</w:delText>
        </w:r>
      </w:del>
      <w:r>
        <w:rPr>
          <w:szCs w:val="22"/>
          <w:lang w:val="lv-LV"/>
        </w:rPr>
        <w:t>.</w:t>
      </w:r>
    </w:p>
    <w:p w14:paraId="2E4B775D" w14:textId="77777777" w:rsidR="00A453C3" w:rsidRDefault="00A453C3" w:rsidP="00A453C3">
      <w:pPr>
        <w:rPr>
          <w:szCs w:val="22"/>
          <w:lang w:val="lv-LV"/>
        </w:rPr>
      </w:pPr>
    </w:p>
    <w:p w14:paraId="35BC9C0A" w14:textId="77777777" w:rsidR="00903A29" w:rsidRPr="002007A3" w:rsidRDefault="00903A29" w:rsidP="00903A29">
      <w:pPr>
        <w:keepNext/>
        <w:keepLines/>
        <w:numPr>
          <w:ilvl w:val="12"/>
          <w:numId w:val="0"/>
        </w:numPr>
        <w:rPr>
          <w:moveTo w:id="768" w:author="Author"/>
          <w:iCs/>
          <w:u w:val="single"/>
          <w:lang w:val="lv-LV"/>
          <w:rPrChange w:id="769" w:author="Author">
            <w:rPr>
              <w:moveTo w:id="770" w:author="Author"/>
              <w:iCs/>
              <w:lang w:val="lv-LV"/>
            </w:rPr>
          </w:rPrChange>
        </w:rPr>
      </w:pPr>
      <w:moveToRangeStart w:id="771" w:author="Author" w:name="move205280585"/>
      <w:moveTo w:id="772" w:author="Author">
        <w:r w:rsidRPr="002007A3">
          <w:rPr>
            <w:iCs/>
            <w:u w:val="single"/>
            <w:lang w:val="lv-LV"/>
            <w:rPrChange w:id="773" w:author="Author">
              <w:rPr>
                <w:iCs/>
                <w:lang w:val="lv-LV"/>
              </w:rPr>
            </w:rPrChange>
          </w:rPr>
          <w:t>Subkutāna lietošana</w:t>
        </w:r>
      </w:moveTo>
    </w:p>
    <w:moveToRangeEnd w:id="771"/>
    <w:p w14:paraId="202EF9FD" w14:textId="2C1233D8" w:rsidR="00A453C3" w:rsidRPr="00F82186" w:rsidRDefault="00A453C3" w:rsidP="00A453C3">
      <w:pPr>
        <w:keepNext/>
        <w:keepLines/>
        <w:numPr>
          <w:ilvl w:val="12"/>
          <w:numId w:val="0"/>
        </w:numPr>
        <w:rPr>
          <w:i/>
          <w:iCs/>
          <w:lang w:val="lv-LV"/>
          <w:rPrChange w:id="774" w:author="Author">
            <w:rPr>
              <w:iCs/>
              <w:u w:val="single"/>
              <w:lang w:val="lv-LV"/>
            </w:rPr>
          </w:rPrChange>
        </w:rPr>
      </w:pPr>
      <w:r w:rsidRPr="00F82186">
        <w:rPr>
          <w:i/>
          <w:lang w:val="lv-LV"/>
          <w:rPrChange w:id="775" w:author="Author">
            <w:rPr>
              <w:u w:val="single"/>
              <w:lang w:val="lv-LV"/>
            </w:rPr>
          </w:rPrChange>
        </w:rPr>
        <w:t>Pacienti ar sJIA</w:t>
      </w:r>
    </w:p>
    <w:p w14:paraId="2AA2817A" w14:textId="77777777" w:rsidR="00903A29" w:rsidRDefault="00903A29" w:rsidP="00A453C3">
      <w:pPr>
        <w:keepNext/>
        <w:keepLines/>
        <w:numPr>
          <w:ilvl w:val="12"/>
          <w:numId w:val="0"/>
        </w:numPr>
        <w:rPr>
          <w:ins w:id="776" w:author="Author"/>
          <w:iCs/>
          <w:lang w:val="lv-LV"/>
        </w:rPr>
      </w:pPr>
    </w:p>
    <w:p w14:paraId="45391229" w14:textId="539C34CD" w:rsidR="00A453C3" w:rsidRPr="00DD58C9" w:rsidDel="00903A29" w:rsidRDefault="00A453C3" w:rsidP="00A453C3">
      <w:pPr>
        <w:keepNext/>
        <w:keepLines/>
        <w:numPr>
          <w:ilvl w:val="12"/>
          <w:numId w:val="0"/>
        </w:numPr>
        <w:rPr>
          <w:moveFrom w:id="777" w:author="Author"/>
          <w:iCs/>
          <w:lang w:val="lv-LV"/>
          <w:rPrChange w:id="778" w:author="Author">
            <w:rPr>
              <w:moveFrom w:id="779" w:author="Author"/>
              <w:i/>
              <w:iCs/>
              <w:lang w:val="lv-LV"/>
            </w:rPr>
          </w:rPrChange>
        </w:rPr>
      </w:pPr>
      <w:moveFromRangeStart w:id="780" w:author="Author" w:name="move205280585"/>
      <w:moveFrom w:id="781" w:author="Author">
        <w:r w:rsidRPr="00DD58C9" w:rsidDel="00903A29">
          <w:rPr>
            <w:iCs/>
            <w:lang w:val="lv-LV"/>
            <w:rPrChange w:id="782" w:author="Author">
              <w:rPr>
                <w:i/>
                <w:iCs/>
                <w:lang w:val="lv-LV"/>
              </w:rPr>
            </w:rPrChange>
          </w:rPr>
          <w:t>Subkutāna lietošana</w:t>
        </w:r>
      </w:moveFrom>
    </w:p>
    <w:p w14:paraId="397A9206" w14:textId="042A5600" w:rsidR="00A453C3" w:rsidRPr="009C5994" w:rsidRDefault="00A453C3" w:rsidP="00A453C3">
      <w:pPr>
        <w:numPr>
          <w:ilvl w:val="12"/>
          <w:numId w:val="0"/>
        </w:numPr>
        <w:ind w:right="-2"/>
        <w:rPr>
          <w:iCs/>
          <w:lang w:val="lv-LV"/>
        </w:rPr>
      </w:pPr>
      <w:bookmarkStart w:id="783" w:name="_Hlk174613129"/>
      <w:moveFromRangeEnd w:id="780"/>
      <w:r>
        <w:rPr>
          <w:lang w:val="lv-LV"/>
        </w:rPr>
        <w:t>Tocilizumaba</w:t>
      </w:r>
      <w:r w:rsidRPr="009C5994">
        <w:rPr>
          <w:lang w:val="lv-LV"/>
        </w:rPr>
        <w:t xml:space="preserve"> farmakokinētika pacientiem ar sJIA raksturota populācijas farmakokinētikas analīzē, kurā piedalījās 140</w:t>
      </w:r>
      <w:r>
        <w:rPr>
          <w:lang w:val="lv-LV"/>
        </w:rPr>
        <w:t> </w:t>
      </w:r>
      <w:r w:rsidRPr="009C5994">
        <w:rPr>
          <w:lang w:val="lv-LV"/>
        </w:rPr>
        <w:t xml:space="preserve">pacienti, kuri saņēma 8 mg/kg </w:t>
      </w:r>
      <w:r>
        <w:rPr>
          <w:lang w:val="lv-LV"/>
        </w:rPr>
        <w:t>devu intravenozi</w:t>
      </w:r>
      <w:r w:rsidRPr="009C5994">
        <w:rPr>
          <w:lang w:val="lv-LV"/>
        </w:rPr>
        <w:t xml:space="preserve"> ik pēc 2 nedēļām (pacienti ar ķermeņa masu ≥</w:t>
      </w:r>
      <w:r>
        <w:rPr>
          <w:lang w:val="lv-LV"/>
        </w:rPr>
        <w:t> </w:t>
      </w:r>
      <w:r w:rsidRPr="009C5994">
        <w:rPr>
          <w:lang w:val="lv-LV"/>
        </w:rPr>
        <w:t xml:space="preserve">30 kg), 12 mg/kg </w:t>
      </w:r>
      <w:r>
        <w:rPr>
          <w:lang w:val="lv-LV"/>
        </w:rPr>
        <w:t xml:space="preserve">devu intravenozi </w:t>
      </w:r>
      <w:r w:rsidRPr="009C5994">
        <w:rPr>
          <w:lang w:val="lv-LV"/>
        </w:rPr>
        <w:t>ik pēc 2</w:t>
      </w:r>
      <w:r>
        <w:rPr>
          <w:lang w:val="lv-LV"/>
        </w:rPr>
        <w:t> </w:t>
      </w:r>
      <w:r w:rsidRPr="009C5994">
        <w:rPr>
          <w:lang w:val="lv-LV"/>
        </w:rPr>
        <w:t xml:space="preserve">nedēļām (pacienti ar ķermeņa masu zem 30 kg), 162 mg </w:t>
      </w:r>
      <w:r>
        <w:rPr>
          <w:lang w:val="lv-LV"/>
        </w:rPr>
        <w:t>devu subkutāni</w:t>
      </w:r>
      <w:r w:rsidRPr="009C5994">
        <w:rPr>
          <w:lang w:val="lv-LV"/>
        </w:rPr>
        <w:t xml:space="preserve"> katru nedēļu (pacienti ar ķermeņa masu ≥</w:t>
      </w:r>
      <w:r>
        <w:rPr>
          <w:lang w:val="lv-LV"/>
        </w:rPr>
        <w:t> </w:t>
      </w:r>
      <w:r w:rsidRPr="009C5994">
        <w:rPr>
          <w:lang w:val="lv-LV"/>
        </w:rPr>
        <w:t xml:space="preserve">30 kg) vai 162 mg </w:t>
      </w:r>
      <w:r>
        <w:rPr>
          <w:lang w:val="lv-LV"/>
        </w:rPr>
        <w:t xml:space="preserve">devu subkutāni </w:t>
      </w:r>
      <w:r w:rsidRPr="009C5994">
        <w:rPr>
          <w:lang w:val="lv-LV"/>
        </w:rPr>
        <w:t xml:space="preserve">ik pēc </w:t>
      </w:r>
      <w:r>
        <w:rPr>
          <w:lang w:val="lv-LV"/>
        </w:rPr>
        <w:t xml:space="preserve">10 dienām vai ik pēc </w:t>
      </w:r>
      <w:r w:rsidRPr="009C5994">
        <w:rPr>
          <w:lang w:val="lv-LV"/>
        </w:rPr>
        <w:t>2</w:t>
      </w:r>
      <w:r>
        <w:rPr>
          <w:lang w:val="lv-LV"/>
        </w:rPr>
        <w:t> </w:t>
      </w:r>
      <w:r w:rsidRPr="009C5994">
        <w:rPr>
          <w:lang w:val="lv-LV"/>
        </w:rPr>
        <w:t>nedēļām (pacienti ar ķermeņa masu zem 30 kg)</w:t>
      </w:r>
      <w:r>
        <w:rPr>
          <w:lang w:val="lv-LV"/>
        </w:rPr>
        <w:t>.</w:t>
      </w:r>
      <w:r w:rsidRPr="009C5994">
        <w:rPr>
          <w:lang w:val="lv-LV"/>
        </w:rPr>
        <w:t xml:space="preserve"> </w:t>
      </w:r>
    </w:p>
    <w:bookmarkEnd w:id="783"/>
    <w:p w14:paraId="2E40D5EF" w14:textId="77777777" w:rsidR="00A453C3" w:rsidRPr="009C5994" w:rsidRDefault="00A453C3" w:rsidP="00A453C3">
      <w:pPr>
        <w:numPr>
          <w:ilvl w:val="12"/>
          <w:numId w:val="0"/>
        </w:numPr>
        <w:ind w:right="-2"/>
        <w:rPr>
          <w:iCs/>
          <w:lang w:val="lv-LV"/>
        </w:rPr>
      </w:pPr>
    </w:p>
    <w:p w14:paraId="085BFEEE" w14:textId="49E9C4A6" w:rsidR="00A453C3" w:rsidRDefault="00A453C3" w:rsidP="00A453C3">
      <w:pPr>
        <w:numPr>
          <w:ilvl w:val="12"/>
          <w:numId w:val="0"/>
        </w:numPr>
        <w:ind w:right="-2"/>
        <w:rPr>
          <w:lang w:val="lv-LV"/>
        </w:rPr>
      </w:pPr>
      <w:r w:rsidRPr="009C5994">
        <w:rPr>
          <w:lang w:val="lv-LV"/>
        </w:rPr>
        <w:t xml:space="preserve">Pieejami ierobežoti dati par </w:t>
      </w:r>
      <w:r>
        <w:rPr>
          <w:lang w:val="lv-LV"/>
        </w:rPr>
        <w:t>iedarbību</w:t>
      </w:r>
      <w:r w:rsidRPr="009C5994">
        <w:rPr>
          <w:lang w:val="lv-LV"/>
        </w:rPr>
        <w:t xml:space="preserve"> pēc </w:t>
      </w:r>
      <w:r>
        <w:rPr>
          <w:lang w:val="lv-LV"/>
        </w:rPr>
        <w:t>tocilizumaba</w:t>
      </w:r>
      <w:r w:rsidRPr="009C5994">
        <w:rPr>
          <w:lang w:val="lv-LV"/>
        </w:rPr>
        <w:t xml:space="preserve"> subkutānas ievadīšanas pacientiem ar sJIA, kuri bija jaunāki par 2</w:t>
      </w:r>
      <w:r>
        <w:rPr>
          <w:lang w:val="lv-LV"/>
        </w:rPr>
        <w:t> </w:t>
      </w:r>
      <w:r w:rsidRPr="009C5994">
        <w:rPr>
          <w:lang w:val="lv-LV"/>
        </w:rPr>
        <w:t xml:space="preserve">gadiem un kuru ķermeņa masa bija mazāka par 10 kg. </w:t>
      </w:r>
    </w:p>
    <w:p w14:paraId="4C4FA06A" w14:textId="5F672929" w:rsidR="00A453C3" w:rsidRPr="009C5994" w:rsidRDefault="00A453C3" w:rsidP="00A453C3">
      <w:pPr>
        <w:numPr>
          <w:ilvl w:val="12"/>
          <w:numId w:val="0"/>
        </w:numPr>
        <w:ind w:right="-2"/>
        <w:rPr>
          <w:iCs/>
          <w:lang w:val="lv-LV"/>
        </w:rPr>
      </w:pPr>
      <w:r w:rsidRPr="009C5994">
        <w:rPr>
          <w:lang w:val="lv-LV"/>
        </w:rPr>
        <w:t>Pacient</w:t>
      </w:r>
      <w:r>
        <w:rPr>
          <w:lang w:val="lv-LV"/>
        </w:rPr>
        <w:t>u ar sJIA</w:t>
      </w:r>
      <w:r w:rsidRPr="009C5994">
        <w:rPr>
          <w:lang w:val="lv-LV"/>
        </w:rPr>
        <w:t xml:space="preserve"> ķermeņa masai </w:t>
      </w:r>
      <w:r>
        <w:rPr>
          <w:lang w:val="lv-LV"/>
        </w:rPr>
        <w:t>tocilizumaba</w:t>
      </w:r>
      <w:r w:rsidRPr="009C5994">
        <w:rPr>
          <w:lang w:val="lv-LV"/>
        </w:rPr>
        <w:t xml:space="preserve"> </w:t>
      </w:r>
      <w:r>
        <w:rPr>
          <w:lang w:val="lv-LV"/>
        </w:rPr>
        <w:t>lietošanas</w:t>
      </w:r>
      <w:r w:rsidRPr="009C5994">
        <w:rPr>
          <w:lang w:val="lv-LV"/>
        </w:rPr>
        <w:t xml:space="preserve"> laikā jābūt vismaz 10 kg (skatīt 4.2.</w:t>
      </w:r>
      <w:r>
        <w:rPr>
          <w:lang w:val="lv-LV"/>
        </w:rPr>
        <w:t> </w:t>
      </w:r>
      <w:r w:rsidRPr="009C5994">
        <w:rPr>
          <w:lang w:val="lv-LV"/>
        </w:rPr>
        <w:t xml:space="preserve">apakšpunktu). </w:t>
      </w:r>
    </w:p>
    <w:p w14:paraId="25C9E5F1" w14:textId="77777777" w:rsidR="00A453C3" w:rsidRPr="009C5994" w:rsidRDefault="00A453C3" w:rsidP="00A453C3">
      <w:pPr>
        <w:numPr>
          <w:ilvl w:val="12"/>
          <w:numId w:val="0"/>
        </w:numPr>
        <w:ind w:right="-2"/>
        <w:rPr>
          <w:iCs/>
          <w:lang w:val="lv-LV"/>
        </w:rPr>
      </w:pPr>
    </w:p>
    <w:p w14:paraId="4D870373" w14:textId="0941D878" w:rsidR="00A453C3" w:rsidRDefault="00A453C3" w:rsidP="00A453C3">
      <w:pPr>
        <w:keepNext/>
        <w:keepLines/>
        <w:numPr>
          <w:ilvl w:val="12"/>
          <w:numId w:val="0"/>
        </w:numPr>
        <w:ind w:right="-2"/>
        <w:rPr>
          <w:i/>
          <w:lang w:val="lv-LV"/>
        </w:rPr>
      </w:pPr>
      <w:r w:rsidRPr="009C5994">
        <w:rPr>
          <w:i/>
          <w:lang w:val="lv-LV"/>
        </w:rPr>
        <w:t>8.</w:t>
      </w:r>
      <w:r>
        <w:rPr>
          <w:i/>
          <w:lang w:val="lv-LV"/>
        </w:rPr>
        <w:t> </w:t>
      </w:r>
      <w:r w:rsidRPr="009C5994">
        <w:rPr>
          <w:i/>
          <w:lang w:val="lv-LV"/>
        </w:rPr>
        <w:t xml:space="preserve">tabula. FK </w:t>
      </w:r>
      <w:r>
        <w:rPr>
          <w:i/>
          <w:lang w:val="lv-LV"/>
        </w:rPr>
        <w:t>rādītāju</w:t>
      </w:r>
      <w:r w:rsidRPr="009C5994">
        <w:rPr>
          <w:i/>
          <w:lang w:val="lv-LV"/>
        </w:rPr>
        <w:t xml:space="preserve"> prognozētās vidējās vērtības ±</w:t>
      </w:r>
      <w:r>
        <w:rPr>
          <w:i/>
          <w:lang w:val="lv-LV"/>
        </w:rPr>
        <w:t> </w:t>
      </w:r>
      <w:r w:rsidRPr="009C5994">
        <w:rPr>
          <w:i/>
          <w:lang w:val="lv-LV"/>
        </w:rPr>
        <w:t xml:space="preserve">SN līdzsvara </w:t>
      </w:r>
      <w:ins w:id="784" w:author="Regulatory LV" w:date="2026-03-17T11:43:00Z">
        <w:r w:rsidR="00B00D37">
          <w:rPr>
            <w:i/>
            <w:lang w:val="lv-LV"/>
          </w:rPr>
          <w:t xml:space="preserve">koncentrācijas </w:t>
        </w:r>
      </w:ins>
      <w:r w:rsidRPr="009C5994">
        <w:rPr>
          <w:i/>
          <w:lang w:val="lv-LV"/>
        </w:rPr>
        <w:t xml:space="preserve">stāvoklī pēc </w:t>
      </w:r>
      <w:r>
        <w:rPr>
          <w:i/>
          <w:lang w:val="lv-LV"/>
        </w:rPr>
        <w:t>subkutānas</w:t>
      </w:r>
      <w:r w:rsidRPr="009C5994">
        <w:rPr>
          <w:i/>
          <w:lang w:val="lv-LV"/>
        </w:rPr>
        <w:t xml:space="preserve"> ievadīšanas pacientiem ar sJIA</w:t>
      </w:r>
    </w:p>
    <w:p w14:paraId="4F9C35C2" w14:textId="77777777" w:rsidR="00A453C3" w:rsidRPr="009C5994" w:rsidRDefault="00A453C3" w:rsidP="00A453C3">
      <w:pPr>
        <w:keepNext/>
        <w:keepLines/>
        <w:numPr>
          <w:ilvl w:val="12"/>
          <w:numId w:val="0"/>
        </w:numPr>
        <w:ind w:right="-2"/>
        <w:rPr>
          <w:bCs/>
          <w:i/>
          <w:lang w:val="lv-LV"/>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4"/>
        <w:gridCol w:w="2923"/>
        <w:gridCol w:w="3255"/>
      </w:tblGrid>
      <w:tr w:rsidR="00A453C3" w:rsidRPr="00FB280D" w14:paraId="502EF0B5" w14:textId="77777777" w:rsidTr="00707120">
        <w:trPr>
          <w:cantSplit/>
          <w:trHeight w:val="452"/>
        </w:trPr>
        <w:tc>
          <w:tcPr>
            <w:tcW w:w="2894" w:type="dxa"/>
            <w:tcBorders>
              <w:top w:val="single" w:sz="4" w:space="0" w:color="auto"/>
              <w:left w:val="single" w:sz="4" w:space="0" w:color="auto"/>
              <w:bottom w:val="single" w:sz="4" w:space="0" w:color="auto"/>
              <w:right w:val="single" w:sz="4" w:space="0" w:color="auto"/>
            </w:tcBorders>
            <w:hideMark/>
          </w:tcPr>
          <w:p w14:paraId="36C72B4B" w14:textId="50832AAD" w:rsidR="00A453C3" w:rsidRPr="00707120" w:rsidRDefault="00A453C3" w:rsidP="0067693D">
            <w:pPr>
              <w:pStyle w:val="TextTi9"/>
              <w:keepNext/>
              <w:spacing w:after="0"/>
              <w:rPr>
                <w:rFonts w:ascii="Times New Roman" w:hAnsi="Times New Roman"/>
                <w:sz w:val="22"/>
              </w:rPr>
            </w:pPr>
            <w:r w:rsidRPr="00707120">
              <w:rPr>
                <w:rFonts w:ascii="Times New Roman" w:hAnsi="Times New Roman"/>
                <w:b/>
                <w:sz w:val="22"/>
              </w:rPr>
              <w:t>Tocilizumaba FK rādītājs</w:t>
            </w:r>
          </w:p>
        </w:tc>
        <w:tc>
          <w:tcPr>
            <w:tcW w:w="2923" w:type="dxa"/>
            <w:tcBorders>
              <w:top w:val="single" w:sz="4" w:space="0" w:color="auto"/>
              <w:left w:val="single" w:sz="4" w:space="0" w:color="auto"/>
              <w:bottom w:val="single" w:sz="4" w:space="0" w:color="auto"/>
              <w:right w:val="single" w:sz="4" w:space="0" w:color="auto"/>
            </w:tcBorders>
            <w:hideMark/>
          </w:tcPr>
          <w:p w14:paraId="11D4B198" w14:textId="24B1593A" w:rsidR="00A453C3" w:rsidRPr="00707120" w:rsidRDefault="00A453C3" w:rsidP="0067693D">
            <w:pPr>
              <w:pStyle w:val="TextTi9"/>
              <w:keepNext/>
              <w:spacing w:after="0"/>
              <w:jc w:val="center"/>
              <w:rPr>
                <w:rFonts w:ascii="Times New Roman" w:hAnsi="Times New Roman"/>
                <w:b/>
                <w:sz w:val="22"/>
              </w:rPr>
            </w:pPr>
            <w:r w:rsidRPr="00707120">
              <w:rPr>
                <w:rFonts w:ascii="Times New Roman" w:hAnsi="Times New Roman"/>
                <w:b/>
                <w:sz w:val="22"/>
              </w:rPr>
              <w:t>162 mg QW</w:t>
            </w:r>
            <w:ins w:id="785" w:author="Author">
              <w:r w:rsidR="00711599">
                <w:rPr>
                  <w:rFonts w:ascii="Times New Roman" w:hAnsi="Times New Roman"/>
                  <w:b/>
                  <w:sz w:val="22"/>
                </w:rPr>
                <w:t> </w:t>
              </w:r>
            </w:ins>
            <w:del w:id="786" w:author="Author">
              <w:r w:rsidRPr="00707120" w:rsidDel="00711599">
                <w:rPr>
                  <w:rFonts w:ascii="Times New Roman" w:hAnsi="Times New Roman"/>
                  <w:b/>
                  <w:sz w:val="22"/>
                </w:rPr>
                <w:delText xml:space="preserve"> </w:delText>
              </w:r>
            </w:del>
            <w:r w:rsidRPr="00707120">
              <w:rPr>
                <w:rFonts w:ascii="Times New Roman" w:hAnsi="Times New Roman"/>
                <w:b/>
                <w:sz w:val="22"/>
              </w:rPr>
              <w:t>≥ 30 kg</w:t>
            </w:r>
          </w:p>
        </w:tc>
        <w:tc>
          <w:tcPr>
            <w:tcW w:w="3255" w:type="dxa"/>
            <w:tcBorders>
              <w:top w:val="single" w:sz="4" w:space="0" w:color="auto"/>
              <w:left w:val="single" w:sz="4" w:space="0" w:color="auto"/>
              <w:bottom w:val="single" w:sz="4" w:space="0" w:color="auto"/>
              <w:right w:val="single" w:sz="4" w:space="0" w:color="auto"/>
            </w:tcBorders>
            <w:hideMark/>
          </w:tcPr>
          <w:p w14:paraId="27ADC36D" w14:textId="06180AC2" w:rsidR="00A453C3" w:rsidRPr="00707120" w:rsidRDefault="00A453C3" w:rsidP="0067693D">
            <w:pPr>
              <w:pStyle w:val="TextTi9"/>
              <w:keepNext/>
              <w:spacing w:after="0"/>
              <w:jc w:val="center"/>
              <w:rPr>
                <w:rFonts w:ascii="Times New Roman" w:hAnsi="Times New Roman"/>
                <w:b/>
                <w:sz w:val="22"/>
              </w:rPr>
            </w:pPr>
            <w:r w:rsidRPr="00707120">
              <w:rPr>
                <w:rFonts w:ascii="Times New Roman" w:hAnsi="Times New Roman"/>
                <w:b/>
                <w:sz w:val="22"/>
              </w:rPr>
              <w:t>162 mg Q2W zem 30 kg</w:t>
            </w:r>
          </w:p>
        </w:tc>
      </w:tr>
      <w:tr w:rsidR="00A453C3" w:rsidRPr="00FB280D" w14:paraId="061BA721" w14:textId="77777777" w:rsidTr="00707120">
        <w:trPr>
          <w:cantSplit/>
          <w:trHeight w:val="195"/>
        </w:trPr>
        <w:tc>
          <w:tcPr>
            <w:tcW w:w="2894" w:type="dxa"/>
            <w:tcBorders>
              <w:top w:val="single" w:sz="4" w:space="0" w:color="auto"/>
              <w:left w:val="single" w:sz="4" w:space="0" w:color="auto"/>
              <w:bottom w:val="single" w:sz="4" w:space="0" w:color="auto"/>
              <w:right w:val="single" w:sz="4" w:space="0" w:color="auto"/>
            </w:tcBorders>
            <w:hideMark/>
          </w:tcPr>
          <w:p w14:paraId="33D52DDD" w14:textId="45D68731" w:rsidR="00A453C3" w:rsidRPr="00707120" w:rsidRDefault="00A453C3" w:rsidP="0067693D">
            <w:pPr>
              <w:pStyle w:val="TextTi9"/>
              <w:keepNext/>
              <w:spacing w:after="0"/>
              <w:rPr>
                <w:rFonts w:ascii="Times New Roman" w:hAnsi="Times New Roman"/>
                <w:sz w:val="22"/>
              </w:rPr>
            </w:pPr>
            <w:r w:rsidRPr="00707120">
              <w:rPr>
                <w:rFonts w:ascii="Times New Roman" w:hAnsi="Times New Roman"/>
                <w:sz w:val="22"/>
              </w:rPr>
              <w:t>C</w:t>
            </w:r>
            <w:r w:rsidRPr="00707120">
              <w:rPr>
                <w:rFonts w:ascii="Times New Roman" w:hAnsi="Times New Roman"/>
                <w:sz w:val="22"/>
                <w:vertAlign w:val="subscript"/>
              </w:rPr>
              <w:t>maks.</w:t>
            </w:r>
            <w:r w:rsidRPr="00707120">
              <w:rPr>
                <w:rFonts w:ascii="Times New Roman" w:hAnsi="Times New Roman"/>
                <w:sz w:val="22"/>
              </w:rPr>
              <w:t xml:space="preserve"> (µg/ml)</w:t>
            </w:r>
          </w:p>
        </w:tc>
        <w:tc>
          <w:tcPr>
            <w:tcW w:w="2923" w:type="dxa"/>
            <w:tcBorders>
              <w:top w:val="single" w:sz="4" w:space="0" w:color="auto"/>
              <w:left w:val="single" w:sz="4" w:space="0" w:color="auto"/>
              <w:bottom w:val="single" w:sz="4" w:space="0" w:color="auto"/>
              <w:right w:val="single" w:sz="4" w:space="0" w:color="auto"/>
            </w:tcBorders>
            <w:hideMark/>
          </w:tcPr>
          <w:p w14:paraId="144D5686" w14:textId="11728056" w:rsidR="00A453C3" w:rsidRPr="00707120" w:rsidRDefault="00A453C3" w:rsidP="0067693D">
            <w:pPr>
              <w:pStyle w:val="TextTi9"/>
              <w:keepNext/>
              <w:spacing w:after="0"/>
              <w:jc w:val="center"/>
              <w:rPr>
                <w:rFonts w:ascii="Times New Roman" w:hAnsi="Times New Roman"/>
                <w:sz w:val="22"/>
              </w:rPr>
            </w:pPr>
            <w:r w:rsidRPr="00707120">
              <w:rPr>
                <w:rFonts w:ascii="Times New Roman" w:hAnsi="Times New Roman"/>
                <w:sz w:val="22"/>
              </w:rPr>
              <w:t>99,8</w:t>
            </w:r>
            <w:ins w:id="787" w:author="Author">
              <w:r w:rsidR="00711599">
                <w:rPr>
                  <w:rFonts w:ascii="Times New Roman" w:hAnsi="Times New Roman"/>
                  <w:sz w:val="22"/>
                </w:rPr>
                <w:t> </w:t>
              </w:r>
            </w:ins>
            <w:del w:id="788" w:author="Author">
              <w:r w:rsidRPr="00707120" w:rsidDel="00711599">
                <w:rPr>
                  <w:rFonts w:ascii="Times New Roman" w:hAnsi="Times New Roman"/>
                  <w:sz w:val="22"/>
                </w:rPr>
                <w:delText xml:space="preserve"> </w:delText>
              </w:r>
            </w:del>
            <w:r w:rsidRPr="00707120">
              <w:rPr>
                <w:rFonts w:ascii="Times New Roman" w:hAnsi="Times New Roman"/>
                <w:sz w:val="22"/>
              </w:rPr>
              <w:t>±</w:t>
            </w:r>
            <w:ins w:id="789" w:author="Author">
              <w:r w:rsidR="00711599">
                <w:rPr>
                  <w:rFonts w:ascii="Times New Roman" w:hAnsi="Times New Roman"/>
                  <w:sz w:val="22"/>
                </w:rPr>
                <w:t> </w:t>
              </w:r>
            </w:ins>
            <w:del w:id="790" w:author="Author">
              <w:r w:rsidRPr="00707120" w:rsidDel="00711599">
                <w:rPr>
                  <w:rFonts w:ascii="Times New Roman" w:hAnsi="Times New Roman"/>
                  <w:sz w:val="22"/>
                </w:rPr>
                <w:delText xml:space="preserve"> </w:delText>
              </w:r>
            </w:del>
            <w:r w:rsidRPr="00707120">
              <w:rPr>
                <w:rFonts w:ascii="Times New Roman" w:hAnsi="Times New Roman"/>
                <w:sz w:val="22"/>
              </w:rPr>
              <w:t>46,2</w:t>
            </w:r>
          </w:p>
        </w:tc>
        <w:tc>
          <w:tcPr>
            <w:tcW w:w="3255" w:type="dxa"/>
            <w:tcBorders>
              <w:top w:val="single" w:sz="4" w:space="0" w:color="auto"/>
              <w:left w:val="single" w:sz="4" w:space="0" w:color="auto"/>
              <w:bottom w:val="single" w:sz="4" w:space="0" w:color="auto"/>
              <w:right w:val="single" w:sz="4" w:space="0" w:color="auto"/>
            </w:tcBorders>
            <w:hideMark/>
          </w:tcPr>
          <w:p w14:paraId="75FD00FB" w14:textId="29844EC4" w:rsidR="00A453C3" w:rsidRPr="00707120" w:rsidRDefault="00A453C3" w:rsidP="0067693D">
            <w:pPr>
              <w:pStyle w:val="TextTi9"/>
              <w:keepNext/>
              <w:spacing w:after="0"/>
              <w:jc w:val="center"/>
              <w:rPr>
                <w:rFonts w:ascii="Times New Roman" w:hAnsi="Times New Roman"/>
                <w:sz w:val="22"/>
              </w:rPr>
            </w:pPr>
            <w:r w:rsidRPr="00707120">
              <w:rPr>
                <w:rFonts w:ascii="Times New Roman" w:hAnsi="Times New Roman"/>
                <w:sz w:val="22"/>
              </w:rPr>
              <w:t>134</w:t>
            </w:r>
            <w:ins w:id="791" w:author="Author">
              <w:r w:rsidR="00711599">
                <w:rPr>
                  <w:rFonts w:ascii="Times New Roman" w:hAnsi="Times New Roman"/>
                  <w:sz w:val="22"/>
                </w:rPr>
                <w:t> </w:t>
              </w:r>
            </w:ins>
            <w:del w:id="792" w:author="Author">
              <w:r w:rsidRPr="00707120" w:rsidDel="00711599">
                <w:rPr>
                  <w:rFonts w:ascii="Times New Roman" w:hAnsi="Times New Roman"/>
                  <w:sz w:val="22"/>
                </w:rPr>
                <w:delText xml:space="preserve"> </w:delText>
              </w:r>
            </w:del>
            <w:r w:rsidRPr="00707120">
              <w:rPr>
                <w:rFonts w:ascii="Times New Roman" w:hAnsi="Times New Roman"/>
                <w:sz w:val="22"/>
              </w:rPr>
              <w:t>±</w:t>
            </w:r>
            <w:ins w:id="793" w:author="Author">
              <w:r w:rsidR="00711599">
                <w:rPr>
                  <w:rFonts w:ascii="Times New Roman" w:hAnsi="Times New Roman"/>
                  <w:sz w:val="22"/>
                </w:rPr>
                <w:t> </w:t>
              </w:r>
            </w:ins>
            <w:del w:id="794" w:author="Author">
              <w:r w:rsidRPr="00707120" w:rsidDel="00711599">
                <w:rPr>
                  <w:rFonts w:ascii="Times New Roman" w:hAnsi="Times New Roman"/>
                  <w:sz w:val="22"/>
                </w:rPr>
                <w:delText xml:space="preserve"> </w:delText>
              </w:r>
            </w:del>
            <w:r w:rsidRPr="00707120">
              <w:rPr>
                <w:rFonts w:ascii="Times New Roman" w:hAnsi="Times New Roman"/>
                <w:sz w:val="22"/>
              </w:rPr>
              <w:t>58,6</w:t>
            </w:r>
          </w:p>
        </w:tc>
      </w:tr>
      <w:tr w:rsidR="00A453C3" w:rsidRPr="00FB280D" w14:paraId="400C4FB2" w14:textId="77777777" w:rsidTr="00707120">
        <w:trPr>
          <w:cantSplit/>
          <w:trHeight w:val="195"/>
        </w:trPr>
        <w:tc>
          <w:tcPr>
            <w:tcW w:w="2894" w:type="dxa"/>
            <w:tcBorders>
              <w:top w:val="single" w:sz="4" w:space="0" w:color="auto"/>
              <w:left w:val="single" w:sz="4" w:space="0" w:color="auto"/>
              <w:bottom w:val="single" w:sz="4" w:space="0" w:color="auto"/>
              <w:right w:val="single" w:sz="4" w:space="0" w:color="auto"/>
            </w:tcBorders>
            <w:hideMark/>
          </w:tcPr>
          <w:p w14:paraId="6DE75FE6" w14:textId="63615691" w:rsidR="00A453C3" w:rsidRPr="00707120" w:rsidRDefault="00A453C3" w:rsidP="0067693D">
            <w:pPr>
              <w:pStyle w:val="TextTi9"/>
              <w:keepNext/>
              <w:spacing w:after="0"/>
              <w:rPr>
                <w:rFonts w:ascii="Times New Roman" w:hAnsi="Times New Roman"/>
                <w:sz w:val="22"/>
              </w:rPr>
            </w:pPr>
            <w:r w:rsidRPr="00707120">
              <w:rPr>
                <w:rFonts w:ascii="Times New Roman" w:hAnsi="Times New Roman"/>
                <w:sz w:val="22"/>
              </w:rPr>
              <w:t>C</w:t>
            </w:r>
            <w:r w:rsidRPr="00707120">
              <w:rPr>
                <w:rFonts w:ascii="Times New Roman" w:hAnsi="Times New Roman"/>
                <w:sz w:val="22"/>
                <w:vertAlign w:val="subscript"/>
              </w:rPr>
              <w:t>min</w:t>
            </w:r>
            <w:r w:rsidRPr="00707120">
              <w:rPr>
                <w:rFonts w:ascii="Times New Roman" w:hAnsi="Times New Roman"/>
                <w:sz w:val="22"/>
              </w:rPr>
              <w:t xml:space="preserve"> (µg/ml)</w:t>
            </w:r>
          </w:p>
        </w:tc>
        <w:tc>
          <w:tcPr>
            <w:tcW w:w="2923" w:type="dxa"/>
            <w:tcBorders>
              <w:top w:val="single" w:sz="4" w:space="0" w:color="auto"/>
              <w:left w:val="single" w:sz="4" w:space="0" w:color="auto"/>
              <w:bottom w:val="single" w:sz="4" w:space="0" w:color="auto"/>
              <w:right w:val="single" w:sz="4" w:space="0" w:color="auto"/>
            </w:tcBorders>
            <w:hideMark/>
          </w:tcPr>
          <w:p w14:paraId="6056DC42" w14:textId="47F71BC0" w:rsidR="00A453C3" w:rsidRPr="00707120" w:rsidRDefault="00A453C3" w:rsidP="0067693D">
            <w:pPr>
              <w:pStyle w:val="TextTi9"/>
              <w:keepNext/>
              <w:spacing w:after="0"/>
              <w:jc w:val="center"/>
              <w:rPr>
                <w:rFonts w:ascii="Times New Roman" w:hAnsi="Times New Roman"/>
                <w:sz w:val="22"/>
              </w:rPr>
            </w:pPr>
            <w:r w:rsidRPr="00707120">
              <w:rPr>
                <w:rFonts w:ascii="Times New Roman" w:hAnsi="Times New Roman"/>
                <w:sz w:val="22"/>
              </w:rPr>
              <w:t>79,2</w:t>
            </w:r>
            <w:ins w:id="795" w:author="Author">
              <w:r w:rsidR="00711599">
                <w:rPr>
                  <w:rFonts w:ascii="Times New Roman" w:hAnsi="Times New Roman"/>
                  <w:sz w:val="22"/>
                </w:rPr>
                <w:t> </w:t>
              </w:r>
            </w:ins>
            <w:del w:id="796" w:author="Author">
              <w:r w:rsidRPr="00707120" w:rsidDel="00711599">
                <w:rPr>
                  <w:rFonts w:ascii="Times New Roman" w:hAnsi="Times New Roman"/>
                  <w:sz w:val="22"/>
                </w:rPr>
                <w:delText xml:space="preserve"> </w:delText>
              </w:r>
            </w:del>
            <w:r w:rsidRPr="00707120">
              <w:rPr>
                <w:rFonts w:ascii="Times New Roman" w:hAnsi="Times New Roman"/>
                <w:sz w:val="22"/>
              </w:rPr>
              <w:t>±</w:t>
            </w:r>
            <w:ins w:id="797" w:author="Author">
              <w:r w:rsidR="00711599">
                <w:rPr>
                  <w:rFonts w:ascii="Times New Roman" w:hAnsi="Times New Roman"/>
                  <w:sz w:val="22"/>
                </w:rPr>
                <w:t> </w:t>
              </w:r>
            </w:ins>
            <w:del w:id="798" w:author="Author">
              <w:r w:rsidRPr="00707120" w:rsidDel="00711599">
                <w:rPr>
                  <w:rFonts w:ascii="Times New Roman" w:hAnsi="Times New Roman"/>
                  <w:sz w:val="22"/>
                </w:rPr>
                <w:delText xml:space="preserve"> </w:delText>
              </w:r>
            </w:del>
            <w:r w:rsidRPr="00707120">
              <w:rPr>
                <w:rFonts w:ascii="Times New Roman" w:hAnsi="Times New Roman"/>
                <w:sz w:val="22"/>
              </w:rPr>
              <w:t>35,6</w:t>
            </w:r>
          </w:p>
        </w:tc>
        <w:tc>
          <w:tcPr>
            <w:tcW w:w="3255" w:type="dxa"/>
            <w:tcBorders>
              <w:top w:val="single" w:sz="4" w:space="0" w:color="auto"/>
              <w:left w:val="single" w:sz="4" w:space="0" w:color="auto"/>
              <w:bottom w:val="single" w:sz="4" w:space="0" w:color="auto"/>
              <w:right w:val="single" w:sz="4" w:space="0" w:color="auto"/>
            </w:tcBorders>
            <w:hideMark/>
          </w:tcPr>
          <w:p w14:paraId="7F4CCAC8" w14:textId="5162F136" w:rsidR="00A453C3" w:rsidRPr="00707120" w:rsidRDefault="00A453C3" w:rsidP="0067693D">
            <w:pPr>
              <w:pStyle w:val="TextTi9"/>
              <w:keepNext/>
              <w:spacing w:after="0"/>
              <w:jc w:val="center"/>
              <w:rPr>
                <w:rFonts w:ascii="Times New Roman" w:hAnsi="Times New Roman"/>
                <w:sz w:val="22"/>
              </w:rPr>
            </w:pPr>
            <w:r w:rsidRPr="00707120">
              <w:rPr>
                <w:rFonts w:ascii="Times New Roman" w:hAnsi="Times New Roman"/>
                <w:sz w:val="22"/>
              </w:rPr>
              <w:t>65,9</w:t>
            </w:r>
            <w:ins w:id="799" w:author="Author">
              <w:r w:rsidR="00711599">
                <w:rPr>
                  <w:rFonts w:ascii="Times New Roman" w:hAnsi="Times New Roman"/>
                  <w:sz w:val="22"/>
                </w:rPr>
                <w:t> </w:t>
              </w:r>
            </w:ins>
            <w:del w:id="800" w:author="Author">
              <w:r w:rsidRPr="00707120" w:rsidDel="00711599">
                <w:rPr>
                  <w:rFonts w:ascii="Times New Roman" w:hAnsi="Times New Roman"/>
                  <w:sz w:val="22"/>
                </w:rPr>
                <w:delText xml:space="preserve"> </w:delText>
              </w:r>
            </w:del>
            <w:r w:rsidRPr="00707120">
              <w:rPr>
                <w:rFonts w:ascii="Times New Roman" w:hAnsi="Times New Roman"/>
                <w:sz w:val="22"/>
              </w:rPr>
              <w:t>±</w:t>
            </w:r>
            <w:ins w:id="801" w:author="Author">
              <w:r w:rsidR="00711599">
                <w:rPr>
                  <w:rFonts w:ascii="Times New Roman" w:hAnsi="Times New Roman"/>
                  <w:sz w:val="22"/>
                </w:rPr>
                <w:t> </w:t>
              </w:r>
            </w:ins>
            <w:del w:id="802" w:author="Author">
              <w:r w:rsidRPr="00707120" w:rsidDel="00711599">
                <w:rPr>
                  <w:rFonts w:ascii="Times New Roman" w:hAnsi="Times New Roman"/>
                  <w:sz w:val="22"/>
                </w:rPr>
                <w:delText xml:space="preserve"> </w:delText>
              </w:r>
            </w:del>
            <w:r w:rsidRPr="00707120">
              <w:rPr>
                <w:rFonts w:ascii="Times New Roman" w:hAnsi="Times New Roman"/>
                <w:sz w:val="22"/>
              </w:rPr>
              <w:t>31,3</w:t>
            </w:r>
          </w:p>
        </w:tc>
      </w:tr>
      <w:tr w:rsidR="00A453C3" w:rsidRPr="00FB280D" w14:paraId="777446BB" w14:textId="77777777" w:rsidTr="00707120">
        <w:trPr>
          <w:cantSplit/>
          <w:trHeight w:val="324"/>
        </w:trPr>
        <w:tc>
          <w:tcPr>
            <w:tcW w:w="2894" w:type="dxa"/>
            <w:tcBorders>
              <w:top w:val="single" w:sz="4" w:space="0" w:color="auto"/>
              <w:left w:val="single" w:sz="4" w:space="0" w:color="auto"/>
              <w:bottom w:val="single" w:sz="4" w:space="0" w:color="auto"/>
              <w:right w:val="single" w:sz="4" w:space="0" w:color="auto"/>
            </w:tcBorders>
            <w:hideMark/>
          </w:tcPr>
          <w:p w14:paraId="335A2F04" w14:textId="77777777" w:rsidR="00A453C3" w:rsidRPr="00707120" w:rsidRDefault="00A453C3" w:rsidP="0067693D">
            <w:pPr>
              <w:pStyle w:val="TextTi9"/>
              <w:keepNext/>
              <w:spacing w:after="0"/>
              <w:rPr>
                <w:rFonts w:ascii="Times New Roman" w:hAnsi="Times New Roman"/>
                <w:sz w:val="22"/>
              </w:rPr>
            </w:pPr>
            <w:r w:rsidRPr="00707120">
              <w:rPr>
                <w:rFonts w:ascii="Times New Roman" w:hAnsi="Times New Roman"/>
                <w:sz w:val="22"/>
              </w:rPr>
              <w:t>C</w:t>
            </w:r>
            <w:r w:rsidRPr="00707120">
              <w:rPr>
                <w:rFonts w:ascii="Times New Roman" w:hAnsi="Times New Roman"/>
                <w:sz w:val="22"/>
                <w:vertAlign w:val="subscript"/>
              </w:rPr>
              <w:t>vid.</w:t>
            </w:r>
            <w:r w:rsidRPr="00707120">
              <w:rPr>
                <w:rFonts w:ascii="Times New Roman" w:hAnsi="Times New Roman"/>
                <w:sz w:val="22"/>
              </w:rPr>
              <w:t xml:space="preserve"> (µg/ml)</w:t>
            </w:r>
          </w:p>
        </w:tc>
        <w:tc>
          <w:tcPr>
            <w:tcW w:w="2923" w:type="dxa"/>
            <w:tcBorders>
              <w:top w:val="single" w:sz="4" w:space="0" w:color="auto"/>
              <w:left w:val="single" w:sz="4" w:space="0" w:color="auto"/>
              <w:bottom w:val="single" w:sz="4" w:space="0" w:color="auto"/>
              <w:right w:val="single" w:sz="4" w:space="0" w:color="auto"/>
            </w:tcBorders>
            <w:hideMark/>
          </w:tcPr>
          <w:p w14:paraId="25CA6DA5" w14:textId="728B7AE3" w:rsidR="00A453C3" w:rsidRPr="00707120" w:rsidRDefault="00A453C3" w:rsidP="0067693D">
            <w:pPr>
              <w:pStyle w:val="TextTi9"/>
              <w:keepNext/>
              <w:spacing w:after="0"/>
              <w:jc w:val="center"/>
              <w:rPr>
                <w:rFonts w:ascii="Times New Roman" w:hAnsi="Times New Roman"/>
                <w:sz w:val="22"/>
              </w:rPr>
            </w:pPr>
            <w:r w:rsidRPr="00707120">
              <w:rPr>
                <w:rFonts w:ascii="Times New Roman" w:hAnsi="Times New Roman"/>
                <w:sz w:val="22"/>
              </w:rPr>
              <w:t>91,3</w:t>
            </w:r>
            <w:ins w:id="803" w:author="Author">
              <w:r w:rsidR="00711599">
                <w:rPr>
                  <w:rFonts w:ascii="Times New Roman" w:hAnsi="Times New Roman"/>
                  <w:sz w:val="22"/>
                </w:rPr>
                <w:t> </w:t>
              </w:r>
            </w:ins>
            <w:del w:id="804" w:author="Author">
              <w:r w:rsidRPr="00707120" w:rsidDel="00711599">
                <w:rPr>
                  <w:rFonts w:ascii="Times New Roman" w:hAnsi="Times New Roman"/>
                  <w:sz w:val="22"/>
                </w:rPr>
                <w:delText xml:space="preserve"> </w:delText>
              </w:r>
            </w:del>
            <w:r w:rsidRPr="00707120">
              <w:rPr>
                <w:rFonts w:ascii="Times New Roman" w:hAnsi="Times New Roman"/>
                <w:sz w:val="22"/>
              </w:rPr>
              <w:t>±</w:t>
            </w:r>
            <w:ins w:id="805" w:author="Author">
              <w:r w:rsidR="00711599">
                <w:rPr>
                  <w:rFonts w:ascii="Times New Roman" w:hAnsi="Times New Roman"/>
                  <w:sz w:val="22"/>
                </w:rPr>
                <w:t> </w:t>
              </w:r>
            </w:ins>
            <w:del w:id="806" w:author="Author">
              <w:r w:rsidRPr="00707120" w:rsidDel="00711599">
                <w:rPr>
                  <w:rFonts w:ascii="Times New Roman" w:hAnsi="Times New Roman"/>
                  <w:sz w:val="22"/>
                </w:rPr>
                <w:delText xml:space="preserve"> </w:delText>
              </w:r>
            </w:del>
            <w:r w:rsidRPr="00707120">
              <w:rPr>
                <w:rFonts w:ascii="Times New Roman" w:hAnsi="Times New Roman"/>
                <w:sz w:val="22"/>
              </w:rPr>
              <w:t>40,4</w:t>
            </w:r>
          </w:p>
        </w:tc>
        <w:tc>
          <w:tcPr>
            <w:tcW w:w="3255" w:type="dxa"/>
            <w:tcBorders>
              <w:top w:val="single" w:sz="4" w:space="0" w:color="auto"/>
              <w:left w:val="single" w:sz="4" w:space="0" w:color="auto"/>
              <w:bottom w:val="single" w:sz="4" w:space="0" w:color="auto"/>
              <w:right w:val="single" w:sz="4" w:space="0" w:color="auto"/>
            </w:tcBorders>
            <w:hideMark/>
          </w:tcPr>
          <w:p w14:paraId="61DD0777" w14:textId="5AEA53D1" w:rsidR="00A453C3" w:rsidRPr="00707120" w:rsidRDefault="00A453C3" w:rsidP="0067693D">
            <w:pPr>
              <w:pStyle w:val="TextTi9"/>
              <w:keepNext/>
              <w:spacing w:after="0"/>
              <w:jc w:val="center"/>
              <w:rPr>
                <w:rFonts w:ascii="Times New Roman" w:hAnsi="Times New Roman"/>
                <w:sz w:val="22"/>
              </w:rPr>
            </w:pPr>
            <w:r w:rsidRPr="00707120">
              <w:rPr>
                <w:rFonts w:ascii="Times New Roman" w:hAnsi="Times New Roman"/>
                <w:sz w:val="22"/>
              </w:rPr>
              <w:t>101</w:t>
            </w:r>
            <w:ins w:id="807" w:author="Author">
              <w:r w:rsidR="00711599">
                <w:rPr>
                  <w:rFonts w:ascii="Times New Roman" w:hAnsi="Times New Roman"/>
                  <w:sz w:val="22"/>
                </w:rPr>
                <w:t> </w:t>
              </w:r>
            </w:ins>
            <w:del w:id="808" w:author="Author">
              <w:r w:rsidRPr="00707120" w:rsidDel="00711599">
                <w:rPr>
                  <w:rFonts w:ascii="Times New Roman" w:hAnsi="Times New Roman"/>
                  <w:sz w:val="22"/>
                </w:rPr>
                <w:delText xml:space="preserve"> </w:delText>
              </w:r>
            </w:del>
            <w:r w:rsidRPr="00707120">
              <w:rPr>
                <w:rFonts w:ascii="Times New Roman" w:hAnsi="Times New Roman"/>
                <w:sz w:val="22"/>
              </w:rPr>
              <w:t>±</w:t>
            </w:r>
            <w:ins w:id="809" w:author="Author">
              <w:r w:rsidR="00711599">
                <w:rPr>
                  <w:rFonts w:ascii="Times New Roman" w:hAnsi="Times New Roman"/>
                  <w:sz w:val="22"/>
                </w:rPr>
                <w:t> </w:t>
              </w:r>
            </w:ins>
            <w:del w:id="810" w:author="Author">
              <w:r w:rsidRPr="00707120" w:rsidDel="00711599">
                <w:rPr>
                  <w:rFonts w:ascii="Times New Roman" w:hAnsi="Times New Roman"/>
                  <w:sz w:val="22"/>
                </w:rPr>
                <w:delText xml:space="preserve"> </w:delText>
              </w:r>
            </w:del>
            <w:r w:rsidRPr="00707120">
              <w:rPr>
                <w:rFonts w:ascii="Times New Roman" w:hAnsi="Times New Roman"/>
                <w:sz w:val="22"/>
              </w:rPr>
              <w:t>43,2</w:t>
            </w:r>
          </w:p>
        </w:tc>
      </w:tr>
      <w:tr w:rsidR="00A453C3" w:rsidRPr="00FB280D" w14:paraId="0DCCEDBC" w14:textId="77777777" w:rsidTr="00707120">
        <w:trPr>
          <w:cantSplit/>
          <w:trHeight w:val="324"/>
        </w:trPr>
        <w:tc>
          <w:tcPr>
            <w:tcW w:w="2894" w:type="dxa"/>
            <w:tcBorders>
              <w:top w:val="single" w:sz="4" w:space="0" w:color="auto"/>
              <w:left w:val="single" w:sz="4" w:space="0" w:color="auto"/>
              <w:bottom w:val="single" w:sz="4" w:space="0" w:color="auto"/>
              <w:right w:val="single" w:sz="4" w:space="0" w:color="auto"/>
            </w:tcBorders>
            <w:hideMark/>
          </w:tcPr>
          <w:p w14:paraId="27A56B10" w14:textId="58E05CDA" w:rsidR="00A453C3" w:rsidRPr="00707120" w:rsidRDefault="00A453C3" w:rsidP="0067693D">
            <w:pPr>
              <w:pStyle w:val="TextTi9"/>
              <w:keepNext/>
              <w:spacing w:after="0"/>
              <w:rPr>
                <w:rFonts w:ascii="Times New Roman" w:hAnsi="Times New Roman"/>
                <w:sz w:val="22"/>
              </w:rPr>
            </w:pPr>
            <w:r w:rsidRPr="00707120">
              <w:rPr>
                <w:rFonts w:ascii="Times New Roman" w:hAnsi="Times New Roman"/>
                <w:sz w:val="22"/>
              </w:rPr>
              <w:t>Akumulācija, C</w:t>
            </w:r>
            <w:r w:rsidRPr="00707120">
              <w:rPr>
                <w:rFonts w:ascii="Times New Roman" w:hAnsi="Times New Roman"/>
                <w:sz w:val="22"/>
                <w:vertAlign w:val="subscript"/>
              </w:rPr>
              <w:t>maks.</w:t>
            </w:r>
          </w:p>
        </w:tc>
        <w:tc>
          <w:tcPr>
            <w:tcW w:w="2923" w:type="dxa"/>
            <w:tcBorders>
              <w:top w:val="single" w:sz="4" w:space="0" w:color="auto"/>
              <w:left w:val="single" w:sz="4" w:space="0" w:color="auto"/>
              <w:bottom w:val="single" w:sz="4" w:space="0" w:color="auto"/>
              <w:right w:val="single" w:sz="4" w:space="0" w:color="auto"/>
            </w:tcBorders>
          </w:tcPr>
          <w:p w14:paraId="1009057B" w14:textId="77777777" w:rsidR="00A453C3" w:rsidRPr="00707120" w:rsidRDefault="00A453C3" w:rsidP="0067693D">
            <w:pPr>
              <w:pStyle w:val="TextTi9"/>
              <w:keepNext/>
              <w:spacing w:after="0"/>
              <w:jc w:val="center"/>
              <w:rPr>
                <w:rFonts w:ascii="Times New Roman" w:hAnsi="Times New Roman"/>
                <w:sz w:val="22"/>
              </w:rPr>
            </w:pPr>
            <w:r w:rsidRPr="00707120">
              <w:rPr>
                <w:rFonts w:ascii="Times New Roman" w:hAnsi="Times New Roman"/>
                <w:sz w:val="22"/>
              </w:rPr>
              <w:t>3,66</w:t>
            </w:r>
          </w:p>
        </w:tc>
        <w:tc>
          <w:tcPr>
            <w:tcW w:w="3255" w:type="dxa"/>
            <w:tcBorders>
              <w:top w:val="single" w:sz="4" w:space="0" w:color="auto"/>
              <w:left w:val="single" w:sz="4" w:space="0" w:color="auto"/>
              <w:bottom w:val="single" w:sz="4" w:space="0" w:color="auto"/>
              <w:right w:val="single" w:sz="4" w:space="0" w:color="auto"/>
            </w:tcBorders>
          </w:tcPr>
          <w:p w14:paraId="4523E9CB" w14:textId="77777777" w:rsidR="00A453C3" w:rsidRPr="00707120" w:rsidRDefault="00A453C3" w:rsidP="0067693D">
            <w:pPr>
              <w:pStyle w:val="TextTi9"/>
              <w:keepNext/>
              <w:spacing w:after="0"/>
              <w:jc w:val="center"/>
              <w:rPr>
                <w:rFonts w:ascii="Times New Roman" w:hAnsi="Times New Roman"/>
                <w:sz w:val="22"/>
              </w:rPr>
            </w:pPr>
            <w:r w:rsidRPr="00707120">
              <w:rPr>
                <w:rFonts w:ascii="Times New Roman" w:hAnsi="Times New Roman"/>
                <w:sz w:val="22"/>
              </w:rPr>
              <w:t>1,88</w:t>
            </w:r>
          </w:p>
        </w:tc>
      </w:tr>
      <w:tr w:rsidR="00A453C3" w:rsidRPr="00FB280D" w14:paraId="1B2582A9" w14:textId="77777777" w:rsidTr="00707120">
        <w:trPr>
          <w:cantSplit/>
          <w:trHeight w:val="331"/>
        </w:trPr>
        <w:tc>
          <w:tcPr>
            <w:tcW w:w="2894" w:type="dxa"/>
            <w:tcBorders>
              <w:top w:val="single" w:sz="4" w:space="0" w:color="auto"/>
              <w:left w:val="single" w:sz="4" w:space="0" w:color="auto"/>
              <w:bottom w:val="single" w:sz="4" w:space="0" w:color="auto"/>
              <w:right w:val="single" w:sz="4" w:space="0" w:color="auto"/>
            </w:tcBorders>
            <w:hideMark/>
          </w:tcPr>
          <w:p w14:paraId="09C908BC" w14:textId="2842EB51" w:rsidR="00A453C3" w:rsidRPr="00707120" w:rsidRDefault="00A453C3" w:rsidP="0067693D">
            <w:pPr>
              <w:pStyle w:val="TextTi9"/>
              <w:keepNext/>
              <w:spacing w:after="0"/>
              <w:rPr>
                <w:rFonts w:ascii="Times New Roman" w:hAnsi="Times New Roman"/>
                <w:sz w:val="22"/>
              </w:rPr>
            </w:pPr>
            <w:r w:rsidRPr="00707120">
              <w:rPr>
                <w:rFonts w:ascii="Times New Roman" w:hAnsi="Times New Roman"/>
                <w:sz w:val="22"/>
              </w:rPr>
              <w:t>Akumulācija, C</w:t>
            </w:r>
            <w:r w:rsidRPr="00707120">
              <w:rPr>
                <w:rFonts w:ascii="Times New Roman" w:hAnsi="Times New Roman"/>
                <w:sz w:val="22"/>
                <w:vertAlign w:val="subscript"/>
              </w:rPr>
              <w:t>min</w:t>
            </w:r>
          </w:p>
        </w:tc>
        <w:tc>
          <w:tcPr>
            <w:tcW w:w="2923" w:type="dxa"/>
            <w:tcBorders>
              <w:top w:val="single" w:sz="4" w:space="0" w:color="auto"/>
              <w:left w:val="single" w:sz="4" w:space="0" w:color="auto"/>
              <w:bottom w:val="single" w:sz="4" w:space="0" w:color="auto"/>
              <w:right w:val="single" w:sz="4" w:space="0" w:color="auto"/>
            </w:tcBorders>
          </w:tcPr>
          <w:p w14:paraId="0060DA0F" w14:textId="77777777" w:rsidR="00A453C3" w:rsidRPr="00707120" w:rsidRDefault="00A453C3" w:rsidP="0067693D">
            <w:pPr>
              <w:pStyle w:val="TextTi9"/>
              <w:keepNext/>
              <w:spacing w:after="0"/>
              <w:jc w:val="center"/>
              <w:rPr>
                <w:rFonts w:ascii="Times New Roman" w:hAnsi="Times New Roman"/>
                <w:sz w:val="22"/>
              </w:rPr>
            </w:pPr>
            <w:r w:rsidRPr="00707120">
              <w:rPr>
                <w:rFonts w:ascii="Times New Roman" w:hAnsi="Times New Roman"/>
                <w:sz w:val="22"/>
              </w:rPr>
              <w:t>4,39</w:t>
            </w:r>
          </w:p>
        </w:tc>
        <w:tc>
          <w:tcPr>
            <w:tcW w:w="3255" w:type="dxa"/>
            <w:tcBorders>
              <w:top w:val="single" w:sz="4" w:space="0" w:color="auto"/>
              <w:left w:val="single" w:sz="4" w:space="0" w:color="auto"/>
              <w:bottom w:val="single" w:sz="4" w:space="0" w:color="auto"/>
              <w:right w:val="single" w:sz="4" w:space="0" w:color="auto"/>
            </w:tcBorders>
          </w:tcPr>
          <w:p w14:paraId="1E9A290C" w14:textId="77777777" w:rsidR="00A453C3" w:rsidRPr="00707120" w:rsidRDefault="00A453C3" w:rsidP="0067693D">
            <w:pPr>
              <w:pStyle w:val="TextTi9"/>
              <w:keepNext/>
              <w:spacing w:after="0"/>
              <w:jc w:val="center"/>
              <w:rPr>
                <w:rFonts w:ascii="Times New Roman" w:hAnsi="Times New Roman"/>
                <w:sz w:val="22"/>
              </w:rPr>
            </w:pPr>
            <w:r w:rsidRPr="00707120">
              <w:rPr>
                <w:rFonts w:ascii="Times New Roman" w:hAnsi="Times New Roman"/>
                <w:sz w:val="22"/>
              </w:rPr>
              <w:t>3,21</w:t>
            </w:r>
          </w:p>
        </w:tc>
      </w:tr>
      <w:tr w:rsidR="00A453C3" w:rsidRPr="00FB280D" w14:paraId="3278B734" w14:textId="77777777" w:rsidTr="00707120">
        <w:trPr>
          <w:cantSplit/>
          <w:trHeight w:val="331"/>
        </w:trPr>
        <w:tc>
          <w:tcPr>
            <w:tcW w:w="2894" w:type="dxa"/>
            <w:tcBorders>
              <w:top w:val="single" w:sz="4" w:space="0" w:color="auto"/>
              <w:left w:val="single" w:sz="4" w:space="0" w:color="auto"/>
              <w:bottom w:val="single" w:sz="4" w:space="0" w:color="auto"/>
              <w:right w:val="single" w:sz="4" w:space="0" w:color="auto"/>
            </w:tcBorders>
          </w:tcPr>
          <w:p w14:paraId="09125255" w14:textId="77777777" w:rsidR="00A453C3" w:rsidRPr="00707120" w:rsidRDefault="00A453C3" w:rsidP="0067693D">
            <w:pPr>
              <w:pStyle w:val="TextTi9"/>
              <w:keepNext/>
              <w:spacing w:after="0"/>
              <w:rPr>
                <w:rFonts w:ascii="Times New Roman" w:hAnsi="Times New Roman"/>
                <w:sz w:val="22"/>
              </w:rPr>
            </w:pPr>
            <w:r w:rsidRPr="00707120">
              <w:rPr>
                <w:rFonts w:ascii="Times New Roman" w:hAnsi="Times New Roman"/>
                <w:sz w:val="22"/>
              </w:rPr>
              <w:t>Akumulācija, C</w:t>
            </w:r>
            <w:r w:rsidRPr="00707120">
              <w:rPr>
                <w:rFonts w:ascii="Times New Roman" w:hAnsi="Times New Roman"/>
                <w:sz w:val="22"/>
                <w:vertAlign w:val="subscript"/>
              </w:rPr>
              <w:t>vid.</w:t>
            </w:r>
            <w:r w:rsidRPr="00707120">
              <w:rPr>
                <w:rFonts w:ascii="Times New Roman" w:hAnsi="Times New Roman"/>
                <w:sz w:val="22"/>
              </w:rPr>
              <w:t xml:space="preserve"> vai AUC</w:t>
            </w:r>
            <w:r w:rsidRPr="00707120">
              <w:rPr>
                <w:rFonts w:ascii="Times New Roman" w:hAnsi="Times New Roman"/>
                <w:sz w:val="22"/>
                <w:vertAlign w:val="subscript"/>
              </w:rPr>
              <w:t>τ</w:t>
            </w:r>
            <w:r w:rsidRPr="00707120">
              <w:rPr>
                <w:rFonts w:ascii="Times New Roman" w:hAnsi="Times New Roman"/>
                <w:sz w:val="22"/>
              </w:rPr>
              <w:t>*</w:t>
            </w:r>
          </w:p>
        </w:tc>
        <w:tc>
          <w:tcPr>
            <w:tcW w:w="2923" w:type="dxa"/>
            <w:tcBorders>
              <w:top w:val="single" w:sz="4" w:space="0" w:color="auto"/>
              <w:left w:val="single" w:sz="4" w:space="0" w:color="auto"/>
              <w:bottom w:val="single" w:sz="4" w:space="0" w:color="auto"/>
              <w:right w:val="single" w:sz="4" w:space="0" w:color="auto"/>
            </w:tcBorders>
          </w:tcPr>
          <w:p w14:paraId="1EED3E8E" w14:textId="77777777" w:rsidR="00A453C3" w:rsidRPr="00707120" w:rsidRDefault="00A453C3" w:rsidP="0067693D">
            <w:pPr>
              <w:pStyle w:val="TextTi9"/>
              <w:keepNext/>
              <w:spacing w:after="0"/>
              <w:jc w:val="center"/>
              <w:rPr>
                <w:rFonts w:ascii="Times New Roman" w:hAnsi="Times New Roman"/>
                <w:sz w:val="22"/>
              </w:rPr>
            </w:pPr>
            <w:r w:rsidRPr="00707120">
              <w:rPr>
                <w:rFonts w:ascii="Times New Roman" w:hAnsi="Times New Roman"/>
                <w:sz w:val="22"/>
              </w:rPr>
              <w:t>4,28</w:t>
            </w:r>
          </w:p>
        </w:tc>
        <w:tc>
          <w:tcPr>
            <w:tcW w:w="3255" w:type="dxa"/>
            <w:tcBorders>
              <w:top w:val="single" w:sz="4" w:space="0" w:color="auto"/>
              <w:left w:val="single" w:sz="4" w:space="0" w:color="auto"/>
              <w:bottom w:val="single" w:sz="4" w:space="0" w:color="auto"/>
              <w:right w:val="single" w:sz="4" w:space="0" w:color="auto"/>
            </w:tcBorders>
          </w:tcPr>
          <w:p w14:paraId="0E857F7E" w14:textId="77777777" w:rsidR="00A453C3" w:rsidRPr="00707120" w:rsidRDefault="00A453C3" w:rsidP="0067693D">
            <w:pPr>
              <w:pStyle w:val="TextTi9"/>
              <w:keepNext/>
              <w:spacing w:after="0"/>
              <w:jc w:val="center"/>
              <w:rPr>
                <w:rFonts w:ascii="Times New Roman" w:hAnsi="Times New Roman"/>
                <w:sz w:val="22"/>
              </w:rPr>
            </w:pPr>
            <w:r w:rsidRPr="00707120">
              <w:rPr>
                <w:rFonts w:ascii="Times New Roman" w:hAnsi="Times New Roman"/>
                <w:sz w:val="22"/>
              </w:rPr>
              <w:t>2,27</w:t>
            </w:r>
          </w:p>
        </w:tc>
      </w:tr>
    </w:tbl>
    <w:p w14:paraId="5C1902BB" w14:textId="4A6A2B4B" w:rsidR="00A453C3" w:rsidRPr="00290EF7" w:rsidRDefault="00A453C3" w:rsidP="00A453C3">
      <w:pPr>
        <w:jc w:val="both"/>
        <w:rPr>
          <w:sz w:val="18"/>
          <w:szCs w:val="18"/>
        </w:rPr>
      </w:pPr>
      <w:r>
        <w:rPr>
          <w:sz w:val="18"/>
        </w:rPr>
        <w:t>*τ = 1 nedēļa vai 2 nedēļas abām subkutānas lietošanas shēmām.</w:t>
      </w:r>
    </w:p>
    <w:p w14:paraId="468AACA8" w14:textId="77777777" w:rsidR="00A453C3" w:rsidRPr="00290EF7" w:rsidRDefault="00A453C3" w:rsidP="00A453C3">
      <w:pPr>
        <w:numPr>
          <w:ilvl w:val="12"/>
          <w:numId w:val="0"/>
        </w:numPr>
        <w:ind w:right="-2"/>
      </w:pPr>
    </w:p>
    <w:p w14:paraId="510E7203" w14:textId="21BC0D21" w:rsidR="00A453C3" w:rsidRPr="00290EF7" w:rsidRDefault="00A453C3" w:rsidP="00A453C3">
      <w:pPr>
        <w:numPr>
          <w:ilvl w:val="12"/>
          <w:numId w:val="0"/>
        </w:numPr>
        <w:ind w:right="-2"/>
        <w:rPr>
          <w:iCs/>
        </w:rPr>
      </w:pPr>
      <w:r>
        <w:t>Pēc subkutānas lietošanas gan ar 162 mg devas QW, gan ar 162 mg devas Q2W shēmu aptuveni 90% no līdzsvara stāvokļa tika sasniegti līdz 12. nedēļai.</w:t>
      </w:r>
    </w:p>
    <w:p w14:paraId="3238B3C8" w14:textId="77777777" w:rsidR="00A453C3" w:rsidRPr="00290EF7" w:rsidRDefault="00A453C3" w:rsidP="00A453C3">
      <w:pPr>
        <w:numPr>
          <w:ilvl w:val="12"/>
          <w:numId w:val="0"/>
        </w:numPr>
        <w:ind w:right="-2"/>
        <w:rPr>
          <w:iCs/>
        </w:rPr>
      </w:pPr>
    </w:p>
    <w:p w14:paraId="4455DF91" w14:textId="77777777" w:rsidR="00A453C3" w:rsidRPr="00707120" w:rsidRDefault="00A453C3" w:rsidP="00707120">
      <w:pPr>
        <w:keepNext/>
        <w:numPr>
          <w:ilvl w:val="12"/>
          <w:numId w:val="0"/>
        </w:numPr>
        <w:ind w:right="-2"/>
        <w:rPr>
          <w:i/>
          <w:iCs/>
          <w:u w:val="single"/>
        </w:rPr>
      </w:pPr>
      <w:r w:rsidRPr="00707120">
        <w:rPr>
          <w:i/>
          <w:iCs/>
          <w:u w:val="single"/>
        </w:rPr>
        <w:t>Uzsūkšanās</w:t>
      </w:r>
    </w:p>
    <w:p w14:paraId="2D6E8456" w14:textId="200D50E7" w:rsidR="00A453C3" w:rsidRPr="00290EF7" w:rsidRDefault="00A453C3" w:rsidP="00A453C3">
      <w:pPr>
        <w:rPr>
          <w:iCs/>
        </w:rPr>
      </w:pPr>
      <w:r>
        <w:t xml:space="preserve">Pēc subkutānas lietošanas pacientiem ar sJIA uzsūkšanās pusperiods bija aptuveni 2 dienas, un subkutāni lietojamās zāļu formas biopieejamība pacientiem ar sJIA bija 95%. </w:t>
      </w:r>
    </w:p>
    <w:p w14:paraId="03D795BD" w14:textId="77777777" w:rsidR="00A453C3" w:rsidRPr="00290EF7" w:rsidRDefault="00A453C3" w:rsidP="00A453C3">
      <w:pPr>
        <w:numPr>
          <w:ilvl w:val="12"/>
          <w:numId w:val="0"/>
        </w:numPr>
        <w:ind w:right="-2"/>
        <w:rPr>
          <w:iCs/>
        </w:rPr>
      </w:pPr>
    </w:p>
    <w:p w14:paraId="00981382" w14:textId="77777777" w:rsidR="00A453C3" w:rsidRPr="00707120" w:rsidRDefault="00A453C3" w:rsidP="00707120">
      <w:pPr>
        <w:keepNext/>
        <w:numPr>
          <w:ilvl w:val="12"/>
          <w:numId w:val="0"/>
        </w:numPr>
        <w:ind w:right="-2"/>
        <w:rPr>
          <w:i/>
          <w:iCs/>
          <w:u w:val="single"/>
        </w:rPr>
      </w:pPr>
      <w:r w:rsidRPr="00707120">
        <w:rPr>
          <w:i/>
          <w:iCs/>
          <w:u w:val="single"/>
        </w:rPr>
        <w:t>Izkliede</w:t>
      </w:r>
    </w:p>
    <w:p w14:paraId="65311D45" w14:textId="77777777" w:rsidR="00A453C3" w:rsidRPr="00290EF7" w:rsidRDefault="00A453C3" w:rsidP="00A453C3">
      <w:pPr>
        <w:numPr>
          <w:ilvl w:val="12"/>
          <w:numId w:val="0"/>
        </w:numPr>
        <w:ind w:right="-2"/>
        <w:rPr>
          <w:iCs/>
        </w:rPr>
      </w:pPr>
      <w:r>
        <w:t>Pediatriskajiem pacientiem ar sJIA centrālais izkliedes tilpums bija 1,87 l, bet perifēriskais izkliedes tilpums bija 2,14 l, kā rezultātā izkliedes tilpums līdzsvara stāvoklī bija 4,01 l.</w:t>
      </w:r>
    </w:p>
    <w:p w14:paraId="283CBF01" w14:textId="77777777" w:rsidR="00A453C3" w:rsidRPr="00290EF7" w:rsidRDefault="00A453C3" w:rsidP="00A453C3">
      <w:pPr>
        <w:numPr>
          <w:ilvl w:val="12"/>
          <w:numId w:val="0"/>
        </w:numPr>
        <w:ind w:right="-2"/>
        <w:rPr>
          <w:iCs/>
        </w:rPr>
      </w:pPr>
    </w:p>
    <w:p w14:paraId="3D784DA0" w14:textId="77777777" w:rsidR="00A453C3" w:rsidRPr="00707120" w:rsidRDefault="00A453C3" w:rsidP="00707120">
      <w:pPr>
        <w:keepNext/>
        <w:numPr>
          <w:ilvl w:val="12"/>
          <w:numId w:val="0"/>
        </w:numPr>
        <w:ind w:right="-2"/>
        <w:rPr>
          <w:i/>
          <w:iCs/>
          <w:u w:val="single"/>
        </w:rPr>
      </w:pPr>
      <w:r w:rsidRPr="00707120">
        <w:rPr>
          <w:i/>
          <w:iCs/>
          <w:u w:val="single"/>
        </w:rPr>
        <w:t>Eliminācija</w:t>
      </w:r>
    </w:p>
    <w:p w14:paraId="4B46B8CF" w14:textId="2F8B74BA" w:rsidR="00A453C3" w:rsidRPr="00707120" w:rsidRDefault="00A453C3" w:rsidP="00A453C3">
      <w:pPr>
        <w:numPr>
          <w:ilvl w:val="12"/>
          <w:numId w:val="0"/>
        </w:numPr>
        <w:ind w:right="-2"/>
        <w:rPr>
          <w:rFonts w:eastAsia="SimSun"/>
          <w:lang w:val="es-ES"/>
        </w:rPr>
      </w:pPr>
      <w:r w:rsidRPr="00707120">
        <w:rPr>
          <w:lang w:val="es-ES"/>
        </w:rPr>
        <w:t>Kopējais tocilizumaba klīrenss bija atkarīgs no koncentrācijas, un to veido lineārā klīrensa un nelineārā klīrensa summa. Lineārais klīrenss tika noteikts kā raksturlielums populācijas farmakokinētikas analīzē, un pediatriskajiem pacientiem ar sistēmisku juvenilu idiopātisko artrītu tas bija 5,7 ml/h. Pēc subkutānas ievadīšanas efektīvais tocilizumaba t</w:t>
      </w:r>
      <w:r w:rsidRPr="00707120">
        <w:rPr>
          <w:vertAlign w:val="subscript"/>
          <w:lang w:val="es-ES"/>
        </w:rPr>
        <w:t>1/2</w:t>
      </w:r>
      <w:r w:rsidRPr="00707120">
        <w:rPr>
          <w:lang w:val="es-ES"/>
        </w:rPr>
        <w:t xml:space="preserve"> pacientiem ar sJIA zāļu lietošanas laikā līdzsvara stāvoklī ir līdz 14 dienām, gan lietojot 162 mg QW, gan Q2W shēmu. </w:t>
      </w:r>
    </w:p>
    <w:p w14:paraId="732CB430" w14:textId="77777777" w:rsidR="00A453C3" w:rsidRPr="00707120" w:rsidRDefault="00A453C3" w:rsidP="00A453C3">
      <w:pPr>
        <w:numPr>
          <w:ilvl w:val="12"/>
          <w:numId w:val="0"/>
        </w:numPr>
        <w:ind w:right="-2"/>
        <w:rPr>
          <w:iCs/>
          <w:lang w:val="es-ES"/>
        </w:rPr>
      </w:pPr>
    </w:p>
    <w:p w14:paraId="7502C98D" w14:textId="77777777" w:rsidR="00903A29" w:rsidRPr="002007A3" w:rsidRDefault="00903A29" w:rsidP="00903A29">
      <w:pPr>
        <w:keepNext/>
        <w:numPr>
          <w:ilvl w:val="12"/>
          <w:numId w:val="0"/>
        </w:numPr>
        <w:ind w:right="-2"/>
        <w:rPr>
          <w:moveTo w:id="811" w:author="Author"/>
          <w:iCs/>
          <w:u w:val="single"/>
          <w:lang w:val="es-ES"/>
          <w:rPrChange w:id="812" w:author="Author">
            <w:rPr>
              <w:moveTo w:id="813" w:author="Author"/>
              <w:i/>
              <w:iCs/>
              <w:lang w:val="es-ES"/>
            </w:rPr>
          </w:rPrChange>
        </w:rPr>
      </w:pPr>
      <w:moveToRangeStart w:id="814" w:author="Author" w:name="move205280681"/>
      <w:moveTo w:id="815" w:author="Author">
        <w:r w:rsidRPr="002007A3">
          <w:rPr>
            <w:iCs/>
            <w:u w:val="single"/>
            <w:lang w:val="es-ES"/>
            <w:rPrChange w:id="816" w:author="Author">
              <w:rPr>
                <w:i/>
                <w:iCs/>
                <w:lang w:val="es-ES"/>
              </w:rPr>
            </w:rPrChange>
          </w:rPr>
          <w:t>Subkutāna lietošana</w:t>
        </w:r>
      </w:moveTo>
    </w:p>
    <w:moveToRangeEnd w:id="814"/>
    <w:p w14:paraId="15099139" w14:textId="333A3596" w:rsidR="00A453C3" w:rsidRPr="002007A3" w:rsidRDefault="00A453C3" w:rsidP="00707120">
      <w:pPr>
        <w:keepNext/>
        <w:numPr>
          <w:ilvl w:val="12"/>
          <w:numId w:val="0"/>
        </w:numPr>
        <w:ind w:right="-2"/>
        <w:rPr>
          <w:ins w:id="817" w:author="Author"/>
          <w:i/>
          <w:lang w:val="es-ES"/>
          <w:rPrChange w:id="818" w:author="Author">
            <w:rPr>
              <w:ins w:id="819" w:author="Author"/>
              <w:u w:val="single"/>
              <w:lang w:val="es-ES"/>
            </w:rPr>
          </w:rPrChange>
        </w:rPr>
      </w:pPr>
      <w:r w:rsidRPr="002007A3">
        <w:rPr>
          <w:i/>
          <w:lang w:val="es-ES"/>
          <w:rPrChange w:id="820" w:author="Author">
            <w:rPr>
              <w:u w:val="single"/>
              <w:lang w:val="es-ES"/>
            </w:rPr>
          </w:rPrChange>
        </w:rPr>
        <w:t>Pacienti ar pJIA</w:t>
      </w:r>
    </w:p>
    <w:p w14:paraId="5B26946E" w14:textId="77777777" w:rsidR="00C52275" w:rsidRPr="00707120" w:rsidRDefault="00C52275" w:rsidP="00707120">
      <w:pPr>
        <w:keepNext/>
        <w:numPr>
          <w:ilvl w:val="12"/>
          <w:numId w:val="0"/>
        </w:numPr>
        <w:ind w:right="-2"/>
        <w:rPr>
          <w:iCs/>
          <w:u w:val="single"/>
          <w:lang w:val="es-ES"/>
        </w:rPr>
      </w:pPr>
    </w:p>
    <w:p w14:paraId="2B14EDE2" w14:textId="1FD39CAB" w:rsidR="00A453C3" w:rsidRPr="00DD58C9" w:rsidDel="00903A29" w:rsidRDefault="00A453C3" w:rsidP="00707120">
      <w:pPr>
        <w:keepNext/>
        <w:numPr>
          <w:ilvl w:val="12"/>
          <w:numId w:val="0"/>
        </w:numPr>
        <w:ind w:right="-2"/>
        <w:rPr>
          <w:moveFrom w:id="821" w:author="Author"/>
          <w:iCs/>
          <w:u w:val="single"/>
          <w:lang w:val="es-ES"/>
          <w:rPrChange w:id="822" w:author="Author">
            <w:rPr>
              <w:moveFrom w:id="823" w:author="Author"/>
              <w:i/>
              <w:iCs/>
              <w:lang w:val="es-ES"/>
            </w:rPr>
          </w:rPrChange>
        </w:rPr>
      </w:pPr>
      <w:moveFromRangeStart w:id="824" w:author="Author" w:name="move205280681"/>
      <w:moveFrom w:id="825" w:author="Author">
        <w:r w:rsidRPr="00DD58C9" w:rsidDel="00903A29">
          <w:rPr>
            <w:iCs/>
            <w:u w:val="single"/>
            <w:lang w:val="es-ES"/>
            <w:rPrChange w:id="826" w:author="Author">
              <w:rPr>
                <w:i/>
                <w:iCs/>
                <w:lang w:val="es-ES"/>
              </w:rPr>
            </w:rPrChange>
          </w:rPr>
          <w:t>Subkutāna lietošana</w:t>
        </w:r>
      </w:moveFrom>
    </w:p>
    <w:moveFromRangeEnd w:id="824"/>
    <w:p w14:paraId="5CF6B717" w14:textId="07C8F2C3" w:rsidR="00A453C3" w:rsidRPr="00707120" w:rsidRDefault="00A453C3" w:rsidP="00A453C3">
      <w:pPr>
        <w:rPr>
          <w:lang w:val="es-ES"/>
        </w:rPr>
      </w:pPr>
      <w:r w:rsidRPr="00707120">
        <w:rPr>
          <w:lang w:val="es-ES"/>
        </w:rPr>
        <w:t>Tocilizumaba farmakokinētika pacientiem ar pJIA raksturota populācijas farmakokinētikas analīzē, kurā piedalījās 237 pacienti, kuri saņēma 8</w:t>
      </w:r>
      <w:r w:rsidR="000C7288" w:rsidRPr="00707120">
        <w:rPr>
          <w:lang w:val="es-ES"/>
        </w:rPr>
        <w:t> </w:t>
      </w:r>
      <w:r w:rsidRPr="00707120">
        <w:rPr>
          <w:lang w:val="es-ES"/>
        </w:rPr>
        <w:t>mg/kg devu intravenozi ik pēc 4 nedēļām (pacienti ar ķermeņa masu ≥ 30 kg), 10 mg/kg devu intravenozi ik pēc 4 nedēļām (pacienti ar ķermeņa masu zem 30 kg), 162 mg devu subkutāni ik pēc 2 nedēļām (pacienti ar ķermeņa masu ≥ 30 kg) vai 162 mg devu subkutāni ik pēc 3 nedēļām (pacienti ar ķermeņa masu zem 30 kg).</w:t>
      </w:r>
    </w:p>
    <w:p w14:paraId="7FDACBD6" w14:textId="77777777" w:rsidR="00A453C3" w:rsidRPr="00707120" w:rsidRDefault="00A453C3" w:rsidP="00A453C3">
      <w:pPr>
        <w:rPr>
          <w:lang w:val="es-ES"/>
        </w:rPr>
      </w:pPr>
    </w:p>
    <w:p w14:paraId="07CAD2D2" w14:textId="3A81A7F2" w:rsidR="00A453C3" w:rsidRPr="00707120" w:rsidRDefault="00A453C3" w:rsidP="00A453C3">
      <w:pPr>
        <w:keepNext/>
        <w:keepLines/>
        <w:rPr>
          <w:i/>
          <w:iCs/>
          <w:lang w:val="es-ES"/>
        </w:rPr>
      </w:pPr>
      <w:r w:rsidRPr="00707120">
        <w:rPr>
          <w:i/>
          <w:iCs/>
          <w:lang w:val="es-ES"/>
        </w:rPr>
        <w:t xml:space="preserve">9. tabula. FK rādītāju prognozētās vidējās vērtības ± SN līdzsvara </w:t>
      </w:r>
      <w:ins w:id="827" w:author="Regulatory LV" w:date="2026-03-17T11:43:00Z">
        <w:r w:rsidR="00B00D37">
          <w:rPr>
            <w:i/>
            <w:iCs/>
            <w:lang w:val="es-ES"/>
          </w:rPr>
          <w:t xml:space="preserve">koncentrācijas </w:t>
        </w:r>
      </w:ins>
      <w:r w:rsidRPr="00707120">
        <w:rPr>
          <w:i/>
          <w:iCs/>
          <w:lang w:val="es-ES"/>
        </w:rPr>
        <w:t>stāvoklī pēc subkutānas ievadīšanas pacientiem ar pJIA</w:t>
      </w:r>
    </w:p>
    <w:p w14:paraId="0B06825B" w14:textId="77777777" w:rsidR="00A453C3" w:rsidRPr="00707120" w:rsidRDefault="00A453C3" w:rsidP="00A453C3">
      <w:pPr>
        <w:keepNext/>
        <w:keepLines/>
        <w:rPr>
          <w:lang w:val="es-E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835"/>
        <w:gridCol w:w="3261"/>
      </w:tblGrid>
      <w:tr w:rsidR="00A453C3" w:rsidRPr="00FB280D" w14:paraId="0E09A5B5" w14:textId="77777777" w:rsidTr="0067693D">
        <w:trPr>
          <w:cantSplit/>
          <w:trHeight w:val="452"/>
        </w:trPr>
        <w:tc>
          <w:tcPr>
            <w:tcW w:w="2943" w:type="dxa"/>
            <w:tcBorders>
              <w:top w:val="single" w:sz="4" w:space="0" w:color="auto"/>
              <w:left w:val="single" w:sz="4" w:space="0" w:color="auto"/>
              <w:bottom w:val="single" w:sz="4" w:space="0" w:color="auto"/>
              <w:right w:val="single" w:sz="4" w:space="0" w:color="auto"/>
            </w:tcBorders>
            <w:hideMark/>
          </w:tcPr>
          <w:p w14:paraId="13C39C27" w14:textId="7C019BB4" w:rsidR="00A453C3" w:rsidRPr="00707120" w:rsidRDefault="00A453C3" w:rsidP="0067693D">
            <w:pPr>
              <w:pStyle w:val="TextTi9"/>
              <w:keepNext/>
              <w:keepLines/>
              <w:spacing w:after="0"/>
              <w:rPr>
                <w:rFonts w:ascii="Times New Roman" w:hAnsi="Times New Roman"/>
                <w:sz w:val="22"/>
              </w:rPr>
            </w:pPr>
            <w:r w:rsidRPr="00707120">
              <w:rPr>
                <w:rFonts w:ascii="Times New Roman" w:hAnsi="Times New Roman"/>
                <w:b/>
                <w:sz w:val="22"/>
              </w:rPr>
              <w:t>Tocilizumaba FK rādītājs</w:t>
            </w:r>
          </w:p>
        </w:tc>
        <w:tc>
          <w:tcPr>
            <w:tcW w:w="2835" w:type="dxa"/>
            <w:tcBorders>
              <w:top w:val="single" w:sz="4" w:space="0" w:color="auto"/>
              <w:left w:val="single" w:sz="4" w:space="0" w:color="auto"/>
              <w:bottom w:val="single" w:sz="4" w:space="0" w:color="auto"/>
              <w:right w:val="single" w:sz="4" w:space="0" w:color="auto"/>
            </w:tcBorders>
            <w:hideMark/>
          </w:tcPr>
          <w:p w14:paraId="524A3565" w14:textId="7A47BB8F" w:rsidR="00A453C3" w:rsidRPr="00707120" w:rsidRDefault="00A453C3" w:rsidP="0067693D">
            <w:pPr>
              <w:pStyle w:val="TextTi9"/>
              <w:keepNext/>
              <w:keepLines/>
              <w:spacing w:after="0"/>
              <w:jc w:val="center"/>
              <w:rPr>
                <w:rFonts w:ascii="Times New Roman" w:hAnsi="Times New Roman"/>
                <w:b/>
                <w:sz w:val="22"/>
              </w:rPr>
            </w:pPr>
            <w:r w:rsidRPr="00707120">
              <w:rPr>
                <w:rFonts w:ascii="Times New Roman" w:hAnsi="Times New Roman"/>
                <w:b/>
                <w:sz w:val="22"/>
              </w:rPr>
              <w:t>162 mg Q2W</w:t>
            </w:r>
            <w:ins w:id="828" w:author="Author">
              <w:r w:rsidR="00711599">
                <w:rPr>
                  <w:rFonts w:ascii="Times New Roman" w:hAnsi="Times New Roman"/>
                  <w:b/>
                  <w:sz w:val="22"/>
                </w:rPr>
                <w:t> </w:t>
              </w:r>
            </w:ins>
            <w:del w:id="829" w:author="Author">
              <w:r w:rsidRPr="00707120" w:rsidDel="00711599">
                <w:rPr>
                  <w:rFonts w:ascii="Times New Roman" w:hAnsi="Times New Roman"/>
                  <w:b/>
                  <w:sz w:val="22"/>
                </w:rPr>
                <w:delText xml:space="preserve"> </w:delText>
              </w:r>
            </w:del>
            <w:r w:rsidRPr="00707120">
              <w:rPr>
                <w:rFonts w:ascii="Times New Roman" w:hAnsi="Times New Roman"/>
                <w:b/>
                <w:sz w:val="22"/>
              </w:rPr>
              <w:t>≥ 30 kg</w:t>
            </w:r>
          </w:p>
        </w:tc>
        <w:tc>
          <w:tcPr>
            <w:tcW w:w="3261" w:type="dxa"/>
            <w:tcBorders>
              <w:top w:val="single" w:sz="4" w:space="0" w:color="auto"/>
              <w:left w:val="single" w:sz="4" w:space="0" w:color="auto"/>
              <w:bottom w:val="single" w:sz="4" w:space="0" w:color="auto"/>
              <w:right w:val="single" w:sz="4" w:space="0" w:color="auto"/>
            </w:tcBorders>
            <w:hideMark/>
          </w:tcPr>
          <w:p w14:paraId="03EF4A7F" w14:textId="77777777" w:rsidR="00A453C3" w:rsidRPr="00707120" w:rsidRDefault="00A453C3" w:rsidP="0067693D">
            <w:pPr>
              <w:pStyle w:val="TextTi9"/>
              <w:keepNext/>
              <w:keepLines/>
              <w:spacing w:after="0"/>
              <w:jc w:val="center"/>
              <w:rPr>
                <w:rFonts w:ascii="Times New Roman" w:hAnsi="Times New Roman"/>
                <w:b/>
                <w:sz w:val="22"/>
              </w:rPr>
            </w:pPr>
            <w:r w:rsidRPr="00707120">
              <w:rPr>
                <w:rFonts w:ascii="Times New Roman" w:hAnsi="Times New Roman"/>
                <w:b/>
                <w:sz w:val="22"/>
              </w:rPr>
              <w:t>162 mg Q3W zem 30 kg</w:t>
            </w:r>
          </w:p>
        </w:tc>
      </w:tr>
      <w:tr w:rsidR="00A453C3" w:rsidRPr="00FB280D" w14:paraId="7A9302B9" w14:textId="77777777" w:rsidTr="0067693D">
        <w:trPr>
          <w:cantSplit/>
          <w:trHeight w:val="195"/>
        </w:trPr>
        <w:tc>
          <w:tcPr>
            <w:tcW w:w="2943" w:type="dxa"/>
            <w:tcBorders>
              <w:top w:val="single" w:sz="4" w:space="0" w:color="auto"/>
              <w:left w:val="single" w:sz="4" w:space="0" w:color="auto"/>
              <w:bottom w:val="single" w:sz="4" w:space="0" w:color="auto"/>
              <w:right w:val="single" w:sz="4" w:space="0" w:color="auto"/>
            </w:tcBorders>
            <w:hideMark/>
          </w:tcPr>
          <w:p w14:paraId="2326D3BE" w14:textId="212E5300" w:rsidR="00A453C3" w:rsidRPr="00707120" w:rsidRDefault="00A453C3" w:rsidP="0067693D">
            <w:pPr>
              <w:pStyle w:val="TextTi9"/>
              <w:keepNext/>
              <w:keepLines/>
              <w:spacing w:after="0"/>
              <w:rPr>
                <w:rFonts w:ascii="Times New Roman" w:hAnsi="Times New Roman"/>
                <w:sz w:val="22"/>
              </w:rPr>
            </w:pPr>
            <w:r w:rsidRPr="00707120">
              <w:rPr>
                <w:rFonts w:ascii="Times New Roman" w:hAnsi="Times New Roman"/>
                <w:sz w:val="22"/>
              </w:rPr>
              <w:t>C</w:t>
            </w:r>
            <w:r w:rsidRPr="00707120">
              <w:rPr>
                <w:rFonts w:ascii="Times New Roman" w:hAnsi="Times New Roman"/>
                <w:sz w:val="22"/>
                <w:vertAlign w:val="subscript"/>
              </w:rPr>
              <w:t>maks.</w:t>
            </w:r>
            <w:r w:rsidRPr="00707120">
              <w:rPr>
                <w:rFonts w:ascii="Times New Roman" w:hAnsi="Times New Roman"/>
                <w:sz w:val="22"/>
              </w:rPr>
              <w:t xml:space="preserve"> (µg/ml)</w:t>
            </w:r>
          </w:p>
        </w:tc>
        <w:tc>
          <w:tcPr>
            <w:tcW w:w="2835" w:type="dxa"/>
            <w:tcBorders>
              <w:top w:val="single" w:sz="4" w:space="0" w:color="auto"/>
              <w:left w:val="single" w:sz="4" w:space="0" w:color="auto"/>
              <w:bottom w:val="single" w:sz="4" w:space="0" w:color="auto"/>
              <w:right w:val="single" w:sz="4" w:space="0" w:color="auto"/>
            </w:tcBorders>
            <w:hideMark/>
          </w:tcPr>
          <w:p w14:paraId="2395E256" w14:textId="1158F247" w:rsidR="00A453C3" w:rsidRPr="00707120" w:rsidRDefault="00A453C3" w:rsidP="0067693D">
            <w:pPr>
              <w:pStyle w:val="TextTi9"/>
              <w:keepNext/>
              <w:keepLines/>
              <w:spacing w:after="0"/>
              <w:jc w:val="center"/>
              <w:rPr>
                <w:rFonts w:ascii="Times New Roman" w:hAnsi="Times New Roman"/>
                <w:sz w:val="22"/>
              </w:rPr>
            </w:pPr>
            <w:r w:rsidRPr="00707120">
              <w:rPr>
                <w:rFonts w:ascii="Times New Roman" w:hAnsi="Times New Roman"/>
                <w:sz w:val="22"/>
              </w:rPr>
              <w:t>29,4</w:t>
            </w:r>
            <w:ins w:id="830" w:author="Author">
              <w:r w:rsidR="00711599">
                <w:rPr>
                  <w:rFonts w:ascii="Times New Roman" w:hAnsi="Times New Roman"/>
                  <w:sz w:val="22"/>
                </w:rPr>
                <w:t> </w:t>
              </w:r>
            </w:ins>
            <w:del w:id="831" w:author="Author">
              <w:r w:rsidRPr="00707120" w:rsidDel="00711599">
                <w:rPr>
                  <w:rFonts w:ascii="Times New Roman" w:hAnsi="Times New Roman"/>
                  <w:sz w:val="22"/>
                </w:rPr>
                <w:delText xml:space="preserve"> </w:delText>
              </w:r>
            </w:del>
            <w:r w:rsidRPr="00707120">
              <w:rPr>
                <w:rFonts w:ascii="Times New Roman" w:hAnsi="Times New Roman"/>
                <w:sz w:val="22"/>
              </w:rPr>
              <w:t>±</w:t>
            </w:r>
            <w:ins w:id="832" w:author="Author">
              <w:r w:rsidR="00711599">
                <w:rPr>
                  <w:rFonts w:ascii="Times New Roman" w:hAnsi="Times New Roman"/>
                  <w:sz w:val="22"/>
                </w:rPr>
                <w:t> </w:t>
              </w:r>
            </w:ins>
            <w:del w:id="833" w:author="Author">
              <w:r w:rsidRPr="00707120" w:rsidDel="00711599">
                <w:rPr>
                  <w:rFonts w:ascii="Times New Roman" w:hAnsi="Times New Roman"/>
                  <w:sz w:val="22"/>
                </w:rPr>
                <w:delText xml:space="preserve"> </w:delText>
              </w:r>
            </w:del>
            <w:r w:rsidRPr="00707120">
              <w:rPr>
                <w:rFonts w:ascii="Times New Roman" w:hAnsi="Times New Roman"/>
                <w:sz w:val="22"/>
              </w:rPr>
              <w:t>13,5</w:t>
            </w:r>
          </w:p>
        </w:tc>
        <w:tc>
          <w:tcPr>
            <w:tcW w:w="3261" w:type="dxa"/>
            <w:tcBorders>
              <w:top w:val="single" w:sz="4" w:space="0" w:color="auto"/>
              <w:left w:val="single" w:sz="4" w:space="0" w:color="auto"/>
              <w:bottom w:val="single" w:sz="4" w:space="0" w:color="auto"/>
              <w:right w:val="single" w:sz="4" w:space="0" w:color="auto"/>
            </w:tcBorders>
            <w:hideMark/>
          </w:tcPr>
          <w:p w14:paraId="4818CD91" w14:textId="154FE155" w:rsidR="00A453C3" w:rsidRPr="00707120" w:rsidRDefault="00A453C3" w:rsidP="0067693D">
            <w:pPr>
              <w:pStyle w:val="TextTi9"/>
              <w:keepNext/>
              <w:keepLines/>
              <w:spacing w:after="0"/>
              <w:jc w:val="center"/>
              <w:rPr>
                <w:rFonts w:ascii="Times New Roman" w:hAnsi="Times New Roman"/>
                <w:sz w:val="22"/>
              </w:rPr>
            </w:pPr>
            <w:r w:rsidRPr="00707120">
              <w:rPr>
                <w:rFonts w:ascii="Times New Roman" w:hAnsi="Times New Roman"/>
                <w:sz w:val="22"/>
              </w:rPr>
              <w:t>75,5</w:t>
            </w:r>
            <w:ins w:id="834" w:author="Author">
              <w:r w:rsidR="00711599">
                <w:rPr>
                  <w:rFonts w:ascii="Times New Roman" w:hAnsi="Times New Roman"/>
                  <w:sz w:val="22"/>
                </w:rPr>
                <w:t> </w:t>
              </w:r>
            </w:ins>
            <w:del w:id="835" w:author="Author">
              <w:r w:rsidRPr="00707120" w:rsidDel="00711599">
                <w:rPr>
                  <w:rFonts w:ascii="Times New Roman" w:hAnsi="Times New Roman"/>
                  <w:sz w:val="22"/>
                </w:rPr>
                <w:delText xml:space="preserve"> </w:delText>
              </w:r>
            </w:del>
            <w:r w:rsidRPr="00707120">
              <w:rPr>
                <w:rFonts w:ascii="Times New Roman" w:hAnsi="Times New Roman"/>
                <w:sz w:val="22"/>
              </w:rPr>
              <w:t>±</w:t>
            </w:r>
            <w:ins w:id="836" w:author="Author">
              <w:r w:rsidR="00711599">
                <w:rPr>
                  <w:rFonts w:ascii="Times New Roman" w:hAnsi="Times New Roman"/>
                  <w:sz w:val="22"/>
                </w:rPr>
                <w:t> </w:t>
              </w:r>
            </w:ins>
            <w:del w:id="837" w:author="Author">
              <w:r w:rsidRPr="00707120" w:rsidDel="00711599">
                <w:rPr>
                  <w:rFonts w:ascii="Times New Roman" w:hAnsi="Times New Roman"/>
                  <w:sz w:val="22"/>
                </w:rPr>
                <w:delText xml:space="preserve"> </w:delText>
              </w:r>
            </w:del>
            <w:r w:rsidRPr="00707120">
              <w:rPr>
                <w:rFonts w:ascii="Times New Roman" w:hAnsi="Times New Roman"/>
                <w:sz w:val="22"/>
              </w:rPr>
              <w:t>24,1</w:t>
            </w:r>
          </w:p>
        </w:tc>
      </w:tr>
      <w:tr w:rsidR="00A453C3" w:rsidRPr="00FB280D" w14:paraId="516901FB" w14:textId="77777777" w:rsidTr="0067693D">
        <w:trPr>
          <w:cantSplit/>
          <w:trHeight w:val="195"/>
        </w:trPr>
        <w:tc>
          <w:tcPr>
            <w:tcW w:w="2943" w:type="dxa"/>
            <w:tcBorders>
              <w:top w:val="single" w:sz="4" w:space="0" w:color="auto"/>
              <w:left w:val="single" w:sz="4" w:space="0" w:color="auto"/>
              <w:bottom w:val="single" w:sz="4" w:space="0" w:color="auto"/>
              <w:right w:val="single" w:sz="4" w:space="0" w:color="auto"/>
            </w:tcBorders>
            <w:hideMark/>
          </w:tcPr>
          <w:p w14:paraId="74DC653F" w14:textId="17037B8E" w:rsidR="00A453C3" w:rsidRPr="00707120" w:rsidRDefault="00A453C3" w:rsidP="0067693D">
            <w:pPr>
              <w:pStyle w:val="TextTi9"/>
              <w:keepNext/>
              <w:keepLines/>
              <w:spacing w:after="0"/>
              <w:rPr>
                <w:rFonts w:ascii="Times New Roman" w:hAnsi="Times New Roman"/>
                <w:sz w:val="22"/>
              </w:rPr>
            </w:pPr>
            <w:r w:rsidRPr="00707120">
              <w:rPr>
                <w:rFonts w:ascii="Times New Roman" w:hAnsi="Times New Roman"/>
                <w:sz w:val="22"/>
              </w:rPr>
              <w:t>C</w:t>
            </w:r>
            <w:r w:rsidRPr="00707120">
              <w:rPr>
                <w:rFonts w:ascii="Times New Roman" w:hAnsi="Times New Roman"/>
                <w:sz w:val="22"/>
                <w:vertAlign w:val="subscript"/>
              </w:rPr>
              <w:t>min</w:t>
            </w:r>
            <w:r w:rsidRPr="00707120">
              <w:rPr>
                <w:rFonts w:ascii="Times New Roman" w:hAnsi="Times New Roman"/>
                <w:sz w:val="22"/>
              </w:rPr>
              <w:t xml:space="preserve"> (µg/ml)</w:t>
            </w:r>
          </w:p>
        </w:tc>
        <w:tc>
          <w:tcPr>
            <w:tcW w:w="2835" w:type="dxa"/>
            <w:tcBorders>
              <w:top w:val="single" w:sz="4" w:space="0" w:color="auto"/>
              <w:left w:val="single" w:sz="4" w:space="0" w:color="auto"/>
              <w:bottom w:val="single" w:sz="4" w:space="0" w:color="auto"/>
              <w:right w:val="single" w:sz="4" w:space="0" w:color="auto"/>
            </w:tcBorders>
            <w:hideMark/>
          </w:tcPr>
          <w:p w14:paraId="46250D69" w14:textId="7E84DE24" w:rsidR="00A453C3" w:rsidRPr="00707120" w:rsidRDefault="00A453C3" w:rsidP="0067693D">
            <w:pPr>
              <w:pStyle w:val="TextTi9"/>
              <w:keepNext/>
              <w:keepLines/>
              <w:spacing w:after="0"/>
              <w:jc w:val="center"/>
              <w:rPr>
                <w:rFonts w:ascii="Times New Roman" w:hAnsi="Times New Roman"/>
                <w:sz w:val="22"/>
              </w:rPr>
            </w:pPr>
            <w:r w:rsidRPr="00707120">
              <w:rPr>
                <w:rFonts w:ascii="Times New Roman" w:hAnsi="Times New Roman"/>
                <w:sz w:val="22"/>
              </w:rPr>
              <w:t>11,8</w:t>
            </w:r>
            <w:ins w:id="838" w:author="Author">
              <w:r w:rsidR="00711599">
                <w:rPr>
                  <w:rFonts w:ascii="Times New Roman" w:hAnsi="Times New Roman"/>
                  <w:sz w:val="22"/>
                </w:rPr>
                <w:t> </w:t>
              </w:r>
            </w:ins>
            <w:del w:id="839" w:author="Author">
              <w:r w:rsidRPr="00707120" w:rsidDel="00711599">
                <w:rPr>
                  <w:rFonts w:ascii="Times New Roman" w:hAnsi="Times New Roman"/>
                  <w:sz w:val="22"/>
                </w:rPr>
                <w:delText xml:space="preserve"> </w:delText>
              </w:r>
            </w:del>
            <w:r w:rsidRPr="00707120">
              <w:rPr>
                <w:rFonts w:ascii="Times New Roman" w:hAnsi="Times New Roman"/>
                <w:sz w:val="22"/>
              </w:rPr>
              <w:t>±</w:t>
            </w:r>
            <w:ins w:id="840" w:author="Author">
              <w:r w:rsidR="00711599">
                <w:rPr>
                  <w:rFonts w:ascii="Times New Roman" w:hAnsi="Times New Roman"/>
                  <w:sz w:val="22"/>
                </w:rPr>
                <w:t> </w:t>
              </w:r>
            </w:ins>
            <w:del w:id="841" w:author="Author">
              <w:r w:rsidRPr="00707120" w:rsidDel="00711599">
                <w:rPr>
                  <w:rFonts w:ascii="Times New Roman" w:hAnsi="Times New Roman"/>
                  <w:sz w:val="22"/>
                </w:rPr>
                <w:delText xml:space="preserve"> </w:delText>
              </w:r>
            </w:del>
            <w:r w:rsidRPr="00707120">
              <w:rPr>
                <w:rFonts w:ascii="Times New Roman" w:hAnsi="Times New Roman"/>
                <w:sz w:val="22"/>
              </w:rPr>
              <w:t>7,08</w:t>
            </w:r>
          </w:p>
        </w:tc>
        <w:tc>
          <w:tcPr>
            <w:tcW w:w="3261" w:type="dxa"/>
            <w:tcBorders>
              <w:top w:val="single" w:sz="4" w:space="0" w:color="auto"/>
              <w:left w:val="single" w:sz="4" w:space="0" w:color="auto"/>
              <w:bottom w:val="single" w:sz="4" w:space="0" w:color="auto"/>
              <w:right w:val="single" w:sz="4" w:space="0" w:color="auto"/>
            </w:tcBorders>
            <w:hideMark/>
          </w:tcPr>
          <w:p w14:paraId="168041CD" w14:textId="3B846186" w:rsidR="00A453C3" w:rsidRPr="00707120" w:rsidRDefault="00A453C3" w:rsidP="0067693D">
            <w:pPr>
              <w:pStyle w:val="TextTi9"/>
              <w:keepNext/>
              <w:keepLines/>
              <w:spacing w:after="0"/>
              <w:jc w:val="center"/>
              <w:rPr>
                <w:rFonts w:ascii="Times New Roman" w:hAnsi="Times New Roman"/>
                <w:sz w:val="22"/>
              </w:rPr>
            </w:pPr>
            <w:r w:rsidRPr="00707120">
              <w:rPr>
                <w:rFonts w:ascii="Times New Roman" w:hAnsi="Times New Roman"/>
                <w:sz w:val="22"/>
              </w:rPr>
              <w:t>18,4</w:t>
            </w:r>
            <w:ins w:id="842" w:author="Author">
              <w:r w:rsidR="00711599">
                <w:rPr>
                  <w:rFonts w:ascii="Times New Roman" w:hAnsi="Times New Roman"/>
                  <w:sz w:val="22"/>
                  <w:lang w:val="lv-LV"/>
                </w:rPr>
                <w:t> </w:t>
              </w:r>
            </w:ins>
            <w:del w:id="843" w:author="Author">
              <w:r w:rsidRPr="00707120" w:rsidDel="00711599">
                <w:rPr>
                  <w:rFonts w:ascii="Times New Roman" w:hAnsi="Times New Roman"/>
                  <w:sz w:val="22"/>
                </w:rPr>
                <w:delText xml:space="preserve"> </w:delText>
              </w:r>
            </w:del>
            <w:r w:rsidRPr="00707120">
              <w:rPr>
                <w:rFonts w:ascii="Times New Roman" w:hAnsi="Times New Roman"/>
                <w:sz w:val="22"/>
              </w:rPr>
              <w:t>±</w:t>
            </w:r>
            <w:ins w:id="844" w:author="Author">
              <w:r w:rsidR="00711599">
                <w:rPr>
                  <w:rFonts w:ascii="Times New Roman" w:hAnsi="Times New Roman"/>
                  <w:sz w:val="22"/>
                </w:rPr>
                <w:t> </w:t>
              </w:r>
            </w:ins>
            <w:del w:id="845" w:author="Author">
              <w:r w:rsidRPr="00707120" w:rsidDel="00711599">
                <w:rPr>
                  <w:rFonts w:ascii="Times New Roman" w:hAnsi="Times New Roman"/>
                  <w:sz w:val="22"/>
                </w:rPr>
                <w:delText xml:space="preserve"> </w:delText>
              </w:r>
            </w:del>
            <w:r w:rsidRPr="00707120">
              <w:rPr>
                <w:rFonts w:ascii="Times New Roman" w:hAnsi="Times New Roman"/>
                <w:sz w:val="22"/>
              </w:rPr>
              <w:t>12,9</w:t>
            </w:r>
          </w:p>
        </w:tc>
      </w:tr>
      <w:tr w:rsidR="00A453C3" w:rsidRPr="00FB280D" w14:paraId="512024C4" w14:textId="77777777" w:rsidTr="0067693D">
        <w:trPr>
          <w:cantSplit/>
          <w:trHeight w:val="324"/>
        </w:trPr>
        <w:tc>
          <w:tcPr>
            <w:tcW w:w="2943" w:type="dxa"/>
            <w:tcBorders>
              <w:top w:val="single" w:sz="4" w:space="0" w:color="auto"/>
              <w:left w:val="single" w:sz="4" w:space="0" w:color="auto"/>
              <w:bottom w:val="single" w:sz="4" w:space="0" w:color="auto"/>
              <w:right w:val="single" w:sz="4" w:space="0" w:color="auto"/>
            </w:tcBorders>
            <w:hideMark/>
          </w:tcPr>
          <w:p w14:paraId="447DCFFA" w14:textId="77777777" w:rsidR="00A453C3" w:rsidRPr="00707120" w:rsidRDefault="00A453C3" w:rsidP="0067693D">
            <w:pPr>
              <w:pStyle w:val="TextTi9"/>
              <w:keepNext/>
              <w:keepLines/>
              <w:spacing w:after="0"/>
              <w:rPr>
                <w:rFonts w:ascii="Times New Roman" w:hAnsi="Times New Roman"/>
                <w:sz w:val="22"/>
              </w:rPr>
            </w:pPr>
            <w:r w:rsidRPr="00707120">
              <w:rPr>
                <w:rFonts w:ascii="Times New Roman" w:hAnsi="Times New Roman"/>
                <w:sz w:val="22"/>
              </w:rPr>
              <w:t>C</w:t>
            </w:r>
            <w:r w:rsidRPr="00707120">
              <w:rPr>
                <w:rFonts w:ascii="Times New Roman" w:hAnsi="Times New Roman"/>
                <w:sz w:val="22"/>
                <w:vertAlign w:val="subscript"/>
              </w:rPr>
              <w:t>vid.</w:t>
            </w:r>
            <w:r w:rsidRPr="00707120">
              <w:rPr>
                <w:rFonts w:ascii="Times New Roman" w:hAnsi="Times New Roman"/>
                <w:sz w:val="22"/>
              </w:rPr>
              <w:t xml:space="preserve"> (µg/ml)</w:t>
            </w:r>
          </w:p>
        </w:tc>
        <w:tc>
          <w:tcPr>
            <w:tcW w:w="2835" w:type="dxa"/>
            <w:tcBorders>
              <w:top w:val="single" w:sz="4" w:space="0" w:color="auto"/>
              <w:left w:val="single" w:sz="4" w:space="0" w:color="auto"/>
              <w:bottom w:val="single" w:sz="4" w:space="0" w:color="auto"/>
              <w:right w:val="single" w:sz="4" w:space="0" w:color="auto"/>
            </w:tcBorders>
            <w:hideMark/>
          </w:tcPr>
          <w:p w14:paraId="29A082D6" w14:textId="7890205E" w:rsidR="00A453C3" w:rsidRPr="00707120" w:rsidRDefault="00A453C3" w:rsidP="0067693D">
            <w:pPr>
              <w:pStyle w:val="TextTi9"/>
              <w:keepNext/>
              <w:keepLines/>
              <w:spacing w:after="0"/>
              <w:jc w:val="center"/>
              <w:rPr>
                <w:rFonts w:ascii="Times New Roman" w:hAnsi="Times New Roman"/>
                <w:sz w:val="22"/>
              </w:rPr>
            </w:pPr>
            <w:r w:rsidRPr="00707120">
              <w:rPr>
                <w:rFonts w:ascii="Times New Roman" w:hAnsi="Times New Roman"/>
                <w:sz w:val="22"/>
              </w:rPr>
              <w:t>21,7</w:t>
            </w:r>
            <w:ins w:id="846" w:author="Author">
              <w:r w:rsidR="00711599">
                <w:rPr>
                  <w:rFonts w:ascii="Times New Roman" w:hAnsi="Times New Roman"/>
                  <w:sz w:val="22"/>
                </w:rPr>
                <w:t> </w:t>
              </w:r>
            </w:ins>
            <w:del w:id="847" w:author="Author">
              <w:r w:rsidRPr="00707120" w:rsidDel="00711599">
                <w:rPr>
                  <w:rFonts w:ascii="Times New Roman" w:hAnsi="Times New Roman"/>
                  <w:sz w:val="22"/>
                </w:rPr>
                <w:delText xml:space="preserve"> </w:delText>
              </w:r>
            </w:del>
            <w:r w:rsidRPr="00707120">
              <w:rPr>
                <w:rFonts w:ascii="Times New Roman" w:hAnsi="Times New Roman"/>
                <w:sz w:val="22"/>
              </w:rPr>
              <w:t>±</w:t>
            </w:r>
            <w:ins w:id="848" w:author="Author">
              <w:r w:rsidR="00711599">
                <w:rPr>
                  <w:rFonts w:ascii="Times New Roman" w:hAnsi="Times New Roman"/>
                  <w:sz w:val="22"/>
                </w:rPr>
                <w:t> </w:t>
              </w:r>
            </w:ins>
            <w:del w:id="849" w:author="Author">
              <w:r w:rsidRPr="00707120" w:rsidDel="00711599">
                <w:rPr>
                  <w:rFonts w:ascii="Times New Roman" w:hAnsi="Times New Roman"/>
                  <w:sz w:val="22"/>
                </w:rPr>
                <w:delText xml:space="preserve"> </w:delText>
              </w:r>
            </w:del>
            <w:r w:rsidRPr="00707120">
              <w:rPr>
                <w:rFonts w:ascii="Times New Roman" w:hAnsi="Times New Roman"/>
                <w:sz w:val="22"/>
              </w:rPr>
              <w:t>10,4</w:t>
            </w:r>
          </w:p>
        </w:tc>
        <w:tc>
          <w:tcPr>
            <w:tcW w:w="3261" w:type="dxa"/>
            <w:tcBorders>
              <w:top w:val="single" w:sz="4" w:space="0" w:color="auto"/>
              <w:left w:val="single" w:sz="4" w:space="0" w:color="auto"/>
              <w:bottom w:val="single" w:sz="4" w:space="0" w:color="auto"/>
              <w:right w:val="single" w:sz="4" w:space="0" w:color="auto"/>
            </w:tcBorders>
            <w:hideMark/>
          </w:tcPr>
          <w:p w14:paraId="0DC81D7E" w14:textId="53B3659F" w:rsidR="00A453C3" w:rsidRPr="00707120" w:rsidRDefault="00A453C3" w:rsidP="0067693D">
            <w:pPr>
              <w:pStyle w:val="TextTi9"/>
              <w:keepNext/>
              <w:keepLines/>
              <w:spacing w:after="0"/>
              <w:jc w:val="center"/>
              <w:rPr>
                <w:rFonts w:ascii="Times New Roman" w:hAnsi="Times New Roman"/>
                <w:sz w:val="22"/>
              </w:rPr>
            </w:pPr>
            <w:r w:rsidRPr="00707120">
              <w:rPr>
                <w:rFonts w:ascii="Times New Roman" w:hAnsi="Times New Roman"/>
                <w:sz w:val="22"/>
              </w:rPr>
              <w:t>45,5</w:t>
            </w:r>
            <w:ins w:id="850" w:author="Author">
              <w:r w:rsidR="00711599">
                <w:rPr>
                  <w:rFonts w:ascii="Times New Roman" w:hAnsi="Times New Roman"/>
                  <w:sz w:val="22"/>
                </w:rPr>
                <w:t> </w:t>
              </w:r>
            </w:ins>
            <w:del w:id="851" w:author="Author">
              <w:r w:rsidRPr="00707120" w:rsidDel="00711599">
                <w:rPr>
                  <w:rFonts w:ascii="Times New Roman" w:hAnsi="Times New Roman"/>
                  <w:sz w:val="22"/>
                </w:rPr>
                <w:delText xml:space="preserve"> </w:delText>
              </w:r>
            </w:del>
            <w:r w:rsidRPr="00707120">
              <w:rPr>
                <w:rFonts w:ascii="Times New Roman" w:hAnsi="Times New Roman"/>
                <w:sz w:val="22"/>
              </w:rPr>
              <w:t>±</w:t>
            </w:r>
            <w:ins w:id="852" w:author="Author">
              <w:r w:rsidR="00711599">
                <w:rPr>
                  <w:rFonts w:ascii="Times New Roman" w:hAnsi="Times New Roman"/>
                  <w:sz w:val="22"/>
                </w:rPr>
                <w:t> </w:t>
              </w:r>
            </w:ins>
            <w:del w:id="853" w:author="Author">
              <w:r w:rsidRPr="00707120" w:rsidDel="00711599">
                <w:rPr>
                  <w:rFonts w:ascii="Times New Roman" w:hAnsi="Times New Roman"/>
                  <w:sz w:val="22"/>
                </w:rPr>
                <w:delText xml:space="preserve"> </w:delText>
              </w:r>
            </w:del>
            <w:r w:rsidRPr="00707120">
              <w:rPr>
                <w:rFonts w:ascii="Times New Roman" w:hAnsi="Times New Roman"/>
                <w:sz w:val="22"/>
              </w:rPr>
              <w:t>19,8</w:t>
            </w:r>
          </w:p>
        </w:tc>
      </w:tr>
      <w:tr w:rsidR="00A453C3" w:rsidRPr="00FB280D" w14:paraId="06DF2CDA" w14:textId="77777777" w:rsidTr="0067693D">
        <w:trPr>
          <w:cantSplit/>
          <w:trHeight w:val="324"/>
        </w:trPr>
        <w:tc>
          <w:tcPr>
            <w:tcW w:w="2943" w:type="dxa"/>
            <w:tcBorders>
              <w:top w:val="single" w:sz="4" w:space="0" w:color="auto"/>
              <w:left w:val="single" w:sz="4" w:space="0" w:color="auto"/>
              <w:bottom w:val="single" w:sz="4" w:space="0" w:color="auto"/>
              <w:right w:val="single" w:sz="4" w:space="0" w:color="auto"/>
            </w:tcBorders>
            <w:hideMark/>
          </w:tcPr>
          <w:p w14:paraId="788FB31D" w14:textId="1A15CEC3" w:rsidR="00A453C3" w:rsidRPr="00707120" w:rsidRDefault="00A453C3" w:rsidP="0067693D">
            <w:pPr>
              <w:pStyle w:val="TextTi9"/>
              <w:keepNext/>
              <w:keepLines/>
              <w:spacing w:after="0"/>
              <w:rPr>
                <w:rFonts w:ascii="Times New Roman" w:hAnsi="Times New Roman"/>
                <w:sz w:val="22"/>
              </w:rPr>
            </w:pPr>
            <w:r w:rsidRPr="00707120">
              <w:rPr>
                <w:rFonts w:ascii="Times New Roman" w:hAnsi="Times New Roman"/>
                <w:sz w:val="22"/>
              </w:rPr>
              <w:t>Akumulācija, C</w:t>
            </w:r>
            <w:r w:rsidRPr="00707120">
              <w:rPr>
                <w:rFonts w:ascii="Times New Roman" w:hAnsi="Times New Roman"/>
                <w:sz w:val="22"/>
                <w:vertAlign w:val="subscript"/>
              </w:rPr>
              <w:t>maks.</w:t>
            </w:r>
          </w:p>
        </w:tc>
        <w:tc>
          <w:tcPr>
            <w:tcW w:w="2835" w:type="dxa"/>
            <w:tcBorders>
              <w:top w:val="single" w:sz="4" w:space="0" w:color="auto"/>
              <w:left w:val="single" w:sz="4" w:space="0" w:color="auto"/>
              <w:bottom w:val="single" w:sz="4" w:space="0" w:color="auto"/>
              <w:right w:val="single" w:sz="4" w:space="0" w:color="auto"/>
            </w:tcBorders>
          </w:tcPr>
          <w:p w14:paraId="3BD74A02" w14:textId="77777777" w:rsidR="00A453C3" w:rsidRPr="00707120" w:rsidRDefault="00A453C3" w:rsidP="0067693D">
            <w:pPr>
              <w:pStyle w:val="TextTi9"/>
              <w:keepNext/>
              <w:keepLines/>
              <w:spacing w:after="0"/>
              <w:jc w:val="center"/>
              <w:rPr>
                <w:rFonts w:ascii="Times New Roman" w:hAnsi="Times New Roman"/>
                <w:sz w:val="22"/>
              </w:rPr>
            </w:pPr>
            <w:r w:rsidRPr="00707120">
              <w:rPr>
                <w:rFonts w:ascii="Times New Roman" w:hAnsi="Times New Roman"/>
                <w:sz w:val="22"/>
              </w:rPr>
              <w:t>1,72</w:t>
            </w:r>
          </w:p>
        </w:tc>
        <w:tc>
          <w:tcPr>
            <w:tcW w:w="3261" w:type="dxa"/>
            <w:tcBorders>
              <w:top w:val="single" w:sz="4" w:space="0" w:color="auto"/>
              <w:left w:val="single" w:sz="4" w:space="0" w:color="auto"/>
              <w:bottom w:val="single" w:sz="4" w:space="0" w:color="auto"/>
              <w:right w:val="single" w:sz="4" w:space="0" w:color="auto"/>
            </w:tcBorders>
          </w:tcPr>
          <w:p w14:paraId="4D3F0CE9" w14:textId="77777777" w:rsidR="00A453C3" w:rsidRPr="00707120" w:rsidRDefault="00A453C3" w:rsidP="0067693D">
            <w:pPr>
              <w:pStyle w:val="TextTi9"/>
              <w:keepNext/>
              <w:keepLines/>
              <w:spacing w:after="0"/>
              <w:jc w:val="center"/>
              <w:rPr>
                <w:rFonts w:ascii="Times New Roman" w:hAnsi="Times New Roman"/>
                <w:sz w:val="22"/>
              </w:rPr>
            </w:pPr>
            <w:r w:rsidRPr="00707120">
              <w:rPr>
                <w:rFonts w:ascii="Times New Roman" w:hAnsi="Times New Roman"/>
                <w:sz w:val="22"/>
              </w:rPr>
              <w:t>1,32</w:t>
            </w:r>
          </w:p>
        </w:tc>
      </w:tr>
      <w:tr w:rsidR="00A453C3" w:rsidRPr="00FB280D" w14:paraId="35BA87D1" w14:textId="77777777" w:rsidTr="0067693D">
        <w:trPr>
          <w:cantSplit/>
          <w:trHeight w:val="331"/>
        </w:trPr>
        <w:tc>
          <w:tcPr>
            <w:tcW w:w="2943" w:type="dxa"/>
            <w:tcBorders>
              <w:top w:val="single" w:sz="4" w:space="0" w:color="auto"/>
              <w:left w:val="single" w:sz="4" w:space="0" w:color="auto"/>
              <w:bottom w:val="single" w:sz="4" w:space="0" w:color="auto"/>
              <w:right w:val="single" w:sz="4" w:space="0" w:color="auto"/>
            </w:tcBorders>
            <w:hideMark/>
          </w:tcPr>
          <w:p w14:paraId="3AC85161" w14:textId="7BA7B85F" w:rsidR="00A453C3" w:rsidRPr="00707120" w:rsidRDefault="00A453C3" w:rsidP="0067693D">
            <w:pPr>
              <w:pStyle w:val="TextTi9"/>
              <w:keepNext/>
              <w:keepLines/>
              <w:spacing w:after="0"/>
              <w:rPr>
                <w:rFonts w:ascii="Times New Roman" w:hAnsi="Times New Roman"/>
                <w:sz w:val="22"/>
              </w:rPr>
            </w:pPr>
            <w:r w:rsidRPr="00707120">
              <w:rPr>
                <w:rFonts w:ascii="Times New Roman" w:hAnsi="Times New Roman"/>
                <w:sz w:val="22"/>
              </w:rPr>
              <w:t>Akumulācija, C</w:t>
            </w:r>
            <w:r w:rsidRPr="00707120">
              <w:rPr>
                <w:rFonts w:ascii="Times New Roman" w:hAnsi="Times New Roman"/>
                <w:sz w:val="22"/>
                <w:vertAlign w:val="subscript"/>
              </w:rPr>
              <w:t>min</w:t>
            </w:r>
          </w:p>
        </w:tc>
        <w:tc>
          <w:tcPr>
            <w:tcW w:w="2835" w:type="dxa"/>
            <w:tcBorders>
              <w:top w:val="single" w:sz="4" w:space="0" w:color="auto"/>
              <w:left w:val="single" w:sz="4" w:space="0" w:color="auto"/>
              <w:bottom w:val="single" w:sz="4" w:space="0" w:color="auto"/>
              <w:right w:val="single" w:sz="4" w:space="0" w:color="auto"/>
            </w:tcBorders>
          </w:tcPr>
          <w:p w14:paraId="31E6DA32" w14:textId="77777777" w:rsidR="00A453C3" w:rsidRPr="00707120" w:rsidRDefault="00A453C3" w:rsidP="0067693D">
            <w:pPr>
              <w:pStyle w:val="TextTi9"/>
              <w:keepNext/>
              <w:keepLines/>
              <w:spacing w:after="0"/>
              <w:jc w:val="center"/>
              <w:rPr>
                <w:rFonts w:ascii="Times New Roman" w:hAnsi="Times New Roman"/>
                <w:sz w:val="22"/>
              </w:rPr>
            </w:pPr>
            <w:r w:rsidRPr="00707120">
              <w:rPr>
                <w:rFonts w:ascii="Times New Roman" w:hAnsi="Times New Roman"/>
                <w:sz w:val="22"/>
              </w:rPr>
              <w:t>3,58</w:t>
            </w:r>
          </w:p>
        </w:tc>
        <w:tc>
          <w:tcPr>
            <w:tcW w:w="3261" w:type="dxa"/>
            <w:tcBorders>
              <w:top w:val="single" w:sz="4" w:space="0" w:color="auto"/>
              <w:left w:val="single" w:sz="4" w:space="0" w:color="auto"/>
              <w:bottom w:val="single" w:sz="4" w:space="0" w:color="auto"/>
              <w:right w:val="single" w:sz="4" w:space="0" w:color="auto"/>
            </w:tcBorders>
          </w:tcPr>
          <w:p w14:paraId="004D6F7C" w14:textId="77777777" w:rsidR="00A453C3" w:rsidRPr="00707120" w:rsidRDefault="00A453C3" w:rsidP="0067693D">
            <w:pPr>
              <w:pStyle w:val="TextTi9"/>
              <w:keepNext/>
              <w:keepLines/>
              <w:spacing w:after="0"/>
              <w:jc w:val="center"/>
              <w:rPr>
                <w:rFonts w:ascii="Times New Roman" w:hAnsi="Times New Roman"/>
                <w:sz w:val="22"/>
              </w:rPr>
            </w:pPr>
            <w:r w:rsidRPr="00707120">
              <w:rPr>
                <w:rFonts w:ascii="Times New Roman" w:hAnsi="Times New Roman"/>
                <w:sz w:val="22"/>
              </w:rPr>
              <w:t>2,08</w:t>
            </w:r>
          </w:p>
        </w:tc>
      </w:tr>
      <w:tr w:rsidR="00A453C3" w:rsidRPr="00FB280D" w14:paraId="3B925A0F" w14:textId="77777777" w:rsidTr="0067693D">
        <w:trPr>
          <w:cantSplit/>
          <w:trHeight w:val="331"/>
        </w:trPr>
        <w:tc>
          <w:tcPr>
            <w:tcW w:w="2943" w:type="dxa"/>
            <w:tcBorders>
              <w:top w:val="single" w:sz="4" w:space="0" w:color="auto"/>
              <w:left w:val="single" w:sz="4" w:space="0" w:color="auto"/>
              <w:bottom w:val="single" w:sz="4" w:space="0" w:color="auto"/>
              <w:right w:val="single" w:sz="4" w:space="0" w:color="auto"/>
            </w:tcBorders>
          </w:tcPr>
          <w:p w14:paraId="4FF9375D" w14:textId="77777777" w:rsidR="00A453C3" w:rsidRPr="00707120" w:rsidRDefault="00A453C3" w:rsidP="0067693D">
            <w:pPr>
              <w:pStyle w:val="TextTi9"/>
              <w:keepNext/>
              <w:keepLines/>
              <w:spacing w:after="0"/>
              <w:rPr>
                <w:rFonts w:ascii="Times New Roman" w:hAnsi="Times New Roman"/>
                <w:sz w:val="22"/>
              </w:rPr>
            </w:pPr>
            <w:r w:rsidRPr="00707120">
              <w:rPr>
                <w:rFonts w:ascii="Times New Roman" w:hAnsi="Times New Roman"/>
                <w:sz w:val="22"/>
              </w:rPr>
              <w:t>Akumulācija, C</w:t>
            </w:r>
            <w:r w:rsidRPr="00707120">
              <w:rPr>
                <w:rFonts w:ascii="Times New Roman" w:hAnsi="Times New Roman"/>
                <w:sz w:val="22"/>
                <w:vertAlign w:val="subscript"/>
              </w:rPr>
              <w:t>vid.</w:t>
            </w:r>
            <w:r w:rsidRPr="00707120">
              <w:rPr>
                <w:rFonts w:ascii="Times New Roman" w:hAnsi="Times New Roman"/>
                <w:sz w:val="22"/>
              </w:rPr>
              <w:t xml:space="preserve"> vai AUC</w:t>
            </w:r>
            <w:r w:rsidRPr="00707120">
              <w:rPr>
                <w:rFonts w:ascii="Times New Roman" w:hAnsi="Times New Roman"/>
                <w:sz w:val="22"/>
                <w:vertAlign w:val="subscript"/>
              </w:rPr>
              <w:t>τ</w:t>
            </w:r>
            <w:r w:rsidRPr="00707120">
              <w:rPr>
                <w:rFonts w:ascii="Times New Roman" w:hAnsi="Times New Roman"/>
                <w:sz w:val="22"/>
              </w:rPr>
              <w:t>*</w:t>
            </w:r>
          </w:p>
        </w:tc>
        <w:tc>
          <w:tcPr>
            <w:tcW w:w="2835" w:type="dxa"/>
            <w:tcBorders>
              <w:top w:val="single" w:sz="4" w:space="0" w:color="auto"/>
              <w:left w:val="single" w:sz="4" w:space="0" w:color="auto"/>
              <w:bottom w:val="single" w:sz="4" w:space="0" w:color="auto"/>
              <w:right w:val="single" w:sz="4" w:space="0" w:color="auto"/>
            </w:tcBorders>
          </w:tcPr>
          <w:p w14:paraId="26CDDC3A" w14:textId="77777777" w:rsidR="00A453C3" w:rsidRPr="00707120" w:rsidRDefault="00A453C3" w:rsidP="0067693D">
            <w:pPr>
              <w:pStyle w:val="TextTi9"/>
              <w:keepNext/>
              <w:keepLines/>
              <w:spacing w:after="0"/>
              <w:jc w:val="center"/>
              <w:rPr>
                <w:rFonts w:ascii="Times New Roman" w:hAnsi="Times New Roman"/>
                <w:sz w:val="22"/>
              </w:rPr>
            </w:pPr>
            <w:r w:rsidRPr="00707120">
              <w:rPr>
                <w:rFonts w:ascii="Times New Roman" w:hAnsi="Times New Roman"/>
                <w:sz w:val="22"/>
              </w:rPr>
              <w:t>2,04</w:t>
            </w:r>
          </w:p>
        </w:tc>
        <w:tc>
          <w:tcPr>
            <w:tcW w:w="3261" w:type="dxa"/>
            <w:tcBorders>
              <w:top w:val="single" w:sz="4" w:space="0" w:color="auto"/>
              <w:left w:val="single" w:sz="4" w:space="0" w:color="auto"/>
              <w:bottom w:val="single" w:sz="4" w:space="0" w:color="auto"/>
              <w:right w:val="single" w:sz="4" w:space="0" w:color="auto"/>
            </w:tcBorders>
          </w:tcPr>
          <w:p w14:paraId="4286770F" w14:textId="77777777" w:rsidR="00A453C3" w:rsidRPr="00707120" w:rsidRDefault="00A453C3" w:rsidP="0067693D">
            <w:pPr>
              <w:pStyle w:val="TextTi9"/>
              <w:keepNext/>
              <w:keepLines/>
              <w:spacing w:after="0"/>
              <w:jc w:val="center"/>
              <w:rPr>
                <w:rFonts w:ascii="Times New Roman" w:hAnsi="Times New Roman"/>
                <w:sz w:val="22"/>
              </w:rPr>
            </w:pPr>
            <w:r w:rsidRPr="00707120">
              <w:rPr>
                <w:rFonts w:ascii="Times New Roman" w:hAnsi="Times New Roman"/>
                <w:sz w:val="22"/>
              </w:rPr>
              <w:t>1,46</w:t>
            </w:r>
          </w:p>
        </w:tc>
      </w:tr>
    </w:tbl>
    <w:p w14:paraId="7895C298" w14:textId="1E72C497" w:rsidR="00A453C3" w:rsidRPr="00290EF7" w:rsidRDefault="00A453C3" w:rsidP="00A453C3">
      <w:pPr>
        <w:rPr>
          <w:sz w:val="18"/>
          <w:szCs w:val="18"/>
        </w:rPr>
      </w:pPr>
      <w:r>
        <w:rPr>
          <w:sz w:val="18"/>
        </w:rPr>
        <w:t>*τ = attiecīgi 2 nedēļas vai 3 nedēļas abām subkutānas lietošanas shēmām.</w:t>
      </w:r>
    </w:p>
    <w:p w14:paraId="2457368F" w14:textId="77777777" w:rsidR="00A453C3" w:rsidRPr="00290EF7" w:rsidRDefault="00A453C3" w:rsidP="00A453C3"/>
    <w:p w14:paraId="40D4D0CF" w14:textId="438D48A8" w:rsidR="00A453C3" w:rsidRPr="00707120" w:rsidRDefault="00A453C3" w:rsidP="00A453C3">
      <w:pPr>
        <w:numPr>
          <w:ilvl w:val="12"/>
          <w:numId w:val="0"/>
        </w:numPr>
        <w:ind w:right="-2"/>
        <w:rPr>
          <w:iCs/>
          <w:lang w:val="es-ES"/>
        </w:rPr>
      </w:pPr>
      <w:bookmarkStart w:id="854" w:name="_Hlk174613545"/>
      <w:r w:rsidRPr="00707120">
        <w:rPr>
          <w:lang w:val="es-ES"/>
        </w:rPr>
        <w:t>Pēc intravenozas lietošanas aptuveni 90% no līdzsvara stāvokļa tika sasniegti līdz 12. nedēļai, lietojot devu 10 mg/kg (ķermeņa masa &lt; 30 kg), vai līdz 16. nedēļai, lietojot devu 8 mg/kg (ķermeņa masa</w:t>
      </w:r>
      <w:r w:rsidR="00C4507B" w:rsidRPr="00707120">
        <w:rPr>
          <w:lang w:val="es-ES"/>
        </w:rPr>
        <w:t> </w:t>
      </w:r>
      <w:r w:rsidRPr="00707120">
        <w:rPr>
          <w:lang w:val="es-ES"/>
        </w:rPr>
        <w:t xml:space="preserve">≥ 30 kg). Pēc 162 mg devas subkutānas lietošanas gan </w:t>
      </w:r>
      <w:del w:id="855" w:author="Author">
        <w:r w:rsidRPr="00707120" w:rsidDel="00CE6B8D">
          <w:rPr>
            <w:lang w:val="es-ES"/>
          </w:rPr>
          <w:delText xml:space="preserve"> </w:delText>
        </w:r>
      </w:del>
      <w:r w:rsidRPr="00707120">
        <w:rPr>
          <w:lang w:val="es-ES"/>
        </w:rPr>
        <w:t>Q2W, gan Q3W aptuveni 90% no līdzsvara stāvokļa tika sasniegts līdz 12. nedēļai.</w:t>
      </w:r>
    </w:p>
    <w:bookmarkEnd w:id="854"/>
    <w:p w14:paraId="3F5B6C44" w14:textId="77777777" w:rsidR="00A453C3" w:rsidRPr="00707120" w:rsidRDefault="00A453C3" w:rsidP="00A453C3">
      <w:pPr>
        <w:numPr>
          <w:ilvl w:val="12"/>
          <w:numId w:val="0"/>
        </w:numPr>
        <w:ind w:right="-2"/>
        <w:rPr>
          <w:iCs/>
          <w:lang w:val="es-ES"/>
        </w:rPr>
      </w:pPr>
    </w:p>
    <w:p w14:paraId="31554917" w14:textId="77777777" w:rsidR="00A453C3" w:rsidRPr="00707120" w:rsidRDefault="00A453C3" w:rsidP="00707120">
      <w:pPr>
        <w:keepNext/>
        <w:numPr>
          <w:ilvl w:val="12"/>
          <w:numId w:val="0"/>
        </w:numPr>
        <w:ind w:right="-2"/>
        <w:rPr>
          <w:i/>
          <w:iCs/>
          <w:u w:val="single"/>
          <w:lang w:val="es-ES"/>
        </w:rPr>
      </w:pPr>
      <w:r w:rsidRPr="00707120">
        <w:rPr>
          <w:i/>
          <w:iCs/>
          <w:u w:val="single"/>
          <w:lang w:val="es-ES"/>
        </w:rPr>
        <w:t>Uzsūkšanās</w:t>
      </w:r>
    </w:p>
    <w:p w14:paraId="2FE1CFC6" w14:textId="7D8DB41E" w:rsidR="00A453C3" w:rsidRPr="00707120" w:rsidRDefault="00A453C3" w:rsidP="00A453C3">
      <w:pPr>
        <w:numPr>
          <w:ilvl w:val="12"/>
          <w:numId w:val="0"/>
        </w:numPr>
        <w:ind w:right="-2"/>
        <w:rPr>
          <w:iCs/>
          <w:lang w:val="es-ES"/>
        </w:rPr>
      </w:pPr>
      <w:bookmarkStart w:id="856" w:name="_Hlk174613556"/>
      <w:r w:rsidRPr="00707120">
        <w:rPr>
          <w:lang w:val="es-ES"/>
        </w:rPr>
        <w:t>Pēc subkutānas lietošanas pacientiem ar pJIA uzsūkšanās pusperiods bija aptuveni 2 dienas, un subkutāni lietojamās zāļu formas biopieejamība pacientiem ar pJIA bija 96%.</w:t>
      </w:r>
    </w:p>
    <w:bookmarkEnd w:id="856"/>
    <w:p w14:paraId="04EC9F4C" w14:textId="77777777" w:rsidR="00A453C3" w:rsidRPr="00707120" w:rsidRDefault="00A453C3" w:rsidP="00A453C3">
      <w:pPr>
        <w:rPr>
          <w:iCs/>
          <w:lang w:val="es-ES"/>
        </w:rPr>
      </w:pPr>
    </w:p>
    <w:p w14:paraId="04A7DB37" w14:textId="77777777" w:rsidR="00A453C3" w:rsidRPr="00707120" w:rsidRDefault="00A453C3" w:rsidP="00707120">
      <w:pPr>
        <w:keepNext/>
        <w:numPr>
          <w:ilvl w:val="12"/>
          <w:numId w:val="0"/>
        </w:numPr>
        <w:ind w:right="-2"/>
        <w:rPr>
          <w:i/>
          <w:iCs/>
          <w:u w:val="single"/>
          <w:lang w:val="es-ES"/>
        </w:rPr>
      </w:pPr>
      <w:r w:rsidRPr="00707120">
        <w:rPr>
          <w:i/>
          <w:iCs/>
          <w:u w:val="single"/>
          <w:lang w:val="es-ES"/>
        </w:rPr>
        <w:t>Izkliede</w:t>
      </w:r>
    </w:p>
    <w:p w14:paraId="36916DBA" w14:textId="77777777" w:rsidR="00A453C3" w:rsidRPr="00707120" w:rsidRDefault="00A453C3" w:rsidP="00A453C3">
      <w:pPr>
        <w:numPr>
          <w:ilvl w:val="12"/>
          <w:numId w:val="0"/>
        </w:numPr>
        <w:ind w:right="-2"/>
        <w:rPr>
          <w:iCs/>
          <w:lang w:val="es-ES"/>
        </w:rPr>
      </w:pPr>
      <w:r w:rsidRPr="00707120">
        <w:rPr>
          <w:lang w:val="es-ES"/>
        </w:rPr>
        <w:t>Pediatriskajiem pacientiem ar pJIA centrālais izkliedes tilpums bija 1,97 l, bet perifēriskais izkliedes tilpums bija 2,03 l, kā rezultātā izkliedes tilpums līdzsvara stāvoklī bija 4,0 l.</w:t>
      </w:r>
    </w:p>
    <w:p w14:paraId="042B3A83" w14:textId="77777777" w:rsidR="00A453C3" w:rsidRPr="00707120" w:rsidRDefault="00A453C3" w:rsidP="00A453C3">
      <w:pPr>
        <w:numPr>
          <w:ilvl w:val="12"/>
          <w:numId w:val="0"/>
        </w:numPr>
        <w:ind w:right="-2"/>
        <w:rPr>
          <w:iCs/>
          <w:lang w:val="es-ES"/>
        </w:rPr>
      </w:pPr>
    </w:p>
    <w:p w14:paraId="09706113" w14:textId="77777777" w:rsidR="00A453C3" w:rsidRPr="00707120" w:rsidRDefault="00A453C3" w:rsidP="00A453C3">
      <w:pPr>
        <w:keepNext/>
        <w:keepLines/>
        <w:numPr>
          <w:ilvl w:val="12"/>
          <w:numId w:val="0"/>
        </w:numPr>
        <w:rPr>
          <w:i/>
          <w:iCs/>
          <w:u w:val="single"/>
          <w:lang w:val="es-ES"/>
        </w:rPr>
      </w:pPr>
      <w:r w:rsidRPr="00707120">
        <w:rPr>
          <w:i/>
          <w:iCs/>
          <w:u w:val="single"/>
          <w:lang w:val="es-ES"/>
        </w:rPr>
        <w:t>Eliminācija</w:t>
      </w:r>
    </w:p>
    <w:p w14:paraId="3748D332" w14:textId="14CC0B9B" w:rsidR="00A453C3" w:rsidRPr="00707120" w:rsidRDefault="00A453C3" w:rsidP="00707120">
      <w:pPr>
        <w:keepLines/>
        <w:numPr>
          <w:ilvl w:val="12"/>
          <w:numId w:val="0"/>
        </w:numPr>
        <w:rPr>
          <w:lang w:val="es-ES"/>
        </w:rPr>
      </w:pPr>
      <w:bookmarkStart w:id="857" w:name="_Hlk174613567"/>
      <w:r w:rsidRPr="00707120">
        <w:rPr>
          <w:lang w:val="es-ES"/>
        </w:rPr>
        <w:t xml:space="preserve">Populācijas farmakokinētikas analīzē pacientiem, kuriem bija pJIA, konstatēta ar ķermeņa izmēru saistīta ietekme uz lineāro klīrensu, tāpēc jāņem vērā lietošana, pamatojoties uz ķermeņa masu (skatīt 9. tabulu). </w:t>
      </w:r>
    </w:p>
    <w:bookmarkEnd w:id="857"/>
    <w:p w14:paraId="7FDAEEF7" w14:textId="77777777" w:rsidR="00A453C3" w:rsidRPr="00707120" w:rsidRDefault="00A453C3" w:rsidP="00A453C3">
      <w:pPr>
        <w:numPr>
          <w:ilvl w:val="12"/>
          <w:numId w:val="0"/>
        </w:numPr>
        <w:ind w:right="-2"/>
        <w:rPr>
          <w:lang w:val="es-ES"/>
        </w:rPr>
      </w:pPr>
    </w:p>
    <w:p w14:paraId="0D0E76B7" w14:textId="30F8A916" w:rsidR="00A453C3" w:rsidRDefault="00A453C3" w:rsidP="00A453C3">
      <w:pPr>
        <w:numPr>
          <w:ilvl w:val="12"/>
          <w:numId w:val="0"/>
        </w:numPr>
        <w:ind w:right="-2"/>
        <w:rPr>
          <w:szCs w:val="22"/>
          <w:lang w:val="lv-LV"/>
        </w:rPr>
      </w:pPr>
      <w:bookmarkStart w:id="858" w:name="_Hlk174613582"/>
      <w:r w:rsidRPr="00707120">
        <w:rPr>
          <w:lang w:val="es-ES"/>
        </w:rPr>
        <w:t>Pēc subkutānas ievadīšanas tocilizumaba efektīvais t</w:t>
      </w:r>
      <w:r w:rsidRPr="00707120">
        <w:rPr>
          <w:vertAlign w:val="subscript"/>
          <w:lang w:val="es-ES"/>
        </w:rPr>
        <w:t>1/2</w:t>
      </w:r>
      <w:r w:rsidRPr="00707120">
        <w:rPr>
          <w:lang w:val="es-ES"/>
        </w:rPr>
        <w:t xml:space="preserve"> pacientiem ar pJIA zāļu lietošanas laikā līdzsvara stāvoklī ir līdz 10 dienām </w:t>
      </w:r>
      <w:r w:rsidRPr="00707120">
        <w:rPr>
          <w:color w:val="000000"/>
          <w:shd w:val="clear" w:color="auto" w:fill="FFFFFF"/>
          <w:lang w:val="es-ES"/>
        </w:rPr>
        <w:t>pacientiem, kuru ķermeņa masa ir &lt; 30 kg (162 mg deva subkutāni Q3W), un līdz 7 dienām pacientiem, kuru ķermeņa masa ir ≥ 30 kg (162 mg deva subkutāni Q2W)</w:t>
      </w:r>
      <w:r w:rsidRPr="00707120">
        <w:rPr>
          <w:lang w:val="es-ES"/>
        </w:rPr>
        <w:t>. Pēc intravenozas ievadīšanas tocilizumaba eliminācija no asinsrites notiek divās fāzēs. Kopējais tocilizumaba klīrenss bija atkarīgs no koncentrācijas, un to veido lineārā klīrensa un nelineārā klīrensa summa. Lineārais klīrenss tika noteikts kā raksturlielums populācijas farmakokinētikas analīzē, un tas bija 6,25 ml/h. No koncentrācijas atkarīgajam nelineārajam klīrensam ir svarīga nozīme, ja ir zema tocilizumaba koncentrācija. Tiklīdz nelineārais ceļš ir piesātinājies, pie augstākas tocilizumaba koncentrācijas klīrensu galvenokārt nosaka lineārais klīrenss.</w:t>
      </w:r>
    </w:p>
    <w:bookmarkEnd w:id="858"/>
    <w:p w14:paraId="7EECFD0E" w14:textId="77777777" w:rsidR="00A453C3" w:rsidRPr="00515E07" w:rsidRDefault="00A453C3" w:rsidP="00A453C3">
      <w:pPr>
        <w:rPr>
          <w:szCs w:val="22"/>
          <w:lang w:val="lv-LV"/>
        </w:rPr>
      </w:pPr>
    </w:p>
    <w:p w14:paraId="64B4F33A" w14:textId="7BC32C02" w:rsidR="00A453C3" w:rsidRPr="00D30C7D" w:rsidDel="00C52275" w:rsidRDefault="00A453C3" w:rsidP="00707120">
      <w:pPr>
        <w:keepNext/>
        <w:numPr>
          <w:ilvl w:val="12"/>
          <w:numId w:val="0"/>
        </w:numPr>
        <w:ind w:right="-2"/>
        <w:rPr>
          <w:moveFrom w:id="859" w:author="Author"/>
          <w:iCs/>
          <w:szCs w:val="22"/>
          <w:u w:val="single"/>
          <w:lang w:val="lv-LV"/>
        </w:rPr>
      </w:pPr>
      <w:moveFromRangeStart w:id="860" w:author="Author" w:name="move205280795"/>
      <w:moveFrom w:id="861" w:author="Author">
        <w:r w:rsidDel="00C52275">
          <w:rPr>
            <w:u w:val="single"/>
            <w:lang w:val="lv-LV"/>
          </w:rPr>
          <w:t xml:space="preserve">Pacienti ar </w:t>
        </w:r>
        <w:r w:rsidRPr="00D30C7D" w:rsidDel="00C52275">
          <w:rPr>
            <w:u w:val="single"/>
            <w:lang w:val="lv-LV"/>
          </w:rPr>
          <w:t>GCA</w:t>
        </w:r>
      </w:moveFrom>
    </w:p>
    <w:moveFromRangeEnd w:id="860"/>
    <w:p w14:paraId="0CE3DCB4" w14:textId="77777777" w:rsidR="00A453C3" w:rsidRPr="00F82186" w:rsidRDefault="00A453C3" w:rsidP="00707120">
      <w:pPr>
        <w:keepNext/>
        <w:numPr>
          <w:ilvl w:val="12"/>
          <w:numId w:val="0"/>
        </w:numPr>
        <w:ind w:right="-2"/>
        <w:rPr>
          <w:iCs/>
          <w:szCs w:val="22"/>
          <w:u w:val="single"/>
          <w:lang w:val="lv-LV"/>
          <w:rPrChange w:id="862" w:author="Author">
            <w:rPr>
              <w:i/>
              <w:iCs/>
              <w:szCs w:val="22"/>
              <w:lang w:val="lv-LV"/>
            </w:rPr>
          </w:rPrChange>
        </w:rPr>
      </w:pPr>
      <w:r w:rsidRPr="00F82186">
        <w:rPr>
          <w:iCs/>
          <w:u w:val="single"/>
          <w:lang w:val="lv-LV"/>
          <w:rPrChange w:id="863" w:author="Author">
            <w:rPr>
              <w:i/>
              <w:iCs/>
              <w:lang w:val="lv-LV"/>
            </w:rPr>
          </w:rPrChange>
        </w:rPr>
        <w:t>Subkutāna lietošana</w:t>
      </w:r>
    </w:p>
    <w:p w14:paraId="7ABC0E2A" w14:textId="77777777" w:rsidR="00C52275" w:rsidRPr="00F82186" w:rsidRDefault="00C52275" w:rsidP="00C52275">
      <w:pPr>
        <w:keepNext/>
        <w:numPr>
          <w:ilvl w:val="12"/>
          <w:numId w:val="0"/>
        </w:numPr>
        <w:ind w:right="-2"/>
        <w:rPr>
          <w:moveTo w:id="864" w:author="Author"/>
          <w:i/>
          <w:iCs/>
          <w:szCs w:val="22"/>
          <w:lang w:val="lv-LV"/>
          <w:rPrChange w:id="865" w:author="Author">
            <w:rPr>
              <w:moveTo w:id="866" w:author="Author"/>
              <w:iCs/>
              <w:szCs w:val="22"/>
              <w:u w:val="single"/>
              <w:lang w:val="lv-LV"/>
            </w:rPr>
          </w:rPrChange>
        </w:rPr>
      </w:pPr>
      <w:bookmarkStart w:id="867" w:name="_Hlk174613594"/>
      <w:moveToRangeStart w:id="868" w:author="Author" w:name="move205280795"/>
      <w:moveTo w:id="869" w:author="Author">
        <w:r w:rsidRPr="00F82186">
          <w:rPr>
            <w:i/>
            <w:lang w:val="lv-LV"/>
            <w:rPrChange w:id="870" w:author="Author">
              <w:rPr>
                <w:u w:val="single"/>
                <w:lang w:val="lv-LV"/>
              </w:rPr>
            </w:rPrChange>
          </w:rPr>
          <w:t>Pacienti ar GCA</w:t>
        </w:r>
      </w:moveTo>
    </w:p>
    <w:moveToRangeEnd w:id="868"/>
    <w:p w14:paraId="76475BC5" w14:textId="77777777" w:rsidR="00C52275" w:rsidRDefault="00C52275" w:rsidP="00A453C3">
      <w:pPr>
        <w:rPr>
          <w:ins w:id="871" w:author="Author"/>
          <w:lang w:val="lv-LV"/>
        </w:rPr>
      </w:pPr>
    </w:p>
    <w:p w14:paraId="1C9696B2" w14:textId="17A37EE2" w:rsidR="00A453C3" w:rsidRDefault="00A453C3" w:rsidP="00A453C3">
      <w:pPr>
        <w:rPr>
          <w:lang w:val="lv-LV"/>
        </w:rPr>
      </w:pPr>
      <w:r>
        <w:rPr>
          <w:lang w:val="lv-LV"/>
        </w:rPr>
        <w:t>Tocilizumaba</w:t>
      </w:r>
      <w:r w:rsidRPr="00D30C7D">
        <w:rPr>
          <w:lang w:val="lv-LV"/>
        </w:rPr>
        <w:t xml:space="preserve"> FK pacientiem</w:t>
      </w:r>
      <w:r>
        <w:rPr>
          <w:lang w:val="lv-LV"/>
        </w:rPr>
        <w:t xml:space="preserve"> ar</w:t>
      </w:r>
      <w:r w:rsidRPr="00D30C7D">
        <w:rPr>
          <w:lang w:val="lv-LV"/>
        </w:rPr>
        <w:t xml:space="preserve"> GCA noteikta, izmantojot popul</w:t>
      </w:r>
      <w:r>
        <w:rPr>
          <w:lang w:val="lv-LV"/>
        </w:rPr>
        <w:t>ā</w:t>
      </w:r>
      <w:r w:rsidRPr="00D30C7D">
        <w:rPr>
          <w:lang w:val="lv-LV"/>
        </w:rPr>
        <w:t xml:space="preserve">cijas FK modeli no analīzes </w:t>
      </w:r>
      <w:r>
        <w:rPr>
          <w:lang w:val="lv-LV"/>
        </w:rPr>
        <w:t xml:space="preserve">par </w:t>
      </w:r>
      <w:r w:rsidRPr="00D30C7D">
        <w:rPr>
          <w:lang w:val="lv-LV"/>
        </w:rPr>
        <w:t>datu kop</w:t>
      </w:r>
      <w:r>
        <w:rPr>
          <w:lang w:val="lv-LV"/>
        </w:rPr>
        <w:t>u</w:t>
      </w:r>
      <w:r w:rsidRPr="00D30C7D">
        <w:rPr>
          <w:lang w:val="lv-LV"/>
        </w:rPr>
        <w:t>, kurā bija ietveri dati par 149</w:t>
      </w:r>
      <w:r>
        <w:rPr>
          <w:lang w:val="lv-LV"/>
        </w:rPr>
        <w:t> </w:t>
      </w:r>
      <w:r w:rsidRPr="00D30C7D">
        <w:rPr>
          <w:lang w:val="lv-LV"/>
        </w:rPr>
        <w:t xml:space="preserve">pacientiem ar GCA, kuri </w:t>
      </w:r>
      <w:r>
        <w:rPr>
          <w:lang w:val="lv-LV"/>
        </w:rPr>
        <w:t xml:space="preserve">subkutāni </w:t>
      </w:r>
      <w:r w:rsidRPr="00D30C7D">
        <w:rPr>
          <w:lang w:val="lv-LV"/>
        </w:rPr>
        <w:t>lietoja 162</w:t>
      </w:r>
      <w:r>
        <w:rPr>
          <w:lang w:val="lv-LV"/>
        </w:rPr>
        <w:t> </w:t>
      </w:r>
      <w:r w:rsidRPr="00D30C7D">
        <w:rPr>
          <w:lang w:val="lv-LV"/>
        </w:rPr>
        <w:t xml:space="preserve">mg </w:t>
      </w:r>
      <w:r>
        <w:rPr>
          <w:lang w:val="lv-LV"/>
        </w:rPr>
        <w:t xml:space="preserve">devu </w:t>
      </w:r>
      <w:r w:rsidRPr="00D30C7D">
        <w:rPr>
          <w:lang w:val="lv-LV"/>
        </w:rPr>
        <w:t>reizi nedēļā vai 162</w:t>
      </w:r>
      <w:r>
        <w:rPr>
          <w:lang w:val="lv-LV"/>
        </w:rPr>
        <w:t> </w:t>
      </w:r>
      <w:r w:rsidRPr="00D30C7D">
        <w:rPr>
          <w:lang w:val="lv-LV"/>
        </w:rPr>
        <w:t xml:space="preserve">mg </w:t>
      </w:r>
      <w:r>
        <w:rPr>
          <w:lang w:val="lv-LV"/>
        </w:rPr>
        <w:t xml:space="preserve">devu </w:t>
      </w:r>
      <w:r w:rsidRPr="00D30C7D">
        <w:rPr>
          <w:lang w:val="lv-LV"/>
        </w:rPr>
        <w:t xml:space="preserve">subkutāni katru otro nedēļu. Izveidotā modeļa struktūra bija identiska kā iepriekš izveidotam populācijas FK modelim, pamatojoties uz datiem par pacientiem ar RA (skatīt </w:t>
      </w:r>
      <w:r>
        <w:rPr>
          <w:lang w:val="lv-LV"/>
        </w:rPr>
        <w:t>10</w:t>
      </w:r>
      <w:r w:rsidRPr="00D30C7D">
        <w:rPr>
          <w:lang w:val="lv-LV"/>
        </w:rPr>
        <w:t>.</w:t>
      </w:r>
      <w:r>
        <w:rPr>
          <w:lang w:val="lv-LV"/>
        </w:rPr>
        <w:t> </w:t>
      </w:r>
      <w:r w:rsidRPr="00D30C7D">
        <w:rPr>
          <w:lang w:val="lv-LV"/>
        </w:rPr>
        <w:t>tabulu).</w:t>
      </w:r>
    </w:p>
    <w:bookmarkEnd w:id="867"/>
    <w:p w14:paraId="581FF212" w14:textId="77777777" w:rsidR="00A453C3" w:rsidRPr="00D30C7D" w:rsidRDefault="00A453C3" w:rsidP="00A453C3">
      <w:pPr>
        <w:spacing w:line="280" w:lineRule="atLeast"/>
        <w:rPr>
          <w:i/>
          <w:szCs w:val="22"/>
          <w:lang w:val="lv-LV"/>
        </w:rPr>
      </w:pPr>
    </w:p>
    <w:p w14:paraId="5C967A59" w14:textId="0446328A" w:rsidR="00A453C3" w:rsidRDefault="00A453C3" w:rsidP="00A453C3">
      <w:pPr>
        <w:keepNext/>
        <w:keepLines/>
        <w:spacing w:line="280" w:lineRule="atLeast"/>
        <w:rPr>
          <w:i/>
          <w:lang w:val="lv-LV"/>
        </w:rPr>
      </w:pPr>
      <w:r>
        <w:rPr>
          <w:i/>
          <w:lang w:val="lv-LV"/>
        </w:rPr>
        <w:t>10</w:t>
      </w:r>
      <w:r w:rsidRPr="00D30C7D">
        <w:rPr>
          <w:i/>
          <w:lang w:val="lv-LV"/>
        </w:rPr>
        <w:t>.</w:t>
      </w:r>
      <w:r>
        <w:rPr>
          <w:i/>
          <w:lang w:val="lv-LV"/>
        </w:rPr>
        <w:t> </w:t>
      </w:r>
      <w:r w:rsidRPr="00D30C7D">
        <w:rPr>
          <w:i/>
          <w:lang w:val="lv-LV"/>
        </w:rPr>
        <w:t xml:space="preserve">tabula. </w:t>
      </w:r>
      <w:r>
        <w:rPr>
          <w:i/>
          <w:lang w:val="lv-LV"/>
        </w:rPr>
        <w:t>FK rādītāju p</w:t>
      </w:r>
      <w:r w:rsidRPr="00D30C7D">
        <w:rPr>
          <w:i/>
          <w:lang w:val="lv-LV"/>
        </w:rPr>
        <w:t>rognozētā vidējā vērtība ±</w:t>
      </w:r>
      <w:r>
        <w:rPr>
          <w:i/>
          <w:lang w:val="lv-LV"/>
        </w:rPr>
        <w:t> SN</w:t>
      </w:r>
      <w:r w:rsidRPr="00D30C7D">
        <w:rPr>
          <w:i/>
          <w:lang w:val="lv-LV"/>
        </w:rPr>
        <w:t xml:space="preserve"> līdzsvara stāvoklī pēc subkutānas ievadīšanas pacientiem ar GCA</w:t>
      </w:r>
    </w:p>
    <w:p w14:paraId="13E0920F" w14:textId="77777777" w:rsidR="00A453C3" w:rsidRPr="00D30C7D" w:rsidRDefault="00A453C3" w:rsidP="00A453C3">
      <w:pPr>
        <w:keepNext/>
        <w:keepLines/>
        <w:spacing w:line="280" w:lineRule="atLeast"/>
        <w:rPr>
          <w:i/>
          <w:color w:val="000000"/>
          <w:szCs w:val="22"/>
          <w:lang w:val="lv-LV"/>
        </w:rPr>
      </w:pP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2923"/>
        <w:gridCol w:w="2924"/>
      </w:tblGrid>
      <w:tr w:rsidR="00A453C3" w:rsidRPr="00FB280D" w14:paraId="34B89172" w14:textId="77777777" w:rsidTr="00707120">
        <w:trPr>
          <w:cantSplit/>
          <w:trHeight w:val="128"/>
          <w:jc w:val="center"/>
        </w:trPr>
        <w:tc>
          <w:tcPr>
            <w:tcW w:w="2972" w:type="dxa"/>
            <w:tcBorders>
              <w:top w:val="single" w:sz="4" w:space="0" w:color="auto"/>
              <w:left w:val="single" w:sz="4" w:space="0" w:color="auto"/>
              <w:bottom w:val="single" w:sz="4" w:space="0" w:color="auto"/>
              <w:right w:val="single" w:sz="4" w:space="0" w:color="auto"/>
            </w:tcBorders>
          </w:tcPr>
          <w:p w14:paraId="2950083E" w14:textId="77777777" w:rsidR="00A453C3" w:rsidRPr="00707120" w:rsidRDefault="00A453C3" w:rsidP="0067693D">
            <w:pPr>
              <w:keepNext/>
              <w:keepLines/>
              <w:spacing w:before="113" w:after="57" w:line="280" w:lineRule="atLeast"/>
              <w:ind w:left="1701" w:hanging="1701"/>
              <w:outlineLvl w:val="6"/>
              <w:rPr>
                <w:rFonts w:eastAsia="MS Mincho"/>
                <w:b/>
                <w:szCs w:val="22"/>
                <w:lang w:val="lv-LV"/>
              </w:rPr>
            </w:pPr>
          </w:p>
        </w:tc>
        <w:tc>
          <w:tcPr>
            <w:tcW w:w="5847" w:type="dxa"/>
            <w:gridSpan w:val="2"/>
            <w:tcBorders>
              <w:top w:val="single" w:sz="4" w:space="0" w:color="auto"/>
              <w:left w:val="single" w:sz="4" w:space="0" w:color="auto"/>
              <w:bottom w:val="single" w:sz="4" w:space="0" w:color="auto"/>
              <w:right w:val="single" w:sz="4" w:space="0" w:color="auto"/>
            </w:tcBorders>
          </w:tcPr>
          <w:p w14:paraId="7E58EE3D" w14:textId="140D9068" w:rsidR="00A453C3" w:rsidRPr="00707120" w:rsidRDefault="00A453C3" w:rsidP="0067693D">
            <w:pPr>
              <w:keepNext/>
              <w:keepLines/>
              <w:spacing w:after="200"/>
              <w:jc w:val="center"/>
              <w:rPr>
                <w:rFonts w:eastAsia="PMingLiU"/>
                <w:b/>
                <w:szCs w:val="22"/>
              </w:rPr>
            </w:pPr>
            <w:r w:rsidRPr="00707120">
              <w:rPr>
                <w:b/>
                <w:szCs w:val="22"/>
              </w:rPr>
              <w:t xml:space="preserve">Subkutāni </w:t>
            </w:r>
          </w:p>
        </w:tc>
      </w:tr>
      <w:tr w:rsidR="00A453C3" w:rsidRPr="00FB280D" w14:paraId="0E81A2B7" w14:textId="77777777" w:rsidTr="00707120">
        <w:trPr>
          <w:cantSplit/>
          <w:trHeight w:val="452"/>
          <w:jc w:val="center"/>
        </w:trPr>
        <w:tc>
          <w:tcPr>
            <w:tcW w:w="2972" w:type="dxa"/>
            <w:tcBorders>
              <w:top w:val="single" w:sz="4" w:space="0" w:color="auto"/>
              <w:left w:val="single" w:sz="4" w:space="0" w:color="auto"/>
              <w:bottom w:val="single" w:sz="4" w:space="0" w:color="auto"/>
              <w:right w:val="single" w:sz="4" w:space="0" w:color="auto"/>
            </w:tcBorders>
          </w:tcPr>
          <w:p w14:paraId="27B0A2D9" w14:textId="6769A911" w:rsidR="00A453C3" w:rsidRPr="00707120" w:rsidRDefault="00A453C3" w:rsidP="0067693D">
            <w:pPr>
              <w:keepNext/>
              <w:keepLines/>
              <w:spacing w:after="120"/>
              <w:rPr>
                <w:rFonts w:eastAsia="PMingLiU"/>
                <w:szCs w:val="22"/>
              </w:rPr>
            </w:pPr>
            <w:r w:rsidRPr="00707120">
              <w:rPr>
                <w:b/>
                <w:szCs w:val="22"/>
              </w:rPr>
              <w:t>Tocilizumaba FK rādītājs</w:t>
            </w:r>
          </w:p>
        </w:tc>
        <w:tc>
          <w:tcPr>
            <w:tcW w:w="2923" w:type="dxa"/>
            <w:tcBorders>
              <w:top w:val="single" w:sz="4" w:space="0" w:color="auto"/>
              <w:left w:val="single" w:sz="4" w:space="0" w:color="auto"/>
              <w:bottom w:val="single" w:sz="4" w:space="0" w:color="auto"/>
              <w:right w:val="single" w:sz="4" w:space="0" w:color="auto"/>
            </w:tcBorders>
          </w:tcPr>
          <w:p w14:paraId="3E642FE8" w14:textId="5B87CF5C" w:rsidR="00A453C3" w:rsidRPr="00707120" w:rsidRDefault="00A453C3" w:rsidP="0067693D">
            <w:pPr>
              <w:keepNext/>
              <w:keepLines/>
              <w:spacing w:after="120"/>
              <w:jc w:val="center"/>
              <w:rPr>
                <w:rFonts w:eastAsia="PMingLiU"/>
                <w:b/>
                <w:szCs w:val="22"/>
              </w:rPr>
            </w:pPr>
            <w:r w:rsidRPr="00707120">
              <w:rPr>
                <w:b/>
                <w:szCs w:val="22"/>
              </w:rPr>
              <w:t>162 mg katru otro nedēļu</w:t>
            </w:r>
          </w:p>
        </w:tc>
        <w:tc>
          <w:tcPr>
            <w:tcW w:w="2924" w:type="dxa"/>
            <w:tcBorders>
              <w:top w:val="single" w:sz="4" w:space="0" w:color="auto"/>
              <w:left w:val="single" w:sz="4" w:space="0" w:color="auto"/>
              <w:bottom w:val="single" w:sz="4" w:space="0" w:color="auto"/>
              <w:right w:val="single" w:sz="4" w:space="0" w:color="auto"/>
            </w:tcBorders>
          </w:tcPr>
          <w:p w14:paraId="248E9F4A" w14:textId="042AE2A1" w:rsidR="00A453C3" w:rsidRPr="00707120" w:rsidRDefault="00A453C3" w:rsidP="0067693D">
            <w:pPr>
              <w:keepNext/>
              <w:keepLines/>
              <w:spacing w:after="120"/>
              <w:jc w:val="center"/>
              <w:rPr>
                <w:rFonts w:eastAsia="PMingLiU"/>
                <w:b/>
                <w:szCs w:val="22"/>
              </w:rPr>
            </w:pPr>
            <w:r w:rsidRPr="00707120">
              <w:rPr>
                <w:b/>
                <w:szCs w:val="22"/>
              </w:rPr>
              <w:t>162 mg reizi nedēļā</w:t>
            </w:r>
          </w:p>
        </w:tc>
      </w:tr>
      <w:tr w:rsidR="00A453C3" w:rsidRPr="00FB280D" w14:paraId="72887EF8" w14:textId="77777777" w:rsidTr="00707120">
        <w:trPr>
          <w:cantSplit/>
          <w:trHeight w:val="195"/>
          <w:jc w:val="center"/>
        </w:trPr>
        <w:tc>
          <w:tcPr>
            <w:tcW w:w="2972" w:type="dxa"/>
            <w:tcBorders>
              <w:top w:val="single" w:sz="4" w:space="0" w:color="auto"/>
              <w:left w:val="single" w:sz="4" w:space="0" w:color="auto"/>
              <w:bottom w:val="single" w:sz="4" w:space="0" w:color="auto"/>
              <w:right w:val="single" w:sz="4" w:space="0" w:color="auto"/>
            </w:tcBorders>
          </w:tcPr>
          <w:p w14:paraId="1E4C0F3D" w14:textId="7C44E4AB" w:rsidR="00A453C3" w:rsidRPr="00707120" w:rsidRDefault="00A453C3" w:rsidP="0067693D">
            <w:pPr>
              <w:keepNext/>
              <w:keepLines/>
              <w:spacing w:after="120"/>
              <w:rPr>
                <w:rFonts w:eastAsia="PMingLiU"/>
                <w:szCs w:val="22"/>
              </w:rPr>
            </w:pPr>
            <w:r w:rsidRPr="00707120">
              <w:rPr>
                <w:szCs w:val="22"/>
              </w:rPr>
              <w:t>C</w:t>
            </w:r>
            <w:r w:rsidRPr="00707120">
              <w:rPr>
                <w:szCs w:val="22"/>
                <w:vertAlign w:val="subscript"/>
              </w:rPr>
              <w:t>max</w:t>
            </w:r>
            <w:r w:rsidRPr="00707120">
              <w:rPr>
                <w:szCs w:val="22"/>
              </w:rPr>
              <w:t xml:space="preserve"> (µg/ml)</w:t>
            </w:r>
          </w:p>
        </w:tc>
        <w:tc>
          <w:tcPr>
            <w:tcW w:w="2923" w:type="dxa"/>
            <w:tcBorders>
              <w:top w:val="single" w:sz="4" w:space="0" w:color="auto"/>
              <w:left w:val="single" w:sz="4" w:space="0" w:color="auto"/>
              <w:bottom w:val="single" w:sz="4" w:space="0" w:color="auto"/>
              <w:right w:val="single" w:sz="4" w:space="0" w:color="auto"/>
            </w:tcBorders>
          </w:tcPr>
          <w:p w14:paraId="66F158F2" w14:textId="77777777" w:rsidR="00A453C3" w:rsidRPr="00707120" w:rsidRDefault="00A453C3" w:rsidP="0067693D">
            <w:pPr>
              <w:keepNext/>
              <w:keepLines/>
              <w:spacing w:after="120"/>
              <w:jc w:val="center"/>
              <w:rPr>
                <w:rFonts w:eastAsia="PMingLiU"/>
                <w:szCs w:val="22"/>
              </w:rPr>
            </w:pPr>
            <w:r w:rsidRPr="00707120">
              <w:rPr>
                <w:szCs w:val="22"/>
              </w:rPr>
              <w:t>19,3 ± 12,8</w:t>
            </w:r>
          </w:p>
        </w:tc>
        <w:tc>
          <w:tcPr>
            <w:tcW w:w="2924" w:type="dxa"/>
            <w:tcBorders>
              <w:top w:val="single" w:sz="4" w:space="0" w:color="auto"/>
              <w:left w:val="single" w:sz="4" w:space="0" w:color="auto"/>
              <w:bottom w:val="single" w:sz="4" w:space="0" w:color="auto"/>
              <w:right w:val="single" w:sz="4" w:space="0" w:color="auto"/>
            </w:tcBorders>
          </w:tcPr>
          <w:p w14:paraId="53EE282F" w14:textId="77777777" w:rsidR="00A453C3" w:rsidRPr="00707120" w:rsidRDefault="00A453C3" w:rsidP="0067693D">
            <w:pPr>
              <w:keepNext/>
              <w:keepLines/>
              <w:spacing w:after="120"/>
              <w:jc w:val="center"/>
              <w:rPr>
                <w:rFonts w:eastAsia="PMingLiU"/>
                <w:szCs w:val="22"/>
              </w:rPr>
            </w:pPr>
            <w:r w:rsidRPr="00707120">
              <w:rPr>
                <w:szCs w:val="22"/>
              </w:rPr>
              <w:t>73 ± 30,4</w:t>
            </w:r>
          </w:p>
        </w:tc>
      </w:tr>
      <w:tr w:rsidR="00A453C3" w:rsidRPr="00FB280D" w14:paraId="337B696D" w14:textId="77777777" w:rsidTr="00707120">
        <w:trPr>
          <w:cantSplit/>
          <w:trHeight w:val="195"/>
          <w:jc w:val="center"/>
        </w:trPr>
        <w:tc>
          <w:tcPr>
            <w:tcW w:w="2972" w:type="dxa"/>
            <w:tcBorders>
              <w:top w:val="single" w:sz="4" w:space="0" w:color="auto"/>
              <w:left w:val="single" w:sz="4" w:space="0" w:color="auto"/>
              <w:bottom w:val="single" w:sz="4" w:space="0" w:color="auto"/>
              <w:right w:val="single" w:sz="4" w:space="0" w:color="auto"/>
            </w:tcBorders>
          </w:tcPr>
          <w:p w14:paraId="797BDF82" w14:textId="439C9AA3" w:rsidR="00A453C3" w:rsidRPr="00707120" w:rsidRDefault="00A453C3" w:rsidP="0067693D">
            <w:pPr>
              <w:keepNext/>
              <w:keepLines/>
              <w:spacing w:after="120"/>
              <w:rPr>
                <w:rFonts w:eastAsia="PMingLiU"/>
                <w:szCs w:val="22"/>
              </w:rPr>
            </w:pPr>
            <w:del w:id="872" w:author="Author">
              <w:r w:rsidRPr="00707120" w:rsidDel="00A93319">
                <w:rPr>
                  <w:szCs w:val="22"/>
                </w:rPr>
                <w:delText>C</w:delText>
              </w:r>
              <w:r w:rsidRPr="00707120" w:rsidDel="00A93319">
                <w:rPr>
                  <w:szCs w:val="22"/>
                  <w:vertAlign w:val="subscript"/>
                </w:rPr>
                <w:delText>min</w:delText>
              </w:r>
              <w:r w:rsidRPr="00707120" w:rsidDel="00A93319">
                <w:rPr>
                  <w:szCs w:val="22"/>
                </w:rPr>
                <w:delText xml:space="preserve"> </w:delText>
              </w:r>
            </w:del>
            <w:ins w:id="873" w:author="Author">
              <w:r w:rsidR="00A93319" w:rsidRPr="00707120">
                <w:rPr>
                  <w:szCs w:val="22"/>
                </w:rPr>
                <w:t>C</w:t>
              </w:r>
              <w:r w:rsidR="007E4B33" w:rsidRPr="007E4B33">
                <w:rPr>
                  <w:szCs w:val="22"/>
                  <w:vertAlign w:val="subscript"/>
                </w:rPr>
                <w:t>trough</w:t>
              </w:r>
              <w:r w:rsidR="00A93319" w:rsidRPr="00707120">
                <w:rPr>
                  <w:szCs w:val="22"/>
                </w:rPr>
                <w:t xml:space="preserve"> </w:t>
              </w:r>
            </w:ins>
            <w:r w:rsidRPr="00707120">
              <w:rPr>
                <w:szCs w:val="22"/>
              </w:rPr>
              <w:t>(µg/ml)</w:t>
            </w:r>
          </w:p>
        </w:tc>
        <w:tc>
          <w:tcPr>
            <w:tcW w:w="2923" w:type="dxa"/>
            <w:tcBorders>
              <w:top w:val="single" w:sz="4" w:space="0" w:color="auto"/>
              <w:left w:val="single" w:sz="4" w:space="0" w:color="auto"/>
              <w:bottom w:val="single" w:sz="4" w:space="0" w:color="auto"/>
              <w:right w:val="single" w:sz="4" w:space="0" w:color="auto"/>
            </w:tcBorders>
          </w:tcPr>
          <w:p w14:paraId="203A8254" w14:textId="77777777" w:rsidR="00A453C3" w:rsidRPr="00707120" w:rsidRDefault="00A453C3" w:rsidP="0067693D">
            <w:pPr>
              <w:keepNext/>
              <w:keepLines/>
              <w:spacing w:after="120"/>
              <w:jc w:val="center"/>
              <w:rPr>
                <w:rFonts w:eastAsia="PMingLiU"/>
                <w:szCs w:val="22"/>
              </w:rPr>
            </w:pPr>
            <w:r w:rsidRPr="00707120">
              <w:rPr>
                <w:szCs w:val="22"/>
              </w:rPr>
              <w:t>11,1 ± 10,3</w:t>
            </w:r>
          </w:p>
        </w:tc>
        <w:tc>
          <w:tcPr>
            <w:tcW w:w="2924" w:type="dxa"/>
            <w:tcBorders>
              <w:top w:val="single" w:sz="4" w:space="0" w:color="auto"/>
              <w:left w:val="single" w:sz="4" w:space="0" w:color="auto"/>
              <w:bottom w:val="single" w:sz="4" w:space="0" w:color="auto"/>
              <w:right w:val="single" w:sz="4" w:space="0" w:color="auto"/>
            </w:tcBorders>
          </w:tcPr>
          <w:p w14:paraId="7FA68CFB" w14:textId="77777777" w:rsidR="00A453C3" w:rsidRPr="00707120" w:rsidRDefault="00A453C3" w:rsidP="0067693D">
            <w:pPr>
              <w:keepNext/>
              <w:keepLines/>
              <w:spacing w:after="120"/>
              <w:jc w:val="center"/>
              <w:rPr>
                <w:rFonts w:eastAsia="PMingLiU"/>
                <w:szCs w:val="22"/>
              </w:rPr>
            </w:pPr>
            <w:r w:rsidRPr="00707120">
              <w:rPr>
                <w:szCs w:val="22"/>
              </w:rPr>
              <w:t>68,1 ± 29,5</w:t>
            </w:r>
          </w:p>
        </w:tc>
      </w:tr>
      <w:tr w:rsidR="00A453C3" w:rsidRPr="00FB280D" w14:paraId="7E9EAC54" w14:textId="77777777" w:rsidTr="00707120">
        <w:trPr>
          <w:cantSplit/>
          <w:trHeight w:val="324"/>
          <w:jc w:val="center"/>
        </w:trPr>
        <w:tc>
          <w:tcPr>
            <w:tcW w:w="2972" w:type="dxa"/>
            <w:tcBorders>
              <w:top w:val="single" w:sz="4" w:space="0" w:color="auto"/>
              <w:left w:val="single" w:sz="4" w:space="0" w:color="auto"/>
              <w:bottom w:val="single" w:sz="4" w:space="0" w:color="auto"/>
              <w:right w:val="single" w:sz="4" w:space="0" w:color="auto"/>
            </w:tcBorders>
          </w:tcPr>
          <w:p w14:paraId="20885856" w14:textId="77777777" w:rsidR="00A453C3" w:rsidRPr="00707120" w:rsidRDefault="00A453C3" w:rsidP="0067693D">
            <w:pPr>
              <w:keepNext/>
              <w:keepLines/>
              <w:spacing w:after="120"/>
              <w:rPr>
                <w:rFonts w:eastAsia="PMingLiU"/>
                <w:szCs w:val="22"/>
              </w:rPr>
            </w:pPr>
            <w:r w:rsidRPr="00707120">
              <w:rPr>
                <w:szCs w:val="22"/>
              </w:rPr>
              <w:t>C</w:t>
            </w:r>
            <w:r w:rsidRPr="00707120">
              <w:rPr>
                <w:szCs w:val="22"/>
                <w:vertAlign w:val="subscript"/>
              </w:rPr>
              <w:t>vid.</w:t>
            </w:r>
            <w:r w:rsidRPr="00707120">
              <w:rPr>
                <w:szCs w:val="22"/>
              </w:rPr>
              <w:t xml:space="preserve"> (µg/ml)</w:t>
            </w:r>
          </w:p>
        </w:tc>
        <w:tc>
          <w:tcPr>
            <w:tcW w:w="2923" w:type="dxa"/>
            <w:tcBorders>
              <w:top w:val="single" w:sz="4" w:space="0" w:color="auto"/>
              <w:left w:val="single" w:sz="4" w:space="0" w:color="auto"/>
              <w:bottom w:val="single" w:sz="4" w:space="0" w:color="auto"/>
              <w:right w:val="single" w:sz="4" w:space="0" w:color="auto"/>
            </w:tcBorders>
          </w:tcPr>
          <w:p w14:paraId="29B197A3" w14:textId="3FD07484" w:rsidR="00A453C3" w:rsidRPr="00707120" w:rsidRDefault="00A453C3" w:rsidP="0067693D">
            <w:pPr>
              <w:keepNext/>
              <w:keepLines/>
              <w:spacing w:after="120"/>
              <w:jc w:val="center"/>
              <w:rPr>
                <w:rFonts w:eastAsia="PMingLiU"/>
                <w:szCs w:val="22"/>
              </w:rPr>
            </w:pPr>
            <w:r w:rsidRPr="00707120">
              <w:rPr>
                <w:szCs w:val="22"/>
              </w:rPr>
              <w:t>16,2 ± 11,8</w:t>
            </w:r>
          </w:p>
        </w:tc>
        <w:tc>
          <w:tcPr>
            <w:tcW w:w="2924" w:type="dxa"/>
            <w:tcBorders>
              <w:top w:val="single" w:sz="4" w:space="0" w:color="auto"/>
              <w:left w:val="single" w:sz="4" w:space="0" w:color="auto"/>
              <w:bottom w:val="single" w:sz="4" w:space="0" w:color="auto"/>
              <w:right w:val="single" w:sz="4" w:space="0" w:color="auto"/>
            </w:tcBorders>
          </w:tcPr>
          <w:p w14:paraId="1D130B21" w14:textId="77777777" w:rsidR="00A453C3" w:rsidRPr="00707120" w:rsidRDefault="00A453C3" w:rsidP="0067693D">
            <w:pPr>
              <w:keepNext/>
              <w:keepLines/>
              <w:spacing w:after="120"/>
              <w:jc w:val="center"/>
              <w:rPr>
                <w:rFonts w:eastAsia="PMingLiU"/>
                <w:szCs w:val="22"/>
              </w:rPr>
            </w:pPr>
            <w:r w:rsidRPr="00707120">
              <w:rPr>
                <w:szCs w:val="22"/>
              </w:rPr>
              <w:t>71,3 ± 30,1</w:t>
            </w:r>
          </w:p>
        </w:tc>
      </w:tr>
      <w:tr w:rsidR="00A453C3" w:rsidRPr="00FB280D" w14:paraId="6CA3347C" w14:textId="77777777" w:rsidTr="00707120">
        <w:trPr>
          <w:cantSplit/>
          <w:trHeight w:val="324"/>
          <w:jc w:val="center"/>
        </w:trPr>
        <w:tc>
          <w:tcPr>
            <w:tcW w:w="2972" w:type="dxa"/>
            <w:tcBorders>
              <w:top w:val="single" w:sz="4" w:space="0" w:color="auto"/>
              <w:left w:val="single" w:sz="4" w:space="0" w:color="auto"/>
              <w:bottom w:val="single" w:sz="4" w:space="0" w:color="auto"/>
              <w:right w:val="single" w:sz="4" w:space="0" w:color="auto"/>
            </w:tcBorders>
          </w:tcPr>
          <w:p w14:paraId="28460D53" w14:textId="3B12C019" w:rsidR="00A453C3" w:rsidRPr="00707120" w:rsidRDefault="00A453C3" w:rsidP="0067693D">
            <w:pPr>
              <w:keepNext/>
              <w:keepLines/>
              <w:spacing w:after="120"/>
              <w:rPr>
                <w:rFonts w:eastAsia="PMingLiU"/>
                <w:szCs w:val="22"/>
              </w:rPr>
            </w:pPr>
            <w:r w:rsidRPr="00707120">
              <w:rPr>
                <w:szCs w:val="22"/>
              </w:rPr>
              <w:t>Akumulācija, C</w:t>
            </w:r>
            <w:r w:rsidRPr="00707120">
              <w:rPr>
                <w:szCs w:val="22"/>
                <w:vertAlign w:val="subscript"/>
              </w:rPr>
              <w:t>max</w:t>
            </w:r>
          </w:p>
        </w:tc>
        <w:tc>
          <w:tcPr>
            <w:tcW w:w="2923" w:type="dxa"/>
            <w:tcBorders>
              <w:top w:val="single" w:sz="4" w:space="0" w:color="auto"/>
              <w:left w:val="single" w:sz="4" w:space="0" w:color="auto"/>
              <w:bottom w:val="single" w:sz="4" w:space="0" w:color="auto"/>
              <w:right w:val="single" w:sz="4" w:space="0" w:color="auto"/>
            </w:tcBorders>
          </w:tcPr>
          <w:p w14:paraId="2279F7E7" w14:textId="77777777" w:rsidR="00A453C3" w:rsidRPr="00707120" w:rsidRDefault="00A453C3" w:rsidP="0067693D">
            <w:pPr>
              <w:keepNext/>
              <w:keepLines/>
              <w:spacing w:after="120"/>
              <w:jc w:val="center"/>
              <w:rPr>
                <w:rFonts w:eastAsia="PMingLiU"/>
                <w:szCs w:val="22"/>
              </w:rPr>
            </w:pPr>
            <w:r w:rsidRPr="00707120">
              <w:rPr>
                <w:szCs w:val="22"/>
              </w:rPr>
              <w:t>2,18</w:t>
            </w:r>
          </w:p>
        </w:tc>
        <w:tc>
          <w:tcPr>
            <w:tcW w:w="2924" w:type="dxa"/>
            <w:tcBorders>
              <w:top w:val="single" w:sz="4" w:space="0" w:color="auto"/>
              <w:left w:val="single" w:sz="4" w:space="0" w:color="auto"/>
              <w:bottom w:val="single" w:sz="4" w:space="0" w:color="auto"/>
              <w:right w:val="single" w:sz="4" w:space="0" w:color="auto"/>
            </w:tcBorders>
          </w:tcPr>
          <w:p w14:paraId="3C282F16" w14:textId="77777777" w:rsidR="00A453C3" w:rsidRPr="00707120" w:rsidRDefault="00A453C3" w:rsidP="0067693D">
            <w:pPr>
              <w:keepNext/>
              <w:keepLines/>
              <w:spacing w:after="120"/>
              <w:jc w:val="center"/>
              <w:rPr>
                <w:rFonts w:eastAsia="PMingLiU"/>
                <w:szCs w:val="22"/>
              </w:rPr>
            </w:pPr>
            <w:r w:rsidRPr="00707120">
              <w:rPr>
                <w:szCs w:val="22"/>
              </w:rPr>
              <w:t xml:space="preserve"> 8,88</w:t>
            </w:r>
          </w:p>
        </w:tc>
      </w:tr>
      <w:tr w:rsidR="00A453C3" w:rsidRPr="00FB280D" w14:paraId="7A229C30" w14:textId="77777777" w:rsidTr="00707120">
        <w:trPr>
          <w:cantSplit/>
          <w:trHeight w:val="331"/>
          <w:jc w:val="center"/>
        </w:trPr>
        <w:tc>
          <w:tcPr>
            <w:tcW w:w="2972" w:type="dxa"/>
            <w:tcBorders>
              <w:top w:val="single" w:sz="4" w:space="0" w:color="auto"/>
              <w:left w:val="single" w:sz="4" w:space="0" w:color="auto"/>
              <w:bottom w:val="single" w:sz="4" w:space="0" w:color="auto"/>
              <w:right w:val="single" w:sz="4" w:space="0" w:color="auto"/>
            </w:tcBorders>
          </w:tcPr>
          <w:p w14:paraId="4C215C8D" w14:textId="13D2C0A1" w:rsidR="00A453C3" w:rsidRPr="00707120" w:rsidRDefault="00A453C3" w:rsidP="0067693D">
            <w:pPr>
              <w:keepNext/>
              <w:keepLines/>
              <w:spacing w:after="120"/>
              <w:rPr>
                <w:rFonts w:eastAsia="PMingLiU"/>
                <w:szCs w:val="22"/>
              </w:rPr>
            </w:pPr>
            <w:r w:rsidRPr="00707120">
              <w:rPr>
                <w:szCs w:val="22"/>
              </w:rPr>
              <w:t xml:space="preserve">Akumulācija, </w:t>
            </w:r>
            <w:del w:id="874" w:author="Author">
              <w:r w:rsidRPr="00707120" w:rsidDel="00A93319">
                <w:rPr>
                  <w:szCs w:val="22"/>
                </w:rPr>
                <w:delText>C</w:delText>
              </w:r>
              <w:r w:rsidRPr="00707120" w:rsidDel="00A93319">
                <w:rPr>
                  <w:szCs w:val="22"/>
                  <w:vertAlign w:val="subscript"/>
                </w:rPr>
                <w:delText>min</w:delText>
              </w:r>
            </w:del>
            <w:ins w:id="875" w:author="Author">
              <w:r w:rsidR="00A93319" w:rsidRPr="00707120">
                <w:rPr>
                  <w:szCs w:val="22"/>
                </w:rPr>
                <w:t>C</w:t>
              </w:r>
              <w:r w:rsidR="007E4B33" w:rsidRPr="007E4B33">
                <w:rPr>
                  <w:szCs w:val="22"/>
                  <w:vertAlign w:val="subscript"/>
                </w:rPr>
                <w:t>trough</w:t>
              </w:r>
            </w:ins>
          </w:p>
        </w:tc>
        <w:tc>
          <w:tcPr>
            <w:tcW w:w="2923" w:type="dxa"/>
            <w:tcBorders>
              <w:top w:val="single" w:sz="4" w:space="0" w:color="auto"/>
              <w:left w:val="single" w:sz="4" w:space="0" w:color="auto"/>
              <w:bottom w:val="single" w:sz="4" w:space="0" w:color="auto"/>
              <w:right w:val="single" w:sz="4" w:space="0" w:color="auto"/>
            </w:tcBorders>
          </w:tcPr>
          <w:p w14:paraId="36E86F74" w14:textId="77777777" w:rsidR="00A453C3" w:rsidRPr="00707120" w:rsidRDefault="00A453C3" w:rsidP="0067693D">
            <w:pPr>
              <w:keepNext/>
              <w:keepLines/>
              <w:spacing w:after="120"/>
              <w:jc w:val="center"/>
              <w:rPr>
                <w:rFonts w:eastAsia="PMingLiU"/>
                <w:szCs w:val="22"/>
              </w:rPr>
            </w:pPr>
            <w:r w:rsidRPr="00707120">
              <w:rPr>
                <w:szCs w:val="22"/>
              </w:rPr>
              <w:t>5,61</w:t>
            </w:r>
          </w:p>
        </w:tc>
        <w:tc>
          <w:tcPr>
            <w:tcW w:w="2924" w:type="dxa"/>
            <w:tcBorders>
              <w:top w:val="single" w:sz="4" w:space="0" w:color="auto"/>
              <w:left w:val="single" w:sz="4" w:space="0" w:color="auto"/>
              <w:bottom w:val="single" w:sz="4" w:space="0" w:color="auto"/>
              <w:right w:val="single" w:sz="4" w:space="0" w:color="auto"/>
            </w:tcBorders>
          </w:tcPr>
          <w:p w14:paraId="0E089401" w14:textId="77777777" w:rsidR="00A453C3" w:rsidRPr="00707120" w:rsidRDefault="00A453C3" w:rsidP="0067693D">
            <w:pPr>
              <w:keepNext/>
              <w:keepLines/>
              <w:spacing w:after="120"/>
              <w:jc w:val="center"/>
              <w:rPr>
                <w:rFonts w:eastAsia="PMingLiU"/>
                <w:szCs w:val="22"/>
              </w:rPr>
            </w:pPr>
            <w:r w:rsidRPr="00707120">
              <w:rPr>
                <w:szCs w:val="22"/>
              </w:rPr>
              <w:t>9,59</w:t>
            </w:r>
          </w:p>
        </w:tc>
      </w:tr>
      <w:tr w:rsidR="00A453C3" w:rsidRPr="00FB280D" w14:paraId="00A62A1D" w14:textId="77777777" w:rsidTr="00707120">
        <w:trPr>
          <w:cantSplit/>
          <w:trHeight w:val="331"/>
          <w:jc w:val="center"/>
        </w:trPr>
        <w:tc>
          <w:tcPr>
            <w:tcW w:w="2972" w:type="dxa"/>
            <w:tcBorders>
              <w:top w:val="single" w:sz="4" w:space="0" w:color="auto"/>
              <w:left w:val="single" w:sz="4" w:space="0" w:color="auto"/>
              <w:bottom w:val="single" w:sz="4" w:space="0" w:color="auto"/>
              <w:right w:val="single" w:sz="4" w:space="0" w:color="auto"/>
            </w:tcBorders>
          </w:tcPr>
          <w:p w14:paraId="1CCED5A0" w14:textId="77777777" w:rsidR="00A453C3" w:rsidRPr="00707120" w:rsidRDefault="00A453C3" w:rsidP="0067693D">
            <w:pPr>
              <w:keepNext/>
              <w:keepLines/>
              <w:spacing w:after="120"/>
              <w:rPr>
                <w:rFonts w:eastAsia="PMingLiU"/>
                <w:szCs w:val="22"/>
              </w:rPr>
            </w:pPr>
            <w:r w:rsidRPr="00707120">
              <w:rPr>
                <w:szCs w:val="22"/>
              </w:rPr>
              <w:t>Akumulācija, C</w:t>
            </w:r>
            <w:r w:rsidRPr="00707120">
              <w:rPr>
                <w:szCs w:val="22"/>
                <w:vertAlign w:val="subscript"/>
              </w:rPr>
              <w:t>vid.</w:t>
            </w:r>
            <w:r w:rsidRPr="00707120">
              <w:rPr>
                <w:szCs w:val="22"/>
              </w:rPr>
              <w:t xml:space="preserve"> vai AUC</w:t>
            </w:r>
            <w:r w:rsidRPr="00707120">
              <w:rPr>
                <w:szCs w:val="22"/>
                <w:vertAlign w:val="subscript"/>
              </w:rPr>
              <w:t>τ</w:t>
            </w:r>
            <w:r w:rsidRPr="00707120">
              <w:rPr>
                <w:szCs w:val="22"/>
                <w:lang w:eastAsia="en-US"/>
              </w:rPr>
              <w:t>*</w:t>
            </w:r>
          </w:p>
        </w:tc>
        <w:tc>
          <w:tcPr>
            <w:tcW w:w="2923" w:type="dxa"/>
            <w:tcBorders>
              <w:top w:val="single" w:sz="4" w:space="0" w:color="auto"/>
              <w:left w:val="single" w:sz="4" w:space="0" w:color="auto"/>
              <w:bottom w:val="single" w:sz="4" w:space="0" w:color="auto"/>
              <w:right w:val="single" w:sz="4" w:space="0" w:color="auto"/>
            </w:tcBorders>
          </w:tcPr>
          <w:p w14:paraId="45E61C16" w14:textId="77777777" w:rsidR="00A453C3" w:rsidRPr="00707120" w:rsidRDefault="00A453C3" w:rsidP="0067693D">
            <w:pPr>
              <w:keepNext/>
              <w:keepLines/>
              <w:spacing w:after="120"/>
              <w:jc w:val="center"/>
              <w:rPr>
                <w:rFonts w:eastAsia="PMingLiU"/>
                <w:szCs w:val="22"/>
              </w:rPr>
            </w:pPr>
            <w:r w:rsidRPr="00707120">
              <w:rPr>
                <w:szCs w:val="22"/>
              </w:rPr>
              <w:t>2,81</w:t>
            </w:r>
          </w:p>
        </w:tc>
        <w:tc>
          <w:tcPr>
            <w:tcW w:w="2924" w:type="dxa"/>
            <w:tcBorders>
              <w:top w:val="single" w:sz="4" w:space="0" w:color="auto"/>
              <w:left w:val="single" w:sz="4" w:space="0" w:color="auto"/>
              <w:bottom w:val="single" w:sz="4" w:space="0" w:color="auto"/>
              <w:right w:val="single" w:sz="4" w:space="0" w:color="auto"/>
            </w:tcBorders>
          </w:tcPr>
          <w:p w14:paraId="27D06457" w14:textId="77777777" w:rsidR="00A453C3" w:rsidRPr="00707120" w:rsidRDefault="00A453C3" w:rsidP="0067693D">
            <w:pPr>
              <w:keepNext/>
              <w:keepLines/>
              <w:spacing w:after="120"/>
              <w:jc w:val="center"/>
              <w:rPr>
                <w:rFonts w:eastAsia="PMingLiU"/>
                <w:szCs w:val="22"/>
              </w:rPr>
            </w:pPr>
            <w:r w:rsidRPr="00707120">
              <w:rPr>
                <w:szCs w:val="22"/>
              </w:rPr>
              <w:t>10,91</w:t>
            </w:r>
          </w:p>
        </w:tc>
      </w:tr>
    </w:tbl>
    <w:p w14:paraId="01AA391C" w14:textId="175C8663" w:rsidR="00A453C3" w:rsidRPr="00290EF7" w:rsidRDefault="00A453C3" w:rsidP="00A453C3">
      <w:pPr>
        <w:rPr>
          <w:sz w:val="18"/>
          <w:szCs w:val="18"/>
        </w:rPr>
      </w:pPr>
      <w:r>
        <w:rPr>
          <w:sz w:val="18"/>
        </w:rPr>
        <w:t>*τ = attiecīgi 2 nedēļas vai 1 nedēļa abām subkutānas lietošanas shēmām.</w:t>
      </w:r>
    </w:p>
    <w:p w14:paraId="7A5D9ED7" w14:textId="77777777" w:rsidR="00A453C3" w:rsidRPr="00D6314F" w:rsidRDefault="00A453C3" w:rsidP="00A453C3">
      <w:pPr>
        <w:keepNext/>
        <w:keepLines/>
      </w:pPr>
    </w:p>
    <w:p w14:paraId="74A3A83B" w14:textId="08BB3876" w:rsidR="00A453C3" w:rsidRPr="00D6314F" w:rsidRDefault="00A453C3" w:rsidP="00A453C3">
      <w:bookmarkStart w:id="876" w:name="_Hlk174613767"/>
      <w:r w:rsidRPr="00D6314F">
        <w:t xml:space="preserve">Līdzsvara stāvokļa līkne pēc </w:t>
      </w:r>
      <w:r>
        <w:t>tocilizumaba</w:t>
      </w:r>
      <w:r w:rsidRPr="00D6314F">
        <w:t xml:space="preserve"> lietošanas reizi nedēļā bija tikpat kā nemainīga, ar pavisam nelielām svārstībām starp zemākajām un maksimālajām vērtībām, turpretī, lietojot </w:t>
      </w:r>
      <w:r>
        <w:t>tocilizumabu</w:t>
      </w:r>
      <w:r w:rsidRPr="00D6314F">
        <w:t xml:space="preserve"> katru otro nedēļu, bija ievērojamas svārstības. Aptuveni 90% no līdzsvara stāvokļa</w:t>
      </w:r>
      <w:r w:rsidRPr="00D6314F">
        <w:rPr>
          <w:sz w:val="20"/>
        </w:rPr>
        <w:t xml:space="preserve"> (AUC</w:t>
      </w:r>
      <w:r w:rsidRPr="00D6314F">
        <w:rPr>
          <w:sz w:val="20"/>
          <w:vertAlign w:val="subscript"/>
        </w:rPr>
        <w:t>τ</w:t>
      </w:r>
      <w:r w:rsidRPr="00D6314F">
        <w:t>) bija sasniegti līdz 14.</w:t>
      </w:r>
      <w:r>
        <w:t> </w:t>
      </w:r>
      <w:r w:rsidRPr="00D6314F">
        <w:t>nedēļai grupā, kurā zāles lietoja katru otro nedēļu, un līdz 17.</w:t>
      </w:r>
      <w:r>
        <w:t> </w:t>
      </w:r>
      <w:r w:rsidRPr="00D6314F">
        <w:t>nedēļai grupā, kurā zāles lietoja katru nedēļu.</w:t>
      </w:r>
    </w:p>
    <w:p w14:paraId="4579D658" w14:textId="77777777" w:rsidR="00A453C3" w:rsidRPr="00D6314F" w:rsidRDefault="00A453C3" w:rsidP="00A453C3"/>
    <w:p w14:paraId="6E20D1FF" w14:textId="1171BCAB" w:rsidR="00A453C3" w:rsidRDefault="00A453C3" w:rsidP="00A453C3">
      <w:r w:rsidRPr="00D6314F">
        <w:t xml:space="preserve">Pamatojoties uz pašreizējo FK raksturojumu, šajā populācijā ir vērojama </w:t>
      </w:r>
      <w:r>
        <w:t>par 50%</w:t>
      </w:r>
      <w:r w:rsidRPr="00D6314F">
        <w:t xml:space="preserve"> </w:t>
      </w:r>
      <w:r>
        <w:t>augstāka</w:t>
      </w:r>
      <w:r w:rsidRPr="00D6314F">
        <w:t xml:space="preserve"> </w:t>
      </w:r>
      <w:r>
        <w:t>tocilizumaba</w:t>
      </w:r>
      <w:r w:rsidRPr="00D6314F">
        <w:t xml:space="preserve"> </w:t>
      </w:r>
      <w:r>
        <w:t xml:space="preserve">zemākā </w:t>
      </w:r>
      <w:r w:rsidRPr="00D6314F">
        <w:t xml:space="preserve">koncentrācija attiecībā pret vidējām koncentrācijām </w:t>
      </w:r>
      <w:r>
        <w:t>lielā</w:t>
      </w:r>
      <w:r w:rsidRPr="00D6314F">
        <w:t xml:space="preserve"> RA populācijas datu kopā. Šādu atšķirību iemesls nav zināms. FK atšķirības nav saistītas ar iz</w:t>
      </w:r>
      <w:r>
        <w:t>t</w:t>
      </w:r>
      <w:r w:rsidRPr="00D6314F">
        <w:t>eiktām FD raksturlielumu atšķirībām, un tāpēc to klīniskais nozīmīgums nav zināms.</w:t>
      </w:r>
    </w:p>
    <w:p w14:paraId="7C251048" w14:textId="77777777" w:rsidR="00A453C3" w:rsidRDefault="00A453C3" w:rsidP="00A453C3"/>
    <w:p w14:paraId="34EE82AF" w14:textId="3A1E62E8" w:rsidR="00A453C3" w:rsidRPr="00C74D1A" w:rsidRDefault="00A453C3" w:rsidP="00A453C3">
      <w:pPr>
        <w:rPr>
          <w:lang w:val="pt-BR"/>
        </w:rPr>
      </w:pPr>
      <w:r w:rsidRPr="00707120">
        <w:rPr>
          <w:lang w:val="es-ES"/>
        </w:rPr>
        <w:t xml:space="preserve">Pacientiem ar GCA augstāka iedarbība novērota tiem pacientiem, kuriem ir mazāka ķermeņa masa. Grupā, kurā </w:t>
      </w:r>
      <w:r w:rsidRPr="00D30C7D">
        <w:rPr>
          <w:lang w:val="lv-LV"/>
        </w:rPr>
        <w:t>lietoja 162</w:t>
      </w:r>
      <w:r>
        <w:rPr>
          <w:lang w:val="lv-LV"/>
        </w:rPr>
        <w:t> </w:t>
      </w:r>
      <w:r w:rsidRPr="00D30C7D">
        <w:rPr>
          <w:lang w:val="lv-LV"/>
        </w:rPr>
        <w:t xml:space="preserve">mg </w:t>
      </w:r>
      <w:r>
        <w:rPr>
          <w:lang w:val="lv-LV"/>
        </w:rPr>
        <w:t xml:space="preserve">devu </w:t>
      </w:r>
      <w:r w:rsidRPr="00D30C7D">
        <w:rPr>
          <w:lang w:val="lv-LV"/>
        </w:rPr>
        <w:t>reizi nedēļā</w:t>
      </w:r>
      <w:r>
        <w:rPr>
          <w:lang w:val="lv-LV"/>
        </w:rPr>
        <w:t>,</w:t>
      </w:r>
      <w:r w:rsidRPr="00707120">
        <w:rPr>
          <w:lang w:val="es-ES"/>
        </w:rPr>
        <w:t xml:space="preserve"> pacientiem ar ķermeņa masu zem 60 kg līdzsvara </w:t>
      </w:r>
      <w:r w:rsidRPr="00707120">
        <w:rPr>
          <w:iCs/>
          <w:shd w:val="clear" w:color="auto" w:fill="FFFFFF"/>
          <w:lang w:val="es-ES"/>
        </w:rPr>
        <w:t>C</w:t>
      </w:r>
      <w:r w:rsidRPr="00707120">
        <w:rPr>
          <w:iCs/>
          <w:shd w:val="clear" w:color="auto" w:fill="FFFFFF"/>
          <w:vertAlign w:val="subscript"/>
          <w:lang w:val="es-ES"/>
        </w:rPr>
        <w:t>avg</w:t>
      </w:r>
      <w:r w:rsidRPr="00707120">
        <w:rPr>
          <w:lang w:val="es-ES"/>
        </w:rPr>
        <w:t xml:space="preserve"> bija par 51% augstāka nekā pacientiem ar ķermeņa masu no 60 līdz 100 kg. Lietojot </w:t>
      </w:r>
      <w:r w:rsidRPr="002514F0">
        <w:rPr>
          <w:lang w:val="lv-LV"/>
        </w:rPr>
        <w:t xml:space="preserve">162 mg </w:t>
      </w:r>
      <w:r>
        <w:rPr>
          <w:lang w:val="lv-LV"/>
        </w:rPr>
        <w:t xml:space="preserve">devu </w:t>
      </w:r>
      <w:r w:rsidRPr="002514F0">
        <w:rPr>
          <w:lang w:val="lv-LV"/>
        </w:rPr>
        <w:t>subkutāni katru otro nedēļu,</w:t>
      </w:r>
      <w:r w:rsidRPr="00707120">
        <w:rPr>
          <w:lang w:val="es-ES"/>
        </w:rPr>
        <w:t xml:space="preserve"> </w:t>
      </w:r>
      <w:r w:rsidRPr="00707120">
        <w:rPr>
          <w:iCs/>
          <w:shd w:val="clear" w:color="auto" w:fill="FFFFFF"/>
          <w:lang w:val="es-ES"/>
        </w:rPr>
        <w:t>pacientiem ar ķermeņa masu zem 60 kg</w:t>
      </w:r>
      <w:r w:rsidRPr="00707120">
        <w:rPr>
          <w:lang w:val="es-ES"/>
        </w:rPr>
        <w:t xml:space="preserve"> līdzsvara </w:t>
      </w:r>
      <w:r w:rsidRPr="00707120">
        <w:rPr>
          <w:iCs/>
          <w:shd w:val="clear" w:color="auto" w:fill="FFFFFF"/>
          <w:lang w:val="es-ES"/>
        </w:rPr>
        <w:t>C</w:t>
      </w:r>
      <w:r w:rsidRPr="00707120">
        <w:rPr>
          <w:iCs/>
          <w:shd w:val="clear" w:color="auto" w:fill="FFFFFF"/>
          <w:vertAlign w:val="subscript"/>
          <w:lang w:val="es-ES"/>
        </w:rPr>
        <w:t>avg</w:t>
      </w:r>
      <w:r w:rsidRPr="00707120">
        <w:rPr>
          <w:iCs/>
          <w:shd w:val="clear" w:color="auto" w:fill="FFFFFF"/>
          <w:lang w:val="es-ES"/>
        </w:rPr>
        <w:t xml:space="preserve"> bija par 129% augstāka nekā pacientiem ar ķermeņa masu no 60 līdz 100 kg. </w:t>
      </w:r>
      <w:r w:rsidRPr="00C74D1A">
        <w:rPr>
          <w:iCs/>
          <w:shd w:val="clear" w:color="auto" w:fill="FFFFFF"/>
          <w:lang w:val="pt-BR"/>
        </w:rPr>
        <w:t>Ir ierobežoti dati par pacientiem ar ķermeņa masu virs 100</w:t>
      </w:r>
      <w:r>
        <w:rPr>
          <w:iCs/>
          <w:shd w:val="clear" w:color="auto" w:fill="FFFFFF"/>
          <w:lang w:val="pt-BR"/>
        </w:rPr>
        <w:t> </w:t>
      </w:r>
      <w:r w:rsidRPr="00C74D1A">
        <w:rPr>
          <w:iCs/>
          <w:shd w:val="clear" w:color="auto" w:fill="FFFFFF"/>
          <w:lang w:val="pt-BR"/>
        </w:rPr>
        <w:t>kg (n=7).</w:t>
      </w:r>
    </w:p>
    <w:bookmarkEnd w:id="876"/>
    <w:p w14:paraId="3D183609" w14:textId="77777777" w:rsidR="00A453C3" w:rsidRPr="00C74D1A" w:rsidRDefault="00A453C3" w:rsidP="00A453C3">
      <w:pPr>
        <w:rPr>
          <w:rFonts w:eastAsia="SimSun"/>
          <w:szCs w:val="24"/>
          <w:lang w:val="pt-BR"/>
        </w:rPr>
      </w:pPr>
    </w:p>
    <w:p w14:paraId="64DDD587" w14:textId="77777777" w:rsidR="00A453C3" w:rsidRPr="00707120" w:rsidRDefault="00A453C3" w:rsidP="00707120">
      <w:pPr>
        <w:keepNext/>
        <w:rPr>
          <w:i/>
          <w:iCs/>
          <w:u w:val="single"/>
          <w:lang w:val="pt-BR"/>
        </w:rPr>
      </w:pPr>
      <w:r w:rsidRPr="00707120">
        <w:rPr>
          <w:i/>
          <w:iCs/>
          <w:u w:val="single"/>
          <w:lang w:val="pt-BR"/>
        </w:rPr>
        <w:t>Uzsūkšanās</w:t>
      </w:r>
    </w:p>
    <w:p w14:paraId="2D558937" w14:textId="4BDF4719" w:rsidR="00A453C3" w:rsidRPr="00C74D1A" w:rsidRDefault="00A453C3" w:rsidP="00A453C3">
      <w:pPr>
        <w:rPr>
          <w:iCs/>
          <w:lang w:val="pt-BR"/>
        </w:rPr>
      </w:pPr>
      <w:r w:rsidRPr="00C74D1A">
        <w:rPr>
          <w:lang w:val="pt-BR"/>
        </w:rPr>
        <w:t>Pēc subkutānas ievadīšanas pacientiem ar GCA uzsūkšanās t½ bija aptuveni 4</w:t>
      </w:r>
      <w:r>
        <w:rPr>
          <w:lang w:val="pt-BR"/>
        </w:rPr>
        <w:t> </w:t>
      </w:r>
      <w:r w:rsidRPr="00C74D1A">
        <w:rPr>
          <w:lang w:val="pt-BR"/>
        </w:rPr>
        <w:t>dienas. Subkutānās zāļu formas biopieejamība bija 0,8. T</w:t>
      </w:r>
      <w:r w:rsidRPr="00C74D1A">
        <w:rPr>
          <w:vertAlign w:val="subscript"/>
          <w:lang w:val="pt-BR"/>
        </w:rPr>
        <w:t>max</w:t>
      </w:r>
      <w:r w:rsidRPr="00C74D1A">
        <w:rPr>
          <w:lang w:val="pt-BR"/>
        </w:rPr>
        <w:t xml:space="preserve"> mediāna bija 3</w:t>
      </w:r>
      <w:r>
        <w:rPr>
          <w:lang w:val="pt-BR"/>
        </w:rPr>
        <w:t> </w:t>
      </w:r>
      <w:r w:rsidRPr="00C74D1A">
        <w:rPr>
          <w:lang w:val="pt-BR"/>
        </w:rPr>
        <w:t xml:space="preserve">dienas pēc </w:t>
      </w:r>
      <w:r>
        <w:rPr>
          <w:lang w:val="pt-BR"/>
        </w:rPr>
        <w:t>tocilizumaba</w:t>
      </w:r>
      <w:r w:rsidRPr="00C74D1A">
        <w:rPr>
          <w:lang w:val="pt-BR"/>
        </w:rPr>
        <w:t xml:space="preserve"> lietošanas reizi nedēļā un 4,5</w:t>
      </w:r>
      <w:r>
        <w:rPr>
          <w:lang w:val="pt-BR"/>
        </w:rPr>
        <w:t> </w:t>
      </w:r>
      <w:r w:rsidRPr="00C74D1A">
        <w:rPr>
          <w:lang w:val="pt-BR"/>
        </w:rPr>
        <w:t>dienas pēc tocilizumaba lietošanas katru otro nedēļu.</w:t>
      </w:r>
    </w:p>
    <w:p w14:paraId="457DCF68" w14:textId="77777777" w:rsidR="00A453C3" w:rsidRPr="00C74D1A" w:rsidRDefault="00A453C3" w:rsidP="00A453C3">
      <w:pPr>
        <w:rPr>
          <w:iCs/>
          <w:lang w:val="pt-BR"/>
        </w:rPr>
      </w:pPr>
    </w:p>
    <w:p w14:paraId="068AAD1D" w14:textId="77777777" w:rsidR="00A453C3" w:rsidRPr="00707120" w:rsidRDefault="00A453C3" w:rsidP="00707120">
      <w:pPr>
        <w:keepNext/>
        <w:rPr>
          <w:i/>
          <w:iCs/>
          <w:u w:val="single"/>
          <w:lang w:val="pt-BR"/>
        </w:rPr>
      </w:pPr>
      <w:r w:rsidRPr="00707120">
        <w:rPr>
          <w:i/>
          <w:iCs/>
          <w:u w:val="single"/>
          <w:lang w:val="pt-BR"/>
        </w:rPr>
        <w:t>Izkliede</w:t>
      </w:r>
    </w:p>
    <w:p w14:paraId="111FED55" w14:textId="77777777" w:rsidR="00A453C3" w:rsidRPr="00C74D1A" w:rsidRDefault="00A453C3" w:rsidP="00A453C3">
      <w:pPr>
        <w:rPr>
          <w:lang w:val="pt-BR"/>
        </w:rPr>
      </w:pPr>
      <w:r w:rsidRPr="00C74D1A">
        <w:rPr>
          <w:lang w:val="pt-BR"/>
        </w:rPr>
        <w:t>Pacientiem ar GCA centrālais izkliedes tilpums bija 4,09 l, bet perifēriskais izkliedes tilpums bija 3,37 l, kā rezultātā izkliedes tilpums līdzsvara stāvoklī bija 7,46 l.</w:t>
      </w:r>
    </w:p>
    <w:p w14:paraId="10E08769" w14:textId="77777777" w:rsidR="00A453C3" w:rsidRPr="00C74D1A" w:rsidRDefault="00A453C3" w:rsidP="00A453C3">
      <w:pPr>
        <w:rPr>
          <w:lang w:val="pt-BR"/>
        </w:rPr>
      </w:pPr>
    </w:p>
    <w:p w14:paraId="10B77D19" w14:textId="77777777" w:rsidR="00A453C3" w:rsidRPr="00707120" w:rsidRDefault="00A453C3" w:rsidP="00707120">
      <w:pPr>
        <w:keepNext/>
        <w:rPr>
          <w:i/>
          <w:iCs/>
          <w:u w:val="single"/>
          <w:lang w:val="pt-BR"/>
        </w:rPr>
      </w:pPr>
      <w:r w:rsidRPr="00707120">
        <w:rPr>
          <w:i/>
          <w:iCs/>
          <w:u w:val="single"/>
          <w:lang w:val="pt-BR"/>
        </w:rPr>
        <w:t>Eliminācija</w:t>
      </w:r>
    </w:p>
    <w:p w14:paraId="6A46D32A" w14:textId="492DCA28" w:rsidR="00A453C3" w:rsidRPr="00C74D1A" w:rsidRDefault="00A453C3" w:rsidP="00A453C3">
      <w:pPr>
        <w:rPr>
          <w:lang w:val="pt-BR"/>
        </w:rPr>
      </w:pPr>
      <w:r w:rsidRPr="00C74D1A">
        <w:rPr>
          <w:lang w:val="pt-BR"/>
        </w:rPr>
        <w:t xml:space="preserve">Kopējais </w:t>
      </w:r>
      <w:r>
        <w:rPr>
          <w:lang w:val="pt-BR"/>
        </w:rPr>
        <w:t>tocilizumaba</w:t>
      </w:r>
      <w:r w:rsidRPr="00C74D1A">
        <w:rPr>
          <w:lang w:val="pt-BR"/>
        </w:rPr>
        <w:t xml:space="preserve"> klīrenss bija atkarīgs no koncentrācijas, un to veido lineārā klīrensa un nelineārā klīrensa summa. Lineārais klīrenss tika noteikts kā rādītājs populācijas farmakokinētikas analīzē, un pacientiem ar GCA tas bija 6,7</w:t>
      </w:r>
      <w:r>
        <w:rPr>
          <w:lang w:val="pt-BR"/>
        </w:rPr>
        <w:t> </w:t>
      </w:r>
      <w:r w:rsidRPr="00C74D1A">
        <w:rPr>
          <w:lang w:val="pt-BR"/>
        </w:rPr>
        <w:t>ml/h.</w:t>
      </w:r>
    </w:p>
    <w:p w14:paraId="3A1FDD1B" w14:textId="77777777" w:rsidR="00A453C3" w:rsidRPr="00C74D1A" w:rsidRDefault="00A453C3" w:rsidP="00A453C3">
      <w:pPr>
        <w:rPr>
          <w:lang w:val="pt-BR"/>
        </w:rPr>
      </w:pPr>
    </w:p>
    <w:p w14:paraId="73722F65" w14:textId="26AAAFB4" w:rsidR="00A453C3" w:rsidRPr="00C74D1A" w:rsidRDefault="00A453C3" w:rsidP="00A453C3">
      <w:pPr>
        <w:rPr>
          <w:lang w:val="pt-BR"/>
        </w:rPr>
      </w:pPr>
      <w:r w:rsidRPr="00C74D1A">
        <w:rPr>
          <w:lang w:val="pt-BR"/>
        </w:rPr>
        <w:t xml:space="preserve">Pacientiem ar GCA </w:t>
      </w:r>
      <w:r>
        <w:rPr>
          <w:lang w:val="pt-BR"/>
        </w:rPr>
        <w:t>tocilizumaba</w:t>
      </w:r>
      <w:r w:rsidRPr="00C74D1A">
        <w:rPr>
          <w:lang w:val="pt-BR"/>
        </w:rPr>
        <w:t xml:space="preserve"> efektīvais t</w:t>
      </w:r>
      <w:r w:rsidRPr="00707120">
        <w:rPr>
          <w:vertAlign w:val="subscript"/>
          <w:lang w:val="pt-BR"/>
        </w:rPr>
        <w:t>½</w:t>
      </w:r>
      <w:r w:rsidRPr="00C74D1A">
        <w:rPr>
          <w:lang w:val="pt-BR"/>
        </w:rPr>
        <w:t xml:space="preserve"> līdzsvara fāzē bija no 18,3</w:t>
      </w:r>
      <w:r>
        <w:rPr>
          <w:lang w:val="pt-BR"/>
        </w:rPr>
        <w:t> </w:t>
      </w:r>
      <w:r w:rsidRPr="00C74D1A">
        <w:rPr>
          <w:lang w:val="pt-BR"/>
        </w:rPr>
        <w:t>līdz 18,9</w:t>
      </w:r>
      <w:r>
        <w:rPr>
          <w:lang w:val="pt-BR"/>
        </w:rPr>
        <w:t> </w:t>
      </w:r>
      <w:r w:rsidRPr="00C74D1A">
        <w:rPr>
          <w:lang w:val="pt-BR"/>
        </w:rPr>
        <w:t xml:space="preserve">dienām, ja 162 mg </w:t>
      </w:r>
      <w:r>
        <w:rPr>
          <w:lang w:val="pt-BR"/>
        </w:rPr>
        <w:t xml:space="preserve">devu </w:t>
      </w:r>
      <w:r w:rsidRPr="00C74D1A">
        <w:rPr>
          <w:lang w:val="pt-BR"/>
        </w:rPr>
        <w:t>lietoja reizi nedēļā, un no 4,2</w:t>
      </w:r>
      <w:r>
        <w:rPr>
          <w:lang w:val="pt-BR"/>
        </w:rPr>
        <w:t> </w:t>
      </w:r>
      <w:r w:rsidRPr="00C74D1A">
        <w:rPr>
          <w:lang w:val="pt-BR"/>
        </w:rPr>
        <w:t>līdz 7,9</w:t>
      </w:r>
      <w:r>
        <w:rPr>
          <w:lang w:val="pt-BR"/>
        </w:rPr>
        <w:t> </w:t>
      </w:r>
      <w:r w:rsidRPr="00C74D1A">
        <w:rPr>
          <w:lang w:val="pt-BR"/>
        </w:rPr>
        <w:t xml:space="preserve">dienām, ja 162 mg </w:t>
      </w:r>
      <w:r>
        <w:rPr>
          <w:lang w:val="pt-BR"/>
        </w:rPr>
        <w:t xml:space="preserve">devu </w:t>
      </w:r>
      <w:r w:rsidRPr="00C74D1A">
        <w:rPr>
          <w:lang w:val="pt-BR"/>
        </w:rPr>
        <w:t xml:space="preserve">lietoja katru otro nedēļu. Ja bija augsta koncentrācija serumā, kad kopējā </w:t>
      </w:r>
      <w:r>
        <w:rPr>
          <w:lang w:val="pt-BR"/>
        </w:rPr>
        <w:t>tocilizumaba</w:t>
      </w:r>
      <w:r w:rsidRPr="00C74D1A">
        <w:rPr>
          <w:lang w:val="pt-BR"/>
        </w:rPr>
        <w:t xml:space="preserve"> klīrensā dominē lineārais klīrenss, pēc prognozējamiem populācijas rādītājiem noteiktais efektīvais t</w:t>
      </w:r>
      <w:r w:rsidRPr="00707120">
        <w:rPr>
          <w:vertAlign w:val="subscript"/>
          <w:lang w:val="pt-BR"/>
        </w:rPr>
        <w:t>½</w:t>
      </w:r>
      <w:r w:rsidRPr="00C74D1A">
        <w:rPr>
          <w:lang w:val="pt-BR"/>
        </w:rPr>
        <w:t xml:space="preserve"> bija aptuveni 32</w:t>
      </w:r>
      <w:r>
        <w:rPr>
          <w:lang w:val="pt-BR"/>
        </w:rPr>
        <w:t> </w:t>
      </w:r>
      <w:r w:rsidRPr="00C74D1A">
        <w:rPr>
          <w:lang w:val="pt-BR"/>
        </w:rPr>
        <w:t>dienas.</w:t>
      </w:r>
    </w:p>
    <w:p w14:paraId="7E9126AE" w14:textId="77777777" w:rsidR="00A453C3" w:rsidRPr="00D30C7D" w:rsidRDefault="00A453C3" w:rsidP="00A453C3">
      <w:pPr>
        <w:rPr>
          <w:szCs w:val="22"/>
          <w:lang w:val="lv-LV"/>
        </w:rPr>
      </w:pPr>
    </w:p>
    <w:p w14:paraId="2185DE1E" w14:textId="77777777" w:rsidR="00A453C3" w:rsidRDefault="00A453C3" w:rsidP="00707120">
      <w:pPr>
        <w:keepNext/>
        <w:rPr>
          <w:i/>
          <w:iCs/>
          <w:lang w:val="lv-LV"/>
        </w:rPr>
      </w:pPr>
      <w:r>
        <w:rPr>
          <w:u w:val="single"/>
          <w:lang w:val="lv-LV"/>
        </w:rPr>
        <w:t>Īpašas pacientu grupas</w:t>
      </w:r>
    </w:p>
    <w:p w14:paraId="27A6F6F2" w14:textId="522CB612" w:rsidR="00A453C3" w:rsidRDefault="00A453C3" w:rsidP="00707120">
      <w:pPr>
        <w:keepNext/>
        <w:rPr>
          <w:lang w:val="lv-LV"/>
        </w:rPr>
      </w:pPr>
      <w:r>
        <w:rPr>
          <w:i/>
          <w:iCs/>
          <w:lang w:val="lv-LV"/>
        </w:rPr>
        <w:t>Nieru darbības traucējumi</w:t>
      </w:r>
    </w:p>
    <w:p w14:paraId="4B5C77C8" w14:textId="3956D7DC" w:rsidR="00A453C3" w:rsidRDefault="00A453C3" w:rsidP="00A453C3">
      <w:pPr>
        <w:rPr>
          <w:szCs w:val="22"/>
          <w:lang w:val="lv-LV"/>
        </w:rPr>
      </w:pPr>
      <w:r>
        <w:rPr>
          <w:lang w:val="lv-LV"/>
        </w:rPr>
        <w:t xml:space="preserve">Formāli pētījumi par nieru darbības traucējumu ietekmi uz </w:t>
      </w:r>
      <w:r>
        <w:rPr>
          <w:szCs w:val="22"/>
          <w:lang w:val="lv-LV"/>
        </w:rPr>
        <w:t>tocilizumaba farmakokinētiku nav veikti.</w:t>
      </w:r>
      <w:r>
        <w:rPr>
          <w:rFonts w:eastAsia="PMingLiU"/>
          <w:iCs/>
          <w:szCs w:val="22"/>
          <w:lang w:val="lv-LV"/>
        </w:rPr>
        <w:t xml:space="preserve"> Lielākai daļai pacientu RA un GCA </w:t>
      </w:r>
      <w:ins w:id="877" w:author="Regulatory LV" w:date="2026-03-17T11:22:00Z">
        <w:r w:rsidR="00E45E04">
          <w:rPr>
            <w:rFonts w:eastAsia="PMingLiU"/>
            <w:iCs/>
            <w:szCs w:val="22"/>
            <w:lang w:val="lv-LV"/>
          </w:rPr>
          <w:t xml:space="preserve">pētījumu </w:t>
        </w:r>
      </w:ins>
      <w:r>
        <w:rPr>
          <w:rFonts w:eastAsia="PMingLiU"/>
          <w:iCs/>
          <w:szCs w:val="22"/>
          <w:lang w:val="lv-LV"/>
        </w:rPr>
        <w:t xml:space="preserve">populācijas farmakokinētikas analīzē bija normāla nieru darbība vai viegli nieru darbības traucējumi. Viegli nieru darbības traucējumi (prognozējamais kreatinīna klīrenss pēc </w:t>
      </w:r>
      <w:r>
        <w:rPr>
          <w:rFonts w:eastAsia="PMingLiU"/>
          <w:i/>
          <w:szCs w:val="22"/>
          <w:lang w:val="lv-LV"/>
        </w:rPr>
        <w:t>Cockcroft-Gault</w:t>
      </w:r>
      <w:r>
        <w:rPr>
          <w:rFonts w:eastAsia="PMingLiU"/>
          <w:iCs/>
          <w:szCs w:val="22"/>
          <w:lang w:val="lv-LV"/>
        </w:rPr>
        <w:t xml:space="preserve"> formulas) neietekmēja </w:t>
      </w:r>
      <w:r>
        <w:rPr>
          <w:szCs w:val="22"/>
          <w:lang w:val="lv-LV"/>
        </w:rPr>
        <w:t xml:space="preserve">tocilizumaba </w:t>
      </w:r>
      <w:r>
        <w:rPr>
          <w:rFonts w:eastAsia="PMingLiU"/>
          <w:iCs/>
          <w:szCs w:val="22"/>
          <w:lang w:val="lv-LV"/>
        </w:rPr>
        <w:t>farmakokinētiku.</w:t>
      </w:r>
    </w:p>
    <w:p w14:paraId="356C13A4" w14:textId="77777777" w:rsidR="00A453C3" w:rsidRDefault="00A453C3" w:rsidP="00A453C3">
      <w:pPr>
        <w:rPr>
          <w:szCs w:val="22"/>
          <w:lang w:val="lv-LV"/>
        </w:rPr>
      </w:pPr>
    </w:p>
    <w:p w14:paraId="0E3A4835" w14:textId="2DE6A3FB" w:rsidR="00A453C3" w:rsidRDefault="00A453C3" w:rsidP="00707120">
      <w:pPr>
        <w:rPr>
          <w:lang w:val="lv-LV"/>
        </w:rPr>
      </w:pPr>
      <w:r w:rsidRPr="00D30C7D">
        <w:rPr>
          <w:lang w:val="lv-LV"/>
        </w:rPr>
        <w:t>Aptuveni trešdaļai pacientu GCA pētījuma sākumā bija vidēji smagi nieru darbības traucējumi (</w:t>
      </w:r>
      <w:r>
        <w:rPr>
          <w:lang w:val="lv-LV"/>
        </w:rPr>
        <w:t>aprēķinātais</w:t>
      </w:r>
      <w:r w:rsidRPr="00D30C7D">
        <w:rPr>
          <w:lang w:val="lv-LV"/>
        </w:rPr>
        <w:t xml:space="preserve"> kreatinīna klīrenss 30</w:t>
      </w:r>
      <w:r>
        <w:rPr>
          <w:lang w:val="lv-LV"/>
        </w:rPr>
        <w:noBreakHyphen/>
      </w:r>
      <w:r w:rsidRPr="00D30C7D">
        <w:rPr>
          <w:lang w:val="lv-LV"/>
        </w:rPr>
        <w:t>59</w:t>
      </w:r>
      <w:r>
        <w:rPr>
          <w:lang w:val="lv-LV"/>
        </w:rPr>
        <w:t> </w:t>
      </w:r>
      <w:r w:rsidRPr="00D30C7D">
        <w:rPr>
          <w:lang w:val="lv-LV"/>
        </w:rPr>
        <w:t xml:space="preserve">ml/min). Šiem pacientiem nekonstatēja ietekmi uz </w:t>
      </w:r>
      <w:r>
        <w:rPr>
          <w:lang w:val="lv-LV"/>
        </w:rPr>
        <w:t>tocilizumaba</w:t>
      </w:r>
      <w:r w:rsidRPr="00D30C7D">
        <w:rPr>
          <w:lang w:val="lv-LV"/>
        </w:rPr>
        <w:t xml:space="preserve"> kopējo iedarbību.</w:t>
      </w:r>
    </w:p>
    <w:p w14:paraId="6CF0D39F" w14:textId="77777777" w:rsidR="00A453C3" w:rsidRPr="00D30C7D" w:rsidRDefault="00A453C3" w:rsidP="00707120">
      <w:pPr>
        <w:rPr>
          <w:szCs w:val="22"/>
          <w:lang w:val="lv-LV"/>
        </w:rPr>
      </w:pPr>
    </w:p>
    <w:p w14:paraId="6DF367B4" w14:textId="77777777" w:rsidR="00A453C3" w:rsidRPr="00D30C7D" w:rsidRDefault="00A453C3" w:rsidP="00A453C3">
      <w:pPr>
        <w:spacing w:line="280" w:lineRule="atLeast"/>
        <w:rPr>
          <w:szCs w:val="22"/>
          <w:lang w:val="lv-LV"/>
        </w:rPr>
      </w:pPr>
      <w:r w:rsidRPr="00D30C7D">
        <w:rPr>
          <w:lang w:val="lv-LV"/>
        </w:rPr>
        <w:t>Pacientiem ar viegliem vai vidēji smagiem nieru darbības traucējumiem deva nav jāpielāgo.</w:t>
      </w:r>
    </w:p>
    <w:p w14:paraId="2DDE68CA" w14:textId="77777777" w:rsidR="00A453C3" w:rsidRDefault="00A453C3" w:rsidP="00A453C3">
      <w:pPr>
        <w:rPr>
          <w:szCs w:val="22"/>
          <w:lang w:val="lv-LV"/>
        </w:rPr>
      </w:pPr>
    </w:p>
    <w:p w14:paraId="4866E5B9" w14:textId="68266617" w:rsidR="00A453C3" w:rsidRDefault="00A453C3" w:rsidP="00707120">
      <w:pPr>
        <w:keepNext/>
        <w:rPr>
          <w:szCs w:val="22"/>
          <w:lang w:val="lv-LV"/>
        </w:rPr>
      </w:pPr>
      <w:r>
        <w:rPr>
          <w:bCs/>
          <w:i/>
          <w:iCs/>
          <w:szCs w:val="22"/>
          <w:lang w:val="lv-LV"/>
        </w:rPr>
        <w:t>Aknu darbības traucējumi</w:t>
      </w:r>
    </w:p>
    <w:p w14:paraId="2E87C9F7" w14:textId="4C1645BC" w:rsidR="00A453C3" w:rsidRDefault="00A453C3" w:rsidP="00A453C3">
      <w:pPr>
        <w:rPr>
          <w:szCs w:val="22"/>
          <w:lang w:val="lv-LV"/>
        </w:rPr>
      </w:pPr>
      <w:r>
        <w:rPr>
          <w:szCs w:val="22"/>
          <w:lang w:val="lv-LV"/>
        </w:rPr>
        <w:t>Formāli pētījumi par aknu darbības traucējumu ietekmi uz tocilizumaba farmakokinētiku nav veikti.</w:t>
      </w:r>
    </w:p>
    <w:p w14:paraId="2A5BE7D1" w14:textId="77777777" w:rsidR="00A453C3" w:rsidRDefault="00A453C3" w:rsidP="00A453C3">
      <w:pPr>
        <w:rPr>
          <w:szCs w:val="22"/>
          <w:lang w:val="lv-LV"/>
        </w:rPr>
      </w:pPr>
    </w:p>
    <w:p w14:paraId="22D903A9" w14:textId="0D7E26F3" w:rsidR="00A453C3" w:rsidRDefault="00A453C3" w:rsidP="00707120">
      <w:pPr>
        <w:keepNext/>
        <w:rPr>
          <w:rFonts w:eastAsia="PMingLiU"/>
          <w:iCs/>
          <w:szCs w:val="22"/>
          <w:lang w:val="lv-LV"/>
        </w:rPr>
      </w:pPr>
      <w:r>
        <w:rPr>
          <w:rFonts w:eastAsia="PMingLiU"/>
          <w:i/>
          <w:iCs/>
          <w:szCs w:val="22"/>
          <w:lang w:val="lv-LV"/>
        </w:rPr>
        <w:t>Vecums, dzimums un etniskā piederība</w:t>
      </w:r>
      <w:r>
        <w:rPr>
          <w:rFonts w:eastAsia="PMingLiU"/>
          <w:iCs/>
          <w:szCs w:val="22"/>
          <w:lang w:val="lv-LV"/>
        </w:rPr>
        <w:t xml:space="preserve"> </w:t>
      </w:r>
    </w:p>
    <w:p w14:paraId="7A6E2FDA" w14:textId="5B0FD548" w:rsidR="00A453C3" w:rsidRDefault="00A453C3" w:rsidP="00A453C3">
      <w:pPr>
        <w:rPr>
          <w:rFonts w:eastAsia="PMingLiU"/>
          <w:lang w:val="lv-LV"/>
        </w:rPr>
      </w:pPr>
      <w:r>
        <w:rPr>
          <w:rFonts w:eastAsia="PMingLiU"/>
          <w:lang w:val="lv-LV"/>
        </w:rPr>
        <w:t xml:space="preserve">Populācijas farmakokinētikas analīze par RA un GCA slimniekiem liecināja, ka vecums, dzimums un rase neietekmē </w:t>
      </w:r>
      <w:r>
        <w:rPr>
          <w:szCs w:val="22"/>
          <w:lang w:val="lv-LV"/>
        </w:rPr>
        <w:t xml:space="preserve">tocilizumaba </w:t>
      </w:r>
      <w:r>
        <w:rPr>
          <w:lang w:val="lv-LV"/>
        </w:rPr>
        <w:t>farmakokinētiku</w:t>
      </w:r>
      <w:r>
        <w:rPr>
          <w:rFonts w:eastAsia="PMingLiU"/>
          <w:lang w:val="lv-LV"/>
        </w:rPr>
        <w:t>.</w:t>
      </w:r>
    </w:p>
    <w:p w14:paraId="702EA6A5" w14:textId="77777777" w:rsidR="00A453C3" w:rsidRDefault="00A453C3" w:rsidP="00A453C3">
      <w:pPr>
        <w:rPr>
          <w:szCs w:val="22"/>
          <w:lang w:val="lv-LV"/>
        </w:rPr>
      </w:pPr>
    </w:p>
    <w:p w14:paraId="48BBE9DF" w14:textId="3D2839AB" w:rsidR="00A453C3" w:rsidRDefault="00A453C3" w:rsidP="00A453C3">
      <w:pPr>
        <w:rPr>
          <w:szCs w:val="22"/>
          <w:lang w:val="lv-LV"/>
        </w:rPr>
      </w:pPr>
      <w:r w:rsidRPr="004F13BD">
        <w:rPr>
          <w:szCs w:val="22"/>
          <w:lang w:val="lv-LV"/>
        </w:rPr>
        <w:t xml:space="preserve">Rezultāti, kas iegūti, analizējot tocilizumaba FK </w:t>
      </w:r>
      <w:r>
        <w:rPr>
          <w:szCs w:val="22"/>
          <w:lang w:val="lv-LV"/>
        </w:rPr>
        <w:t xml:space="preserve">sJIA vai </w:t>
      </w:r>
      <w:r w:rsidRPr="004F13BD">
        <w:rPr>
          <w:szCs w:val="22"/>
          <w:lang w:val="lv-LV"/>
        </w:rPr>
        <w:t>pJIA slimnieku populācijā, apstiprina, ka ķermeņa lielums ir vienīgais līdzvērtīgais mainīgais, kam raksturīga jūtama ietekme uz</w:t>
      </w:r>
      <w:r>
        <w:rPr>
          <w:szCs w:val="22"/>
          <w:lang w:val="lv-LV"/>
        </w:rPr>
        <w:t xml:space="preserve"> tocilizumaba</w:t>
      </w:r>
      <w:r w:rsidRPr="00E273EB">
        <w:rPr>
          <w:szCs w:val="22"/>
          <w:lang w:val="lv-LV"/>
        </w:rPr>
        <w:t xml:space="preserve"> farmakokinētiku, ieskaitot elimināciju un uzsūkšan</w:t>
      </w:r>
      <w:r>
        <w:rPr>
          <w:szCs w:val="22"/>
          <w:lang w:val="lv-LV"/>
        </w:rPr>
        <w:t>os</w:t>
      </w:r>
      <w:r w:rsidRPr="00E273EB">
        <w:rPr>
          <w:szCs w:val="22"/>
          <w:lang w:val="lv-LV"/>
        </w:rPr>
        <w:t>, tāpēc jāapsver zāļu dozēšana pēc ķermeņa masas lieluma (skatīt 8.</w:t>
      </w:r>
      <w:r>
        <w:rPr>
          <w:szCs w:val="22"/>
          <w:lang w:val="lv-LV"/>
        </w:rPr>
        <w:t> un 9. </w:t>
      </w:r>
      <w:r w:rsidRPr="00E273EB">
        <w:rPr>
          <w:szCs w:val="22"/>
          <w:lang w:val="lv-LV"/>
        </w:rPr>
        <w:t>tabulu)</w:t>
      </w:r>
      <w:r w:rsidRPr="004F13BD">
        <w:rPr>
          <w:szCs w:val="22"/>
          <w:lang w:val="lv-LV"/>
        </w:rPr>
        <w:t>.</w:t>
      </w:r>
    </w:p>
    <w:p w14:paraId="6C07F96F" w14:textId="77777777" w:rsidR="00A453C3" w:rsidRDefault="00A453C3" w:rsidP="00A453C3">
      <w:pPr>
        <w:rPr>
          <w:szCs w:val="22"/>
          <w:lang w:val="lv-LV"/>
        </w:rPr>
      </w:pPr>
    </w:p>
    <w:p w14:paraId="08F906F9" w14:textId="77777777" w:rsidR="00A453C3" w:rsidRDefault="00A453C3" w:rsidP="00A453C3">
      <w:pPr>
        <w:keepNext/>
        <w:keepLines/>
        <w:rPr>
          <w:szCs w:val="22"/>
          <w:lang w:val="lv-LV"/>
        </w:rPr>
      </w:pPr>
      <w:r>
        <w:rPr>
          <w:b/>
          <w:szCs w:val="22"/>
          <w:lang w:val="lv-LV"/>
        </w:rPr>
        <w:t>5.3.</w:t>
      </w:r>
      <w:r>
        <w:rPr>
          <w:b/>
          <w:szCs w:val="22"/>
          <w:lang w:val="lv-LV"/>
        </w:rPr>
        <w:tab/>
        <w:t>Preklīniskie dati par drošumu</w:t>
      </w:r>
    </w:p>
    <w:p w14:paraId="548D2472" w14:textId="77777777" w:rsidR="00A453C3" w:rsidRDefault="00A453C3" w:rsidP="00A453C3">
      <w:pPr>
        <w:keepNext/>
        <w:keepLines/>
        <w:rPr>
          <w:szCs w:val="22"/>
          <w:lang w:val="lv-LV"/>
        </w:rPr>
      </w:pPr>
    </w:p>
    <w:p w14:paraId="45BC06C6" w14:textId="502FCF56" w:rsidR="00A453C3" w:rsidRDefault="00A453C3" w:rsidP="00A453C3">
      <w:pPr>
        <w:rPr>
          <w:rFonts w:eastAsia="PMingLiU"/>
          <w:bCs/>
          <w:szCs w:val="22"/>
          <w:lang w:val="lv-LV"/>
        </w:rPr>
      </w:pPr>
      <w:bookmarkStart w:id="878" w:name="_Hlk174614018"/>
      <w:r>
        <w:rPr>
          <w:lang w:val="lv-LV"/>
        </w:rPr>
        <w:t>Neklīniskajos standartpētījumos iegūtie dati par farmakoloģisko drošumu, atkārtotu devu toksicitāti, genotoksicitāti un toksisku ietekmi uz reproduktivitāti un attīstību neliecina par īpašu risku cilvēkam</w:t>
      </w:r>
      <w:r>
        <w:rPr>
          <w:szCs w:val="22"/>
          <w:lang w:val="lv-LV"/>
        </w:rPr>
        <w:t>.</w:t>
      </w:r>
      <w:r>
        <w:rPr>
          <w:rFonts w:eastAsia="PMingLiU"/>
          <w:bCs/>
          <w:szCs w:val="22"/>
          <w:lang w:val="lv-LV"/>
        </w:rPr>
        <w:t xml:space="preserve"> </w:t>
      </w:r>
    </w:p>
    <w:p w14:paraId="595CC035" w14:textId="77777777" w:rsidR="00A453C3" w:rsidRDefault="00A453C3" w:rsidP="00A453C3">
      <w:pPr>
        <w:rPr>
          <w:rFonts w:eastAsia="PMingLiU"/>
          <w:bCs/>
          <w:szCs w:val="22"/>
          <w:lang w:val="lv-LV"/>
        </w:rPr>
      </w:pPr>
    </w:p>
    <w:p w14:paraId="564688C5" w14:textId="77777777" w:rsidR="00A453C3" w:rsidRDefault="00A453C3" w:rsidP="00A453C3">
      <w:pPr>
        <w:rPr>
          <w:rFonts w:eastAsia="PMingLiU"/>
          <w:szCs w:val="22"/>
          <w:lang w:val="lv-LV"/>
        </w:rPr>
      </w:pPr>
      <w:r>
        <w:rPr>
          <w:rFonts w:eastAsia="PMingLiU"/>
          <w:bCs/>
          <w:szCs w:val="22"/>
          <w:lang w:val="lv-LV"/>
        </w:rPr>
        <w:t xml:space="preserve">Kancerogenitātes pētījumi </w:t>
      </w:r>
      <w:r>
        <w:rPr>
          <w:szCs w:val="22"/>
          <w:lang w:val="lv-LV"/>
        </w:rPr>
        <w:t xml:space="preserve">netika veikti, jo netiek uzskatīts, ka </w:t>
      </w:r>
      <w:r>
        <w:rPr>
          <w:bCs/>
          <w:lang w:val="lv-LV"/>
        </w:rPr>
        <w:t>IgG1 monoklonālām antivielām piemīt kancerogēnas iedarbības potenciāls.</w:t>
      </w:r>
    </w:p>
    <w:p w14:paraId="6AF9CD66" w14:textId="77777777" w:rsidR="00A453C3" w:rsidRDefault="00A453C3" w:rsidP="00A453C3">
      <w:pPr>
        <w:rPr>
          <w:rFonts w:eastAsia="PMingLiU"/>
          <w:szCs w:val="22"/>
          <w:lang w:val="lv-LV"/>
        </w:rPr>
      </w:pPr>
    </w:p>
    <w:p w14:paraId="0C49A81C" w14:textId="5456F114" w:rsidR="00A453C3" w:rsidRDefault="00A453C3" w:rsidP="00A453C3">
      <w:pPr>
        <w:rPr>
          <w:szCs w:val="22"/>
          <w:lang w:val="lv-LV"/>
        </w:rPr>
      </w:pPr>
      <w:r>
        <w:rPr>
          <w:szCs w:val="22"/>
          <w:lang w:val="lv-LV"/>
        </w:rPr>
        <w:t>Pieejamie neklīniskie dati liecināja par IL</w:t>
      </w:r>
      <w:r>
        <w:rPr>
          <w:szCs w:val="22"/>
          <w:lang w:val="lv-LV"/>
        </w:rPr>
        <w:noBreakHyphen/>
        <w:t>6 veicinošo ietekmi uz ļaundabīgo audzēju progresēšanu un apoptozes rezistenci dažādiem vēža veidiem. Šie dati neliecina par nozīmīgu vēža attīstības sākšanās un progresēšanas risku tocilizumaba terapijas laikā. Turklāt 6 mēnešus ilgā hroniskas toksicitātes pētījumā par makaka sugas pērtiķiem vai pelēm ar IL</w:t>
      </w:r>
      <w:r>
        <w:rPr>
          <w:szCs w:val="22"/>
          <w:lang w:val="lv-LV"/>
        </w:rPr>
        <w:noBreakHyphen/>
        <w:t xml:space="preserve">6 trūkumu proliferatīvus bojājumus nekonstatēja. </w:t>
      </w:r>
    </w:p>
    <w:p w14:paraId="00C2FCF0" w14:textId="77777777" w:rsidR="00A453C3" w:rsidRDefault="00A453C3" w:rsidP="00A453C3">
      <w:pPr>
        <w:rPr>
          <w:szCs w:val="22"/>
          <w:lang w:val="lv-LV"/>
        </w:rPr>
      </w:pPr>
    </w:p>
    <w:p w14:paraId="536E3098" w14:textId="1229F72C" w:rsidR="00A453C3" w:rsidRDefault="00A453C3" w:rsidP="00A453C3">
      <w:pPr>
        <w:rPr>
          <w:szCs w:val="22"/>
          <w:lang w:val="lv-LV"/>
        </w:rPr>
      </w:pPr>
      <w:r>
        <w:rPr>
          <w:szCs w:val="22"/>
          <w:lang w:val="lv-LV"/>
        </w:rPr>
        <w:t xml:space="preserve">Pieejamie neklīniskie dati neliecina par ietekmi uz </w:t>
      </w:r>
      <w:del w:id="879" w:author="Regulatory LV" w:date="2026-03-17T11:44:00Z">
        <w:r w:rsidDel="00B00D37">
          <w:rPr>
            <w:szCs w:val="22"/>
            <w:lang w:val="lv-LV"/>
          </w:rPr>
          <w:delText>auglību</w:delText>
        </w:r>
      </w:del>
      <w:ins w:id="880" w:author="Regulatory LV" w:date="2026-03-17T11:44:00Z">
        <w:r w:rsidR="00B00D37">
          <w:rPr>
            <w:szCs w:val="22"/>
            <w:lang w:val="lv-LV"/>
          </w:rPr>
          <w:t>fertilitāti</w:t>
        </w:r>
      </w:ins>
      <w:r>
        <w:rPr>
          <w:szCs w:val="22"/>
          <w:lang w:val="lv-LV"/>
        </w:rPr>
        <w:t>, lietojot tocilizumabu. Hroniskas toksicitātes pētījumā ar makaka sugas pērtiķiem nenovēroja ietekmi uz endokrīni aktīviem un reproduktīvās sistēmas orgāniem, un pelēm ar IL</w:t>
      </w:r>
      <w:r>
        <w:rPr>
          <w:szCs w:val="22"/>
          <w:lang w:val="lv-LV"/>
        </w:rPr>
        <w:noBreakHyphen/>
        <w:t>6 trūkumu reproduktīvā veiktspēja netika ietekmēta. Lietojot tocilizumabu makaka sugas pērtiķiem agrīnā grūsnības laikā, nekonstatēja tiešu vai netiešu nelabvēlīgu ietekmi uz grūsnību vai embrija</w:t>
      </w:r>
      <w:r>
        <w:rPr>
          <w:szCs w:val="22"/>
          <w:lang w:val="lv-LV"/>
        </w:rPr>
        <w:noBreakHyphen/>
        <w:t>augļa attīstību. Tomēr lielas sistēmiskas iedarbības gadījumā (&gt; 100 × lielāka iedarbība par iedarbību cilvēkam) 50 mg/kg dienas devas grupā novēroja nelielu aborta/embrija</w:t>
      </w:r>
      <w:r>
        <w:rPr>
          <w:szCs w:val="22"/>
          <w:lang w:val="lv-LV"/>
        </w:rPr>
        <w:noBreakHyphen/>
        <w:t>augļa nāves gadījumu skaita palielināšanos, salīdzinot ar placebo un citām mazas devas grupām. Lai gan šķiet, ka IL</w:t>
      </w:r>
      <w:r>
        <w:rPr>
          <w:szCs w:val="22"/>
          <w:lang w:val="lv-LV"/>
        </w:rPr>
        <w:noBreakHyphen/>
        <w:t>6 nav kritiski nozīmīgs citokīns augļa augšanai vai mātes/augļa mijiedarbības imunoloģiskai kontrolei, šīs atrades saistību ar tocilizumabu nevar izslēgt.</w:t>
      </w:r>
    </w:p>
    <w:p w14:paraId="454B13E8" w14:textId="77777777" w:rsidR="00A453C3" w:rsidRDefault="00A453C3" w:rsidP="00A453C3">
      <w:pPr>
        <w:rPr>
          <w:szCs w:val="22"/>
          <w:lang w:val="lv-LV"/>
        </w:rPr>
      </w:pPr>
    </w:p>
    <w:p w14:paraId="6C4784AB" w14:textId="77777777" w:rsidR="00A453C3" w:rsidRDefault="00A453C3" w:rsidP="00A453C3">
      <w:pPr>
        <w:rPr>
          <w:szCs w:val="22"/>
          <w:lang w:val="lv-LV"/>
        </w:rPr>
      </w:pPr>
      <w:r>
        <w:rPr>
          <w:szCs w:val="22"/>
          <w:lang w:val="lv-LV"/>
        </w:rPr>
        <w:t>Peļu analoga lietošana peļu mazuļiem toksicitāti neizraisīja. Īpaši jāatzīmē, ka nenovēroja ietekmi uz skeleta augšanu, imūnās sistēmas darbību un dzimumnobriešanu.</w:t>
      </w:r>
    </w:p>
    <w:p w14:paraId="0EB988B6" w14:textId="77777777" w:rsidR="00A453C3" w:rsidRDefault="00A453C3" w:rsidP="00A453C3">
      <w:pPr>
        <w:rPr>
          <w:szCs w:val="22"/>
          <w:lang w:val="lv-LV"/>
        </w:rPr>
      </w:pPr>
    </w:p>
    <w:p w14:paraId="7EBE79DE" w14:textId="231E360B" w:rsidR="00A453C3" w:rsidRDefault="00A453C3" w:rsidP="00A453C3">
      <w:pPr>
        <w:rPr>
          <w:szCs w:val="22"/>
          <w:lang w:val="lv-LV"/>
        </w:rPr>
      </w:pPr>
      <w:r>
        <w:rPr>
          <w:szCs w:val="22"/>
          <w:lang w:val="lv-LV"/>
        </w:rPr>
        <w:t xml:space="preserve">Tocilizumaba neklīniskās drošuma īpašības makakiem neliecina par intravenozas un subkutānas ievadīšanas atšķirībām. </w:t>
      </w:r>
    </w:p>
    <w:bookmarkEnd w:id="878"/>
    <w:p w14:paraId="6C562BFD" w14:textId="77777777" w:rsidR="00A453C3" w:rsidRDefault="00A453C3" w:rsidP="00A453C3">
      <w:pPr>
        <w:rPr>
          <w:szCs w:val="22"/>
          <w:lang w:val="lv-LV"/>
        </w:rPr>
      </w:pPr>
    </w:p>
    <w:p w14:paraId="40E269F1" w14:textId="77777777" w:rsidR="00A453C3" w:rsidRDefault="00A453C3" w:rsidP="00A453C3">
      <w:pPr>
        <w:rPr>
          <w:szCs w:val="22"/>
          <w:lang w:val="lv-LV"/>
        </w:rPr>
      </w:pPr>
    </w:p>
    <w:p w14:paraId="49072515" w14:textId="77777777" w:rsidR="00A453C3" w:rsidRDefault="00A453C3" w:rsidP="00A453C3">
      <w:pPr>
        <w:keepNext/>
        <w:keepLines/>
        <w:ind w:left="567" w:hanging="567"/>
        <w:rPr>
          <w:szCs w:val="22"/>
          <w:lang w:val="lv-LV"/>
        </w:rPr>
      </w:pPr>
      <w:r>
        <w:rPr>
          <w:b/>
          <w:szCs w:val="22"/>
          <w:lang w:val="lv-LV"/>
        </w:rPr>
        <w:t>6.</w:t>
      </w:r>
      <w:r>
        <w:rPr>
          <w:b/>
          <w:szCs w:val="22"/>
          <w:lang w:val="lv-LV"/>
        </w:rPr>
        <w:tab/>
        <w:t>FARMACEITISKĀ INFORMĀCIJA</w:t>
      </w:r>
    </w:p>
    <w:p w14:paraId="32266B00" w14:textId="77777777" w:rsidR="00A453C3" w:rsidRDefault="00A453C3" w:rsidP="00A453C3">
      <w:pPr>
        <w:keepNext/>
        <w:rPr>
          <w:szCs w:val="22"/>
          <w:lang w:val="lv-LV"/>
        </w:rPr>
      </w:pPr>
    </w:p>
    <w:p w14:paraId="06E3A6B6" w14:textId="77777777" w:rsidR="00A453C3" w:rsidRDefault="00A453C3" w:rsidP="00A453C3">
      <w:pPr>
        <w:keepNext/>
        <w:ind w:left="567" w:hanging="567"/>
        <w:rPr>
          <w:rFonts w:eastAsia="PMingLiU"/>
          <w:bCs/>
          <w:szCs w:val="22"/>
          <w:lang w:val="lv-LV"/>
        </w:rPr>
      </w:pPr>
      <w:r>
        <w:rPr>
          <w:b/>
          <w:szCs w:val="22"/>
          <w:lang w:val="lv-LV"/>
        </w:rPr>
        <w:t>6.1.</w:t>
      </w:r>
      <w:r>
        <w:rPr>
          <w:b/>
          <w:szCs w:val="22"/>
          <w:lang w:val="lv-LV"/>
        </w:rPr>
        <w:tab/>
        <w:t>Palīgvielu saraksts</w:t>
      </w:r>
    </w:p>
    <w:p w14:paraId="667F4112" w14:textId="77777777" w:rsidR="00A453C3" w:rsidRDefault="00A453C3" w:rsidP="00A453C3">
      <w:pPr>
        <w:keepNext/>
        <w:rPr>
          <w:rFonts w:eastAsia="PMingLiU"/>
          <w:bCs/>
          <w:szCs w:val="22"/>
          <w:lang w:val="lv-LV"/>
        </w:rPr>
      </w:pPr>
    </w:p>
    <w:p w14:paraId="3AF04F24" w14:textId="77777777" w:rsidR="00A453C3" w:rsidRDefault="00A453C3" w:rsidP="00A453C3">
      <w:pPr>
        <w:keepNext/>
        <w:rPr>
          <w:rFonts w:eastAsia="PMingLiU"/>
          <w:bCs/>
          <w:szCs w:val="22"/>
          <w:lang w:val="lv-LV"/>
        </w:rPr>
      </w:pPr>
      <w:r>
        <w:rPr>
          <w:rFonts w:eastAsia="PMingLiU"/>
          <w:bCs/>
          <w:szCs w:val="22"/>
          <w:lang w:val="lv-LV"/>
        </w:rPr>
        <w:t>L</w:t>
      </w:r>
      <w:r>
        <w:rPr>
          <w:rFonts w:eastAsia="PMingLiU"/>
          <w:bCs/>
          <w:szCs w:val="22"/>
          <w:lang w:val="lv-LV"/>
        </w:rPr>
        <w:noBreakHyphen/>
        <w:t xml:space="preserve">histidīns </w:t>
      </w:r>
      <w:bookmarkStart w:id="881" w:name="_Hlk174614044"/>
      <w:r>
        <w:rPr>
          <w:rFonts w:eastAsia="PMingLiU"/>
          <w:bCs/>
          <w:szCs w:val="22"/>
          <w:lang w:val="lv-LV"/>
        </w:rPr>
        <w:t>(pH pielāgošanai)</w:t>
      </w:r>
      <w:bookmarkEnd w:id="881"/>
    </w:p>
    <w:p w14:paraId="3018FEBB" w14:textId="77777777" w:rsidR="00A453C3" w:rsidRDefault="00A453C3" w:rsidP="00A453C3">
      <w:pPr>
        <w:keepNext/>
        <w:rPr>
          <w:rFonts w:eastAsia="PMingLiU"/>
          <w:bCs/>
          <w:szCs w:val="22"/>
          <w:lang w:val="lv-LV"/>
        </w:rPr>
      </w:pPr>
      <w:r>
        <w:rPr>
          <w:rFonts w:eastAsia="PMingLiU"/>
          <w:bCs/>
          <w:szCs w:val="22"/>
          <w:lang w:val="lv-LV"/>
        </w:rPr>
        <w:t>L</w:t>
      </w:r>
      <w:r>
        <w:rPr>
          <w:rFonts w:eastAsia="PMingLiU"/>
          <w:bCs/>
          <w:szCs w:val="22"/>
          <w:lang w:val="lv-LV"/>
        </w:rPr>
        <w:noBreakHyphen/>
        <w:t>histidīna monohidrohlorīda monohidrāts (pH pielāgošanai)</w:t>
      </w:r>
    </w:p>
    <w:p w14:paraId="49F11FEE" w14:textId="77777777" w:rsidR="00A453C3" w:rsidRDefault="00A453C3" w:rsidP="00A453C3">
      <w:pPr>
        <w:keepNext/>
        <w:rPr>
          <w:rFonts w:eastAsia="PMingLiU"/>
          <w:bCs/>
          <w:szCs w:val="22"/>
          <w:lang w:val="lv-LV"/>
        </w:rPr>
      </w:pPr>
      <w:r>
        <w:rPr>
          <w:rFonts w:eastAsia="PMingLiU"/>
          <w:bCs/>
          <w:szCs w:val="22"/>
          <w:lang w:val="lv-LV"/>
        </w:rPr>
        <w:t>L-arginīns/L</w:t>
      </w:r>
      <w:r>
        <w:rPr>
          <w:rFonts w:eastAsia="PMingLiU"/>
          <w:bCs/>
          <w:szCs w:val="22"/>
          <w:lang w:val="lv-LV"/>
        </w:rPr>
        <w:noBreakHyphen/>
        <w:t>arginīna hidrohlorīds</w:t>
      </w:r>
    </w:p>
    <w:p w14:paraId="4262B8B0" w14:textId="77777777" w:rsidR="00A453C3" w:rsidRDefault="00A453C3" w:rsidP="00A453C3">
      <w:pPr>
        <w:keepNext/>
        <w:rPr>
          <w:rFonts w:eastAsia="PMingLiU"/>
          <w:bCs/>
          <w:szCs w:val="22"/>
          <w:lang w:val="lv-LV"/>
        </w:rPr>
      </w:pPr>
      <w:r>
        <w:rPr>
          <w:rFonts w:eastAsia="PMingLiU"/>
          <w:bCs/>
          <w:szCs w:val="22"/>
          <w:lang w:val="lv-LV"/>
        </w:rPr>
        <w:t>L</w:t>
      </w:r>
      <w:r>
        <w:rPr>
          <w:rFonts w:eastAsia="PMingLiU"/>
          <w:bCs/>
          <w:szCs w:val="22"/>
          <w:lang w:val="lv-LV"/>
        </w:rPr>
        <w:noBreakHyphen/>
        <w:t>metionīns</w:t>
      </w:r>
    </w:p>
    <w:p w14:paraId="60541FDD" w14:textId="014083AF" w:rsidR="00A453C3" w:rsidRDefault="00A453C3" w:rsidP="00A453C3">
      <w:pPr>
        <w:keepNext/>
        <w:rPr>
          <w:rFonts w:eastAsia="PMingLiU"/>
          <w:bCs/>
          <w:szCs w:val="22"/>
          <w:lang w:val="lv-LV"/>
        </w:rPr>
      </w:pPr>
      <w:r>
        <w:rPr>
          <w:rFonts w:eastAsia="PMingLiU"/>
          <w:bCs/>
          <w:szCs w:val="22"/>
          <w:lang w:val="lv-LV"/>
        </w:rPr>
        <w:t>Polisorbāts</w:t>
      </w:r>
      <w:r w:rsidR="000C7288">
        <w:rPr>
          <w:rFonts w:eastAsia="PMingLiU"/>
          <w:bCs/>
          <w:szCs w:val="22"/>
          <w:lang w:val="lv-LV"/>
        </w:rPr>
        <w:t> </w:t>
      </w:r>
      <w:r>
        <w:rPr>
          <w:rFonts w:eastAsia="PMingLiU"/>
          <w:bCs/>
          <w:szCs w:val="22"/>
          <w:lang w:val="lv-LV"/>
        </w:rPr>
        <w:t>80</w:t>
      </w:r>
      <w:bookmarkStart w:id="882" w:name="_Hlk174614054"/>
      <w:r>
        <w:rPr>
          <w:rFonts w:eastAsia="PMingLiU"/>
          <w:bCs/>
          <w:szCs w:val="22"/>
          <w:lang w:val="lv-LV"/>
        </w:rPr>
        <w:t xml:space="preserve"> (E 433)</w:t>
      </w:r>
      <w:bookmarkEnd w:id="882"/>
    </w:p>
    <w:p w14:paraId="165738A8" w14:textId="77777777" w:rsidR="00A453C3" w:rsidRDefault="00A453C3" w:rsidP="00A453C3">
      <w:pPr>
        <w:rPr>
          <w:iCs/>
          <w:szCs w:val="22"/>
          <w:lang w:val="lv-LV"/>
        </w:rPr>
      </w:pPr>
      <w:r>
        <w:rPr>
          <w:rFonts w:eastAsia="PMingLiU"/>
          <w:bCs/>
          <w:szCs w:val="22"/>
          <w:lang w:val="lv-LV"/>
        </w:rPr>
        <w:t>Ūdens injekcijām</w:t>
      </w:r>
    </w:p>
    <w:p w14:paraId="2B253091" w14:textId="77777777" w:rsidR="00A453C3" w:rsidRDefault="00A453C3" w:rsidP="00A453C3">
      <w:pPr>
        <w:rPr>
          <w:iCs/>
          <w:szCs w:val="22"/>
          <w:lang w:val="lv-LV"/>
        </w:rPr>
      </w:pPr>
    </w:p>
    <w:p w14:paraId="4CC4F29B" w14:textId="77777777" w:rsidR="00A453C3" w:rsidRDefault="00A453C3" w:rsidP="00A453C3">
      <w:pPr>
        <w:keepNext/>
        <w:ind w:left="567" w:hanging="567"/>
        <w:rPr>
          <w:rFonts w:eastAsia="PMingLiU"/>
          <w:bCs/>
          <w:szCs w:val="22"/>
          <w:lang w:val="lv-LV"/>
        </w:rPr>
      </w:pPr>
      <w:r>
        <w:rPr>
          <w:b/>
          <w:szCs w:val="22"/>
          <w:lang w:val="lv-LV"/>
        </w:rPr>
        <w:t>6.2.</w:t>
      </w:r>
      <w:r>
        <w:rPr>
          <w:b/>
          <w:szCs w:val="22"/>
          <w:lang w:val="lv-LV"/>
        </w:rPr>
        <w:tab/>
        <w:t>Nesaderība</w:t>
      </w:r>
    </w:p>
    <w:p w14:paraId="3A9C0C89" w14:textId="77777777" w:rsidR="00A453C3" w:rsidRDefault="00A453C3" w:rsidP="00A453C3">
      <w:pPr>
        <w:keepNext/>
        <w:rPr>
          <w:rFonts w:eastAsia="PMingLiU"/>
          <w:bCs/>
          <w:szCs w:val="22"/>
          <w:lang w:val="lv-LV"/>
        </w:rPr>
      </w:pPr>
    </w:p>
    <w:p w14:paraId="0F99B0A6" w14:textId="77777777" w:rsidR="00A453C3" w:rsidRDefault="00A453C3" w:rsidP="00A453C3">
      <w:pPr>
        <w:rPr>
          <w:szCs w:val="22"/>
          <w:lang w:val="lv-LV"/>
        </w:rPr>
      </w:pPr>
      <w:r>
        <w:rPr>
          <w:szCs w:val="22"/>
          <w:lang w:val="lv-LV"/>
        </w:rPr>
        <w:t>Saderības pētījumu trūkuma dēļ šīs zāles nedrīkst sajaukt (lietot maisījumā) ar citām zālēm.</w:t>
      </w:r>
    </w:p>
    <w:p w14:paraId="161A91B8" w14:textId="77777777" w:rsidR="00A453C3" w:rsidRDefault="00A453C3" w:rsidP="00A453C3">
      <w:pPr>
        <w:rPr>
          <w:szCs w:val="22"/>
          <w:lang w:val="lv-LV"/>
        </w:rPr>
      </w:pPr>
    </w:p>
    <w:p w14:paraId="14550947" w14:textId="77777777" w:rsidR="00A453C3" w:rsidRDefault="00A453C3" w:rsidP="00A453C3">
      <w:pPr>
        <w:ind w:left="567" w:hanging="567"/>
        <w:rPr>
          <w:szCs w:val="22"/>
          <w:lang w:val="lv-LV"/>
        </w:rPr>
      </w:pPr>
      <w:r>
        <w:rPr>
          <w:b/>
          <w:szCs w:val="22"/>
          <w:lang w:val="lv-LV"/>
        </w:rPr>
        <w:t>6.3.</w:t>
      </w:r>
      <w:r>
        <w:rPr>
          <w:b/>
          <w:szCs w:val="22"/>
          <w:lang w:val="lv-LV"/>
        </w:rPr>
        <w:tab/>
        <w:t xml:space="preserve">Uzglabāšanas laiks </w:t>
      </w:r>
    </w:p>
    <w:p w14:paraId="1D519C92" w14:textId="77777777" w:rsidR="00A453C3" w:rsidRDefault="00A453C3" w:rsidP="00A453C3">
      <w:pPr>
        <w:rPr>
          <w:szCs w:val="22"/>
          <w:lang w:val="lv-LV"/>
        </w:rPr>
      </w:pPr>
    </w:p>
    <w:p w14:paraId="5EF05438" w14:textId="4BD246A3" w:rsidR="00A453C3" w:rsidRDefault="00A453C3" w:rsidP="00A453C3">
      <w:pPr>
        <w:rPr>
          <w:szCs w:val="22"/>
          <w:lang w:val="lv-LV"/>
        </w:rPr>
      </w:pPr>
      <w:r>
        <w:rPr>
          <w:szCs w:val="22"/>
          <w:lang w:val="lv-LV"/>
        </w:rPr>
        <w:t>3 gadi</w:t>
      </w:r>
    </w:p>
    <w:p w14:paraId="44DBD79D" w14:textId="77777777" w:rsidR="00A453C3" w:rsidRDefault="00A453C3" w:rsidP="00A453C3">
      <w:pPr>
        <w:rPr>
          <w:szCs w:val="22"/>
          <w:lang w:val="lv-LV"/>
        </w:rPr>
      </w:pPr>
    </w:p>
    <w:p w14:paraId="40EB71C2" w14:textId="77777777" w:rsidR="00A453C3" w:rsidRDefault="00A453C3" w:rsidP="00A453C3">
      <w:pPr>
        <w:keepNext/>
        <w:keepLines/>
        <w:rPr>
          <w:szCs w:val="22"/>
          <w:lang w:val="lv-LV"/>
        </w:rPr>
      </w:pPr>
      <w:r>
        <w:rPr>
          <w:b/>
          <w:szCs w:val="22"/>
          <w:lang w:val="lv-LV"/>
        </w:rPr>
        <w:t>6.4.</w:t>
      </w:r>
      <w:r>
        <w:rPr>
          <w:b/>
          <w:szCs w:val="22"/>
          <w:lang w:val="lv-LV"/>
        </w:rPr>
        <w:tab/>
        <w:t>Īpaši uzglabāšanas nosacījumi</w:t>
      </w:r>
    </w:p>
    <w:p w14:paraId="23780382" w14:textId="77777777" w:rsidR="00A453C3" w:rsidRDefault="00A453C3" w:rsidP="00A453C3">
      <w:pPr>
        <w:rPr>
          <w:szCs w:val="22"/>
          <w:lang w:val="lv-LV"/>
        </w:rPr>
      </w:pPr>
    </w:p>
    <w:p w14:paraId="4E2B5882" w14:textId="02814974" w:rsidR="00A453C3" w:rsidRDefault="00A453C3" w:rsidP="00A453C3">
      <w:pPr>
        <w:rPr>
          <w:szCs w:val="22"/>
          <w:lang w:val="lv-LV"/>
        </w:rPr>
      </w:pPr>
      <w:r>
        <w:rPr>
          <w:szCs w:val="22"/>
          <w:lang w:val="lv-LV"/>
        </w:rPr>
        <w:t xml:space="preserve">Uzglabāt ledusskapī (2 °C–8 °C). Nesasaldēt. </w:t>
      </w:r>
      <w:r w:rsidRPr="00C11CD8">
        <w:rPr>
          <w:szCs w:val="22"/>
          <w:lang w:val="lv-LV"/>
        </w:rPr>
        <w:t xml:space="preserve">Pēc izņemšanas no ledusskapja </w:t>
      </w:r>
      <w:r>
        <w:rPr>
          <w:szCs w:val="22"/>
          <w:lang w:val="lv-LV"/>
        </w:rPr>
        <w:t>pilnšļirci var uzglabāt līdz 2 nedēļām</w:t>
      </w:r>
      <w:r w:rsidRPr="00C11CD8">
        <w:rPr>
          <w:szCs w:val="22"/>
          <w:lang w:val="lv-LV"/>
        </w:rPr>
        <w:t xml:space="preserve"> temperatūrā </w:t>
      </w:r>
      <w:r>
        <w:rPr>
          <w:szCs w:val="22"/>
          <w:lang w:val="lv-LV"/>
        </w:rPr>
        <w:t>līdz</w:t>
      </w:r>
      <w:r w:rsidRPr="00C11CD8">
        <w:rPr>
          <w:szCs w:val="22"/>
          <w:lang w:val="lv-LV"/>
        </w:rPr>
        <w:t xml:space="preserve"> 30</w:t>
      </w:r>
      <w:r>
        <w:rPr>
          <w:szCs w:val="22"/>
          <w:lang w:val="lv-LV"/>
        </w:rPr>
        <w:t> </w:t>
      </w:r>
      <w:r w:rsidRPr="00C11CD8">
        <w:rPr>
          <w:szCs w:val="22"/>
          <w:lang w:val="lv-LV"/>
        </w:rPr>
        <w:t>°C.</w:t>
      </w:r>
    </w:p>
    <w:p w14:paraId="6FEF5B99" w14:textId="77777777" w:rsidR="00A453C3" w:rsidRDefault="00A453C3" w:rsidP="00A453C3">
      <w:pPr>
        <w:rPr>
          <w:szCs w:val="22"/>
          <w:lang w:val="lv-LV"/>
        </w:rPr>
      </w:pPr>
    </w:p>
    <w:p w14:paraId="4C99FDC2" w14:textId="0464C083" w:rsidR="00A453C3" w:rsidRDefault="00A453C3" w:rsidP="00A453C3">
      <w:pPr>
        <w:rPr>
          <w:ins w:id="883" w:author="Author"/>
          <w:szCs w:val="22"/>
          <w:lang w:val="lv-LV"/>
        </w:rPr>
      </w:pPr>
      <w:r>
        <w:rPr>
          <w:szCs w:val="22"/>
          <w:lang w:val="lv-LV"/>
        </w:rPr>
        <w:t xml:space="preserve">Uzglabāt pilnšļirces ārējā kartona kastītē, lai pasargātu no gaismas un mitruma. </w:t>
      </w:r>
    </w:p>
    <w:p w14:paraId="283A19B7" w14:textId="263F1D14" w:rsidR="00C52275" w:rsidRDefault="00C52275" w:rsidP="00A453C3">
      <w:pPr>
        <w:rPr>
          <w:ins w:id="884" w:author="Author"/>
          <w:szCs w:val="22"/>
          <w:lang w:val="lv-LV"/>
        </w:rPr>
      </w:pPr>
    </w:p>
    <w:p w14:paraId="4F541F02" w14:textId="3720A267" w:rsidR="00C52275" w:rsidDel="00FD3EDE" w:rsidRDefault="00C52275" w:rsidP="00A453C3">
      <w:pPr>
        <w:rPr>
          <w:del w:id="885" w:author="Author"/>
          <w:szCs w:val="22"/>
          <w:lang w:val="lv-LV"/>
        </w:rPr>
      </w:pPr>
      <w:ins w:id="886" w:author="Author">
        <w:r w:rsidRPr="00C52275">
          <w:rPr>
            <w:szCs w:val="22"/>
            <w:lang w:val="lv-LV"/>
          </w:rPr>
          <w:t xml:space="preserve">Iepakojuma izņemšanas no ledusskapja datums un laiks jāpieraksta uz kastītes. Izmetiet šļirci, ja tā </w:t>
        </w:r>
        <w:r w:rsidR="00CD6042">
          <w:rPr>
            <w:szCs w:val="22"/>
            <w:lang w:val="lv-LV"/>
          </w:rPr>
          <w:t>uzglabāta</w:t>
        </w:r>
        <w:r>
          <w:rPr>
            <w:szCs w:val="22"/>
            <w:lang w:val="lv-LV"/>
          </w:rPr>
          <w:t xml:space="preserve"> </w:t>
        </w:r>
        <w:r w:rsidR="008D01CE">
          <w:rPr>
            <w:szCs w:val="22"/>
            <w:lang w:val="lv-LV"/>
          </w:rPr>
          <w:t xml:space="preserve">ārpus </w:t>
        </w:r>
        <w:r w:rsidRPr="00C52275">
          <w:rPr>
            <w:szCs w:val="22"/>
            <w:lang w:val="lv-LV"/>
          </w:rPr>
          <w:t>ledusskap</w:t>
        </w:r>
        <w:r w:rsidR="008D01CE">
          <w:rPr>
            <w:szCs w:val="22"/>
            <w:lang w:val="lv-LV"/>
          </w:rPr>
          <w:t>ja</w:t>
        </w:r>
        <w:r w:rsidRPr="00C52275">
          <w:rPr>
            <w:szCs w:val="22"/>
            <w:lang w:val="lv-LV"/>
          </w:rPr>
          <w:t xml:space="preserve"> ilgāk par 2</w:t>
        </w:r>
        <w:r w:rsidR="00CD6042">
          <w:rPr>
            <w:szCs w:val="22"/>
            <w:lang w:val="lv-LV"/>
          </w:rPr>
          <w:t> </w:t>
        </w:r>
        <w:r w:rsidRPr="00C52275">
          <w:rPr>
            <w:szCs w:val="22"/>
            <w:lang w:val="lv-LV"/>
          </w:rPr>
          <w:t>nedēļām. Neizmantojiet ārējus siltuma avotus, piemēram, karstu ūdeni, lai uzsildītu pilnšļirci.</w:t>
        </w:r>
      </w:ins>
    </w:p>
    <w:p w14:paraId="7A03249A" w14:textId="77777777" w:rsidR="00FD3EDE" w:rsidRDefault="00FD3EDE" w:rsidP="00A453C3">
      <w:pPr>
        <w:rPr>
          <w:ins w:id="887" w:author="TCS" w:date="2026-02-26T12:14:00Z"/>
          <w:szCs w:val="22"/>
          <w:lang w:val="lv-LV"/>
        </w:rPr>
      </w:pPr>
    </w:p>
    <w:p w14:paraId="4AA8DB03" w14:textId="77777777" w:rsidR="00A453C3" w:rsidRDefault="00A453C3" w:rsidP="00A453C3">
      <w:pPr>
        <w:rPr>
          <w:szCs w:val="22"/>
          <w:lang w:val="lv-LV"/>
        </w:rPr>
      </w:pPr>
    </w:p>
    <w:p w14:paraId="4AE6CC45" w14:textId="77777777" w:rsidR="00A453C3" w:rsidRDefault="00A453C3" w:rsidP="00A453C3">
      <w:pPr>
        <w:keepNext/>
        <w:rPr>
          <w:szCs w:val="22"/>
          <w:lang w:val="lv-LV"/>
        </w:rPr>
      </w:pPr>
      <w:r>
        <w:rPr>
          <w:b/>
          <w:szCs w:val="22"/>
          <w:lang w:val="lv-LV"/>
        </w:rPr>
        <w:t>6.5.</w:t>
      </w:r>
      <w:r>
        <w:rPr>
          <w:b/>
          <w:szCs w:val="22"/>
          <w:lang w:val="lv-LV"/>
        </w:rPr>
        <w:tab/>
        <w:t>Iepakojuma veids un saturs</w:t>
      </w:r>
    </w:p>
    <w:p w14:paraId="1337462A" w14:textId="77777777" w:rsidR="00A453C3" w:rsidRDefault="00A453C3" w:rsidP="00A453C3">
      <w:pPr>
        <w:keepNext/>
        <w:rPr>
          <w:szCs w:val="22"/>
          <w:lang w:val="lv-LV"/>
        </w:rPr>
      </w:pPr>
    </w:p>
    <w:p w14:paraId="4A8B7D98" w14:textId="77777777" w:rsidR="00A453C3" w:rsidRDefault="00A453C3" w:rsidP="00A453C3">
      <w:pPr>
        <w:rPr>
          <w:szCs w:val="22"/>
          <w:lang w:val="lv-LV"/>
        </w:rPr>
      </w:pPr>
      <w:r>
        <w:rPr>
          <w:szCs w:val="22"/>
          <w:lang w:val="lv-LV"/>
        </w:rPr>
        <w:t xml:space="preserve">0,9 ml šķīduma pilnšļircē (no I hidrolītiskās klases stikla) ar iemontētu adatu. Šļirce ir noslēgta ar stingru adatas aizsargapvalku (elastomēra slēgums ar polipropilēna apvalku) un virzuļa cilindru (butilgumija ar fluorsveķu apvalku). </w:t>
      </w:r>
    </w:p>
    <w:p w14:paraId="645DFCDE" w14:textId="77777777" w:rsidR="00A453C3" w:rsidRDefault="00A453C3" w:rsidP="00A453C3">
      <w:pPr>
        <w:rPr>
          <w:szCs w:val="22"/>
          <w:lang w:val="lv-LV"/>
        </w:rPr>
      </w:pPr>
    </w:p>
    <w:p w14:paraId="04BAC9E3" w14:textId="03F0B458" w:rsidR="00A453C3" w:rsidRDefault="00A453C3" w:rsidP="00A453C3">
      <w:pPr>
        <w:rPr>
          <w:iCs/>
          <w:szCs w:val="22"/>
          <w:lang w:val="lv-LV"/>
        </w:rPr>
      </w:pPr>
      <w:r>
        <w:rPr>
          <w:szCs w:val="22"/>
          <w:lang w:val="lv-LV"/>
        </w:rPr>
        <w:t>Iepakojumā 4 pilnšļirces</w:t>
      </w:r>
      <w:r>
        <w:rPr>
          <w:iCs/>
          <w:szCs w:val="22"/>
          <w:lang w:val="lv-LV"/>
        </w:rPr>
        <w:t xml:space="preserve"> un daudzdevu iepakojums – 12 pilnšļirces (3 kārbiņas katrā pa 4). </w:t>
      </w:r>
    </w:p>
    <w:p w14:paraId="0CDFB8E6" w14:textId="77777777" w:rsidR="00A453C3" w:rsidRDefault="00A453C3" w:rsidP="00A453C3">
      <w:pPr>
        <w:rPr>
          <w:szCs w:val="22"/>
          <w:lang w:val="lv-LV"/>
        </w:rPr>
      </w:pPr>
      <w:r>
        <w:rPr>
          <w:bCs/>
          <w:lang w:val="lv-LV"/>
        </w:rPr>
        <w:t>Visi iepakojuma lielumi tirgū var nebūt pieejami</w:t>
      </w:r>
      <w:r>
        <w:rPr>
          <w:szCs w:val="22"/>
          <w:lang w:val="lv-LV"/>
        </w:rPr>
        <w:t xml:space="preserve">. </w:t>
      </w:r>
    </w:p>
    <w:p w14:paraId="7DC50234" w14:textId="77777777" w:rsidR="00A453C3" w:rsidRDefault="00A453C3" w:rsidP="00A453C3">
      <w:pPr>
        <w:rPr>
          <w:rFonts w:eastAsia="PMingLiU"/>
          <w:szCs w:val="22"/>
          <w:lang w:val="lv-LV"/>
        </w:rPr>
      </w:pPr>
    </w:p>
    <w:p w14:paraId="09F27D01" w14:textId="77777777" w:rsidR="00A453C3" w:rsidRDefault="00A453C3" w:rsidP="00A453C3">
      <w:pPr>
        <w:keepNext/>
        <w:keepLines/>
        <w:rPr>
          <w:szCs w:val="22"/>
          <w:lang w:val="lv-LV"/>
        </w:rPr>
      </w:pPr>
      <w:r>
        <w:rPr>
          <w:b/>
          <w:szCs w:val="22"/>
          <w:lang w:val="lv-LV"/>
        </w:rPr>
        <w:t>6.6.</w:t>
      </w:r>
      <w:r>
        <w:rPr>
          <w:b/>
          <w:szCs w:val="22"/>
          <w:lang w:val="lv-LV"/>
        </w:rPr>
        <w:tab/>
        <w:t xml:space="preserve">Īpaši norādījumi atkritumu likvidēšanai un citi norādījumi par rīkošanos </w:t>
      </w:r>
    </w:p>
    <w:p w14:paraId="36B2496F" w14:textId="77777777" w:rsidR="00A453C3" w:rsidRDefault="00A453C3" w:rsidP="00A453C3">
      <w:pPr>
        <w:keepNext/>
        <w:rPr>
          <w:szCs w:val="22"/>
          <w:lang w:val="lv-LV"/>
        </w:rPr>
      </w:pPr>
    </w:p>
    <w:p w14:paraId="70B7F865" w14:textId="614CF249" w:rsidR="00A453C3" w:rsidRDefault="00A453C3" w:rsidP="00A453C3">
      <w:pPr>
        <w:rPr>
          <w:kern w:val="1"/>
          <w:szCs w:val="22"/>
          <w:lang w:val="lv-LV"/>
        </w:rPr>
      </w:pPr>
      <w:r>
        <w:rPr>
          <w:lang w:val="lv-LV"/>
        </w:rPr>
        <w:t>RoActemra pieejams vienreizējai lietošanai paredzētā pilnšļircē ar adatas aizsargmehānismu. Pēc pilnšļirces izņemšanas no ledusskapja tai jāļauj sasilt līdz istabas temperatūrai (18 °C līdz 28 °C), pirms injekcijas nogaidot vismaz 25</w:t>
      </w:r>
      <w:r>
        <w:rPr>
          <w:lang w:val="lv-LV"/>
        </w:rPr>
        <w:noBreakHyphen/>
        <w:t>30 minūtes. Pilnšļirci nedrīkst sakratīt. Pēc vāciņa noņemšanas injekcija jāsāk 5 minūšu laikā</w:t>
      </w:r>
      <w:r>
        <w:rPr>
          <w:kern w:val="1"/>
          <w:szCs w:val="22"/>
          <w:lang w:val="lv-LV"/>
        </w:rPr>
        <w:t>, lai nepieļautu zāļu izžūšanu un adatas aizsprostošanu. Ja pilnšļirce netiek lietota 5 minūšu laikā pēc vāciņa noņemšanas, tā ir jāizmet necaurduramā tvertnē un jālieto jauna pilnšļirce.</w:t>
      </w:r>
    </w:p>
    <w:p w14:paraId="795113B7" w14:textId="77777777" w:rsidR="00A453C3" w:rsidRDefault="00A453C3" w:rsidP="00A453C3">
      <w:pPr>
        <w:spacing w:line="100" w:lineRule="atLeast"/>
        <w:rPr>
          <w:kern w:val="1"/>
          <w:lang w:val="lv-LV"/>
        </w:rPr>
      </w:pPr>
      <w:r>
        <w:rPr>
          <w:bCs/>
          <w:kern w:val="1"/>
          <w:szCs w:val="22"/>
          <w:lang w:val="lv-LV"/>
        </w:rPr>
        <w:t>Ja pēc adatas ieduršanas nevarat nospiest virzuli, pilnšļirce ir jāizmet necaurduramā tvertnē un jālieto jauna pilnšļirce.</w:t>
      </w:r>
    </w:p>
    <w:p w14:paraId="366E4992" w14:textId="77777777" w:rsidR="00A453C3" w:rsidRDefault="00A453C3" w:rsidP="00A453C3">
      <w:pPr>
        <w:rPr>
          <w:lang w:val="lv-LV"/>
        </w:rPr>
      </w:pPr>
    </w:p>
    <w:p w14:paraId="400923B5" w14:textId="5FF7D09B" w:rsidR="00A453C3" w:rsidRDefault="00A453C3" w:rsidP="00A453C3">
      <w:pPr>
        <w:rPr>
          <w:lang w:val="lv-LV"/>
        </w:rPr>
      </w:pPr>
      <w:r>
        <w:rPr>
          <w:lang w:val="lv-LV"/>
        </w:rPr>
        <w:t>Nelietojiet šīs zāles, ja šķīdums ir duļķains vai satur daļiņas, tā krāsa nav bezkrāsaina līdz nedaudz dzeltenīga vai jebkura pilnšļirces daļa šķiet bojāta.</w:t>
      </w:r>
    </w:p>
    <w:p w14:paraId="39AB9D0A" w14:textId="77777777" w:rsidR="00A453C3" w:rsidRDefault="00A453C3" w:rsidP="00A453C3">
      <w:pPr>
        <w:rPr>
          <w:lang w:val="lv-LV"/>
        </w:rPr>
      </w:pPr>
    </w:p>
    <w:p w14:paraId="07B44AA6" w14:textId="77777777" w:rsidR="00A453C3" w:rsidRDefault="00A453C3" w:rsidP="00A453C3">
      <w:pPr>
        <w:rPr>
          <w:lang w:val="lv-LV"/>
        </w:rPr>
      </w:pPr>
      <w:r>
        <w:rPr>
          <w:lang w:val="lv-LV"/>
        </w:rPr>
        <w:t xml:space="preserve">Sīkāki norādījumi par RoActemra pilnšļirču lietošanu ir sniegti lietošanas instrukcijā. </w:t>
      </w:r>
    </w:p>
    <w:p w14:paraId="2AA076C2" w14:textId="77777777" w:rsidR="00A453C3" w:rsidRDefault="00A453C3" w:rsidP="00A453C3">
      <w:pPr>
        <w:rPr>
          <w:lang w:val="lv-LV"/>
        </w:rPr>
      </w:pPr>
    </w:p>
    <w:p w14:paraId="68F8A9A5" w14:textId="77777777" w:rsidR="00A453C3" w:rsidRDefault="00A453C3" w:rsidP="00A453C3">
      <w:pPr>
        <w:rPr>
          <w:szCs w:val="22"/>
          <w:lang w:val="lv-LV"/>
        </w:rPr>
      </w:pPr>
      <w:r>
        <w:rPr>
          <w:szCs w:val="22"/>
          <w:lang w:val="lv-LV"/>
        </w:rPr>
        <w:t>Neizlietotās zāles vai izlietotie materiāli jāiznīcina atbilstoši vietējām prasībām.</w:t>
      </w:r>
    </w:p>
    <w:p w14:paraId="26910F7C" w14:textId="77777777" w:rsidR="00A453C3" w:rsidRDefault="00A453C3" w:rsidP="00A453C3">
      <w:pPr>
        <w:rPr>
          <w:szCs w:val="22"/>
          <w:lang w:val="lv-LV"/>
        </w:rPr>
      </w:pPr>
    </w:p>
    <w:p w14:paraId="260BDB25" w14:textId="77777777" w:rsidR="00A453C3" w:rsidRDefault="00A453C3" w:rsidP="00A453C3">
      <w:pPr>
        <w:rPr>
          <w:szCs w:val="22"/>
          <w:lang w:val="lv-LV"/>
        </w:rPr>
      </w:pPr>
    </w:p>
    <w:p w14:paraId="2FE2DEC7" w14:textId="77777777" w:rsidR="00A453C3" w:rsidRDefault="00A453C3" w:rsidP="00A453C3">
      <w:pPr>
        <w:keepNext/>
        <w:rPr>
          <w:szCs w:val="22"/>
          <w:lang w:val="lv-LV"/>
        </w:rPr>
      </w:pPr>
      <w:r>
        <w:rPr>
          <w:b/>
          <w:szCs w:val="22"/>
          <w:lang w:val="lv-LV"/>
        </w:rPr>
        <w:t>7.</w:t>
      </w:r>
      <w:r>
        <w:rPr>
          <w:b/>
          <w:szCs w:val="22"/>
          <w:lang w:val="lv-LV"/>
        </w:rPr>
        <w:tab/>
        <w:t>REĢISTRĀCIJAS APLIECĪBAS ĪPAŠNIEKS</w:t>
      </w:r>
    </w:p>
    <w:p w14:paraId="2D8944F2" w14:textId="77777777" w:rsidR="00A453C3" w:rsidRDefault="00A453C3" w:rsidP="00A453C3">
      <w:pPr>
        <w:keepNext/>
        <w:rPr>
          <w:szCs w:val="22"/>
          <w:lang w:val="lv-LV"/>
        </w:rPr>
      </w:pPr>
    </w:p>
    <w:p w14:paraId="0626CACA" w14:textId="77777777" w:rsidR="00A453C3" w:rsidRPr="00F1131A" w:rsidRDefault="00A453C3" w:rsidP="00A453C3">
      <w:pPr>
        <w:keepNext/>
        <w:rPr>
          <w:szCs w:val="22"/>
          <w:lang w:val="lv-LV"/>
        </w:rPr>
      </w:pPr>
      <w:r w:rsidRPr="00F1131A">
        <w:rPr>
          <w:szCs w:val="22"/>
          <w:lang w:val="lv-LV"/>
        </w:rPr>
        <w:t xml:space="preserve">Roche Registration GmbH </w:t>
      </w:r>
    </w:p>
    <w:p w14:paraId="193E56D1" w14:textId="77777777" w:rsidR="00A453C3" w:rsidRPr="00F1131A" w:rsidRDefault="00A453C3" w:rsidP="00A453C3">
      <w:pPr>
        <w:keepNext/>
        <w:rPr>
          <w:szCs w:val="22"/>
          <w:lang w:val="lv-LV"/>
        </w:rPr>
      </w:pPr>
      <w:r w:rsidRPr="00F1131A">
        <w:rPr>
          <w:szCs w:val="22"/>
          <w:lang w:val="lv-LV"/>
        </w:rPr>
        <w:t>Emil-Barell-Strasse 1</w:t>
      </w:r>
    </w:p>
    <w:p w14:paraId="07954295" w14:textId="77777777" w:rsidR="00A453C3" w:rsidRPr="00F1131A" w:rsidRDefault="00A453C3" w:rsidP="00A453C3">
      <w:pPr>
        <w:keepNext/>
        <w:rPr>
          <w:szCs w:val="22"/>
          <w:lang w:val="lv-LV"/>
        </w:rPr>
      </w:pPr>
      <w:r w:rsidRPr="00F1131A">
        <w:rPr>
          <w:szCs w:val="22"/>
          <w:lang w:val="lv-LV"/>
        </w:rPr>
        <w:t>79639 Grenzach-Wyhlen</w:t>
      </w:r>
    </w:p>
    <w:p w14:paraId="0427F984" w14:textId="77777777" w:rsidR="00A453C3" w:rsidRDefault="00A453C3" w:rsidP="00A453C3">
      <w:pPr>
        <w:rPr>
          <w:szCs w:val="22"/>
          <w:lang w:val="lv-LV"/>
        </w:rPr>
      </w:pPr>
      <w:r>
        <w:rPr>
          <w:szCs w:val="22"/>
          <w:lang w:val="lv-LV"/>
        </w:rPr>
        <w:t>Vācija</w:t>
      </w:r>
    </w:p>
    <w:p w14:paraId="0C9BF6F3" w14:textId="77777777" w:rsidR="00A453C3" w:rsidRDefault="00A453C3" w:rsidP="00A453C3">
      <w:pPr>
        <w:rPr>
          <w:szCs w:val="22"/>
          <w:lang w:val="lv-LV"/>
        </w:rPr>
      </w:pPr>
    </w:p>
    <w:p w14:paraId="565D9261" w14:textId="77777777" w:rsidR="00A453C3" w:rsidRDefault="00A453C3" w:rsidP="00A453C3">
      <w:pPr>
        <w:rPr>
          <w:szCs w:val="22"/>
          <w:lang w:val="lv-LV"/>
        </w:rPr>
      </w:pPr>
    </w:p>
    <w:p w14:paraId="5EC585BA" w14:textId="05AB2237" w:rsidR="00A453C3" w:rsidRDefault="00A453C3" w:rsidP="00A453C3">
      <w:pPr>
        <w:keepNext/>
        <w:keepLines/>
        <w:ind w:left="567" w:hanging="567"/>
        <w:rPr>
          <w:szCs w:val="22"/>
          <w:lang w:val="lv-LV"/>
        </w:rPr>
      </w:pPr>
      <w:r>
        <w:rPr>
          <w:b/>
          <w:szCs w:val="22"/>
          <w:lang w:val="lv-LV"/>
        </w:rPr>
        <w:t>8.</w:t>
      </w:r>
      <w:r>
        <w:rPr>
          <w:b/>
          <w:szCs w:val="22"/>
          <w:lang w:val="lv-LV"/>
        </w:rPr>
        <w:tab/>
        <w:t>REĢISTRĀCIJAS APLIECĪBAS NUMUR</w:t>
      </w:r>
      <w:del w:id="888" w:author="Author">
        <w:r w:rsidDel="00461112">
          <w:rPr>
            <w:b/>
            <w:szCs w:val="22"/>
            <w:lang w:val="lv-LV"/>
          </w:rPr>
          <w:delText>S(-</w:delText>
        </w:r>
      </w:del>
      <w:r>
        <w:rPr>
          <w:b/>
          <w:szCs w:val="22"/>
          <w:lang w:val="lv-LV"/>
        </w:rPr>
        <w:t>I</w:t>
      </w:r>
      <w:del w:id="889" w:author="Author">
        <w:r w:rsidDel="00461112">
          <w:rPr>
            <w:b/>
            <w:szCs w:val="22"/>
            <w:lang w:val="lv-LV"/>
          </w:rPr>
          <w:delText>)</w:delText>
        </w:r>
      </w:del>
    </w:p>
    <w:p w14:paraId="5AA81F63" w14:textId="77777777" w:rsidR="00A453C3" w:rsidRDefault="00A453C3" w:rsidP="00A453C3">
      <w:pPr>
        <w:keepNext/>
        <w:rPr>
          <w:szCs w:val="22"/>
          <w:lang w:val="lv-LV"/>
        </w:rPr>
      </w:pPr>
    </w:p>
    <w:p w14:paraId="7EC90B9A" w14:textId="77777777" w:rsidR="00A453C3" w:rsidRDefault="00A453C3" w:rsidP="00A453C3">
      <w:pPr>
        <w:rPr>
          <w:lang w:val="pt-BR"/>
        </w:rPr>
      </w:pPr>
      <w:r>
        <w:rPr>
          <w:lang w:val="lv-LV"/>
        </w:rPr>
        <w:t>EU/1/08/492/007</w:t>
      </w:r>
    </w:p>
    <w:p w14:paraId="01CF0FB4" w14:textId="77777777" w:rsidR="00A453C3" w:rsidRDefault="00A453C3" w:rsidP="00A453C3">
      <w:pPr>
        <w:rPr>
          <w:szCs w:val="22"/>
          <w:lang w:val="lv-LV"/>
        </w:rPr>
      </w:pPr>
      <w:r>
        <w:rPr>
          <w:szCs w:val="22"/>
          <w:lang w:val="pt-BR" w:eastAsia="ja-JP"/>
        </w:rPr>
        <w:t>EU/1/08/492/008</w:t>
      </w:r>
    </w:p>
    <w:p w14:paraId="7F9A307F" w14:textId="77777777" w:rsidR="00A453C3" w:rsidRDefault="00A453C3" w:rsidP="00A453C3">
      <w:pPr>
        <w:rPr>
          <w:szCs w:val="22"/>
          <w:lang w:val="lv-LV"/>
        </w:rPr>
      </w:pPr>
    </w:p>
    <w:p w14:paraId="59437C9C" w14:textId="77777777" w:rsidR="00A453C3" w:rsidRDefault="00A453C3" w:rsidP="00A453C3">
      <w:pPr>
        <w:rPr>
          <w:szCs w:val="22"/>
          <w:lang w:val="lv-LV"/>
        </w:rPr>
      </w:pPr>
    </w:p>
    <w:p w14:paraId="0D1062FD" w14:textId="77777777" w:rsidR="00A453C3" w:rsidRDefault="00A453C3" w:rsidP="00A453C3">
      <w:pPr>
        <w:ind w:left="567" w:hanging="567"/>
        <w:rPr>
          <w:szCs w:val="22"/>
          <w:lang w:val="lv-LV"/>
        </w:rPr>
      </w:pPr>
      <w:r>
        <w:rPr>
          <w:b/>
          <w:szCs w:val="22"/>
          <w:lang w:val="lv-LV"/>
        </w:rPr>
        <w:t>9.</w:t>
      </w:r>
      <w:r>
        <w:rPr>
          <w:b/>
          <w:szCs w:val="22"/>
          <w:lang w:val="lv-LV"/>
        </w:rPr>
        <w:tab/>
        <w:t>PIRMĀS REĢISTRĀCIJAS / PĀRREĢISTRĀCIJAS DATUMS</w:t>
      </w:r>
    </w:p>
    <w:p w14:paraId="48B2301E" w14:textId="77777777" w:rsidR="00A453C3" w:rsidRDefault="00A453C3" w:rsidP="00A453C3">
      <w:pPr>
        <w:rPr>
          <w:szCs w:val="22"/>
          <w:lang w:val="lv-LV"/>
        </w:rPr>
      </w:pPr>
    </w:p>
    <w:p w14:paraId="76ECCF2E" w14:textId="0AC784B1" w:rsidR="00A453C3" w:rsidRDefault="00A453C3" w:rsidP="00A453C3">
      <w:pPr>
        <w:rPr>
          <w:szCs w:val="22"/>
          <w:lang w:val="lv-LV"/>
        </w:rPr>
      </w:pPr>
      <w:r w:rsidRPr="00C74D1A">
        <w:rPr>
          <w:color w:val="222222"/>
          <w:szCs w:val="22"/>
          <w:shd w:val="clear" w:color="auto" w:fill="FFFFFF"/>
          <w:lang w:val="lv-LV"/>
        </w:rPr>
        <w:t xml:space="preserve">Reģistrācijas datums: </w:t>
      </w:r>
      <w:r>
        <w:rPr>
          <w:szCs w:val="22"/>
          <w:lang w:val="lv-LV"/>
        </w:rPr>
        <w:t>2009.</w:t>
      </w:r>
      <w:ins w:id="890" w:author="Author">
        <w:del w:id="891" w:author="Author">
          <w:r w:rsidR="007E4B33" w:rsidDel="00CD6042">
            <w:rPr>
              <w:szCs w:val="22"/>
              <w:lang w:val="lv-LV"/>
            </w:rPr>
            <w:delText xml:space="preserve"> </w:delText>
          </w:r>
        </w:del>
      </w:ins>
      <w:del w:id="892" w:author="Author">
        <w:r w:rsidDel="007E4B33">
          <w:rPr>
            <w:szCs w:val="22"/>
            <w:lang w:val="lv-LV"/>
          </w:rPr>
          <w:delText xml:space="preserve"> </w:delText>
        </w:r>
      </w:del>
      <w:ins w:id="893" w:author="Author">
        <w:r w:rsidR="00CD6042">
          <w:rPr>
            <w:szCs w:val="22"/>
            <w:lang w:val="lv-LV"/>
          </w:rPr>
          <w:t> </w:t>
        </w:r>
      </w:ins>
      <w:r>
        <w:rPr>
          <w:szCs w:val="22"/>
          <w:lang w:val="lv-LV"/>
        </w:rPr>
        <w:t>gada 16.</w:t>
      </w:r>
      <w:r w:rsidR="007F7850">
        <w:rPr>
          <w:szCs w:val="22"/>
          <w:lang w:val="lv-LV"/>
        </w:rPr>
        <w:t> </w:t>
      </w:r>
      <w:r>
        <w:rPr>
          <w:szCs w:val="22"/>
          <w:lang w:val="lv-LV"/>
        </w:rPr>
        <w:t xml:space="preserve">janvāris </w:t>
      </w:r>
    </w:p>
    <w:p w14:paraId="75D50135" w14:textId="522C2674" w:rsidR="00A453C3" w:rsidRDefault="00A453C3" w:rsidP="00A453C3">
      <w:pPr>
        <w:rPr>
          <w:color w:val="222222"/>
          <w:szCs w:val="22"/>
          <w:shd w:val="clear" w:color="auto" w:fill="FFFFFF"/>
          <w:lang w:val="lv-LV"/>
        </w:rPr>
      </w:pPr>
      <w:r w:rsidRPr="00C74D1A">
        <w:rPr>
          <w:color w:val="222222"/>
          <w:szCs w:val="22"/>
          <w:shd w:val="clear" w:color="auto" w:fill="FFFFFF"/>
          <w:lang w:val="lv-LV"/>
        </w:rPr>
        <w:t>Pēdējās pārreģistrācijas datums: 2013.</w:t>
      </w:r>
      <w:ins w:id="894" w:author="Author">
        <w:r w:rsidR="007E4B33">
          <w:rPr>
            <w:color w:val="222222"/>
            <w:szCs w:val="22"/>
            <w:shd w:val="clear" w:color="auto" w:fill="FFFFFF"/>
            <w:lang w:val="lv-LV"/>
          </w:rPr>
          <w:t> </w:t>
        </w:r>
      </w:ins>
      <w:del w:id="895" w:author="Author">
        <w:r w:rsidRPr="00C74D1A" w:rsidDel="007E4B33">
          <w:rPr>
            <w:color w:val="222222"/>
            <w:szCs w:val="22"/>
            <w:shd w:val="clear" w:color="auto" w:fill="FFFFFF"/>
            <w:lang w:val="lv-LV"/>
          </w:rPr>
          <w:delText xml:space="preserve"> </w:delText>
        </w:r>
      </w:del>
      <w:r w:rsidRPr="00C74D1A">
        <w:rPr>
          <w:color w:val="222222"/>
          <w:szCs w:val="22"/>
          <w:shd w:val="clear" w:color="auto" w:fill="FFFFFF"/>
          <w:lang w:val="lv-LV"/>
        </w:rPr>
        <w:t>gada 25.</w:t>
      </w:r>
      <w:r w:rsidR="007F7850">
        <w:rPr>
          <w:color w:val="222222"/>
          <w:szCs w:val="22"/>
          <w:shd w:val="clear" w:color="auto" w:fill="FFFFFF"/>
          <w:lang w:val="lv-LV"/>
        </w:rPr>
        <w:t> </w:t>
      </w:r>
      <w:r w:rsidRPr="00C74D1A">
        <w:rPr>
          <w:color w:val="222222"/>
          <w:szCs w:val="22"/>
          <w:shd w:val="clear" w:color="auto" w:fill="FFFFFF"/>
          <w:lang w:val="lv-LV"/>
        </w:rPr>
        <w:t>septembris</w:t>
      </w:r>
    </w:p>
    <w:p w14:paraId="079C44DF" w14:textId="77777777" w:rsidR="00A453C3" w:rsidRPr="00D65908" w:rsidRDefault="00A453C3" w:rsidP="00A453C3">
      <w:pPr>
        <w:rPr>
          <w:szCs w:val="22"/>
          <w:lang w:val="lv-LV"/>
        </w:rPr>
      </w:pPr>
    </w:p>
    <w:p w14:paraId="110AC0CF" w14:textId="77777777" w:rsidR="00A453C3" w:rsidRDefault="00A453C3" w:rsidP="00A453C3">
      <w:pPr>
        <w:rPr>
          <w:szCs w:val="22"/>
          <w:lang w:val="lv-LV"/>
        </w:rPr>
      </w:pPr>
    </w:p>
    <w:p w14:paraId="6493759A" w14:textId="77777777" w:rsidR="00A453C3" w:rsidRDefault="00A453C3" w:rsidP="00A453C3">
      <w:pPr>
        <w:ind w:left="567" w:hanging="567"/>
        <w:rPr>
          <w:szCs w:val="22"/>
          <w:lang w:val="lv-LV"/>
        </w:rPr>
      </w:pPr>
      <w:r>
        <w:rPr>
          <w:b/>
          <w:szCs w:val="22"/>
          <w:lang w:val="lv-LV"/>
        </w:rPr>
        <w:t>10.</w:t>
      </w:r>
      <w:r>
        <w:rPr>
          <w:b/>
          <w:szCs w:val="22"/>
          <w:lang w:val="lv-LV"/>
        </w:rPr>
        <w:tab/>
        <w:t>TEKSTA PĀRSKATĪŠANAS DATUMS</w:t>
      </w:r>
    </w:p>
    <w:p w14:paraId="08137BD3" w14:textId="77777777" w:rsidR="00A453C3" w:rsidRDefault="00A453C3" w:rsidP="00A453C3">
      <w:pPr>
        <w:ind w:right="-2"/>
        <w:rPr>
          <w:szCs w:val="22"/>
          <w:lang w:val="lv-LV"/>
        </w:rPr>
      </w:pPr>
    </w:p>
    <w:p w14:paraId="6E821030" w14:textId="3F7CBBEB" w:rsidR="00A453C3" w:rsidRDefault="00A453C3" w:rsidP="00A453C3">
      <w:pPr>
        <w:ind w:right="-2"/>
        <w:rPr>
          <w:lang w:val="lv-LV"/>
        </w:rPr>
      </w:pPr>
      <w:r>
        <w:rPr>
          <w:szCs w:val="22"/>
          <w:lang w:val="lv-LV"/>
        </w:rPr>
        <w:t xml:space="preserve">Sīkāka informācija par šīm zālēm ir pieejama Eiropas Zāļu aģentūras tīmekļa vietnē </w:t>
      </w:r>
      <w:r w:rsidR="007E17F8">
        <w:fldChar w:fldCharType="begin"/>
      </w:r>
      <w:r w:rsidR="007E17F8" w:rsidRPr="00DD58C9">
        <w:rPr>
          <w:lang w:val="lv-LV"/>
          <w:rPrChange w:id="896" w:author="Author">
            <w:rPr/>
          </w:rPrChange>
        </w:rPr>
        <w:instrText xml:space="preserve"> HYPERLINK "https://www.ema.europa.eu/" </w:instrText>
      </w:r>
      <w:r w:rsidR="007E17F8">
        <w:fldChar w:fldCharType="separate"/>
      </w:r>
      <w:r w:rsidRPr="00D103B7">
        <w:rPr>
          <w:rStyle w:val="Hyperlink"/>
        </w:rPr>
        <w:t>https://www.ema.europa.eu/</w:t>
      </w:r>
      <w:r w:rsidR="007E17F8">
        <w:rPr>
          <w:rStyle w:val="Hyperlink"/>
        </w:rPr>
        <w:fldChar w:fldCharType="end"/>
      </w:r>
    </w:p>
    <w:p w14:paraId="0EB3E6AB" w14:textId="77777777" w:rsidR="00A453C3" w:rsidRDefault="00A453C3" w:rsidP="00A453C3">
      <w:pPr>
        <w:rPr>
          <w:szCs w:val="22"/>
          <w:lang w:val="lv-LV"/>
        </w:rPr>
      </w:pPr>
      <w:r>
        <w:rPr>
          <w:szCs w:val="22"/>
          <w:lang w:val="lv-LV"/>
        </w:rPr>
        <w:br w:type="page"/>
      </w:r>
    </w:p>
    <w:p w14:paraId="44E76EF1" w14:textId="77777777" w:rsidR="00A453C3" w:rsidRPr="00DD7A4F" w:rsidRDefault="00A453C3" w:rsidP="00A453C3">
      <w:pPr>
        <w:rPr>
          <w:szCs w:val="22"/>
          <w:lang w:val="lv-LV"/>
        </w:rPr>
      </w:pPr>
      <w:r w:rsidRPr="00DD7A4F">
        <w:rPr>
          <w:b/>
          <w:szCs w:val="22"/>
          <w:lang w:val="lv-LV"/>
        </w:rPr>
        <w:t>1.</w:t>
      </w:r>
      <w:r w:rsidRPr="00DD7A4F">
        <w:rPr>
          <w:b/>
          <w:szCs w:val="22"/>
          <w:lang w:val="lv-LV"/>
        </w:rPr>
        <w:tab/>
        <w:t>ZĀĻU NOSAUKUMS</w:t>
      </w:r>
    </w:p>
    <w:p w14:paraId="7D97E6DE" w14:textId="77777777" w:rsidR="00A453C3" w:rsidRPr="00DD7A4F" w:rsidRDefault="00A453C3" w:rsidP="00A453C3">
      <w:pPr>
        <w:widowControl w:val="0"/>
        <w:rPr>
          <w:szCs w:val="22"/>
          <w:lang w:val="lv-LV"/>
        </w:rPr>
      </w:pPr>
    </w:p>
    <w:p w14:paraId="4780D240" w14:textId="77777777" w:rsidR="00A453C3" w:rsidRPr="00DD7A4F" w:rsidRDefault="00A453C3" w:rsidP="00A453C3">
      <w:pPr>
        <w:widowControl w:val="0"/>
        <w:rPr>
          <w:bCs/>
          <w:szCs w:val="22"/>
          <w:lang w:val="lv-LV"/>
        </w:rPr>
      </w:pPr>
      <w:r w:rsidRPr="00DD7A4F">
        <w:rPr>
          <w:iCs/>
          <w:lang w:val="lv-LV"/>
        </w:rPr>
        <w:t xml:space="preserve">RoActemra </w:t>
      </w:r>
      <w:r w:rsidRPr="00DD7A4F">
        <w:rPr>
          <w:szCs w:val="22"/>
          <w:lang w:val="lv-LV"/>
        </w:rPr>
        <w:t>162 mg šķīdums injekcijām pildspalvveida pilnšļircē</w:t>
      </w:r>
    </w:p>
    <w:p w14:paraId="340EC7FA" w14:textId="77777777" w:rsidR="00A453C3" w:rsidRPr="00DD7A4F" w:rsidRDefault="00A453C3" w:rsidP="00A453C3">
      <w:pPr>
        <w:widowControl w:val="0"/>
        <w:rPr>
          <w:bCs/>
          <w:szCs w:val="22"/>
          <w:lang w:val="lv-LV"/>
        </w:rPr>
      </w:pPr>
    </w:p>
    <w:p w14:paraId="361A9CC9" w14:textId="77777777" w:rsidR="00A453C3" w:rsidRPr="00DD7A4F" w:rsidRDefault="00A453C3" w:rsidP="00A453C3">
      <w:pPr>
        <w:widowControl w:val="0"/>
        <w:ind w:left="567" w:hanging="567"/>
        <w:rPr>
          <w:szCs w:val="22"/>
          <w:lang w:val="lv-LV"/>
        </w:rPr>
      </w:pPr>
    </w:p>
    <w:p w14:paraId="35FD9221" w14:textId="77777777" w:rsidR="00A453C3" w:rsidRPr="00DD7A4F" w:rsidRDefault="00A453C3" w:rsidP="00A453C3">
      <w:pPr>
        <w:widowControl w:val="0"/>
        <w:ind w:left="567" w:hanging="567"/>
        <w:rPr>
          <w:szCs w:val="22"/>
          <w:lang w:val="lv-LV"/>
        </w:rPr>
      </w:pPr>
      <w:r w:rsidRPr="00DD7A4F">
        <w:rPr>
          <w:b/>
          <w:szCs w:val="22"/>
          <w:lang w:val="lv-LV"/>
        </w:rPr>
        <w:t>2.</w:t>
      </w:r>
      <w:r w:rsidRPr="00DD7A4F">
        <w:rPr>
          <w:b/>
          <w:szCs w:val="22"/>
          <w:lang w:val="lv-LV"/>
        </w:rPr>
        <w:tab/>
        <w:t>KVALITATĪVAIS UN KVANTITATĪVAIS SASTĀVS</w:t>
      </w:r>
    </w:p>
    <w:p w14:paraId="5BDBBDEC" w14:textId="77777777" w:rsidR="00A453C3" w:rsidRPr="00DD7A4F" w:rsidRDefault="00A453C3" w:rsidP="00A453C3">
      <w:pPr>
        <w:rPr>
          <w:szCs w:val="22"/>
          <w:lang w:val="lv-LV"/>
        </w:rPr>
      </w:pPr>
    </w:p>
    <w:p w14:paraId="181200F2" w14:textId="1E0004F7" w:rsidR="00A453C3" w:rsidRPr="00DD7A4F" w:rsidRDefault="00A24F77" w:rsidP="00A453C3">
      <w:pPr>
        <w:autoSpaceDE w:val="0"/>
        <w:rPr>
          <w:szCs w:val="22"/>
          <w:lang w:val="lv-LV"/>
        </w:rPr>
      </w:pPr>
      <w:r>
        <w:rPr>
          <w:szCs w:val="22"/>
          <w:lang w:val="lv-LV"/>
        </w:rPr>
        <w:t>Katr</w:t>
      </w:r>
      <w:r w:rsidR="00906CDD">
        <w:rPr>
          <w:szCs w:val="22"/>
          <w:lang w:val="lv-LV"/>
        </w:rPr>
        <w:t>a</w:t>
      </w:r>
      <w:r w:rsidRPr="00DD7A4F">
        <w:rPr>
          <w:szCs w:val="22"/>
          <w:lang w:val="lv-LV"/>
        </w:rPr>
        <w:t xml:space="preserve"> </w:t>
      </w:r>
      <w:r w:rsidR="00A453C3" w:rsidRPr="00DD7A4F">
        <w:rPr>
          <w:szCs w:val="22"/>
          <w:lang w:val="lv-LV"/>
        </w:rPr>
        <w:t>pildspalvveida pilnšļirc</w:t>
      </w:r>
      <w:r w:rsidR="00906CDD">
        <w:rPr>
          <w:szCs w:val="22"/>
          <w:lang w:val="lv-LV"/>
        </w:rPr>
        <w:t>e</w:t>
      </w:r>
      <w:r w:rsidR="00A453C3" w:rsidRPr="00DD7A4F">
        <w:rPr>
          <w:szCs w:val="22"/>
          <w:lang w:val="lv-LV"/>
        </w:rPr>
        <w:t xml:space="preserve"> </w:t>
      </w:r>
      <w:r w:rsidR="00906CDD">
        <w:rPr>
          <w:szCs w:val="22"/>
          <w:lang w:val="lv-LV"/>
        </w:rPr>
        <w:t>satur</w:t>
      </w:r>
      <w:r w:rsidR="00A453C3" w:rsidRPr="00DD7A4F">
        <w:rPr>
          <w:szCs w:val="22"/>
          <w:lang w:val="lv-LV"/>
        </w:rPr>
        <w:t xml:space="preserve"> 162 mg RoActemra </w:t>
      </w:r>
      <w:r w:rsidR="00A453C3" w:rsidRPr="00DD7A4F">
        <w:rPr>
          <w:i/>
          <w:szCs w:val="22"/>
          <w:lang w:val="lv-LV"/>
        </w:rPr>
        <w:t xml:space="preserve">(tocilizumab) </w:t>
      </w:r>
      <w:r w:rsidR="00A453C3" w:rsidRPr="00DD7A4F">
        <w:rPr>
          <w:szCs w:val="22"/>
          <w:lang w:val="lv-LV"/>
        </w:rPr>
        <w:t>/ 0,9 ml šķīduma.</w:t>
      </w:r>
    </w:p>
    <w:p w14:paraId="05BB0136" w14:textId="77777777" w:rsidR="00A453C3" w:rsidRPr="00DD7A4F" w:rsidRDefault="00A453C3" w:rsidP="00A453C3">
      <w:pPr>
        <w:autoSpaceDE w:val="0"/>
        <w:rPr>
          <w:szCs w:val="22"/>
          <w:lang w:val="lv-LV"/>
        </w:rPr>
      </w:pPr>
    </w:p>
    <w:p w14:paraId="722A180E" w14:textId="01CB3C12" w:rsidR="00A453C3" w:rsidRPr="00DD7A4F" w:rsidRDefault="00A453C3" w:rsidP="00A453C3">
      <w:pPr>
        <w:autoSpaceDE w:val="0"/>
        <w:rPr>
          <w:szCs w:val="22"/>
          <w:lang w:val="lv-LV"/>
        </w:rPr>
      </w:pPr>
      <w:r w:rsidRPr="00DD7A4F">
        <w:rPr>
          <w:szCs w:val="22"/>
          <w:lang w:val="lv-LV"/>
        </w:rPr>
        <w:t>RoActemra ir rekombinanta humanizēta, anti-cilvēka imūnglobulīna G1 (IgG1) apakšklases monoklonāla antiviela</w:t>
      </w:r>
      <w:r>
        <w:rPr>
          <w:szCs w:val="22"/>
          <w:lang w:val="lv-LV"/>
        </w:rPr>
        <w:t>.</w:t>
      </w:r>
      <w:r w:rsidRPr="00DD7A4F">
        <w:rPr>
          <w:szCs w:val="22"/>
          <w:lang w:val="lv-LV"/>
        </w:rPr>
        <w:t xml:space="preserve"> </w:t>
      </w:r>
    </w:p>
    <w:p w14:paraId="53E9CE11" w14:textId="77777777" w:rsidR="00A453C3" w:rsidRDefault="00A453C3" w:rsidP="00A453C3">
      <w:pPr>
        <w:autoSpaceDE w:val="0"/>
        <w:rPr>
          <w:szCs w:val="22"/>
          <w:lang w:val="lv-LV"/>
        </w:rPr>
      </w:pPr>
    </w:p>
    <w:p w14:paraId="4B933B1E" w14:textId="77777777" w:rsidR="00A453C3" w:rsidRDefault="00A453C3" w:rsidP="00A453C3">
      <w:pPr>
        <w:autoSpaceDE w:val="0"/>
        <w:rPr>
          <w:lang w:val="lv-LV"/>
        </w:rPr>
      </w:pPr>
      <w:r>
        <w:rPr>
          <w:szCs w:val="22"/>
          <w:u w:val="single"/>
          <w:lang w:val="lv-LV"/>
        </w:rPr>
        <w:t>Palīgviela ar zināmu iedarbību:</w:t>
      </w:r>
    </w:p>
    <w:p w14:paraId="6A4FB8AD" w14:textId="6EADABE3" w:rsidR="00A453C3" w:rsidRDefault="00A24F77" w:rsidP="00A453C3">
      <w:pPr>
        <w:rPr>
          <w:lang w:val="lv-LV"/>
        </w:rPr>
      </w:pPr>
      <w:r>
        <w:rPr>
          <w:lang w:val="lv-LV"/>
        </w:rPr>
        <w:t>Katr</w:t>
      </w:r>
      <w:r w:rsidR="00906CDD">
        <w:rPr>
          <w:lang w:val="lv-LV"/>
        </w:rPr>
        <w:t>a</w:t>
      </w:r>
      <w:r w:rsidR="00A453C3">
        <w:rPr>
          <w:lang w:val="lv-LV"/>
        </w:rPr>
        <w:t xml:space="preserve"> 162 mg/0,9 ml pildspalvveida </w:t>
      </w:r>
      <w:r w:rsidR="00A453C3" w:rsidRPr="007E4B33">
        <w:rPr>
          <w:lang w:val="lv-LV"/>
        </w:rPr>
        <w:t>pilnšļirc</w:t>
      </w:r>
      <w:r w:rsidR="00906CDD" w:rsidRPr="007E4B33">
        <w:rPr>
          <w:lang w:val="lv-LV"/>
        </w:rPr>
        <w:t>e</w:t>
      </w:r>
      <w:r w:rsidR="00906CDD">
        <w:rPr>
          <w:lang w:val="lv-LV"/>
        </w:rPr>
        <w:t xml:space="preserve"> satur</w:t>
      </w:r>
      <w:r w:rsidR="00A453C3">
        <w:rPr>
          <w:lang w:val="lv-LV"/>
        </w:rPr>
        <w:t xml:space="preserve"> 0,18 mg (0,2 mg/ml) polisorbāta 80.</w:t>
      </w:r>
    </w:p>
    <w:p w14:paraId="0F6CA954" w14:textId="77777777" w:rsidR="00A453C3" w:rsidRPr="00DD7A4F" w:rsidRDefault="00A453C3" w:rsidP="00A453C3">
      <w:pPr>
        <w:autoSpaceDE w:val="0"/>
        <w:rPr>
          <w:szCs w:val="22"/>
          <w:lang w:val="lv-LV"/>
        </w:rPr>
      </w:pPr>
    </w:p>
    <w:p w14:paraId="56A8C53E" w14:textId="17A81057" w:rsidR="00A453C3" w:rsidRPr="007E4B33" w:rsidRDefault="00A453C3" w:rsidP="00A453C3">
      <w:pPr>
        <w:autoSpaceDE w:val="0"/>
        <w:rPr>
          <w:szCs w:val="22"/>
          <w:lang w:val="lv-LV"/>
        </w:rPr>
      </w:pPr>
      <w:r w:rsidRPr="00DD7A4F">
        <w:rPr>
          <w:szCs w:val="22"/>
          <w:lang w:val="lv-LV"/>
        </w:rPr>
        <w:t>Pilnu palīgvielu sarakstu skatīt 6.1.</w:t>
      </w:r>
      <w:r>
        <w:rPr>
          <w:szCs w:val="22"/>
          <w:lang w:val="lv-LV"/>
        </w:rPr>
        <w:t> </w:t>
      </w:r>
      <w:r w:rsidRPr="00DD7A4F">
        <w:rPr>
          <w:szCs w:val="22"/>
          <w:lang w:val="lv-LV"/>
        </w:rPr>
        <w:t>apakšpunktā.</w:t>
      </w:r>
    </w:p>
    <w:p w14:paraId="23A3D18A" w14:textId="77777777" w:rsidR="00A453C3" w:rsidRPr="00DD7A4F" w:rsidRDefault="00A453C3" w:rsidP="00A453C3">
      <w:pPr>
        <w:rPr>
          <w:szCs w:val="22"/>
          <w:lang w:val="lv-LV"/>
        </w:rPr>
      </w:pPr>
    </w:p>
    <w:p w14:paraId="5EAA51D4" w14:textId="77777777" w:rsidR="00A453C3" w:rsidRPr="00DD7A4F" w:rsidRDefault="00A453C3" w:rsidP="00A453C3">
      <w:pPr>
        <w:rPr>
          <w:szCs w:val="22"/>
          <w:lang w:val="lv-LV"/>
        </w:rPr>
      </w:pPr>
    </w:p>
    <w:p w14:paraId="471222C8" w14:textId="77777777" w:rsidR="00A453C3" w:rsidRPr="00DD7A4F" w:rsidRDefault="00A453C3" w:rsidP="00A453C3">
      <w:pPr>
        <w:ind w:left="567" w:hanging="567"/>
        <w:rPr>
          <w:szCs w:val="22"/>
          <w:lang w:val="lv-LV"/>
        </w:rPr>
      </w:pPr>
      <w:r w:rsidRPr="00DD7A4F">
        <w:rPr>
          <w:b/>
          <w:szCs w:val="22"/>
          <w:lang w:val="lv-LV"/>
        </w:rPr>
        <w:t>3.</w:t>
      </w:r>
      <w:r w:rsidRPr="00DD7A4F">
        <w:rPr>
          <w:b/>
          <w:szCs w:val="22"/>
          <w:lang w:val="lv-LV"/>
        </w:rPr>
        <w:tab/>
        <w:t>ZĀĻU FORMA</w:t>
      </w:r>
    </w:p>
    <w:p w14:paraId="1DCD3AA9" w14:textId="77777777" w:rsidR="00A453C3" w:rsidRPr="00DD7A4F" w:rsidRDefault="00A453C3" w:rsidP="00A453C3">
      <w:pPr>
        <w:rPr>
          <w:szCs w:val="22"/>
          <w:lang w:val="lv-LV"/>
        </w:rPr>
      </w:pPr>
    </w:p>
    <w:p w14:paraId="65501D5D" w14:textId="25878A3C" w:rsidR="00A453C3" w:rsidRPr="00DD7A4F" w:rsidRDefault="00A453C3" w:rsidP="00A453C3">
      <w:pPr>
        <w:rPr>
          <w:szCs w:val="22"/>
          <w:lang w:val="lv-LV"/>
        </w:rPr>
      </w:pPr>
      <w:r w:rsidRPr="00DD7A4F">
        <w:rPr>
          <w:szCs w:val="22"/>
          <w:lang w:val="lv-LV"/>
        </w:rPr>
        <w:t xml:space="preserve">Šķīdums injekcijām </w:t>
      </w:r>
      <w:r>
        <w:rPr>
          <w:szCs w:val="22"/>
          <w:lang w:val="lv-LV"/>
        </w:rPr>
        <w:t xml:space="preserve">(injekcija) </w:t>
      </w:r>
      <w:r w:rsidRPr="00DD7A4F">
        <w:rPr>
          <w:szCs w:val="22"/>
          <w:lang w:val="lv-LV"/>
        </w:rPr>
        <w:t>pildspalvveida pilnšļircē (ACTPen)</w:t>
      </w:r>
    </w:p>
    <w:p w14:paraId="4D836CEC" w14:textId="77777777" w:rsidR="00A453C3" w:rsidRPr="00DD7A4F" w:rsidRDefault="00A453C3" w:rsidP="00A453C3">
      <w:pPr>
        <w:rPr>
          <w:szCs w:val="22"/>
          <w:lang w:val="lv-LV"/>
        </w:rPr>
      </w:pPr>
    </w:p>
    <w:p w14:paraId="45F68867" w14:textId="77777777" w:rsidR="00A453C3" w:rsidRPr="00DD7A4F" w:rsidRDefault="00A453C3" w:rsidP="00A453C3">
      <w:pPr>
        <w:rPr>
          <w:szCs w:val="22"/>
          <w:lang w:val="lv-LV"/>
        </w:rPr>
      </w:pPr>
      <w:r w:rsidRPr="00DD7A4F">
        <w:rPr>
          <w:szCs w:val="22"/>
          <w:lang w:val="lv-LV"/>
        </w:rPr>
        <w:t>Bezkrāsains vai nedaudz iedzeltens šķīdums</w:t>
      </w:r>
      <w:r>
        <w:rPr>
          <w:szCs w:val="22"/>
          <w:lang w:val="lv-LV"/>
        </w:rPr>
        <w:t xml:space="preserve"> ar pH 5,5</w:t>
      </w:r>
      <w:r>
        <w:rPr>
          <w:szCs w:val="22"/>
          <w:lang w:val="lv-LV"/>
        </w:rPr>
        <w:noBreakHyphen/>
        <w:t>6,5 un osmolalitāti 200</w:t>
      </w:r>
      <w:r>
        <w:rPr>
          <w:szCs w:val="22"/>
          <w:lang w:val="lv-LV"/>
        </w:rPr>
        <w:noBreakHyphen/>
        <w:t>372 mOsm/kg</w:t>
      </w:r>
      <w:r w:rsidRPr="00DD7A4F">
        <w:rPr>
          <w:szCs w:val="22"/>
          <w:lang w:val="lv-LV"/>
        </w:rPr>
        <w:t xml:space="preserve">. </w:t>
      </w:r>
    </w:p>
    <w:p w14:paraId="1DDBBC20" w14:textId="77777777" w:rsidR="00A453C3" w:rsidRPr="00DD7A4F" w:rsidRDefault="00A453C3" w:rsidP="00A453C3">
      <w:pPr>
        <w:rPr>
          <w:szCs w:val="22"/>
          <w:lang w:val="lv-LV"/>
        </w:rPr>
      </w:pPr>
    </w:p>
    <w:p w14:paraId="11CCCFE6" w14:textId="77777777" w:rsidR="00A453C3" w:rsidRPr="00DD7A4F" w:rsidRDefault="00A453C3" w:rsidP="00A453C3">
      <w:pPr>
        <w:rPr>
          <w:szCs w:val="22"/>
          <w:lang w:val="lv-LV"/>
        </w:rPr>
      </w:pPr>
    </w:p>
    <w:p w14:paraId="79506DD6" w14:textId="77777777" w:rsidR="00A453C3" w:rsidRPr="00DD7A4F" w:rsidRDefault="00A453C3" w:rsidP="00A453C3">
      <w:pPr>
        <w:ind w:left="567" w:hanging="567"/>
        <w:rPr>
          <w:szCs w:val="22"/>
          <w:lang w:val="lv-LV"/>
        </w:rPr>
      </w:pPr>
      <w:r w:rsidRPr="00DD7A4F">
        <w:rPr>
          <w:b/>
          <w:caps/>
          <w:szCs w:val="22"/>
          <w:lang w:val="lv-LV"/>
        </w:rPr>
        <w:t>4.</w:t>
      </w:r>
      <w:r w:rsidRPr="00DD7A4F">
        <w:rPr>
          <w:b/>
          <w:caps/>
          <w:szCs w:val="22"/>
          <w:lang w:val="lv-LV"/>
        </w:rPr>
        <w:tab/>
        <w:t>KLĪNISKĀ INFORMĀCIJA</w:t>
      </w:r>
    </w:p>
    <w:p w14:paraId="1D92AF4B" w14:textId="77777777" w:rsidR="00A453C3" w:rsidRPr="00DD7A4F" w:rsidRDefault="00A453C3" w:rsidP="00A453C3">
      <w:pPr>
        <w:rPr>
          <w:szCs w:val="22"/>
          <w:lang w:val="lv-LV"/>
        </w:rPr>
      </w:pPr>
    </w:p>
    <w:p w14:paraId="1F5B902A" w14:textId="77777777" w:rsidR="00A453C3" w:rsidRPr="00DD7A4F" w:rsidRDefault="00A453C3" w:rsidP="00A453C3">
      <w:pPr>
        <w:rPr>
          <w:rFonts w:eastAsia="PMingLiU"/>
          <w:szCs w:val="22"/>
          <w:lang w:val="lv-LV"/>
        </w:rPr>
      </w:pPr>
      <w:r w:rsidRPr="00DD7A4F">
        <w:rPr>
          <w:b/>
          <w:szCs w:val="22"/>
          <w:lang w:val="lv-LV"/>
        </w:rPr>
        <w:t>4.1.</w:t>
      </w:r>
      <w:r w:rsidRPr="00DD7A4F">
        <w:rPr>
          <w:b/>
          <w:szCs w:val="22"/>
          <w:lang w:val="lv-LV"/>
        </w:rPr>
        <w:tab/>
        <w:t>Terapeitiskās indikācijas</w:t>
      </w:r>
    </w:p>
    <w:p w14:paraId="16B64C6A" w14:textId="77777777" w:rsidR="00A453C3" w:rsidRDefault="00A453C3" w:rsidP="00A453C3">
      <w:pPr>
        <w:autoSpaceDE w:val="0"/>
        <w:rPr>
          <w:rFonts w:eastAsia="PMingLiU"/>
          <w:szCs w:val="22"/>
          <w:lang w:val="lv-LV"/>
        </w:rPr>
      </w:pPr>
    </w:p>
    <w:p w14:paraId="6A9E37FA" w14:textId="77777777" w:rsidR="00A453C3" w:rsidRPr="00DD7A4F" w:rsidRDefault="00A453C3" w:rsidP="00707120">
      <w:pPr>
        <w:keepNext/>
        <w:autoSpaceDE w:val="0"/>
        <w:rPr>
          <w:rFonts w:eastAsia="PMingLiU"/>
          <w:szCs w:val="22"/>
          <w:lang w:val="lv-LV"/>
        </w:rPr>
      </w:pPr>
      <w:r>
        <w:rPr>
          <w:rFonts w:eastAsia="PMingLiU"/>
          <w:szCs w:val="22"/>
          <w:u w:val="single"/>
          <w:lang w:val="lv-LV"/>
        </w:rPr>
        <w:t>Reimatoīdais artrīts (RA)</w:t>
      </w:r>
    </w:p>
    <w:p w14:paraId="52D657DF" w14:textId="02F50F47" w:rsidR="00A453C3" w:rsidRPr="00DD7A4F" w:rsidRDefault="00A453C3" w:rsidP="00A453C3">
      <w:pPr>
        <w:autoSpaceDE w:val="0"/>
        <w:rPr>
          <w:rFonts w:eastAsia="PMingLiU"/>
          <w:szCs w:val="22"/>
          <w:lang w:val="lv-LV"/>
        </w:rPr>
      </w:pPr>
      <w:r w:rsidRPr="00DD7A4F">
        <w:rPr>
          <w:rFonts w:eastAsia="PMingLiU"/>
          <w:szCs w:val="22"/>
          <w:lang w:val="lv-LV"/>
        </w:rPr>
        <w:t xml:space="preserve">RoActemra kombinācijā ar metotreksātu (MTX) </w:t>
      </w:r>
      <w:del w:id="897" w:author="Regulatory LV" w:date="2026-03-17T11:09:00Z">
        <w:r w:rsidRPr="00DD7A4F" w:rsidDel="00514E28">
          <w:rPr>
            <w:rFonts w:eastAsia="PMingLiU"/>
            <w:szCs w:val="22"/>
            <w:lang w:val="lv-LV"/>
          </w:rPr>
          <w:delText xml:space="preserve">indicēts </w:delText>
        </w:r>
      </w:del>
      <w:ins w:id="898" w:author="Regulatory LV" w:date="2026-03-17T11:09:00Z">
        <w:r w:rsidR="00514E28">
          <w:rPr>
            <w:rFonts w:eastAsia="PMingLiU"/>
            <w:szCs w:val="22"/>
            <w:lang w:val="lv-LV"/>
          </w:rPr>
          <w:t>ir paredzēts</w:t>
        </w:r>
      </w:ins>
    </w:p>
    <w:p w14:paraId="03F5EEFE" w14:textId="77777777" w:rsidR="00A453C3" w:rsidRPr="00DD7A4F" w:rsidRDefault="00A453C3" w:rsidP="00A453C3">
      <w:pPr>
        <w:autoSpaceDE w:val="0"/>
        <w:rPr>
          <w:rFonts w:eastAsia="PMingLiU"/>
          <w:szCs w:val="22"/>
          <w:lang w:val="lv-LV"/>
        </w:rPr>
      </w:pPr>
    </w:p>
    <w:p w14:paraId="0CDE25BF" w14:textId="7701F7D1" w:rsidR="00A453C3" w:rsidRPr="00863869" w:rsidRDefault="006334B7" w:rsidP="00707120">
      <w:pPr>
        <w:pStyle w:val="ListParagraph"/>
        <w:autoSpaceDE w:val="0"/>
        <w:ind w:left="567" w:hanging="567"/>
        <w:rPr>
          <w:rFonts w:eastAsia="PMingLiU"/>
          <w:szCs w:val="22"/>
          <w:lang w:val="lv-LV"/>
        </w:rPr>
      </w:pPr>
      <w:r>
        <w:rPr>
          <w:lang w:val="nb-NO"/>
        </w:rPr>
        <w:sym w:font="Symbol" w:char="F0B7"/>
      </w:r>
      <w:r>
        <w:rPr>
          <w:lang w:val="nb-NO"/>
        </w:rPr>
        <w:tab/>
      </w:r>
      <w:r w:rsidR="00A453C3" w:rsidRPr="00863869">
        <w:rPr>
          <w:rFonts w:eastAsia="PMingLiU"/>
          <w:szCs w:val="22"/>
          <w:lang w:val="lv-LV"/>
        </w:rPr>
        <w:t xml:space="preserve">smaga, aktīva un progresējoša RA ārstēšanai pieaugušajiem pacientiem, kuri iepriekš nav ārstēti ar MTX; </w:t>
      </w:r>
    </w:p>
    <w:p w14:paraId="415ACEF4" w14:textId="3B85596D" w:rsidR="00A453C3" w:rsidRPr="00863869" w:rsidRDefault="006334B7" w:rsidP="00707120">
      <w:pPr>
        <w:pStyle w:val="ListParagraph"/>
        <w:autoSpaceDE w:val="0"/>
        <w:ind w:left="567" w:hanging="567"/>
        <w:rPr>
          <w:rFonts w:eastAsia="PMingLiU"/>
          <w:szCs w:val="22"/>
          <w:lang w:val="lv-LV"/>
        </w:rPr>
      </w:pPr>
      <w:r>
        <w:rPr>
          <w:lang w:val="nb-NO"/>
        </w:rPr>
        <w:sym w:font="Symbol" w:char="F0B7"/>
      </w:r>
      <w:r>
        <w:rPr>
          <w:lang w:val="nb-NO"/>
        </w:rPr>
        <w:tab/>
      </w:r>
      <w:r w:rsidR="00A453C3" w:rsidRPr="00863869">
        <w:rPr>
          <w:rFonts w:eastAsia="PMingLiU"/>
          <w:szCs w:val="22"/>
          <w:lang w:val="lv-LV"/>
        </w:rPr>
        <w:t>vidēji smaga vai smaga aktīva RA ārstēšanai pieaugušajiem pacientiem, kuriem vai nu nav bijusi adekvāta reakcija uz iepriekšējo terapiju ar vienu vai vairākiem slimības gaitu modificējošajiem pretreimatisma līdzekļiem (DMARD -</w:t>
      </w:r>
      <w:r w:rsidR="00A453C3" w:rsidRPr="00863869">
        <w:rPr>
          <w:lang w:val="lv-LV"/>
        </w:rPr>
        <w:t xml:space="preserve"> </w:t>
      </w:r>
      <w:r w:rsidR="00A453C3" w:rsidRPr="00863869">
        <w:rPr>
          <w:i/>
          <w:iCs/>
          <w:lang w:val="lv-LV"/>
        </w:rPr>
        <w:t>disease-modifying anti-rheumatic drugs</w:t>
      </w:r>
      <w:r w:rsidR="00A453C3" w:rsidRPr="00863869">
        <w:rPr>
          <w:rFonts w:eastAsia="PMingLiU"/>
          <w:szCs w:val="22"/>
          <w:lang w:val="lv-LV"/>
        </w:rPr>
        <w:t xml:space="preserve">) vai audzēja nekrozes faktora (TNF – </w:t>
      </w:r>
      <w:r w:rsidR="00A453C3" w:rsidRPr="00863869">
        <w:rPr>
          <w:rFonts w:eastAsia="PMingLiU"/>
          <w:i/>
          <w:iCs/>
          <w:szCs w:val="22"/>
          <w:lang w:val="lv-LV"/>
        </w:rPr>
        <w:t>tumour necrosis factor</w:t>
      </w:r>
      <w:r w:rsidR="00A453C3" w:rsidRPr="00863869">
        <w:rPr>
          <w:rFonts w:eastAsia="PMingLiU"/>
          <w:szCs w:val="22"/>
          <w:lang w:val="lv-LV"/>
        </w:rPr>
        <w:t xml:space="preserve">) antagonistiem, vai bija šo terapiju nepanesamība. </w:t>
      </w:r>
    </w:p>
    <w:p w14:paraId="53C233D1" w14:textId="77777777" w:rsidR="00A453C3" w:rsidRPr="00DD7A4F" w:rsidRDefault="00A453C3" w:rsidP="00A453C3">
      <w:pPr>
        <w:autoSpaceDE w:val="0"/>
        <w:rPr>
          <w:rFonts w:ascii="Symbol" w:hAnsi="Symbol" w:cs="Symbol"/>
          <w:lang w:val="lv-LV"/>
        </w:rPr>
      </w:pPr>
    </w:p>
    <w:p w14:paraId="5C4AB636" w14:textId="77777777" w:rsidR="00A453C3" w:rsidRPr="00DD7A4F" w:rsidRDefault="00A453C3" w:rsidP="00A453C3">
      <w:pPr>
        <w:autoSpaceDE w:val="0"/>
        <w:rPr>
          <w:rFonts w:eastAsia="PMingLiU"/>
          <w:szCs w:val="22"/>
          <w:lang w:val="lv-LV"/>
        </w:rPr>
      </w:pPr>
      <w:r w:rsidRPr="00DD7A4F">
        <w:rPr>
          <w:rFonts w:eastAsia="PMingLiU"/>
          <w:szCs w:val="22"/>
          <w:lang w:val="lv-LV"/>
        </w:rPr>
        <w:t xml:space="preserve">Šiem pacientiem RoActemra var ievadīt monoterapijas veidā gadījumos, kad viņiem ir MTX nepanesamība vai turpmākā terapija ar MTX ir nepiemērota. </w:t>
      </w:r>
    </w:p>
    <w:p w14:paraId="393D14ED" w14:textId="77777777" w:rsidR="00A453C3" w:rsidRPr="00DD7A4F" w:rsidRDefault="00A453C3" w:rsidP="00A453C3">
      <w:pPr>
        <w:autoSpaceDE w:val="0"/>
        <w:rPr>
          <w:szCs w:val="22"/>
          <w:lang w:val="lv-LV"/>
        </w:rPr>
      </w:pPr>
    </w:p>
    <w:p w14:paraId="7758A3BB" w14:textId="77777777" w:rsidR="00A453C3" w:rsidRDefault="00A453C3" w:rsidP="00A453C3">
      <w:pPr>
        <w:autoSpaceDE w:val="0"/>
        <w:rPr>
          <w:szCs w:val="22"/>
          <w:lang w:val="lv-LV"/>
        </w:rPr>
      </w:pPr>
      <w:r w:rsidRPr="00DD7A4F">
        <w:rPr>
          <w:szCs w:val="22"/>
          <w:lang w:val="lv-LV"/>
        </w:rPr>
        <w:t>Ir pierādīts, ka RoActemra, lietojot kombinācijā ar metotreksātu, mazina locītavu bojājuma progresēšanas ātrumu (rentgenoloģiski) un uzlabo fiziskās funkcijas.</w:t>
      </w:r>
    </w:p>
    <w:p w14:paraId="1E8E42C2" w14:textId="77777777" w:rsidR="00A453C3" w:rsidRDefault="00A453C3" w:rsidP="00A453C3">
      <w:pPr>
        <w:rPr>
          <w:rFonts w:eastAsia="PMingLiU"/>
          <w:szCs w:val="22"/>
          <w:lang w:val="lv-LV"/>
        </w:rPr>
      </w:pPr>
    </w:p>
    <w:p w14:paraId="52A3CFD6" w14:textId="77777777" w:rsidR="00A453C3" w:rsidRDefault="00A453C3" w:rsidP="00707120">
      <w:pPr>
        <w:keepNext/>
        <w:autoSpaceDE w:val="0"/>
        <w:rPr>
          <w:szCs w:val="22"/>
          <w:lang w:val="lv-LV"/>
        </w:rPr>
      </w:pPr>
      <w:r>
        <w:rPr>
          <w:szCs w:val="22"/>
          <w:u w:val="single"/>
          <w:lang w:val="lv-LV"/>
        </w:rPr>
        <w:t>Sistēmisks juvenils idiopātisks artrīts (sJIA)</w:t>
      </w:r>
    </w:p>
    <w:p w14:paraId="716929E5" w14:textId="2B10BFB3" w:rsidR="00A453C3" w:rsidRDefault="00A453C3" w:rsidP="00A453C3">
      <w:pPr>
        <w:rPr>
          <w:lang w:val="lv-LV"/>
        </w:rPr>
      </w:pPr>
      <w:r w:rsidRPr="00971205">
        <w:rPr>
          <w:lang w:val="lv-LV"/>
        </w:rPr>
        <w:t xml:space="preserve">RoActemra </w:t>
      </w:r>
      <w:del w:id="899" w:author="Regulatory LV" w:date="2026-03-17T11:09:00Z">
        <w:r w:rsidRPr="00971205" w:rsidDel="00514E28">
          <w:rPr>
            <w:lang w:val="lv-LV"/>
          </w:rPr>
          <w:delText xml:space="preserve">indicēts </w:delText>
        </w:r>
      </w:del>
      <w:ins w:id="900" w:author="Regulatory LV" w:date="2026-03-17T11:09:00Z">
        <w:r w:rsidR="00514E28">
          <w:rPr>
            <w:lang w:val="lv-LV"/>
          </w:rPr>
          <w:t>ir paredzēts</w:t>
        </w:r>
        <w:r w:rsidR="00514E28" w:rsidRPr="00971205">
          <w:rPr>
            <w:lang w:val="lv-LV"/>
          </w:rPr>
          <w:t xml:space="preserve"> </w:t>
        </w:r>
      </w:ins>
      <w:r w:rsidRPr="00971205">
        <w:rPr>
          <w:lang w:val="lv-LV"/>
        </w:rPr>
        <w:t>aktīva sJIA ārstēšanai pacientiem no 1</w:t>
      </w:r>
      <w:r>
        <w:rPr>
          <w:lang w:val="lv-LV"/>
        </w:rPr>
        <w:t>2 </w:t>
      </w:r>
      <w:r w:rsidRPr="00971205">
        <w:rPr>
          <w:lang w:val="lv-LV"/>
        </w:rPr>
        <w:t>gad</w:t>
      </w:r>
      <w:r>
        <w:rPr>
          <w:lang w:val="lv-LV"/>
        </w:rPr>
        <w:t>u</w:t>
      </w:r>
      <w:r w:rsidRPr="00971205">
        <w:rPr>
          <w:lang w:val="lv-LV"/>
        </w:rPr>
        <w:t xml:space="preserve"> vecuma, kuriem bijusi nepietiekama atbildes reakcija uz iepriekšēju ārstēšanu ar </w:t>
      </w:r>
      <w:r>
        <w:rPr>
          <w:lang w:val="lv-LV"/>
        </w:rPr>
        <w:t>nesteroīdiem pretiekaisuma līdzekļiem (</w:t>
      </w:r>
      <w:r w:rsidRPr="00971205">
        <w:rPr>
          <w:lang w:val="lv-LV"/>
        </w:rPr>
        <w:t>NSPL</w:t>
      </w:r>
      <w:r>
        <w:rPr>
          <w:lang w:val="lv-LV"/>
        </w:rPr>
        <w:t>)</w:t>
      </w:r>
      <w:r w:rsidRPr="00971205">
        <w:rPr>
          <w:lang w:val="lv-LV"/>
        </w:rPr>
        <w:t xml:space="preserve"> un sistēmiskiem kortikosteroīdiem</w:t>
      </w:r>
      <w:del w:id="901" w:author="Author">
        <w:r w:rsidDel="00477C5B">
          <w:rPr>
            <w:lang w:val="lv-LV"/>
          </w:rPr>
          <w:delText xml:space="preserve"> </w:delText>
        </w:r>
        <w:r w:rsidDel="00477C5B">
          <w:rPr>
            <w:szCs w:val="22"/>
            <w:lang w:val="lv-LV"/>
          </w:rPr>
          <w:delText>(skatīt 4.2. apakšpunktu)</w:delText>
        </w:r>
      </w:del>
      <w:r>
        <w:rPr>
          <w:lang w:val="lv-LV"/>
        </w:rPr>
        <w:t>.</w:t>
      </w:r>
    </w:p>
    <w:p w14:paraId="6A791845" w14:textId="77777777" w:rsidR="00A453C3" w:rsidRPr="00971205" w:rsidRDefault="00A453C3" w:rsidP="00A453C3">
      <w:pPr>
        <w:rPr>
          <w:lang w:val="lv-LV"/>
        </w:rPr>
      </w:pPr>
      <w:r w:rsidRPr="00971205">
        <w:rPr>
          <w:lang w:val="lv-LV"/>
        </w:rPr>
        <w:t xml:space="preserve">RoActemra var lietot monoterapijas veidā (ja ir MTX nepanesība vai ārstēšana ar MTX nav piemērota) vai kombinācijā ar MTX. </w:t>
      </w:r>
    </w:p>
    <w:p w14:paraId="42A5066D" w14:textId="77777777" w:rsidR="00A453C3" w:rsidRDefault="00A453C3" w:rsidP="00A453C3">
      <w:pPr>
        <w:rPr>
          <w:szCs w:val="22"/>
          <w:lang w:val="lv-LV"/>
        </w:rPr>
      </w:pPr>
    </w:p>
    <w:p w14:paraId="4FF46B00" w14:textId="77777777" w:rsidR="00A453C3" w:rsidRPr="00971205" w:rsidRDefault="00A453C3" w:rsidP="00707120">
      <w:pPr>
        <w:keepNext/>
        <w:autoSpaceDE w:val="0"/>
        <w:rPr>
          <w:szCs w:val="22"/>
          <w:lang w:val="lv-LV"/>
        </w:rPr>
      </w:pPr>
      <w:r>
        <w:rPr>
          <w:rFonts w:eastAsia="PMingLiU"/>
          <w:szCs w:val="22"/>
          <w:u w:val="single"/>
          <w:lang w:val="lv-LV"/>
        </w:rPr>
        <w:t>Juvenils idiopātisks poliartrīts (pJIA)</w:t>
      </w:r>
    </w:p>
    <w:p w14:paraId="64067805" w14:textId="2D8751EF" w:rsidR="00A453C3" w:rsidRPr="00971205" w:rsidRDefault="00A453C3" w:rsidP="00A453C3">
      <w:pPr>
        <w:rPr>
          <w:rFonts w:eastAsia="SimSun"/>
          <w:szCs w:val="22"/>
          <w:lang w:val="lv-LV" w:eastAsia="zh-CN" w:bidi="th-TH"/>
        </w:rPr>
      </w:pPr>
      <w:r w:rsidRPr="00971205">
        <w:rPr>
          <w:rFonts w:eastAsia="PMingLiU"/>
          <w:bCs/>
          <w:iCs/>
          <w:color w:val="000000"/>
          <w:szCs w:val="22"/>
          <w:lang w:val="lv-LV"/>
        </w:rPr>
        <w:t xml:space="preserve">RoActemra kombinācijā ar MTX </w:t>
      </w:r>
      <w:del w:id="902" w:author="Regulatory LV" w:date="2026-03-17T11:09:00Z">
        <w:r w:rsidRPr="00971205" w:rsidDel="00514E28">
          <w:rPr>
            <w:rFonts w:eastAsia="PMingLiU"/>
            <w:bCs/>
            <w:iCs/>
            <w:color w:val="000000"/>
            <w:szCs w:val="22"/>
            <w:lang w:val="lv-LV"/>
          </w:rPr>
          <w:delText xml:space="preserve">indicēts </w:delText>
        </w:r>
      </w:del>
      <w:ins w:id="903" w:author="Regulatory LV" w:date="2026-03-17T11:09:00Z">
        <w:r w:rsidR="00514E28">
          <w:rPr>
            <w:rFonts w:eastAsia="PMingLiU"/>
            <w:bCs/>
            <w:iCs/>
            <w:color w:val="000000"/>
            <w:szCs w:val="22"/>
            <w:lang w:val="lv-LV"/>
          </w:rPr>
          <w:t>ir paredzēts</w:t>
        </w:r>
        <w:r w:rsidR="00514E28" w:rsidRPr="00971205">
          <w:rPr>
            <w:rFonts w:eastAsia="PMingLiU"/>
            <w:bCs/>
            <w:iCs/>
            <w:color w:val="000000"/>
            <w:szCs w:val="22"/>
            <w:lang w:val="lv-LV"/>
          </w:rPr>
          <w:t xml:space="preserve"> </w:t>
        </w:r>
      </w:ins>
      <w:r w:rsidRPr="00971205">
        <w:rPr>
          <w:rFonts w:eastAsia="PMingLiU"/>
          <w:bCs/>
          <w:iCs/>
          <w:color w:val="000000"/>
          <w:szCs w:val="22"/>
          <w:lang w:val="lv-LV"/>
        </w:rPr>
        <w:t xml:space="preserve">pJIA </w:t>
      </w:r>
      <w:r>
        <w:rPr>
          <w:rFonts w:eastAsia="PMingLiU"/>
          <w:bCs/>
          <w:iCs/>
          <w:color w:val="000000"/>
          <w:szCs w:val="22"/>
          <w:lang w:val="lv-LV"/>
        </w:rPr>
        <w:t>(</w:t>
      </w:r>
      <w:r w:rsidRPr="00971205">
        <w:rPr>
          <w:rFonts w:eastAsia="PMingLiU"/>
          <w:bCs/>
          <w:iCs/>
          <w:color w:val="000000"/>
          <w:szCs w:val="22"/>
          <w:lang w:val="lv-LV"/>
        </w:rPr>
        <w:t xml:space="preserve">negatīva vai pozitīva reimatoīdā faktora atrade un paplašināts oligoartrīts) ārstēšanai pacientiem no </w:t>
      </w:r>
      <w:r>
        <w:rPr>
          <w:rFonts w:eastAsia="PMingLiU"/>
          <w:bCs/>
          <w:iCs/>
          <w:color w:val="000000"/>
          <w:szCs w:val="22"/>
          <w:lang w:val="lv-LV"/>
        </w:rPr>
        <w:t>1</w:t>
      </w:r>
      <w:r w:rsidRPr="00971205">
        <w:rPr>
          <w:rFonts w:eastAsia="PMingLiU"/>
          <w:bCs/>
          <w:iCs/>
          <w:color w:val="000000"/>
          <w:szCs w:val="22"/>
          <w:lang w:val="lv-LV"/>
        </w:rPr>
        <w:t>2 gadu vecuma, kuriem nav bijusi atbilstoša atbildes reakcija uz iepriekš veiktu terapiju ar MTX</w:t>
      </w:r>
      <w:del w:id="904" w:author="Author">
        <w:r w:rsidDel="00666EED">
          <w:rPr>
            <w:rFonts w:eastAsia="PMingLiU"/>
            <w:bCs/>
            <w:iCs/>
            <w:color w:val="000000"/>
            <w:szCs w:val="22"/>
            <w:lang w:val="lv-LV"/>
          </w:rPr>
          <w:delText xml:space="preserve"> </w:delText>
        </w:r>
        <w:r w:rsidDel="00666EED">
          <w:rPr>
            <w:szCs w:val="22"/>
            <w:lang w:val="lv-LV"/>
          </w:rPr>
          <w:delText>(skatīt 4.2. apakšpunktu)</w:delText>
        </w:r>
      </w:del>
      <w:r w:rsidRPr="00971205">
        <w:rPr>
          <w:rFonts w:eastAsia="PMingLiU"/>
          <w:bCs/>
          <w:iCs/>
          <w:color w:val="000000"/>
          <w:szCs w:val="22"/>
          <w:lang w:val="lv-LV"/>
        </w:rPr>
        <w:t>.</w:t>
      </w:r>
    </w:p>
    <w:p w14:paraId="673743A3" w14:textId="77777777" w:rsidR="00A453C3" w:rsidRPr="00DD7A4F" w:rsidRDefault="00A453C3" w:rsidP="00A453C3">
      <w:pPr>
        <w:autoSpaceDE w:val="0"/>
        <w:rPr>
          <w:szCs w:val="22"/>
          <w:lang w:val="lv-LV"/>
        </w:rPr>
      </w:pPr>
      <w:r w:rsidRPr="00971205">
        <w:rPr>
          <w:rFonts w:eastAsia="PMingLiU"/>
          <w:bCs/>
          <w:iCs/>
          <w:color w:val="000000"/>
          <w:szCs w:val="22"/>
          <w:lang w:val="lv-LV"/>
        </w:rPr>
        <w:t xml:space="preserve">RoActemra </w:t>
      </w:r>
      <w:r w:rsidRPr="00971205">
        <w:rPr>
          <w:rFonts w:eastAsia="PMingLiU"/>
          <w:szCs w:val="22"/>
          <w:lang w:val="lv-LV"/>
        </w:rPr>
        <w:t>var ievadīt monoterapijas veidā gadījumos, kad konstatēta MTX nepanesība vai turpmāka terapija ar MTX ir nepiemērota</w:t>
      </w:r>
      <w:r w:rsidRPr="00971205">
        <w:rPr>
          <w:szCs w:val="22"/>
          <w:lang w:val="lv-LV"/>
        </w:rPr>
        <w:t>.</w:t>
      </w:r>
    </w:p>
    <w:p w14:paraId="4E2AACAA" w14:textId="77777777" w:rsidR="00A453C3" w:rsidRDefault="00A453C3" w:rsidP="00A453C3">
      <w:pPr>
        <w:rPr>
          <w:szCs w:val="22"/>
          <w:lang w:val="lv-LV"/>
        </w:rPr>
      </w:pPr>
    </w:p>
    <w:p w14:paraId="562ED78A" w14:textId="713568C9" w:rsidR="00A453C3" w:rsidRPr="00DD7A4F" w:rsidRDefault="00A453C3" w:rsidP="00707120">
      <w:pPr>
        <w:keepNext/>
        <w:autoSpaceDE w:val="0"/>
        <w:rPr>
          <w:szCs w:val="22"/>
          <w:lang w:val="lv-LV"/>
        </w:rPr>
      </w:pPr>
      <w:r>
        <w:rPr>
          <w:szCs w:val="22"/>
          <w:u w:val="single"/>
          <w:lang w:val="lv-LV"/>
        </w:rPr>
        <w:t>Milzšūnu arterīts (</w:t>
      </w:r>
      <w:r w:rsidR="00E5622B" w:rsidRPr="00707120">
        <w:rPr>
          <w:i/>
          <w:iCs/>
          <w:szCs w:val="22"/>
          <w:u w:val="single"/>
          <w:lang w:val="lv-LV"/>
        </w:rPr>
        <w:t>giant cell arteritis</w:t>
      </w:r>
      <w:r w:rsidR="00E5622B">
        <w:rPr>
          <w:szCs w:val="22"/>
          <w:u w:val="single"/>
          <w:lang w:val="lv-LV"/>
        </w:rPr>
        <w:t xml:space="preserve">, </w:t>
      </w:r>
      <w:r>
        <w:rPr>
          <w:szCs w:val="22"/>
          <w:u w:val="single"/>
          <w:lang w:val="lv-LV"/>
        </w:rPr>
        <w:t>GCA)</w:t>
      </w:r>
    </w:p>
    <w:p w14:paraId="5E0FA48B" w14:textId="06B9F4AB" w:rsidR="00A453C3" w:rsidRPr="00DD7A4F" w:rsidRDefault="00A453C3" w:rsidP="00A453C3">
      <w:pPr>
        <w:rPr>
          <w:rFonts w:eastAsia="PMingLiU"/>
          <w:szCs w:val="22"/>
          <w:lang w:val="lv-LV"/>
        </w:rPr>
      </w:pPr>
      <w:r w:rsidRPr="00DD7A4F">
        <w:rPr>
          <w:rFonts w:eastAsia="SimSun"/>
          <w:szCs w:val="22"/>
          <w:lang w:val="lv-LV" w:eastAsia="zh-CN" w:bidi="th-TH"/>
        </w:rPr>
        <w:t xml:space="preserve">RoActemra </w:t>
      </w:r>
      <w:del w:id="905" w:author="Regulatory LV" w:date="2026-03-17T11:09:00Z">
        <w:r w:rsidRPr="00DD7A4F" w:rsidDel="00514E28">
          <w:rPr>
            <w:rFonts w:eastAsia="SimSun"/>
            <w:szCs w:val="22"/>
            <w:lang w:val="lv-LV" w:eastAsia="zh-CN" w:bidi="th-TH"/>
          </w:rPr>
          <w:delText xml:space="preserve">indicēts </w:delText>
        </w:r>
      </w:del>
      <w:ins w:id="906" w:author="Regulatory LV" w:date="2026-03-17T11:09:00Z">
        <w:r w:rsidR="00514E28">
          <w:rPr>
            <w:rFonts w:eastAsia="SimSun"/>
            <w:szCs w:val="22"/>
            <w:lang w:val="lv-LV" w:eastAsia="zh-CN" w:bidi="th-TH"/>
          </w:rPr>
          <w:t>ir paredzēts</w:t>
        </w:r>
        <w:r w:rsidR="00514E28" w:rsidRPr="00DD7A4F">
          <w:rPr>
            <w:rFonts w:eastAsia="SimSun"/>
            <w:szCs w:val="22"/>
            <w:lang w:val="lv-LV" w:eastAsia="zh-CN" w:bidi="th-TH"/>
          </w:rPr>
          <w:t xml:space="preserve"> </w:t>
        </w:r>
      </w:ins>
      <w:r w:rsidRPr="00DD7A4F">
        <w:rPr>
          <w:rFonts w:eastAsia="SimSun"/>
          <w:szCs w:val="22"/>
          <w:lang w:val="lv-LV" w:eastAsia="zh-CN" w:bidi="th-TH"/>
        </w:rPr>
        <w:t>GCA ārstēšanai pieaugušiem pacientiem.</w:t>
      </w:r>
      <w:r w:rsidRPr="00DD7A4F">
        <w:rPr>
          <w:szCs w:val="22"/>
          <w:lang w:val="lv-LV"/>
        </w:rPr>
        <w:t xml:space="preserve"> </w:t>
      </w:r>
    </w:p>
    <w:p w14:paraId="1928596A" w14:textId="77777777" w:rsidR="00A453C3" w:rsidRPr="00DD7A4F" w:rsidRDefault="00A453C3" w:rsidP="00A453C3">
      <w:pPr>
        <w:rPr>
          <w:rFonts w:eastAsia="PMingLiU"/>
          <w:szCs w:val="22"/>
          <w:lang w:val="lv-LV"/>
        </w:rPr>
      </w:pPr>
    </w:p>
    <w:p w14:paraId="3BFB0715" w14:textId="77777777" w:rsidR="00A453C3" w:rsidRPr="00DD7A4F" w:rsidRDefault="00A453C3">
      <w:pPr>
        <w:keepNext/>
        <w:rPr>
          <w:szCs w:val="22"/>
          <w:lang w:val="lv-LV"/>
        </w:rPr>
        <w:pPrChange w:id="907" w:author="Author">
          <w:pPr/>
        </w:pPrChange>
      </w:pPr>
      <w:r w:rsidRPr="00DD7A4F">
        <w:rPr>
          <w:b/>
          <w:szCs w:val="22"/>
          <w:lang w:val="lv-LV"/>
        </w:rPr>
        <w:t>4.2.</w:t>
      </w:r>
      <w:r w:rsidRPr="00DD7A4F">
        <w:rPr>
          <w:b/>
          <w:szCs w:val="22"/>
          <w:lang w:val="lv-LV"/>
        </w:rPr>
        <w:tab/>
        <w:t>Devas un lietošanas veids</w:t>
      </w:r>
    </w:p>
    <w:p w14:paraId="284B86B9" w14:textId="77777777" w:rsidR="00A453C3" w:rsidRPr="00DD7A4F" w:rsidRDefault="00A453C3">
      <w:pPr>
        <w:keepNext/>
        <w:rPr>
          <w:szCs w:val="22"/>
          <w:lang w:val="lv-LV"/>
        </w:rPr>
        <w:pPrChange w:id="908" w:author="Author">
          <w:pPr/>
        </w:pPrChange>
      </w:pPr>
    </w:p>
    <w:p w14:paraId="747C35BB" w14:textId="7B26101E" w:rsidR="00A453C3" w:rsidRDefault="00A453C3" w:rsidP="00A453C3">
      <w:pPr>
        <w:rPr>
          <w:szCs w:val="22"/>
          <w:lang w:val="lv-LV"/>
        </w:rPr>
      </w:pPr>
      <w:r>
        <w:rPr>
          <w:szCs w:val="22"/>
          <w:lang w:val="lv-LV"/>
        </w:rPr>
        <w:t xml:space="preserve">Tocilizumaba subkutāni lietojamā zāļu forma tiek ievadīta ar vienreiz lietojamu pildspalvveida pilnšļirci. </w:t>
      </w:r>
      <w:r w:rsidRPr="00DD7A4F">
        <w:rPr>
          <w:szCs w:val="22"/>
          <w:lang w:val="lv-LV"/>
        </w:rPr>
        <w:t>Terapija jāsāk veselības aprūpes speciālistiem, kuriem ir pieredze RA</w:t>
      </w:r>
      <w:r>
        <w:rPr>
          <w:szCs w:val="22"/>
          <w:lang w:val="lv-LV"/>
        </w:rPr>
        <w:t>, sJIA, pJIA</w:t>
      </w:r>
      <w:r w:rsidRPr="00DD7A4F">
        <w:rPr>
          <w:szCs w:val="22"/>
          <w:lang w:val="lv-LV"/>
        </w:rPr>
        <w:t xml:space="preserve"> un/vai GCA diagnostikā un ārstēšanā. </w:t>
      </w:r>
    </w:p>
    <w:p w14:paraId="5C262E8F" w14:textId="77777777" w:rsidR="00A453C3" w:rsidRDefault="00A453C3" w:rsidP="00A453C3">
      <w:pPr>
        <w:rPr>
          <w:szCs w:val="22"/>
          <w:lang w:val="lv-LV"/>
        </w:rPr>
      </w:pPr>
    </w:p>
    <w:p w14:paraId="3FD505E1" w14:textId="77777777" w:rsidR="00A453C3" w:rsidRDefault="00A453C3" w:rsidP="00A453C3">
      <w:pPr>
        <w:rPr>
          <w:szCs w:val="22"/>
          <w:lang w:val="lv-LV"/>
        </w:rPr>
      </w:pPr>
      <w:r>
        <w:rPr>
          <w:szCs w:val="22"/>
          <w:lang w:val="lv-LV"/>
        </w:rPr>
        <w:t xml:space="preserve">Pildspalvveida pilnšļirci nedrīkst lietot pediatriskiem pacientiem līdz &lt; 12 gadu vecumam, jo plānāka zemādas audu slāņa dēļ pastāv intramuskulāras injekcijas risks. </w:t>
      </w:r>
    </w:p>
    <w:p w14:paraId="6A4F7216" w14:textId="5B22B152" w:rsidR="00A453C3" w:rsidDel="006D6564" w:rsidRDefault="00A453C3" w:rsidP="00A453C3">
      <w:pPr>
        <w:rPr>
          <w:del w:id="909" w:author="Author"/>
          <w:szCs w:val="22"/>
          <w:lang w:val="lv-LV"/>
        </w:rPr>
      </w:pPr>
    </w:p>
    <w:p w14:paraId="04D89EAC" w14:textId="42579D05" w:rsidR="00A453C3" w:rsidRDefault="00A453C3" w:rsidP="00A453C3">
      <w:pPr>
        <w:rPr>
          <w:szCs w:val="22"/>
          <w:lang w:val="lv-LV"/>
        </w:rPr>
      </w:pPr>
      <w:r>
        <w:rPr>
          <w:szCs w:val="22"/>
          <w:lang w:val="lv-LV"/>
        </w:rPr>
        <w:t xml:space="preserve">Pirmā injekcija jāveic kvalificēta veselības aprūpes speciālista uzraudzībā. Pacients vai vecāks/aizbildnis </w:t>
      </w:r>
      <w:r w:rsidRPr="00D57AC2">
        <w:rPr>
          <w:szCs w:val="22"/>
          <w:lang w:val="lv-LV"/>
        </w:rPr>
        <w:t xml:space="preserve">patstāvīgi </w:t>
      </w:r>
      <w:r>
        <w:rPr>
          <w:szCs w:val="22"/>
          <w:lang w:val="lv-LV"/>
        </w:rPr>
        <w:t>šīs zāles</w:t>
      </w:r>
      <w:r w:rsidRPr="00D57AC2">
        <w:rPr>
          <w:szCs w:val="22"/>
          <w:lang w:val="lv-LV"/>
        </w:rPr>
        <w:t xml:space="preserve"> var injicēt tikai tādā gadījumā, ja ārsts uzskata, ka tas ir atbilstoši, un ja pacients vai vecāks/aizbildnis piekrīt pēc vajadzības veicamai medicīniskai apsekošanai un ir apguvis pareizu injekcijas tehniku</w:t>
      </w:r>
      <w:r>
        <w:rPr>
          <w:szCs w:val="22"/>
          <w:lang w:val="lv-LV"/>
        </w:rPr>
        <w:t xml:space="preserve">. </w:t>
      </w:r>
    </w:p>
    <w:p w14:paraId="054BD673" w14:textId="77777777" w:rsidR="00A453C3" w:rsidRDefault="00A453C3" w:rsidP="00A453C3">
      <w:pPr>
        <w:rPr>
          <w:szCs w:val="22"/>
          <w:lang w:val="lv-LV"/>
        </w:rPr>
      </w:pPr>
    </w:p>
    <w:p w14:paraId="496EA277" w14:textId="15EB6196" w:rsidR="00A453C3" w:rsidRDefault="00A453C3" w:rsidP="00A453C3">
      <w:pPr>
        <w:rPr>
          <w:szCs w:val="22"/>
          <w:lang w:val="lv-LV"/>
        </w:rPr>
      </w:pPr>
      <w:r w:rsidRPr="00D57AC2">
        <w:rPr>
          <w:szCs w:val="22"/>
          <w:lang w:val="lv-LV"/>
        </w:rPr>
        <w:t xml:space="preserve">Pacientiem, kuriem tiek veikta pāreja no tocilizumaba </w:t>
      </w:r>
      <w:r>
        <w:rPr>
          <w:szCs w:val="22"/>
          <w:lang w:val="lv-LV"/>
        </w:rPr>
        <w:t xml:space="preserve">intravenozas </w:t>
      </w:r>
      <w:r w:rsidRPr="00D57AC2">
        <w:rPr>
          <w:szCs w:val="22"/>
          <w:lang w:val="lv-LV"/>
        </w:rPr>
        <w:t xml:space="preserve">terapijas uz šo zāļu </w:t>
      </w:r>
      <w:r>
        <w:rPr>
          <w:szCs w:val="22"/>
          <w:lang w:val="lv-LV"/>
        </w:rPr>
        <w:t>subkutānu</w:t>
      </w:r>
      <w:r w:rsidR="00E5622B">
        <w:rPr>
          <w:szCs w:val="22"/>
          <w:lang w:val="lv-LV"/>
        </w:rPr>
        <w:t xml:space="preserve"> </w:t>
      </w:r>
      <w:r w:rsidRPr="00D57AC2">
        <w:rPr>
          <w:szCs w:val="22"/>
          <w:lang w:val="lv-LV"/>
        </w:rPr>
        <w:t xml:space="preserve">ievadīšanu, pirmā </w:t>
      </w:r>
      <w:r>
        <w:rPr>
          <w:szCs w:val="22"/>
          <w:lang w:val="lv-LV"/>
        </w:rPr>
        <w:t>subkutānā</w:t>
      </w:r>
      <w:r w:rsidRPr="00D57AC2">
        <w:rPr>
          <w:szCs w:val="22"/>
          <w:lang w:val="lv-LV"/>
        </w:rPr>
        <w:t xml:space="preserve"> deva jāievada nākamās plānotās </w:t>
      </w:r>
      <w:r>
        <w:rPr>
          <w:szCs w:val="22"/>
          <w:lang w:val="lv-LV"/>
        </w:rPr>
        <w:t>intravenozās</w:t>
      </w:r>
      <w:r w:rsidRPr="00D57AC2">
        <w:rPr>
          <w:szCs w:val="22"/>
          <w:lang w:val="lv-LV"/>
        </w:rPr>
        <w:t xml:space="preserve"> devas ievadīšanas laikā, un tam jānotiek kvalificēta veselības aprūpes speciālista stingrā uzraudzībā</w:t>
      </w:r>
      <w:r>
        <w:rPr>
          <w:szCs w:val="22"/>
          <w:lang w:val="lv-LV"/>
        </w:rPr>
        <w:t xml:space="preserve">. </w:t>
      </w:r>
    </w:p>
    <w:p w14:paraId="345B7AE9" w14:textId="77777777" w:rsidR="00A453C3" w:rsidRDefault="00A453C3" w:rsidP="00A453C3">
      <w:pPr>
        <w:rPr>
          <w:szCs w:val="22"/>
          <w:lang w:val="lv-LV"/>
        </w:rPr>
      </w:pPr>
    </w:p>
    <w:p w14:paraId="348701A8" w14:textId="6F08093F" w:rsidR="00A453C3" w:rsidRDefault="00A453C3" w:rsidP="00A453C3">
      <w:pPr>
        <w:rPr>
          <w:szCs w:val="22"/>
          <w:lang w:val="lv-LV"/>
        </w:rPr>
      </w:pPr>
      <w:r w:rsidRPr="00DD7A4F">
        <w:rPr>
          <w:szCs w:val="22"/>
          <w:lang w:val="lv-LV"/>
        </w:rPr>
        <w:t>Visiem pacientiem, kurus ārstē ar RoActemra, ir jāizsniedz pacienta kart</w:t>
      </w:r>
      <w:r>
        <w:rPr>
          <w:szCs w:val="22"/>
          <w:lang w:val="lv-LV"/>
        </w:rPr>
        <w:t>īt</w:t>
      </w:r>
      <w:r w:rsidRPr="00DD7A4F">
        <w:rPr>
          <w:szCs w:val="22"/>
          <w:lang w:val="lv-LV"/>
        </w:rPr>
        <w:t xml:space="preserve">e. </w:t>
      </w:r>
    </w:p>
    <w:p w14:paraId="3A5748AC" w14:textId="2257B066" w:rsidR="00A453C3" w:rsidRDefault="00A453C3" w:rsidP="00A453C3">
      <w:pPr>
        <w:rPr>
          <w:szCs w:val="22"/>
          <w:lang w:val="lv-LV"/>
        </w:rPr>
      </w:pPr>
    </w:p>
    <w:p w14:paraId="418BC2A1" w14:textId="3DC2DF95" w:rsidR="00A453C3" w:rsidRPr="00DD7A4F" w:rsidRDefault="00A453C3" w:rsidP="00A453C3">
      <w:pPr>
        <w:rPr>
          <w:szCs w:val="22"/>
          <w:lang w:val="lv-LV"/>
        </w:rPr>
      </w:pPr>
      <w:r w:rsidRPr="00DD7A4F">
        <w:rPr>
          <w:szCs w:val="22"/>
          <w:lang w:val="lv-LV"/>
        </w:rPr>
        <w:t xml:space="preserve">Speciālistam ir jāpārbauda pacienta </w:t>
      </w:r>
      <w:r>
        <w:rPr>
          <w:szCs w:val="22"/>
          <w:lang w:val="lv-LV"/>
        </w:rPr>
        <w:t xml:space="preserve">vai </w:t>
      </w:r>
      <w:ins w:id="910" w:author="Author">
        <w:r w:rsidR="00185DCA">
          <w:rPr>
            <w:szCs w:val="22"/>
            <w:lang w:val="lv-LV"/>
          </w:rPr>
          <w:t xml:space="preserve">viņa </w:t>
        </w:r>
      </w:ins>
      <w:r>
        <w:rPr>
          <w:szCs w:val="22"/>
          <w:lang w:val="lv-LV"/>
        </w:rPr>
        <w:t xml:space="preserve">vecāka/aizbildņa </w:t>
      </w:r>
      <w:r w:rsidRPr="00DD7A4F">
        <w:rPr>
          <w:szCs w:val="22"/>
          <w:lang w:val="lv-LV"/>
        </w:rPr>
        <w:t xml:space="preserve">piemērotība subkutānai šo zāļu lietošanai mājās, un pacientiem </w:t>
      </w:r>
      <w:r>
        <w:rPr>
          <w:szCs w:val="22"/>
          <w:lang w:val="lv-LV"/>
        </w:rPr>
        <w:t xml:space="preserve">vai </w:t>
      </w:r>
      <w:ins w:id="911" w:author="Author">
        <w:r w:rsidR="00096C94">
          <w:rPr>
            <w:szCs w:val="22"/>
            <w:lang w:val="lv-LV"/>
          </w:rPr>
          <w:t>viņ</w:t>
        </w:r>
      </w:ins>
      <w:ins w:id="912" w:author="Regulatory LV" w:date="2026-03-17T11:22:00Z">
        <w:r w:rsidR="00E45E04">
          <w:rPr>
            <w:szCs w:val="22"/>
            <w:lang w:val="lv-LV"/>
          </w:rPr>
          <w:t>u</w:t>
        </w:r>
      </w:ins>
      <w:ins w:id="913" w:author="Author">
        <w:del w:id="914" w:author="Regulatory LV" w:date="2026-03-17T11:22:00Z">
          <w:r w:rsidR="00096C94" w:rsidDel="00E45E04">
            <w:rPr>
              <w:szCs w:val="22"/>
              <w:lang w:val="lv-LV"/>
            </w:rPr>
            <w:delText>a</w:delText>
          </w:r>
        </w:del>
        <w:r w:rsidR="00096C94">
          <w:rPr>
            <w:szCs w:val="22"/>
            <w:lang w:val="lv-LV"/>
          </w:rPr>
          <w:t xml:space="preserve"> </w:t>
        </w:r>
      </w:ins>
      <w:r>
        <w:rPr>
          <w:szCs w:val="22"/>
          <w:lang w:val="lv-LV"/>
        </w:rPr>
        <w:t xml:space="preserve">vecākam/aizbildnim </w:t>
      </w:r>
      <w:r w:rsidRPr="00DD7A4F">
        <w:rPr>
          <w:szCs w:val="22"/>
          <w:lang w:val="lv-LV"/>
        </w:rPr>
        <w:t xml:space="preserve">jānorāda, ka pirms nākamās devas ievadīšanas jāinformē veselības aprūpes speciālists, ja parādās alerģiskas reakcijas simptomi. Ja pacientiem rodas nopietnu alerģisku reakciju simptomi, pacientiem nekavējoties jāmeklē medicīniskā palīdzība (skatīt 4.4. apakšpunktu). </w:t>
      </w:r>
    </w:p>
    <w:p w14:paraId="29B673A8" w14:textId="77777777" w:rsidR="00A453C3" w:rsidRPr="00DD7A4F" w:rsidRDefault="00A453C3" w:rsidP="00A453C3">
      <w:pPr>
        <w:rPr>
          <w:szCs w:val="22"/>
          <w:lang w:val="lv-LV"/>
        </w:rPr>
      </w:pPr>
    </w:p>
    <w:p w14:paraId="577FAD5A" w14:textId="77777777" w:rsidR="00A453C3" w:rsidRPr="00DD7A4F" w:rsidRDefault="00A453C3" w:rsidP="00A453C3">
      <w:pPr>
        <w:keepNext/>
        <w:keepLines/>
        <w:rPr>
          <w:szCs w:val="22"/>
          <w:lang w:val="lv-LV"/>
        </w:rPr>
      </w:pPr>
      <w:r w:rsidRPr="00DD7A4F">
        <w:rPr>
          <w:szCs w:val="22"/>
          <w:u w:val="single"/>
          <w:lang w:val="lv-LV"/>
        </w:rPr>
        <w:t>Devas</w:t>
      </w:r>
    </w:p>
    <w:p w14:paraId="652C4F6A" w14:textId="77777777" w:rsidR="00A453C3" w:rsidRPr="00707120" w:rsidRDefault="00A453C3" w:rsidP="00A453C3">
      <w:pPr>
        <w:keepNext/>
        <w:keepLines/>
        <w:autoSpaceDE w:val="0"/>
        <w:autoSpaceDN w:val="0"/>
        <w:adjustRightInd w:val="0"/>
        <w:rPr>
          <w:i/>
          <w:iCs/>
          <w:szCs w:val="22"/>
          <w:lang w:val="lv-LV"/>
        </w:rPr>
      </w:pPr>
      <w:r w:rsidRPr="00707120">
        <w:rPr>
          <w:i/>
          <w:iCs/>
          <w:szCs w:val="22"/>
          <w:lang w:val="lv-LV"/>
        </w:rPr>
        <w:t>Pacienti ar RA</w:t>
      </w:r>
    </w:p>
    <w:p w14:paraId="6FEF80F4" w14:textId="77777777" w:rsidR="00A453C3" w:rsidRPr="00DD7A4F" w:rsidRDefault="00A453C3" w:rsidP="00A453C3">
      <w:pPr>
        <w:rPr>
          <w:szCs w:val="22"/>
          <w:lang w:val="lv-LV"/>
        </w:rPr>
      </w:pPr>
      <w:r w:rsidRPr="00DD7A4F">
        <w:rPr>
          <w:szCs w:val="22"/>
          <w:lang w:val="lv-LV"/>
        </w:rPr>
        <w:t>Ieteicamā deva ir 162 mg, ievadot to subkutāni vienu reizi nedēļā.</w:t>
      </w:r>
    </w:p>
    <w:p w14:paraId="5232FC9D" w14:textId="77777777" w:rsidR="00A453C3" w:rsidRPr="00DD7A4F" w:rsidRDefault="00A453C3" w:rsidP="00A453C3">
      <w:pPr>
        <w:rPr>
          <w:szCs w:val="22"/>
          <w:lang w:val="lv-LV"/>
        </w:rPr>
      </w:pPr>
    </w:p>
    <w:p w14:paraId="0911E323" w14:textId="2CD622F3" w:rsidR="00A453C3" w:rsidRPr="00DD7A4F" w:rsidRDefault="00A453C3" w:rsidP="00A453C3">
      <w:pPr>
        <w:rPr>
          <w:szCs w:val="22"/>
          <w:lang w:val="lv-LV"/>
        </w:rPr>
      </w:pPr>
      <w:r w:rsidRPr="00DD7A4F">
        <w:rPr>
          <w:szCs w:val="22"/>
          <w:lang w:val="lv-LV"/>
        </w:rPr>
        <w:t xml:space="preserve">Pieejamā informācija par </w:t>
      </w:r>
      <w:r>
        <w:rPr>
          <w:szCs w:val="22"/>
          <w:lang w:val="lv-LV"/>
        </w:rPr>
        <w:t>tocilizumaba</w:t>
      </w:r>
      <w:r w:rsidRPr="00DD7A4F">
        <w:rPr>
          <w:szCs w:val="22"/>
          <w:lang w:val="lv-LV"/>
        </w:rPr>
        <w:t xml:space="preserve"> intravenozi ievadāmās zāļu formas aizstāšanu ar </w:t>
      </w:r>
      <w:r>
        <w:rPr>
          <w:szCs w:val="22"/>
          <w:lang w:val="lv-LV"/>
        </w:rPr>
        <w:t>tocilizumaba</w:t>
      </w:r>
      <w:r w:rsidRPr="00DD7A4F">
        <w:rPr>
          <w:szCs w:val="22"/>
          <w:lang w:val="lv-LV"/>
        </w:rPr>
        <w:t xml:space="preserve"> subkutāni lietojamo fiksētās devas zāļu formu ir ierobežota. Jāievēro vienu nedēļu ilgs devu ievadīšanas starplaiks.</w:t>
      </w:r>
    </w:p>
    <w:p w14:paraId="0E436FDD" w14:textId="77777777" w:rsidR="00A453C3" w:rsidRPr="00DD7A4F" w:rsidRDefault="00A453C3" w:rsidP="00A453C3">
      <w:pPr>
        <w:rPr>
          <w:szCs w:val="22"/>
          <w:lang w:val="lv-LV"/>
        </w:rPr>
      </w:pPr>
    </w:p>
    <w:p w14:paraId="4C2722F6" w14:textId="77777777" w:rsidR="00A453C3" w:rsidRPr="00DD7A4F" w:rsidRDefault="00A453C3" w:rsidP="00A453C3">
      <w:pPr>
        <w:rPr>
          <w:szCs w:val="22"/>
          <w:lang w:val="lv-LV"/>
        </w:rPr>
      </w:pPr>
      <w:r w:rsidRPr="00DD7A4F">
        <w:rPr>
          <w:szCs w:val="22"/>
          <w:lang w:val="lv-LV"/>
        </w:rPr>
        <w:t>Pacientiem, kuriem intravenozi ievadāmā zāļu forma tiek aizstāta ar subkutāni lietojamo zāļu formu, pirmā deva zem ādas jāievada nākamās plānotās intravenozās devas vietā kvalificēta veselības aprūpes speciālista uzraudzībā.</w:t>
      </w:r>
    </w:p>
    <w:p w14:paraId="1475219E" w14:textId="77777777" w:rsidR="00A453C3" w:rsidRPr="00DD7A4F" w:rsidRDefault="00A453C3" w:rsidP="00A453C3">
      <w:pPr>
        <w:rPr>
          <w:szCs w:val="22"/>
          <w:lang w:val="lv-LV"/>
        </w:rPr>
      </w:pPr>
    </w:p>
    <w:p w14:paraId="6C97739A" w14:textId="77777777" w:rsidR="00A453C3" w:rsidRPr="00707120" w:rsidRDefault="00A453C3">
      <w:pPr>
        <w:keepNext/>
        <w:ind w:left="567" w:hanging="567"/>
        <w:rPr>
          <w:bCs/>
          <w:i/>
          <w:iCs/>
          <w:noProof/>
          <w:szCs w:val="22"/>
          <w:lang w:val="lv-LV"/>
        </w:rPr>
        <w:pPrChange w:id="915" w:author="Author">
          <w:pPr>
            <w:ind w:left="567" w:hanging="567"/>
          </w:pPr>
        </w:pPrChange>
      </w:pPr>
      <w:r w:rsidRPr="00707120">
        <w:rPr>
          <w:bCs/>
          <w:i/>
          <w:iCs/>
          <w:noProof/>
          <w:szCs w:val="22"/>
          <w:lang w:val="lv-LV"/>
        </w:rPr>
        <w:t>Pacienti ar GCA</w:t>
      </w:r>
    </w:p>
    <w:p w14:paraId="093AC68C" w14:textId="70DA3209" w:rsidR="00A453C3" w:rsidRPr="00DD7A4F" w:rsidRDefault="00A453C3" w:rsidP="00A453C3">
      <w:pPr>
        <w:autoSpaceDE w:val="0"/>
        <w:autoSpaceDN w:val="0"/>
        <w:adjustRightInd w:val="0"/>
        <w:rPr>
          <w:szCs w:val="22"/>
          <w:lang w:val="lv-LV"/>
        </w:rPr>
      </w:pPr>
      <w:r w:rsidRPr="00DD7A4F">
        <w:rPr>
          <w:szCs w:val="22"/>
          <w:lang w:val="lv-LV"/>
        </w:rPr>
        <w:t xml:space="preserve">Ieteicamā deva ir reizi nedēļā subkutāni ievadīti 162 mg kombinācijā ar glikokortikoīdu kursu, pakāpeniski samazinot glikokortikoīdu devu. Pēc glikokortikoīdu terapijas beigām, </w:t>
      </w:r>
      <w:r>
        <w:rPr>
          <w:szCs w:val="22"/>
          <w:lang w:val="lv-LV"/>
        </w:rPr>
        <w:t>šīs zāles</w:t>
      </w:r>
      <w:r w:rsidRPr="00DD7A4F">
        <w:rPr>
          <w:szCs w:val="22"/>
          <w:lang w:val="lv-LV"/>
        </w:rPr>
        <w:t xml:space="preserve"> var lietot vien</w:t>
      </w:r>
      <w:r>
        <w:rPr>
          <w:szCs w:val="22"/>
          <w:lang w:val="lv-LV"/>
        </w:rPr>
        <w:t>as</w:t>
      </w:r>
      <w:r w:rsidRPr="00DD7A4F">
        <w:rPr>
          <w:szCs w:val="22"/>
          <w:lang w:val="lv-LV"/>
        </w:rPr>
        <w:t xml:space="preserve"> paš</w:t>
      </w:r>
      <w:r>
        <w:rPr>
          <w:szCs w:val="22"/>
          <w:lang w:val="lv-LV"/>
        </w:rPr>
        <w:t>as</w:t>
      </w:r>
      <w:r w:rsidRPr="00DD7A4F">
        <w:rPr>
          <w:szCs w:val="22"/>
          <w:lang w:val="lv-LV"/>
        </w:rPr>
        <w:t>.</w:t>
      </w:r>
    </w:p>
    <w:p w14:paraId="2EDF960B" w14:textId="0D2EB417" w:rsidR="00A453C3" w:rsidRPr="00DD7A4F" w:rsidRDefault="00A453C3" w:rsidP="00A453C3">
      <w:pPr>
        <w:autoSpaceDE w:val="0"/>
        <w:autoSpaceDN w:val="0"/>
        <w:adjustRightInd w:val="0"/>
        <w:rPr>
          <w:szCs w:val="22"/>
          <w:lang w:val="lv-LV"/>
        </w:rPr>
      </w:pPr>
      <w:r>
        <w:rPr>
          <w:szCs w:val="22"/>
          <w:lang w:val="lv-LV"/>
        </w:rPr>
        <w:t>Tocilizumaba</w:t>
      </w:r>
      <w:r w:rsidRPr="00DD7A4F">
        <w:rPr>
          <w:szCs w:val="22"/>
          <w:lang w:val="lv-LV"/>
        </w:rPr>
        <w:t xml:space="preserve"> monoterapiju nedrīkst lietot akūtu recidīvu ārstēšanai (skatīt 4.4.</w:t>
      </w:r>
      <w:r>
        <w:rPr>
          <w:szCs w:val="22"/>
          <w:lang w:val="lv-LV"/>
        </w:rPr>
        <w:t> </w:t>
      </w:r>
      <w:r w:rsidRPr="00DD7A4F">
        <w:rPr>
          <w:szCs w:val="22"/>
          <w:lang w:val="lv-LV"/>
        </w:rPr>
        <w:t>apakšpunktu).</w:t>
      </w:r>
    </w:p>
    <w:p w14:paraId="528BEBC7" w14:textId="77777777" w:rsidR="00A453C3" w:rsidRPr="00DD7A4F" w:rsidRDefault="00A453C3" w:rsidP="00A453C3">
      <w:pPr>
        <w:autoSpaceDE w:val="0"/>
        <w:autoSpaceDN w:val="0"/>
        <w:adjustRightInd w:val="0"/>
        <w:rPr>
          <w:szCs w:val="22"/>
          <w:lang w:val="lv-LV"/>
        </w:rPr>
      </w:pPr>
    </w:p>
    <w:p w14:paraId="5CE10B95" w14:textId="53BF9ECF" w:rsidR="00A453C3" w:rsidRPr="00DD7A4F" w:rsidRDefault="00A453C3" w:rsidP="00A453C3">
      <w:pPr>
        <w:autoSpaceDE w:val="0"/>
        <w:autoSpaceDN w:val="0"/>
        <w:adjustRightInd w:val="0"/>
        <w:rPr>
          <w:szCs w:val="22"/>
          <w:lang w:val="lv-LV"/>
        </w:rPr>
      </w:pPr>
      <w:r w:rsidRPr="00DD7A4F">
        <w:rPr>
          <w:szCs w:val="22"/>
          <w:lang w:val="lv-LV"/>
        </w:rPr>
        <w:t>Pamatojoties uz to, ka GCA ir hroniska slimība, ārstēšana ilgāk par 52</w:t>
      </w:r>
      <w:r>
        <w:rPr>
          <w:szCs w:val="22"/>
          <w:lang w:val="lv-LV"/>
        </w:rPr>
        <w:t> </w:t>
      </w:r>
      <w:r w:rsidRPr="00DD7A4F">
        <w:rPr>
          <w:szCs w:val="22"/>
          <w:lang w:val="lv-LV"/>
        </w:rPr>
        <w:t>nedēļām jāveic</w:t>
      </w:r>
      <w:r>
        <w:rPr>
          <w:szCs w:val="22"/>
          <w:lang w:val="lv-LV"/>
        </w:rPr>
        <w:t>,</w:t>
      </w:r>
      <w:r w:rsidRPr="00DD7A4F">
        <w:rPr>
          <w:szCs w:val="22"/>
          <w:lang w:val="lv-LV"/>
        </w:rPr>
        <w:t xml:space="preserve"> vadoties pēc slimības aktivitātes, ārsta novērtējuma un pacienta lēmuma.</w:t>
      </w:r>
    </w:p>
    <w:p w14:paraId="4086283F" w14:textId="77777777" w:rsidR="00A453C3" w:rsidRPr="00DD7A4F" w:rsidRDefault="00A453C3" w:rsidP="00A453C3">
      <w:pPr>
        <w:rPr>
          <w:szCs w:val="22"/>
          <w:lang w:val="lv-LV"/>
        </w:rPr>
      </w:pPr>
    </w:p>
    <w:p w14:paraId="75C2DFE9" w14:textId="793C5DD6" w:rsidR="00A453C3" w:rsidRPr="00707120" w:rsidRDefault="00A453C3" w:rsidP="00A453C3">
      <w:pPr>
        <w:keepNext/>
        <w:rPr>
          <w:i/>
          <w:iCs/>
          <w:szCs w:val="22"/>
          <w:lang w:val="lv-LV"/>
        </w:rPr>
      </w:pPr>
      <w:r w:rsidRPr="00707120">
        <w:rPr>
          <w:i/>
          <w:iCs/>
          <w:szCs w:val="22"/>
          <w:lang w:val="lv-LV"/>
        </w:rPr>
        <w:t>Pacienti ar RA vai GCA</w:t>
      </w:r>
    </w:p>
    <w:p w14:paraId="5014E47B" w14:textId="1BE8D780" w:rsidR="00A453C3" w:rsidRPr="00707120" w:rsidRDefault="00A453C3" w:rsidP="00A453C3">
      <w:pPr>
        <w:keepNext/>
        <w:rPr>
          <w:bCs/>
          <w:i/>
          <w:iCs/>
          <w:u w:val="single"/>
          <w:lang w:val="lv-LV"/>
        </w:rPr>
      </w:pPr>
      <w:r w:rsidRPr="00707120">
        <w:rPr>
          <w:i/>
          <w:iCs/>
          <w:szCs w:val="22"/>
          <w:u w:val="single"/>
          <w:lang w:val="lv-LV"/>
        </w:rPr>
        <w:t>Devas pielāgošana laboratorisko izmeklējumu rezultātu noviržu dēļ (skatīt 4.4. apakšpunktu).</w:t>
      </w:r>
    </w:p>
    <w:p w14:paraId="4C8E1FD2" w14:textId="77777777" w:rsidR="00A453C3" w:rsidRPr="00DD7A4F" w:rsidRDefault="00A453C3" w:rsidP="00A453C3">
      <w:pPr>
        <w:keepNext/>
        <w:ind w:left="567" w:hanging="567"/>
        <w:rPr>
          <w:bCs/>
          <w:u w:val="single"/>
          <w:lang w:val="lv-LV"/>
        </w:rPr>
      </w:pPr>
    </w:p>
    <w:p w14:paraId="03678CAA" w14:textId="09FAFDE2" w:rsidR="00A453C3" w:rsidRPr="00DE38E2" w:rsidRDefault="006334B7" w:rsidP="00707120">
      <w:pPr>
        <w:pStyle w:val="ListParagraph"/>
        <w:keepNext/>
        <w:ind w:left="567" w:hanging="567"/>
        <w:rPr>
          <w:szCs w:val="22"/>
          <w:lang w:val="lv-LV"/>
        </w:rPr>
      </w:pPr>
      <w:r>
        <w:rPr>
          <w:lang w:val="nb-NO"/>
        </w:rPr>
        <w:sym w:font="Symbol" w:char="F0B7"/>
      </w:r>
      <w:r>
        <w:rPr>
          <w:lang w:val="nb-NO"/>
        </w:rPr>
        <w:tab/>
      </w:r>
      <w:r w:rsidR="00A453C3" w:rsidRPr="00DE38E2">
        <w:rPr>
          <w:szCs w:val="22"/>
          <w:lang w:val="lv-LV"/>
        </w:rPr>
        <w:t xml:space="preserve">Aknu enzīmu </w:t>
      </w:r>
      <w:ins w:id="916" w:author="Regulatory LV" w:date="2026-03-17T11:33:00Z">
        <w:r w:rsidR="00D20F5A">
          <w:rPr>
            <w:szCs w:val="22"/>
            <w:lang w:val="lv-LV"/>
          </w:rPr>
          <w:t xml:space="preserve">līmeņa </w:t>
        </w:r>
      </w:ins>
      <w:r w:rsidR="00A453C3" w:rsidRPr="00DE38E2">
        <w:rPr>
          <w:szCs w:val="22"/>
          <w:lang w:val="lv-LV"/>
        </w:rPr>
        <w:t>patoloģi</w:t>
      </w:r>
      <w:ins w:id="917" w:author="Regulatory LV" w:date="2026-03-17T11:33:00Z">
        <w:r w:rsidR="00D20F5A">
          <w:rPr>
            <w:szCs w:val="22"/>
            <w:lang w:val="lv-LV"/>
          </w:rPr>
          <w:t>sk</w:t>
        </w:r>
      </w:ins>
      <w:del w:id="918" w:author="Regulatory LV" w:date="2026-03-17T11:33:00Z">
        <w:r w:rsidR="00A453C3" w:rsidRPr="00DE38E2" w:rsidDel="00D20F5A">
          <w:rPr>
            <w:szCs w:val="22"/>
            <w:lang w:val="lv-LV"/>
          </w:rPr>
          <w:delText>j</w:delText>
        </w:r>
      </w:del>
      <w:r w:rsidR="00A453C3" w:rsidRPr="00DE38E2">
        <w:rPr>
          <w:szCs w:val="22"/>
          <w:lang w:val="lv-LV"/>
        </w:rPr>
        <w:t>as</w:t>
      </w:r>
      <w:ins w:id="919" w:author="Regulatory LV" w:date="2026-03-17T11:33:00Z">
        <w:r w:rsidR="00D20F5A">
          <w:rPr>
            <w:szCs w:val="22"/>
            <w:lang w:val="lv-LV"/>
          </w:rPr>
          <w:t xml:space="preserve"> izmaiņas</w:t>
        </w:r>
      </w:ins>
    </w:p>
    <w:p w14:paraId="368C1346" w14:textId="77777777" w:rsidR="00A453C3" w:rsidRPr="00DD7A4F" w:rsidRDefault="00A453C3" w:rsidP="00A453C3">
      <w:pPr>
        <w:keepNext/>
        <w:rPr>
          <w:szCs w:val="22"/>
          <w:lang w:val="lv-LV"/>
        </w:rPr>
      </w:pPr>
    </w:p>
    <w:tbl>
      <w:tblPr>
        <w:tblW w:w="9356" w:type="dxa"/>
        <w:tblInd w:w="-5" w:type="dxa"/>
        <w:tblLayout w:type="fixed"/>
        <w:tblLook w:val="0000" w:firstRow="0" w:lastRow="0" w:firstColumn="0" w:lastColumn="0" w:noHBand="0" w:noVBand="0"/>
      </w:tblPr>
      <w:tblGrid>
        <w:gridCol w:w="2268"/>
        <w:gridCol w:w="7088"/>
      </w:tblGrid>
      <w:tr w:rsidR="00A453C3" w:rsidRPr="00DD7A4F" w14:paraId="748644F1" w14:textId="77777777" w:rsidTr="00707120">
        <w:tc>
          <w:tcPr>
            <w:tcW w:w="2268" w:type="dxa"/>
            <w:tcBorders>
              <w:top w:val="single" w:sz="4" w:space="0" w:color="000000"/>
              <w:left w:val="single" w:sz="4" w:space="0" w:color="000000"/>
              <w:bottom w:val="single" w:sz="4" w:space="0" w:color="000000"/>
            </w:tcBorders>
          </w:tcPr>
          <w:p w14:paraId="36CC4324" w14:textId="77777777" w:rsidR="00A453C3" w:rsidRPr="00DD7A4F" w:rsidRDefault="00A453C3" w:rsidP="0067693D">
            <w:pPr>
              <w:keepNext/>
              <w:spacing w:after="170" w:line="280" w:lineRule="atLeast"/>
              <w:jc w:val="center"/>
              <w:rPr>
                <w:szCs w:val="22"/>
                <w:lang w:val="lv-LV"/>
              </w:rPr>
            </w:pPr>
            <w:r w:rsidRPr="00DD7A4F">
              <w:rPr>
                <w:szCs w:val="22"/>
                <w:lang w:val="lv-LV"/>
              </w:rPr>
              <w:t>Laboratorisko izmeklējumu rezultāti</w:t>
            </w:r>
          </w:p>
        </w:tc>
        <w:tc>
          <w:tcPr>
            <w:tcW w:w="7088" w:type="dxa"/>
            <w:tcBorders>
              <w:top w:val="single" w:sz="4" w:space="0" w:color="000000"/>
              <w:left w:val="single" w:sz="4" w:space="0" w:color="000000"/>
              <w:bottom w:val="single" w:sz="4" w:space="0" w:color="000000"/>
              <w:right w:val="single" w:sz="4" w:space="0" w:color="000000"/>
            </w:tcBorders>
          </w:tcPr>
          <w:p w14:paraId="55388655" w14:textId="77777777" w:rsidR="00A453C3" w:rsidRPr="00DD7A4F" w:rsidRDefault="00A453C3" w:rsidP="0067693D">
            <w:pPr>
              <w:keepNext/>
              <w:spacing w:after="170" w:line="280" w:lineRule="atLeast"/>
              <w:jc w:val="center"/>
              <w:rPr>
                <w:szCs w:val="22"/>
                <w:lang w:val="lv-LV"/>
              </w:rPr>
            </w:pPr>
            <w:r w:rsidRPr="00DD7A4F">
              <w:rPr>
                <w:szCs w:val="22"/>
                <w:lang w:val="lv-LV"/>
              </w:rPr>
              <w:t>Rīcība</w:t>
            </w:r>
          </w:p>
        </w:tc>
      </w:tr>
      <w:tr w:rsidR="00A453C3" w:rsidRPr="00903A29" w14:paraId="21AFCC46" w14:textId="77777777" w:rsidTr="00707120">
        <w:tc>
          <w:tcPr>
            <w:tcW w:w="2268" w:type="dxa"/>
            <w:tcBorders>
              <w:top w:val="single" w:sz="4" w:space="0" w:color="000000"/>
              <w:left w:val="single" w:sz="4" w:space="0" w:color="000000"/>
              <w:bottom w:val="single" w:sz="4" w:space="0" w:color="000000"/>
            </w:tcBorders>
          </w:tcPr>
          <w:p w14:paraId="5E0FB820" w14:textId="7B7810A9" w:rsidR="00A453C3" w:rsidRPr="00DD7A4F" w:rsidRDefault="00A453C3" w:rsidP="0067693D">
            <w:pPr>
              <w:spacing w:after="170" w:line="280" w:lineRule="atLeast"/>
              <w:rPr>
                <w:szCs w:val="22"/>
                <w:lang w:val="lv-LV"/>
              </w:rPr>
            </w:pPr>
            <w:r w:rsidRPr="00DD7A4F">
              <w:rPr>
                <w:szCs w:val="22"/>
                <w:lang w:val="lv-LV"/>
              </w:rPr>
              <w:t>&gt;</w:t>
            </w:r>
            <w:r>
              <w:rPr>
                <w:szCs w:val="22"/>
                <w:lang w:val="lv-LV"/>
              </w:rPr>
              <w:t> </w:t>
            </w:r>
            <w:r w:rsidRPr="00DD7A4F">
              <w:rPr>
                <w:szCs w:val="22"/>
                <w:lang w:val="lv-LV"/>
              </w:rPr>
              <w:t>1</w:t>
            </w:r>
            <w:r>
              <w:rPr>
                <w:szCs w:val="22"/>
                <w:lang w:val="lv-LV"/>
              </w:rPr>
              <w:noBreakHyphen/>
            </w:r>
            <w:r w:rsidRPr="00DD7A4F">
              <w:rPr>
                <w:szCs w:val="22"/>
                <w:lang w:val="lv-LV"/>
              </w:rPr>
              <w:t>3</w:t>
            </w:r>
            <w:r>
              <w:rPr>
                <w:szCs w:val="22"/>
                <w:lang w:val="lv-LV"/>
              </w:rPr>
              <w:t> </w:t>
            </w:r>
            <w:r w:rsidRPr="00DD7A4F">
              <w:rPr>
                <w:szCs w:val="22"/>
                <w:lang w:val="lv-LV"/>
              </w:rPr>
              <w:t>reizes pārsniedz normas augšējo robežu (NAR)</w:t>
            </w:r>
          </w:p>
        </w:tc>
        <w:tc>
          <w:tcPr>
            <w:tcW w:w="7088" w:type="dxa"/>
            <w:tcBorders>
              <w:top w:val="single" w:sz="4" w:space="0" w:color="000000"/>
              <w:left w:val="single" w:sz="4" w:space="0" w:color="000000"/>
              <w:bottom w:val="single" w:sz="4" w:space="0" w:color="000000"/>
              <w:right w:val="single" w:sz="4" w:space="0" w:color="000000"/>
            </w:tcBorders>
          </w:tcPr>
          <w:p w14:paraId="1C179718" w14:textId="48240F84" w:rsidR="00A453C3" w:rsidRPr="00DD7A4F" w:rsidRDefault="00A453C3" w:rsidP="00707120">
            <w:pPr>
              <w:rPr>
                <w:szCs w:val="22"/>
                <w:lang w:val="lv-LV"/>
              </w:rPr>
            </w:pPr>
            <w:r w:rsidRPr="00DD7A4F">
              <w:rPr>
                <w:szCs w:val="22"/>
                <w:lang w:val="lv-LV"/>
              </w:rPr>
              <w:t>Ja nepieciešams, jāmaina vienlaikus lietoto DMARD</w:t>
            </w:r>
            <w:r w:rsidRPr="00DD7A4F">
              <w:rPr>
                <w:rFonts w:eastAsia="PMingLiU"/>
                <w:szCs w:val="22"/>
                <w:lang w:val="lv-LV"/>
              </w:rPr>
              <w:t xml:space="preserve"> (RA) vai imūnmodulatoru (GCA) deva.</w:t>
            </w:r>
          </w:p>
          <w:p w14:paraId="500C23AC" w14:textId="42EF7A2D" w:rsidR="00A453C3" w:rsidRPr="00DD7A4F" w:rsidRDefault="00A453C3" w:rsidP="00707120">
            <w:pPr>
              <w:rPr>
                <w:szCs w:val="22"/>
                <w:lang w:val="lv-LV"/>
              </w:rPr>
            </w:pPr>
            <w:r w:rsidRPr="00DD7A4F">
              <w:rPr>
                <w:szCs w:val="22"/>
                <w:lang w:val="lv-LV"/>
              </w:rPr>
              <w:t xml:space="preserve">Gadījumos, kad pieaugums saglabājas šajās robežās, </w:t>
            </w:r>
            <w:r>
              <w:rPr>
                <w:szCs w:val="22"/>
                <w:lang w:val="lv-LV"/>
              </w:rPr>
              <w:t>tocilizumaba</w:t>
            </w:r>
            <w:r w:rsidRPr="00DD7A4F">
              <w:rPr>
                <w:szCs w:val="22"/>
                <w:lang w:val="lv-LV"/>
              </w:rPr>
              <w:t xml:space="preserve"> devas lietošanas biežums ir jāsamazina līdz vienai injekcijai reizi divās nedēļās vai </w:t>
            </w:r>
            <w:r>
              <w:rPr>
                <w:szCs w:val="22"/>
                <w:lang w:val="lv-LV"/>
              </w:rPr>
              <w:t>terapija ir uz laiku</w:t>
            </w:r>
            <w:r w:rsidRPr="00DD7A4F">
              <w:rPr>
                <w:szCs w:val="22"/>
                <w:lang w:val="lv-LV"/>
              </w:rPr>
              <w:t xml:space="preserve"> jāpārtrauc, līdz alanīnaminotransferāzes (ALAT) vai aspartātaminotransferāzes (ASAT) līmenis normalizējas. </w:t>
            </w:r>
          </w:p>
          <w:p w14:paraId="7CC160E9" w14:textId="77777777" w:rsidR="00A453C3" w:rsidRPr="00DD7A4F" w:rsidRDefault="00A453C3" w:rsidP="00707120">
            <w:pPr>
              <w:rPr>
                <w:szCs w:val="22"/>
                <w:lang w:val="lv-LV"/>
              </w:rPr>
            </w:pPr>
            <w:r w:rsidRPr="00DD7A4F">
              <w:rPr>
                <w:szCs w:val="22"/>
                <w:lang w:val="lv-LV"/>
              </w:rPr>
              <w:t>Terapiju atsāk ar injekciju reizi nedēļā vai reizi divās nedēļās (kas klīniski piemērotāks).</w:t>
            </w:r>
          </w:p>
        </w:tc>
      </w:tr>
      <w:tr w:rsidR="00A453C3" w:rsidRPr="00903A29" w14:paraId="67F595A4" w14:textId="77777777" w:rsidTr="00707120">
        <w:tc>
          <w:tcPr>
            <w:tcW w:w="2268" w:type="dxa"/>
            <w:tcBorders>
              <w:top w:val="single" w:sz="4" w:space="0" w:color="000000"/>
              <w:left w:val="single" w:sz="4" w:space="0" w:color="000000"/>
              <w:bottom w:val="single" w:sz="4" w:space="0" w:color="000000"/>
            </w:tcBorders>
          </w:tcPr>
          <w:p w14:paraId="55C3A1EA" w14:textId="6D70EBB2" w:rsidR="00A453C3" w:rsidRPr="00DD7A4F" w:rsidRDefault="00A453C3" w:rsidP="0067693D">
            <w:pPr>
              <w:spacing w:after="170" w:line="280" w:lineRule="atLeast"/>
              <w:rPr>
                <w:szCs w:val="22"/>
                <w:lang w:val="lv-LV"/>
              </w:rPr>
            </w:pPr>
            <w:r w:rsidRPr="00DD7A4F">
              <w:rPr>
                <w:szCs w:val="22"/>
                <w:lang w:val="lv-LV"/>
              </w:rPr>
              <w:t>&gt;</w:t>
            </w:r>
            <w:r>
              <w:rPr>
                <w:szCs w:val="22"/>
                <w:lang w:val="lv-LV"/>
              </w:rPr>
              <w:t> </w:t>
            </w:r>
            <w:r w:rsidRPr="00DD7A4F">
              <w:rPr>
                <w:szCs w:val="22"/>
                <w:lang w:val="lv-LV"/>
              </w:rPr>
              <w:t>3</w:t>
            </w:r>
            <w:r>
              <w:rPr>
                <w:szCs w:val="22"/>
                <w:lang w:val="lv-LV"/>
              </w:rPr>
              <w:noBreakHyphen/>
            </w:r>
            <w:r w:rsidRPr="00DD7A4F">
              <w:rPr>
                <w:szCs w:val="22"/>
                <w:lang w:val="lv-LV"/>
              </w:rPr>
              <w:t>5</w:t>
            </w:r>
            <w:r>
              <w:rPr>
                <w:szCs w:val="22"/>
                <w:lang w:val="lv-LV"/>
              </w:rPr>
              <w:t> </w:t>
            </w:r>
            <w:r w:rsidRPr="00DD7A4F">
              <w:rPr>
                <w:szCs w:val="22"/>
                <w:lang w:val="lv-LV"/>
              </w:rPr>
              <w:t>reizes pārsniedz NAR</w:t>
            </w:r>
          </w:p>
        </w:tc>
        <w:tc>
          <w:tcPr>
            <w:tcW w:w="7088" w:type="dxa"/>
            <w:tcBorders>
              <w:top w:val="single" w:sz="4" w:space="0" w:color="000000"/>
              <w:left w:val="single" w:sz="4" w:space="0" w:color="000000"/>
              <w:bottom w:val="single" w:sz="4" w:space="0" w:color="000000"/>
              <w:right w:val="single" w:sz="4" w:space="0" w:color="000000"/>
            </w:tcBorders>
          </w:tcPr>
          <w:p w14:paraId="4D27819F" w14:textId="0F53BA21" w:rsidR="00A453C3" w:rsidRPr="00DD7A4F" w:rsidRDefault="00A453C3" w:rsidP="00707120">
            <w:pPr>
              <w:rPr>
                <w:szCs w:val="22"/>
                <w:lang w:val="lv-LV"/>
              </w:rPr>
            </w:pPr>
            <w:r>
              <w:rPr>
                <w:szCs w:val="22"/>
                <w:lang w:val="lv-LV"/>
              </w:rPr>
              <w:t>Terapija</w:t>
            </w:r>
            <w:r w:rsidRPr="00DD7A4F">
              <w:rPr>
                <w:szCs w:val="22"/>
                <w:lang w:val="lv-LV"/>
              </w:rPr>
              <w:t xml:space="preserve"> ir </w:t>
            </w:r>
            <w:r>
              <w:rPr>
                <w:szCs w:val="22"/>
                <w:lang w:val="lv-LV"/>
              </w:rPr>
              <w:t xml:space="preserve">uz laiku </w:t>
            </w:r>
            <w:r w:rsidRPr="00DD7A4F">
              <w:rPr>
                <w:szCs w:val="22"/>
                <w:lang w:val="lv-LV"/>
              </w:rPr>
              <w:t>jāpārtrauc, līdz NAR ir pārsniegta mazāk nekā 3</w:t>
            </w:r>
            <w:r>
              <w:rPr>
                <w:szCs w:val="22"/>
                <w:lang w:val="lv-LV"/>
              </w:rPr>
              <w:t> </w:t>
            </w:r>
            <w:r w:rsidRPr="00DD7A4F">
              <w:rPr>
                <w:szCs w:val="22"/>
                <w:lang w:val="lv-LV"/>
              </w:rPr>
              <w:t>reizes, un jāievēro augstākminētie ieteikumi</w:t>
            </w:r>
            <w:r>
              <w:rPr>
                <w:szCs w:val="22"/>
                <w:lang w:val="lv-LV"/>
              </w:rPr>
              <w:t xml:space="preserve"> gadījumiem</w:t>
            </w:r>
            <w:r w:rsidRPr="00DD7A4F">
              <w:rPr>
                <w:szCs w:val="22"/>
                <w:lang w:val="lv-LV"/>
              </w:rPr>
              <w:t>, ja NAR pārsniegta vairāk nekā 1</w:t>
            </w:r>
            <w:r>
              <w:rPr>
                <w:szCs w:val="22"/>
                <w:lang w:val="lv-LV"/>
              </w:rPr>
              <w:noBreakHyphen/>
            </w:r>
            <w:r w:rsidRPr="00DD7A4F">
              <w:rPr>
                <w:szCs w:val="22"/>
                <w:lang w:val="lv-LV"/>
              </w:rPr>
              <w:t>3</w:t>
            </w:r>
            <w:r>
              <w:rPr>
                <w:szCs w:val="22"/>
                <w:lang w:val="lv-LV"/>
              </w:rPr>
              <w:t> </w:t>
            </w:r>
            <w:r w:rsidRPr="00DD7A4F">
              <w:rPr>
                <w:szCs w:val="22"/>
                <w:lang w:val="lv-LV"/>
              </w:rPr>
              <w:t>reizes.</w:t>
            </w:r>
          </w:p>
          <w:p w14:paraId="7FA49503" w14:textId="2D066E0F" w:rsidR="00A453C3" w:rsidRPr="00DD7A4F" w:rsidRDefault="00A453C3" w:rsidP="00707120">
            <w:pPr>
              <w:rPr>
                <w:szCs w:val="22"/>
                <w:lang w:val="lv-LV"/>
              </w:rPr>
            </w:pPr>
            <w:r w:rsidRPr="00DD7A4F">
              <w:rPr>
                <w:szCs w:val="22"/>
                <w:lang w:val="lv-LV"/>
              </w:rPr>
              <w:t>Ja NAR nepārtraukti ir pārsniegta vairāk nekā 3</w:t>
            </w:r>
            <w:r>
              <w:rPr>
                <w:szCs w:val="22"/>
                <w:lang w:val="lv-LV"/>
              </w:rPr>
              <w:t> </w:t>
            </w:r>
            <w:r w:rsidRPr="00DD7A4F">
              <w:rPr>
                <w:szCs w:val="22"/>
                <w:lang w:val="lv-LV"/>
              </w:rPr>
              <w:t xml:space="preserve">reizes (kas apstiprināts atkārtotās analīzēs, skatīt 4.4. apakšpunktu), </w:t>
            </w:r>
            <w:r>
              <w:rPr>
                <w:szCs w:val="22"/>
                <w:lang w:val="lv-LV"/>
              </w:rPr>
              <w:t>terapija</w:t>
            </w:r>
            <w:r w:rsidRPr="00DD7A4F">
              <w:rPr>
                <w:szCs w:val="22"/>
                <w:lang w:val="lv-LV"/>
              </w:rPr>
              <w:t xml:space="preserve"> ir </w:t>
            </w:r>
            <w:r>
              <w:rPr>
                <w:szCs w:val="22"/>
                <w:lang w:val="lv-LV"/>
              </w:rPr>
              <w:t xml:space="preserve">pilnīgi </w:t>
            </w:r>
            <w:r w:rsidRPr="00DD7A4F">
              <w:rPr>
                <w:szCs w:val="22"/>
                <w:lang w:val="lv-LV"/>
              </w:rPr>
              <w:t>jāpārtrauc.</w:t>
            </w:r>
          </w:p>
        </w:tc>
      </w:tr>
      <w:tr w:rsidR="00A453C3" w:rsidRPr="00DD7A4F" w14:paraId="2148C69C" w14:textId="77777777" w:rsidTr="00707120">
        <w:tc>
          <w:tcPr>
            <w:tcW w:w="2268" w:type="dxa"/>
            <w:tcBorders>
              <w:top w:val="single" w:sz="4" w:space="0" w:color="000000"/>
              <w:left w:val="single" w:sz="4" w:space="0" w:color="000000"/>
              <w:bottom w:val="single" w:sz="4" w:space="0" w:color="000000"/>
            </w:tcBorders>
          </w:tcPr>
          <w:p w14:paraId="537A90AA" w14:textId="590AD5DD" w:rsidR="00A453C3" w:rsidRPr="00DD7A4F" w:rsidRDefault="00A453C3" w:rsidP="0067693D">
            <w:pPr>
              <w:spacing w:after="170" w:line="280" w:lineRule="atLeast"/>
              <w:rPr>
                <w:szCs w:val="22"/>
                <w:lang w:val="lv-LV"/>
              </w:rPr>
            </w:pPr>
            <w:r w:rsidRPr="00DD7A4F">
              <w:rPr>
                <w:szCs w:val="22"/>
                <w:lang w:val="lv-LV"/>
              </w:rPr>
              <w:t>&gt;</w:t>
            </w:r>
            <w:r>
              <w:rPr>
                <w:szCs w:val="22"/>
                <w:lang w:val="lv-LV"/>
              </w:rPr>
              <w:t> </w:t>
            </w:r>
            <w:r w:rsidRPr="00DD7A4F">
              <w:rPr>
                <w:szCs w:val="22"/>
                <w:lang w:val="lv-LV"/>
              </w:rPr>
              <w:t>5</w:t>
            </w:r>
            <w:r>
              <w:rPr>
                <w:szCs w:val="22"/>
                <w:lang w:val="lv-LV"/>
              </w:rPr>
              <w:t> </w:t>
            </w:r>
            <w:r w:rsidRPr="00DD7A4F">
              <w:rPr>
                <w:szCs w:val="22"/>
                <w:lang w:val="lv-LV"/>
              </w:rPr>
              <w:t>reizes pārsniedz NAR</w:t>
            </w:r>
          </w:p>
        </w:tc>
        <w:tc>
          <w:tcPr>
            <w:tcW w:w="7088" w:type="dxa"/>
            <w:tcBorders>
              <w:top w:val="single" w:sz="4" w:space="0" w:color="000000"/>
              <w:left w:val="single" w:sz="4" w:space="0" w:color="000000"/>
              <w:bottom w:val="single" w:sz="4" w:space="0" w:color="000000"/>
              <w:right w:val="single" w:sz="4" w:space="0" w:color="000000"/>
            </w:tcBorders>
          </w:tcPr>
          <w:p w14:paraId="200CACAA" w14:textId="0FBB632B" w:rsidR="00A453C3" w:rsidRPr="00DD7A4F" w:rsidRDefault="00A453C3" w:rsidP="00707120">
            <w:pPr>
              <w:rPr>
                <w:sz w:val="24"/>
                <w:szCs w:val="24"/>
              </w:rPr>
            </w:pPr>
            <w:r>
              <w:rPr>
                <w:szCs w:val="22"/>
                <w:lang w:val="lv-LV"/>
              </w:rPr>
              <w:t>Terapija</w:t>
            </w:r>
            <w:r w:rsidRPr="00DD7A4F">
              <w:rPr>
                <w:szCs w:val="22"/>
                <w:lang w:val="lv-LV"/>
              </w:rPr>
              <w:t xml:space="preserve"> ir </w:t>
            </w:r>
            <w:r>
              <w:rPr>
                <w:szCs w:val="22"/>
                <w:lang w:val="lv-LV"/>
              </w:rPr>
              <w:t xml:space="preserve">pilnīgi </w:t>
            </w:r>
            <w:r w:rsidRPr="00DD7A4F">
              <w:rPr>
                <w:szCs w:val="22"/>
                <w:lang w:val="lv-LV"/>
              </w:rPr>
              <w:t>jāpārtrauc.</w:t>
            </w:r>
          </w:p>
        </w:tc>
      </w:tr>
    </w:tbl>
    <w:p w14:paraId="7FF801C5" w14:textId="77777777" w:rsidR="00A453C3" w:rsidRPr="00DD7A4F" w:rsidRDefault="00A453C3" w:rsidP="00A453C3"/>
    <w:p w14:paraId="6868DE1F" w14:textId="58759459" w:rsidR="00A453C3" w:rsidRPr="002F159A" w:rsidRDefault="006334B7" w:rsidP="00707120">
      <w:pPr>
        <w:pStyle w:val="ListParagraph"/>
        <w:keepNext/>
        <w:keepLines/>
        <w:ind w:left="567" w:hanging="567"/>
        <w:rPr>
          <w:lang w:val="lv-LV"/>
        </w:rPr>
      </w:pPr>
      <w:r>
        <w:rPr>
          <w:lang w:val="nb-NO"/>
        </w:rPr>
        <w:sym w:font="Symbol" w:char="F0B7"/>
      </w:r>
      <w:r>
        <w:rPr>
          <w:lang w:val="nb-NO"/>
        </w:rPr>
        <w:tab/>
      </w:r>
      <w:r w:rsidR="00A453C3" w:rsidRPr="002F159A">
        <w:rPr>
          <w:lang w:val="lv-LV"/>
        </w:rPr>
        <w:t>Samazināts absolūtais neitrofilo leikocītu skaits (ANS)</w:t>
      </w:r>
    </w:p>
    <w:p w14:paraId="1A1E3956" w14:textId="77777777" w:rsidR="00A453C3" w:rsidRPr="00DD7A4F" w:rsidRDefault="00A453C3" w:rsidP="00A453C3">
      <w:pPr>
        <w:keepNext/>
        <w:keepLines/>
        <w:rPr>
          <w:lang w:val="lv-LV"/>
        </w:rPr>
      </w:pPr>
    </w:p>
    <w:p w14:paraId="148A4534" w14:textId="461B1ED0" w:rsidR="00A453C3" w:rsidRPr="00DD7A4F" w:rsidRDefault="00A453C3" w:rsidP="00A453C3">
      <w:pPr>
        <w:keepNext/>
        <w:keepLines/>
        <w:rPr>
          <w:lang w:val="lv-LV"/>
        </w:rPr>
      </w:pPr>
      <w:r w:rsidRPr="00DD7A4F">
        <w:rPr>
          <w:szCs w:val="22"/>
          <w:lang w:val="lv-LV"/>
        </w:rPr>
        <w:t xml:space="preserve">Pacientiem, kuri ar </w:t>
      </w:r>
      <w:r>
        <w:rPr>
          <w:szCs w:val="22"/>
          <w:lang w:val="lv-LV"/>
        </w:rPr>
        <w:t>tocilizumabu</w:t>
      </w:r>
      <w:r w:rsidRPr="00DD7A4F">
        <w:rPr>
          <w:szCs w:val="22"/>
          <w:lang w:val="lv-LV"/>
        </w:rPr>
        <w:t xml:space="preserve"> agrāk nav ārstēti, sākt zāļu lietošanu nav ieteicams, ja </w:t>
      </w:r>
      <w:r w:rsidR="00C52275">
        <w:rPr>
          <w:szCs w:val="22"/>
          <w:lang w:val="lv-LV"/>
        </w:rPr>
        <w:t>ANS</w:t>
      </w:r>
      <w:r w:rsidRPr="00DD7A4F">
        <w:rPr>
          <w:szCs w:val="22"/>
          <w:lang w:val="lv-LV"/>
        </w:rPr>
        <w:t xml:space="preserve"> ir mazāks par 2 </w:t>
      </w:r>
      <w:r>
        <w:rPr>
          <w:szCs w:val="22"/>
          <w:lang w:val="lv-LV"/>
        </w:rPr>
        <w:t>×</w:t>
      </w:r>
      <w:r w:rsidRPr="00DD7A4F">
        <w:rPr>
          <w:szCs w:val="22"/>
          <w:lang w:val="lv-LV"/>
        </w:rPr>
        <w:t> 10</w:t>
      </w:r>
      <w:r w:rsidRPr="00DD7A4F">
        <w:rPr>
          <w:szCs w:val="22"/>
          <w:vertAlign w:val="superscript"/>
          <w:lang w:val="lv-LV"/>
        </w:rPr>
        <w:t>9</w:t>
      </w:r>
      <w:r w:rsidRPr="00DD7A4F">
        <w:rPr>
          <w:szCs w:val="22"/>
          <w:lang w:val="lv-LV"/>
        </w:rPr>
        <w:t>/l.</w:t>
      </w:r>
    </w:p>
    <w:p w14:paraId="178D8EC5" w14:textId="77777777" w:rsidR="00A453C3" w:rsidRPr="00DD7A4F" w:rsidRDefault="00A453C3" w:rsidP="00A453C3">
      <w:pPr>
        <w:keepNext/>
        <w:keepLines/>
        <w:rPr>
          <w:lang w:val="lv-LV"/>
        </w:rPr>
      </w:pPr>
    </w:p>
    <w:tbl>
      <w:tblPr>
        <w:tblW w:w="9082" w:type="dxa"/>
        <w:tblInd w:w="-15" w:type="dxa"/>
        <w:tblLayout w:type="fixed"/>
        <w:tblLook w:val="0000" w:firstRow="0" w:lastRow="0" w:firstColumn="0" w:lastColumn="0" w:noHBand="0" w:noVBand="0"/>
      </w:tblPr>
      <w:tblGrid>
        <w:gridCol w:w="2327"/>
        <w:gridCol w:w="6755"/>
      </w:tblGrid>
      <w:tr w:rsidR="00A453C3" w:rsidRPr="00DD7A4F" w14:paraId="5C09F6D0" w14:textId="77777777" w:rsidTr="00707120">
        <w:tc>
          <w:tcPr>
            <w:tcW w:w="2327" w:type="dxa"/>
            <w:tcBorders>
              <w:top w:val="single" w:sz="4" w:space="0" w:color="000000"/>
              <w:left w:val="single" w:sz="4" w:space="0" w:color="000000"/>
              <w:bottom w:val="single" w:sz="4" w:space="0" w:color="000000"/>
            </w:tcBorders>
          </w:tcPr>
          <w:p w14:paraId="2CAADBDB" w14:textId="6F03E0B9" w:rsidR="00A453C3" w:rsidRPr="00DD7A4F" w:rsidRDefault="00A453C3" w:rsidP="0067693D">
            <w:pPr>
              <w:keepNext/>
              <w:keepLines/>
              <w:spacing w:after="170" w:line="280" w:lineRule="atLeast"/>
              <w:jc w:val="center"/>
              <w:rPr>
                <w:szCs w:val="22"/>
                <w:lang w:val="lv-LV"/>
              </w:rPr>
            </w:pPr>
            <w:r w:rsidRPr="00DD7A4F">
              <w:rPr>
                <w:szCs w:val="22"/>
                <w:lang w:val="lv-LV"/>
              </w:rPr>
              <w:t>Laboratorisko izmeklējumu rezultāti</w:t>
            </w:r>
            <w:r w:rsidRPr="00DD7A4F">
              <w:rPr>
                <w:szCs w:val="22"/>
                <w:lang w:val="lv-LV"/>
              </w:rPr>
              <w:br/>
              <w:t>(šūnas</w:t>
            </w:r>
            <w:r>
              <w:rPr>
                <w:szCs w:val="22"/>
                <w:lang w:val="lv-LV"/>
              </w:rPr>
              <w:t> × </w:t>
            </w:r>
            <w:r w:rsidRPr="00DD7A4F">
              <w:rPr>
                <w:szCs w:val="22"/>
                <w:lang w:val="lv-LV"/>
              </w:rPr>
              <w:t>10</w:t>
            </w:r>
            <w:r w:rsidRPr="00DD7A4F">
              <w:rPr>
                <w:szCs w:val="22"/>
                <w:vertAlign w:val="superscript"/>
                <w:lang w:val="lv-LV"/>
              </w:rPr>
              <w:t>9</w:t>
            </w:r>
            <w:r w:rsidRPr="00DD7A4F">
              <w:rPr>
                <w:szCs w:val="22"/>
                <w:lang w:val="lv-LV"/>
              </w:rPr>
              <w:t>/l)</w:t>
            </w:r>
          </w:p>
        </w:tc>
        <w:tc>
          <w:tcPr>
            <w:tcW w:w="6755" w:type="dxa"/>
            <w:tcBorders>
              <w:top w:val="single" w:sz="4" w:space="0" w:color="000000"/>
              <w:left w:val="single" w:sz="4" w:space="0" w:color="000000"/>
              <w:bottom w:val="single" w:sz="4" w:space="0" w:color="000000"/>
              <w:right w:val="single" w:sz="4" w:space="0" w:color="000000"/>
            </w:tcBorders>
          </w:tcPr>
          <w:p w14:paraId="31C1348E" w14:textId="77777777" w:rsidR="00A453C3" w:rsidRPr="00DD7A4F" w:rsidRDefault="00A453C3" w:rsidP="0067693D">
            <w:pPr>
              <w:keepNext/>
              <w:keepLines/>
              <w:spacing w:after="170" w:line="280" w:lineRule="atLeast"/>
              <w:jc w:val="center"/>
              <w:rPr>
                <w:szCs w:val="22"/>
                <w:lang w:val="lv-LV"/>
              </w:rPr>
            </w:pPr>
            <w:r w:rsidRPr="00DD7A4F">
              <w:rPr>
                <w:szCs w:val="22"/>
                <w:lang w:val="lv-LV"/>
              </w:rPr>
              <w:t>Rīcība</w:t>
            </w:r>
          </w:p>
        </w:tc>
      </w:tr>
      <w:tr w:rsidR="00A453C3" w:rsidRPr="00DD7A4F" w14:paraId="08526731" w14:textId="77777777" w:rsidTr="00707120">
        <w:tc>
          <w:tcPr>
            <w:tcW w:w="2327" w:type="dxa"/>
            <w:tcBorders>
              <w:top w:val="single" w:sz="4" w:space="0" w:color="000000"/>
              <w:left w:val="single" w:sz="4" w:space="0" w:color="000000"/>
              <w:bottom w:val="single" w:sz="4" w:space="0" w:color="000000"/>
            </w:tcBorders>
          </w:tcPr>
          <w:p w14:paraId="054E717E" w14:textId="77777777" w:rsidR="00A453C3" w:rsidRPr="002F159A" w:rsidRDefault="00A453C3" w:rsidP="0067693D">
            <w:pPr>
              <w:keepNext/>
              <w:keepLines/>
              <w:spacing w:after="170" w:line="280" w:lineRule="atLeast"/>
              <w:rPr>
                <w:szCs w:val="22"/>
                <w:lang w:val="lv-LV"/>
              </w:rPr>
            </w:pPr>
            <w:r w:rsidRPr="002F159A">
              <w:rPr>
                <w:szCs w:val="22"/>
                <w:lang w:val="lv-LV"/>
              </w:rPr>
              <w:t>ANS ir &gt; 1</w:t>
            </w:r>
          </w:p>
        </w:tc>
        <w:tc>
          <w:tcPr>
            <w:tcW w:w="6755" w:type="dxa"/>
            <w:tcBorders>
              <w:top w:val="single" w:sz="4" w:space="0" w:color="000000"/>
              <w:left w:val="single" w:sz="4" w:space="0" w:color="000000"/>
              <w:bottom w:val="single" w:sz="4" w:space="0" w:color="000000"/>
              <w:right w:val="single" w:sz="4" w:space="0" w:color="000000"/>
            </w:tcBorders>
          </w:tcPr>
          <w:p w14:paraId="2D649FC7" w14:textId="77777777" w:rsidR="00A453C3" w:rsidRPr="00DD7A4F" w:rsidRDefault="00A453C3" w:rsidP="0067693D">
            <w:pPr>
              <w:keepNext/>
              <w:keepLines/>
              <w:spacing w:after="170" w:line="280" w:lineRule="atLeast"/>
              <w:jc w:val="both"/>
              <w:rPr>
                <w:szCs w:val="22"/>
                <w:lang w:val="lv-LV"/>
              </w:rPr>
            </w:pPr>
            <w:r w:rsidRPr="00DD7A4F">
              <w:rPr>
                <w:szCs w:val="22"/>
                <w:lang w:val="lv-LV"/>
              </w:rPr>
              <w:t>Deva nav jāmaina.</w:t>
            </w:r>
          </w:p>
        </w:tc>
      </w:tr>
      <w:tr w:rsidR="00A453C3" w:rsidRPr="00903A29" w14:paraId="7CFE8A57" w14:textId="77777777" w:rsidTr="00707120">
        <w:tc>
          <w:tcPr>
            <w:tcW w:w="2327" w:type="dxa"/>
            <w:tcBorders>
              <w:top w:val="single" w:sz="4" w:space="0" w:color="000000"/>
              <w:left w:val="single" w:sz="4" w:space="0" w:color="000000"/>
              <w:bottom w:val="single" w:sz="4" w:space="0" w:color="000000"/>
            </w:tcBorders>
          </w:tcPr>
          <w:p w14:paraId="5C4D8ABB" w14:textId="2AF0E115" w:rsidR="00A453C3" w:rsidRPr="002F159A" w:rsidRDefault="00A453C3" w:rsidP="0067693D">
            <w:pPr>
              <w:keepNext/>
              <w:keepLines/>
              <w:spacing w:after="170" w:line="280" w:lineRule="atLeast"/>
              <w:rPr>
                <w:szCs w:val="22"/>
                <w:lang w:val="lv-LV"/>
              </w:rPr>
            </w:pPr>
            <w:r w:rsidRPr="002F159A">
              <w:rPr>
                <w:szCs w:val="22"/>
                <w:lang w:val="lv-LV"/>
              </w:rPr>
              <w:t>ANS</w:t>
            </w:r>
            <w:r w:rsidRPr="00707120">
              <w:rPr>
                <w:szCs w:val="22"/>
                <w:lang w:val="lv-LV"/>
              </w:rPr>
              <w:t xml:space="preserve"> ir 0,5</w:t>
            </w:r>
            <w:r>
              <w:rPr>
                <w:szCs w:val="22"/>
                <w:lang w:val="lv-LV"/>
              </w:rPr>
              <w:noBreakHyphen/>
            </w:r>
            <w:r w:rsidRPr="00707120">
              <w:rPr>
                <w:szCs w:val="22"/>
                <w:lang w:val="lv-LV"/>
              </w:rPr>
              <w:t>1</w:t>
            </w:r>
          </w:p>
        </w:tc>
        <w:tc>
          <w:tcPr>
            <w:tcW w:w="6755" w:type="dxa"/>
            <w:tcBorders>
              <w:top w:val="single" w:sz="4" w:space="0" w:color="000000"/>
              <w:left w:val="single" w:sz="4" w:space="0" w:color="000000"/>
              <w:bottom w:val="single" w:sz="4" w:space="0" w:color="000000"/>
              <w:right w:val="single" w:sz="4" w:space="0" w:color="000000"/>
            </w:tcBorders>
          </w:tcPr>
          <w:p w14:paraId="25D01029" w14:textId="75F7AFA8" w:rsidR="00A453C3" w:rsidRPr="00DD7A4F" w:rsidRDefault="00A453C3" w:rsidP="0067693D">
            <w:pPr>
              <w:keepNext/>
              <w:keepLines/>
              <w:spacing w:after="170" w:line="280" w:lineRule="atLeast"/>
              <w:jc w:val="both"/>
              <w:rPr>
                <w:szCs w:val="22"/>
                <w:lang w:val="lv-LV"/>
              </w:rPr>
            </w:pPr>
            <w:r>
              <w:rPr>
                <w:szCs w:val="22"/>
                <w:lang w:val="lv-LV"/>
              </w:rPr>
              <w:t>Tocilizumaba</w:t>
            </w:r>
            <w:r w:rsidRPr="00DD7A4F">
              <w:rPr>
                <w:szCs w:val="22"/>
                <w:lang w:val="lv-LV"/>
              </w:rPr>
              <w:t xml:space="preserve"> lietošana ir </w:t>
            </w:r>
            <w:r>
              <w:rPr>
                <w:szCs w:val="22"/>
                <w:lang w:val="lv-LV"/>
              </w:rPr>
              <w:t xml:space="preserve">uz laiku </w:t>
            </w:r>
            <w:r w:rsidRPr="00DD7A4F">
              <w:rPr>
                <w:szCs w:val="22"/>
                <w:lang w:val="lv-LV"/>
              </w:rPr>
              <w:t>jāpārtrauc.</w:t>
            </w:r>
          </w:p>
          <w:p w14:paraId="3A08C1C6" w14:textId="30D9C5C9" w:rsidR="00A453C3" w:rsidRPr="00DD7A4F" w:rsidRDefault="00A453C3" w:rsidP="00707120">
            <w:pPr>
              <w:keepNext/>
              <w:keepLines/>
              <w:spacing w:after="170" w:line="280" w:lineRule="atLeast"/>
              <w:rPr>
                <w:szCs w:val="22"/>
                <w:lang w:val="lv-LV"/>
              </w:rPr>
            </w:pPr>
            <w:r>
              <w:rPr>
                <w:szCs w:val="22"/>
                <w:lang w:val="lv-LV"/>
              </w:rPr>
              <w:t>Tiklīdz</w:t>
            </w:r>
            <w:r w:rsidRPr="00DD7A4F">
              <w:rPr>
                <w:szCs w:val="22"/>
                <w:lang w:val="lv-LV"/>
              </w:rPr>
              <w:t xml:space="preserve"> ANS palielinās līdz &gt;</w:t>
            </w:r>
            <w:r>
              <w:rPr>
                <w:szCs w:val="22"/>
                <w:lang w:val="lv-LV"/>
              </w:rPr>
              <w:t> </w:t>
            </w:r>
            <w:r w:rsidRPr="00DD7A4F">
              <w:rPr>
                <w:szCs w:val="22"/>
                <w:lang w:val="lv-LV"/>
              </w:rPr>
              <w:t>1</w:t>
            </w:r>
            <w:r>
              <w:rPr>
                <w:szCs w:val="22"/>
                <w:lang w:val="lv-LV"/>
              </w:rPr>
              <w:t> × </w:t>
            </w:r>
            <w:r w:rsidRPr="00DD7A4F">
              <w:rPr>
                <w:szCs w:val="22"/>
                <w:lang w:val="lv-LV"/>
              </w:rPr>
              <w:t>10</w:t>
            </w:r>
            <w:r w:rsidRPr="00DD7A4F">
              <w:rPr>
                <w:szCs w:val="22"/>
                <w:vertAlign w:val="superscript"/>
                <w:lang w:val="lv-LV"/>
              </w:rPr>
              <w:t>9</w:t>
            </w:r>
            <w:r w:rsidRPr="00DD7A4F">
              <w:rPr>
                <w:szCs w:val="22"/>
                <w:lang w:val="lv-LV"/>
              </w:rPr>
              <w:t xml:space="preserve">/l, </w:t>
            </w:r>
            <w:r>
              <w:rPr>
                <w:szCs w:val="22"/>
                <w:lang w:val="lv-LV"/>
              </w:rPr>
              <w:t>terapiju</w:t>
            </w:r>
            <w:r w:rsidRPr="00DD7A4F">
              <w:rPr>
                <w:szCs w:val="22"/>
                <w:lang w:val="lv-LV"/>
              </w:rPr>
              <w:t xml:space="preserve"> atsāk, </w:t>
            </w:r>
            <w:r>
              <w:rPr>
                <w:szCs w:val="22"/>
                <w:lang w:val="lv-LV"/>
              </w:rPr>
              <w:t xml:space="preserve">devu </w:t>
            </w:r>
            <w:r w:rsidRPr="00DD7A4F">
              <w:rPr>
                <w:szCs w:val="22"/>
                <w:lang w:val="lv-LV"/>
              </w:rPr>
              <w:t>lietojot reizi divās nedēļās, un lietošanas biežumu palielina līdz injekcijai reizi nedēļā (ja klīniski piemērots).</w:t>
            </w:r>
          </w:p>
        </w:tc>
      </w:tr>
      <w:tr w:rsidR="00A453C3" w:rsidRPr="00DD7A4F" w14:paraId="67812F58" w14:textId="77777777" w:rsidTr="00707120">
        <w:tc>
          <w:tcPr>
            <w:tcW w:w="2327" w:type="dxa"/>
            <w:tcBorders>
              <w:top w:val="single" w:sz="4" w:space="0" w:color="000000"/>
              <w:left w:val="single" w:sz="4" w:space="0" w:color="000000"/>
              <w:bottom w:val="single" w:sz="4" w:space="0" w:color="000000"/>
            </w:tcBorders>
          </w:tcPr>
          <w:p w14:paraId="4C0E1B66" w14:textId="77777777" w:rsidR="00A453C3" w:rsidRPr="002F159A" w:rsidRDefault="00A453C3" w:rsidP="0067693D">
            <w:pPr>
              <w:spacing w:after="170" w:line="280" w:lineRule="atLeast"/>
              <w:rPr>
                <w:szCs w:val="22"/>
                <w:lang w:val="lv-LV"/>
              </w:rPr>
            </w:pPr>
            <w:r w:rsidRPr="002F159A">
              <w:rPr>
                <w:szCs w:val="22"/>
                <w:lang w:val="lv-LV"/>
              </w:rPr>
              <w:t xml:space="preserve">ANS </w:t>
            </w:r>
            <w:r>
              <w:rPr>
                <w:szCs w:val="22"/>
                <w:lang w:val="lv-LV"/>
              </w:rPr>
              <w:t xml:space="preserve">ir </w:t>
            </w:r>
            <w:r w:rsidRPr="002F159A">
              <w:rPr>
                <w:szCs w:val="22"/>
                <w:lang w:val="lv-LV"/>
              </w:rPr>
              <w:t>&lt; 0,5</w:t>
            </w:r>
          </w:p>
        </w:tc>
        <w:tc>
          <w:tcPr>
            <w:tcW w:w="6755" w:type="dxa"/>
            <w:tcBorders>
              <w:top w:val="single" w:sz="4" w:space="0" w:color="000000"/>
              <w:left w:val="single" w:sz="4" w:space="0" w:color="000000"/>
              <w:bottom w:val="single" w:sz="4" w:space="0" w:color="000000"/>
              <w:right w:val="single" w:sz="4" w:space="0" w:color="000000"/>
            </w:tcBorders>
          </w:tcPr>
          <w:p w14:paraId="543DF231" w14:textId="2D858092" w:rsidR="00A453C3" w:rsidRPr="00DD7A4F" w:rsidRDefault="00A453C3" w:rsidP="0067693D">
            <w:pPr>
              <w:spacing w:after="170" w:line="280" w:lineRule="atLeast"/>
              <w:jc w:val="both"/>
              <w:rPr>
                <w:sz w:val="24"/>
                <w:szCs w:val="24"/>
              </w:rPr>
            </w:pPr>
            <w:r>
              <w:rPr>
                <w:szCs w:val="22"/>
                <w:lang w:val="lv-LV"/>
              </w:rPr>
              <w:t>Terapija</w:t>
            </w:r>
            <w:r w:rsidRPr="00DD7A4F">
              <w:rPr>
                <w:szCs w:val="22"/>
                <w:lang w:val="lv-LV"/>
              </w:rPr>
              <w:t xml:space="preserve"> ir </w:t>
            </w:r>
            <w:r>
              <w:rPr>
                <w:szCs w:val="22"/>
                <w:lang w:val="lv-LV"/>
              </w:rPr>
              <w:t xml:space="preserve">pilnīgi </w:t>
            </w:r>
            <w:r w:rsidRPr="00DD7A4F">
              <w:rPr>
                <w:szCs w:val="22"/>
                <w:lang w:val="lv-LV"/>
              </w:rPr>
              <w:t>jāpārtrauc.</w:t>
            </w:r>
          </w:p>
        </w:tc>
      </w:tr>
    </w:tbl>
    <w:p w14:paraId="6202323C" w14:textId="77777777" w:rsidR="00A453C3" w:rsidRPr="00DD7A4F" w:rsidRDefault="00A453C3" w:rsidP="00A453C3"/>
    <w:p w14:paraId="094E1DE3" w14:textId="677DEC2A" w:rsidR="00A453C3" w:rsidRPr="002F159A" w:rsidRDefault="006334B7" w:rsidP="00707120">
      <w:pPr>
        <w:pStyle w:val="ListParagraph"/>
        <w:keepNext/>
        <w:ind w:left="567" w:hanging="567"/>
        <w:rPr>
          <w:lang w:val="lv-LV"/>
        </w:rPr>
      </w:pPr>
      <w:r>
        <w:rPr>
          <w:lang w:val="nb-NO"/>
        </w:rPr>
        <w:sym w:font="Symbol" w:char="F0B7"/>
      </w:r>
      <w:r>
        <w:rPr>
          <w:lang w:val="nb-NO"/>
        </w:rPr>
        <w:tab/>
      </w:r>
      <w:r w:rsidR="00A453C3" w:rsidRPr="002F159A">
        <w:rPr>
          <w:lang w:val="lv-LV"/>
        </w:rPr>
        <w:t>Samazināts trombocītu skaits</w:t>
      </w:r>
    </w:p>
    <w:p w14:paraId="14DD4B22" w14:textId="77777777" w:rsidR="00A453C3" w:rsidRPr="00DD7A4F" w:rsidRDefault="00A453C3" w:rsidP="00A453C3">
      <w:pPr>
        <w:keepNext/>
        <w:rPr>
          <w:lang w:val="lv-LV"/>
        </w:rPr>
      </w:pPr>
    </w:p>
    <w:tbl>
      <w:tblPr>
        <w:tblW w:w="9082" w:type="dxa"/>
        <w:tblInd w:w="-15" w:type="dxa"/>
        <w:tblLayout w:type="fixed"/>
        <w:tblLook w:val="0000" w:firstRow="0" w:lastRow="0" w:firstColumn="0" w:lastColumn="0" w:noHBand="0" w:noVBand="0"/>
      </w:tblPr>
      <w:tblGrid>
        <w:gridCol w:w="2327"/>
        <w:gridCol w:w="6755"/>
      </w:tblGrid>
      <w:tr w:rsidR="00A453C3" w:rsidRPr="00DD7A4F" w14:paraId="2C6963E3" w14:textId="77777777" w:rsidTr="00707120">
        <w:trPr>
          <w:cantSplit/>
        </w:trPr>
        <w:tc>
          <w:tcPr>
            <w:tcW w:w="2327" w:type="dxa"/>
            <w:tcBorders>
              <w:top w:val="single" w:sz="4" w:space="0" w:color="000000"/>
              <w:left w:val="single" w:sz="4" w:space="0" w:color="000000"/>
              <w:bottom w:val="single" w:sz="4" w:space="0" w:color="000000"/>
            </w:tcBorders>
          </w:tcPr>
          <w:p w14:paraId="08981DA3" w14:textId="64D9F3D4" w:rsidR="00A453C3" w:rsidRPr="00DD7A4F" w:rsidRDefault="00A453C3" w:rsidP="0067693D">
            <w:pPr>
              <w:keepNext/>
              <w:spacing w:after="170" w:line="280" w:lineRule="atLeast"/>
              <w:jc w:val="center"/>
              <w:rPr>
                <w:szCs w:val="22"/>
                <w:lang w:val="lv-LV"/>
              </w:rPr>
            </w:pPr>
            <w:r w:rsidRPr="00DD7A4F">
              <w:rPr>
                <w:szCs w:val="22"/>
                <w:lang w:val="lv-LV"/>
              </w:rPr>
              <w:t>Laboratorisko izmeklējumu rezultāti</w:t>
            </w:r>
            <w:r w:rsidRPr="00DD7A4F">
              <w:rPr>
                <w:szCs w:val="22"/>
                <w:lang w:val="lv-LV"/>
              </w:rPr>
              <w:br/>
              <w:t>(šūnas</w:t>
            </w:r>
            <w:r>
              <w:rPr>
                <w:szCs w:val="22"/>
                <w:lang w:val="lv-LV"/>
              </w:rPr>
              <w:t> × </w:t>
            </w:r>
            <w:r w:rsidRPr="00DD7A4F">
              <w:rPr>
                <w:szCs w:val="22"/>
                <w:lang w:val="lv-LV"/>
              </w:rPr>
              <w:t>10</w:t>
            </w:r>
            <w:r w:rsidRPr="00DD7A4F">
              <w:rPr>
                <w:szCs w:val="22"/>
                <w:vertAlign w:val="superscript"/>
                <w:lang w:val="lv-LV"/>
              </w:rPr>
              <w:t>3</w:t>
            </w:r>
            <w:r w:rsidRPr="00DD7A4F">
              <w:rPr>
                <w:szCs w:val="22"/>
                <w:lang w:val="lv-LV"/>
              </w:rPr>
              <w:t>/μl)</w:t>
            </w:r>
          </w:p>
        </w:tc>
        <w:tc>
          <w:tcPr>
            <w:tcW w:w="6755" w:type="dxa"/>
            <w:tcBorders>
              <w:top w:val="single" w:sz="4" w:space="0" w:color="000000"/>
              <w:left w:val="single" w:sz="4" w:space="0" w:color="000000"/>
              <w:bottom w:val="single" w:sz="4" w:space="0" w:color="000000"/>
              <w:right w:val="single" w:sz="4" w:space="0" w:color="000000"/>
            </w:tcBorders>
          </w:tcPr>
          <w:p w14:paraId="4EB5B83A" w14:textId="77777777" w:rsidR="00A453C3" w:rsidRPr="00DD7A4F" w:rsidRDefault="00A453C3" w:rsidP="0067693D">
            <w:pPr>
              <w:keepNext/>
              <w:spacing w:after="170" w:line="280" w:lineRule="atLeast"/>
              <w:jc w:val="center"/>
              <w:rPr>
                <w:szCs w:val="22"/>
                <w:lang w:val="lv-LV"/>
              </w:rPr>
            </w:pPr>
            <w:r w:rsidRPr="00DD7A4F">
              <w:rPr>
                <w:szCs w:val="22"/>
                <w:lang w:val="lv-LV"/>
              </w:rPr>
              <w:t>Rīcība</w:t>
            </w:r>
          </w:p>
        </w:tc>
      </w:tr>
      <w:tr w:rsidR="00A453C3" w:rsidRPr="00903A29" w14:paraId="48F4BDCB" w14:textId="77777777" w:rsidTr="00707120">
        <w:trPr>
          <w:cantSplit/>
        </w:trPr>
        <w:tc>
          <w:tcPr>
            <w:tcW w:w="2327" w:type="dxa"/>
            <w:tcBorders>
              <w:top w:val="single" w:sz="4" w:space="0" w:color="000000"/>
              <w:left w:val="single" w:sz="4" w:space="0" w:color="000000"/>
              <w:bottom w:val="single" w:sz="4" w:space="0" w:color="000000"/>
            </w:tcBorders>
          </w:tcPr>
          <w:p w14:paraId="6229B4A2" w14:textId="186BED6D" w:rsidR="00A453C3" w:rsidRPr="00DD7A4F" w:rsidRDefault="00A453C3" w:rsidP="0067693D">
            <w:pPr>
              <w:keepNext/>
              <w:spacing w:after="170" w:line="280" w:lineRule="atLeast"/>
              <w:rPr>
                <w:szCs w:val="22"/>
                <w:lang w:val="lv-LV"/>
              </w:rPr>
            </w:pPr>
            <w:r w:rsidRPr="00DD7A4F">
              <w:rPr>
                <w:szCs w:val="22"/>
                <w:lang w:val="lv-LV"/>
              </w:rPr>
              <w:t>50</w:t>
            </w:r>
            <w:r>
              <w:rPr>
                <w:szCs w:val="22"/>
                <w:lang w:val="lv-LV"/>
              </w:rPr>
              <w:noBreakHyphen/>
            </w:r>
            <w:r w:rsidRPr="00DD7A4F">
              <w:rPr>
                <w:szCs w:val="22"/>
                <w:lang w:val="lv-LV"/>
              </w:rPr>
              <w:t>100</w:t>
            </w:r>
          </w:p>
        </w:tc>
        <w:tc>
          <w:tcPr>
            <w:tcW w:w="6755" w:type="dxa"/>
            <w:tcBorders>
              <w:top w:val="single" w:sz="4" w:space="0" w:color="000000"/>
              <w:left w:val="single" w:sz="4" w:space="0" w:color="000000"/>
              <w:bottom w:val="single" w:sz="4" w:space="0" w:color="000000"/>
              <w:right w:val="single" w:sz="4" w:space="0" w:color="000000"/>
            </w:tcBorders>
          </w:tcPr>
          <w:p w14:paraId="75039B64" w14:textId="7F80272A" w:rsidR="00A453C3" w:rsidRPr="002F159A" w:rsidRDefault="00A453C3" w:rsidP="00707120">
            <w:pPr>
              <w:keepNext/>
              <w:spacing w:after="170" w:line="280" w:lineRule="atLeast"/>
              <w:rPr>
                <w:szCs w:val="22"/>
                <w:lang w:val="lv-LV"/>
              </w:rPr>
            </w:pPr>
            <w:r>
              <w:rPr>
                <w:szCs w:val="22"/>
                <w:lang w:val="lv-LV"/>
              </w:rPr>
              <w:t>Tocilizumaba</w:t>
            </w:r>
            <w:r w:rsidRPr="002F159A">
              <w:rPr>
                <w:szCs w:val="22"/>
                <w:lang w:val="lv-LV"/>
              </w:rPr>
              <w:t xml:space="preserve"> lietošana ir </w:t>
            </w:r>
            <w:r>
              <w:rPr>
                <w:szCs w:val="22"/>
                <w:lang w:val="lv-LV"/>
              </w:rPr>
              <w:t xml:space="preserve">uz laiku </w:t>
            </w:r>
            <w:r w:rsidRPr="002F159A">
              <w:rPr>
                <w:szCs w:val="22"/>
                <w:lang w:val="lv-LV"/>
              </w:rPr>
              <w:t>jāpārtrauc.</w:t>
            </w:r>
          </w:p>
          <w:p w14:paraId="266D44CA" w14:textId="2BF44488" w:rsidR="00A453C3" w:rsidRPr="002F159A" w:rsidRDefault="00A453C3" w:rsidP="00707120">
            <w:pPr>
              <w:keepNext/>
              <w:spacing w:after="170" w:line="280" w:lineRule="atLeast"/>
              <w:rPr>
                <w:szCs w:val="22"/>
                <w:lang w:val="lv-LV"/>
              </w:rPr>
            </w:pPr>
            <w:r>
              <w:rPr>
                <w:szCs w:val="22"/>
                <w:lang w:val="lv-LV"/>
              </w:rPr>
              <w:t>Tiklīdz</w:t>
            </w:r>
            <w:r w:rsidRPr="002F159A">
              <w:rPr>
                <w:szCs w:val="22"/>
                <w:lang w:val="lv-LV"/>
              </w:rPr>
              <w:t xml:space="preserve"> </w:t>
            </w:r>
            <w:r w:rsidRPr="00707120">
              <w:rPr>
                <w:szCs w:val="22"/>
                <w:lang w:val="lv-LV"/>
              </w:rPr>
              <w:t>trombocītu skaits</w:t>
            </w:r>
            <w:r w:rsidRPr="002F159A">
              <w:rPr>
                <w:szCs w:val="22"/>
                <w:lang w:val="lv-LV"/>
              </w:rPr>
              <w:t xml:space="preserve"> palielinās līdz &gt;</w:t>
            </w:r>
            <w:r>
              <w:rPr>
                <w:szCs w:val="22"/>
                <w:lang w:val="lv-LV"/>
              </w:rPr>
              <w:t> </w:t>
            </w:r>
            <w:r w:rsidRPr="002F159A">
              <w:rPr>
                <w:szCs w:val="22"/>
                <w:lang w:val="lv-LV"/>
              </w:rPr>
              <w:t>100</w:t>
            </w:r>
            <w:r>
              <w:rPr>
                <w:szCs w:val="22"/>
                <w:lang w:val="lv-LV"/>
              </w:rPr>
              <w:t> × </w:t>
            </w:r>
            <w:r w:rsidRPr="002F159A">
              <w:rPr>
                <w:szCs w:val="22"/>
                <w:lang w:val="lv-LV"/>
              </w:rPr>
              <w:t>10</w:t>
            </w:r>
            <w:r w:rsidRPr="002F159A">
              <w:rPr>
                <w:szCs w:val="22"/>
                <w:vertAlign w:val="superscript"/>
                <w:lang w:val="lv-LV"/>
              </w:rPr>
              <w:t>3</w:t>
            </w:r>
            <w:r w:rsidRPr="002F159A">
              <w:rPr>
                <w:szCs w:val="22"/>
                <w:lang w:val="lv-LV"/>
              </w:rPr>
              <w:t xml:space="preserve">/μl, </w:t>
            </w:r>
            <w:r>
              <w:rPr>
                <w:szCs w:val="22"/>
                <w:lang w:val="lv-LV"/>
              </w:rPr>
              <w:t>terapiju</w:t>
            </w:r>
            <w:r w:rsidRPr="002F159A">
              <w:rPr>
                <w:szCs w:val="22"/>
                <w:lang w:val="lv-LV"/>
              </w:rPr>
              <w:t xml:space="preserve"> atsāk, </w:t>
            </w:r>
            <w:r>
              <w:rPr>
                <w:szCs w:val="22"/>
                <w:lang w:val="lv-LV"/>
              </w:rPr>
              <w:t xml:space="preserve">zāles </w:t>
            </w:r>
            <w:r w:rsidRPr="002F159A">
              <w:rPr>
                <w:szCs w:val="22"/>
                <w:lang w:val="lv-LV"/>
              </w:rPr>
              <w:t>lietojot reizi divās nedēļās, un lietošanas biežumu palielina līdz injekcijai reizi nedēļā (ja klīniski piemērots).</w:t>
            </w:r>
          </w:p>
        </w:tc>
      </w:tr>
      <w:tr w:rsidR="00A453C3" w:rsidRPr="00DD7A4F" w14:paraId="1CB349CD" w14:textId="77777777" w:rsidTr="00707120">
        <w:trPr>
          <w:cantSplit/>
        </w:trPr>
        <w:tc>
          <w:tcPr>
            <w:tcW w:w="2327" w:type="dxa"/>
            <w:tcBorders>
              <w:top w:val="single" w:sz="4" w:space="0" w:color="000000"/>
              <w:left w:val="single" w:sz="4" w:space="0" w:color="000000"/>
              <w:bottom w:val="single" w:sz="4" w:space="0" w:color="000000"/>
            </w:tcBorders>
          </w:tcPr>
          <w:p w14:paraId="7021E85D" w14:textId="54F5D59E" w:rsidR="00A453C3" w:rsidRPr="00DD7A4F" w:rsidRDefault="00A453C3" w:rsidP="0067693D">
            <w:pPr>
              <w:spacing w:after="170" w:line="280" w:lineRule="atLeast"/>
              <w:rPr>
                <w:szCs w:val="22"/>
                <w:lang w:val="lv-LV"/>
              </w:rPr>
            </w:pPr>
            <w:r w:rsidRPr="00DD7A4F">
              <w:rPr>
                <w:szCs w:val="22"/>
                <w:lang w:val="lv-LV"/>
              </w:rPr>
              <w:t>&lt;</w:t>
            </w:r>
            <w:r>
              <w:rPr>
                <w:szCs w:val="22"/>
                <w:lang w:val="lv-LV"/>
              </w:rPr>
              <w:t> </w:t>
            </w:r>
            <w:r w:rsidRPr="00DD7A4F">
              <w:rPr>
                <w:szCs w:val="22"/>
                <w:lang w:val="lv-LV"/>
              </w:rPr>
              <w:t>50</w:t>
            </w:r>
          </w:p>
        </w:tc>
        <w:tc>
          <w:tcPr>
            <w:tcW w:w="6755" w:type="dxa"/>
            <w:tcBorders>
              <w:top w:val="single" w:sz="4" w:space="0" w:color="000000"/>
              <w:left w:val="single" w:sz="4" w:space="0" w:color="000000"/>
              <w:bottom w:val="single" w:sz="4" w:space="0" w:color="000000"/>
              <w:right w:val="single" w:sz="4" w:space="0" w:color="000000"/>
            </w:tcBorders>
          </w:tcPr>
          <w:p w14:paraId="5FDC2CE5" w14:textId="761101C9" w:rsidR="00A453C3" w:rsidRPr="00707120" w:rsidRDefault="00A453C3" w:rsidP="00707120">
            <w:pPr>
              <w:spacing w:after="170" w:line="280" w:lineRule="atLeast"/>
              <w:rPr>
                <w:szCs w:val="22"/>
              </w:rPr>
            </w:pPr>
            <w:r>
              <w:rPr>
                <w:szCs w:val="22"/>
                <w:lang w:val="lv-LV"/>
              </w:rPr>
              <w:t>Terapija</w:t>
            </w:r>
            <w:r w:rsidRPr="002F159A">
              <w:rPr>
                <w:szCs w:val="22"/>
                <w:lang w:val="lv-LV"/>
              </w:rPr>
              <w:t xml:space="preserve"> ir </w:t>
            </w:r>
            <w:r>
              <w:rPr>
                <w:szCs w:val="22"/>
                <w:lang w:val="lv-LV"/>
              </w:rPr>
              <w:t xml:space="preserve">pilnīgi </w:t>
            </w:r>
            <w:r w:rsidRPr="002F159A">
              <w:rPr>
                <w:szCs w:val="22"/>
                <w:lang w:val="lv-LV"/>
              </w:rPr>
              <w:t>jāpārtrauc.</w:t>
            </w:r>
          </w:p>
        </w:tc>
      </w:tr>
    </w:tbl>
    <w:p w14:paraId="2522F393" w14:textId="77777777" w:rsidR="00A453C3" w:rsidRDefault="00A453C3" w:rsidP="00A453C3">
      <w:pPr>
        <w:rPr>
          <w:szCs w:val="22"/>
          <w:lang w:val="lv-LV"/>
        </w:rPr>
      </w:pPr>
    </w:p>
    <w:p w14:paraId="48E7076C" w14:textId="77777777" w:rsidR="00A453C3" w:rsidRPr="00707120" w:rsidRDefault="00A453C3" w:rsidP="00A453C3">
      <w:pPr>
        <w:keepNext/>
        <w:rPr>
          <w:i/>
          <w:iCs/>
          <w:szCs w:val="22"/>
          <w:lang w:val="lv-LV"/>
        </w:rPr>
      </w:pPr>
      <w:r w:rsidRPr="00707120">
        <w:rPr>
          <w:i/>
          <w:iCs/>
          <w:szCs w:val="22"/>
          <w:lang w:val="lv-LV"/>
        </w:rPr>
        <w:t>Pacienti ar RA un GCA</w:t>
      </w:r>
    </w:p>
    <w:p w14:paraId="62149CD7" w14:textId="77777777" w:rsidR="00A453C3" w:rsidRPr="00707120" w:rsidRDefault="00A453C3" w:rsidP="00A453C3">
      <w:pPr>
        <w:keepNext/>
        <w:rPr>
          <w:i/>
          <w:iCs/>
          <w:szCs w:val="22"/>
          <w:lang w:val="lv-LV"/>
        </w:rPr>
      </w:pPr>
      <w:r w:rsidRPr="00707120">
        <w:rPr>
          <w:i/>
          <w:iCs/>
          <w:szCs w:val="22"/>
          <w:u w:val="single"/>
          <w:lang w:val="lv-LV"/>
        </w:rPr>
        <w:t>Aizmirsta deva</w:t>
      </w:r>
    </w:p>
    <w:p w14:paraId="4BD1BF71" w14:textId="5EDDFA8F" w:rsidR="00A453C3" w:rsidRPr="00DD7A4F" w:rsidRDefault="00A453C3" w:rsidP="00A453C3">
      <w:pPr>
        <w:rPr>
          <w:szCs w:val="22"/>
          <w:lang w:val="lv-LV"/>
        </w:rPr>
      </w:pPr>
      <w:r w:rsidRPr="00DD7A4F">
        <w:rPr>
          <w:szCs w:val="22"/>
          <w:lang w:val="lv-LV"/>
        </w:rPr>
        <w:t xml:space="preserve">Ja pacients ir aizmirsis ievadīt reizi nedēļā lietojamo </w:t>
      </w:r>
      <w:r>
        <w:rPr>
          <w:szCs w:val="22"/>
          <w:lang w:val="lv-LV"/>
        </w:rPr>
        <w:t>tocilizumaba</w:t>
      </w:r>
      <w:r w:rsidRPr="00DD7A4F">
        <w:rPr>
          <w:szCs w:val="22"/>
          <w:lang w:val="lv-LV"/>
        </w:rPr>
        <w:t xml:space="preserve"> subkutāno devu 7 dienu periodā pēc ieplānotās devas, viņam jālieto izlaistā deva nākamā ieplānotā dienā. Ja pacients ir aizmirsis ievadīt katru otro nedēļu lietojamo </w:t>
      </w:r>
      <w:r>
        <w:rPr>
          <w:szCs w:val="22"/>
          <w:lang w:val="lv-LV"/>
        </w:rPr>
        <w:t>tocilizumaba</w:t>
      </w:r>
      <w:r w:rsidRPr="00DD7A4F">
        <w:rPr>
          <w:szCs w:val="22"/>
          <w:lang w:val="lv-LV"/>
        </w:rPr>
        <w:t xml:space="preserve"> subkutāno devu 7 dienu periodā pēc ieplānotas devas, viņam izlaistā deva jālieto nekavējoties, bet nākamā deva – nākamajā ieplānotajā dienā. </w:t>
      </w:r>
    </w:p>
    <w:p w14:paraId="48AA3C00" w14:textId="77777777" w:rsidR="00A453C3" w:rsidRPr="00DD7A4F" w:rsidRDefault="00A453C3" w:rsidP="00A453C3">
      <w:pPr>
        <w:rPr>
          <w:i/>
          <w:szCs w:val="22"/>
          <w:lang w:val="lv-LV"/>
        </w:rPr>
      </w:pPr>
    </w:p>
    <w:p w14:paraId="45CC9FB2" w14:textId="77777777" w:rsidR="00A453C3" w:rsidRPr="00DD7A4F" w:rsidRDefault="00A453C3">
      <w:pPr>
        <w:keepNext/>
        <w:autoSpaceDE w:val="0"/>
        <w:rPr>
          <w:rFonts w:eastAsia="SimSun"/>
          <w:bCs/>
          <w:szCs w:val="22"/>
          <w:u w:val="single"/>
          <w:lang w:val="lv-LV"/>
        </w:rPr>
        <w:pPrChange w:id="920" w:author="Author">
          <w:pPr>
            <w:autoSpaceDE w:val="0"/>
          </w:pPr>
        </w:pPrChange>
      </w:pPr>
      <w:r w:rsidRPr="00DD7A4F">
        <w:rPr>
          <w:rFonts w:eastAsia="SimSun"/>
          <w:bCs/>
          <w:szCs w:val="22"/>
          <w:u w:val="single"/>
          <w:lang w:val="lv-LV"/>
        </w:rPr>
        <w:t>Īpašas pacientu grupas</w:t>
      </w:r>
    </w:p>
    <w:p w14:paraId="55CD92A6" w14:textId="04E221CF" w:rsidR="00A453C3" w:rsidRPr="00DD7A4F" w:rsidRDefault="00A453C3">
      <w:pPr>
        <w:keepNext/>
        <w:rPr>
          <w:szCs w:val="22"/>
          <w:lang w:val="lv-LV"/>
        </w:rPr>
        <w:pPrChange w:id="921" w:author="Author">
          <w:pPr/>
        </w:pPrChange>
      </w:pPr>
      <w:r w:rsidRPr="00DD7A4F">
        <w:rPr>
          <w:i/>
          <w:szCs w:val="22"/>
          <w:lang w:val="lv-LV"/>
        </w:rPr>
        <w:t xml:space="preserve">Gados vecāki </w:t>
      </w:r>
      <w:r>
        <w:rPr>
          <w:i/>
          <w:szCs w:val="22"/>
          <w:lang w:val="lv-LV"/>
        </w:rPr>
        <w:t>cilvēki</w:t>
      </w:r>
    </w:p>
    <w:p w14:paraId="4A7FC02C" w14:textId="7237BE37" w:rsidR="00A453C3" w:rsidRPr="00DD7A4F" w:rsidRDefault="00A453C3" w:rsidP="00A453C3">
      <w:pPr>
        <w:rPr>
          <w:szCs w:val="22"/>
          <w:lang w:val="lv-LV"/>
        </w:rPr>
      </w:pPr>
      <w:r>
        <w:rPr>
          <w:szCs w:val="22"/>
          <w:lang w:val="lv-LV"/>
        </w:rPr>
        <w:t>Gados vecākiem p</w:t>
      </w:r>
      <w:r w:rsidRPr="00DD7A4F">
        <w:rPr>
          <w:szCs w:val="22"/>
          <w:lang w:val="lv-LV"/>
        </w:rPr>
        <w:t xml:space="preserve">acientiem </w:t>
      </w:r>
      <w:r w:rsidRPr="00707120">
        <w:rPr>
          <w:noProof/>
          <w:szCs w:val="22"/>
          <w:lang w:val="lv-LV" w:eastAsia="en-US"/>
        </w:rPr>
        <w:t>&gt;</w:t>
      </w:r>
      <w:r>
        <w:rPr>
          <w:noProof/>
          <w:szCs w:val="22"/>
          <w:lang w:val="lv-LV" w:eastAsia="en-US"/>
        </w:rPr>
        <w:t> </w:t>
      </w:r>
      <w:r w:rsidRPr="002F159A">
        <w:rPr>
          <w:szCs w:val="22"/>
          <w:lang w:val="lv-LV"/>
        </w:rPr>
        <w:t>65</w:t>
      </w:r>
      <w:r>
        <w:rPr>
          <w:szCs w:val="22"/>
          <w:lang w:val="lv-LV"/>
        </w:rPr>
        <w:t> </w:t>
      </w:r>
      <w:r w:rsidRPr="00DD7A4F">
        <w:rPr>
          <w:szCs w:val="22"/>
          <w:lang w:val="lv-LV"/>
        </w:rPr>
        <w:t>gadu vecum</w:t>
      </w:r>
      <w:r>
        <w:rPr>
          <w:szCs w:val="22"/>
          <w:lang w:val="lv-LV"/>
        </w:rPr>
        <w:t>ā</w:t>
      </w:r>
      <w:r w:rsidRPr="00DD7A4F">
        <w:rPr>
          <w:szCs w:val="22"/>
          <w:lang w:val="lv-LV"/>
        </w:rPr>
        <w:t xml:space="preserve"> devas pielāgošana nav nepieciešama. </w:t>
      </w:r>
    </w:p>
    <w:p w14:paraId="21FC37F8" w14:textId="77777777" w:rsidR="00A453C3" w:rsidRPr="00DD7A4F" w:rsidRDefault="00A453C3" w:rsidP="00A453C3">
      <w:pPr>
        <w:rPr>
          <w:szCs w:val="22"/>
          <w:lang w:val="lv-LV"/>
        </w:rPr>
      </w:pPr>
    </w:p>
    <w:p w14:paraId="63FBF2B8" w14:textId="5F8930C6" w:rsidR="00A453C3" w:rsidRPr="00DD7A4F" w:rsidRDefault="00A453C3">
      <w:pPr>
        <w:keepNext/>
        <w:rPr>
          <w:szCs w:val="22"/>
          <w:lang w:val="lv-LV"/>
        </w:rPr>
        <w:pPrChange w:id="922" w:author="Author">
          <w:pPr/>
        </w:pPrChange>
      </w:pPr>
      <w:r w:rsidRPr="00DD7A4F">
        <w:rPr>
          <w:i/>
          <w:szCs w:val="22"/>
          <w:lang w:val="lv-LV"/>
        </w:rPr>
        <w:t>Nieru darbības traucējumi</w:t>
      </w:r>
    </w:p>
    <w:p w14:paraId="539B5D93" w14:textId="2D21123E" w:rsidR="00A453C3" w:rsidRPr="00DD7A4F" w:rsidRDefault="00A453C3" w:rsidP="00A453C3">
      <w:pPr>
        <w:rPr>
          <w:szCs w:val="22"/>
          <w:lang w:val="lv-LV"/>
        </w:rPr>
      </w:pPr>
      <w:r w:rsidRPr="00DD7A4F">
        <w:rPr>
          <w:szCs w:val="22"/>
          <w:lang w:val="lv-LV"/>
        </w:rPr>
        <w:t xml:space="preserve">Pacientiem ar viegliem vai vidēji smagiem nieru darbības traucējumiem deva nav jāpielāgo. Pacientiem ar smagiem nieru darbības traucējumiem </w:t>
      </w:r>
      <w:r>
        <w:rPr>
          <w:szCs w:val="22"/>
          <w:lang w:val="lv-LV"/>
        </w:rPr>
        <w:t>tocilizumaba</w:t>
      </w:r>
      <w:r w:rsidRPr="00DD7A4F">
        <w:rPr>
          <w:szCs w:val="22"/>
          <w:lang w:val="lv-LV"/>
        </w:rPr>
        <w:t xml:space="preserve"> lietošana nav pētīta (skatīt 5.2. apakšpunktu). Šiem pacientiem rūpīgi jākontrolē nieru darbība.</w:t>
      </w:r>
    </w:p>
    <w:p w14:paraId="0A61BD5A" w14:textId="77777777" w:rsidR="00A453C3" w:rsidRPr="00DD7A4F" w:rsidRDefault="00A453C3" w:rsidP="00A453C3">
      <w:pPr>
        <w:rPr>
          <w:szCs w:val="22"/>
          <w:lang w:val="lv-LV"/>
        </w:rPr>
      </w:pPr>
    </w:p>
    <w:p w14:paraId="62A9DD37" w14:textId="68C5A718" w:rsidR="00A453C3" w:rsidRPr="00DD7A4F" w:rsidRDefault="00A453C3">
      <w:pPr>
        <w:keepNext/>
        <w:rPr>
          <w:szCs w:val="22"/>
          <w:lang w:val="lv-LV"/>
        </w:rPr>
        <w:pPrChange w:id="923" w:author="Author">
          <w:pPr/>
        </w:pPrChange>
      </w:pPr>
      <w:r w:rsidRPr="00DD7A4F">
        <w:rPr>
          <w:i/>
          <w:szCs w:val="22"/>
          <w:lang w:val="lv-LV"/>
        </w:rPr>
        <w:t>Aknu darbības traucējumi</w:t>
      </w:r>
    </w:p>
    <w:p w14:paraId="299877AD" w14:textId="01A82401" w:rsidR="00A453C3" w:rsidRPr="00DD7A4F" w:rsidRDefault="00A453C3" w:rsidP="00A453C3">
      <w:pPr>
        <w:rPr>
          <w:b/>
          <w:szCs w:val="22"/>
          <w:lang w:val="lv-LV"/>
        </w:rPr>
      </w:pPr>
      <w:r>
        <w:rPr>
          <w:szCs w:val="22"/>
          <w:lang w:val="lv-LV"/>
        </w:rPr>
        <w:t>Tocilizumabs</w:t>
      </w:r>
      <w:r w:rsidRPr="00DD7A4F">
        <w:rPr>
          <w:szCs w:val="22"/>
          <w:lang w:val="lv-LV"/>
        </w:rPr>
        <w:t xml:space="preserve"> nav pētīts pacientiem ar aknu darbības traucējumiem, tādēļ ieteikumus par devu nav iespējams sniegt.</w:t>
      </w:r>
    </w:p>
    <w:p w14:paraId="5933E284" w14:textId="77777777" w:rsidR="00A453C3" w:rsidRPr="00DD7A4F" w:rsidRDefault="00A453C3" w:rsidP="00A453C3">
      <w:pPr>
        <w:ind w:left="567" w:hanging="567"/>
        <w:rPr>
          <w:szCs w:val="22"/>
          <w:lang w:val="lv-LV"/>
        </w:rPr>
      </w:pPr>
    </w:p>
    <w:p w14:paraId="3685C469" w14:textId="77777777" w:rsidR="00A453C3" w:rsidRPr="00DD7A4F" w:rsidRDefault="00A453C3">
      <w:pPr>
        <w:keepNext/>
        <w:rPr>
          <w:rFonts w:eastAsia="SimSun"/>
          <w:i/>
          <w:iCs/>
          <w:szCs w:val="22"/>
          <w:lang w:val="lv-LV"/>
        </w:rPr>
        <w:pPrChange w:id="924" w:author="Author">
          <w:pPr/>
        </w:pPrChange>
      </w:pPr>
      <w:r w:rsidRPr="00DD7A4F">
        <w:rPr>
          <w:rFonts w:eastAsia="SimSun"/>
          <w:bCs/>
          <w:i/>
          <w:iCs/>
          <w:szCs w:val="22"/>
          <w:lang w:val="lv-LV"/>
        </w:rPr>
        <w:t>Pediatriskā populācija</w:t>
      </w:r>
    </w:p>
    <w:p w14:paraId="44CCBD8C" w14:textId="2A79FD80" w:rsidR="00A453C3" w:rsidRDefault="00A453C3" w:rsidP="00A453C3">
      <w:pPr>
        <w:rPr>
          <w:szCs w:val="22"/>
          <w:lang w:val="lv-LV"/>
        </w:rPr>
      </w:pPr>
      <w:r>
        <w:rPr>
          <w:szCs w:val="22"/>
          <w:lang w:val="lv-LV"/>
        </w:rPr>
        <w:t>Tocilizumaba</w:t>
      </w:r>
      <w:r w:rsidRPr="00DD7A4F">
        <w:rPr>
          <w:szCs w:val="22"/>
          <w:lang w:val="lv-LV"/>
        </w:rPr>
        <w:t xml:space="preserve"> subkutāni lietojamās zāļu formas efektivitāte un drošums, lietojot bērniem no dzimšanas brīža līdz </w:t>
      </w:r>
      <w:r>
        <w:rPr>
          <w:szCs w:val="22"/>
          <w:lang w:val="lv-LV"/>
        </w:rPr>
        <w:t>1</w:t>
      </w:r>
      <w:r w:rsidRPr="00DD7A4F">
        <w:rPr>
          <w:szCs w:val="22"/>
          <w:lang w:val="lv-LV"/>
        </w:rPr>
        <w:t xml:space="preserve"> gadu vecumam, nav pierādīta. Dati nav pieejami. </w:t>
      </w:r>
    </w:p>
    <w:p w14:paraId="7D906FAF" w14:textId="77777777" w:rsidR="00A453C3" w:rsidRDefault="00A453C3" w:rsidP="00A453C3">
      <w:pPr>
        <w:rPr>
          <w:szCs w:val="22"/>
          <w:lang w:val="lv-LV"/>
        </w:rPr>
      </w:pPr>
    </w:p>
    <w:p w14:paraId="291985E3" w14:textId="3B9A8F54" w:rsidR="00A453C3" w:rsidRDefault="00A453C3" w:rsidP="00A453C3">
      <w:pPr>
        <w:rPr>
          <w:szCs w:val="22"/>
          <w:lang w:val="lv-LV"/>
        </w:rPr>
      </w:pPr>
      <w:r>
        <w:rPr>
          <w:szCs w:val="22"/>
          <w:lang w:val="lv-LV"/>
        </w:rPr>
        <w:t xml:space="preserve">Devas drīkst mainīt, tikai pamatojoties uz </w:t>
      </w:r>
      <w:r w:rsidR="004969FE">
        <w:rPr>
          <w:szCs w:val="22"/>
          <w:lang w:val="lv-LV"/>
        </w:rPr>
        <w:t xml:space="preserve">konsekventām </w:t>
      </w:r>
      <w:r>
        <w:rPr>
          <w:szCs w:val="22"/>
          <w:lang w:val="lv-LV"/>
        </w:rPr>
        <w:t xml:space="preserve">pacienta ķermeņa masas izmaiņām laika gaitā. </w:t>
      </w:r>
    </w:p>
    <w:p w14:paraId="53320BF0" w14:textId="4FC92F8E" w:rsidR="00A453C3" w:rsidRDefault="00A453C3" w:rsidP="00A453C3">
      <w:pPr>
        <w:rPr>
          <w:szCs w:val="22"/>
          <w:lang w:val="lv-LV"/>
        </w:rPr>
      </w:pPr>
      <w:r>
        <w:rPr>
          <w:szCs w:val="22"/>
          <w:lang w:val="lv-LV"/>
        </w:rPr>
        <w:t xml:space="preserve">Tocilizumabu var lietot vienu pašu vai kombinācijā ar MTX. </w:t>
      </w:r>
    </w:p>
    <w:p w14:paraId="4200D20D" w14:textId="77777777" w:rsidR="00A453C3" w:rsidRDefault="00A453C3" w:rsidP="00A453C3">
      <w:pPr>
        <w:rPr>
          <w:szCs w:val="22"/>
          <w:lang w:val="lv-LV"/>
        </w:rPr>
      </w:pPr>
    </w:p>
    <w:p w14:paraId="34870AB9" w14:textId="77777777" w:rsidR="00A453C3" w:rsidRPr="00707120" w:rsidRDefault="00A453C3" w:rsidP="00707120">
      <w:pPr>
        <w:keepNext/>
        <w:rPr>
          <w:szCs w:val="22"/>
          <w:u w:val="single"/>
          <w:lang w:val="lv-LV"/>
        </w:rPr>
      </w:pPr>
      <w:r w:rsidRPr="00707120">
        <w:rPr>
          <w:i/>
          <w:iCs/>
          <w:szCs w:val="22"/>
          <w:u w:val="single"/>
          <w:lang w:val="lv-LV"/>
        </w:rPr>
        <w:t>Pacienti ar sJIA</w:t>
      </w:r>
    </w:p>
    <w:p w14:paraId="3BB3386B" w14:textId="611174A9" w:rsidR="00A453C3" w:rsidRDefault="00A453C3" w:rsidP="00A453C3">
      <w:pPr>
        <w:rPr>
          <w:szCs w:val="22"/>
          <w:lang w:val="lv-LV"/>
        </w:rPr>
      </w:pPr>
      <w:r>
        <w:rPr>
          <w:szCs w:val="22"/>
          <w:lang w:val="lv-LV"/>
        </w:rPr>
        <w:t>Ieteicamā deva pacientiem pēc 12 gadu vecuma ir 162 mg subkutāni vien</w:t>
      </w:r>
      <w:ins w:id="925" w:author="Author">
        <w:r w:rsidR="00096C94">
          <w:rPr>
            <w:szCs w:val="22"/>
            <w:lang w:val="lv-LV"/>
          </w:rPr>
          <w:t xml:space="preserve">u </w:t>
        </w:r>
      </w:ins>
      <w:r>
        <w:rPr>
          <w:szCs w:val="22"/>
          <w:lang w:val="lv-LV"/>
        </w:rPr>
        <w:t>reiz</w:t>
      </w:r>
      <w:ins w:id="926" w:author="Author">
        <w:r w:rsidR="00096C94">
          <w:rPr>
            <w:szCs w:val="22"/>
            <w:lang w:val="lv-LV"/>
          </w:rPr>
          <w:t>i</w:t>
        </w:r>
      </w:ins>
      <w:r>
        <w:rPr>
          <w:szCs w:val="22"/>
          <w:lang w:val="lv-LV"/>
        </w:rPr>
        <w:t xml:space="preserve"> nedēļā </w:t>
      </w:r>
      <w:r w:rsidRPr="00DC5F97">
        <w:rPr>
          <w:szCs w:val="22"/>
          <w:lang w:val="lv-LV"/>
        </w:rPr>
        <w:t>pacientiem, kuru ķermeņa masa ir lielāka par vai vienāda ar 30</w:t>
      </w:r>
      <w:r>
        <w:rPr>
          <w:szCs w:val="22"/>
          <w:lang w:val="lv-LV"/>
        </w:rPr>
        <w:t> </w:t>
      </w:r>
      <w:r w:rsidRPr="00DC5F97">
        <w:rPr>
          <w:szCs w:val="22"/>
          <w:lang w:val="lv-LV"/>
        </w:rPr>
        <w:t>kg</w:t>
      </w:r>
      <w:r>
        <w:rPr>
          <w:szCs w:val="22"/>
          <w:lang w:val="lv-LV"/>
        </w:rPr>
        <w:t xml:space="preserve">, vai 162 mg subkutāni ik pēc 2 nedēļām pacientiem, kuru ķermeņa masa ir mazāka par 30 kg. </w:t>
      </w:r>
    </w:p>
    <w:p w14:paraId="65883936" w14:textId="77777777" w:rsidR="00A453C3" w:rsidRDefault="00A453C3" w:rsidP="00A453C3">
      <w:pPr>
        <w:rPr>
          <w:szCs w:val="22"/>
          <w:lang w:val="lv-LV"/>
        </w:rPr>
      </w:pPr>
    </w:p>
    <w:p w14:paraId="3607AC60" w14:textId="77777777" w:rsidR="00A453C3" w:rsidRDefault="00A453C3" w:rsidP="00A453C3">
      <w:pPr>
        <w:rPr>
          <w:szCs w:val="22"/>
          <w:lang w:val="lv-LV"/>
        </w:rPr>
      </w:pPr>
      <w:r>
        <w:rPr>
          <w:szCs w:val="22"/>
          <w:lang w:val="lv-LV"/>
        </w:rPr>
        <w:t>Pildspalvveida pilnšļirci nedrīkst lietot pediatriskiem pacientiem līdz &lt; 12 gadu vecumam.</w:t>
      </w:r>
    </w:p>
    <w:p w14:paraId="5F6CBDF5" w14:textId="77777777" w:rsidR="00A453C3" w:rsidRDefault="00A453C3" w:rsidP="00A453C3">
      <w:pPr>
        <w:rPr>
          <w:szCs w:val="22"/>
          <w:lang w:val="lv-LV"/>
        </w:rPr>
      </w:pPr>
    </w:p>
    <w:p w14:paraId="69C04D19" w14:textId="75EA3F09" w:rsidR="00A453C3" w:rsidRDefault="00A453C3" w:rsidP="00A453C3">
      <w:pPr>
        <w:rPr>
          <w:szCs w:val="22"/>
          <w:lang w:val="lv-LV"/>
        </w:rPr>
      </w:pPr>
      <w:r>
        <w:rPr>
          <w:szCs w:val="22"/>
          <w:lang w:val="lv-LV"/>
        </w:rPr>
        <w:t xml:space="preserve">Tocilizumabu subkutāni drīkst ievadīt tikai tad, ja pacienta ķermeņa masa ir vismaz 10 kg. </w:t>
      </w:r>
    </w:p>
    <w:p w14:paraId="115AA3E8" w14:textId="77777777" w:rsidR="00A453C3" w:rsidRDefault="00A453C3" w:rsidP="00A453C3">
      <w:pPr>
        <w:rPr>
          <w:szCs w:val="22"/>
          <w:lang w:val="lv-LV"/>
        </w:rPr>
      </w:pPr>
    </w:p>
    <w:p w14:paraId="5D4EBD5E" w14:textId="77777777" w:rsidR="00A453C3" w:rsidRPr="00707120" w:rsidRDefault="00A453C3" w:rsidP="00707120">
      <w:pPr>
        <w:keepNext/>
        <w:rPr>
          <w:szCs w:val="22"/>
          <w:u w:val="single"/>
          <w:lang w:val="lv-LV"/>
        </w:rPr>
      </w:pPr>
      <w:r w:rsidRPr="00707120">
        <w:rPr>
          <w:i/>
          <w:iCs/>
          <w:szCs w:val="22"/>
          <w:u w:val="single"/>
          <w:lang w:val="lv-LV"/>
        </w:rPr>
        <w:t>Pacienti ar pJIA</w:t>
      </w:r>
    </w:p>
    <w:p w14:paraId="30C3A0EE" w14:textId="41F17926" w:rsidR="00A453C3" w:rsidRDefault="00A453C3" w:rsidP="00A453C3">
      <w:pPr>
        <w:rPr>
          <w:szCs w:val="22"/>
          <w:lang w:val="lv-LV"/>
        </w:rPr>
      </w:pPr>
      <w:r>
        <w:rPr>
          <w:szCs w:val="22"/>
          <w:lang w:val="lv-LV"/>
        </w:rPr>
        <w:t xml:space="preserve">Ieteicamā deva pacientiem pēc 12 gadu vecuma ir 162 mg subkutāni reizi 2 nedēļās pacientiem, kuru ķermeņa masa ir </w:t>
      </w:r>
      <w:r w:rsidRPr="00DC5F97">
        <w:rPr>
          <w:szCs w:val="22"/>
          <w:lang w:val="lv-LV"/>
        </w:rPr>
        <w:t>lielāka par vai vienāda ar 30</w:t>
      </w:r>
      <w:r>
        <w:rPr>
          <w:szCs w:val="22"/>
          <w:lang w:val="lv-LV"/>
        </w:rPr>
        <w:t> </w:t>
      </w:r>
      <w:r w:rsidRPr="00DC5F97">
        <w:rPr>
          <w:szCs w:val="22"/>
          <w:lang w:val="lv-LV"/>
        </w:rPr>
        <w:t xml:space="preserve">kg, vai </w:t>
      </w:r>
      <w:r>
        <w:rPr>
          <w:szCs w:val="22"/>
          <w:lang w:val="lv-LV"/>
        </w:rPr>
        <w:t xml:space="preserve">162 mg subkutāni reizi 3 nedēļās pacientiem, kuru ķermeņa masa ir mazāka par 30 kg. </w:t>
      </w:r>
    </w:p>
    <w:p w14:paraId="5C01A5DF" w14:textId="77777777" w:rsidR="00A453C3" w:rsidRDefault="00A453C3" w:rsidP="00A453C3">
      <w:pPr>
        <w:rPr>
          <w:szCs w:val="22"/>
          <w:lang w:val="lv-LV"/>
        </w:rPr>
      </w:pPr>
    </w:p>
    <w:p w14:paraId="46454CEE" w14:textId="77777777" w:rsidR="00A453C3" w:rsidRDefault="00A453C3" w:rsidP="00A453C3">
      <w:pPr>
        <w:rPr>
          <w:szCs w:val="22"/>
          <w:lang w:val="lv-LV"/>
        </w:rPr>
      </w:pPr>
      <w:r>
        <w:rPr>
          <w:szCs w:val="22"/>
          <w:lang w:val="lv-LV"/>
        </w:rPr>
        <w:t>Pildspalvveida pilnšļirci nedrīkst lietot pediatriskiem pacientiem līdz &lt; 12 gadu vecumam.</w:t>
      </w:r>
    </w:p>
    <w:p w14:paraId="6BA51608" w14:textId="77777777" w:rsidR="00A453C3" w:rsidRDefault="00A453C3" w:rsidP="00A453C3">
      <w:pPr>
        <w:rPr>
          <w:szCs w:val="22"/>
          <w:lang w:val="lv-LV"/>
        </w:rPr>
      </w:pPr>
    </w:p>
    <w:p w14:paraId="374B2D5D" w14:textId="77777777" w:rsidR="00A453C3" w:rsidRPr="00707120" w:rsidRDefault="00A453C3" w:rsidP="00A453C3">
      <w:pPr>
        <w:keepNext/>
        <w:rPr>
          <w:i/>
          <w:iCs/>
          <w:szCs w:val="22"/>
          <w:u w:val="single"/>
          <w:lang w:val="lv-LV"/>
        </w:rPr>
      </w:pPr>
      <w:r w:rsidRPr="00707120">
        <w:rPr>
          <w:i/>
          <w:iCs/>
          <w:szCs w:val="22"/>
          <w:u w:val="single"/>
          <w:lang w:val="lv-LV"/>
        </w:rPr>
        <w:t>Pacienti ar sJIA vai pJIA</w:t>
      </w:r>
    </w:p>
    <w:p w14:paraId="6945F932" w14:textId="4F85EDAD" w:rsidR="00A453C3" w:rsidRDefault="00A453C3" w:rsidP="00707120">
      <w:pPr>
        <w:keepNext/>
        <w:rPr>
          <w:szCs w:val="22"/>
          <w:lang w:val="lv-LV"/>
        </w:rPr>
      </w:pPr>
      <w:r w:rsidRPr="00707120">
        <w:rPr>
          <w:szCs w:val="22"/>
          <w:lang w:val="lv-LV"/>
        </w:rPr>
        <w:t>Devas pielāgošana laboratorisko vērtību noviržu dēļ</w:t>
      </w:r>
    </w:p>
    <w:p w14:paraId="3C75D0E6" w14:textId="5FFBED9F" w:rsidR="00A453C3" w:rsidRDefault="00A453C3" w:rsidP="00A453C3">
      <w:pPr>
        <w:rPr>
          <w:szCs w:val="22"/>
          <w:lang w:val="lv-LV"/>
        </w:rPr>
      </w:pPr>
      <w:r>
        <w:rPr>
          <w:szCs w:val="22"/>
          <w:lang w:val="lv-LV"/>
        </w:rPr>
        <w:t xml:space="preserve">Ja tas ir atbilstoši, </w:t>
      </w:r>
      <w:r w:rsidRPr="007A2E56">
        <w:rPr>
          <w:szCs w:val="22"/>
          <w:lang w:val="lv-LV"/>
        </w:rPr>
        <w:t xml:space="preserve">līdz klīniskā stāvokļa novērtēšanas pabeigšanai </w:t>
      </w:r>
      <w:r>
        <w:rPr>
          <w:szCs w:val="22"/>
          <w:lang w:val="lv-LV"/>
        </w:rPr>
        <w:t>jāpielāgo vienlaicīgi lietotā MTX un/vai citu zāļu deva</w:t>
      </w:r>
      <w:r w:rsidRPr="007A2E56">
        <w:rPr>
          <w:lang w:val="lv-LV"/>
        </w:rPr>
        <w:t xml:space="preserve"> </w:t>
      </w:r>
      <w:r w:rsidRPr="007A2E56">
        <w:rPr>
          <w:szCs w:val="22"/>
          <w:lang w:val="lv-LV"/>
        </w:rPr>
        <w:t xml:space="preserve">vai arī </w:t>
      </w:r>
      <w:r>
        <w:rPr>
          <w:szCs w:val="22"/>
          <w:lang w:val="lv-LV"/>
        </w:rPr>
        <w:t>pilnīgi jāpārtrauc</w:t>
      </w:r>
      <w:r w:rsidRPr="007A2E56">
        <w:rPr>
          <w:szCs w:val="22"/>
          <w:lang w:val="lv-LV"/>
        </w:rPr>
        <w:t xml:space="preserve"> šādu zāļu lietošana, un </w:t>
      </w:r>
      <w:r>
        <w:rPr>
          <w:szCs w:val="22"/>
          <w:lang w:val="lv-LV"/>
        </w:rPr>
        <w:t xml:space="preserve">uz laiku </w:t>
      </w:r>
      <w:r w:rsidRPr="007A2E56">
        <w:rPr>
          <w:szCs w:val="22"/>
          <w:lang w:val="lv-LV"/>
        </w:rPr>
        <w:t>jāpārtrauc tocilizumaba lietošana</w:t>
      </w:r>
      <w:r>
        <w:rPr>
          <w:szCs w:val="22"/>
          <w:lang w:val="lv-LV"/>
        </w:rPr>
        <w:t xml:space="preserve">. Tā kā sJIA un pJIA gadījumā laboratoriskos rādītājus var ietekmēt daudzas blakusslimības, lēmums </w:t>
      </w:r>
      <w:r w:rsidRPr="007A2E56">
        <w:rPr>
          <w:szCs w:val="22"/>
          <w:lang w:val="lv-LV"/>
        </w:rPr>
        <w:t xml:space="preserve">par tocilizumaba terapijas izbeigšanu laboratorisko rādītāju noviržu dēļ </w:t>
      </w:r>
      <w:r>
        <w:rPr>
          <w:szCs w:val="22"/>
          <w:lang w:val="lv-LV"/>
        </w:rPr>
        <w:t>jābalsta uz konkrētā pacienta medicīniskā stāvokļa novērtējumu.</w:t>
      </w:r>
    </w:p>
    <w:p w14:paraId="0EDBEA50" w14:textId="77777777" w:rsidR="00A453C3" w:rsidRDefault="00A453C3" w:rsidP="00A453C3">
      <w:pPr>
        <w:rPr>
          <w:szCs w:val="22"/>
          <w:lang w:val="lv-LV"/>
        </w:rPr>
      </w:pPr>
    </w:p>
    <w:p w14:paraId="25B8C1FA" w14:textId="31A01136" w:rsidR="00A453C3" w:rsidRDefault="006334B7" w:rsidP="00707120">
      <w:pPr>
        <w:pStyle w:val="ListParagraph"/>
        <w:keepNext/>
        <w:keepLines/>
        <w:ind w:left="567" w:hanging="567"/>
      </w:pPr>
      <w:r>
        <w:rPr>
          <w:lang w:val="nb-NO"/>
        </w:rPr>
        <w:sym w:font="Symbol" w:char="F0B7"/>
      </w:r>
      <w:r>
        <w:rPr>
          <w:lang w:val="nb-NO"/>
        </w:rPr>
        <w:tab/>
      </w:r>
      <w:r w:rsidR="00A453C3" w:rsidRPr="00707510">
        <w:t xml:space="preserve">Aknu enzīmu </w:t>
      </w:r>
      <w:ins w:id="927" w:author="Regulatory LV" w:date="2026-03-17T11:33:00Z">
        <w:r w:rsidR="00D20F5A">
          <w:rPr>
            <w:szCs w:val="22"/>
            <w:lang w:val="lv-LV"/>
          </w:rPr>
          <w:t xml:space="preserve">līmeņa </w:t>
        </w:r>
      </w:ins>
      <w:r w:rsidR="00A453C3" w:rsidRPr="00707510">
        <w:t>patoloģi</w:t>
      </w:r>
      <w:ins w:id="928" w:author="Regulatory LV" w:date="2026-03-17T11:33:00Z">
        <w:r w:rsidR="00D20F5A">
          <w:t>sk</w:t>
        </w:r>
      </w:ins>
      <w:del w:id="929" w:author="Regulatory LV" w:date="2026-03-17T11:33:00Z">
        <w:r w:rsidR="00A453C3" w:rsidRPr="00707510" w:rsidDel="00D20F5A">
          <w:delText>j</w:delText>
        </w:r>
      </w:del>
      <w:r w:rsidR="00A453C3" w:rsidRPr="00707510">
        <w:t>as</w:t>
      </w:r>
      <w:ins w:id="930" w:author="Regulatory LV" w:date="2026-03-17T11:33:00Z">
        <w:r w:rsidR="00D20F5A">
          <w:t xml:space="preserve"> izmaiņas</w:t>
        </w:r>
      </w:ins>
    </w:p>
    <w:p w14:paraId="3BF64F2A" w14:textId="77777777" w:rsidR="00A453C3" w:rsidRPr="00707510" w:rsidRDefault="00A453C3" w:rsidP="00A453C3">
      <w:pPr>
        <w:keepNext/>
        <w:keepLines/>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9"/>
        <w:gridCol w:w="6443"/>
      </w:tblGrid>
      <w:tr w:rsidR="00A453C3" w:rsidRPr="00242806" w14:paraId="17A0E587" w14:textId="77777777" w:rsidTr="00707120">
        <w:tc>
          <w:tcPr>
            <w:tcW w:w="2629" w:type="dxa"/>
          </w:tcPr>
          <w:p w14:paraId="7347D2B3" w14:textId="77777777" w:rsidR="00A453C3" w:rsidRPr="00707120" w:rsidRDefault="00A453C3" w:rsidP="00707120">
            <w:pPr>
              <w:keepNext/>
              <w:keepLines/>
              <w:spacing w:after="170" w:line="280" w:lineRule="atLeast"/>
              <w:jc w:val="center"/>
              <w:rPr>
                <w:rFonts w:eastAsia="MS Mincho"/>
                <w:bCs/>
                <w:szCs w:val="22"/>
              </w:rPr>
            </w:pPr>
            <w:r w:rsidRPr="00707120">
              <w:rPr>
                <w:rFonts w:eastAsia="MS Mincho"/>
                <w:bCs/>
                <w:szCs w:val="22"/>
              </w:rPr>
              <w:t>Laboratorisko izmeklējumu rezultāti</w:t>
            </w:r>
          </w:p>
        </w:tc>
        <w:tc>
          <w:tcPr>
            <w:tcW w:w="6443" w:type="dxa"/>
          </w:tcPr>
          <w:p w14:paraId="256B1211" w14:textId="77777777" w:rsidR="00A453C3" w:rsidRPr="00707120" w:rsidRDefault="00A453C3" w:rsidP="00707120">
            <w:pPr>
              <w:keepNext/>
              <w:keepLines/>
              <w:spacing w:after="170" w:line="280" w:lineRule="atLeast"/>
              <w:jc w:val="center"/>
              <w:rPr>
                <w:rFonts w:eastAsia="MS Mincho"/>
                <w:bCs/>
                <w:szCs w:val="22"/>
              </w:rPr>
            </w:pPr>
            <w:r w:rsidRPr="00707120">
              <w:rPr>
                <w:rFonts w:eastAsia="MS Mincho"/>
                <w:bCs/>
                <w:szCs w:val="22"/>
              </w:rPr>
              <w:t>Rīcība</w:t>
            </w:r>
          </w:p>
        </w:tc>
      </w:tr>
      <w:tr w:rsidR="00A453C3" w:rsidRPr="00EC2F43" w14:paraId="6DD4164D" w14:textId="77777777" w:rsidTr="00707120">
        <w:tc>
          <w:tcPr>
            <w:tcW w:w="2629" w:type="dxa"/>
          </w:tcPr>
          <w:p w14:paraId="12922D3C" w14:textId="05BBE78C" w:rsidR="00A453C3" w:rsidRPr="00707510" w:rsidRDefault="00A453C3" w:rsidP="00707120">
            <w:pPr>
              <w:keepNext/>
              <w:keepLines/>
              <w:spacing w:after="170" w:line="280" w:lineRule="atLeast"/>
              <w:rPr>
                <w:rFonts w:eastAsia="MS Mincho"/>
                <w:szCs w:val="22"/>
              </w:rPr>
            </w:pPr>
            <w:r w:rsidRPr="00707510">
              <w:rPr>
                <w:rFonts w:eastAsia="MS Mincho"/>
                <w:szCs w:val="22"/>
              </w:rPr>
              <w:t>&gt;</w:t>
            </w:r>
            <w:r>
              <w:rPr>
                <w:rFonts w:eastAsia="MS Mincho"/>
                <w:szCs w:val="22"/>
              </w:rPr>
              <w:t> </w:t>
            </w:r>
            <w:r w:rsidRPr="00707510">
              <w:rPr>
                <w:rFonts w:eastAsia="MS Mincho"/>
                <w:szCs w:val="22"/>
              </w:rPr>
              <w:t>1</w:t>
            </w:r>
            <w:r>
              <w:rPr>
                <w:rFonts w:eastAsia="MS Mincho"/>
                <w:szCs w:val="22"/>
              </w:rPr>
              <w:noBreakHyphen/>
            </w:r>
            <w:r w:rsidRPr="00707510">
              <w:rPr>
                <w:rFonts w:eastAsia="MS Mincho"/>
                <w:szCs w:val="22"/>
              </w:rPr>
              <w:t>3</w:t>
            </w:r>
            <w:r>
              <w:rPr>
                <w:rFonts w:eastAsia="MS Mincho"/>
                <w:szCs w:val="22"/>
              </w:rPr>
              <w:t> </w:t>
            </w:r>
            <w:r w:rsidRPr="00707510">
              <w:rPr>
                <w:rFonts w:eastAsia="MS Mincho"/>
                <w:szCs w:val="22"/>
              </w:rPr>
              <w:t>reizes pārsniedz NAR</w:t>
            </w:r>
          </w:p>
        </w:tc>
        <w:tc>
          <w:tcPr>
            <w:tcW w:w="6443" w:type="dxa"/>
          </w:tcPr>
          <w:p w14:paraId="0CDE0B53" w14:textId="072C61B7" w:rsidR="00A453C3" w:rsidRPr="00A81F10" w:rsidRDefault="00A453C3" w:rsidP="0067693D">
            <w:pPr>
              <w:keepNext/>
              <w:keepLines/>
              <w:spacing w:line="280" w:lineRule="atLeast"/>
              <w:rPr>
                <w:rFonts w:eastAsia="MS Mincho"/>
                <w:szCs w:val="22"/>
              </w:rPr>
            </w:pPr>
            <w:r w:rsidRPr="00A81F10">
              <w:rPr>
                <w:rFonts w:eastAsia="MS Mincho"/>
                <w:szCs w:val="22"/>
              </w:rPr>
              <w:t>Ja nepieciešams, jāmaina vienlaikus lietotā MTX deva.</w:t>
            </w:r>
          </w:p>
          <w:p w14:paraId="3D652F4B" w14:textId="4CAD5384" w:rsidR="00A453C3" w:rsidRPr="00A81F10" w:rsidRDefault="00A453C3" w:rsidP="0067693D">
            <w:pPr>
              <w:keepNext/>
              <w:keepLines/>
              <w:spacing w:line="280" w:lineRule="atLeast"/>
              <w:rPr>
                <w:rFonts w:eastAsia="MS Mincho"/>
                <w:szCs w:val="22"/>
              </w:rPr>
            </w:pPr>
            <w:r w:rsidRPr="00A81F10">
              <w:rPr>
                <w:rFonts w:eastAsia="MS Mincho"/>
                <w:szCs w:val="22"/>
              </w:rPr>
              <w:t xml:space="preserve">Ja rādītāji ir pastāvīgi palielināti, iekļaujoties šajās robežās, tocilizumaba lietošana ir jāpārtrauc, līdz ALAT/ASAT līmenis ir normalizējies. </w:t>
            </w:r>
          </w:p>
        </w:tc>
      </w:tr>
      <w:tr w:rsidR="00A453C3" w:rsidRPr="00EC2F43" w14:paraId="159774B2" w14:textId="77777777" w:rsidTr="00707120">
        <w:tc>
          <w:tcPr>
            <w:tcW w:w="2629" w:type="dxa"/>
          </w:tcPr>
          <w:p w14:paraId="5048A329" w14:textId="4839C539" w:rsidR="00A453C3" w:rsidRPr="00707510" w:rsidRDefault="00A453C3" w:rsidP="0067693D">
            <w:pPr>
              <w:spacing w:after="170" w:line="280" w:lineRule="atLeast"/>
              <w:rPr>
                <w:rFonts w:eastAsia="MS Mincho"/>
                <w:szCs w:val="22"/>
              </w:rPr>
            </w:pPr>
            <w:r w:rsidRPr="00707510">
              <w:rPr>
                <w:rFonts w:eastAsia="MS Mincho"/>
                <w:szCs w:val="22"/>
              </w:rPr>
              <w:t>&gt;</w:t>
            </w:r>
            <w:r>
              <w:rPr>
                <w:rFonts w:eastAsia="MS Mincho"/>
                <w:szCs w:val="22"/>
              </w:rPr>
              <w:t> </w:t>
            </w:r>
            <w:r w:rsidRPr="00707510">
              <w:rPr>
                <w:rFonts w:eastAsia="MS Mincho"/>
                <w:szCs w:val="22"/>
              </w:rPr>
              <w:t>3</w:t>
            </w:r>
            <w:r>
              <w:rPr>
                <w:rFonts w:eastAsia="MS Mincho"/>
                <w:szCs w:val="22"/>
              </w:rPr>
              <w:noBreakHyphen/>
            </w:r>
            <w:r w:rsidRPr="00707510">
              <w:rPr>
                <w:rFonts w:eastAsia="MS Mincho"/>
                <w:szCs w:val="22"/>
              </w:rPr>
              <w:t>5</w:t>
            </w:r>
            <w:r>
              <w:rPr>
                <w:rFonts w:eastAsia="MS Mincho"/>
                <w:szCs w:val="22"/>
              </w:rPr>
              <w:t> </w:t>
            </w:r>
            <w:r w:rsidRPr="00707510">
              <w:rPr>
                <w:rFonts w:eastAsia="MS Mincho"/>
                <w:szCs w:val="22"/>
              </w:rPr>
              <w:t>reizes pārsniedz NAR</w:t>
            </w:r>
          </w:p>
        </w:tc>
        <w:tc>
          <w:tcPr>
            <w:tcW w:w="6443" w:type="dxa"/>
          </w:tcPr>
          <w:p w14:paraId="0BEB1EE6" w14:textId="69A14C44" w:rsidR="00A453C3" w:rsidRPr="00A81F10" w:rsidRDefault="00A453C3" w:rsidP="0067693D">
            <w:pPr>
              <w:spacing w:line="280" w:lineRule="atLeast"/>
              <w:rPr>
                <w:rFonts w:eastAsia="MS Mincho"/>
                <w:szCs w:val="22"/>
              </w:rPr>
            </w:pPr>
            <w:r w:rsidRPr="00A81F10">
              <w:rPr>
                <w:rFonts w:eastAsia="MS Mincho"/>
                <w:szCs w:val="22"/>
              </w:rPr>
              <w:t>Ja nepieciešams, jāmaina vienlaikus lietotā MTX deva.</w:t>
            </w:r>
          </w:p>
          <w:p w14:paraId="5052DA8F" w14:textId="50AE7A63" w:rsidR="00A453C3" w:rsidRPr="00A81F10" w:rsidRDefault="00A453C3" w:rsidP="0067693D">
            <w:pPr>
              <w:spacing w:line="280" w:lineRule="atLeast"/>
              <w:rPr>
                <w:rFonts w:eastAsia="MS Mincho"/>
                <w:szCs w:val="22"/>
              </w:rPr>
            </w:pPr>
            <w:r w:rsidRPr="00A81F10">
              <w:rPr>
                <w:rFonts w:eastAsia="MS Mincho"/>
                <w:szCs w:val="22"/>
              </w:rPr>
              <w:t>Tocilizumaba lietošana ir uz laiku jāpārtrauc, līdz attiecīgās vērtības &lt; 3 reizes pārsniedz NAR, un jāievēro augstākminētie ieteikumi gadījumā, ja vērtības &gt; 1</w:t>
            </w:r>
            <w:r w:rsidRPr="00A81F10">
              <w:rPr>
                <w:rFonts w:eastAsia="MS Mincho"/>
                <w:szCs w:val="22"/>
              </w:rPr>
              <w:noBreakHyphen/>
              <w:t>3 reizes pārsniedz NAR.</w:t>
            </w:r>
          </w:p>
        </w:tc>
      </w:tr>
      <w:tr w:rsidR="00A453C3" w:rsidRPr="00903A29" w14:paraId="5C70B144" w14:textId="77777777" w:rsidTr="00707120">
        <w:tc>
          <w:tcPr>
            <w:tcW w:w="2629" w:type="dxa"/>
          </w:tcPr>
          <w:p w14:paraId="6E6494D9" w14:textId="509A0E64" w:rsidR="00A453C3" w:rsidRPr="00707510" w:rsidRDefault="00A453C3" w:rsidP="0067693D">
            <w:pPr>
              <w:spacing w:after="170" w:line="280" w:lineRule="atLeast"/>
              <w:rPr>
                <w:rFonts w:eastAsia="MS Mincho"/>
                <w:szCs w:val="22"/>
              </w:rPr>
            </w:pPr>
            <w:r w:rsidRPr="00707510">
              <w:rPr>
                <w:rFonts w:eastAsia="MS Mincho"/>
                <w:szCs w:val="22"/>
              </w:rPr>
              <w:t>&gt;</w:t>
            </w:r>
            <w:r>
              <w:rPr>
                <w:rFonts w:eastAsia="MS Mincho"/>
                <w:szCs w:val="22"/>
              </w:rPr>
              <w:t> </w:t>
            </w:r>
            <w:r w:rsidRPr="00707510">
              <w:rPr>
                <w:rFonts w:eastAsia="MS Mincho"/>
                <w:szCs w:val="22"/>
              </w:rPr>
              <w:t>5 reizes p</w:t>
            </w:r>
            <w:r w:rsidRPr="00707510">
              <w:rPr>
                <w:rFonts w:eastAsia="MS Mincho"/>
                <w:szCs w:val="22"/>
                <w:lang w:val="lv-LV"/>
              </w:rPr>
              <w:t>ārsniedz NAR</w:t>
            </w:r>
          </w:p>
        </w:tc>
        <w:tc>
          <w:tcPr>
            <w:tcW w:w="6443" w:type="dxa"/>
          </w:tcPr>
          <w:p w14:paraId="23AF2DEA" w14:textId="4126F7C8" w:rsidR="00A453C3" w:rsidRPr="00707120" w:rsidRDefault="00A453C3" w:rsidP="0067693D">
            <w:pPr>
              <w:spacing w:line="280" w:lineRule="atLeast"/>
              <w:rPr>
                <w:rFonts w:eastAsia="MS Mincho"/>
                <w:szCs w:val="22"/>
                <w:lang w:val="es-ES"/>
              </w:rPr>
            </w:pPr>
            <w:r w:rsidRPr="00707120">
              <w:rPr>
                <w:rFonts w:eastAsia="MS Mincho"/>
                <w:szCs w:val="22"/>
                <w:lang w:val="es-ES"/>
              </w:rPr>
              <w:t>Tocilizumaba terapija ir pilnīgi jāpārtrauc.</w:t>
            </w:r>
          </w:p>
          <w:p w14:paraId="12811ED6" w14:textId="77777777" w:rsidR="00A453C3" w:rsidRPr="00707120" w:rsidRDefault="00A453C3" w:rsidP="0067693D">
            <w:pPr>
              <w:spacing w:line="280" w:lineRule="atLeast"/>
              <w:rPr>
                <w:rFonts w:eastAsia="MS Mincho"/>
                <w:szCs w:val="22"/>
                <w:lang w:val="es-ES"/>
              </w:rPr>
            </w:pPr>
          </w:p>
          <w:p w14:paraId="7E88AD63" w14:textId="2062D100" w:rsidR="00A453C3" w:rsidRPr="00707120" w:rsidRDefault="00A453C3" w:rsidP="0067693D">
            <w:pPr>
              <w:spacing w:line="280" w:lineRule="atLeast"/>
              <w:rPr>
                <w:rFonts w:eastAsia="MS Mincho"/>
                <w:szCs w:val="22"/>
                <w:lang w:val="es-ES"/>
              </w:rPr>
            </w:pPr>
            <w:r w:rsidRPr="00707120">
              <w:rPr>
                <w:rFonts w:eastAsia="MS Mincho"/>
                <w:szCs w:val="22"/>
                <w:lang w:val="es-ES"/>
              </w:rPr>
              <w:t>Lēmums pārtraukt terapiju sJIA un pJIA gadījumā laboratorisko vērtību noviržu dēļ jāpamato ar konkrētā pacienta medicīniskās izmeklēšanas rezultātiem.</w:t>
            </w:r>
          </w:p>
        </w:tc>
      </w:tr>
    </w:tbl>
    <w:p w14:paraId="6A4D52BF" w14:textId="77777777" w:rsidR="00A453C3" w:rsidRPr="00707120" w:rsidRDefault="00A453C3" w:rsidP="00A453C3">
      <w:pPr>
        <w:pStyle w:val="Standard"/>
        <w:ind w:left="9"/>
        <w:rPr>
          <w:noProof/>
          <w:lang w:val="es-ES"/>
        </w:rPr>
      </w:pPr>
    </w:p>
    <w:p w14:paraId="336C4972" w14:textId="246A6063" w:rsidR="00A453C3" w:rsidRPr="00707120" w:rsidRDefault="006334B7">
      <w:pPr>
        <w:pStyle w:val="Standard"/>
        <w:keepNext/>
        <w:ind w:left="567" w:hanging="567"/>
        <w:rPr>
          <w:noProof/>
          <w:lang w:val="es-ES"/>
        </w:rPr>
        <w:pPrChange w:id="931" w:author="Author">
          <w:pPr>
            <w:pStyle w:val="Standard"/>
            <w:ind w:left="567" w:hanging="567"/>
          </w:pPr>
        </w:pPrChange>
      </w:pPr>
      <w:r>
        <w:rPr>
          <w:lang w:val="nb-NO"/>
        </w:rPr>
        <w:sym w:font="Symbol" w:char="F0B7"/>
      </w:r>
      <w:r>
        <w:rPr>
          <w:lang w:val="nb-NO"/>
        </w:rPr>
        <w:tab/>
      </w:r>
      <w:r w:rsidR="00A453C3" w:rsidRPr="00707120">
        <w:rPr>
          <w:noProof/>
          <w:lang w:val="es-ES"/>
        </w:rPr>
        <w:t>Samazināts absolūtais neitrofilo leikocītu skaits (ANS)</w:t>
      </w:r>
    </w:p>
    <w:p w14:paraId="5C4A6F02" w14:textId="77777777" w:rsidR="00A453C3" w:rsidRPr="00707120" w:rsidRDefault="00A453C3">
      <w:pPr>
        <w:pStyle w:val="Standard"/>
        <w:keepNext/>
        <w:ind w:left="9"/>
        <w:rPr>
          <w:noProof/>
          <w:lang w:val="es-ES"/>
        </w:rPr>
        <w:pPrChange w:id="932" w:author="Author">
          <w:pPr>
            <w:pStyle w:val="Standard"/>
            <w:ind w:left="9"/>
          </w:pPr>
        </w:pPrChange>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6650"/>
      </w:tblGrid>
      <w:tr w:rsidR="00A453C3" w:rsidRPr="00242806" w14:paraId="45295AAD" w14:textId="77777777" w:rsidTr="0067693D">
        <w:tc>
          <w:tcPr>
            <w:tcW w:w="2415" w:type="dxa"/>
            <w:tcBorders>
              <w:top w:val="single" w:sz="4" w:space="0" w:color="auto"/>
              <w:left w:val="single" w:sz="4" w:space="0" w:color="auto"/>
              <w:bottom w:val="single" w:sz="4" w:space="0" w:color="auto"/>
              <w:right w:val="single" w:sz="4" w:space="0" w:color="auto"/>
            </w:tcBorders>
            <w:hideMark/>
          </w:tcPr>
          <w:p w14:paraId="2E917C57" w14:textId="4EFBB621" w:rsidR="00A453C3" w:rsidRPr="00707120" w:rsidRDefault="00A453C3" w:rsidP="00707120">
            <w:pPr>
              <w:pStyle w:val="Standard"/>
              <w:ind w:left="9"/>
              <w:jc w:val="center"/>
              <w:rPr>
                <w:bCs/>
                <w:noProof/>
                <w:lang w:val="lv-LV"/>
              </w:rPr>
            </w:pPr>
            <w:r w:rsidRPr="00707120">
              <w:rPr>
                <w:bCs/>
                <w:noProof/>
                <w:lang w:val="lv-LV"/>
              </w:rPr>
              <w:t xml:space="preserve">Laboratorisko izmeklējumu rezultāti </w:t>
            </w:r>
            <w:r w:rsidRPr="00707120">
              <w:rPr>
                <w:bCs/>
                <w:noProof/>
                <w:lang w:val="lv-LV"/>
              </w:rPr>
              <w:br/>
              <w:t>(šūnas × 10</w:t>
            </w:r>
            <w:r w:rsidRPr="00707120">
              <w:rPr>
                <w:bCs/>
                <w:noProof/>
                <w:vertAlign w:val="superscript"/>
                <w:lang w:val="lv-LV"/>
              </w:rPr>
              <w:t>9</w:t>
            </w:r>
            <w:r w:rsidRPr="00707120">
              <w:rPr>
                <w:bCs/>
                <w:noProof/>
                <w:lang w:val="lv-LV"/>
              </w:rPr>
              <w:t>/l)</w:t>
            </w:r>
          </w:p>
        </w:tc>
        <w:tc>
          <w:tcPr>
            <w:tcW w:w="6650" w:type="dxa"/>
            <w:tcBorders>
              <w:top w:val="single" w:sz="4" w:space="0" w:color="auto"/>
              <w:left w:val="single" w:sz="4" w:space="0" w:color="auto"/>
              <w:bottom w:val="single" w:sz="4" w:space="0" w:color="auto"/>
              <w:right w:val="single" w:sz="4" w:space="0" w:color="auto"/>
            </w:tcBorders>
            <w:hideMark/>
          </w:tcPr>
          <w:p w14:paraId="1E5BDC91" w14:textId="77777777" w:rsidR="00A453C3" w:rsidRPr="00707120" w:rsidRDefault="00A453C3" w:rsidP="00707120">
            <w:pPr>
              <w:pStyle w:val="Standard"/>
              <w:ind w:left="9"/>
              <w:jc w:val="center"/>
              <w:rPr>
                <w:bCs/>
                <w:noProof/>
              </w:rPr>
            </w:pPr>
            <w:r w:rsidRPr="00707120">
              <w:rPr>
                <w:bCs/>
                <w:noProof/>
              </w:rPr>
              <w:t>Rīcība</w:t>
            </w:r>
          </w:p>
        </w:tc>
      </w:tr>
      <w:tr w:rsidR="00A453C3" w14:paraId="37A5A7C8" w14:textId="77777777" w:rsidTr="0067693D">
        <w:tc>
          <w:tcPr>
            <w:tcW w:w="2415" w:type="dxa"/>
            <w:tcBorders>
              <w:top w:val="single" w:sz="4" w:space="0" w:color="auto"/>
              <w:left w:val="single" w:sz="4" w:space="0" w:color="auto"/>
              <w:bottom w:val="single" w:sz="4" w:space="0" w:color="auto"/>
              <w:right w:val="single" w:sz="4" w:space="0" w:color="auto"/>
            </w:tcBorders>
            <w:hideMark/>
          </w:tcPr>
          <w:p w14:paraId="5E887AEF" w14:textId="77777777" w:rsidR="00A453C3" w:rsidRDefault="00A453C3" w:rsidP="0067693D">
            <w:pPr>
              <w:pStyle w:val="Standard"/>
              <w:ind w:left="9"/>
              <w:rPr>
                <w:noProof/>
              </w:rPr>
            </w:pPr>
            <w:r>
              <w:rPr>
                <w:noProof/>
              </w:rPr>
              <w:t xml:space="preserve">ANS ir &gt; 1 </w:t>
            </w:r>
          </w:p>
        </w:tc>
        <w:tc>
          <w:tcPr>
            <w:tcW w:w="6650" w:type="dxa"/>
            <w:tcBorders>
              <w:top w:val="single" w:sz="4" w:space="0" w:color="auto"/>
              <w:left w:val="single" w:sz="4" w:space="0" w:color="auto"/>
              <w:bottom w:val="single" w:sz="4" w:space="0" w:color="auto"/>
              <w:right w:val="single" w:sz="4" w:space="0" w:color="auto"/>
            </w:tcBorders>
            <w:hideMark/>
          </w:tcPr>
          <w:p w14:paraId="34E105BB" w14:textId="77777777" w:rsidR="00A453C3" w:rsidRDefault="00A453C3" w:rsidP="0067693D">
            <w:pPr>
              <w:pStyle w:val="Standard"/>
              <w:ind w:left="9"/>
              <w:rPr>
                <w:noProof/>
              </w:rPr>
            </w:pPr>
            <w:r>
              <w:rPr>
                <w:noProof/>
              </w:rPr>
              <w:t xml:space="preserve">Deva nav jāmaina. </w:t>
            </w:r>
          </w:p>
        </w:tc>
      </w:tr>
      <w:tr w:rsidR="00A453C3" w14:paraId="27C6190C" w14:textId="77777777" w:rsidTr="0067693D">
        <w:tc>
          <w:tcPr>
            <w:tcW w:w="2415" w:type="dxa"/>
            <w:tcBorders>
              <w:top w:val="single" w:sz="4" w:space="0" w:color="auto"/>
              <w:left w:val="single" w:sz="4" w:space="0" w:color="auto"/>
              <w:bottom w:val="single" w:sz="4" w:space="0" w:color="auto"/>
              <w:right w:val="single" w:sz="4" w:space="0" w:color="auto"/>
            </w:tcBorders>
            <w:hideMark/>
          </w:tcPr>
          <w:p w14:paraId="69227D1E" w14:textId="2986FB5D" w:rsidR="00A453C3" w:rsidRDefault="00A453C3" w:rsidP="0067693D">
            <w:pPr>
              <w:pStyle w:val="Standard"/>
              <w:ind w:left="9"/>
              <w:rPr>
                <w:noProof/>
              </w:rPr>
            </w:pPr>
            <w:r>
              <w:rPr>
                <w:noProof/>
              </w:rPr>
              <w:t>ANS ir 0,5</w:t>
            </w:r>
            <w:r>
              <w:rPr>
                <w:noProof/>
              </w:rPr>
              <w:noBreakHyphen/>
              <w:t>1</w:t>
            </w:r>
          </w:p>
        </w:tc>
        <w:tc>
          <w:tcPr>
            <w:tcW w:w="6650" w:type="dxa"/>
            <w:tcBorders>
              <w:top w:val="single" w:sz="4" w:space="0" w:color="auto"/>
              <w:left w:val="single" w:sz="4" w:space="0" w:color="auto"/>
              <w:bottom w:val="single" w:sz="4" w:space="0" w:color="auto"/>
              <w:right w:val="single" w:sz="4" w:space="0" w:color="auto"/>
            </w:tcBorders>
          </w:tcPr>
          <w:p w14:paraId="6B26E374" w14:textId="3A65DD6D" w:rsidR="00A453C3" w:rsidRDefault="00A453C3" w:rsidP="0067693D">
            <w:pPr>
              <w:pStyle w:val="Standard"/>
              <w:ind w:left="9"/>
              <w:rPr>
                <w:noProof/>
              </w:rPr>
            </w:pPr>
            <w:r>
              <w:rPr>
                <w:noProof/>
              </w:rPr>
              <w:t xml:space="preserve">Uz laiku jāpārtrauc tocilizumaba lietošana. </w:t>
            </w:r>
          </w:p>
          <w:p w14:paraId="4DF0C723" w14:textId="77777777" w:rsidR="00A453C3" w:rsidRDefault="00A453C3" w:rsidP="0067693D">
            <w:pPr>
              <w:pStyle w:val="Standard"/>
              <w:ind w:left="9"/>
              <w:rPr>
                <w:noProof/>
              </w:rPr>
            </w:pPr>
          </w:p>
          <w:p w14:paraId="0C36A78A" w14:textId="65167835" w:rsidR="00A453C3" w:rsidRDefault="00A453C3" w:rsidP="0067693D">
            <w:pPr>
              <w:pStyle w:val="Standard"/>
              <w:ind w:left="9"/>
              <w:rPr>
                <w:noProof/>
              </w:rPr>
            </w:pPr>
            <w:r>
              <w:rPr>
                <w:noProof/>
              </w:rPr>
              <w:t>Tiklīdz ANS palielinās līdz &gt; 1 × 10</w:t>
            </w:r>
            <w:r>
              <w:rPr>
                <w:noProof/>
                <w:vertAlign w:val="superscript"/>
              </w:rPr>
              <w:t>9</w:t>
            </w:r>
            <w:r>
              <w:rPr>
                <w:noProof/>
              </w:rPr>
              <w:t>/l, terapiju atsāk.</w:t>
            </w:r>
          </w:p>
        </w:tc>
      </w:tr>
      <w:tr w:rsidR="00A453C3" w:rsidRPr="00903A29" w14:paraId="2F95FDCA" w14:textId="77777777" w:rsidTr="0067693D">
        <w:tc>
          <w:tcPr>
            <w:tcW w:w="2415" w:type="dxa"/>
            <w:tcBorders>
              <w:top w:val="single" w:sz="4" w:space="0" w:color="auto"/>
              <w:left w:val="single" w:sz="4" w:space="0" w:color="auto"/>
              <w:bottom w:val="single" w:sz="4" w:space="0" w:color="auto"/>
              <w:right w:val="single" w:sz="4" w:space="0" w:color="auto"/>
            </w:tcBorders>
            <w:hideMark/>
          </w:tcPr>
          <w:p w14:paraId="75BBB8DF" w14:textId="77777777" w:rsidR="00A453C3" w:rsidRDefault="00A453C3" w:rsidP="0067693D">
            <w:pPr>
              <w:pStyle w:val="Standard"/>
              <w:ind w:left="9"/>
              <w:rPr>
                <w:noProof/>
              </w:rPr>
            </w:pPr>
            <w:r>
              <w:rPr>
                <w:noProof/>
              </w:rPr>
              <w:t>ANS ir &lt; 0,5</w:t>
            </w:r>
          </w:p>
        </w:tc>
        <w:tc>
          <w:tcPr>
            <w:tcW w:w="6650" w:type="dxa"/>
            <w:tcBorders>
              <w:top w:val="single" w:sz="4" w:space="0" w:color="auto"/>
              <w:left w:val="single" w:sz="4" w:space="0" w:color="auto"/>
              <w:bottom w:val="single" w:sz="4" w:space="0" w:color="auto"/>
              <w:right w:val="single" w:sz="4" w:space="0" w:color="auto"/>
            </w:tcBorders>
          </w:tcPr>
          <w:p w14:paraId="2EF55C62" w14:textId="06A5CE41" w:rsidR="00A453C3" w:rsidRPr="00707120" w:rsidRDefault="00A453C3" w:rsidP="0067693D">
            <w:pPr>
              <w:pStyle w:val="Standard"/>
              <w:ind w:left="9"/>
              <w:rPr>
                <w:noProof/>
                <w:lang w:val="es-ES"/>
              </w:rPr>
            </w:pPr>
            <w:r w:rsidRPr="00707120">
              <w:rPr>
                <w:noProof/>
                <w:lang w:val="es-ES"/>
              </w:rPr>
              <w:t xml:space="preserve">Tocilizumaba terapija ir pilnīgi jāpārtrauc. </w:t>
            </w:r>
          </w:p>
          <w:p w14:paraId="15E5E52F" w14:textId="2AE20061" w:rsidR="00A453C3" w:rsidRPr="00707120" w:rsidRDefault="00A453C3" w:rsidP="0067693D">
            <w:pPr>
              <w:pStyle w:val="Standard"/>
              <w:ind w:left="9"/>
              <w:rPr>
                <w:noProof/>
                <w:lang w:val="es-ES"/>
              </w:rPr>
            </w:pPr>
            <w:r w:rsidRPr="00707120">
              <w:rPr>
                <w:noProof/>
                <w:lang w:val="es-ES"/>
              </w:rPr>
              <w:t>Lēmums pārtraukt terapiju sJIA un pJIA gadījumā jāpamato ar konkrētā pacienta medicīniskās izmeklēšanas rezultātiem.</w:t>
            </w:r>
          </w:p>
        </w:tc>
      </w:tr>
    </w:tbl>
    <w:p w14:paraId="2835ED53" w14:textId="77777777" w:rsidR="00A453C3" w:rsidRPr="00707120" w:rsidRDefault="00A453C3" w:rsidP="00A453C3">
      <w:pPr>
        <w:pStyle w:val="Standard"/>
        <w:ind w:left="9"/>
        <w:rPr>
          <w:noProof/>
          <w:lang w:val="es-ES"/>
        </w:rPr>
      </w:pPr>
    </w:p>
    <w:p w14:paraId="37DE52CF" w14:textId="06C2AEFF" w:rsidR="00A453C3" w:rsidRPr="00242806" w:rsidRDefault="006334B7" w:rsidP="00707120">
      <w:pPr>
        <w:pStyle w:val="Standard"/>
        <w:keepNext/>
        <w:keepLines/>
        <w:ind w:left="567" w:hanging="567"/>
        <w:rPr>
          <w:noProof/>
        </w:rPr>
      </w:pPr>
      <w:r>
        <w:rPr>
          <w:lang w:val="nb-NO"/>
        </w:rPr>
        <w:sym w:font="Symbol" w:char="F0B7"/>
      </w:r>
      <w:r>
        <w:rPr>
          <w:lang w:val="nb-NO"/>
        </w:rPr>
        <w:tab/>
      </w:r>
      <w:r w:rsidR="00A453C3" w:rsidRPr="00242806">
        <w:rPr>
          <w:noProof/>
        </w:rPr>
        <w:t xml:space="preserve">Samazināts trombocītu skaits </w:t>
      </w:r>
    </w:p>
    <w:p w14:paraId="671B97E1" w14:textId="77777777" w:rsidR="00A453C3" w:rsidRDefault="00A453C3">
      <w:pPr>
        <w:pStyle w:val="Standard"/>
        <w:keepNext/>
        <w:keepLines/>
        <w:ind w:left="9"/>
        <w:rPr>
          <w:noProof/>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6542"/>
      </w:tblGrid>
      <w:tr w:rsidR="00A453C3" w:rsidRPr="009B518A" w14:paraId="4DC19A5D" w14:textId="77777777" w:rsidTr="0067693D">
        <w:tc>
          <w:tcPr>
            <w:tcW w:w="2530" w:type="dxa"/>
            <w:tcBorders>
              <w:top w:val="single" w:sz="4" w:space="0" w:color="auto"/>
              <w:left w:val="single" w:sz="4" w:space="0" w:color="auto"/>
              <w:bottom w:val="single" w:sz="4" w:space="0" w:color="auto"/>
              <w:right w:val="single" w:sz="4" w:space="0" w:color="auto"/>
            </w:tcBorders>
            <w:hideMark/>
          </w:tcPr>
          <w:p w14:paraId="289E73EC" w14:textId="69152DC1" w:rsidR="00A453C3" w:rsidRPr="00707120" w:rsidRDefault="00A453C3" w:rsidP="00707120">
            <w:pPr>
              <w:pStyle w:val="Standard"/>
              <w:keepNext/>
              <w:keepLines/>
              <w:ind w:left="9"/>
              <w:jc w:val="center"/>
              <w:rPr>
                <w:bCs/>
                <w:noProof/>
                <w:lang w:val="lv-LV"/>
              </w:rPr>
            </w:pPr>
            <w:r w:rsidRPr="00707120">
              <w:rPr>
                <w:bCs/>
                <w:noProof/>
                <w:lang w:val="lv-LV"/>
              </w:rPr>
              <w:t>Laboratorisko izmeklējumu rezultāti</w:t>
            </w:r>
            <w:r w:rsidRPr="00707120">
              <w:rPr>
                <w:bCs/>
                <w:noProof/>
                <w:lang w:val="lv-LV"/>
              </w:rPr>
              <w:br/>
              <w:t>(šūnas × 10</w:t>
            </w:r>
            <w:r w:rsidRPr="00707120">
              <w:rPr>
                <w:bCs/>
                <w:noProof/>
                <w:vertAlign w:val="superscript"/>
                <w:lang w:val="lv-LV"/>
              </w:rPr>
              <w:t>3</w:t>
            </w:r>
            <w:r w:rsidRPr="00707120">
              <w:rPr>
                <w:bCs/>
                <w:noProof/>
                <w:lang w:val="lv-LV"/>
              </w:rPr>
              <w:t>/</w:t>
            </w:r>
            <w:r w:rsidR="0026662E" w:rsidRPr="00707120">
              <w:rPr>
                <w:noProof/>
                <w:szCs w:val="22"/>
                <w:lang w:val="es-ES"/>
              </w:rPr>
              <w:t>µ</w:t>
            </w:r>
            <w:r w:rsidRPr="00707120">
              <w:rPr>
                <w:bCs/>
                <w:noProof/>
                <w:lang w:val="lv-LV"/>
              </w:rPr>
              <w:t>l)</w:t>
            </w:r>
          </w:p>
        </w:tc>
        <w:tc>
          <w:tcPr>
            <w:tcW w:w="6542" w:type="dxa"/>
            <w:tcBorders>
              <w:top w:val="single" w:sz="4" w:space="0" w:color="auto"/>
              <w:left w:val="single" w:sz="4" w:space="0" w:color="auto"/>
              <w:bottom w:val="single" w:sz="4" w:space="0" w:color="auto"/>
              <w:right w:val="single" w:sz="4" w:space="0" w:color="auto"/>
            </w:tcBorders>
            <w:hideMark/>
          </w:tcPr>
          <w:p w14:paraId="61D1EEC3" w14:textId="77777777" w:rsidR="00A453C3" w:rsidRPr="009B518A" w:rsidRDefault="00A453C3" w:rsidP="00707120">
            <w:pPr>
              <w:pStyle w:val="Standard"/>
              <w:keepNext/>
              <w:keepLines/>
              <w:ind w:left="9"/>
              <w:jc w:val="center"/>
              <w:rPr>
                <w:bCs/>
                <w:noProof/>
              </w:rPr>
            </w:pPr>
            <w:r w:rsidRPr="00707120">
              <w:rPr>
                <w:bCs/>
                <w:noProof/>
              </w:rPr>
              <w:t>Rīcība</w:t>
            </w:r>
          </w:p>
        </w:tc>
      </w:tr>
      <w:tr w:rsidR="00A453C3" w:rsidRPr="00707120" w14:paraId="2C366225" w14:textId="77777777" w:rsidTr="0067693D">
        <w:tc>
          <w:tcPr>
            <w:tcW w:w="2530" w:type="dxa"/>
            <w:hideMark/>
          </w:tcPr>
          <w:p w14:paraId="174BAE5D" w14:textId="65863084" w:rsidR="00A453C3" w:rsidRDefault="00A453C3">
            <w:pPr>
              <w:pStyle w:val="Standard"/>
              <w:keepNext/>
              <w:keepLines/>
              <w:ind w:left="9"/>
              <w:rPr>
                <w:noProof/>
              </w:rPr>
            </w:pPr>
            <w:r w:rsidRPr="008B5E8B">
              <w:rPr>
                <w:rFonts w:eastAsia="MS Mincho"/>
                <w:szCs w:val="22"/>
              </w:rPr>
              <w:t>50</w:t>
            </w:r>
            <w:r>
              <w:rPr>
                <w:rFonts w:eastAsia="MS Mincho"/>
                <w:szCs w:val="22"/>
              </w:rPr>
              <w:noBreakHyphen/>
            </w:r>
            <w:r w:rsidRPr="008B5E8B">
              <w:rPr>
                <w:rFonts w:eastAsia="MS Mincho"/>
                <w:szCs w:val="22"/>
              </w:rPr>
              <w:t>100</w:t>
            </w:r>
          </w:p>
        </w:tc>
        <w:tc>
          <w:tcPr>
            <w:tcW w:w="6542" w:type="dxa"/>
          </w:tcPr>
          <w:p w14:paraId="6780C6D9" w14:textId="40625F94" w:rsidR="00A453C3" w:rsidRPr="00707120" w:rsidRDefault="00A453C3">
            <w:pPr>
              <w:pStyle w:val="TextTi12"/>
              <w:keepNext/>
              <w:keepLines/>
              <w:spacing w:after="0"/>
              <w:jc w:val="left"/>
              <w:rPr>
                <w:rFonts w:eastAsia="MS Mincho"/>
                <w:sz w:val="22"/>
                <w:szCs w:val="22"/>
                <w:lang w:val="lv-LV"/>
              </w:rPr>
            </w:pPr>
            <w:r w:rsidRPr="00707120">
              <w:rPr>
                <w:rFonts w:eastAsia="MS Mincho"/>
                <w:sz w:val="22"/>
                <w:szCs w:val="22"/>
                <w:lang w:val="lv-LV"/>
              </w:rPr>
              <w:t>Ja nepieciešams, jāmaina vienlaikus lietotā MTX deva.</w:t>
            </w:r>
          </w:p>
          <w:p w14:paraId="525971D6" w14:textId="18F98417" w:rsidR="00A453C3" w:rsidRPr="00707120" w:rsidRDefault="00A453C3">
            <w:pPr>
              <w:pStyle w:val="TextTi12"/>
              <w:keepNext/>
              <w:keepLines/>
              <w:spacing w:after="0"/>
              <w:jc w:val="left"/>
              <w:rPr>
                <w:rFonts w:eastAsia="MS Mincho"/>
                <w:sz w:val="22"/>
                <w:szCs w:val="22"/>
                <w:lang w:val="lv-LV"/>
              </w:rPr>
            </w:pPr>
            <w:r w:rsidRPr="00707120">
              <w:rPr>
                <w:rFonts w:eastAsia="MS Mincho"/>
                <w:sz w:val="22"/>
                <w:szCs w:val="22"/>
                <w:lang w:val="lv-LV"/>
              </w:rPr>
              <w:t>Uz laiku jāpārtrauc tocilizumaba lietošana.</w:t>
            </w:r>
          </w:p>
          <w:p w14:paraId="5B717F88" w14:textId="33C45DA4" w:rsidR="00A453C3" w:rsidRPr="00707120" w:rsidRDefault="00A453C3">
            <w:pPr>
              <w:pStyle w:val="Standard"/>
              <w:keepNext/>
              <w:keepLines/>
              <w:ind w:left="9"/>
              <w:rPr>
                <w:noProof/>
                <w:lang w:val="lv-LV"/>
              </w:rPr>
            </w:pPr>
            <w:r w:rsidRPr="00707120">
              <w:rPr>
                <w:rFonts w:eastAsia="MS Mincho"/>
                <w:szCs w:val="22"/>
                <w:lang w:val="lv-LV"/>
              </w:rPr>
              <w:t>Tiklīdz trombocītu skaits ir &gt; 100 × 10</w:t>
            </w:r>
            <w:r w:rsidRPr="00707120">
              <w:rPr>
                <w:rFonts w:eastAsia="MS Mincho"/>
                <w:szCs w:val="22"/>
                <w:vertAlign w:val="superscript"/>
                <w:lang w:val="lv-LV"/>
              </w:rPr>
              <w:t>3</w:t>
            </w:r>
            <w:r w:rsidRPr="00707120">
              <w:rPr>
                <w:rFonts w:eastAsia="MS Mincho"/>
                <w:szCs w:val="22"/>
                <w:lang w:val="lv-LV"/>
              </w:rPr>
              <w:t>/</w:t>
            </w:r>
            <w:r w:rsidRPr="00707120">
              <w:rPr>
                <w:rFonts w:eastAsia="MS Mincho"/>
                <w:szCs w:val="22"/>
                <w:lang w:val="lv-LV"/>
              </w:rPr>
              <w:sym w:font="Symbol" w:char="F06D"/>
            </w:r>
            <w:r w:rsidRPr="00707120">
              <w:rPr>
                <w:rFonts w:eastAsia="MS Mincho"/>
                <w:szCs w:val="22"/>
                <w:lang w:val="lv-LV"/>
              </w:rPr>
              <w:t>l, terapiju atsāk.</w:t>
            </w:r>
          </w:p>
        </w:tc>
      </w:tr>
      <w:tr w:rsidR="00A453C3" w:rsidRPr="00903A29" w14:paraId="7B7F1089" w14:textId="77777777" w:rsidTr="0067693D">
        <w:tc>
          <w:tcPr>
            <w:tcW w:w="2530" w:type="dxa"/>
            <w:hideMark/>
          </w:tcPr>
          <w:p w14:paraId="3D5FE1D6" w14:textId="065A9CD1" w:rsidR="00A453C3" w:rsidRDefault="00A453C3">
            <w:pPr>
              <w:pStyle w:val="Standard"/>
              <w:keepLines/>
              <w:ind w:left="9"/>
              <w:rPr>
                <w:noProof/>
              </w:rPr>
              <w:pPrChange w:id="933" w:author="Author">
                <w:pPr>
                  <w:pStyle w:val="Standard"/>
                  <w:keepNext/>
                  <w:keepLines/>
                  <w:ind w:left="9"/>
                </w:pPr>
              </w:pPrChange>
            </w:pPr>
            <w:r w:rsidRPr="008B5E8B">
              <w:rPr>
                <w:rFonts w:eastAsia="MS Mincho"/>
                <w:szCs w:val="22"/>
              </w:rPr>
              <w:t>&lt;</w:t>
            </w:r>
            <w:r>
              <w:rPr>
                <w:rFonts w:eastAsia="MS Mincho"/>
                <w:szCs w:val="22"/>
              </w:rPr>
              <w:t> </w:t>
            </w:r>
            <w:r w:rsidRPr="008B5E8B">
              <w:rPr>
                <w:rFonts w:eastAsia="MS Mincho"/>
                <w:szCs w:val="22"/>
              </w:rPr>
              <w:t>50</w:t>
            </w:r>
          </w:p>
        </w:tc>
        <w:tc>
          <w:tcPr>
            <w:tcW w:w="6542" w:type="dxa"/>
          </w:tcPr>
          <w:p w14:paraId="226791A8" w14:textId="5D3E9F7E" w:rsidR="00A453C3" w:rsidRPr="00707120" w:rsidRDefault="00A453C3">
            <w:pPr>
              <w:pStyle w:val="TextTi12"/>
              <w:keepLines/>
              <w:spacing w:after="0"/>
              <w:jc w:val="left"/>
              <w:rPr>
                <w:rFonts w:eastAsia="MS Mincho"/>
                <w:sz w:val="22"/>
                <w:szCs w:val="22"/>
                <w:lang w:val="es-ES"/>
              </w:rPr>
              <w:pPrChange w:id="934" w:author="Author">
                <w:pPr>
                  <w:pStyle w:val="TextTi12"/>
                  <w:keepNext/>
                  <w:keepLines/>
                  <w:spacing w:after="0"/>
                  <w:jc w:val="left"/>
                </w:pPr>
              </w:pPrChange>
            </w:pPr>
            <w:r w:rsidRPr="00707120">
              <w:rPr>
                <w:rFonts w:eastAsia="MS Mincho"/>
                <w:sz w:val="22"/>
                <w:szCs w:val="22"/>
                <w:lang w:val="es-ES"/>
              </w:rPr>
              <w:t>Tocilizumaba terapija ir pilnīgi jāpārtrauc.</w:t>
            </w:r>
          </w:p>
          <w:p w14:paraId="7A4B955F" w14:textId="77777777" w:rsidR="00A453C3" w:rsidRPr="00707120" w:rsidRDefault="00A453C3">
            <w:pPr>
              <w:pStyle w:val="TextTi12"/>
              <w:keepLines/>
              <w:spacing w:after="0"/>
              <w:jc w:val="left"/>
              <w:rPr>
                <w:rFonts w:eastAsia="MS Mincho"/>
                <w:sz w:val="22"/>
                <w:szCs w:val="22"/>
                <w:lang w:val="es-ES"/>
              </w:rPr>
              <w:pPrChange w:id="935" w:author="Author">
                <w:pPr>
                  <w:pStyle w:val="TextTi12"/>
                  <w:keepNext/>
                  <w:keepLines/>
                  <w:spacing w:after="0"/>
                  <w:jc w:val="left"/>
                </w:pPr>
              </w:pPrChange>
            </w:pPr>
          </w:p>
          <w:p w14:paraId="40AE5852" w14:textId="5E375EB8" w:rsidR="00A453C3" w:rsidRPr="00707120" w:rsidRDefault="00A453C3">
            <w:pPr>
              <w:pStyle w:val="Standard"/>
              <w:keepLines/>
              <w:ind w:left="9"/>
              <w:rPr>
                <w:noProof/>
                <w:lang w:val="es-ES"/>
              </w:rPr>
              <w:pPrChange w:id="936" w:author="Author">
                <w:pPr>
                  <w:pStyle w:val="Standard"/>
                  <w:keepNext/>
                  <w:keepLines/>
                  <w:ind w:left="9"/>
                </w:pPr>
              </w:pPrChange>
            </w:pPr>
            <w:r w:rsidRPr="00707120">
              <w:rPr>
                <w:rFonts w:eastAsia="MS Mincho"/>
                <w:szCs w:val="22"/>
                <w:lang w:val="es-ES"/>
              </w:rPr>
              <w:t>Lēmums pārtraukt terapiju sJIA un pJIA gadījumā laboratorisko rādītāju noviržu dēļ jāpamato ar konkrētā pacienta medicīniskās izmeklēšanas rezultātiem.</w:t>
            </w:r>
          </w:p>
        </w:tc>
      </w:tr>
    </w:tbl>
    <w:p w14:paraId="54AA544D" w14:textId="77777777" w:rsidR="00A453C3" w:rsidRPr="00707120" w:rsidRDefault="00A453C3" w:rsidP="00A453C3">
      <w:pPr>
        <w:pStyle w:val="Standard"/>
        <w:ind w:left="9"/>
        <w:rPr>
          <w:noProof/>
          <w:lang w:val="es-ES"/>
        </w:rPr>
      </w:pPr>
    </w:p>
    <w:p w14:paraId="2570E39E" w14:textId="77777777" w:rsidR="00A453C3" w:rsidRPr="00707120" w:rsidRDefault="00A453C3" w:rsidP="00A453C3">
      <w:pPr>
        <w:pStyle w:val="Standard"/>
        <w:ind w:left="9"/>
        <w:rPr>
          <w:noProof/>
          <w:lang w:val="es-ES"/>
        </w:rPr>
      </w:pPr>
      <w:r w:rsidRPr="00707120">
        <w:rPr>
          <w:noProof/>
          <w:lang w:val="es-ES"/>
        </w:rPr>
        <w:t xml:space="preserve">Tocilizumaba lietošanas biežuma samazināšana laboratorisku noviržu dēļ pacientiem ar sJIA vai pJIA nav pētīta. </w:t>
      </w:r>
    </w:p>
    <w:p w14:paraId="76D8EF79" w14:textId="77777777" w:rsidR="00A453C3" w:rsidRPr="00707120" w:rsidRDefault="00A453C3" w:rsidP="00A453C3">
      <w:pPr>
        <w:pStyle w:val="Standard"/>
        <w:ind w:left="9"/>
        <w:rPr>
          <w:i/>
          <w:noProof/>
          <w:lang w:val="es-ES"/>
        </w:rPr>
      </w:pPr>
    </w:p>
    <w:p w14:paraId="7B67F54E" w14:textId="77B1133B" w:rsidR="00A453C3" w:rsidRPr="00707120" w:rsidRDefault="00A453C3" w:rsidP="00A453C3">
      <w:pPr>
        <w:pStyle w:val="Standard"/>
        <w:ind w:left="9"/>
        <w:rPr>
          <w:noProof/>
          <w:lang w:val="es-ES"/>
        </w:rPr>
      </w:pPr>
      <w:r w:rsidRPr="00707120">
        <w:rPr>
          <w:noProof/>
          <w:lang w:val="es-ES"/>
        </w:rPr>
        <w:t>Tocilizumaba subkutāni lietojamās zāļu formas drošums un efektivitāte, lietojot bērniem ar citām slimībām, izņemot sJIA vai pJIA, nav pierādīts.</w:t>
      </w:r>
    </w:p>
    <w:p w14:paraId="5E3AB762" w14:textId="77777777" w:rsidR="00A453C3" w:rsidRPr="00707120" w:rsidRDefault="00A453C3" w:rsidP="00A453C3">
      <w:pPr>
        <w:pStyle w:val="Standard"/>
        <w:ind w:left="9"/>
        <w:rPr>
          <w:noProof/>
          <w:lang w:val="es-ES"/>
        </w:rPr>
      </w:pPr>
    </w:p>
    <w:p w14:paraId="0D9A02CC" w14:textId="66620169" w:rsidR="00A453C3" w:rsidRPr="00707120" w:rsidRDefault="00A453C3" w:rsidP="00A453C3">
      <w:pPr>
        <w:pStyle w:val="Standard"/>
        <w:ind w:left="9"/>
        <w:rPr>
          <w:noProof/>
          <w:lang w:val="es-ES"/>
        </w:rPr>
      </w:pPr>
      <w:r w:rsidRPr="00707120">
        <w:rPr>
          <w:noProof/>
          <w:lang w:val="es-ES"/>
        </w:rPr>
        <w:t>Pieejamie dati par intravenozi lietojamo zāļu formu liecina, ka klīnisku uzlabošanos novēro 12 nedēļu laikā pēc ārstēšanas uzsākšanas ar tocilizumabu. Ārstēšanas turpināšana vēlreiz rūpīgi jāizvērtē, ja pacienta stāvoklis šajā laikā neuzlabojas.</w:t>
      </w:r>
    </w:p>
    <w:p w14:paraId="6869F791" w14:textId="77777777" w:rsidR="00A453C3" w:rsidRPr="00707120" w:rsidRDefault="00A453C3" w:rsidP="00A453C3">
      <w:pPr>
        <w:pStyle w:val="Standard"/>
        <w:ind w:left="9"/>
        <w:rPr>
          <w:noProof/>
          <w:lang w:val="es-ES"/>
        </w:rPr>
      </w:pPr>
    </w:p>
    <w:p w14:paraId="444B5D01" w14:textId="77777777" w:rsidR="00A453C3" w:rsidRPr="00F82186" w:rsidRDefault="00A453C3" w:rsidP="00707120">
      <w:pPr>
        <w:pStyle w:val="Standard"/>
        <w:keepNext/>
        <w:spacing w:line="276" w:lineRule="auto"/>
        <w:ind w:left="567" w:hanging="567"/>
        <w:rPr>
          <w:rFonts w:eastAsia="Calibri"/>
          <w:bCs/>
          <w:i/>
          <w:noProof/>
          <w:szCs w:val="22"/>
          <w:u w:val="single"/>
          <w:lang w:val="es-ES" w:eastAsia="en-US"/>
          <w:rPrChange w:id="937" w:author="Author">
            <w:rPr>
              <w:rFonts w:eastAsia="Calibri"/>
              <w:bCs/>
              <w:noProof/>
              <w:szCs w:val="22"/>
              <w:lang w:val="es-ES" w:eastAsia="en-US"/>
            </w:rPr>
          </w:rPrChange>
        </w:rPr>
      </w:pPr>
      <w:r w:rsidRPr="00F82186">
        <w:rPr>
          <w:rFonts w:eastAsia="Calibri"/>
          <w:bCs/>
          <w:i/>
          <w:noProof/>
          <w:szCs w:val="22"/>
          <w:u w:val="single"/>
          <w:lang w:val="es-ES" w:eastAsia="en-US"/>
          <w:rPrChange w:id="938" w:author="Author">
            <w:rPr>
              <w:rFonts w:eastAsia="Calibri"/>
              <w:bCs/>
              <w:noProof/>
              <w:szCs w:val="22"/>
              <w:lang w:val="es-ES" w:eastAsia="en-US"/>
            </w:rPr>
          </w:rPrChange>
        </w:rPr>
        <w:t>Izlaista deva</w:t>
      </w:r>
    </w:p>
    <w:p w14:paraId="1A3BB559" w14:textId="6CC5D9BF" w:rsidR="00A453C3" w:rsidRPr="00707120" w:rsidRDefault="00A453C3" w:rsidP="00A453C3">
      <w:pPr>
        <w:pStyle w:val="Standard"/>
        <w:suppressAutoHyphens/>
        <w:rPr>
          <w:rFonts w:eastAsia="Calibri"/>
          <w:bCs/>
          <w:noProof/>
          <w:szCs w:val="22"/>
          <w:lang w:val="es-ES" w:eastAsia="en-US"/>
        </w:rPr>
      </w:pPr>
      <w:r w:rsidRPr="00707120">
        <w:rPr>
          <w:rFonts w:eastAsia="Calibri"/>
          <w:bCs/>
          <w:noProof/>
          <w:szCs w:val="22"/>
          <w:lang w:val="es-ES" w:eastAsia="en-US"/>
        </w:rPr>
        <w:t>Ja pacients ar sJIA nesaņem iknedēļas subkutāno tocilizumaba injekciju un kopš plānotā lietošanas laika vēl nav pagājušas 7</w:t>
      </w:r>
      <w:r w:rsidR="0026662E" w:rsidRPr="00707120">
        <w:rPr>
          <w:rFonts w:eastAsia="Calibri"/>
          <w:bCs/>
          <w:noProof/>
          <w:szCs w:val="22"/>
          <w:lang w:val="es-ES" w:eastAsia="en-US"/>
        </w:rPr>
        <w:t> </w:t>
      </w:r>
      <w:r w:rsidRPr="00707120">
        <w:rPr>
          <w:rFonts w:eastAsia="Calibri"/>
          <w:bCs/>
          <w:noProof/>
          <w:szCs w:val="22"/>
          <w:lang w:val="es-ES" w:eastAsia="en-US"/>
        </w:rPr>
        <w:t>dienas, viņam jānorāda lietot izlaisto devu nākamajā plānotās lietošanas dienā. Ja pacients ar sJIA nesaņem ik pēc 2 nedēļām lietojamo subkutāno tocilizumaba injekciju 7</w:t>
      </w:r>
      <w:r w:rsidR="0026662E" w:rsidRPr="00707120">
        <w:rPr>
          <w:rFonts w:eastAsia="Calibri"/>
          <w:bCs/>
          <w:noProof/>
          <w:szCs w:val="22"/>
          <w:lang w:val="es-ES" w:eastAsia="en-US"/>
        </w:rPr>
        <w:t> </w:t>
      </w:r>
      <w:r w:rsidRPr="00707120">
        <w:rPr>
          <w:rFonts w:eastAsia="Calibri"/>
          <w:bCs/>
          <w:noProof/>
          <w:szCs w:val="22"/>
          <w:lang w:val="es-ES" w:eastAsia="en-US"/>
        </w:rPr>
        <w:t xml:space="preserve">dienu laikā pēc plānotās zāļu devas lietošanas dienas, viņam jānorāda lietot izlaisto devu nekavējoties, bet nākamo devu - nākamajā plānotās lietošanas dienā. </w:t>
      </w:r>
    </w:p>
    <w:p w14:paraId="7FA8E3D5" w14:textId="77777777" w:rsidR="00A453C3" w:rsidRPr="00707120" w:rsidRDefault="00A453C3" w:rsidP="00A453C3">
      <w:pPr>
        <w:pStyle w:val="Standard"/>
        <w:suppressAutoHyphens/>
        <w:rPr>
          <w:rFonts w:eastAsia="Calibri"/>
          <w:bCs/>
          <w:noProof/>
          <w:szCs w:val="22"/>
          <w:lang w:val="es-ES" w:eastAsia="en-US"/>
        </w:rPr>
      </w:pPr>
    </w:p>
    <w:p w14:paraId="0D394DAE" w14:textId="0B1FDFA8" w:rsidR="00A453C3" w:rsidRPr="00707120" w:rsidRDefault="00A453C3" w:rsidP="00A453C3">
      <w:pPr>
        <w:rPr>
          <w:rFonts w:eastAsia="Calibri"/>
          <w:bCs/>
          <w:noProof/>
          <w:szCs w:val="22"/>
          <w:lang w:val="es-ES" w:eastAsia="en-US"/>
        </w:rPr>
      </w:pPr>
      <w:r w:rsidRPr="00707120">
        <w:rPr>
          <w:rFonts w:eastAsia="Calibri"/>
          <w:bCs/>
          <w:noProof/>
          <w:szCs w:val="22"/>
          <w:lang w:val="es-ES" w:eastAsia="en-US"/>
        </w:rPr>
        <w:t>Ja pacients ar pJIA aizmirsis subkutāni injicēt tocilizumabu un kopš plānotā lietošanas laika vēl nav pagājušas 7 dienas, pacientam jāsaņem izlaistā deva, cik drīz vien iespējams, un nākamā deva jālieto parastajā plānotajā laikā. Ja pacients aizmirsis subkutāni injicēt tocilizumabu un kopš plānotā lietošanas laika pagājušas vairāk nekā 7 dienas vai ja pacients šaubās, kad to injicēt, jāsazinās ar ārstu vai farmaceitu.</w:t>
      </w:r>
    </w:p>
    <w:p w14:paraId="6A65C3E1" w14:textId="77777777" w:rsidR="00A453C3" w:rsidRPr="00DD7A4F" w:rsidRDefault="00A453C3" w:rsidP="00A453C3">
      <w:pPr>
        <w:rPr>
          <w:szCs w:val="22"/>
          <w:lang w:val="lv-LV"/>
        </w:rPr>
      </w:pPr>
    </w:p>
    <w:p w14:paraId="5D188D5E" w14:textId="77777777" w:rsidR="00A453C3" w:rsidRPr="00DD7A4F" w:rsidRDefault="00A453C3" w:rsidP="00A453C3">
      <w:pPr>
        <w:keepNext/>
        <w:keepLines/>
        <w:ind w:left="562" w:hanging="562"/>
        <w:rPr>
          <w:lang w:val="lv-LV"/>
        </w:rPr>
      </w:pPr>
      <w:r w:rsidRPr="00DD7A4F">
        <w:rPr>
          <w:szCs w:val="22"/>
          <w:u w:val="single"/>
          <w:lang w:val="lv-LV"/>
        </w:rPr>
        <w:t>Lietošanas veids</w:t>
      </w:r>
    </w:p>
    <w:p w14:paraId="11F427F1" w14:textId="60D3F111" w:rsidR="00A453C3" w:rsidRPr="00DD7A4F" w:rsidRDefault="00A453C3" w:rsidP="00A453C3">
      <w:pPr>
        <w:rPr>
          <w:lang w:val="lv-LV"/>
        </w:rPr>
      </w:pPr>
      <w:r>
        <w:rPr>
          <w:lang w:val="lv-LV"/>
        </w:rPr>
        <w:t>Šīs zāles</w:t>
      </w:r>
      <w:r w:rsidRPr="00DD7A4F">
        <w:rPr>
          <w:lang w:val="lv-LV"/>
        </w:rPr>
        <w:t xml:space="preserve"> ir paredzēt</w:t>
      </w:r>
      <w:r>
        <w:rPr>
          <w:lang w:val="lv-LV"/>
        </w:rPr>
        <w:t>a</w:t>
      </w:r>
      <w:r w:rsidRPr="00DD7A4F">
        <w:rPr>
          <w:lang w:val="lv-LV"/>
        </w:rPr>
        <w:t xml:space="preserve">s subkutānai lietošanai. </w:t>
      </w:r>
    </w:p>
    <w:p w14:paraId="5EAD0564" w14:textId="3DD40C7E" w:rsidR="00A453C3" w:rsidRPr="00DD7A4F" w:rsidRDefault="00A453C3" w:rsidP="00A453C3">
      <w:pPr>
        <w:rPr>
          <w:lang w:val="lv-LV"/>
        </w:rPr>
      </w:pPr>
      <w:r w:rsidRPr="00DD7A4F">
        <w:rPr>
          <w:lang w:val="lv-LV"/>
        </w:rPr>
        <w:t xml:space="preserve">Pēc atbilstošas apmācības par injekcijas veikšanas metodi pacienti var paši sev ievadīt </w:t>
      </w:r>
      <w:r>
        <w:rPr>
          <w:lang w:val="lv-LV"/>
        </w:rPr>
        <w:t>šīs zāles</w:t>
      </w:r>
      <w:r w:rsidRPr="00DD7A4F">
        <w:rPr>
          <w:lang w:val="lv-LV"/>
        </w:rPr>
        <w:t xml:space="preserve">, ja ārsts uzskata, ka tas ir piemēroti. Ar subkutānu injekciju jāievada viss pildspalvveida pilnšļirces saturs (0,9 ml). Ieteicamās injicēšanas vietas (vēders, augšstilbs un augšdelms) jāmaina, un injekciju nekad nedrīkst veikt vietā, kur ir dzimumzīmes, rētas vai āda ir jutīga, nobrāzta, apsārtusi, cieta vai bojāta. </w:t>
      </w:r>
    </w:p>
    <w:p w14:paraId="2EB4BA0D" w14:textId="77777777" w:rsidR="00A453C3" w:rsidRPr="00DD7A4F" w:rsidRDefault="00A453C3" w:rsidP="00A453C3">
      <w:pPr>
        <w:rPr>
          <w:lang w:val="lv-LV"/>
        </w:rPr>
      </w:pPr>
    </w:p>
    <w:p w14:paraId="66524DB3" w14:textId="77777777" w:rsidR="00A453C3" w:rsidRPr="00DD7A4F" w:rsidRDefault="00A453C3" w:rsidP="00A453C3">
      <w:pPr>
        <w:rPr>
          <w:lang w:val="lv-LV"/>
        </w:rPr>
      </w:pPr>
      <w:r w:rsidRPr="00DD7A4F">
        <w:rPr>
          <w:lang w:val="lv-LV"/>
        </w:rPr>
        <w:t>Pildspalvveida pilnšļirci nedrīkst sakratīt.</w:t>
      </w:r>
    </w:p>
    <w:p w14:paraId="7E7BC914" w14:textId="77777777" w:rsidR="00A453C3" w:rsidRPr="00DD7A4F" w:rsidRDefault="00A453C3" w:rsidP="00A453C3">
      <w:pPr>
        <w:rPr>
          <w:lang w:val="lv-LV"/>
        </w:rPr>
      </w:pPr>
    </w:p>
    <w:p w14:paraId="6DDE0A89" w14:textId="77777777" w:rsidR="00A453C3" w:rsidRPr="00DD7A4F" w:rsidRDefault="00A453C3" w:rsidP="00A453C3">
      <w:pPr>
        <w:rPr>
          <w:lang w:val="lv-LV"/>
        </w:rPr>
      </w:pPr>
      <w:r w:rsidRPr="00DD7A4F">
        <w:rPr>
          <w:lang w:val="lv-LV"/>
        </w:rPr>
        <w:t xml:space="preserve">Sīkāki norādījumi par RoActemra pildspalvveida pilnšļirces lietošanu sniegti lietošanas instrukcijā, skatīt 6.6. apakšpunktu. </w:t>
      </w:r>
    </w:p>
    <w:p w14:paraId="7A4716C9" w14:textId="77777777" w:rsidR="00A453C3" w:rsidRPr="00DD7A4F" w:rsidRDefault="00A453C3" w:rsidP="00A453C3">
      <w:pPr>
        <w:ind w:left="567" w:hanging="567"/>
        <w:rPr>
          <w:bCs/>
          <w:szCs w:val="22"/>
          <w:lang w:val="lv-LV"/>
        </w:rPr>
      </w:pPr>
    </w:p>
    <w:p w14:paraId="14422850" w14:textId="77777777" w:rsidR="00A453C3" w:rsidRPr="00DD7A4F" w:rsidRDefault="00A453C3" w:rsidP="00A453C3">
      <w:pPr>
        <w:keepNext/>
        <w:keepLines/>
        <w:ind w:left="567" w:hanging="567"/>
        <w:rPr>
          <w:szCs w:val="22"/>
          <w:lang w:val="lv-LV"/>
        </w:rPr>
      </w:pPr>
      <w:r w:rsidRPr="00DD7A4F">
        <w:rPr>
          <w:b/>
          <w:szCs w:val="22"/>
          <w:lang w:val="lv-LV"/>
        </w:rPr>
        <w:t>4.3.</w:t>
      </w:r>
      <w:r w:rsidRPr="00DD7A4F">
        <w:rPr>
          <w:b/>
          <w:szCs w:val="22"/>
          <w:lang w:val="lv-LV"/>
        </w:rPr>
        <w:tab/>
        <w:t>Kontrindikācijas</w:t>
      </w:r>
    </w:p>
    <w:p w14:paraId="49115250" w14:textId="77777777" w:rsidR="00A453C3" w:rsidRPr="00DD7A4F" w:rsidRDefault="00A453C3" w:rsidP="00A453C3">
      <w:pPr>
        <w:keepNext/>
        <w:keepLines/>
        <w:rPr>
          <w:szCs w:val="22"/>
          <w:lang w:val="lv-LV"/>
        </w:rPr>
      </w:pPr>
    </w:p>
    <w:p w14:paraId="388FAB51" w14:textId="77777777" w:rsidR="00A453C3" w:rsidRPr="00DD7A4F" w:rsidRDefault="00A453C3" w:rsidP="00A453C3">
      <w:pPr>
        <w:keepNext/>
        <w:keepLines/>
        <w:rPr>
          <w:szCs w:val="22"/>
          <w:lang w:val="lv-LV"/>
        </w:rPr>
      </w:pPr>
      <w:r w:rsidRPr="00DD7A4F">
        <w:rPr>
          <w:szCs w:val="22"/>
          <w:lang w:val="lv-LV"/>
        </w:rPr>
        <w:t>Paaugstināta jutība pret aktīvo vielu vai jebkuru no 6.1. apakšpunktā uzskaitītajām palīgvielām.</w:t>
      </w:r>
    </w:p>
    <w:p w14:paraId="7AAC1D9C" w14:textId="77777777" w:rsidR="00A453C3" w:rsidRPr="00DD7A4F" w:rsidRDefault="00A453C3" w:rsidP="00A453C3">
      <w:pPr>
        <w:rPr>
          <w:szCs w:val="22"/>
          <w:lang w:val="lv-LV"/>
        </w:rPr>
      </w:pPr>
    </w:p>
    <w:p w14:paraId="37F8EC0C" w14:textId="77777777" w:rsidR="00A453C3" w:rsidRPr="00DD7A4F" w:rsidRDefault="00A453C3" w:rsidP="00A453C3">
      <w:pPr>
        <w:rPr>
          <w:szCs w:val="22"/>
          <w:lang w:val="lv-LV"/>
        </w:rPr>
      </w:pPr>
      <w:r w:rsidRPr="00DD7A4F">
        <w:rPr>
          <w:szCs w:val="22"/>
          <w:lang w:val="lv-LV"/>
        </w:rPr>
        <w:t>Smagas aktīvas infekcijas (skatīt 4.4. apakšpunktu).</w:t>
      </w:r>
    </w:p>
    <w:p w14:paraId="6384644B" w14:textId="77777777" w:rsidR="00A453C3" w:rsidRPr="00DD7A4F" w:rsidRDefault="00A453C3" w:rsidP="00A453C3">
      <w:pPr>
        <w:rPr>
          <w:szCs w:val="22"/>
          <w:lang w:val="lv-LV"/>
        </w:rPr>
      </w:pPr>
    </w:p>
    <w:p w14:paraId="69088C93" w14:textId="77777777" w:rsidR="00A453C3" w:rsidRPr="00DD7A4F" w:rsidRDefault="00A453C3" w:rsidP="00A453C3">
      <w:pPr>
        <w:keepNext/>
        <w:keepLines/>
        <w:rPr>
          <w:b/>
          <w:szCs w:val="22"/>
          <w:lang w:val="lv-LV"/>
        </w:rPr>
      </w:pPr>
      <w:r w:rsidRPr="00DD7A4F">
        <w:rPr>
          <w:b/>
          <w:szCs w:val="22"/>
          <w:lang w:val="lv-LV"/>
        </w:rPr>
        <w:t>4.4.</w:t>
      </w:r>
      <w:r w:rsidRPr="00DD7A4F">
        <w:rPr>
          <w:b/>
          <w:szCs w:val="22"/>
          <w:lang w:val="lv-LV"/>
        </w:rPr>
        <w:tab/>
        <w:t xml:space="preserve">Īpaši brīdinājumi un piesardzība lietošanā </w:t>
      </w:r>
    </w:p>
    <w:p w14:paraId="0805E2DC" w14:textId="77777777" w:rsidR="00A453C3" w:rsidRPr="00DD7A4F" w:rsidRDefault="00A453C3" w:rsidP="00A453C3">
      <w:pPr>
        <w:keepNext/>
        <w:keepLines/>
        <w:rPr>
          <w:szCs w:val="22"/>
          <w:lang w:val="lv-LV"/>
        </w:rPr>
      </w:pPr>
    </w:p>
    <w:p w14:paraId="64DCC446" w14:textId="77777777" w:rsidR="00A453C3" w:rsidRPr="00DD7A4F" w:rsidRDefault="00A453C3">
      <w:pPr>
        <w:keepLines/>
        <w:autoSpaceDE w:val="0"/>
        <w:autoSpaceDN w:val="0"/>
        <w:adjustRightInd w:val="0"/>
        <w:rPr>
          <w:szCs w:val="22"/>
          <w:lang w:val="lv-LV"/>
        </w:rPr>
        <w:pPrChange w:id="939" w:author="Author">
          <w:pPr>
            <w:keepNext/>
            <w:keepLines/>
            <w:autoSpaceDE w:val="0"/>
            <w:autoSpaceDN w:val="0"/>
            <w:adjustRightInd w:val="0"/>
          </w:pPr>
        </w:pPrChange>
      </w:pPr>
      <w:r w:rsidRPr="00DD7A4F">
        <w:rPr>
          <w:szCs w:val="22"/>
          <w:lang w:val="lv-LV"/>
        </w:rPr>
        <w:t>RoActemra subkutāni lietojamā zāļu forma nav paredzēta intravenozai ievadīšanai.</w:t>
      </w:r>
    </w:p>
    <w:p w14:paraId="04628DAC" w14:textId="77777777" w:rsidR="00A453C3" w:rsidRPr="005E0BB7" w:rsidRDefault="00A453C3" w:rsidP="00A453C3">
      <w:pPr>
        <w:rPr>
          <w:bCs/>
          <w:szCs w:val="22"/>
          <w:lang w:val="lv-LV"/>
        </w:rPr>
      </w:pPr>
    </w:p>
    <w:p w14:paraId="53E1A399" w14:textId="48C85AA9" w:rsidR="00A453C3" w:rsidRDefault="00A453C3">
      <w:pPr>
        <w:keepLines/>
        <w:rPr>
          <w:bCs/>
          <w:szCs w:val="22"/>
          <w:lang w:val="lv-LV"/>
        </w:rPr>
        <w:pPrChange w:id="940" w:author="Author">
          <w:pPr>
            <w:keepNext/>
            <w:keepLines/>
          </w:pPr>
        </w:pPrChange>
      </w:pPr>
      <w:r w:rsidRPr="001A4B8F">
        <w:rPr>
          <w:bCs/>
          <w:szCs w:val="22"/>
          <w:lang w:val="lv-LV"/>
        </w:rPr>
        <w:t>RoActemra subkutāni lietojamā zāļu forma nav paredzēta</w:t>
      </w:r>
      <w:r>
        <w:rPr>
          <w:bCs/>
          <w:szCs w:val="22"/>
          <w:lang w:val="lv-LV"/>
        </w:rPr>
        <w:t xml:space="preserve"> lietošanai bērniem ar sJIA </w:t>
      </w:r>
      <w:r w:rsidR="004969FE">
        <w:rPr>
          <w:bCs/>
          <w:szCs w:val="22"/>
          <w:lang w:val="lv-LV"/>
        </w:rPr>
        <w:t xml:space="preserve">un </w:t>
      </w:r>
      <w:r>
        <w:rPr>
          <w:bCs/>
          <w:szCs w:val="22"/>
          <w:lang w:val="lv-LV"/>
        </w:rPr>
        <w:t>ķermeņa masu zem 10 kg.</w:t>
      </w:r>
    </w:p>
    <w:p w14:paraId="124E138E" w14:textId="77777777" w:rsidR="00A453C3" w:rsidRPr="00DD7A4F" w:rsidRDefault="00A453C3">
      <w:pPr>
        <w:rPr>
          <w:bCs/>
          <w:szCs w:val="22"/>
          <w:lang w:val="lv-LV"/>
        </w:rPr>
        <w:pPrChange w:id="941" w:author="Author">
          <w:pPr>
            <w:keepNext/>
            <w:keepLines/>
          </w:pPr>
        </w:pPrChange>
      </w:pPr>
    </w:p>
    <w:p w14:paraId="5850E26F" w14:textId="77777777" w:rsidR="00A453C3" w:rsidRPr="00707120" w:rsidRDefault="00A453C3" w:rsidP="00707120">
      <w:pPr>
        <w:keepNext/>
        <w:rPr>
          <w:rFonts w:eastAsia="PMingLiU"/>
          <w:szCs w:val="22"/>
          <w:u w:val="single"/>
          <w:lang w:val="lv-LV"/>
        </w:rPr>
      </w:pPr>
      <w:r w:rsidRPr="00707120">
        <w:rPr>
          <w:rFonts w:eastAsia="PMingLiU"/>
          <w:szCs w:val="22"/>
          <w:u w:val="single"/>
          <w:lang w:val="lv-LV"/>
        </w:rPr>
        <w:t>Izsekojamība</w:t>
      </w:r>
    </w:p>
    <w:p w14:paraId="320BB0D7" w14:textId="77777777" w:rsidR="00A453C3" w:rsidRPr="00DD7A4F" w:rsidRDefault="00A453C3" w:rsidP="00A453C3">
      <w:pPr>
        <w:rPr>
          <w:rFonts w:eastAsia="PMingLiU"/>
          <w:szCs w:val="22"/>
          <w:lang w:val="lv-LV"/>
        </w:rPr>
      </w:pPr>
      <w:r w:rsidRPr="00DD7A4F">
        <w:rPr>
          <w:rFonts w:eastAsia="PMingLiU"/>
          <w:szCs w:val="22"/>
          <w:lang w:val="lv-LV"/>
        </w:rPr>
        <w:t>Lai uzlabotu bioloģisk</w:t>
      </w:r>
      <w:r>
        <w:rPr>
          <w:rFonts w:eastAsia="PMingLiU"/>
          <w:szCs w:val="22"/>
          <w:lang w:val="lv-LV"/>
        </w:rPr>
        <w:t>o</w:t>
      </w:r>
      <w:r w:rsidRPr="00DD7A4F">
        <w:rPr>
          <w:rFonts w:eastAsia="PMingLiU"/>
          <w:szCs w:val="22"/>
          <w:lang w:val="lv-LV"/>
        </w:rPr>
        <w:t xml:space="preserve"> izcelsmes zāļu izsekojamību, </w:t>
      </w:r>
      <w:r>
        <w:rPr>
          <w:rFonts w:eastAsia="PMingLiU"/>
          <w:szCs w:val="22"/>
          <w:lang w:val="lv-LV"/>
        </w:rPr>
        <w:t>ir</w:t>
      </w:r>
      <w:r w:rsidRPr="00DD7A4F">
        <w:rPr>
          <w:rFonts w:eastAsia="PMingLiU"/>
          <w:szCs w:val="22"/>
          <w:lang w:val="lv-LV"/>
        </w:rPr>
        <w:t xml:space="preserve"> skaidri jāreģistrē lietoto zāļu nosaukums un sērijas numurs. </w:t>
      </w:r>
    </w:p>
    <w:p w14:paraId="058BECE5" w14:textId="77777777" w:rsidR="00A453C3" w:rsidRDefault="00A453C3" w:rsidP="00A453C3">
      <w:pPr>
        <w:rPr>
          <w:rFonts w:eastAsia="PMingLiU"/>
          <w:szCs w:val="22"/>
          <w:lang w:val="lv-LV"/>
        </w:rPr>
      </w:pPr>
    </w:p>
    <w:p w14:paraId="640BB6ED" w14:textId="77777777" w:rsidR="00A453C3" w:rsidRPr="00DD7A4F" w:rsidRDefault="00A453C3" w:rsidP="00707120">
      <w:pPr>
        <w:keepNext/>
        <w:rPr>
          <w:lang w:val="lv-LV"/>
        </w:rPr>
      </w:pPr>
      <w:r>
        <w:rPr>
          <w:rFonts w:eastAsia="PMingLiU"/>
          <w:szCs w:val="22"/>
          <w:u w:val="single"/>
          <w:lang w:val="lv-LV"/>
        </w:rPr>
        <w:t>Visas indikācijas</w:t>
      </w:r>
    </w:p>
    <w:p w14:paraId="3075829B" w14:textId="77777777" w:rsidR="00A453C3" w:rsidRPr="00DD7A4F" w:rsidRDefault="00A453C3">
      <w:pPr>
        <w:keepNext/>
        <w:rPr>
          <w:szCs w:val="22"/>
          <w:lang w:val="lv-LV"/>
        </w:rPr>
        <w:pPrChange w:id="942" w:author="Author">
          <w:pPr/>
        </w:pPrChange>
      </w:pPr>
      <w:r w:rsidRPr="00DD7A4F">
        <w:rPr>
          <w:i/>
          <w:szCs w:val="22"/>
          <w:lang w:val="lv-LV"/>
        </w:rPr>
        <w:t>Infekcijas</w:t>
      </w:r>
    </w:p>
    <w:p w14:paraId="27204C5A" w14:textId="61AE3210" w:rsidR="00A453C3" w:rsidRDefault="00A453C3" w:rsidP="00A453C3">
      <w:pPr>
        <w:rPr>
          <w:szCs w:val="22"/>
          <w:lang w:val="lv-LV"/>
        </w:rPr>
      </w:pPr>
      <w:r>
        <w:rPr>
          <w:szCs w:val="22"/>
          <w:lang w:val="lv-LV"/>
        </w:rPr>
        <w:t>Pacientiem, kuri saņem imūnsupresīvus līdzekļus, tajā skaitā arī tocilizumabu, ir aprakstītas nopietnas un dažkārt letālas infekcijas (skatīt 4.8. apakšpunktu).</w:t>
      </w:r>
      <w:r>
        <w:rPr>
          <w:lang w:val="lv-LV"/>
        </w:rPr>
        <w:t xml:space="preserve"> </w:t>
      </w:r>
      <w:r>
        <w:rPr>
          <w:szCs w:val="22"/>
          <w:lang w:val="lv-LV"/>
        </w:rPr>
        <w:t xml:space="preserve">Ārstēšanu nedrīkst sākt pacientiem ar aktīvām infekcijām (skatīt 4.3. apakšpunktu). Ja pacientam rodas nopietna infekcija, tocilizumaba lietošana jāpārtrauc, līdz infekcija tiek kontrolēta (skatīt 4.8. apakšpunktu). Veselības aprūpes speciālistiem jāievēro piesardzība, šo zāļu lietošanu apsverot pacientiem, kuriem anamnēzē ir recidivējošas vai hroniskas infekcijas vai pamatslimības (piemēram, divertikulīts, cukura diabēts un intersticiāla plaušu slimība), kas var predisponēt pacientus infekcijām. </w:t>
      </w:r>
    </w:p>
    <w:p w14:paraId="1D1DDC95" w14:textId="77777777" w:rsidR="00A453C3" w:rsidRDefault="00A453C3" w:rsidP="00A453C3">
      <w:pPr>
        <w:rPr>
          <w:szCs w:val="22"/>
          <w:lang w:val="lv-LV"/>
        </w:rPr>
      </w:pPr>
    </w:p>
    <w:p w14:paraId="1DA40956" w14:textId="78EB16D6" w:rsidR="00A453C3" w:rsidRDefault="00A453C3" w:rsidP="00A453C3">
      <w:pPr>
        <w:rPr>
          <w:szCs w:val="22"/>
          <w:lang w:val="lv-LV"/>
        </w:rPr>
      </w:pPr>
      <w:r>
        <w:rPr>
          <w:szCs w:val="22"/>
          <w:lang w:val="lv-LV"/>
        </w:rPr>
        <w:t xml:space="preserve">Ieteicama rūpīga novērošana, lai laicīgi konstatētu nopietnu infekciju pacientiem, kuri saņem imūnsupresīvus līdzekļus, piemēram, tocilizumabu, jo akūta iekaisuma pazīmes un simptomi var mazināties akūtās fāzes reakcijas nomākuma dēļ. Izmeklējot pacientu attiecībā uz iespējamu infekciju, ir jāņem vērā </w:t>
      </w:r>
      <w:r>
        <w:rPr>
          <w:lang w:val="lv-LV"/>
        </w:rPr>
        <w:t xml:space="preserve">tocilizumaba ietekme uz C-reaktīvo olbaltumu (CRO), neitrofilajiem leikocītiem un infekcijas pazīmēm un simptomiem. </w:t>
      </w:r>
      <w:r>
        <w:rPr>
          <w:szCs w:val="22"/>
          <w:lang w:val="lv-LV"/>
        </w:rPr>
        <w:t xml:space="preserve">Pacientiem </w:t>
      </w:r>
      <w:r w:rsidRPr="001A4B8F">
        <w:rPr>
          <w:lang w:val="lv-LV"/>
        </w:rPr>
        <w:t>(arī mazākiem bērniem ar sJIA vai pJIA, kuri var būt mazāk spējīgi darīt zināmus savus simptomus) un pacientu ar sJIA vai pJIA vecākiem vai aizbildņiem</w:t>
      </w:r>
      <w:r>
        <w:rPr>
          <w:szCs w:val="22"/>
          <w:lang w:val="lv-LV"/>
        </w:rPr>
        <w:t xml:space="preserve"> jānorāda nekavējoties sazināties ar savu veselības aprūpes speciālistu, ja rodas par infekciju liecinoši simptomi, lai nodrošinātu ātru novērtēšanu un atbilstošu ārstēšanu.</w:t>
      </w:r>
    </w:p>
    <w:p w14:paraId="3906ED7A" w14:textId="77777777" w:rsidR="00A453C3" w:rsidRPr="00DD7A4F" w:rsidRDefault="00A453C3" w:rsidP="00A453C3">
      <w:pPr>
        <w:rPr>
          <w:szCs w:val="22"/>
          <w:lang w:val="lv-LV"/>
        </w:rPr>
      </w:pPr>
    </w:p>
    <w:p w14:paraId="59D134DD" w14:textId="77777777" w:rsidR="00A453C3" w:rsidRPr="00DD7A4F" w:rsidRDefault="00A453C3" w:rsidP="00707120">
      <w:pPr>
        <w:keepNext/>
        <w:rPr>
          <w:lang w:val="lv-LV"/>
        </w:rPr>
      </w:pPr>
      <w:r w:rsidRPr="00DD7A4F">
        <w:rPr>
          <w:i/>
          <w:lang w:val="lv-LV"/>
        </w:rPr>
        <w:t>Tuberkuloze</w:t>
      </w:r>
    </w:p>
    <w:p w14:paraId="49E5F06E" w14:textId="71030880" w:rsidR="00A453C3" w:rsidRPr="00DD7A4F" w:rsidRDefault="00A453C3" w:rsidP="00A453C3">
      <w:pPr>
        <w:rPr>
          <w:szCs w:val="24"/>
          <w:lang w:val="lv-LV"/>
        </w:rPr>
      </w:pPr>
      <w:r w:rsidRPr="00DD7A4F">
        <w:rPr>
          <w:lang w:val="lv-LV"/>
        </w:rPr>
        <w:t>Tāpat kā ir ieteikts citu bioloģisko zāļu lietošanas gadījum</w:t>
      </w:r>
      <w:r>
        <w:rPr>
          <w:lang w:val="lv-LV"/>
        </w:rPr>
        <w:t>ā</w:t>
      </w:r>
      <w:r w:rsidRPr="00DD7A4F">
        <w:rPr>
          <w:lang w:val="lv-LV"/>
        </w:rPr>
        <w:t xml:space="preserve">, pirms </w:t>
      </w:r>
      <w:r>
        <w:rPr>
          <w:lang w:val="lv-LV"/>
        </w:rPr>
        <w:t>tocilizumaba</w:t>
      </w:r>
      <w:r w:rsidRPr="00DD7A4F">
        <w:rPr>
          <w:lang w:val="lv-LV"/>
        </w:rPr>
        <w:t xml:space="preserve"> terapijas sākuma visi pacienti</w:t>
      </w:r>
      <w:ins w:id="943" w:author="Regulatory LV" w:date="2026-03-17T11:35:00Z">
        <w:r w:rsidR="00D20F5A">
          <w:rPr>
            <w:lang w:val="lv-LV"/>
          </w:rPr>
          <w:t>em</w:t>
        </w:r>
      </w:ins>
      <w:r w:rsidRPr="00DD7A4F">
        <w:rPr>
          <w:lang w:val="lv-LV"/>
        </w:rPr>
        <w:t xml:space="preserve"> ir jā</w:t>
      </w:r>
      <w:ins w:id="944" w:author="Regulatory LV" w:date="2026-03-17T11:35:00Z">
        <w:r w:rsidR="00D20F5A">
          <w:rPr>
            <w:lang w:val="lv-LV"/>
          </w:rPr>
          <w:t>veic</w:t>
        </w:r>
      </w:ins>
      <w:del w:id="945" w:author="Regulatory LV" w:date="2026-03-17T11:35:00Z">
        <w:r w:rsidRPr="00DD7A4F" w:rsidDel="00D20F5A">
          <w:rPr>
            <w:lang w:val="lv-LV"/>
          </w:rPr>
          <w:delText>pakļauj</w:delText>
        </w:r>
      </w:del>
      <w:r w:rsidRPr="00DD7A4F">
        <w:rPr>
          <w:lang w:val="lv-LV"/>
        </w:rPr>
        <w:t xml:space="preserve"> skrīning</w:t>
      </w:r>
      <w:ins w:id="946" w:author="Regulatory LV" w:date="2026-03-17T11:35:00Z">
        <w:r w:rsidR="00D20F5A">
          <w:rPr>
            <w:lang w:val="lv-LV"/>
          </w:rPr>
          <w:t>s</w:t>
        </w:r>
      </w:ins>
      <w:del w:id="947" w:author="Regulatory LV" w:date="2026-03-17T11:35:00Z">
        <w:r w:rsidRPr="00DD7A4F" w:rsidDel="00D20F5A">
          <w:rPr>
            <w:lang w:val="lv-LV"/>
          </w:rPr>
          <w:delText>am</w:delText>
        </w:r>
      </w:del>
      <w:r w:rsidRPr="00DD7A4F">
        <w:rPr>
          <w:lang w:val="lv-LV"/>
        </w:rPr>
        <w:t xml:space="preserve"> attiecībā uz latentu tuberkulozi (TB). Pirms terapijas sākuma pacienti ar latentu TB ir jāārstē ar mikobaktēriju infekciju ārstēšanai paredzētajām standarta zālēm. </w:t>
      </w:r>
      <w:r w:rsidRPr="00DD7A4F">
        <w:rPr>
          <w:szCs w:val="24"/>
          <w:lang w:val="lv-LV"/>
        </w:rPr>
        <w:t xml:space="preserve">Ārstiem, kuri ordinē zāles, jāatceras, ka ir iespējami pseidonegatīvi tuberkulīna ādas testa un gamma interferona TB asins analīžu rezultāti. Tie īpaši ir iespējami smagi slimiem pacientiem, kā arī pacientiem ar nomāktu imūno sistēmu. </w:t>
      </w:r>
    </w:p>
    <w:p w14:paraId="15458641" w14:textId="77777777" w:rsidR="00A453C3" w:rsidRPr="00DD7A4F" w:rsidRDefault="00A453C3" w:rsidP="00A453C3">
      <w:pPr>
        <w:rPr>
          <w:szCs w:val="24"/>
          <w:lang w:val="lv-LV"/>
        </w:rPr>
      </w:pPr>
    </w:p>
    <w:p w14:paraId="273C1A5F" w14:textId="5E1A2FA1" w:rsidR="00A453C3" w:rsidRPr="00DD7A4F" w:rsidRDefault="00A453C3" w:rsidP="00A453C3">
      <w:pPr>
        <w:rPr>
          <w:szCs w:val="22"/>
          <w:lang w:val="lv-LV"/>
        </w:rPr>
      </w:pPr>
      <w:r w:rsidRPr="00DD7A4F">
        <w:rPr>
          <w:szCs w:val="24"/>
          <w:lang w:val="lv-LV"/>
        </w:rPr>
        <w:t xml:space="preserve">Pacienti </w:t>
      </w:r>
      <w:r>
        <w:rPr>
          <w:szCs w:val="22"/>
          <w:lang w:val="lv-LV"/>
        </w:rPr>
        <w:t xml:space="preserve">un sJIA vai pJIA slimnieku vecāki/aizbildņi </w:t>
      </w:r>
      <w:r w:rsidRPr="00DD7A4F">
        <w:rPr>
          <w:szCs w:val="24"/>
          <w:lang w:val="lv-LV"/>
        </w:rPr>
        <w:t xml:space="preserve">jāinformē, ka gadījumā, ja </w:t>
      </w:r>
      <w:r>
        <w:rPr>
          <w:szCs w:val="24"/>
          <w:lang w:val="lv-LV"/>
        </w:rPr>
        <w:t>šo zāļu</w:t>
      </w:r>
      <w:r w:rsidRPr="00DD7A4F">
        <w:rPr>
          <w:szCs w:val="24"/>
          <w:lang w:val="lv-LV"/>
        </w:rPr>
        <w:t xml:space="preserve"> lietošanas laikā vai pēc tās pārtraukšanas rodas pazīmes vai simptomi (piemēram, nepārejošs klepus, vājums/ķermeņa masas samazināšanās vai viegls drudzis), kas liecina par tuberkulozes infekciju, jāmeklē medicīniska palīdzība.</w:t>
      </w:r>
    </w:p>
    <w:p w14:paraId="47CC6F2D" w14:textId="77777777" w:rsidR="00A453C3" w:rsidRPr="00DD7A4F" w:rsidRDefault="00A453C3" w:rsidP="00A453C3">
      <w:pPr>
        <w:rPr>
          <w:szCs w:val="22"/>
          <w:lang w:val="lv-LV"/>
        </w:rPr>
      </w:pPr>
    </w:p>
    <w:p w14:paraId="08D1E1D3" w14:textId="77777777" w:rsidR="00A453C3" w:rsidRPr="00DD7A4F" w:rsidRDefault="00A453C3" w:rsidP="00A453C3">
      <w:pPr>
        <w:keepNext/>
        <w:keepLines/>
        <w:rPr>
          <w:szCs w:val="22"/>
          <w:lang w:val="lv-LV"/>
        </w:rPr>
      </w:pPr>
      <w:r w:rsidRPr="00DD7A4F">
        <w:rPr>
          <w:i/>
          <w:iCs/>
          <w:szCs w:val="22"/>
          <w:lang w:val="lv-LV"/>
        </w:rPr>
        <w:t>Vīrusu reaktivācija</w:t>
      </w:r>
    </w:p>
    <w:p w14:paraId="76D11246" w14:textId="2DA22A8D" w:rsidR="00A453C3" w:rsidRPr="00DD7A4F" w:rsidRDefault="00A453C3" w:rsidP="00A453C3">
      <w:pPr>
        <w:rPr>
          <w:szCs w:val="22"/>
          <w:lang w:val="lv-LV"/>
        </w:rPr>
      </w:pPr>
      <w:r w:rsidRPr="00DD7A4F">
        <w:rPr>
          <w:szCs w:val="22"/>
          <w:lang w:val="lv-LV"/>
        </w:rPr>
        <w:t xml:space="preserve">Ārstējot RA ar bioloģiskas izcelsmes zālēm, aprakstīta vīrusu (piemēram, B hepatīta vīrusa) reaktivācija. Pacienti, kuriem bija pozitīvi skrīninga rezultāti attiecībā uz hepatītu, no </w:t>
      </w:r>
      <w:r>
        <w:rPr>
          <w:szCs w:val="22"/>
          <w:lang w:val="lv-LV"/>
        </w:rPr>
        <w:t>tocilizumaba</w:t>
      </w:r>
      <w:r w:rsidRPr="00DD7A4F">
        <w:rPr>
          <w:szCs w:val="22"/>
          <w:lang w:val="lv-LV"/>
        </w:rPr>
        <w:t xml:space="preserve"> klīniskajiem pētījumiem tika izslēgti.</w:t>
      </w:r>
    </w:p>
    <w:p w14:paraId="4DB6F13A" w14:textId="77777777" w:rsidR="00A453C3" w:rsidRPr="00DD7A4F" w:rsidRDefault="00A453C3" w:rsidP="00A453C3">
      <w:pPr>
        <w:rPr>
          <w:szCs w:val="22"/>
          <w:lang w:val="lv-LV"/>
        </w:rPr>
      </w:pPr>
    </w:p>
    <w:p w14:paraId="7E512A30" w14:textId="77777777" w:rsidR="00A453C3" w:rsidRPr="00DD7A4F" w:rsidRDefault="00A453C3" w:rsidP="00A453C3">
      <w:pPr>
        <w:keepNext/>
        <w:rPr>
          <w:szCs w:val="22"/>
          <w:lang w:val="lv-LV"/>
        </w:rPr>
      </w:pPr>
      <w:r w:rsidRPr="00DD7A4F">
        <w:rPr>
          <w:i/>
          <w:szCs w:val="22"/>
          <w:lang w:val="lv-LV"/>
        </w:rPr>
        <w:t>Divertikulīta komplikācijas</w:t>
      </w:r>
    </w:p>
    <w:p w14:paraId="0ACC77C4" w14:textId="473F4D52" w:rsidR="00A453C3" w:rsidRPr="00DD7A4F" w:rsidRDefault="00A453C3" w:rsidP="00A453C3">
      <w:pPr>
        <w:keepNext/>
        <w:rPr>
          <w:szCs w:val="22"/>
          <w:lang w:val="lv-LV"/>
        </w:rPr>
      </w:pPr>
      <w:r w:rsidRPr="00DD7A4F">
        <w:rPr>
          <w:szCs w:val="22"/>
          <w:lang w:val="lv-LV"/>
        </w:rPr>
        <w:t xml:space="preserve">Retākos gadījumos ziņots par divertikula perforāciju kā divertikulīta komplikāciju pacientiem, kuri ārstēti ar </w:t>
      </w:r>
      <w:r>
        <w:rPr>
          <w:szCs w:val="22"/>
          <w:lang w:val="lv-LV"/>
        </w:rPr>
        <w:t>tocilizumabu</w:t>
      </w:r>
      <w:r w:rsidRPr="00DD7A4F">
        <w:rPr>
          <w:szCs w:val="22"/>
          <w:lang w:val="lv-LV"/>
        </w:rPr>
        <w:t xml:space="preserve"> (skatīt 4.8. apakšpunktu). </w:t>
      </w:r>
      <w:r>
        <w:rPr>
          <w:szCs w:val="22"/>
          <w:lang w:val="lv-LV"/>
        </w:rPr>
        <w:t>Šīs zāles</w:t>
      </w:r>
      <w:r w:rsidRPr="00DD7A4F">
        <w:rPr>
          <w:szCs w:val="22"/>
          <w:lang w:val="lv-LV"/>
        </w:rPr>
        <w:t xml:space="preserve"> ar piesardzību jālieto pacientiem, kuriem anamnēzē ir zarnu čūlas vai divertikulīts. Pacienti, kuriem ir simptomi, kas var liecināt par komplicētu divertikulītu, piemēram, sāpes vēderā, asiņošana un/vai neizskaidrojamas vēdera izejas pārmaiņas ar drudzi, nekavējoties jānovērtē, lai agrīni konstatētu divertikulītu, kas var būt saistīts ar kuņģa</w:t>
      </w:r>
      <w:r w:rsidR="00BD246C">
        <w:rPr>
          <w:szCs w:val="22"/>
          <w:lang w:val="lv-LV"/>
        </w:rPr>
        <w:t xml:space="preserve"> un </w:t>
      </w:r>
      <w:r w:rsidRPr="00DD7A4F">
        <w:rPr>
          <w:szCs w:val="22"/>
          <w:lang w:val="lv-LV"/>
        </w:rPr>
        <w:t>zarnu trakta perforāciju.</w:t>
      </w:r>
    </w:p>
    <w:p w14:paraId="611B4549" w14:textId="77777777" w:rsidR="00A453C3" w:rsidRPr="00DD7A4F" w:rsidRDefault="00A453C3" w:rsidP="00A453C3">
      <w:pPr>
        <w:rPr>
          <w:szCs w:val="22"/>
          <w:lang w:val="lv-LV"/>
        </w:rPr>
      </w:pPr>
    </w:p>
    <w:p w14:paraId="6E3DEC5D" w14:textId="77777777" w:rsidR="00A453C3" w:rsidRPr="00DD7A4F" w:rsidRDefault="00A453C3" w:rsidP="00A453C3">
      <w:pPr>
        <w:keepNext/>
        <w:keepLines/>
        <w:rPr>
          <w:rFonts w:eastAsia="MS Mincho"/>
          <w:szCs w:val="22"/>
          <w:lang w:val="lv-LV"/>
        </w:rPr>
      </w:pPr>
      <w:r w:rsidRPr="00DD7A4F">
        <w:rPr>
          <w:bCs/>
          <w:i/>
          <w:szCs w:val="22"/>
          <w:lang w:val="lv-LV"/>
        </w:rPr>
        <w:t>Paaugstinātas jutības reakcijas</w:t>
      </w:r>
    </w:p>
    <w:p w14:paraId="58A1ACBC" w14:textId="14DB16B0" w:rsidR="00A453C3" w:rsidRPr="00DD7A4F" w:rsidRDefault="00A453C3" w:rsidP="00A453C3">
      <w:pPr>
        <w:keepNext/>
        <w:keepLines/>
        <w:rPr>
          <w:szCs w:val="22"/>
          <w:lang w:val="lv-LV"/>
        </w:rPr>
      </w:pPr>
      <w:r w:rsidRPr="00DD7A4F">
        <w:rPr>
          <w:rFonts w:eastAsia="MS Mincho"/>
          <w:szCs w:val="22"/>
          <w:lang w:val="lv-LV"/>
        </w:rPr>
        <w:t xml:space="preserve">Saistībā ar </w:t>
      </w:r>
      <w:r>
        <w:rPr>
          <w:szCs w:val="22"/>
          <w:lang w:val="lv-LV"/>
        </w:rPr>
        <w:t>tocilizumaba lietošanu</w:t>
      </w:r>
      <w:r w:rsidRPr="00DD7A4F">
        <w:rPr>
          <w:rFonts w:eastAsia="MS Mincho"/>
          <w:szCs w:val="22"/>
          <w:lang w:val="lv-LV"/>
        </w:rPr>
        <w:t xml:space="preserve"> ziņots par nopietnām paaugstinātas jutības reakcijām, tajā skaitā anafilaksi (skatīt 4.8. apakšpunktu)</w:t>
      </w:r>
      <w:r w:rsidRPr="00DD7A4F">
        <w:rPr>
          <w:szCs w:val="22"/>
          <w:lang w:val="lv-LV"/>
        </w:rPr>
        <w:t xml:space="preserve">. </w:t>
      </w:r>
      <w:r w:rsidRPr="00DD7A4F">
        <w:rPr>
          <w:lang w:val="lv-LV"/>
        </w:rPr>
        <w:t>Šādas reakcijas var būt smagākas un pat letālas pacientiem, kuriem iepriekšējās RoActemra lietošanas laikā</w:t>
      </w:r>
      <w:del w:id="948" w:author="Author">
        <w:r w:rsidRPr="00DD7A4F" w:rsidDel="00CE6B8D">
          <w:rPr>
            <w:lang w:val="lv-LV"/>
          </w:rPr>
          <w:delText xml:space="preserve"> </w:delText>
        </w:r>
      </w:del>
      <w:r w:rsidRPr="00DD7A4F">
        <w:rPr>
          <w:lang w:val="lv-LV"/>
        </w:rPr>
        <w:t xml:space="preserve"> bijušas </w:t>
      </w:r>
      <w:r w:rsidRPr="00DD7A4F">
        <w:rPr>
          <w:rFonts w:eastAsia="MS Mincho"/>
          <w:lang w:val="lv-LV"/>
        </w:rPr>
        <w:t>nop</w:t>
      </w:r>
      <w:r w:rsidRPr="004976C8">
        <w:rPr>
          <w:rFonts w:eastAsia="MS Mincho"/>
          <w:lang w:val="lv-LV"/>
        </w:rPr>
        <w:t>ietnas paaugstinātas jutības reakcijas, pat, ja saņemta</w:t>
      </w:r>
      <w:r w:rsidRPr="004976C8">
        <w:rPr>
          <w:lang w:val="lv-LV"/>
        </w:rPr>
        <w:t xml:space="preserve"> premedikācija ar steroīdiem un antihistamīna līdzekļiem</w:t>
      </w:r>
      <w:r w:rsidRPr="004976C8">
        <w:rPr>
          <w:szCs w:val="22"/>
          <w:lang w:val="lv-LV"/>
        </w:rPr>
        <w:t>.</w:t>
      </w:r>
      <w:r w:rsidRPr="004976C8">
        <w:rPr>
          <w:lang w:val="lv-LV"/>
        </w:rPr>
        <w:t xml:space="preserve"> Ja rodas anafilaktiska reakcija vai cita nopietna paaugstinātas jutības reakcija, tocilizumaba ie</w:t>
      </w:r>
      <w:r w:rsidR="003259A0" w:rsidRPr="009801B9">
        <w:rPr>
          <w:lang w:val="lv-LV"/>
        </w:rPr>
        <w:t>vadī</w:t>
      </w:r>
      <w:r w:rsidRPr="004976C8">
        <w:rPr>
          <w:lang w:val="lv-LV"/>
        </w:rPr>
        <w:t xml:space="preserve">šana nekavējoties jāpārtrauc, jāsāk atbilstoša </w:t>
      </w:r>
      <w:r w:rsidR="0029427C">
        <w:rPr>
          <w:lang w:val="lv-LV"/>
        </w:rPr>
        <w:t>ārstēšana</w:t>
      </w:r>
      <w:r w:rsidR="0029427C" w:rsidRPr="004976C8">
        <w:rPr>
          <w:lang w:val="lv-LV"/>
        </w:rPr>
        <w:t xml:space="preserve"> </w:t>
      </w:r>
      <w:r w:rsidRPr="004976C8">
        <w:rPr>
          <w:lang w:val="lv-LV"/>
        </w:rPr>
        <w:t xml:space="preserve">un </w:t>
      </w:r>
      <w:r w:rsidR="0029427C">
        <w:rPr>
          <w:lang w:val="lv-LV"/>
        </w:rPr>
        <w:t xml:space="preserve">terapija </w:t>
      </w:r>
      <w:r w:rsidRPr="004976C8">
        <w:rPr>
          <w:lang w:val="lv-LV"/>
        </w:rPr>
        <w:t>pilnīgi jāpārtrauc.</w:t>
      </w:r>
      <w:r w:rsidRPr="00DD7A4F">
        <w:rPr>
          <w:szCs w:val="22"/>
          <w:lang w:val="lv-LV"/>
        </w:rPr>
        <w:t xml:space="preserve"> </w:t>
      </w:r>
    </w:p>
    <w:p w14:paraId="4D6C995D" w14:textId="77777777" w:rsidR="00A453C3" w:rsidRPr="00DD7A4F" w:rsidRDefault="00A453C3" w:rsidP="00A453C3">
      <w:pPr>
        <w:rPr>
          <w:szCs w:val="22"/>
          <w:lang w:val="lv-LV"/>
        </w:rPr>
      </w:pPr>
    </w:p>
    <w:p w14:paraId="5A44624B" w14:textId="77777777" w:rsidR="00A453C3" w:rsidRPr="00DD7A4F" w:rsidRDefault="00A453C3" w:rsidP="00A453C3">
      <w:pPr>
        <w:keepNext/>
        <w:rPr>
          <w:szCs w:val="22"/>
          <w:lang w:val="lv-LV"/>
        </w:rPr>
      </w:pPr>
      <w:r w:rsidRPr="00DD7A4F">
        <w:rPr>
          <w:i/>
          <w:szCs w:val="22"/>
          <w:lang w:val="lv-LV"/>
        </w:rPr>
        <w:t>Aktīva aknu slimība un aknu darbības traucējumi</w:t>
      </w:r>
    </w:p>
    <w:p w14:paraId="0C7BCB77" w14:textId="504E6B10" w:rsidR="00A453C3" w:rsidRPr="00DD7A4F" w:rsidRDefault="00A453C3" w:rsidP="00A453C3">
      <w:pPr>
        <w:rPr>
          <w:szCs w:val="22"/>
          <w:lang w:val="lv-LV"/>
        </w:rPr>
      </w:pPr>
      <w:r w:rsidRPr="00DD7A4F">
        <w:rPr>
          <w:szCs w:val="22"/>
          <w:lang w:val="lv-LV"/>
        </w:rPr>
        <w:t xml:space="preserve">Ārstēšana ar </w:t>
      </w:r>
      <w:r>
        <w:rPr>
          <w:szCs w:val="22"/>
          <w:lang w:val="lv-LV"/>
        </w:rPr>
        <w:t>tocilizumabu</w:t>
      </w:r>
      <w:r w:rsidRPr="00DD7A4F">
        <w:rPr>
          <w:szCs w:val="22"/>
          <w:lang w:val="lv-LV"/>
        </w:rPr>
        <w:t>, īpaši lietojot vienlaikus ar MTX, var būt saistīta ar aknu transamināžu līmeņa paaugstināšanos, tādēļ, apsverot pacientu ar aktīvu aknu slimību vai aknu darbības traucējumiem ārstēšanu, jāievēro piesardzība (skatīt 4.2.</w:t>
      </w:r>
      <w:r>
        <w:rPr>
          <w:szCs w:val="22"/>
          <w:lang w:val="lv-LV"/>
        </w:rPr>
        <w:t> </w:t>
      </w:r>
      <w:r w:rsidRPr="00DD7A4F">
        <w:rPr>
          <w:szCs w:val="22"/>
          <w:lang w:val="lv-LV"/>
        </w:rPr>
        <w:t>un 4.8. apakšpunktu).</w:t>
      </w:r>
    </w:p>
    <w:p w14:paraId="04393D25" w14:textId="77777777" w:rsidR="00A453C3" w:rsidRPr="00DD7A4F" w:rsidRDefault="00A453C3" w:rsidP="00A453C3">
      <w:pPr>
        <w:rPr>
          <w:szCs w:val="22"/>
          <w:lang w:val="lv-LV"/>
        </w:rPr>
      </w:pPr>
    </w:p>
    <w:p w14:paraId="22EB6EAA" w14:textId="77777777" w:rsidR="00A453C3" w:rsidRPr="00DD7A4F" w:rsidRDefault="00A453C3" w:rsidP="00707120">
      <w:pPr>
        <w:keepNext/>
        <w:rPr>
          <w:szCs w:val="22"/>
          <w:lang w:val="lv-LV"/>
        </w:rPr>
      </w:pPr>
      <w:r>
        <w:rPr>
          <w:i/>
          <w:szCs w:val="22"/>
          <w:lang w:val="lv-LV"/>
        </w:rPr>
        <w:t>Hepatotoksicitāte</w:t>
      </w:r>
    </w:p>
    <w:p w14:paraId="3D012867" w14:textId="2AB60869" w:rsidR="00A453C3" w:rsidRPr="00DD7A4F" w:rsidRDefault="00A453C3" w:rsidP="00A453C3">
      <w:pPr>
        <w:rPr>
          <w:szCs w:val="22"/>
          <w:lang w:val="lv-LV"/>
        </w:rPr>
      </w:pPr>
      <w:r>
        <w:rPr>
          <w:szCs w:val="22"/>
          <w:lang w:val="lv-LV"/>
        </w:rPr>
        <w:t>Ā</w:t>
      </w:r>
      <w:r w:rsidRPr="00DD7A4F">
        <w:rPr>
          <w:szCs w:val="22"/>
          <w:lang w:val="lv-LV"/>
        </w:rPr>
        <w:t xml:space="preserve">rstējot ar </w:t>
      </w:r>
      <w:r>
        <w:rPr>
          <w:szCs w:val="22"/>
          <w:lang w:val="lv-LV"/>
        </w:rPr>
        <w:t>tocilizumabu</w:t>
      </w:r>
      <w:r w:rsidRPr="00DD7A4F">
        <w:rPr>
          <w:szCs w:val="22"/>
          <w:lang w:val="lv-LV"/>
        </w:rPr>
        <w:t xml:space="preserve">, bieži novērota pārejoša vai periodiska neliela vai vidēji izteikta aknu transamināžu līmeņa paaugstināšanās (skatīt 4.8. apakšpunktu). Palielinātu šādas paaugstināšanās biežumu novēroja, lietojot potenciāli hepatotoksiskās zāles (piemēram, MTX) kombinācijā ar </w:t>
      </w:r>
      <w:r>
        <w:rPr>
          <w:szCs w:val="22"/>
          <w:lang w:val="lv-LV"/>
        </w:rPr>
        <w:t>tocilizumabu</w:t>
      </w:r>
      <w:r w:rsidRPr="00DD7A4F">
        <w:rPr>
          <w:szCs w:val="22"/>
          <w:lang w:val="lv-LV"/>
        </w:rPr>
        <w:t>. Klīnisku indikāciju gadījumos jāapsver nepieciešamība veikt citas aknu darbības pārbaudes, tajā skaitā arī jānosaka bilirubīna koncentrācija.</w:t>
      </w:r>
    </w:p>
    <w:p w14:paraId="7077DD8B" w14:textId="77777777" w:rsidR="00A453C3" w:rsidRDefault="00A453C3" w:rsidP="00A453C3">
      <w:pPr>
        <w:rPr>
          <w:szCs w:val="22"/>
          <w:lang w:val="lv-LV"/>
        </w:rPr>
      </w:pPr>
    </w:p>
    <w:p w14:paraId="417B0D70" w14:textId="795E7500" w:rsidR="00A453C3" w:rsidRDefault="00A453C3" w:rsidP="00A453C3">
      <w:pPr>
        <w:rPr>
          <w:szCs w:val="22"/>
          <w:lang w:val="lv-LV"/>
        </w:rPr>
      </w:pPr>
      <w:r>
        <w:rPr>
          <w:szCs w:val="22"/>
          <w:lang w:val="lv-LV"/>
        </w:rPr>
        <w:t xml:space="preserve">Lietojot tocilizumabu, novēroti nopietni zāļu izraisīti aknu bojājumi, ieskaitot akūtu aknu mazspēju, hepatītu un dzelti (skatīt 4.8. apakšpunktu). Nopietni aknu bojājumi novēroti 2 nedēļu laikā līdz vairāk nekā 5 gadus pēc ārstēšanas sākšanas. Ziņots par aknu mazspējas gadījumiem, kā rezultātā bijusi nepieciešama aknu transplantācija. </w:t>
      </w:r>
      <w:r w:rsidRPr="004C17E9">
        <w:rPr>
          <w:szCs w:val="22"/>
          <w:lang w:val="lv-LV"/>
        </w:rPr>
        <w:t xml:space="preserve">Pacienti jāinformē, ka gadījumā, ja rodas </w:t>
      </w:r>
      <w:r>
        <w:rPr>
          <w:szCs w:val="22"/>
          <w:lang w:val="lv-LV"/>
        </w:rPr>
        <w:t xml:space="preserve">aknu bojājumu </w:t>
      </w:r>
      <w:r w:rsidRPr="004C17E9">
        <w:rPr>
          <w:szCs w:val="22"/>
          <w:lang w:val="lv-LV"/>
        </w:rPr>
        <w:t>pazīmes vai simptomi</w:t>
      </w:r>
      <w:r>
        <w:rPr>
          <w:szCs w:val="22"/>
          <w:lang w:val="lv-LV"/>
        </w:rPr>
        <w:t>, nekavējoties</w:t>
      </w:r>
      <w:r w:rsidRPr="004C17E9">
        <w:rPr>
          <w:szCs w:val="22"/>
          <w:lang w:val="lv-LV"/>
        </w:rPr>
        <w:t xml:space="preserve"> jāmeklē medicīniska palīdzība</w:t>
      </w:r>
      <w:r>
        <w:rPr>
          <w:szCs w:val="22"/>
          <w:lang w:val="lv-LV"/>
        </w:rPr>
        <w:t>.</w:t>
      </w:r>
    </w:p>
    <w:p w14:paraId="28BF69EA" w14:textId="77777777" w:rsidR="00A453C3" w:rsidRPr="00DD7A4F" w:rsidRDefault="00A453C3" w:rsidP="00A453C3">
      <w:pPr>
        <w:rPr>
          <w:szCs w:val="22"/>
          <w:lang w:val="lv-LV"/>
        </w:rPr>
      </w:pPr>
    </w:p>
    <w:p w14:paraId="524F02E2" w14:textId="649E8DBB" w:rsidR="00A453C3" w:rsidRPr="00DD7A4F" w:rsidRDefault="00A453C3" w:rsidP="00A453C3">
      <w:pPr>
        <w:rPr>
          <w:szCs w:val="22"/>
          <w:lang w:val="lv-LV"/>
        </w:rPr>
      </w:pPr>
      <w:r w:rsidRPr="00DD7A4F">
        <w:rPr>
          <w:szCs w:val="22"/>
          <w:lang w:val="lv-LV"/>
        </w:rPr>
        <w:t>Apsverot ārstēšanas sākšanu pacientiem ar paaugstinātu ALAT vai ASAT līmeni &gt;</w:t>
      </w:r>
      <w:r>
        <w:rPr>
          <w:szCs w:val="22"/>
          <w:lang w:val="lv-LV"/>
        </w:rPr>
        <w:t> </w:t>
      </w:r>
      <w:r w:rsidRPr="00DD7A4F">
        <w:rPr>
          <w:szCs w:val="22"/>
          <w:lang w:val="lv-LV"/>
        </w:rPr>
        <w:t>1,5</w:t>
      </w:r>
      <w:r>
        <w:rPr>
          <w:szCs w:val="22"/>
          <w:lang w:val="lv-LV"/>
        </w:rPr>
        <w:t> × </w:t>
      </w:r>
      <w:r w:rsidRPr="00DD7A4F">
        <w:rPr>
          <w:szCs w:val="22"/>
          <w:lang w:val="lv-LV"/>
        </w:rPr>
        <w:t>NAR, jāievēro piesardzība. Pacientiem, kuriem pirms terapijas sākuma ALAT vai ASAT līmenis ir &gt;</w:t>
      </w:r>
      <w:r>
        <w:rPr>
          <w:szCs w:val="22"/>
          <w:lang w:val="lv-LV"/>
        </w:rPr>
        <w:t> </w:t>
      </w:r>
      <w:r w:rsidRPr="00DD7A4F">
        <w:rPr>
          <w:szCs w:val="22"/>
          <w:lang w:val="lv-LV"/>
        </w:rPr>
        <w:t>5</w:t>
      </w:r>
      <w:r>
        <w:rPr>
          <w:szCs w:val="22"/>
          <w:lang w:val="lv-LV"/>
        </w:rPr>
        <w:t> × </w:t>
      </w:r>
      <w:r w:rsidRPr="00DD7A4F">
        <w:rPr>
          <w:szCs w:val="22"/>
          <w:lang w:val="lv-LV"/>
        </w:rPr>
        <w:t>NAR, ārstēšana nav ieteicama.</w:t>
      </w:r>
    </w:p>
    <w:p w14:paraId="3C2E7FE1" w14:textId="77777777" w:rsidR="00A453C3" w:rsidRPr="00DD7A4F" w:rsidRDefault="00A453C3" w:rsidP="00A453C3">
      <w:pPr>
        <w:rPr>
          <w:szCs w:val="22"/>
          <w:lang w:val="lv-LV"/>
        </w:rPr>
      </w:pPr>
    </w:p>
    <w:p w14:paraId="5EECA42B" w14:textId="1D3C2F65" w:rsidR="00A453C3" w:rsidRPr="00DD7A4F" w:rsidRDefault="00A453C3" w:rsidP="00A453C3">
      <w:pPr>
        <w:rPr>
          <w:szCs w:val="22"/>
          <w:lang w:val="lv-LV"/>
        </w:rPr>
      </w:pPr>
      <w:r w:rsidRPr="00DD7A4F">
        <w:rPr>
          <w:szCs w:val="22"/>
          <w:lang w:val="lv-LV"/>
        </w:rPr>
        <w:t>Pacientiem ar RA</w:t>
      </w:r>
      <w:r>
        <w:rPr>
          <w:szCs w:val="22"/>
          <w:lang w:val="lv-LV"/>
        </w:rPr>
        <w:t>,</w:t>
      </w:r>
      <w:r w:rsidRPr="00DD7A4F">
        <w:rPr>
          <w:szCs w:val="22"/>
          <w:lang w:val="lv-LV"/>
        </w:rPr>
        <w:t xml:space="preserve"> GCA</w:t>
      </w:r>
      <w:r>
        <w:rPr>
          <w:szCs w:val="22"/>
          <w:lang w:val="lv-LV"/>
        </w:rPr>
        <w:t>, pJIA vai sJIA</w:t>
      </w:r>
      <w:r w:rsidRPr="00DD7A4F">
        <w:rPr>
          <w:szCs w:val="22"/>
          <w:lang w:val="lv-LV"/>
        </w:rPr>
        <w:t xml:space="preserve"> pirmo 6</w:t>
      </w:r>
      <w:r>
        <w:rPr>
          <w:szCs w:val="22"/>
          <w:lang w:val="lv-LV"/>
        </w:rPr>
        <w:t> </w:t>
      </w:r>
      <w:r w:rsidRPr="00DD7A4F">
        <w:rPr>
          <w:szCs w:val="22"/>
          <w:lang w:val="lv-LV"/>
        </w:rPr>
        <w:t>terapijas mēnešu laikā ALAT</w:t>
      </w:r>
      <w:r>
        <w:rPr>
          <w:szCs w:val="22"/>
          <w:lang w:val="lv-LV"/>
        </w:rPr>
        <w:t>/</w:t>
      </w:r>
      <w:r w:rsidRPr="00DD7A4F">
        <w:rPr>
          <w:szCs w:val="22"/>
          <w:lang w:val="lv-LV"/>
        </w:rPr>
        <w:t>ASAT jākontrolē ik pēc 4</w:t>
      </w:r>
      <w:r>
        <w:rPr>
          <w:szCs w:val="22"/>
          <w:lang w:val="lv-LV"/>
        </w:rPr>
        <w:noBreakHyphen/>
      </w:r>
      <w:r w:rsidRPr="00DD7A4F">
        <w:rPr>
          <w:szCs w:val="22"/>
          <w:lang w:val="lv-LV"/>
        </w:rPr>
        <w:t>8 nedēļām, bet vēlāk – ik pēc 12</w:t>
      </w:r>
      <w:r>
        <w:rPr>
          <w:szCs w:val="22"/>
          <w:lang w:val="lv-LV"/>
        </w:rPr>
        <w:t> </w:t>
      </w:r>
      <w:r w:rsidRPr="00DD7A4F">
        <w:rPr>
          <w:szCs w:val="22"/>
          <w:lang w:val="lv-LV"/>
        </w:rPr>
        <w:t xml:space="preserve">nedēļām. Ieteicamās izmaiņas, </w:t>
      </w:r>
      <w:r>
        <w:rPr>
          <w:szCs w:val="22"/>
          <w:lang w:val="lv-LV"/>
        </w:rPr>
        <w:t xml:space="preserve">ieskaitot tocilizumaba lietošanas pārtraukšanu, </w:t>
      </w:r>
      <w:r w:rsidRPr="00DD7A4F">
        <w:rPr>
          <w:szCs w:val="22"/>
          <w:lang w:val="lv-LV"/>
        </w:rPr>
        <w:t>ko pamato transamināžu līmenis, skatīt 4.2. apakšpunktā. Ja ALAT un ASAT līmenis paaugstinās līdz vērtībām, kas vairāk nekā 3</w:t>
      </w:r>
      <w:r>
        <w:rPr>
          <w:szCs w:val="22"/>
          <w:lang w:val="lv-LV"/>
        </w:rPr>
        <w:noBreakHyphen/>
      </w:r>
      <w:r w:rsidRPr="00DD7A4F">
        <w:rPr>
          <w:szCs w:val="22"/>
          <w:lang w:val="lv-LV"/>
        </w:rPr>
        <w:t>5</w:t>
      </w:r>
      <w:r>
        <w:rPr>
          <w:szCs w:val="22"/>
          <w:lang w:val="lv-LV"/>
        </w:rPr>
        <w:t> </w:t>
      </w:r>
      <w:r w:rsidRPr="00DD7A4F">
        <w:rPr>
          <w:szCs w:val="22"/>
          <w:lang w:val="lv-LV"/>
        </w:rPr>
        <w:t xml:space="preserve">reizes pārsniedz NAR, </w:t>
      </w:r>
      <w:r>
        <w:rPr>
          <w:szCs w:val="22"/>
          <w:lang w:val="lv-LV"/>
        </w:rPr>
        <w:t>terapija</w:t>
      </w:r>
      <w:r w:rsidRPr="00DD7A4F">
        <w:rPr>
          <w:szCs w:val="22"/>
          <w:lang w:val="lv-LV"/>
        </w:rPr>
        <w:t xml:space="preserve"> ir jāpārtrauc. </w:t>
      </w:r>
    </w:p>
    <w:p w14:paraId="3762DFC3" w14:textId="77777777" w:rsidR="00A453C3" w:rsidRPr="00DD7A4F" w:rsidRDefault="00A453C3" w:rsidP="00A453C3">
      <w:pPr>
        <w:rPr>
          <w:szCs w:val="22"/>
          <w:lang w:val="lv-LV"/>
        </w:rPr>
      </w:pPr>
    </w:p>
    <w:p w14:paraId="672F0305" w14:textId="77777777" w:rsidR="00A453C3" w:rsidRPr="00DD7A4F" w:rsidRDefault="00A453C3" w:rsidP="00707120">
      <w:pPr>
        <w:keepNext/>
        <w:rPr>
          <w:szCs w:val="22"/>
          <w:lang w:val="lv-LV"/>
        </w:rPr>
      </w:pPr>
      <w:r w:rsidRPr="00DD7A4F">
        <w:rPr>
          <w:i/>
          <w:szCs w:val="22"/>
          <w:lang w:val="lv-LV"/>
        </w:rPr>
        <w:t>Hematoloģiskās patoloģijas</w:t>
      </w:r>
    </w:p>
    <w:p w14:paraId="1193C617" w14:textId="28F2F5AF" w:rsidR="00A453C3" w:rsidRPr="00DD7A4F" w:rsidRDefault="00A453C3" w:rsidP="00A453C3">
      <w:pPr>
        <w:rPr>
          <w:szCs w:val="22"/>
          <w:lang w:val="lv-LV"/>
        </w:rPr>
      </w:pPr>
      <w:r w:rsidRPr="00DD7A4F">
        <w:rPr>
          <w:szCs w:val="22"/>
          <w:lang w:val="lv-LV"/>
        </w:rPr>
        <w:t xml:space="preserve">Pēc ārstēšanas ar </w:t>
      </w:r>
      <w:r>
        <w:rPr>
          <w:szCs w:val="22"/>
          <w:lang w:val="lv-LV"/>
        </w:rPr>
        <w:t>tocilizumaba</w:t>
      </w:r>
      <w:r w:rsidRPr="00DD7A4F">
        <w:rPr>
          <w:szCs w:val="22"/>
          <w:lang w:val="lv-LV"/>
        </w:rPr>
        <w:t xml:space="preserve"> 8 mg/kg </w:t>
      </w:r>
      <w:r>
        <w:rPr>
          <w:szCs w:val="22"/>
          <w:lang w:val="lv-LV"/>
        </w:rPr>
        <w:t xml:space="preserve">devu </w:t>
      </w:r>
      <w:r w:rsidRPr="00DD7A4F">
        <w:rPr>
          <w:szCs w:val="22"/>
          <w:lang w:val="lv-LV"/>
        </w:rPr>
        <w:t>kombinācijā ar MTX novērota neitrofilo leikocītu un trombocītu skaita samazināšanās (skatīt 4.8. apakšpunktu). Pacientiem, kuri agrāk ir ārstēti ar TNF antagonistiem, var paaugstināties neitropēnijas risks.</w:t>
      </w:r>
    </w:p>
    <w:p w14:paraId="6D2309B7" w14:textId="77777777" w:rsidR="00A453C3" w:rsidRPr="00DD7A4F" w:rsidRDefault="00A453C3" w:rsidP="00A453C3">
      <w:pPr>
        <w:rPr>
          <w:szCs w:val="22"/>
          <w:lang w:val="lv-LV"/>
        </w:rPr>
      </w:pPr>
    </w:p>
    <w:p w14:paraId="74389582" w14:textId="510D9660" w:rsidR="00A453C3" w:rsidRPr="00DD7A4F" w:rsidRDefault="00A453C3" w:rsidP="00A453C3">
      <w:pPr>
        <w:rPr>
          <w:szCs w:val="22"/>
          <w:lang w:val="lv-LV"/>
        </w:rPr>
      </w:pPr>
      <w:r w:rsidRPr="00DD7A4F">
        <w:rPr>
          <w:szCs w:val="22"/>
          <w:lang w:val="lv-LV"/>
        </w:rPr>
        <w:t xml:space="preserve">Pacientiem, kuri ar </w:t>
      </w:r>
      <w:r>
        <w:rPr>
          <w:szCs w:val="22"/>
          <w:lang w:val="lv-LV"/>
        </w:rPr>
        <w:t>tocilizumabu</w:t>
      </w:r>
      <w:r w:rsidRPr="00DD7A4F">
        <w:rPr>
          <w:szCs w:val="22"/>
          <w:lang w:val="lv-LV"/>
        </w:rPr>
        <w:t xml:space="preserve"> agrāk nav ārstēti, sākt zāļu lietošanu nav ieteicams, ja ANS ir mazāks par 2 </w:t>
      </w:r>
      <w:r>
        <w:rPr>
          <w:szCs w:val="22"/>
          <w:lang w:val="lv-LV"/>
        </w:rPr>
        <w:t>×</w:t>
      </w:r>
      <w:r w:rsidRPr="00DD7A4F">
        <w:rPr>
          <w:szCs w:val="22"/>
          <w:lang w:val="lv-LV"/>
        </w:rPr>
        <w:t> 10</w:t>
      </w:r>
      <w:r w:rsidRPr="00DD7A4F">
        <w:rPr>
          <w:szCs w:val="22"/>
          <w:vertAlign w:val="superscript"/>
          <w:lang w:val="lv-LV"/>
        </w:rPr>
        <w:t>9</w:t>
      </w:r>
      <w:r w:rsidRPr="00DD7A4F">
        <w:rPr>
          <w:szCs w:val="22"/>
          <w:lang w:val="lv-LV"/>
        </w:rPr>
        <w:t>/l.</w:t>
      </w:r>
      <w:r w:rsidRPr="00DD7A4F">
        <w:rPr>
          <w:bCs/>
          <w:lang w:val="lv-LV"/>
        </w:rPr>
        <w:t xml:space="preserve"> </w:t>
      </w:r>
      <w:r w:rsidRPr="00DD7A4F">
        <w:rPr>
          <w:szCs w:val="22"/>
          <w:lang w:val="lv-LV"/>
        </w:rPr>
        <w:t>Apsverot ārstēšanas sākšanu pacientiem ar mazu trombocītu skaitu (trombocītu skaitu, kas mazāks par 100</w:t>
      </w:r>
      <w:r>
        <w:rPr>
          <w:szCs w:val="22"/>
          <w:lang w:val="lv-LV"/>
        </w:rPr>
        <w:t> × </w:t>
      </w:r>
      <w:r w:rsidRPr="00DD7A4F">
        <w:rPr>
          <w:szCs w:val="22"/>
          <w:lang w:val="lv-LV"/>
        </w:rPr>
        <w:t>10</w:t>
      </w:r>
      <w:r w:rsidRPr="00DD7A4F">
        <w:rPr>
          <w:szCs w:val="22"/>
          <w:vertAlign w:val="superscript"/>
          <w:lang w:val="lv-LV"/>
        </w:rPr>
        <w:t>3</w:t>
      </w:r>
      <w:r w:rsidRPr="00DD7A4F">
        <w:rPr>
          <w:szCs w:val="22"/>
          <w:lang w:val="lv-LV"/>
        </w:rPr>
        <w:t>/</w:t>
      </w:r>
      <w:r w:rsidR="00A81F10" w:rsidRPr="00707120">
        <w:rPr>
          <w:szCs w:val="22"/>
          <w:lang w:val="lv-LV" w:eastAsia="ja-JP"/>
        </w:rPr>
        <w:t>µ</w:t>
      </w:r>
      <w:r w:rsidRPr="00DD7A4F">
        <w:rPr>
          <w:szCs w:val="22"/>
          <w:lang w:val="lv-LV"/>
        </w:rPr>
        <w:t>l), jāievēro piesardzība. Pacientiem, kuriem ANS ir &lt;</w:t>
      </w:r>
      <w:r>
        <w:rPr>
          <w:szCs w:val="22"/>
          <w:lang w:val="lv-LV"/>
        </w:rPr>
        <w:t> </w:t>
      </w:r>
      <w:r w:rsidRPr="00DD7A4F">
        <w:rPr>
          <w:szCs w:val="22"/>
          <w:lang w:val="lv-LV"/>
        </w:rPr>
        <w:t>0,5</w:t>
      </w:r>
      <w:ins w:id="949" w:author="Author">
        <w:r w:rsidR="006D6564">
          <w:rPr>
            <w:szCs w:val="22"/>
            <w:lang w:val="lv-LV"/>
          </w:rPr>
          <w:t> </w:t>
        </w:r>
      </w:ins>
      <w:r>
        <w:rPr>
          <w:szCs w:val="22"/>
          <w:lang w:val="lv-LV"/>
        </w:rPr>
        <w:t>× </w:t>
      </w:r>
      <w:r w:rsidRPr="00DD7A4F">
        <w:rPr>
          <w:szCs w:val="22"/>
          <w:lang w:val="lv-LV"/>
        </w:rPr>
        <w:t>10</w:t>
      </w:r>
      <w:r w:rsidRPr="00DD7A4F">
        <w:rPr>
          <w:szCs w:val="22"/>
          <w:vertAlign w:val="superscript"/>
          <w:lang w:val="lv-LV"/>
        </w:rPr>
        <w:t>9</w:t>
      </w:r>
      <w:r w:rsidRPr="00DD7A4F">
        <w:rPr>
          <w:szCs w:val="22"/>
          <w:lang w:val="lv-LV"/>
        </w:rPr>
        <w:t>/l vai trombocītu skaits ir &lt;</w:t>
      </w:r>
      <w:r>
        <w:rPr>
          <w:szCs w:val="22"/>
          <w:lang w:val="lv-LV"/>
        </w:rPr>
        <w:t> </w:t>
      </w:r>
      <w:r w:rsidRPr="00DD7A4F">
        <w:rPr>
          <w:szCs w:val="22"/>
          <w:lang w:val="lv-LV"/>
        </w:rPr>
        <w:t>50</w:t>
      </w:r>
      <w:ins w:id="950" w:author="Author">
        <w:r w:rsidR="006D6564">
          <w:rPr>
            <w:szCs w:val="22"/>
            <w:lang w:val="lv-LV"/>
          </w:rPr>
          <w:t> </w:t>
        </w:r>
      </w:ins>
      <w:r>
        <w:rPr>
          <w:szCs w:val="22"/>
          <w:lang w:val="lv-LV"/>
        </w:rPr>
        <w:t>× </w:t>
      </w:r>
      <w:r w:rsidRPr="00DD7A4F">
        <w:rPr>
          <w:szCs w:val="22"/>
          <w:lang w:val="lv-LV"/>
        </w:rPr>
        <w:t>10</w:t>
      </w:r>
      <w:r w:rsidRPr="00DD7A4F">
        <w:rPr>
          <w:szCs w:val="22"/>
          <w:vertAlign w:val="superscript"/>
          <w:lang w:val="lv-LV"/>
        </w:rPr>
        <w:t>3</w:t>
      </w:r>
      <w:r w:rsidRPr="00DD7A4F">
        <w:rPr>
          <w:szCs w:val="22"/>
          <w:lang w:val="lv-LV"/>
        </w:rPr>
        <w:t>/</w:t>
      </w:r>
      <w:r w:rsidR="00A81F10" w:rsidRPr="00707120">
        <w:rPr>
          <w:szCs w:val="22"/>
          <w:lang w:val="lv-LV" w:eastAsia="ja-JP"/>
        </w:rPr>
        <w:t>µ</w:t>
      </w:r>
      <w:r w:rsidRPr="00DD7A4F">
        <w:rPr>
          <w:szCs w:val="22"/>
          <w:lang w:val="lv-LV"/>
        </w:rPr>
        <w:t>l, turpmāka ārstēšana nav ieteicama.</w:t>
      </w:r>
    </w:p>
    <w:p w14:paraId="39CC88F3" w14:textId="77777777" w:rsidR="00A453C3" w:rsidRPr="00DD7A4F" w:rsidRDefault="00A453C3" w:rsidP="00A453C3">
      <w:pPr>
        <w:rPr>
          <w:szCs w:val="22"/>
          <w:lang w:val="lv-LV"/>
        </w:rPr>
      </w:pPr>
    </w:p>
    <w:p w14:paraId="76AE9B54" w14:textId="19C1D38D" w:rsidR="00A453C3" w:rsidRPr="00DD7A4F" w:rsidRDefault="00A453C3" w:rsidP="00A453C3">
      <w:pPr>
        <w:rPr>
          <w:szCs w:val="22"/>
          <w:lang w:val="lv-LV"/>
        </w:rPr>
      </w:pPr>
      <w:r w:rsidRPr="00DD7A4F">
        <w:rPr>
          <w:szCs w:val="22"/>
          <w:lang w:val="lv-LV"/>
        </w:rPr>
        <w:t xml:space="preserve">Smaga neitropēnija var būt saistīta ar paaugstinātu nopietnu infekciju risku, lai gan līdz šim klīniskos pētījumos </w:t>
      </w:r>
      <w:r>
        <w:rPr>
          <w:szCs w:val="22"/>
          <w:lang w:val="lv-LV"/>
        </w:rPr>
        <w:t>p</w:t>
      </w:r>
      <w:r w:rsidRPr="00DD7A4F">
        <w:rPr>
          <w:szCs w:val="22"/>
          <w:lang w:val="lv-LV"/>
        </w:rPr>
        <w:t xml:space="preserve">ar </w:t>
      </w:r>
      <w:r>
        <w:rPr>
          <w:szCs w:val="22"/>
          <w:lang w:val="lv-LV"/>
        </w:rPr>
        <w:t>tocilizumabu</w:t>
      </w:r>
      <w:r w:rsidRPr="00DD7A4F">
        <w:rPr>
          <w:szCs w:val="22"/>
          <w:lang w:val="lv-LV"/>
        </w:rPr>
        <w:t xml:space="preserve"> nebija acīmredzamas saistības starp neitrofilo leikocītu skaita samazināšanos un nopietnu infekciju rašanos.</w:t>
      </w:r>
    </w:p>
    <w:p w14:paraId="2389E98B" w14:textId="77777777" w:rsidR="00A453C3" w:rsidRPr="00DD7A4F" w:rsidRDefault="00A453C3" w:rsidP="00A453C3">
      <w:pPr>
        <w:rPr>
          <w:szCs w:val="22"/>
          <w:lang w:val="lv-LV"/>
        </w:rPr>
      </w:pPr>
    </w:p>
    <w:p w14:paraId="7CD12F11" w14:textId="3E82A9CC" w:rsidR="00A453C3" w:rsidRDefault="00A453C3" w:rsidP="00A453C3">
      <w:pPr>
        <w:rPr>
          <w:szCs w:val="22"/>
          <w:lang w:val="lv-LV"/>
        </w:rPr>
      </w:pPr>
      <w:r w:rsidRPr="00DD7A4F">
        <w:rPr>
          <w:szCs w:val="22"/>
          <w:lang w:val="lv-LV"/>
        </w:rPr>
        <w:t>Pacientiem ar RA vai GCA neitrofilo leikocītu un trombocītu skaits jākontrolē 4</w:t>
      </w:r>
      <w:r>
        <w:rPr>
          <w:szCs w:val="22"/>
          <w:lang w:val="lv-LV"/>
        </w:rPr>
        <w:noBreakHyphen/>
      </w:r>
      <w:r w:rsidRPr="00DD7A4F">
        <w:rPr>
          <w:szCs w:val="22"/>
          <w:lang w:val="lv-LV"/>
        </w:rPr>
        <w:t>8</w:t>
      </w:r>
      <w:r>
        <w:rPr>
          <w:szCs w:val="22"/>
          <w:lang w:val="lv-LV"/>
        </w:rPr>
        <w:t> </w:t>
      </w:r>
      <w:r w:rsidRPr="00DD7A4F">
        <w:rPr>
          <w:szCs w:val="22"/>
          <w:lang w:val="lv-LV"/>
        </w:rPr>
        <w:t>nedēļas pēc ārstēšanas uzsākšanas un pēc tam atbilstoši standarta klīniskai praksei. Ieteicamo devas pielāgošanu</w:t>
      </w:r>
      <w:r>
        <w:rPr>
          <w:szCs w:val="22"/>
          <w:lang w:val="lv-LV"/>
        </w:rPr>
        <w:t>,</w:t>
      </w:r>
      <w:r w:rsidRPr="00DD7A4F">
        <w:rPr>
          <w:szCs w:val="22"/>
          <w:lang w:val="lv-LV"/>
        </w:rPr>
        <w:t xml:space="preserve"> pamatojoties uz ANS un trombocītu skaitu, skatīt 4.2. apakšpunktā.</w:t>
      </w:r>
    </w:p>
    <w:p w14:paraId="00079A83" w14:textId="77777777" w:rsidR="00A453C3" w:rsidRDefault="00A453C3" w:rsidP="00A453C3">
      <w:pPr>
        <w:rPr>
          <w:szCs w:val="22"/>
          <w:lang w:val="lv-LV"/>
        </w:rPr>
      </w:pPr>
    </w:p>
    <w:p w14:paraId="3EBF4677" w14:textId="77777777" w:rsidR="00A453C3" w:rsidRPr="00DD7A4F" w:rsidRDefault="00A453C3" w:rsidP="00A453C3">
      <w:pPr>
        <w:rPr>
          <w:szCs w:val="22"/>
          <w:lang w:val="lv-LV"/>
        </w:rPr>
      </w:pPr>
      <w:r w:rsidRPr="00EF75CC">
        <w:rPr>
          <w:szCs w:val="22"/>
          <w:lang w:val="lv-LV"/>
        </w:rPr>
        <w:t>Pacientiem ar sJIA vai pJIA neitrofilo leikocītu un trombocītu skaits jānosaka otrajā zāļu ievadīšanas reizē, un pēc tam saskaņā ar labu klīnisko praksi</w:t>
      </w:r>
      <w:r w:rsidRPr="00EF75CC" w:rsidDel="00EF75CC">
        <w:rPr>
          <w:szCs w:val="22"/>
          <w:lang w:val="lv-LV"/>
        </w:rPr>
        <w:t xml:space="preserve"> </w:t>
      </w:r>
      <w:r>
        <w:rPr>
          <w:szCs w:val="22"/>
          <w:lang w:val="lv-LV"/>
        </w:rPr>
        <w:t>(skatīt 4.2. apakšpunktu).</w:t>
      </w:r>
    </w:p>
    <w:p w14:paraId="4AFF29E2" w14:textId="77777777" w:rsidR="00A453C3" w:rsidRPr="00DD7A4F" w:rsidRDefault="00A453C3" w:rsidP="00A453C3">
      <w:pPr>
        <w:rPr>
          <w:szCs w:val="22"/>
          <w:lang w:val="lv-LV"/>
        </w:rPr>
      </w:pPr>
    </w:p>
    <w:p w14:paraId="39F6A4BC" w14:textId="77777777" w:rsidR="00A453C3" w:rsidRPr="00DD7A4F" w:rsidRDefault="00A453C3" w:rsidP="00A453C3">
      <w:pPr>
        <w:keepNext/>
        <w:keepLines/>
        <w:rPr>
          <w:szCs w:val="22"/>
          <w:lang w:val="lv-LV"/>
        </w:rPr>
      </w:pPr>
      <w:r w:rsidRPr="00DD7A4F">
        <w:rPr>
          <w:i/>
          <w:szCs w:val="22"/>
          <w:lang w:val="lv-LV"/>
        </w:rPr>
        <w:t>Lipīdu rādītāji</w:t>
      </w:r>
    </w:p>
    <w:p w14:paraId="461A8DC6" w14:textId="35B8D7FE" w:rsidR="00A453C3" w:rsidRPr="00DD7A4F" w:rsidRDefault="00A453C3" w:rsidP="00A453C3">
      <w:pPr>
        <w:rPr>
          <w:lang w:val="lv-LV"/>
        </w:rPr>
      </w:pPr>
      <w:r w:rsidRPr="00DD7A4F">
        <w:rPr>
          <w:szCs w:val="22"/>
          <w:lang w:val="lv-LV"/>
        </w:rPr>
        <w:t xml:space="preserve">Ar </w:t>
      </w:r>
      <w:r>
        <w:rPr>
          <w:szCs w:val="22"/>
          <w:lang w:val="lv-LV"/>
        </w:rPr>
        <w:t>tocilizumabu</w:t>
      </w:r>
      <w:r w:rsidRPr="00DD7A4F">
        <w:rPr>
          <w:szCs w:val="22"/>
          <w:lang w:val="lv-LV"/>
        </w:rPr>
        <w:t xml:space="preserve"> ārstētajiem pacientiem ir novērota lipīdu rādītāju, tajā skaitā arī kopējā holesterīna, zema blīvuma lipoproteīnu (ZBL), augsta blīvuma lipoproteīnu (ABL) un triglicerīdu</w:t>
      </w:r>
      <w:r w:rsidR="003259A0">
        <w:rPr>
          <w:szCs w:val="22"/>
          <w:lang w:val="lv-LV"/>
        </w:rPr>
        <w:t>,</w:t>
      </w:r>
      <w:r w:rsidRPr="00DD7A4F">
        <w:rPr>
          <w:szCs w:val="22"/>
          <w:lang w:val="lv-LV"/>
        </w:rPr>
        <w:t xml:space="preserve"> </w:t>
      </w:r>
      <w:r>
        <w:rPr>
          <w:szCs w:val="22"/>
          <w:lang w:val="lv-LV"/>
        </w:rPr>
        <w:t xml:space="preserve">līmeņa </w:t>
      </w:r>
      <w:r w:rsidRPr="00DD7A4F">
        <w:rPr>
          <w:szCs w:val="22"/>
          <w:lang w:val="lv-LV"/>
        </w:rPr>
        <w:t xml:space="preserve">paaugstināšanās (skatīt 4.8. apakšpunktu). Lielākajai daļai pacientu aterogēno rādītāju vērtības nepaaugstinājās un kopējā holesterīna līmeņa paaugstināšanās reaģēja uz terapiju ar </w:t>
      </w:r>
      <w:r w:rsidRPr="00DD7A4F">
        <w:rPr>
          <w:lang w:val="lv-LV"/>
        </w:rPr>
        <w:t>lipīdu līmeni pazeminošiem līdzekļiem.</w:t>
      </w:r>
    </w:p>
    <w:p w14:paraId="03BDB7BB" w14:textId="77777777" w:rsidR="00A453C3" w:rsidRPr="00DD7A4F" w:rsidRDefault="00A453C3" w:rsidP="00A453C3">
      <w:pPr>
        <w:rPr>
          <w:lang w:val="lv-LV"/>
        </w:rPr>
      </w:pPr>
    </w:p>
    <w:p w14:paraId="203E2966" w14:textId="14DB7922" w:rsidR="00A453C3" w:rsidRPr="00DD7A4F" w:rsidRDefault="00BD498F" w:rsidP="00A453C3">
      <w:pPr>
        <w:rPr>
          <w:szCs w:val="22"/>
          <w:lang w:val="lv-LV"/>
        </w:rPr>
      </w:pPr>
      <w:ins w:id="951" w:author="Author">
        <w:r>
          <w:rPr>
            <w:szCs w:val="22"/>
            <w:lang w:val="lv-LV"/>
          </w:rPr>
          <w:t>Visiem p</w:t>
        </w:r>
      </w:ins>
      <w:del w:id="952" w:author="Author">
        <w:r w:rsidR="00A453C3" w:rsidRPr="00DD7A4F" w:rsidDel="00BD498F">
          <w:rPr>
            <w:szCs w:val="22"/>
            <w:lang w:val="lv-LV"/>
          </w:rPr>
          <w:delText>P</w:delText>
        </w:r>
      </w:del>
      <w:r w:rsidR="00A453C3" w:rsidRPr="00DD7A4F">
        <w:rPr>
          <w:szCs w:val="22"/>
          <w:lang w:val="lv-LV"/>
        </w:rPr>
        <w:t xml:space="preserve">acientiem </w:t>
      </w:r>
      <w:del w:id="953" w:author="Author">
        <w:r w:rsidR="00A453C3" w:rsidRPr="00DD7A4F" w:rsidDel="00BD498F">
          <w:rPr>
            <w:szCs w:val="22"/>
            <w:lang w:val="lv-LV"/>
          </w:rPr>
          <w:delText xml:space="preserve">ar RA vai GCA </w:delText>
        </w:r>
      </w:del>
      <w:r w:rsidR="00A453C3" w:rsidRPr="00DD7A4F">
        <w:rPr>
          <w:szCs w:val="22"/>
          <w:lang w:val="lv-LV"/>
        </w:rPr>
        <w:t>lipīdu rādītāji jānovērtē 4</w:t>
      </w:r>
      <w:r w:rsidR="00A453C3">
        <w:rPr>
          <w:szCs w:val="22"/>
          <w:lang w:val="lv-LV"/>
        </w:rPr>
        <w:noBreakHyphen/>
      </w:r>
      <w:r w:rsidR="00A453C3" w:rsidRPr="00DD7A4F">
        <w:rPr>
          <w:szCs w:val="22"/>
          <w:lang w:val="lv-LV"/>
        </w:rPr>
        <w:t>8</w:t>
      </w:r>
      <w:r w:rsidR="00A453C3">
        <w:rPr>
          <w:szCs w:val="22"/>
          <w:lang w:val="lv-LV"/>
        </w:rPr>
        <w:t> </w:t>
      </w:r>
      <w:r w:rsidR="00A453C3" w:rsidRPr="00DD7A4F">
        <w:rPr>
          <w:szCs w:val="22"/>
          <w:lang w:val="lv-LV"/>
        </w:rPr>
        <w:t>nedēļas pēc ārstēšanas uzsākšanas</w:t>
      </w:r>
      <w:r w:rsidR="004969FE">
        <w:rPr>
          <w:szCs w:val="22"/>
          <w:lang w:val="lv-LV"/>
        </w:rPr>
        <w:t>.</w:t>
      </w:r>
      <w:r w:rsidR="00A453C3" w:rsidRPr="00DD7A4F">
        <w:rPr>
          <w:szCs w:val="22"/>
          <w:lang w:val="lv-LV"/>
        </w:rPr>
        <w:t xml:space="preserve"> Pacienti jāārstē atbilstoši vietējām klīniskām vadlīnijām par hiperlipidēmijas ārstēšanu.</w:t>
      </w:r>
    </w:p>
    <w:p w14:paraId="0BC6E4D5" w14:textId="77777777" w:rsidR="00A453C3" w:rsidRPr="00DD7A4F" w:rsidRDefault="00A453C3" w:rsidP="00A453C3">
      <w:pPr>
        <w:rPr>
          <w:szCs w:val="22"/>
          <w:lang w:val="lv-LV"/>
        </w:rPr>
      </w:pPr>
    </w:p>
    <w:p w14:paraId="68456A63" w14:textId="77777777" w:rsidR="00A453C3" w:rsidRPr="00DD7A4F" w:rsidRDefault="00A453C3" w:rsidP="00A453C3">
      <w:pPr>
        <w:keepNext/>
        <w:keepLines/>
        <w:rPr>
          <w:szCs w:val="22"/>
          <w:lang w:val="lv-LV"/>
        </w:rPr>
      </w:pPr>
      <w:r w:rsidRPr="00DD7A4F">
        <w:rPr>
          <w:i/>
          <w:szCs w:val="22"/>
          <w:lang w:val="lv-LV"/>
        </w:rPr>
        <w:t>Neiroloģiski traucējumi</w:t>
      </w:r>
    </w:p>
    <w:p w14:paraId="4A0F3BD8" w14:textId="2737BEC6" w:rsidR="00A453C3" w:rsidRPr="00DD7A4F" w:rsidRDefault="00A453C3" w:rsidP="00A453C3">
      <w:pPr>
        <w:rPr>
          <w:szCs w:val="22"/>
          <w:lang w:val="lv-LV"/>
        </w:rPr>
      </w:pPr>
      <w:r w:rsidRPr="00DD7A4F">
        <w:rPr>
          <w:szCs w:val="22"/>
          <w:lang w:val="lv-LV"/>
        </w:rPr>
        <w:t xml:space="preserve">Ārstiem jānovēro, vai pacientam nerodas simptomi, kas var liecināt par jauniem centrāliem demielinizējošiem traucējumiem. Centrālas demielinizācijas iespējamība, lietojot </w:t>
      </w:r>
      <w:r>
        <w:rPr>
          <w:szCs w:val="22"/>
          <w:lang w:val="lv-LV"/>
        </w:rPr>
        <w:t>tocilizumabu</w:t>
      </w:r>
      <w:r w:rsidRPr="00DD7A4F">
        <w:rPr>
          <w:szCs w:val="22"/>
          <w:lang w:val="lv-LV"/>
        </w:rPr>
        <w:t>, pašlaik nav zināma.</w:t>
      </w:r>
    </w:p>
    <w:p w14:paraId="4577AC2E" w14:textId="77777777" w:rsidR="00A453C3" w:rsidRPr="00DD7A4F" w:rsidRDefault="00A453C3" w:rsidP="00A453C3">
      <w:pPr>
        <w:rPr>
          <w:szCs w:val="22"/>
          <w:lang w:val="lv-LV"/>
        </w:rPr>
      </w:pPr>
    </w:p>
    <w:p w14:paraId="1B152AF8" w14:textId="77777777" w:rsidR="00A453C3" w:rsidRPr="00DD7A4F" w:rsidRDefault="00A453C3" w:rsidP="00A453C3">
      <w:pPr>
        <w:keepNext/>
        <w:rPr>
          <w:szCs w:val="22"/>
          <w:lang w:val="lv-LV"/>
        </w:rPr>
      </w:pPr>
      <w:r w:rsidRPr="00DD7A4F">
        <w:rPr>
          <w:i/>
          <w:szCs w:val="22"/>
          <w:lang w:val="lv-LV"/>
        </w:rPr>
        <w:t>Ļaundabīgi audzēji</w:t>
      </w:r>
    </w:p>
    <w:p w14:paraId="161E1FCC" w14:textId="653248C1" w:rsidR="00A453C3" w:rsidRPr="00DD7A4F" w:rsidRDefault="00A453C3" w:rsidP="00A453C3">
      <w:pPr>
        <w:rPr>
          <w:szCs w:val="22"/>
          <w:lang w:val="lv-LV"/>
        </w:rPr>
      </w:pPr>
      <w:r w:rsidRPr="00DD7A4F">
        <w:rPr>
          <w:szCs w:val="22"/>
          <w:lang w:val="lv-LV"/>
        </w:rPr>
        <w:t>Ļaundabīgu audzēju risks pacientiem ar RA ir paaugstināts. Imūnmodulējoši līdzekļi var paaugstināt ļaundabīga audzēja risku.</w:t>
      </w:r>
      <w:r>
        <w:rPr>
          <w:szCs w:val="22"/>
          <w:lang w:val="lv-LV"/>
        </w:rPr>
        <w:t xml:space="preserve"> </w:t>
      </w:r>
      <w:r w:rsidRPr="00DD7A4F">
        <w:rPr>
          <w:rFonts w:eastAsia="PMingLiU"/>
          <w:szCs w:val="22"/>
          <w:lang w:val="lv-LV"/>
        </w:rPr>
        <w:t xml:space="preserve">Klīniskie dati nav pietiekami, lai novērtētu ļaundabīgo audzēju </w:t>
      </w:r>
      <w:r>
        <w:rPr>
          <w:rFonts w:eastAsia="PMingLiU"/>
          <w:szCs w:val="22"/>
          <w:lang w:val="lv-LV"/>
        </w:rPr>
        <w:t>iespējamo rašanās biežumu</w:t>
      </w:r>
      <w:r w:rsidRPr="00DD7A4F">
        <w:rPr>
          <w:rFonts w:eastAsia="PMingLiU"/>
          <w:szCs w:val="22"/>
          <w:lang w:val="lv-LV"/>
        </w:rPr>
        <w:t xml:space="preserve"> pēc </w:t>
      </w:r>
      <w:r>
        <w:rPr>
          <w:rFonts w:eastAsia="PMingLiU"/>
          <w:szCs w:val="22"/>
          <w:lang w:val="lv-LV"/>
        </w:rPr>
        <w:t>tocilizumaba</w:t>
      </w:r>
      <w:r w:rsidRPr="00DD7A4F">
        <w:rPr>
          <w:rFonts w:eastAsia="PMingLiU"/>
          <w:szCs w:val="22"/>
          <w:lang w:val="lv-LV"/>
        </w:rPr>
        <w:t xml:space="preserve"> lietošanas. </w:t>
      </w:r>
      <w:r>
        <w:rPr>
          <w:rFonts w:eastAsia="PMingLiU"/>
          <w:szCs w:val="22"/>
          <w:lang w:val="lv-LV"/>
        </w:rPr>
        <w:t>D</w:t>
      </w:r>
      <w:r w:rsidRPr="00DD7A4F">
        <w:rPr>
          <w:rFonts w:eastAsia="PMingLiU"/>
          <w:szCs w:val="22"/>
          <w:lang w:val="lv-LV"/>
        </w:rPr>
        <w:t>rošuma novērtēšana ilgtermiņā</w:t>
      </w:r>
      <w:r>
        <w:rPr>
          <w:rFonts w:eastAsia="PMingLiU"/>
          <w:szCs w:val="22"/>
          <w:lang w:val="lv-LV"/>
        </w:rPr>
        <w:t xml:space="preserve"> vēl arvien turpinās</w:t>
      </w:r>
      <w:r w:rsidRPr="00DD7A4F">
        <w:rPr>
          <w:rFonts w:eastAsia="PMingLiU"/>
          <w:szCs w:val="22"/>
          <w:lang w:val="lv-LV"/>
        </w:rPr>
        <w:t>.</w:t>
      </w:r>
    </w:p>
    <w:p w14:paraId="1CB69553" w14:textId="77777777" w:rsidR="00A453C3" w:rsidRPr="00DD7A4F" w:rsidRDefault="00A453C3" w:rsidP="00A453C3">
      <w:pPr>
        <w:rPr>
          <w:szCs w:val="22"/>
          <w:lang w:val="lv-LV"/>
        </w:rPr>
      </w:pPr>
    </w:p>
    <w:p w14:paraId="238B5E2E" w14:textId="77777777" w:rsidR="00A453C3" w:rsidRPr="00DD7A4F" w:rsidRDefault="00A453C3" w:rsidP="00A453C3">
      <w:pPr>
        <w:keepNext/>
        <w:keepLines/>
        <w:rPr>
          <w:szCs w:val="22"/>
          <w:lang w:val="lv-LV"/>
        </w:rPr>
      </w:pPr>
      <w:r w:rsidRPr="00DD7A4F">
        <w:rPr>
          <w:i/>
          <w:szCs w:val="22"/>
          <w:lang w:val="lv-LV"/>
        </w:rPr>
        <w:t>Vakcinācija</w:t>
      </w:r>
    </w:p>
    <w:p w14:paraId="34A8DA10" w14:textId="246D5D70" w:rsidR="00A453C3" w:rsidRPr="00DD7A4F" w:rsidRDefault="00A453C3" w:rsidP="00A453C3">
      <w:pPr>
        <w:rPr>
          <w:szCs w:val="22"/>
          <w:lang w:val="lv-LV"/>
        </w:rPr>
      </w:pPr>
      <w:r w:rsidRPr="00DD7A4F">
        <w:rPr>
          <w:szCs w:val="22"/>
          <w:lang w:val="lv-LV"/>
        </w:rPr>
        <w:t xml:space="preserve">Dzīvas un dzīvas novājinātas vakcīnas nedrīkst lietot vienlaikus ar </w:t>
      </w:r>
      <w:r>
        <w:rPr>
          <w:szCs w:val="22"/>
          <w:lang w:val="lv-LV"/>
        </w:rPr>
        <w:t>šīm zālēm</w:t>
      </w:r>
      <w:r w:rsidRPr="00DD7A4F">
        <w:rPr>
          <w:szCs w:val="22"/>
          <w:lang w:val="lv-LV"/>
        </w:rPr>
        <w:t xml:space="preserve">, jo klīniskais drošums nav pierādīts. Randomizētā, atklātā pētījumā pieaugušiem pacientiem ar RA, ārstētiem ar </w:t>
      </w:r>
      <w:r>
        <w:rPr>
          <w:szCs w:val="22"/>
          <w:lang w:val="lv-LV"/>
        </w:rPr>
        <w:t>tocilizumabu</w:t>
      </w:r>
      <w:r w:rsidRPr="00DD7A4F">
        <w:rPr>
          <w:szCs w:val="22"/>
          <w:lang w:val="lv-LV"/>
        </w:rPr>
        <w:t xml:space="preserve"> un MTX</w:t>
      </w:r>
      <w:r>
        <w:rPr>
          <w:szCs w:val="22"/>
          <w:lang w:val="lv-LV"/>
        </w:rPr>
        <w:t>,</w:t>
      </w:r>
      <w:r w:rsidRPr="00DD7A4F">
        <w:rPr>
          <w:szCs w:val="22"/>
          <w:lang w:val="lv-LV"/>
        </w:rPr>
        <w:t xml:space="preserve"> konstatēja efektīvu atbildes reakciju gan uz 23</w:t>
      </w:r>
      <w:r>
        <w:rPr>
          <w:szCs w:val="22"/>
          <w:lang w:val="lv-LV"/>
        </w:rPr>
        <w:noBreakHyphen/>
      </w:r>
      <w:r w:rsidRPr="00DD7A4F">
        <w:rPr>
          <w:szCs w:val="22"/>
          <w:lang w:val="lv-LV"/>
        </w:rPr>
        <w:t xml:space="preserve">valentu pneimokoku polisaharīdu, gan stingumkrampju toksoīda vakcīnu, un tā bija līdzīga atbildes reakcijai, kas konstatēta tikai ar MTX ārstētiem pacientiem. Visiem pacientiem, it īpaši </w:t>
      </w:r>
      <w:r>
        <w:rPr>
          <w:szCs w:val="22"/>
          <w:lang w:val="lv-LV"/>
        </w:rPr>
        <w:t xml:space="preserve">pediatriskiem vai </w:t>
      </w:r>
      <w:r w:rsidRPr="00DD7A4F">
        <w:rPr>
          <w:szCs w:val="22"/>
          <w:lang w:val="lv-LV"/>
        </w:rPr>
        <w:t xml:space="preserve">gados vecākiem pacientiem, pirms ārstēšanas uzsākšanas ieteicams saņemt visas vakcīnas saskaņā ar pašlaik spēkā esošajām imunizācijas vadlīnijām. Intervālam starp dzīvo vakcīnu lietošanu un </w:t>
      </w:r>
      <w:r>
        <w:rPr>
          <w:szCs w:val="22"/>
          <w:lang w:val="lv-LV"/>
        </w:rPr>
        <w:t>terapijas</w:t>
      </w:r>
      <w:r w:rsidRPr="00DD7A4F">
        <w:rPr>
          <w:szCs w:val="22"/>
          <w:lang w:val="lv-LV"/>
        </w:rPr>
        <w:t xml:space="preserve"> sākumu jāatbilst pašlaik spēkā esošajām imunizācijas vadlīnijām attiecībā uz imūnsupresīvo preparātu lietošanu.</w:t>
      </w:r>
    </w:p>
    <w:p w14:paraId="4CC25900" w14:textId="77777777" w:rsidR="00A453C3" w:rsidRPr="00DD7A4F" w:rsidRDefault="00A453C3" w:rsidP="00A453C3">
      <w:pPr>
        <w:rPr>
          <w:szCs w:val="22"/>
          <w:lang w:val="lv-LV"/>
        </w:rPr>
      </w:pPr>
    </w:p>
    <w:p w14:paraId="56DD2FE3" w14:textId="77777777" w:rsidR="00A453C3" w:rsidRPr="00DD7A4F" w:rsidRDefault="00A453C3" w:rsidP="00707120">
      <w:pPr>
        <w:keepNext/>
        <w:rPr>
          <w:rFonts w:eastAsia="SimSun"/>
          <w:szCs w:val="22"/>
          <w:lang w:val="lv-LV"/>
        </w:rPr>
      </w:pPr>
      <w:r w:rsidRPr="00DD7A4F">
        <w:rPr>
          <w:rFonts w:eastAsia="SimSun"/>
          <w:i/>
          <w:szCs w:val="22"/>
          <w:lang w:val="lv-LV"/>
        </w:rPr>
        <w:t xml:space="preserve">Kardiovaskulārais risks </w:t>
      </w:r>
    </w:p>
    <w:p w14:paraId="7E82FDF7" w14:textId="77777777" w:rsidR="00A453C3" w:rsidRPr="00DD7A4F" w:rsidRDefault="00A453C3" w:rsidP="00A453C3">
      <w:pPr>
        <w:rPr>
          <w:rFonts w:eastAsia="SimSun"/>
          <w:szCs w:val="22"/>
          <w:lang w:val="lv-LV"/>
        </w:rPr>
      </w:pPr>
      <w:r w:rsidRPr="00DD7A4F">
        <w:rPr>
          <w:rFonts w:eastAsia="SimSun"/>
          <w:szCs w:val="22"/>
          <w:lang w:val="lv-LV"/>
        </w:rPr>
        <w:t>RA slimniekiem ir paaugstināts kardiovaskulāru traucējumu risks un standarta aprūpes ietvaros viņiem jānovērš riska faktori (piemēram, hipertensija, hiperlipidēmija).</w:t>
      </w:r>
    </w:p>
    <w:p w14:paraId="0255D928" w14:textId="77777777" w:rsidR="00A453C3" w:rsidRPr="00DD7A4F" w:rsidRDefault="00A453C3" w:rsidP="00A453C3">
      <w:pPr>
        <w:rPr>
          <w:rFonts w:eastAsia="SimSun"/>
          <w:szCs w:val="22"/>
          <w:lang w:val="lv-LV"/>
        </w:rPr>
      </w:pPr>
    </w:p>
    <w:p w14:paraId="327880B7" w14:textId="77777777" w:rsidR="00A453C3" w:rsidRPr="00DD7A4F" w:rsidRDefault="00A453C3" w:rsidP="00707120">
      <w:pPr>
        <w:keepNext/>
        <w:rPr>
          <w:rFonts w:eastAsia="SimSun"/>
          <w:szCs w:val="22"/>
          <w:lang w:val="lv-LV"/>
        </w:rPr>
      </w:pPr>
      <w:r w:rsidRPr="00DD7A4F">
        <w:rPr>
          <w:rFonts w:eastAsia="SimSun"/>
          <w:i/>
          <w:szCs w:val="22"/>
          <w:lang w:val="lv-LV"/>
        </w:rPr>
        <w:t>Kombinācija ar TNF antagonistiem</w:t>
      </w:r>
    </w:p>
    <w:p w14:paraId="53EEB443" w14:textId="69E8C1D8" w:rsidR="00A453C3" w:rsidRPr="00DD7A4F" w:rsidRDefault="00A453C3" w:rsidP="00A453C3">
      <w:pPr>
        <w:rPr>
          <w:rFonts w:eastAsia="PMingLiU"/>
          <w:szCs w:val="22"/>
          <w:lang w:val="lv-LV"/>
        </w:rPr>
      </w:pPr>
      <w:r w:rsidRPr="00DD7A4F">
        <w:rPr>
          <w:rFonts w:eastAsia="SimSun"/>
          <w:szCs w:val="22"/>
          <w:lang w:val="lv-LV"/>
        </w:rPr>
        <w:t xml:space="preserve">Pieredzes par </w:t>
      </w:r>
      <w:r>
        <w:rPr>
          <w:szCs w:val="22"/>
          <w:lang w:val="lv-LV"/>
        </w:rPr>
        <w:t>tocilizumaba</w:t>
      </w:r>
      <w:r w:rsidRPr="00DD7A4F">
        <w:rPr>
          <w:rFonts w:eastAsia="SimSun"/>
          <w:szCs w:val="22"/>
          <w:lang w:val="lv-LV"/>
        </w:rPr>
        <w:t xml:space="preserve"> lietošanu kopā ar TNF antagonistiem vai citiem RA ārstēšanai paredzētiem bioloģiskiem līdzekļiem nav. </w:t>
      </w:r>
      <w:r>
        <w:rPr>
          <w:szCs w:val="22"/>
          <w:lang w:val="lv-LV"/>
        </w:rPr>
        <w:t xml:space="preserve">Šīs zāles </w:t>
      </w:r>
      <w:r w:rsidRPr="00DD7A4F">
        <w:rPr>
          <w:rFonts w:eastAsia="SimSun"/>
          <w:szCs w:val="22"/>
          <w:lang w:val="lv-LV"/>
        </w:rPr>
        <w:t>nav ieteicams lietot kopā ar citiem bioloģiskiem līdzekļiem.</w:t>
      </w:r>
    </w:p>
    <w:p w14:paraId="07865FA3" w14:textId="754B49C8" w:rsidR="00A453C3" w:rsidDel="00A961E2" w:rsidRDefault="00A453C3" w:rsidP="00A453C3">
      <w:pPr>
        <w:rPr>
          <w:del w:id="954" w:author="Author"/>
          <w:lang w:val="lv-LV"/>
        </w:rPr>
      </w:pPr>
    </w:p>
    <w:p w14:paraId="490F95E7" w14:textId="0CE5FDFC" w:rsidR="00A453C3" w:rsidDel="00B65175" w:rsidRDefault="00A453C3" w:rsidP="00A453C3">
      <w:pPr>
        <w:keepNext/>
        <w:rPr>
          <w:del w:id="955" w:author="Author"/>
          <w:lang w:val="lv-LV"/>
        </w:rPr>
      </w:pPr>
      <w:del w:id="956" w:author="Author">
        <w:r w:rsidDel="00B65175">
          <w:rPr>
            <w:i/>
            <w:iCs/>
            <w:lang w:val="lv-LV"/>
          </w:rPr>
          <w:delText>Polisorbāts</w:delText>
        </w:r>
      </w:del>
    </w:p>
    <w:p w14:paraId="75F6A6C4" w14:textId="4CCDDEC5" w:rsidR="00A453C3" w:rsidRPr="000B238A" w:rsidDel="00A961E2" w:rsidRDefault="00A453C3" w:rsidP="00A453C3">
      <w:pPr>
        <w:rPr>
          <w:del w:id="957" w:author="Author"/>
          <w:lang w:val="lv-LV"/>
        </w:rPr>
      </w:pPr>
      <w:del w:id="958" w:author="Author">
        <w:r w:rsidDel="00B65175">
          <w:rPr>
            <w:lang w:val="lv-LV"/>
          </w:rPr>
          <w:delText>Šīs zāles satur 0,18 mg polisorbāta 80 katrā 162 mg/0,9 ml pildspalvveida pilnšļircē</w:delText>
        </w:r>
        <w:r w:rsidR="009175DD" w:rsidDel="00B65175">
          <w:rPr>
            <w:lang w:val="lv-LV"/>
          </w:rPr>
          <w:delText>, kas ir līdzvērtīgi</w:delText>
        </w:r>
        <w:r w:rsidDel="00B65175">
          <w:rPr>
            <w:lang w:val="lv-LV"/>
          </w:rPr>
          <w:delText xml:space="preserve"> 0,2 mg/ml. Polisorbāti var izraisīt alerģiskas reakcijas.</w:delText>
        </w:r>
        <w:r w:rsidR="00853843" w:rsidDel="00B65175">
          <w:rPr>
            <w:lang w:val="lv-LV"/>
          </w:rPr>
          <w:delText xml:space="preserve"> </w:delText>
        </w:r>
        <w:r w:rsidR="00C7704F" w:rsidRPr="00707120" w:rsidDel="00B65175">
          <w:rPr>
            <w:lang w:val="lv-LV"/>
          </w:rPr>
          <w:delText>Jāņem vērā pacientu zināmās alerģijas</w:delText>
        </w:r>
        <w:r w:rsidR="00853843" w:rsidDel="00A961E2">
          <w:rPr>
            <w:lang w:val="lv-LV"/>
          </w:rPr>
          <w:delText>.</w:delText>
        </w:r>
      </w:del>
    </w:p>
    <w:p w14:paraId="1268A3F8" w14:textId="77777777" w:rsidR="00A453C3" w:rsidRPr="00DD7A4F" w:rsidRDefault="00A453C3" w:rsidP="00A453C3">
      <w:pPr>
        <w:rPr>
          <w:rFonts w:eastAsia="PMingLiU"/>
          <w:szCs w:val="22"/>
          <w:lang w:val="lv-LV"/>
        </w:rPr>
      </w:pPr>
    </w:p>
    <w:p w14:paraId="536710D2" w14:textId="77777777" w:rsidR="00A453C3" w:rsidRPr="00707120" w:rsidRDefault="00A453C3" w:rsidP="00707120">
      <w:pPr>
        <w:keepNext/>
        <w:rPr>
          <w:iCs/>
          <w:u w:val="single"/>
          <w:lang w:val="lv-LV"/>
        </w:rPr>
      </w:pPr>
      <w:r>
        <w:rPr>
          <w:iCs/>
          <w:u w:val="single"/>
          <w:lang w:val="lv-LV"/>
        </w:rPr>
        <w:t xml:space="preserve">Pacienti ar </w:t>
      </w:r>
      <w:r w:rsidRPr="00707120">
        <w:rPr>
          <w:iCs/>
          <w:u w:val="single"/>
          <w:lang w:val="lv-LV"/>
        </w:rPr>
        <w:t>GCA</w:t>
      </w:r>
    </w:p>
    <w:p w14:paraId="33FD3D2E" w14:textId="21615FF3" w:rsidR="00A453C3" w:rsidRDefault="00A453C3" w:rsidP="00A453C3">
      <w:pPr>
        <w:autoSpaceDE w:val="0"/>
        <w:autoSpaceDN w:val="0"/>
        <w:adjustRightInd w:val="0"/>
        <w:rPr>
          <w:szCs w:val="22"/>
          <w:lang w:val="lv-LV"/>
        </w:rPr>
      </w:pPr>
      <w:r>
        <w:rPr>
          <w:szCs w:val="22"/>
          <w:lang w:val="lv-LV"/>
        </w:rPr>
        <w:t>Tocilizumabu</w:t>
      </w:r>
      <w:r w:rsidRPr="00DD7A4F">
        <w:rPr>
          <w:szCs w:val="22"/>
          <w:lang w:val="lv-LV"/>
        </w:rPr>
        <w:t xml:space="preserve"> monoterapijas veidā nedrīkst lietot akūtu recidīvu ārstēšanai, jo efektivitāte šādai lietošanai nav pierādīta. Glikokortikoīdi jālieto saskaņā ar klīnisko novērtējumu un ārstēšanas vadlīnijām.</w:t>
      </w:r>
    </w:p>
    <w:p w14:paraId="1520CEFA" w14:textId="77777777" w:rsidR="00A453C3" w:rsidRDefault="00A453C3" w:rsidP="00A453C3">
      <w:pPr>
        <w:autoSpaceDE w:val="0"/>
        <w:autoSpaceDN w:val="0"/>
        <w:adjustRightInd w:val="0"/>
        <w:rPr>
          <w:szCs w:val="22"/>
          <w:lang w:val="lv-LV"/>
        </w:rPr>
      </w:pPr>
    </w:p>
    <w:p w14:paraId="26B10851" w14:textId="77777777" w:rsidR="00A453C3" w:rsidRPr="00707120" w:rsidRDefault="00A453C3">
      <w:pPr>
        <w:keepNext/>
        <w:autoSpaceDE w:val="0"/>
        <w:autoSpaceDN w:val="0"/>
        <w:adjustRightInd w:val="0"/>
        <w:rPr>
          <w:szCs w:val="22"/>
          <w:u w:val="single"/>
          <w:lang w:val="lv-LV"/>
        </w:rPr>
        <w:pPrChange w:id="959" w:author="Author">
          <w:pPr>
            <w:autoSpaceDE w:val="0"/>
            <w:autoSpaceDN w:val="0"/>
            <w:adjustRightInd w:val="0"/>
          </w:pPr>
        </w:pPrChange>
      </w:pPr>
      <w:r>
        <w:rPr>
          <w:szCs w:val="22"/>
          <w:u w:val="single"/>
          <w:lang w:val="lv-LV"/>
        </w:rPr>
        <w:t xml:space="preserve">Pacienti ar </w:t>
      </w:r>
      <w:r w:rsidRPr="00707120">
        <w:rPr>
          <w:szCs w:val="22"/>
          <w:u w:val="single"/>
          <w:lang w:val="lv-LV"/>
        </w:rPr>
        <w:t>sJIA</w:t>
      </w:r>
    </w:p>
    <w:p w14:paraId="7098C771" w14:textId="433B9760" w:rsidR="00A453C3" w:rsidRPr="00DD7A4F" w:rsidRDefault="00A453C3" w:rsidP="00A453C3">
      <w:pPr>
        <w:autoSpaceDE w:val="0"/>
        <w:autoSpaceDN w:val="0"/>
        <w:adjustRightInd w:val="0"/>
        <w:rPr>
          <w:szCs w:val="22"/>
          <w:lang w:val="lv-LV"/>
        </w:rPr>
      </w:pPr>
      <w:r>
        <w:rPr>
          <w:szCs w:val="22"/>
          <w:lang w:val="lv-LV"/>
        </w:rPr>
        <w:t xml:space="preserve">Makrofāgu aktivizācijas sindroms (MAS) ir nopietns, dzīvībai bīstams traucējums, kas var rasties pacientiem ar sJIA. Klīniskajos pētījumos tocilizumabs nav pētīts pacientiem aktīvas MAS epizodes laikā. </w:t>
      </w:r>
    </w:p>
    <w:p w14:paraId="2BBE5916" w14:textId="15265D3A" w:rsidR="00912206" w:rsidRPr="00DD7A4F" w:rsidRDefault="00912206" w:rsidP="00A453C3">
      <w:pPr>
        <w:rPr>
          <w:lang w:val="lv-LV"/>
        </w:rPr>
      </w:pPr>
    </w:p>
    <w:p w14:paraId="70A00174" w14:textId="03D8F74C" w:rsidR="00B65175" w:rsidRDefault="00B65175">
      <w:pPr>
        <w:keepNext/>
        <w:autoSpaceDE w:val="0"/>
        <w:autoSpaceDN w:val="0"/>
        <w:adjustRightInd w:val="0"/>
        <w:rPr>
          <w:ins w:id="960" w:author="Author"/>
          <w:lang w:val="lv-LV"/>
        </w:rPr>
        <w:pPrChange w:id="961" w:author="Author">
          <w:pPr/>
        </w:pPrChange>
      </w:pPr>
      <w:ins w:id="962" w:author="Author">
        <w:r>
          <w:rPr>
            <w:i/>
            <w:iCs/>
            <w:lang w:val="lv-LV"/>
          </w:rPr>
          <w:t>Polisorbāts</w:t>
        </w:r>
        <w:r w:rsidR="00BC5A5F">
          <w:rPr>
            <w:i/>
            <w:iCs/>
            <w:lang w:val="lv-LV"/>
          </w:rPr>
          <w:t> </w:t>
        </w:r>
        <w:r>
          <w:rPr>
            <w:i/>
            <w:iCs/>
            <w:lang w:val="lv-LV"/>
          </w:rPr>
          <w:t>80 (E</w:t>
        </w:r>
        <w:r w:rsidR="00BC5A5F">
          <w:rPr>
            <w:i/>
            <w:iCs/>
            <w:lang w:val="lv-LV"/>
          </w:rPr>
          <w:t> </w:t>
        </w:r>
        <w:r>
          <w:rPr>
            <w:i/>
            <w:iCs/>
            <w:lang w:val="lv-LV"/>
          </w:rPr>
          <w:t>433)</w:t>
        </w:r>
      </w:ins>
    </w:p>
    <w:p w14:paraId="40D1B58C" w14:textId="077AC288" w:rsidR="00B65175" w:rsidRPr="000B238A" w:rsidRDefault="00B65175" w:rsidP="00B65175">
      <w:pPr>
        <w:rPr>
          <w:ins w:id="963" w:author="Author"/>
          <w:lang w:val="lv-LV"/>
        </w:rPr>
      </w:pPr>
      <w:ins w:id="964" w:author="Author">
        <w:r>
          <w:rPr>
            <w:lang w:val="lv-LV"/>
          </w:rPr>
          <w:t>Šīs zāles satur 0,18 mg polisorbāta 80 katrā 162 mg/0.9</w:t>
        </w:r>
        <w:r w:rsidR="00BC5A5F">
          <w:rPr>
            <w:lang w:val="lv-LV"/>
          </w:rPr>
          <w:t> </w:t>
        </w:r>
        <w:r>
          <w:rPr>
            <w:lang w:val="lv-LV"/>
          </w:rPr>
          <w:t>ml pildspal</w:t>
        </w:r>
        <w:r w:rsidR="00BC5A5F">
          <w:rPr>
            <w:lang w:val="lv-LV"/>
          </w:rPr>
          <w:t>v</w:t>
        </w:r>
        <w:r>
          <w:rPr>
            <w:lang w:val="lv-LV"/>
          </w:rPr>
          <w:t xml:space="preserve">veida pilnšļircē, </w:t>
        </w:r>
        <w:r w:rsidR="00CE6B8D">
          <w:rPr>
            <w:lang w:val="lv-LV"/>
          </w:rPr>
          <w:t xml:space="preserve">kas ir līdzvērtīgi 0,2 mg/ml. </w:t>
        </w:r>
        <w:r>
          <w:rPr>
            <w:lang w:val="lv-LV"/>
          </w:rPr>
          <w:t xml:space="preserve">Polisorbāti var izraisīt alerģiskas reakcijas. </w:t>
        </w:r>
        <w:r w:rsidRPr="00707120">
          <w:rPr>
            <w:lang w:val="lv-LV"/>
          </w:rPr>
          <w:t>Jāņem vērā pacientu zināmās alerģijas.</w:t>
        </w:r>
      </w:ins>
    </w:p>
    <w:p w14:paraId="16C69FCA" w14:textId="77777777" w:rsidR="00912206" w:rsidRPr="0046611C" w:rsidRDefault="00912206">
      <w:pPr>
        <w:rPr>
          <w:ins w:id="965" w:author="Author"/>
          <w:bCs/>
          <w:szCs w:val="22"/>
          <w:lang w:val="lv-LV"/>
        </w:rPr>
        <w:pPrChange w:id="966" w:author="Author">
          <w:pPr>
            <w:keepNext/>
            <w:keepLines/>
          </w:pPr>
        </w:pPrChange>
      </w:pPr>
    </w:p>
    <w:p w14:paraId="0F6722C9" w14:textId="30DC8427" w:rsidR="00A453C3" w:rsidRPr="00DD7A4F" w:rsidRDefault="00A453C3" w:rsidP="00A453C3">
      <w:pPr>
        <w:keepNext/>
        <w:keepLines/>
        <w:rPr>
          <w:szCs w:val="22"/>
          <w:lang w:val="lv-LV"/>
        </w:rPr>
      </w:pPr>
      <w:r w:rsidRPr="00DD7A4F">
        <w:rPr>
          <w:b/>
          <w:szCs w:val="22"/>
          <w:lang w:val="lv-LV"/>
        </w:rPr>
        <w:t>4.5.</w:t>
      </w:r>
      <w:r w:rsidRPr="00DD7A4F">
        <w:rPr>
          <w:b/>
          <w:szCs w:val="22"/>
          <w:lang w:val="lv-LV"/>
        </w:rPr>
        <w:tab/>
        <w:t>Mijiedarbība ar citām zālēm un citi mijiedarbības veidi</w:t>
      </w:r>
    </w:p>
    <w:p w14:paraId="02AE253B" w14:textId="77777777" w:rsidR="00A453C3" w:rsidRPr="00DD7A4F" w:rsidRDefault="00A453C3">
      <w:pPr>
        <w:keepNext/>
        <w:rPr>
          <w:szCs w:val="22"/>
          <w:lang w:val="lv-LV"/>
        </w:rPr>
        <w:pPrChange w:id="967" w:author="Author">
          <w:pPr/>
        </w:pPrChange>
      </w:pPr>
    </w:p>
    <w:p w14:paraId="6DD7025A" w14:textId="77777777" w:rsidR="00A453C3" w:rsidRPr="00DD7A4F" w:rsidRDefault="00A453C3" w:rsidP="00A453C3">
      <w:pPr>
        <w:rPr>
          <w:szCs w:val="22"/>
          <w:lang w:val="lv-LV"/>
        </w:rPr>
      </w:pPr>
      <w:r w:rsidRPr="00DD7A4F">
        <w:rPr>
          <w:szCs w:val="22"/>
          <w:lang w:val="lv-LV"/>
        </w:rPr>
        <w:t>Mijiedarbības pētījumi veikti tikai pieaugušajiem.</w:t>
      </w:r>
    </w:p>
    <w:p w14:paraId="6C822032" w14:textId="77777777" w:rsidR="00A453C3" w:rsidRPr="00DD7A4F" w:rsidRDefault="00A453C3" w:rsidP="00A453C3">
      <w:pPr>
        <w:rPr>
          <w:szCs w:val="22"/>
          <w:lang w:val="lv-LV"/>
        </w:rPr>
      </w:pPr>
    </w:p>
    <w:p w14:paraId="571A057D" w14:textId="70B53397" w:rsidR="00A453C3" w:rsidRPr="00DD7A4F" w:rsidRDefault="00A453C3" w:rsidP="00A453C3">
      <w:pPr>
        <w:rPr>
          <w:szCs w:val="22"/>
          <w:lang w:val="lv-LV"/>
        </w:rPr>
      </w:pPr>
      <w:r w:rsidRPr="00DD7A4F">
        <w:rPr>
          <w:szCs w:val="22"/>
          <w:lang w:val="lv-LV"/>
        </w:rPr>
        <w:t xml:space="preserve">Vienreizējas </w:t>
      </w:r>
      <w:r>
        <w:rPr>
          <w:szCs w:val="22"/>
          <w:lang w:val="lv-LV"/>
        </w:rPr>
        <w:t xml:space="preserve">tocilizumaba </w:t>
      </w:r>
      <w:r w:rsidRPr="00DD7A4F">
        <w:rPr>
          <w:szCs w:val="22"/>
          <w:lang w:val="lv-LV"/>
        </w:rPr>
        <w:t>10 mg/kg devas ievadīšana kopā ar 10</w:t>
      </w:r>
      <w:r>
        <w:rPr>
          <w:szCs w:val="22"/>
          <w:lang w:val="lv-LV"/>
        </w:rPr>
        <w:noBreakHyphen/>
      </w:r>
      <w:r w:rsidRPr="00DD7A4F">
        <w:rPr>
          <w:szCs w:val="22"/>
          <w:lang w:val="lv-LV"/>
        </w:rPr>
        <w:t>25 mg MTX vienu reizi nedēļā klīniski nozīmīgi neietekmēja MTX iedarbību.</w:t>
      </w:r>
    </w:p>
    <w:p w14:paraId="1C5178D5" w14:textId="77777777" w:rsidR="00A453C3" w:rsidRPr="00DD7A4F" w:rsidRDefault="00A453C3" w:rsidP="00A453C3">
      <w:pPr>
        <w:rPr>
          <w:szCs w:val="22"/>
          <w:lang w:val="lv-LV"/>
        </w:rPr>
      </w:pPr>
    </w:p>
    <w:p w14:paraId="7C9556D8" w14:textId="493D6A45" w:rsidR="00A453C3" w:rsidRPr="00DD7A4F" w:rsidRDefault="00A453C3" w:rsidP="00A453C3">
      <w:pPr>
        <w:rPr>
          <w:szCs w:val="22"/>
          <w:lang w:val="lv-LV"/>
        </w:rPr>
      </w:pPr>
      <w:r w:rsidRPr="00DD7A4F">
        <w:rPr>
          <w:szCs w:val="22"/>
          <w:lang w:val="lv-LV"/>
        </w:rPr>
        <w:t xml:space="preserve">Populācijas farmakokinētikas analīzē nekāda MTX, NSPL vai kortikosteroīdu ietekme uz </w:t>
      </w:r>
      <w:r>
        <w:rPr>
          <w:szCs w:val="22"/>
          <w:lang w:val="lv-LV"/>
        </w:rPr>
        <w:t>tocilizumaba</w:t>
      </w:r>
      <w:r w:rsidRPr="00DD7A4F">
        <w:rPr>
          <w:szCs w:val="22"/>
          <w:lang w:val="lv-LV"/>
        </w:rPr>
        <w:t xml:space="preserve"> klīrensu pacientiem ar RA nav konstatēta. Pacientiem ar GCA nav novērota kumulatīvās kortikosteroīdu devas ietekme uz </w:t>
      </w:r>
      <w:r>
        <w:rPr>
          <w:szCs w:val="22"/>
          <w:lang w:val="lv-LV"/>
        </w:rPr>
        <w:t>tocilizumaba</w:t>
      </w:r>
      <w:r w:rsidRPr="00DD7A4F">
        <w:rPr>
          <w:szCs w:val="22"/>
          <w:lang w:val="lv-LV"/>
        </w:rPr>
        <w:t xml:space="preserve"> kopējo iedarbību.</w:t>
      </w:r>
    </w:p>
    <w:p w14:paraId="0831AA03" w14:textId="77777777" w:rsidR="00A453C3" w:rsidRPr="00DD7A4F" w:rsidRDefault="00A453C3" w:rsidP="00A453C3">
      <w:pPr>
        <w:rPr>
          <w:szCs w:val="22"/>
          <w:lang w:val="lv-LV"/>
        </w:rPr>
      </w:pPr>
    </w:p>
    <w:p w14:paraId="7453ED35" w14:textId="5338F450" w:rsidR="00A453C3" w:rsidRPr="00DD7A4F" w:rsidRDefault="00A453C3" w:rsidP="00A453C3">
      <w:pPr>
        <w:rPr>
          <w:szCs w:val="22"/>
          <w:lang w:val="lv-LV"/>
        </w:rPr>
      </w:pPr>
      <w:r w:rsidRPr="00DD7A4F">
        <w:rPr>
          <w:szCs w:val="22"/>
          <w:lang w:val="lv-LV"/>
        </w:rPr>
        <w:t>Citokīni, piemēram, IL</w:t>
      </w:r>
      <w:r>
        <w:rPr>
          <w:szCs w:val="22"/>
          <w:lang w:val="lv-LV"/>
        </w:rPr>
        <w:noBreakHyphen/>
      </w:r>
      <w:r w:rsidRPr="00DD7A4F">
        <w:rPr>
          <w:szCs w:val="22"/>
          <w:lang w:val="lv-LV"/>
        </w:rPr>
        <w:t xml:space="preserve">6, kas stimulē hronisku iekaisumu, nomāc CYP450 enzīmu ekspresiju aknās. Tādēļ, lietojot spēcīgu citokīnu nomācošu terapiju, piemēram, </w:t>
      </w:r>
      <w:r>
        <w:rPr>
          <w:szCs w:val="22"/>
          <w:lang w:val="lv-LV"/>
        </w:rPr>
        <w:t>tocilizumabu</w:t>
      </w:r>
      <w:r w:rsidRPr="00DD7A4F">
        <w:rPr>
          <w:szCs w:val="22"/>
          <w:lang w:val="lv-LV"/>
        </w:rPr>
        <w:t xml:space="preserve">, CYP450 ekspresija varētu atjaunoties. </w:t>
      </w:r>
    </w:p>
    <w:p w14:paraId="52C00C54" w14:textId="77777777" w:rsidR="00A453C3" w:rsidRPr="00DD7A4F" w:rsidRDefault="00A453C3" w:rsidP="00A453C3">
      <w:pPr>
        <w:rPr>
          <w:szCs w:val="22"/>
          <w:lang w:val="lv-LV"/>
        </w:rPr>
      </w:pPr>
    </w:p>
    <w:p w14:paraId="2CA5D8F2" w14:textId="4B018730" w:rsidR="00A453C3" w:rsidRPr="00DD7A4F" w:rsidRDefault="00A453C3" w:rsidP="00A453C3">
      <w:pPr>
        <w:rPr>
          <w:szCs w:val="22"/>
          <w:lang w:val="lv-LV"/>
        </w:rPr>
      </w:pPr>
      <w:r w:rsidRPr="00DD7A4F">
        <w:rPr>
          <w:i/>
          <w:szCs w:val="22"/>
          <w:lang w:val="lv-LV"/>
        </w:rPr>
        <w:t>In vitro</w:t>
      </w:r>
      <w:r w:rsidRPr="00DD7A4F">
        <w:rPr>
          <w:szCs w:val="22"/>
          <w:lang w:val="lv-LV"/>
        </w:rPr>
        <w:t xml:space="preserve"> pētījumos ar cilvēku hepatocītu kultūru pierādīts, ka IL-6 izraisa CYP1A2, </w:t>
      </w:r>
      <w:r w:rsidRPr="00DD7A4F">
        <w:rPr>
          <w:lang w:val="lv-LV"/>
        </w:rPr>
        <w:t xml:space="preserve">CYP2C9, </w:t>
      </w:r>
      <w:r w:rsidRPr="00DD7A4F">
        <w:rPr>
          <w:szCs w:val="22"/>
          <w:lang w:val="lv-LV"/>
        </w:rPr>
        <w:t xml:space="preserve">CYP2C19 un CYP3A4 enzīmu ekspresijas samazināšanos. </w:t>
      </w:r>
      <w:r>
        <w:rPr>
          <w:szCs w:val="22"/>
          <w:lang w:val="lv-LV"/>
        </w:rPr>
        <w:t>Tocilizumabs</w:t>
      </w:r>
      <w:r w:rsidRPr="00DD7A4F">
        <w:rPr>
          <w:szCs w:val="22"/>
          <w:lang w:val="lv-LV"/>
        </w:rPr>
        <w:t xml:space="preserve"> normalizē šo enzīmu ekspresiju.</w:t>
      </w:r>
    </w:p>
    <w:p w14:paraId="71807B00" w14:textId="77777777" w:rsidR="00A453C3" w:rsidRPr="00DD7A4F" w:rsidRDefault="00A453C3" w:rsidP="00A453C3">
      <w:pPr>
        <w:rPr>
          <w:szCs w:val="22"/>
          <w:lang w:val="lv-LV"/>
        </w:rPr>
      </w:pPr>
    </w:p>
    <w:p w14:paraId="68FBACF4" w14:textId="14AC2C62" w:rsidR="00A453C3" w:rsidRPr="00DD7A4F" w:rsidRDefault="00A453C3" w:rsidP="00A453C3">
      <w:pPr>
        <w:rPr>
          <w:szCs w:val="22"/>
          <w:lang w:val="lv-LV"/>
        </w:rPr>
      </w:pPr>
      <w:r w:rsidRPr="00DD7A4F">
        <w:rPr>
          <w:szCs w:val="22"/>
          <w:lang w:val="lv-LV"/>
        </w:rPr>
        <w:t xml:space="preserve">Pētījumā, kurā piedalījās pacienti ar RA, vienu nedēļu pēc vienas </w:t>
      </w:r>
      <w:r>
        <w:rPr>
          <w:szCs w:val="22"/>
          <w:lang w:val="lv-LV"/>
        </w:rPr>
        <w:t>tocilizumaba</w:t>
      </w:r>
      <w:r w:rsidRPr="00DD7A4F">
        <w:rPr>
          <w:szCs w:val="22"/>
          <w:lang w:val="lv-LV"/>
        </w:rPr>
        <w:t xml:space="preserve"> devas lietošanas simvastatīna līmenis (CYP3A4) samazinājās par 57% līdz līmenim, kas atbilst veseliem cilvēkiem novērotam vai ir nedaudz augstāks par to.</w:t>
      </w:r>
    </w:p>
    <w:p w14:paraId="1A26F385" w14:textId="77777777" w:rsidR="00A453C3" w:rsidRPr="00DD7A4F" w:rsidRDefault="00A453C3" w:rsidP="00A453C3">
      <w:pPr>
        <w:rPr>
          <w:szCs w:val="22"/>
          <w:lang w:val="lv-LV"/>
        </w:rPr>
      </w:pPr>
    </w:p>
    <w:p w14:paraId="6358F7DA" w14:textId="32817B5E" w:rsidR="00A453C3" w:rsidRPr="00DD7A4F" w:rsidRDefault="00A453C3" w:rsidP="00A453C3">
      <w:pPr>
        <w:rPr>
          <w:szCs w:val="22"/>
          <w:lang w:val="lv-LV"/>
        </w:rPr>
      </w:pPr>
      <w:r w:rsidRPr="00DD7A4F">
        <w:rPr>
          <w:szCs w:val="22"/>
          <w:lang w:val="lv-LV"/>
        </w:rPr>
        <w:t xml:space="preserve">Sākot vai pārtraucot ārstēšanu ar </w:t>
      </w:r>
      <w:r>
        <w:rPr>
          <w:szCs w:val="22"/>
          <w:lang w:val="lv-LV"/>
        </w:rPr>
        <w:t>tocilizumabu</w:t>
      </w:r>
      <w:r w:rsidRPr="00DD7A4F">
        <w:rPr>
          <w:szCs w:val="22"/>
          <w:lang w:val="lv-LV"/>
        </w:rPr>
        <w:t>, pacienti, kuri lieto individuāli pielāgotas zāles, kuras metabolizē CYP450 3A4, 1A2 vai 2C9 (piemēram, metilprednizolonu, deksametazonu, (ar iespējamu atcelšanas sindroma rašanos perorāli lietotiem glikokortikoīdiem)</w:t>
      </w:r>
      <w:r>
        <w:rPr>
          <w:szCs w:val="22"/>
          <w:lang w:val="lv-LV"/>
        </w:rPr>
        <w:t>,</w:t>
      </w:r>
      <w:r w:rsidRPr="00DD7A4F">
        <w:rPr>
          <w:szCs w:val="22"/>
          <w:lang w:val="lv-LV"/>
        </w:rPr>
        <w:t xml:space="preserve"> atorvastatīnu, kalcija kanālu blokatorus, teofilīnu, varfarīnu, fenprokumonu, fenitoīnu, ciklosporīnu vai benzodiazepīnus), jānovēro, jo terapeitiskās iedarbības saglabāšanai var būt jāpalielina zāļu devas. Ņemot vērā ilgo eliminācijas pusperiodu </w:t>
      </w:r>
      <w:r w:rsidRPr="00DD7A4F">
        <w:rPr>
          <w:iCs/>
          <w:lang w:val="lv-LV"/>
        </w:rPr>
        <w:t>(t</w:t>
      </w:r>
      <w:r w:rsidRPr="00DD7A4F">
        <w:rPr>
          <w:iCs/>
          <w:vertAlign w:val="subscript"/>
          <w:lang w:val="lv-LV"/>
        </w:rPr>
        <w:t>1/2</w:t>
      </w:r>
      <w:r w:rsidRPr="00DD7A4F">
        <w:rPr>
          <w:iCs/>
          <w:lang w:val="lv-LV"/>
        </w:rPr>
        <w:t>)</w:t>
      </w:r>
      <w:r w:rsidRPr="00DD7A4F">
        <w:rPr>
          <w:szCs w:val="22"/>
          <w:lang w:val="lv-LV"/>
        </w:rPr>
        <w:t xml:space="preserve">, </w:t>
      </w:r>
      <w:r>
        <w:rPr>
          <w:szCs w:val="22"/>
          <w:lang w:val="lv-LV"/>
        </w:rPr>
        <w:t>tocilizumaba</w:t>
      </w:r>
      <w:r w:rsidRPr="00DD7A4F">
        <w:rPr>
          <w:szCs w:val="22"/>
          <w:lang w:val="lv-LV"/>
        </w:rPr>
        <w:t xml:space="preserve"> ietekme uz CYP450 enzīma aktivitāti var saglabāties vairākas nedēļas pēc ārstēšanas pārtraukšanas.</w:t>
      </w:r>
    </w:p>
    <w:p w14:paraId="67294B6C" w14:textId="77777777" w:rsidR="00A453C3" w:rsidRPr="00DD7A4F" w:rsidRDefault="00A453C3" w:rsidP="00A453C3">
      <w:pPr>
        <w:rPr>
          <w:szCs w:val="22"/>
          <w:lang w:val="lv-LV"/>
        </w:rPr>
      </w:pPr>
    </w:p>
    <w:p w14:paraId="363F5749" w14:textId="77777777" w:rsidR="00A453C3" w:rsidRPr="00DD7A4F" w:rsidRDefault="00A453C3" w:rsidP="00A453C3">
      <w:pPr>
        <w:keepNext/>
        <w:rPr>
          <w:b/>
          <w:szCs w:val="22"/>
          <w:lang w:val="lv-LV"/>
        </w:rPr>
      </w:pPr>
      <w:r w:rsidRPr="00DD7A4F">
        <w:rPr>
          <w:b/>
          <w:szCs w:val="22"/>
          <w:lang w:val="lv-LV"/>
        </w:rPr>
        <w:t>4.6.</w:t>
      </w:r>
      <w:r w:rsidRPr="00DD7A4F">
        <w:rPr>
          <w:b/>
          <w:szCs w:val="22"/>
          <w:lang w:val="lv-LV"/>
        </w:rPr>
        <w:tab/>
        <w:t>Fertilitāte, grūtniecība un barošana ar krūti</w:t>
      </w:r>
    </w:p>
    <w:p w14:paraId="37045852" w14:textId="77777777" w:rsidR="00A453C3" w:rsidRPr="00DD7A4F" w:rsidRDefault="00A453C3" w:rsidP="00A453C3">
      <w:pPr>
        <w:keepNext/>
        <w:rPr>
          <w:b/>
          <w:szCs w:val="22"/>
          <w:lang w:val="lv-LV"/>
        </w:rPr>
      </w:pPr>
    </w:p>
    <w:p w14:paraId="3CBD2299" w14:textId="75813D83" w:rsidR="00A453C3" w:rsidRDefault="00A453C3" w:rsidP="00A453C3">
      <w:pPr>
        <w:keepNext/>
        <w:suppressAutoHyphens w:val="0"/>
        <w:outlineLvl w:val="0"/>
        <w:rPr>
          <w:u w:val="single"/>
          <w:lang w:val="lv-LV" w:eastAsia="ja-JP"/>
        </w:rPr>
      </w:pPr>
      <w:r w:rsidRPr="00DD7A4F">
        <w:rPr>
          <w:u w:val="single"/>
          <w:lang w:val="lv-LV" w:eastAsia="ja-JP"/>
        </w:rPr>
        <w:t xml:space="preserve">Sievietes </w:t>
      </w:r>
      <w:r w:rsidR="0081178F">
        <w:rPr>
          <w:u w:val="single"/>
          <w:lang w:val="lv-LV" w:eastAsia="ja-JP"/>
        </w:rPr>
        <w:t xml:space="preserve">ar </w:t>
      </w:r>
      <w:r w:rsidRPr="00DD7A4F">
        <w:rPr>
          <w:u w:val="single"/>
          <w:lang w:val="lv-LV" w:eastAsia="ja-JP"/>
        </w:rPr>
        <w:t>reproduktīv</w:t>
      </w:r>
      <w:r w:rsidR="0081178F">
        <w:rPr>
          <w:u w:val="single"/>
          <w:lang w:val="lv-LV" w:eastAsia="ja-JP"/>
        </w:rPr>
        <w:t>o potenciālu</w:t>
      </w:r>
    </w:p>
    <w:p w14:paraId="7568931D" w14:textId="28810E7E" w:rsidR="00A453C3" w:rsidRPr="00DD7A4F" w:rsidRDefault="00A453C3" w:rsidP="003259A0">
      <w:pPr>
        <w:keepNext/>
        <w:rPr>
          <w:rFonts w:eastAsia="PMingLiU"/>
          <w:szCs w:val="22"/>
          <w:lang w:val="lv-LV"/>
        </w:rPr>
      </w:pPr>
      <w:r w:rsidRPr="00DD7A4F">
        <w:rPr>
          <w:rFonts w:eastAsia="PMingLiU"/>
          <w:szCs w:val="22"/>
          <w:lang w:val="lv-LV"/>
        </w:rPr>
        <w:t xml:space="preserve">Sievietēm </w:t>
      </w:r>
      <w:r w:rsidR="0081178F">
        <w:rPr>
          <w:rFonts w:eastAsia="PMingLiU"/>
          <w:szCs w:val="22"/>
          <w:lang w:val="lv-LV"/>
        </w:rPr>
        <w:t xml:space="preserve">ar </w:t>
      </w:r>
      <w:r w:rsidRPr="00DD7A4F">
        <w:rPr>
          <w:rFonts w:eastAsia="PMingLiU"/>
          <w:szCs w:val="22"/>
          <w:lang w:val="lv-LV"/>
        </w:rPr>
        <w:t>reproduktīv</w:t>
      </w:r>
      <w:r w:rsidR="0081178F">
        <w:rPr>
          <w:rFonts w:eastAsia="PMingLiU"/>
          <w:szCs w:val="22"/>
          <w:lang w:val="lv-LV"/>
        </w:rPr>
        <w:t>o potenciālu</w:t>
      </w:r>
      <w:r w:rsidRPr="00DD7A4F">
        <w:rPr>
          <w:rFonts w:eastAsia="PMingLiU"/>
          <w:szCs w:val="22"/>
          <w:lang w:val="lv-LV"/>
        </w:rPr>
        <w:t xml:space="preserve"> jālieto efektīva kontracepcijas metode ārstēšanas laikā un līdz 3</w:t>
      </w:r>
      <w:r>
        <w:rPr>
          <w:rFonts w:eastAsia="PMingLiU"/>
          <w:szCs w:val="22"/>
          <w:lang w:val="lv-LV"/>
        </w:rPr>
        <w:t> </w:t>
      </w:r>
      <w:r w:rsidRPr="00DD7A4F">
        <w:rPr>
          <w:rFonts w:eastAsia="PMingLiU"/>
          <w:szCs w:val="22"/>
          <w:lang w:val="lv-LV"/>
        </w:rPr>
        <w:t>mēnešiem pēc tās.</w:t>
      </w:r>
    </w:p>
    <w:p w14:paraId="47E0B09A" w14:textId="77777777" w:rsidR="00A453C3" w:rsidRPr="00DD7A4F" w:rsidRDefault="00A453C3" w:rsidP="00707120">
      <w:pPr>
        <w:rPr>
          <w:rFonts w:eastAsia="PMingLiU"/>
          <w:szCs w:val="22"/>
          <w:lang w:val="lv-LV"/>
        </w:rPr>
      </w:pPr>
    </w:p>
    <w:p w14:paraId="11E3E189" w14:textId="77777777" w:rsidR="00A453C3" w:rsidRDefault="00A453C3" w:rsidP="00A453C3">
      <w:pPr>
        <w:keepNext/>
        <w:rPr>
          <w:u w:val="single"/>
          <w:lang w:val="lv-LV"/>
        </w:rPr>
      </w:pPr>
      <w:r w:rsidRPr="00DD7A4F">
        <w:rPr>
          <w:u w:val="single"/>
          <w:lang w:val="lv-LV"/>
        </w:rPr>
        <w:t>Grūtniecība</w:t>
      </w:r>
    </w:p>
    <w:p w14:paraId="0C32C33A" w14:textId="7A15C745" w:rsidR="00A453C3" w:rsidRPr="00DD7A4F" w:rsidRDefault="00A453C3" w:rsidP="00A453C3">
      <w:pPr>
        <w:rPr>
          <w:rFonts w:eastAsia="PMingLiU"/>
          <w:szCs w:val="22"/>
          <w:lang w:val="lv-LV"/>
        </w:rPr>
      </w:pPr>
      <w:r w:rsidRPr="00DD7A4F">
        <w:rPr>
          <w:rFonts w:eastAsia="PMingLiU"/>
          <w:szCs w:val="22"/>
          <w:lang w:val="lv-LV"/>
        </w:rPr>
        <w:t xml:space="preserve">Atbilstošu datu par </w:t>
      </w:r>
      <w:r>
        <w:rPr>
          <w:rFonts w:eastAsia="PMingLiU"/>
          <w:szCs w:val="22"/>
          <w:lang w:val="lv-LV"/>
        </w:rPr>
        <w:t>tocilizumaba</w:t>
      </w:r>
      <w:r w:rsidRPr="00DD7A4F">
        <w:rPr>
          <w:rFonts w:eastAsia="PMingLiU"/>
          <w:szCs w:val="22"/>
          <w:lang w:val="lv-LV"/>
        </w:rPr>
        <w:t xml:space="preserve"> lietošanu grūtniecēm nav. Pētījumā ar dzīvniekiem pierādīts paaugstināts spontāna aborta/embrija-augļa nāves risks, lietojot lielu devu (skatīt 5.3. apakšpunktu). Iespējamais risks cilvēkiem nav zināms.</w:t>
      </w:r>
    </w:p>
    <w:p w14:paraId="127842BE" w14:textId="77777777" w:rsidR="00A453C3" w:rsidRPr="00DD7A4F" w:rsidRDefault="00A453C3" w:rsidP="00A453C3">
      <w:pPr>
        <w:rPr>
          <w:rFonts w:eastAsia="PMingLiU"/>
          <w:szCs w:val="22"/>
          <w:lang w:val="lv-LV"/>
        </w:rPr>
      </w:pPr>
    </w:p>
    <w:p w14:paraId="2AA52F1E" w14:textId="77777777" w:rsidR="00A453C3" w:rsidRPr="00DD7A4F" w:rsidRDefault="00A453C3" w:rsidP="00A453C3">
      <w:pPr>
        <w:rPr>
          <w:bCs/>
          <w:i/>
          <w:iCs/>
          <w:szCs w:val="22"/>
          <w:lang w:val="lv-LV"/>
        </w:rPr>
      </w:pPr>
      <w:r w:rsidRPr="00DD7A4F">
        <w:rPr>
          <w:rFonts w:eastAsia="PMingLiU"/>
          <w:szCs w:val="22"/>
          <w:lang w:val="lv-LV"/>
        </w:rPr>
        <w:t>RoActemra nedrīkst lietot grūtniecības laikā, izņemot gadījumus, kad ir absolūtas indikācijas.</w:t>
      </w:r>
    </w:p>
    <w:p w14:paraId="1E0D5F4D" w14:textId="77777777" w:rsidR="00A453C3" w:rsidRPr="00DD7A4F" w:rsidRDefault="00A453C3" w:rsidP="00A453C3">
      <w:pPr>
        <w:rPr>
          <w:bCs/>
          <w:i/>
          <w:iCs/>
          <w:szCs w:val="22"/>
          <w:lang w:val="lv-LV"/>
        </w:rPr>
      </w:pPr>
    </w:p>
    <w:p w14:paraId="020DD8CE" w14:textId="77777777" w:rsidR="00A453C3" w:rsidRDefault="00A453C3">
      <w:pPr>
        <w:keepNext/>
        <w:rPr>
          <w:u w:val="single"/>
          <w:lang w:val="lv-LV"/>
        </w:rPr>
        <w:pPrChange w:id="968" w:author="Author">
          <w:pPr/>
        </w:pPrChange>
      </w:pPr>
      <w:r w:rsidRPr="00DD7A4F">
        <w:rPr>
          <w:u w:val="single"/>
          <w:lang w:val="lv-LV"/>
        </w:rPr>
        <w:t>Barošana ar krūti</w:t>
      </w:r>
    </w:p>
    <w:p w14:paraId="6DE6FCA2" w14:textId="7BA57B42" w:rsidR="00A453C3" w:rsidRPr="00DD7A4F" w:rsidRDefault="00A453C3" w:rsidP="00A453C3">
      <w:pPr>
        <w:rPr>
          <w:iCs/>
          <w:szCs w:val="22"/>
          <w:lang w:val="lv-LV"/>
        </w:rPr>
      </w:pPr>
      <w:r w:rsidRPr="00DD7A4F">
        <w:rPr>
          <w:iCs/>
          <w:szCs w:val="22"/>
          <w:lang w:val="lv-LV"/>
        </w:rPr>
        <w:t xml:space="preserve">Nav zināms, vai RoActemra izdalās </w:t>
      </w:r>
      <w:r>
        <w:rPr>
          <w:iCs/>
          <w:szCs w:val="22"/>
          <w:lang w:val="lv-LV"/>
        </w:rPr>
        <w:t>cilvēka</w:t>
      </w:r>
      <w:r w:rsidRPr="00DD7A4F">
        <w:rPr>
          <w:iCs/>
          <w:szCs w:val="22"/>
          <w:lang w:val="lv-LV"/>
        </w:rPr>
        <w:t xml:space="preserve"> pienā</w:t>
      </w:r>
      <w:r>
        <w:rPr>
          <w:iCs/>
          <w:szCs w:val="22"/>
          <w:lang w:val="lv-LV"/>
        </w:rPr>
        <w:t>.</w:t>
      </w:r>
      <w:r w:rsidRPr="00DD7A4F">
        <w:rPr>
          <w:iCs/>
          <w:szCs w:val="22"/>
          <w:lang w:val="lv-LV"/>
        </w:rPr>
        <w:t xml:space="preserve"> </w:t>
      </w:r>
      <w:r>
        <w:rPr>
          <w:rFonts w:eastAsia="PMingLiU"/>
          <w:szCs w:val="22"/>
          <w:lang w:val="lv-LV"/>
        </w:rPr>
        <w:t>Tocilizumaba</w:t>
      </w:r>
      <w:r w:rsidRPr="00DD7A4F">
        <w:rPr>
          <w:rFonts w:eastAsia="PMingLiU"/>
          <w:szCs w:val="22"/>
          <w:lang w:val="lv-LV"/>
        </w:rPr>
        <w:t xml:space="preserve"> </w:t>
      </w:r>
      <w:r w:rsidRPr="00DD7A4F">
        <w:rPr>
          <w:iCs/>
          <w:szCs w:val="22"/>
          <w:lang w:val="lv-LV"/>
        </w:rPr>
        <w:t>ekskrēcija dzīvnieku pienā nav pētīta. Lēmums pārtraukt barošanu ar krūti vai pārtraukt RoActemra lietošanu</w:t>
      </w:r>
      <w:r>
        <w:rPr>
          <w:iCs/>
          <w:szCs w:val="22"/>
          <w:lang w:val="lv-LV"/>
        </w:rPr>
        <w:t>/atturēties no terapijas</w:t>
      </w:r>
      <w:r w:rsidRPr="00DD7A4F">
        <w:rPr>
          <w:iCs/>
          <w:szCs w:val="22"/>
          <w:lang w:val="lv-LV"/>
        </w:rPr>
        <w:t xml:space="preserve"> jāpieņem, ņemot vērā barošanas ar krūti </w:t>
      </w:r>
      <w:r>
        <w:rPr>
          <w:iCs/>
          <w:szCs w:val="22"/>
          <w:lang w:val="lv-LV"/>
        </w:rPr>
        <w:t xml:space="preserve">radīto </w:t>
      </w:r>
      <w:r w:rsidRPr="00DD7A4F">
        <w:rPr>
          <w:iCs/>
          <w:szCs w:val="22"/>
          <w:lang w:val="lv-LV"/>
        </w:rPr>
        <w:t xml:space="preserve">ieguvumu bērnam un </w:t>
      </w:r>
      <w:r>
        <w:rPr>
          <w:iCs/>
          <w:szCs w:val="22"/>
          <w:lang w:val="lv-LV"/>
        </w:rPr>
        <w:t>terapijas sniegto</w:t>
      </w:r>
      <w:r w:rsidRPr="00DD7A4F">
        <w:rPr>
          <w:iCs/>
          <w:szCs w:val="22"/>
          <w:lang w:val="lv-LV"/>
        </w:rPr>
        <w:t xml:space="preserve"> ieguvumu sievietei.</w:t>
      </w:r>
    </w:p>
    <w:p w14:paraId="5176BEBF" w14:textId="77777777" w:rsidR="00A453C3" w:rsidRPr="00DD7A4F" w:rsidRDefault="00A453C3">
      <w:pPr>
        <w:rPr>
          <w:iCs/>
          <w:szCs w:val="22"/>
          <w:lang w:val="lv-LV"/>
        </w:rPr>
        <w:pPrChange w:id="969" w:author="Author">
          <w:pPr>
            <w:keepNext/>
          </w:pPr>
        </w:pPrChange>
      </w:pPr>
    </w:p>
    <w:p w14:paraId="538094CE" w14:textId="77777777" w:rsidR="00A453C3" w:rsidRDefault="00A453C3">
      <w:pPr>
        <w:keepNext/>
        <w:rPr>
          <w:szCs w:val="22"/>
          <w:u w:val="single"/>
          <w:lang w:val="lv-LV"/>
        </w:rPr>
        <w:pPrChange w:id="970" w:author="Author">
          <w:pPr/>
        </w:pPrChange>
      </w:pPr>
      <w:r w:rsidRPr="00DD7A4F">
        <w:rPr>
          <w:szCs w:val="22"/>
          <w:u w:val="single"/>
          <w:lang w:val="lv-LV"/>
        </w:rPr>
        <w:t>Fertilitāte</w:t>
      </w:r>
    </w:p>
    <w:p w14:paraId="612363EC" w14:textId="16769AE6" w:rsidR="00A453C3" w:rsidRPr="00DD7A4F" w:rsidRDefault="00A453C3" w:rsidP="00A453C3">
      <w:pPr>
        <w:rPr>
          <w:iCs/>
          <w:szCs w:val="22"/>
          <w:lang w:val="lv-LV"/>
        </w:rPr>
      </w:pPr>
      <w:r w:rsidRPr="00DD7A4F">
        <w:rPr>
          <w:lang w:val="lv-LV"/>
        </w:rPr>
        <w:t xml:space="preserve">Pieejamie neklīniskie dati neliecina par </w:t>
      </w:r>
      <w:r>
        <w:rPr>
          <w:rFonts w:eastAsia="PMingLiU"/>
          <w:szCs w:val="22"/>
          <w:lang w:val="lv-LV"/>
        </w:rPr>
        <w:t>tocilizumaba</w:t>
      </w:r>
      <w:r w:rsidRPr="00DD7A4F">
        <w:rPr>
          <w:rFonts w:eastAsia="PMingLiU"/>
          <w:szCs w:val="22"/>
          <w:lang w:val="lv-LV"/>
        </w:rPr>
        <w:t xml:space="preserve"> </w:t>
      </w:r>
      <w:r w:rsidRPr="00DD7A4F">
        <w:rPr>
          <w:lang w:val="lv-LV"/>
        </w:rPr>
        <w:t>terapijas ietekmi uz fertilitāti.</w:t>
      </w:r>
    </w:p>
    <w:p w14:paraId="25BD4222" w14:textId="77777777" w:rsidR="00A453C3" w:rsidRPr="00DD7A4F" w:rsidRDefault="00A453C3" w:rsidP="00A453C3">
      <w:pPr>
        <w:rPr>
          <w:iCs/>
          <w:szCs w:val="22"/>
          <w:lang w:val="lv-LV"/>
        </w:rPr>
      </w:pPr>
    </w:p>
    <w:p w14:paraId="689ECD51" w14:textId="77777777" w:rsidR="00A453C3" w:rsidRPr="00DD7A4F" w:rsidRDefault="00A453C3" w:rsidP="00A453C3">
      <w:pPr>
        <w:keepNext/>
        <w:keepLines/>
        <w:rPr>
          <w:szCs w:val="22"/>
          <w:lang w:val="lv-LV"/>
        </w:rPr>
      </w:pPr>
      <w:r w:rsidRPr="00DD7A4F">
        <w:rPr>
          <w:b/>
          <w:szCs w:val="22"/>
          <w:lang w:val="lv-LV"/>
        </w:rPr>
        <w:t>4.7.</w:t>
      </w:r>
      <w:r w:rsidRPr="00DD7A4F">
        <w:rPr>
          <w:b/>
          <w:szCs w:val="22"/>
          <w:lang w:val="lv-LV"/>
        </w:rPr>
        <w:tab/>
        <w:t>Ietekme uz spēju vadīt transportlīdzekļus un apkalpot mehānismus</w:t>
      </w:r>
    </w:p>
    <w:p w14:paraId="2F379AC2" w14:textId="77777777" w:rsidR="00A453C3" w:rsidRPr="00DD7A4F" w:rsidRDefault="00A453C3" w:rsidP="00A453C3">
      <w:pPr>
        <w:keepNext/>
        <w:keepLines/>
        <w:rPr>
          <w:szCs w:val="22"/>
          <w:lang w:val="lv-LV"/>
        </w:rPr>
      </w:pPr>
    </w:p>
    <w:p w14:paraId="0338C166" w14:textId="17436C79" w:rsidR="00A453C3" w:rsidRPr="00DD7A4F" w:rsidRDefault="00A453C3" w:rsidP="00A453C3">
      <w:pPr>
        <w:keepNext/>
        <w:keepLines/>
        <w:rPr>
          <w:rFonts w:eastAsia="MS Mincho"/>
          <w:szCs w:val="22"/>
          <w:lang w:val="lv-LV"/>
        </w:rPr>
      </w:pPr>
      <w:r w:rsidRPr="00DD7A4F">
        <w:rPr>
          <w:rFonts w:eastAsia="MS Mincho"/>
          <w:szCs w:val="22"/>
          <w:lang w:val="lv-LV"/>
        </w:rPr>
        <w:t>RoActemra nedaudz ietekmē spēju vadīt transportlīdzekļus un apkalpot mehānismus</w:t>
      </w:r>
      <w:r>
        <w:rPr>
          <w:rFonts w:eastAsia="MS Mincho"/>
          <w:szCs w:val="22"/>
          <w:lang w:val="lv-LV"/>
        </w:rPr>
        <w:t>, piemēram, var izraisīt reiboni</w:t>
      </w:r>
      <w:r w:rsidRPr="00DD7A4F">
        <w:rPr>
          <w:rFonts w:eastAsia="MS Mincho"/>
          <w:szCs w:val="22"/>
          <w:lang w:val="lv-LV"/>
        </w:rPr>
        <w:t xml:space="preserve"> (skatīt 4.8.</w:t>
      </w:r>
      <w:r w:rsidR="0026662E">
        <w:rPr>
          <w:rFonts w:eastAsia="MS Mincho"/>
          <w:szCs w:val="22"/>
          <w:lang w:val="lv-LV"/>
        </w:rPr>
        <w:t> </w:t>
      </w:r>
      <w:r w:rsidRPr="00DD7A4F">
        <w:rPr>
          <w:rFonts w:eastAsia="MS Mincho"/>
          <w:szCs w:val="22"/>
          <w:lang w:val="lv-LV"/>
        </w:rPr>
        <w:t>apakšpunktu).</w:t>
      </w:r>
    </w:p>
    <w:p w14:paraId="33600D05" w14:textId="77777777" w:rsidR="00A453C3" w:rsidRPr="00DD7A4F" w:rsidRDefault="00A453C3" w:rsidP="00A453C3">
      <w:pPr>
        <w:rPr>
          <w:rFonts w:eastAsia="MS Mincho"/>
          <w:szCs w:val="22"/>
          <w:lang w:val="lv-LV"/>
        </w:rPr>
      </w:pPr>
    </w:p>
    <w:p w14:paraId="06E03DAF" w14:textId="77777777" w:rsidR="00A453C3" w:rsidRPr="00DD7A4F" w:rsidRDefault="00A453C3" w:rsidP="00A453C3">
      <w:pPr>
        <w:keepNext/>
        <w:keepLines/>
        <w:rPr>
          <w:szCs w:val="22"/>
          <w:lang w:val="lv-LV"/>
        </w:rPr>
      </w:pPr>
      <w:r w:rsidRPr="00DD7A4F">
        <w:rPr>
          <w:b/>
          <w:szCs w:val="22"/>
          <w:lang w:val="lv-LV"/>
        </w:rPr>
        <w:t>4.8.</w:t>
      </w:r>
      <w:r w:rsidRPr="00DD7A4F">
        <w:rPr>
          <w:b/>
          <w:szCs w:val="22"/>
          <w:lang w:val="lv-LV"/>
        </w:rPr>
        <w:tab/>
        <w:t>Nevēlamās blakusparādības</w:t>
      </w:r>
    </w:p>
    <w:p w14:paraId="63AB03EA" w14:textId="77777777" w:rsidR="00A453C3" w:rsidRPr="00DD7A4F" w:rsidRDefault="00A453C3" w:rsidP="00A453C3">
      <w:pPr>
        <w:keepNext/>
        <w:keepLines/>
        <w:rPr>
          <w:szCs w:val="22"/>
          <w:lang w:val="lv-LV"/>
        </w:rPr>
      </w:pPr>
    </w:p>
    <w:p w14:paraId="32C221B1" w14:textId="77777777" w:rsidR="00A453C3" w:rsidRDefault="00A453C3" w:rsidP="00A453C3">
      <w:pPr>
        <w:keepNext/>
        <w:keepLines/>
        <w:suppressLineNumbers/>
        <w:suppressAutoHyphens w:val="0"/>
        <w:autoSpaceDE w:val="0"/>
        <w:autoSpaceDN w:val="0"/>
        <w:adjustRightInd w:val="0"/>
        <w:rPr>
          <w:rFonts w:cs="Sendnya"/>
          <w:szCs w:val="24"/>
          <w:u w:val="single"/>
          <w:lang w:val="lv-LV" w:eastAsia="ja-JP" w:bidi="or-IN"/>
        </w:rPr>
      </w:pPr>
      <w:r w:rsidRPr="00DD7A4F">
        <w:rPr>
          <w:rFonts w:cs="Sendnya"/>
          <w:szCs w:val="24"/>
          <w:u w:val="single"/>
          <w:lang w:val="lv-LV" w:eastAsia="ja-JP" w:bidi="or-IN"/>
        </w:rPr>
        <w:t>Drošuma profila kopsavilkums</w:t>
      </w:r>
    </w:p>
    <w:p w14:paraId="1C5200C9" w14:textId="6A1CD9DA" w:rsidR="00A453C3" w:rsidRPr="00DD7A4F" w:rsidRDefault="00A453C3" w:rsidP="00A453C3">
      <w:pPr>
        <w:keepNext/>
        <w:keepLines/>
        <w:rPr>
          <w:lang w:val="lv-LV" w:eastAsia="de-DE"/>
        </w:rPr>
      </w:pPr>
      <w:r w:rsidRPr="00DD7A4F">
        <w:rPr>
          <w:lang w:val="lv-LV" w:eastAsia="de-DE"/>
        </w:rPr>
        <w:t xml:space="preserve">Drošuma profila dati iegūti no </w:t>
      </w:r>
      <w:r>
        <w:rPr>
          <w:lang w:val="lv-LV" w:eastAsia="de-DE"/>
        </w:rPr>
        <w:t>4510</w:t>
      </w:r>
      <w:r w:rsidRPr="00DD7A4F">
        <w:rPr>
          <w:lang w:val="lv-LV" w:eastAsia="de-DE"/>
        </w:rPr>
        <w:t xml:space="preserve"> pacientiem, kuri </w:t>
      </w:r>
      <w:r>
        <w:rPr>
          <w:lang w:val="lv-LV" w:eastAsia="de-DE"/>
        </w:rPr>
        <w:t xml:space="preserve">tocilizumabu </w:t>
      </w:r>
      <w:r w:rsidRPr="00DD7A4F">
        <w:rPr>
          <w:lang w:val="lv-LV" w:eastAsia="de-DE"/>
        </w:rPr>
        <w:t xml:space="preserve">saņēmuši klīniskajos pētījumos; lielākā daļa </w:t>
      </w:r>
      <w:r>
        <w:rPr>
          <w:lang w:val="lv-LV" w:eastAsia="de-DE"/>
        </w:rPr>
        <w:t>šo</w:t>
      </w:r>
      <w:r w:rsidRPr="00DD7A4F">
        <w:rPr>
          <w:lang w:val="lv-LV" w:eastAsia="de-DE"/>
        </w:rPr>
        <w:t xml:space="preserve"> pacientu piedalījās</w:t>
      </w:r>
      <w:ins w:id="971" w:author="Author">
        <w:r w:rsidR="008E6F10">
          <w:rPr>
            <w:lang w:val="lv-LV" w:eastAsia="de-DE"/>
          </w:rPr>
          <w:t xml:space="preserve"> pieaugušo</w:t>
        </w:r>
      </w:ins>
      <w:r w:rsidRPr="00DD7A4F">
        <w:rPr>
          <w:lang w:val="lv-LV" w:eastAsia="de-DE"/>
        </w:rPr>
        <w:t xml:space="preserve"> RA pētījumos (n=4</w:t>
      </w:r>
      <w:ins w:id="972" w:author="Author">
        <w:r w:rsidR="0046611C">
          <w:rPr>
            <w:lang w:val="lv-LV" w:eastAsia="de-DE"/>
          </w:rPr>
          <w:t> </w:t>
        </w:r>
      </w:ins>
      <w:r w:rsidRPr="00DD7A4F">
        <w:rPr>
          <w:lang w:val="lv-LV" w:eastAsia="de-DE"/>
        </w:rPr>
        <w:t xml:space="preserve">009), bet pārējā pieredze gūta </w:t>
      </w:r>
      <w:r>
        <w:rPr>
          <w:lang w:val="lv-LV" w:eastAsia="de-DE"/>
        </w:rPr>
        <w:t xml:space="preserve">pētījumos par </w:t>
      </w:r>
      <w:r w:rsidRPr="00DD7A4F">
        <w:rPr>
          <w:lang w:val="lv-LV" w:eastAsia="de-DE"/>
        </w:rPr>
        <w:t>GCA (n=149)</w:t>
      </w:r>
      <w:r>
        <w:rPr>
          <w:lang w:val="lv-LV" w:eastAsia="de-DE"/>
        </w:rPr>
        <w:t>, pJIA (n=240) un sJIA (n=112)</w:t>
      </w:r>
      <w:r w:rsidRPr="00DD7A4F">
        <w:rPr>
          <w:lang w:val="lv-LV" w:eastAsia="de-DE"/>
        </w:rPr>
        <w:t xml:space="preserve">. </w:t>
      </w:r>
      <w:r>
        <w:rPr>
          <w:lang w:val="lv-LV" w:eastAsia="de-DE"/>
        </w:rPr>
        <w:t>Tocilizumaba</w:t>
      </w:r>
      <w:r w:rsidRPr="00DD7A4F">
        <w:rPr>
          <w:lang w:val="lv-LV" w:eastAsia="de-DE"/>
        </w:rPr>
        <w:t xml:space="preserve"> drošuma profils šo indikāciju gadījumā saglabājas līdzīg</w:t>
      </w:r>
      <w:r>
        <w:rPr>
          <w:lang w:val="lv-LV" w:eastAsia="de-DE"/>
        </w:rPr>
        <w:t>s</w:t>
      </w:r>
      <w:r w:rsidRPr="00DD7A4F">
        <w:rPr>
          <w:lang w:val="lv-LV" w:eastAsia="de-DE"/>
        </w:rPr>
        <w:t xml:space="preserve"> un neatšķiras.</w:t>
      </w:r>
    </w:p>
    <w:p w14:paraId="10F4F304" w14:textId="77777777" w:rsidR="00A453C3" w:rsidRPr="00DD7A4F" w:rsidRDefault="00A453C3" w:rsidP="00A453C3">
      <w:pPr>
        <w:autoSpaceDE w:val="0"/>
        <w:rPr>
          <w:rFonts w:eastAsia="PMingLiU"/>
          <w:szCs w:val="22"/>
          <w:lang w:val="lv-LV"/>
        </w:rPr>
      </w:pPr>
    </w:p>
    <w:p w14:paraId="201BABAF" w14:textId="3B49F361" w:rsidR="00A453C3" w:rsidRPr="00DD7A4F" w:rsidRDefault="00A453C3" w:rsidP="00A453C3">
      <w:pPr>
        <w:autoSpaceDE w:val="0"/>
        <w:rPr>
          <w:rFonts w:eastAsia="PMingLiU"/>
          <w:szCs w:val="22"/>
          <w:lang w:val="lv-LV"/>
        </w:rPr>
      </w:pPr>
      <w:r w:rsidRPr="00DD7A4F">
        <w:rPr>
          <w:rFonts w:eastAsia="PMingLiU"/>
          <w:szCs w:val="22"/>
          <w:lang w:val="lv-LV"/>
        </w:rPr>
        <w:t xml:space="preserve">Visbiežāk novērotās zāļu </w:t>
      </w:r>
      <w:r>
        <w:rPr>
          <w:rFonts w:eastAsia="PMingLiU"/>
          <w:szCs w:val="22"/>
          <w:lang w:val="lv-LV"/>
        </w:rPr>
        <w:t xml:space="preserve">nevēlamās </w:t>
      </w:r>
      <w:r w:rsidRPr="00DD7A4F">
        <w:rPr>
          <w:rFonts w:eastAsia="PMingLiU"/>
          <w:szCs w:val="22"/>
          <w:lang w:val="lv-LV"/>
        </w:rPr>
        <w:t>blakusparādības bija augšējo elpceļu infekcijas, nazofaringīts, galvassāpes, hipertensija un paaugstināts ALAT līmenis.</w:t>
      </w:r>
    </w:p>
    <w:p w14:paraId="60961A23" w14:textId="77777777" w:rsidR="00A453C3" w:rsidRPr="002007A3" w:rsidRDefault="00A453C3" w:rsidP="00A453C3">
      <w:pPr>
        <w:rPr>
          <w:bCs/>
          <w:szCs w:val="22"/>
          <w:lang w:val="lv-LV"/>
          <w:rPrChange w:id="973" w:author="Author">
            <w:rPr>
              <w:b/>
              <w:szCs w:val="22"/>
              <w:lang w:val="lv-LV"/>
            </w:rPr>
          </w:rPrChange>
        </w:rPr>
      </w:pPr>
    </w:p>
    <w:p w14:paraId="79758814" w14:textId="1F0A92B4" w:rsidR="00A453C3" w:rsidRPr="00DD7A4F" w:rsidRDefault="00A453C3" w:rsidP="00A453C3">
      <w:pPr>
        <w:rPr>
          <w:szCs w:val="22"/>
          <w:lang w:val="lv-LV"/>
        </w:rPr>
      </w:pPr>
      <w:r w:rsidRPr="00DD7A4F">
        <w:rPr>
          <w:bCs/>
          <w:szCs w:val="22"/>
          <w:lang w:val="lv-LV"/>
        </w:rPr>
        <w:t xml:space="preserve">Visnopietnākās </w:t>
      </w:r>
      <w:r>
        <w:rPr>
          <w:bCs/>
          <w:szCs w:val="22"/>
          <w:lang w:val="lv-LV"/>
        </w:rPr>
        <w:t>nevēlamās blakusparādības</w:t>
      </w:r>
      <w:r w:rsidRPr="00DD7A4F">
        <w:rPr>
          <w:bCs/>
          <w:szCs w:val="22"/>
          <w:lang w:val="lv-LV"/>
        </w:rPr>
        <w:t xml:space="preserve"> bija nopietnas infekcijas, divertikulīta komplikācijas un </w:t>
      </w:r>
      <w:r w:rsidRPr="00DD7A4F">
        <w:rPr>
          <w:szCs w:val="22"/>
          <w:lang w:val="lv-LV"/>
        </w:rPr>
        <w:t>paaugstinātas jutības reakcijas.</w:t>
      </w:r>
    </w:p>
    <w:p w14:paraId="2CF25F87" w14:textId="77777777" w:rsidR="00A453C3" w:rsidRPr="00DD7A4F" w:rsidRDefault="00A453C3" w:rsidP="00A453C3">
      <w:pPr>
        <w:rPr>
          <w:szCs w:val="22"/>
          <w:lang w:val="lv-LV"/>
        </w:rPr>
      </w:pPr>
    </w:p>
    <w:p w14:paraId="6947860C" w14:textId="77DFCCB0" w:rsidR="00A453C3" w:rsidRPr="00DD7A4F" w:rsidRDefault="00A453C3" w:rsidP="00707120">
      <w:pPr>
        <w:keepNext/>
        <w:rPr>
          <w:szCs w:val="22"/>
          <w:u w:val="single"/>
          <w:lang w:val="lv-LV"/>
        </w:rPr>
      </w:pPr>
      <w:r w:rsidRPr="00DD7A4F">
        <w:rPr>
          <w:szCs w:val="22"/>
          <w:u w:val="single"/>
          <w:lang w:val="lv-LV"/>
        </w:rPr>
        <w:t xml:space="preserve">Nevēlamo blakusparādību </w:t>
      </w:r>
      <w:r>
        <w:rPr>
          <w:szCs w:val="22"/>
          <w:u w:val="single"/>
          <w:lang w:val="lv-LV"/>
        </w:rPr>
        <w:t>uzskaitījums tabulā</w:t>
      </w:r>
      <w:r w:rsidRPr="00DD7A4F">
        <w:rPr>
          <w:szCs w:val="22"/>
          <w:u w:val="single"/>
          <w:lang w:val="lv-LV"/>
        </w:rPr>
        <w:t xml:space="preserve"> </w:t>
      </w:r>
    </w:p>
    <w:p w14:paraId="77EE698D" w14:textId="1C4068A4" w:rsidR="00A453C3" w:rsidRDefault="00A453C3" w:rsidP="00A453C3">
      <w:pPr>
        <w:rPr>
          <w:szCs w:val="22"/>
          <w:lang w:val="lv-LV"/>
        </w:rPr>
      </w:pPr>
      <w:r>
        <w:rPr>
          <w:szCs w:val="22"/>
          <w:lang w:val="lv-LV"/>
        </w:rPr>
        <w:t xml:space="preserve">1. tabulā ir uzskaitītas nevēlamās blakusparādības, </w:t>
      </w:r>
      <w:r w:rsidRPr="00FD255F">
        <w:rPr>
          <w:szCs w:val="22"/>
          <w:lang w:val="lv-LV"/>
        </w:rPr>
        <w:t xml:space="preserve">par kurām ziņots klīniskajos pētījumos un/vai lietojot </w:t>
      </w:r>
      <w:r>
        <w:rPr>
          <w:szCs w:val="22"/>
          <w:lang w:val="lv-LV"/>
        </w:rPr>
        <w:t>tocilizumabu</w:t>
      </w:r>
      <w:r w:rsidRPr="00FD255F">
        <w:rPr>
          <w:szCs w:val="22"/>
          <w:lang w:val="lv-LV"/>
        </w:rPr>
        <w:t xml:space="preserve"> pēcreģistrācijas laikā, pamatojoties uz spontāno </w:t>
      </w:r>
      <w:r>
        <w:rPr>
          <w:szCs w:val="22"/>
          <w:lang w:val="lv-LV"/>
        </w:rPr>
        <w:t xml:space="preserve">gadījumu </w:t>
      </w:r>
      <w:r w:rsidRPr="00FD255F">
        <w:rPr>
          <w:szCs w:val="22"/>
          <w:lang w:val="lv-LV"/>
        </w:rPr>
        <w:t>ziņojum</w:t>
      </w:r>
      <w:r>
        <w:rPr>
          <w:szCs w:val="22"/>
          <w:lang w:val="lv-LV"/>
        </w:rPr>
        <w:t>iem</w:t>
      </w:r>
      <w:r w:rsidRPr="00FD255F">
        <w:rPr>
          <w:szCs w:val="22"/>
          <w:lang w:val="lv-LV"/>
        </w:rPr>
        <w:t xml:space="preserve">, </w:t>
      </w:r>
      <w:r>
        <w:rPr>
          <w:szCs w:val="22"/>
          <w:lang w:val="lv-LV"/>
        </w:rPr>
        <w:t xml:space="preserve">literatūrā aprakstītiem </w:t>
      </w:r>
      <w:r w:rsidRPr="00FD255F">
        <w:rPr>
          <w:szCs w:val="22"/>
          <w:lang w:val="lv-LV"/>
        </w:rPr>
        <w:t>gadījumiem un neintervences pētījumu programm</w:t>
      </w:r>
      <w:r w:rsidR="00D045B5">
        <w:rPr>
          <w:szCs w:val="22"/>
          <w:lang w:val="lv-LV"/>
        </w:rPr>
        <w:t xml:space="preserve">u </w:t>
      </w:r>
      <w:r>
        <w:rPr>
          <w:szCs w:val="22"/>
          <w:lang w:val="lv-LV"/>
        </w:rPr>
        <w:t>datiem.</w:t>
      </w:r>
      <w:r w:rsidRPr="00FD255F">
        <w:rPr>
          <w:szCs w:val="22"/>
          <w:lang w:val="lv-LV"/>
        </w:rPr>
        <w:t xml:space="preserve"> </w:t>
      </w:r>
      <w:r>
        <w:rPr>
          <w:szCs w:val="22"/>
          <w:lang w:val="lv-LV"/>
        </w:rPr>
        <w:t>Blakusparādības</w:t>
      </w:r>
      <w:r w:rsidRPr="00FD255F">
        <w:rPr>
          <w:szCs w:val="22"/>
          <w:lang w:val="lv-LV"/>
        </w:rPr>
        <w:t xml:space="preserve"> ir uzskaitītas atbilstoši MedDRA orgānu sistēmu klasifikācijai.</w:t>
      </w:r>
      <w:r>
        <w:rPr>
          <w:szCs w:val="22"/>
          <w:lang w:val="lv-LV"/>
        </w:rPr>
        <w:t xml:space="preserve"> Sastopamības biežuma</w:t>
      </w:r>
      <w:r w:rsidRPr="00EF357A">
        <w:rPr>
          <w:szCs w:val="22"/>
          <w:lang w:val="lv-LV"/>
        </w:rPr>
        <w:t xml:space="preserve"> </w:t>
      </w:r>
      <w:r w:rsidRPr="00FD255F">
        <w:rPr>
          <w:szCs w:val="22"/>
          <w:lang w:val="lv-LV"/>
        </w:rPr>
        <w:t xml:space="preserve">klasifikācija katrai </w:t>
      </w:r>
      <w:r>
        <w:rPr>
          <w:szCs w:val="22"/>
          <w:lang w:val="lv-LV"/>
        </w:rPr>
        <w:t>nevēlamajai blakusparādībai</w:t>
      </w:r>
      <w:r w:rsidRPr="00FD255F">
        <w:rPr>
          <w:szCs w:val="22"/>
          <w:lang w:val="lv-LV"/>
        </w:rPr>
        <w:t xml:space="preserve"> </w:t>
      </w:r>
      <w:r>
        <w:rPr>
          <w:szCs w:val="22"/>
          <w:lang w:val="lv-LV"/>
        </w:rPr>
        <w:t>ir</w:t>
      </w:r>
      <w:r w:rsidRPr="00FD255F">
        <w:rPr>
          <w:szCs w:val="22"/>
          <w:lang w:val="lv-LV"/>
        </w:rPr>
        <w:t xml:space="preserve"> noteikta</w:t>
      </w:r>
      <w:r>
        <w:rPr>
          <w:szCs w:val="22"/>
          <w:lang w:val="lv-LV"/>
        </w:rPr>
        <w:t>, izmantojot šādu iedalījumu: ļoti bieži (≥ 1/10); bieži (≥ 1/100 līdz &lt; 1/10), retāk (≥ 1/1000 līdz &lt; 1/100); reti (</w:t>
      </w:r>
      <w:r w:rsidR="00714A3E" w:rsidRPr="00707120">
        <w:rPr>
          <w:szCs w:val="22"/>
          <w:lang w:val="lv-LV" w:eastAsia="ja-JP"/>
        </w:rPr>
        <w:t>≥</w:t>
      </w:r>
      <w:r w:rsidRPr="00707120">
        <w:rPr>
          <w:noProof/>
          <w:lang w:val="lv-LV"/>
        </w:rPr>
        <w:t> </w:t>
      </w:r>
      <w:r>
        <w:rPr>
          <w:szCs w:val="22"/>
          <w:lang w:val="lv-LV"/>
        </w:rPr>
        <w:t>1/10 000 līdz &lt; 1/1000), ļoti reti (</w:t>
      </w:r>
      <w:r>
        <w:rPr>
          <w:lang w:val="lv-LV"/>
        </w:rPr>
        <w:t xml:space="preserve">&lt; 1/10 000) </w:t>
      </w:r>
      <w:r>
        <w:rPr>
          <w:bCs/>
          <w:szCs w:val="22"/>
          <w:lang w:val="lv-LV"/>
        </w:rPr>
        <w:t>vai biežums nav zināms (nevar noteikt, pamatojoties uz pieejamiem datiem)</w:t>
      </w:r>
      <w:r>
        <w:rPr>
          <w:rFonts w:eastAsia="Courier New" w:cs="Sendnya"/>
          <w:szCs w:val="24"/>
          <w:lang w:val="lv-LV" w:bidi="or-IN"/>
        </w:rPr>
        <w:t xml:space="preserve">. </w:t>
      </w:r>
      <w:r>
        <w:rPr>
          <w:szCs w:val="22"/>
          <w:lang w:val="lv-LV"/>
        </w:rPr>
        <w:t>Katrā biežuma grupā nevēlamās blakusparādības ir sakārtotas to nopietnības samazinājuma secībā.</w:t>
      </w:r>
    </w:p>
    <w:p w14:paraId="10543558" w14:textId="77777777" w:rsidR="00A453C3" w:rsidRPr="00DD7A4F" w:rsidRDefault="00A453C3" w:rsidP="00A453C3">
      <w:pPr>
        <w:rPr>
          <w:szCs w:val="22"/>
          <w:lang w:val="lv-LV"/>
        </w:rPr>
      </w:pPr>
    </w:p>
    <w:p w14:paraId="098F32D6" w14:textId="533E209A" w:rsidR="00A453C3" w:rsidRDefault="00A453C3" w:rsidP="00A453C3">
      <w:pPr>
        <w:keepNext/>
        <w:keepLines/>
        <w:ind w:left="896" w:hanging="896"/>
        <w:rPr>
          <w:rFonts w:eastAsia="PMingLiU"/>
          <w:bCs/>
          <w:i/>
          <w:szCs w:val="22"/>
          <w:lang w:val="lv-LV"/>
        </w:rPr>
      </w:pPr>
      <w:r>
        <w:rPr>
          <w:rFonts w:eastAsia="PMingLiU"/>
          <w:bCs/>
          <w:i/>
          <w:szCs w:val="22"/>
          <w:lang w:val="lv-LV"/>
        </w:rPr>
        <w:t>1. tabula. Ar tocilizumabu ārstētajiem pacientiem radušos nevēlamo blakusparādību uzskaitījums</w:t>
      </w:r>
    </w:p>
    <w:p w14:paraId="559DE241" w14:textId="77777777" w:rsidR="00A453C3" w:rsidRDefault="00A453C3" w:rsidP="00A453C3">
      <w:pPr>
        <w:keepNext/>
        <w:keepLines/>
        <w:ind w:left="896" w:hanging="896"/>
        <w:rPr>
          <w:rFonts w:eastAsia="PMingLiU"/>
          <w:b/>
          <w:bCs/>
          <w:szCs w:val="22"/>
          <w:lang w:val="lv-LV"/>
        </w:rPr>
      </w:pPr>
    </w:p>
    <w:tbl>
      <w:tblPr>
        <w:tblW w:w="9115" w:type="dxa"/>
        <w:tblInd w:w="-34" w:type="dxa"/>
        <w:tblLayout w:type="fixed"/>
        <w:tblLook w:val="0000" w:firstRow="0" w:lastRow="0" w:firstColumn="0" w:lastColumn="0" w:noHBand="0" w:noVBand="0"/>
      </w:tblPr>
      <w:tblGrid>
        <w:gridCol w:w="1730"/>
        <w:gridCol w:w="1418"/>
        <w:gridCol w:w="1559"/>
        <w:gridCol w:w="1701"/>
        <w:gridCol w:w="1559"/>
        <w:gridCol w:w="1134"/>
        <w:gridCol w:w="14"/>
      </w:tblGrid>
      <w:tr w:rsidR="00A453C3" w:rsidRPr="00707120" w14:paraId="75BC749D" w14:textId="77777777" w:rsidTr="00707120">
        <w:trPr>
          <w:tblHeader/>
        </w:trPr>
        <w:tc>
          <w:tcPr>
            <w:tcW w:w="1730" w:type="dxa"/>
            <w:vMerge w:val="restart"/>
            <w:tcBorders>
              <w:top w:val="single" w:sz="4" w:space="0" w:color="000000"/>
              <w:left w:val="single" w:sz="4" w:space="0" w:color="000000"/>
            </w:tcBorders>
          </w:tcPr>
          <w:p w14:paraId="24FDBF64" w14:textId="67D29269" w:rsidR="00A453C3" w:rsidRDefault="00A453C3" w:rsidP="00853843">
            <w:pPr>
              <w:keepNext/>
              <w:keepLines/>
              <w:autoSpaceDE w:val="0"/>
              <w:jc w:val="center"/>
              <w:rPr>
                <w:rFonts w:eastAsia="PMingLiU"/>
                <w:b/>
                <w:bCs/>
                <w:szCs w:val="22"/>
                <w:lang w:val="lv-LV"/>
              </w:rPr>
            </w:pPr>
            <w:r>
              <w:rPr>
                <w:rFonts w:eastAsia="PMingLiU"/>
                <w:b/>
                <w:bCs/>
                <w:szCs w:val="22"/>
                <w:lang w:val="lv-LV"/>
              </w:rPr>
              <w:t xml:space="preserve">MedDRA </w:t>
            </w:r>
            <w:r w:rsidR="00853843">
              <w:rPr>
                <w:rFonts w:eastAsia="PMingLiU"/>
                <w:b/>
                <w:bCs/>
                <w:szCs w:val="22"/>
                <w:lang w:val="lv-LV"/>
              </w:rPr>
              <w:t>OSK</w:t>
            </w:r>
          </w:p>
        </w:tc>
        <w:tc>
          <w:tcPr>
            <w:tcW w:w="7385" w:type="dxa"/>
            <w:gridSpan w:val="6"/>
            <w:tcBorders>
              <w:top w:val="single" w:sz="4" w:space="0" w:color="000000"/>
              <w:left w:val="single" w:sz="4" w:space="0" w:color="000000"/>
              <w:bottom w:val="single" w:sz="4" w:space="0" w:color="000000"/>
              <w:right w:val="single" w:sz="4" w:space="0" w:color="000000"/>
            </w:tcBorders>
          </w:tcPr>
          <w:p w14:paraId="35A428C2" w14:textId="242081BC" w:rsidR="00A453C3" w:rsidRDefault="00A453C3" w:rsidP="0067693D">
            <w:pPr>
              <w:keepNext/>
              <w:keepLines/>
              <w:jc w:val="center"/>
              <w:rPr>
                <w:rFonts w:eastAsia="PMingLiU"/>
                <w:b/>
                <w:bCs/>
                <w:szCs w:val="22"/>
                <w:lang w:val="lv-LV"/>
              </w:rPr>
            </w:pPr>
            <w:r>
              <w:rPr>
                <w:rFonts w:eastAsia="PMingLiU"/>
                <w:b/>
                <w:bCs/>
                <w:szCs w:val="22"/>
                <w:lang w:val="lv-LV"/>
              </w:rPr>
              <w:t>Sastopamības biežuma kategorija</w:t>
            </w:r>
            <w:del w:id="974" w:author="Author">
              <w:r w:rsidDel="0046611C">
                <w:rPr>
                  <w:rFonts w:eastAsia="PMingLiU"/>
                  <w:b/>
                  <w:bCs/>
                  <w:szCs w:val="22"/>
                  <w:lang w:val="lv-LV"/>
                </w:rPr>
                <w:delText>s</w:delText>
              </w:r>
            </w:del>
            <w:r>
              <w:rPr>
                <w:rFonts w:eastAsia="PMingLiU"/>
                <w:b/>
                <w:bCs/>
                <w:szCs w:val="22"/>
                <w:lang w:val="lv-LV"/>
              </w:rPr>
              <w:t xml:space="preserve"> ar ieteicam</w:t>
            </w:r>
            <w:ins w:id="975" w:author="Author">
              <w:r w:rsidR="0046611C">
                <w:rPr>
                  <w:rFonts w:eastAsia="PMingLiU"/>
                  <w:b/>
                  <w:bCs/>
                  <w:szCs w:val="22"/>
                  <w:lang w:val="lv-LV"/>
                </w:rPr>
                <w:t>o</w:t>
              </w:r>
            </w:ins>
            <w:del w:id="976" w:author="Author">
              <w:r w:rsidDel="0046611C">
                <w:rPr>
                  <w:rFonts w:eastAsia="PMingLiU"/>
                  <w:b/>
                  <w:bCs/>
                  <w:szCs w:val="22"/>
                  <w:lang w:val="lv-LV"/>
                </w:rPr>
                <w:delText>iem</w:delText>
              </w:r>
            </w:del>
            <w:r>
              <w:rPr>
                <w:rFonts w:eastAsia="PMingLiU"/>
                <w:b/>
                <w:bCs/>
                <w:szCs w:val="22"/>
                <w:lang w:val="lv-LV"/>
              </w:rPr>
              <w:t xml:space="preserve"> termin</w:t>
            </w:r>
            <w:ins w:id="977" w:author="Author">
              <w:r w:rsidR="0046611C">
                <w:rPr>
                  <w:rFonts w:eastAsia="PMingLiU"/>
                  <w:b/>
                  <w:bCs/>
                  <w:szCs w:val="22"/>
                  <w:lang w:val="lv-LV"/>
                </w:rPr>
                <w:t>u</w:t>
              </w:r>
            </w:ins>
            <w:del w:id="978" w:author="Author">
              <w:r w:rsidDel="0046611C">
                <w:rPr>
                  <w:rFonts w:eastAsia="PMingLiU"/>
                  <w:b/>
                  <w:bCs/>
                  <w:szCs w:val="22"/>
                  <w:lang w:val="lv-LV"/>
                </w:rPr>
                <w:delText>iem</w:delText>
              </w:r>
            </w:del>
          </w:p>
        </w:tc>
      </w:tr>
      <w:tr w:rsidR="00A453C3" w14:paraId="442092FD" w14:textId="77777777" w:rsidTr="00707120">
        <w:trPr>
          <w:gridAfter w:val="1"/>
          <w:wAfter w:w="14" w:type="dxa"/>
          <w:tblHeader/>
        </w:trPr>
        <w:tc>
          <w:tcPr>
            <w:tcW w:w="1730" w:type="dxa"/>
            <w:vMerge/>
            <w:tcBorders>
              <w:left w:val="single" w:sz="4" w:space="0" w:color="000000"/>
              <w:bottom w:val="single" w:sz="4" w:space="0" w:color="000000"/>
            </w:tcBorders>
          </w:tcPr>
          <w:p w14:paraId="59D29894" w14:textId="77777777" w:rsidR="00A453C3" w:rsidRDefault="00A453C3" w:rsidP="0067693D">
            <w:pPr>
              <w:keepNext/>
              <w:keepLines/>
              <w:autoSpaceDE w:val="0"/>
              <w:jc w:val="center"/>
              <w:rPr>
                <w:rFonts w:eastAsia="PMingLiU"/>
                <w:b/>
                <w:bCs/>
                <w:szCs w:val="22"/>
                <w:lang w:val="lv-LV"/>
              </w:rPr>
            </w:pPr>
          </w:p>
        </w:tc>
        <w:tc>
          <w:tcPr>
            <w:tcW w:w="1418" w:type="dxa"/>
            <w:tcBorders>
              <w:top w:val="single" w:sz="4" w:space="0" w:color="000000"/>
              <w:left w:val="single" w:sz="4" w:space="0" w:color="000000"/>
              <w:bottom w:val="single" w:sz="4" w:space="0" w:color="000000"/>
            </w:tcBorders>
          </w:tcPr>
          <w:p w14:paraId="7F34552E" w14:textId="77777777" w:rsidR="00A453C3" w:rsidRDefault="00A453C3" w:rsidP="0067693D">
            <w:pPr>
              <w:keepNext/>
              <w:keepLines/>
              <w:jc w:val="center"/>
              <w:rPr>
                <w:rFonts w:eastAsia="PMingLiU"/>
                <w:b/>
                <w:bCs/>
                <w:szCs w:val="22"/>
                <w:lang w:val="lv-LV"/>
              </w:rPr>
            </w:pPr>
            <w:r>
              <w:rPr>
                <w:rFonts w:eastAsia="PMingLiU"/>
                <w:b/>
                <w:bCs/>
                <w:szCs w:val="22"/>
                <w:lang w:val="lv-LV"/>
              </w:rPr>
              <w:t>Ļoti bieži</w:t>
            </w:r>
          </w:p>
          <w:p w14:paraId="15B4C9BD" w14:textId="77777777" w:rsidR="00A453C3" w:rsidRDefault="00A453C3" w:rsidP="0067693D">
            <w:pPr>
              <w:keepNext/>
              <w:keepLines/>
              <w:jc w:val="center"/>
              <w:rPr>
                <w:rFonts w:eastAsia="PMingLiU"/>
                <w:b/>
                <w:bCs/>
                <w:szCs w:val="22"/>
                <w:lang w:val="lv-LV"/>
              </w:rPr>
            </w:pPr>
          </w:p>
        </w:tc>
        <w:tc>
          <w:tcPr>
            <w:tcW w:w="1559" w:type="dxa"/>
            <w:tcBorders>
              <w:top w:val="single" w:sz="4" w:space="0" w:color="000000"/>
              <w:left w:val="single" w:sz="4" w:space="0" w:color="000000"/>
              <w:bottom w:val="single" w:sz="4" w:space="0" w:color="000000"/>
            </w:tcBorders>
          </w:tcPr>
          <w:p w14:paraId="53AC0D3C" w14:textId="77777777" w:rsidR="00A453C3" w:rsidRDefault="00A453C3" w:rsidP="0067693D">
            <w:pPr>
              <w:keepNext/>
              <w:keepLines/>
              <w:jc w:val="center"/>
              <w:rPr>
                <w:rFonts w:eastAsia="PMingLiU"/>
                <w:b/>
                <w:bCs/>
                <w:szCs w:val="22"/>
                <w:lang w:val="lv-LV"/>
              </w:rPr>
            </w:pPr>
            <w:r>
              <w:rPr>
                <w:rFonts w:eastAsia="PMingLiU"/>
                <w:b/>
                <w:bCs/>
                <w:szCs w:val="22"/>
                <w:lang w:val="lv-LV"/>
              </w:rPr>
              <w:t>Bieži</w:t>
            </w:r>
          </w:p>
          <w:p w14:paraId="0A848BC5" w14:textId="77777777" w:rsidR="00A453C3" w:rsidRDefault="00A453C3" w:rsidP="0067693D">
            <w:pPr>
              <w:keepNext/>
              <w:keepLines/>
              <w:jc w:val="center"/>
              <w:rPr>
                <w:rFonts w:eastAsia="PMingLiU"/>
                <w:b/>
                <w:bCs/>
                <w:szCs w:val="22"/>
                <w:lang w:val="lv-LV"/>
              </w:rPr>
            </w:pPr>
          </w:p>
        </w:tc>
        <w:tc>
          <w:tcPr>
            <w:tcW w:w="1701" w:type="dxa"/>
            <w:tcBorders>
              <w:top w:val="single" w:sz="4" w:space="0" w:color="000000"/>
              <w:left w:val="single" w:sz="4" w:space="0" w:color="000000"/>
              <w:bottom w:val="single" w:sz="4" w:space="0" w:color="000000"/>
              <w:right w:val="single" w:sz="4" w:space="0" w:color="000000"/>
            </w:tcBorders>
          </w:tcPr>
          <w:p w14:paraId="19F2B74C" w14:textId="77777777" w:rsidR="00A453C3" w:rsidRDefault="00A453C3" w:rsidP="0067693D">
            <w:pPr>
              <w:keepNext/>
              <w:keepLines/>
              <w:jc w:val="center"/>
              <w:rPr>
                <w:rFonts w:eastAsia="PMingLiU"/>
                <w:b/>
                <w:bCs/>
                <w:szCs w:val="22"/>
                <w:lang w:val="lv-LV"/>
              </w:rPr>
            </w:pPr>
            <w:r>
              <w:rPr>
                <w:rFonts w:eastAsia="PMingLiU"/>
                <w:b/>
                <w:bCs/>
                <w:szCs w:val="22"/>
                <w:lang w:val="lv-LV"/>
              </w:rPr>
              <w:t>Retāk</w:t>
            </w:r>
          </w:p>
          <w:p w14:paraId="0F6E90F7" w14:textId="77777777" w:rsidR="00A453C3" w:rsidRDefault="00A453C3" w:rsidP="0067693D">
            <w:pPr>
              <w:keepNext/>
              <w:keepLines/>
              <w:jc w:val="center"/>
              <w:rPr>
                <w:rFonts w:eastAsia="PMingLiU"/>
                <w:b/>
                <w:bCs/>
                <w:szCs w:val="22"/>
                <w:lang w:val="lv-LV"/>
              </w:rPr>
            </w:pPr>
          </w:p>
        </w:tc>
        <w:tc>
          <w:tcPr>
            <w:tcW w:w="1559" w:type="dxa"/>
            <w:tcBorders>
              <w:top w:val="single" w:sz="4" w:space="0" w:color="000000"/>
              <w:left w:val="single" w:sz="4" w:space="0" w:color="000000"/>
              <w:bottom w:val="single" w:sz="4" w:space="0" w:color="000000"/>
              <w:right w:val="single" w:sz="4" w:space="0" w:color="000000"/>
            </w:tcBorders>
          </w:tcPr>
          <w:p w14:paraId="1FBC099B" w14:textId="77777777" w:rsidR="00A453C3" w:rsidRDefault="00A453C3" w:rsidP="0067693D">
            <w:pPr>
              <w:keepNext/>
              <w:keepLines/>
              <w:jc w:val="center"/>
              <w:rPr>
                <w:rFonts w:eastAsia="PMingLiU"/>
                <w:b/>
                <w:bCs/>
                <w:szCs w:val="22"/>
                <w:lang w:val="lv-LV"/>
              </w:rPr>
            </w:pPr>
            <w:r>
              <w:rPr>
                <w:rFonts w:eastAsia="PMingLiU"/>
                <w:b/>
                <w:bCs/>
                <w:szCs w:val="22"/>
                <w:lang w:val="lv-LV"/>
              </w:rPr>
              <w:t>Reti</w:t>
            </w:r>
          </w:p>
        </w:tc>
        <w:tc>
          <w:tcPr>
            <w:tcW w:w="1134" w:type="dxa"/>
            <w:tcBorders>
              <w:top w:val="single" w:sz="4" w:space="0" w:color="000000"/>
              <w:left w:val="single" w:sz="4" w:space="0" w:color="000000"/>
              <w:bottom w:val="single" w:sz="4" w:space="0" w:color="000000"/>
              <w:right w:val="single" w:sz="4" w:space="0" w:color="000000"/>
            </w:tcBorders>
          </w:tcPr>
          <w:p w14:paraId="0BC949CA" w14:textId="77777777" w:rsidR="00A453C3" w:rsidRDefault="00A453C3" w:rsidP="0067693D">
            <w:pPr>
              <w:keepNext/>
              <w:keepLines/>
              <w:jc w:val="center"/>
              <w:rPr>
                <w:rFonts w:eastAsia="PMingLiU"/>
                <w:b/>
                <w:bCs/>
                <w:szCs w:val="22"/>
                <w:lang w:val="lv-LV"/>
              </w:rPr>
            </w:pPr>
            <w:r>
              <w:rPr>
                <w:rFonts w:eastAsia="PMingLiU"/>
                <w:b/>
                <w:bCs/>
                <w:szCs w:val="22"/>
                <w:lang w:val="lv-LV"/>
              </w:rPr>
              <w:t>Ļoti reti</w:t>
            </w:r>
          </w:p>
        </w:tc>
      </w:tr>
      <w:tr w:rsidR="00A453C3" w:rsidRPr="0018021A" w14:paraId="574E813F" w14:textId="77777777" w:rsidTr="00707120">
        <w:tblPrEx>
          <w:tblCellMar>
            <w:left w:w="0" w:type="dxa"/>
            <w:right w:w="0" w:type="dxa"/>
          </w:tblCellMar>
          <w:tblLook w:val="04A0" w:firstRow="1" w:lastRow="0" w:firstColumn="1" w:lastColumn="0" w:noHBand="0" w:noVBand="1"/>
        </w:tblPrEx>
        <w:trPr>
          <w:gridAfter w:val="1"/>
          <w:wAfter w:w="14" w:type="dxa"/>
        </w:trPr>
        <w:tc>
          <w:tcPr>
            <w:tcW w:w="173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0B3CE20" w14:textId="77777777" w:rsidR="00A453C3" w:rsidRPr="0018021A" w:rsidRDefault="00A453C3" w:rsidP="0067693D">
            <w:pPr>
              <w:pStyle w:val="Standard1"/>
              <w:keepNext/>
              <w:keepLines/>
              <w:rPr>
                <w:color w:val="1A1A1A"/>
                <w:szCs w:val="22"/>
              </w:rPr>
            </w:pPr>
            <w:r>
              <w:rPr>
                <w:color w:val="1A1A1A"/>
                <w:szCs w:val="22"/>
              </w:rPr>
              <w:t>Infekcijas un infestācijas</w:t>
            </w:r>
          </w:p>
        </w:tc>
        <w:tc>
          <w:tcPr>
            <w:tcW w:w="1418" w:type="dxa"/>
            <w:tcBorders>
              <w:top w:val="nil"/>
              <w:left w:val="nil"/>
              <w:bottom w:val="single" w:sz="8" w:space="0" w:color="000000"/>
              <w:right w:val="single" w:sz="8" w:space="0" w:color="000000"/>
            </w:tcBorders>
            <w:tcMar>
              <w:top w:w="0" w:type="dxa"/>
              <w:left w:w="108" w:type="dxa"/>
              <w:bottom w:w="0" w:type="dxa"/>
              <w:right w:w="108" w:type="dxa"/>
            </w:tcMar>
          </w:tcPr>
          <w:p w14:paraId="7CF76FC6" w14:textId="77777777" w:rsidR="00A453C3" w:rsidRPr="0018021A" w:rsidRDefault="00A453C3" w:rsidP="0067693D">
            <w:pPr>
              <w:pStyle w:val="Standard1"/>
              <w:keepNext/>
              <w:keepLines/>
              <w:rPr>
                <w:color w:val="1A1A1A"/>
                <w:szCs w:val="22"/>
              </w:rPr>
            </w:pPr>
            <w:r>
              <w:rPr>
                <w:color w:val="1A1A1A"/>
                <w:szCs w:val="22"/>
              </w:rPr>
              <w:t>Augšējo elpceļu infekcijas</w:t>
            </w:r>
          </w:p>
        </w:tc>
        <w:tc>
          <w:tcPr>
            <w:tcW w:w="1559" w:type="dxa"/>
            <w:tcBorders>
              <w:top w:val="nil"/>
              <w:left w:val="nil"/>
              <w:bottom w:val="single" w:sz="8" w:space="0" w:color="000000"/>
              <w:right w:val="single" w:sz="4" w:space="0" w:color="auto"/>
            </w:tcBorders>
            <w:tcMar>
              <w:top w:w="0" w:type="dxa"/>
              <w:left w:w="108" w:type="dxa"/>
              <w:bottom w:w="0" w:type="dxa"/>
              <w:right w:w="108" w:type="dxa"/>
            </w:tcMar>
          </w:tcPr>
          <w:p w14:paraId="3B87EA14" w14:textId="43854CAD" w:rsidR="00A453C3" w:rsidRPr="0018021A" w:rsidRDefault="00A453C3" w:rsidP="0067693D">
            <w:pPr>
              <w:pStyle w:val="Standard1"/>
              <w:keepNext/>
              <w:keepLines/>
              <w:rPr>
                <w:color w:val="1A1A1A"/>
                <w:szCs w:val="22"/>
              </w:rPr>
            </w:pPr>
            <w:r>
              <w:rPr>
                <w:color w:val="1A1A1A"/>
                <w:szCs w:val="22"/>
              </w:rPr>
              <w:t xml:space="preserve">Celulīts, pneimonija, mutes dobuma </w:t>
            </w:r>
            <w:r>
              <w:rPr>
                <w:i/>
                <w:iCs/>
                <w:color w:val="1A1A1A"/>
                <w:szCs w:val="22"/>
              </w:rPr>
              <w:t xml:space="preserve">herpes </w:t>
            </w:r>
            <w:r w:rsidRPr="004E2814">
              <w:rPr>
                <w:i/>
                <w:iCs/>
                <w:color w:val="1A1A1A"/>
                <w:szCs w:val="22"/>
              </w:rPr>
              <w:t>simplex</w:t>
            </w:r>
            <w:r>
              <w:rPr>
                <w:color w:val="1A1A1A"/>
                <w:szCs w:val="22"/>
              </w:rPr>
              <w:t xml:space="preserve">, </w:t>
            </w:r>
            <w:r>
              <w:rPr>
                <w:i/>
                <w:color w:val="1A1A1A"/>
                <w:szCs w:val="22"/>
              </w:rPr>
              <w:t>h</w:t>
            </w:r>
            <w:r w:rsidRPr="006B7D45">
              <w:rPr>
                <w:i/>
                <w:color w:val="1A1A1A"/>
                <w:szCs w:val="22"/>
              </w:rPr>
              <w:t>erpes zoster</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2BD183" w14:textId="77777777" w:rsidR="00A453C3" w:rsidRPr="0018021A" w:rsidRDefault="00A453C3" w:rsidP="0067693D">
            <w:pPr>
              <w:pStyle w:val="Standard1"/>
              <w:keepNext/>
              <w:keepLines/>
              <w:rPr>
                <w:color w:val="1A1A1A"/>
                <w:szCs w:val="22"/>
              </w:rPr>
            </w:pPr>
            <w:r>
              <w:rPr>
                <w:color w:val="1A1A1A"/>
                <w:szCs w:val="22"/>
              </w:rPr>
              <w:t>Divertikulīts</w:t>
            </w:r>
          </w:p>
        </w:tc>
        <w:tc>
          <w:tcPr>
            <w:tcW w:w="1559" w:type="dxa"/>
            <w:tcBorders>
              <w:top w:val="single" w:sz="4" w:space="0" w:color="auto"/>
              <w:left w:val="single" w:sz="4" w:space="0" w:color="auto"/>
              <w:bottom w:val="single" w:sz="4" w:space="0" w:color="auto"/>
              <w:right w:val="single" w:sz="4" w:space="0" w:color="auto"/>
            </w:tcBorders>
          </w:tcPr>
          <w:p w14:paraId="74117D08" w14:textId="77777777" w:rsidR="00A453C3" w:rsidRPr="0018021A" w:rsidRDefault="00A453C3" w:rsidP="0067693D">
            <w:pPr>
              <w:pStyle w:val="Standard1"/>
              <w:keepNext/>
              <w:keepLines/>
              <w:ind w:left="97"/>
              <w:rPr>
                <w:szCs w:val="22"/>
                <w:lang w:val="en-GB" w:eastAsia="en-GB"/>
              </w:rPr>
            </w:pPr>
          </w:p>
        </w:tc>
        <w:tc>
          <w:tcPr>
            <w:tcW w:w="1134" w:type="dxa"/>
            <w:tcBorders>
              <w:top w:val="single" w:sz="4" w:space="0" w:color="auto"/>
              <w:left w:val="single" w:sz="4" w:space="0" w:color="auto"/>
              <w:bottom w:val="single" w:sz="4" w:space="0" w:color="auto"/>
              <w:right w:val="single" w:sz="4" w:space="0" w:color="auto"/>
            </w:tcBorders>
          </w:tcPr>
          <w:p w14:paraId="5DF69211" w14:textId="77777777" w:rsidR="00A453C3" w:rsidRPr="0018021A" w:rsidRDefault="00A453C3" w:rsidP="0067693D">
            <w:pPr>
              <w:pStyle w:val="Standard1"/>
              <w:keepNext/>
              <w:keepLines/>
              <w:ind w:left="97"/>
              <w:rPr>
                <w:szCs w:val="22"/>
                <w:lang w:val="en-GB" w:eastAsia="en-GB"/>
              </w:rPr>
            </w:pPr>
          </w:p>
        </w:tc>
      </w:tr>
      <w:tr w:rsidR="00A453C3" w14:paraId="1E234F59" w14:textId="77777777" w:rsidTr="00707120">
        <w:trPr>
          <w:gridAfter w:val="1"/>
          <w:wAfter w:w="14" w:type="dxa"/>
        </w:trPr>
        <w:tc>
          <w:tcPr>
            <w:tcW w:w="1730" w:type="dxa"/>
            <w:tcBorders>
              <w:top w:val="single" w:sz="4" w:space="0" w:color="000000"/>
              <w:left w:val="single" w:sz="4" w:space="0" w:color="000000"/>
              <w:bottom w:val="single" w:sz="4" w:space="0" w:color="000000"/>
            </w:tcBorders>
          </w:tcPr>
          <w:p w14:paraId="79C13D60" w14:textId="77777777" w:rsidR="00A453C3" w:rsidRDefault="00A453C3" w:rsidP="0067693D">
            <w:pPr>
              <w:keepNext/>
              <w:keepLines/>
              <w:rPr>
                <w:szCs w:val="22"/>
                <w:lang w:val="lv-LV"/>
              </w:rPr>
            </w:pPr>
            <w:r>
              <w:rPr>
                <w:szCs w:val="22"/>
                <w:lang w:val="lv-LV"/>
              </w:rPr>
              <w:t>Asins un limfātiskās sistēmas traucējumi</w:t>
            </w:r>
          </w:p>
        </w:tc>
        <w:tc>
          <w:tcPr>
            <w:tcW w:w="1418" w:type="dxa"/>
            <w:tcBorders>
              <w:top w:val="single" w:sz="4" w:space="0" w:color="000000"/>
              <w:left w:val="single" w:sz="4" w:space="0" w:color="000000"/>
              <w:bottom w:val="single" w:sz="4" w:space="0" w:color="000000"/>
            </w:tcBorders>
          </w:tcPr>
          <w:p w14:paraId="055C96DF" w14:textId="77777777" w:rsidR="00A453C3" w:rsidRDefault="00A453C3" w:rsidP="0067693D">
            <w:pPr>
              <w:keepNext/>
              <w:keepLines/>
              <w:autoSpaceDE w:val="0"/>
              <w:snapToGrid w:val="0"/>
              <w:rPr>
                <w:rFonts w:eastAsia="PMingLiU"/>
                <w:szCs w:val="22"/>
                <w:lang w:val="lv-LV"/>
              </w:rPr>
            </w:pPr>
          </w:p>
        </w:tc>
        <w:tc>
          <w:tcPr>
            <w:tcW w:w="1559" w:type="dxa"/>
            <w:tcBorders>
              <w:top w:val="single" w:sz="4" w:space="0" w:color="000000"/>
              <w:left w:val="single" w:sz="4" w:space="0" w:color="000000"/>
              <w:bottom w:val="single" w:sz="4" w:space="0" w:color="000000"/>
            </w:tcBorders>
          </w:tcPr>
          <w:p w14:paraId="4D73BCB4" w14:textId="6BDB6C0D" w:rsidR="00A453C3" w:rsidRDefault="00A453C3" w:rsidP="0067693D">
            <w:pPr>
              <w:keepNext/>
              <w:keepLines/>
              <w:rPr>
                <w:szCs w:val="22"/>
                <w:lang w:val="lv-LV"/>
              </w:rPr>
            </w:pPr>
            <w:r>
              <w:rPr>
                <w:szCs w:val="22"/>
                <w:lang w:val="lv-LV"/>
              </w:rPr>
              <w:t>Leikopēnija, neitropēnija, hipofibrino-ge</w:t>
            </w:r>
            <w:r w:rsidRPr="00E86856">
              <w:rPr>
                <w:szCs w:val="22"/>
                <w:lang w:val="lv-LV"/>
              </w:rPr>
              <w:t>nēmija</w:t>
            </w:r>
          </w:p>
        </w:tc>
        <w:tc>
          <w:tcPr>
            <w:tcW w:w="1701" w:type="dxa"/>
            <w:tcBorders>
              <w:top w:val="single" w:sz="4" w:space="0" w:color="000000"/>
              <w:left w:val="single" w:sz="4" w:space="0" w:color="000000"/>
              <w:bottom w:val="single" w:sz="4" w:space="0" w:color="000000"/>
              <w:right w:val="single" w:sz="4" w:space="0" w:color="000000"/>
            </w:tcBorders>
          </w:tcPr>
          <w:p w14:paraId="6C1B1F14" w14:textId="77777777" w:rsidR="00A453C3" w:rsidRDefault="00A453C3" w:rsidP="0067693D">
            <w:pPr>
              <w:keepNext/>
              <w:keepLines/>
              <w:rPr>
                <w:szCs w:val="22"/>
                <w:lang w:val="lv-LV"/>
              </w:rPr>
            </w:pPr>
          </w:p>
        </w:tc>
        <w:tc>
          <w:tcPr>
            <w:tcW w:w="1559" w:type="dxa"/>
            <w:tcBorders>
              <w:top w:val="single" w:sz="4" w:space="0" w:color="000000"/>
              <w:left w:val="single" w:sz="4" w:space="0" w:color="000000"/>
              <w:bottom w:val="single" w:sz="4" w:space="0" w:color="000000"/>
              <w:right w:val="single" w:sz="4" w:space="0" w:color="000000"/>
            </w:tcBorders>
          </w:tcPr>
          <w:p w14:paraId="67842C5D" w14:textId="77777777" w:rsidR="00A453C3" w:rsidRDefault="00A453C3" w:rsidP="0067693D">
            <w:pPr>
              <w:keepNext/>
              <w:keepLines/>
              <w:rPr>
                <w:szCs w:val="22"/>
                <w:lang w:val="lv-LV"/>
              </w:rPr>
            </w:pPr>
          </w:p>
        </w:tc>
        <w:tc>
          <w:tcPr>
            <w:tcW w:w="1134" w:type="dxa"/>
            <w:tcBorders>
              <w:top w:val="single" w:sz="4" w:space="0" w:color="000000"/>
              <w:left w:val="single" w:sz="4" w:space="0" w:color="000000"/>
              <w:bottom w:val="single" w:sz="4" w:space="0" w:color="000000"/>
              <w:right w:val="single" w:sz="4" w:space="0" w:color="000000"/>
            </w:tcBorders>
          </w:tcPr>
          <w:p w14:paraId="54A6CD6A" w14:textId="77777777" w:rsidR="00A453C3" w:rsidRDefault="00A453C3" w:rsidP="0067693D">
            <w:pPr>
              <w:keepNext/>
              <w:keepLines/>
              <w:rPr>
                <w:szCs w:val="22"/>
                <w:lang w:val="lv-LV"/>
              </w:rPr>
            </w:pPr>
          </w:p>
        </w:tc>
      </w:tr>
      <w:tr w:rsidR="00A453C3" w:rsidRPr="0018021A" w14:paraId="0CB1F435" w14:textId="77777777" w:rsidTr="00707120">
        <w:tblPrEx>
          <w:tblCellMar>
            <w:left w:w="0" w:type="dxa"/>
            <w:right w:w="0" w:type="dxa"/>
          </w:tblCellMar>
          <w:tblLook w:val="04A0" w:firstRow="1" w:lastRow="0" w:firstColumn="1" w:lastColumn="0" w:noHBand="0" w:noVBand="1"/>
        </w:tblPrEx>
        <w:trPr>
          <w:gridAfter w:val="1"/>
          <w:wAfter w:w="14" w:type="dxa"/>
        </w:trPr>
        <w:tc>
          <w:tcPr>
            <w:tcW w:w="173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BA7DC21" w14:textId="77777777" w:rsidR="00A453C3" w:rsidRPr="0018021A" w:rsidRDefault="00A453C3" w:rsidP="0067693D">
            <w:pPr>
              <w:pStyle w:val="Standard1"/>
              <w:keepNext/>
              <w:keepLines/>
              <w:rPr>
                <w:color w:val="1A1A1A"/>
                <w:szCs w:val="22"/>
              </w:rPr>
            </w:pPr>
            <w:r>
              <w:t>Imūnās sistēmas traucējumi</w:t>
            </w:r>
          </w:p>
        </w:tc>
        <w:tc>
          <w:tcPr>
            <w:tcW w:w="1418" w:type="dxa"/>
            <w:tcBorders>
              <w:top w:val="nil"/>
              <w:left w:val="nil"/>
              <w:bottom w:val="single" w:sz="8" w:space="0" w:color="000000"/>
              <w:right w:val="single" w:sz="8" w:space="0" w:color="000000"/>
            </w:tcBorders>
            <w:tcMar>
              <w:top w:w="0" w:type="dxa"/>
              <w:left w:w="108" w:type="dxa"/>
              <w:bottom w:w="0" w:type="dxa"/>
              <w:right w:w="108" w:type="dxa"/>
            </w:tcMar>
          </w:tcPr>
          <w:p w14:paraId="01B4ACD1" w14:textId="77777777" w:rsidR="00A453C3" w:rsidRPr="0018021A" w:rsidRDefault="00A453C3" w:rsidP="0067693D">
            <w:pPr>
              <w:pStyle w:val="Standard1"/>
              <w:keepNext/>
              <w:keepLines/>
              <w:rPr>
                <w:color w:val="1A1A1A"/>
                <w:szCs w:val="22"/>
                <w:lang w:val="en-GB" w:eastAsia="en-GB"/>
              </w:rPr>
            </w:pPr>
          </w:p>
        </w:tc>
        <w:tc>
          <w:tcPr>
            <w:tcW w:w="1559" w:type="dxa"/>
            <w:tcBorders>
              <w:top w:val="nil"/>
              <w:left w:val="nil"/>
              <w:bottom w:val="single" w:sz="8" w:space="0" w:color="000000"/>
              <w:right w:val="single" w:sz="4" w:space="0" w:color="auto"/>
            </w:tcBorders>
            <w:tcMar>
              <w:top w:w="0" w:type="dxa"/>
              <w:left w:w="108" w:type="dxa"/>
              <w:bottom w:w="0" w:type="dxa"/>
              <w:right w:w="108" w:type="dxa"/>
            </w:tcMar>
          </w:tcPr>
          <w:p w14:paraId="0B5684B4" w14:textId="77777777" w:rsidR="00A453C3" w:rsidRPr="0018021A" w:rsidRDefault="00A453C3" w:rsidP="0067693D">
            <w:pPr>
              <w:pStyle w:val="Standard1"/>
              <w:keepNext/>
              <w:keepLines/>
              <w:rPr>
                <w:color w:val="1A1A1A"/>
                <w:szCs w:val="22"/>
                <w:lang w:val="en-GB" w:eastAsia="en-GB"/>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2D9868" w14:textId="77777777" w:rsidR="00A453C3" w:rsidRPr="0018021A" w:rsidRDefault="00A453C3" w:rsidP="0067693D">
            <w:pPr>
              <w:pStyle w:val="Standard1"/>
              <w:keepNext/>
              <w:keepLines/>
              <w:rPr>
                <w:color w:val="1A1A1A"/>
                <w:szCs w:val="22"/>
                <w:lang w:val="en-GB" w:eastAsia="en-GB"/>
              </w:rPr>
            </w:pPr>
          </w:p>
        </w:tc>
        <w:tc>
          <w:tcPr>
            <w:tcW w:w="1559" w:type="dxa"/>
            <w:tcBorders>
              <w:top w:val="single" w:sz="4" w:space="0" w:color="auto"/>
              <w:left w:val="single" w:sz="4" w:space="0" w:color="auto"/>
              <w:bottom w:val="single" w:sz="4" w:space="0" w:color="auto"/>
              <w:right w:val="single" w:sz="4" w:space="0" w:color="auto"/>
            </w:tcBorders>
          </w:tcPr>
          <w:p w14:paraId="1D3C7BEE" w14:textId="66A2AD78" w:rsidR="00A453C3" w:rsidRPr="0018021A" w:rsidRDefault="00A453C3" w:rsidP="0067693D">
            <w:pPr>
              <w:pStyle w:val="Standard1"/>
              <w:keepNext/>
              <w:keepLines/>
              <w:ind w:left="97"/>
              <w:rPr>
                <w:szCs w:val="22"/>
              </w:rPr>
            </w:pPr>
            <w:r>
              <w:t>Anafilakse (letāla)</w:t>
            </w:r>
            <w:r>
              <w:rPr>
                <w:szCs w:val="22"/>
                <w:vertAlign w:val="superscript"/>
              </w:rPr>
              <w:t>1,2,3</w:t>
            </w:r>
          </w:p>
        </w:tc>
        <w:tc>
          <w:tcPr>
            <w:tcW w:w="1134" w:type="dxa"/>
            <w:tcBorders>
              <w:top w:val="single" w:sz="4" w:space="0" w:color="auto"/>
              <w:left w:val="single" w:sz="4" w:space="0" w:color="auto"/>
              <w:bottom w:val="single" w:sz="4" w:space="0" w:color="auto"/>
              <w:right w:val="single" w:sz="4" w:space="0" w:color="auto"/>
            </w:tcBorders>
          </w:tcPr>
          <w:p w14:paraId="346B1FDB" w14:textId="77777777" w:rsidR="00A453C3" w:rsidRDefault="00A453C3" w:rsidP="0067693D">
            <w:pPr>
              <w:pStyle w:val="Standard1"/>
              <w:keepNext/>
              <w:keepLines/>
              <w:ind w:left="97"/>
            </w:pPr>
          </w:p>
        </w:tc>
      </w:tr>
      <w:tr w:rsidR="00A453C3" w14:paraId="0DB2E737" w14:textId="77777777" w:rsidTr="00707120">
        <w:trPr>
          <w:gridAfter w:val="1"/>
          <w:wAfter w:w="14" w:type="dxa"/>
        </w:trPr>
        <w:tc>
          <w:tcPr>
            <w:tcW w:w="1730" w:type="dxa"/>
            <w:tcBorders>
              <w:top w:val="single" w:sz="4" w:space="0" w:color="000000"/>
              <w:left w:val="single" w:sz="4" w:space="0" w:color="000000"/>
              <w:bottom w:val="single" w:sz="4" w:space="0" w:color="000000"/>
            </w:tcBorders>
          </w:tcPr>
          <w:p w14:paraId="21F256B5" w14:textId="77777777" w:rsidR="00A453C3" w:rsidRDefault="00A453C3" w:rsidP="0067693D">
            <w:pPr>
              <w:keepNext/>
              <w:keepLines/>
              <w:rPr>
                <w:rFonts w:eastAsia="PMingLiU"/>
                <w:sz w:val="24"/>
                <w:szCs w:val="22"/>
                <w:lang w:val="lv-LV"/>
              </w:rPr>
            </w:pPr>
            <w:r>
              <w:rPr>
                <w:szCs w:val="22"/>
                <w:lang w:val="lv-LV"/>
              </w:rPr>
              <w:t>Endokrīnās sistēmas traucējumi</w:t>
            </w:r>
          </w:p>
        </w:tc>
        <w:tc>
          <w:tcPr>
            <w:tcW w:w="1418" w:type="dxa"/>
            <w:tcBorders>
              <w:top w:val="single" w:sz="4" w:space="0" w:color="000000"/>
              <w:left w:val="single" w:sz="4" w:space="0" w:color="000000"/>
              <w:bottom w:val="single" w:sz="4" w:space="0" w:color="000000"/>
            </w:tcBorders>
          </w:tcPr>
          <w:p w14:paraId="68F5177C" w14:textId="77777777" w:rsidR="00A453C3" w:rsidRDefault="00A453C3" w:rsidP="0067693D">
            <w:pPr>
              <w:keepNext/>
              <w:keepLines/>
              <w:autoSpaceDE w:val="0"/>
              <w:snapToGrid w:val="0"/>
              <w:rPr>
                <w:rFonts w:eastAsia="PMingLiU"/>
                <w:szCs w:val="22"/>
                <w:lang w:val="lv-LV"/>
              </w:rPr>
            </w:pPr>
          </w:p>
        </w:tc>
        <w:tc>
          <w:tcPr>
            <w:tcW w:w="1559" w:type="dxa"/>
            <w:tcBorders>
              <w:top w:val="single" w:sz="4" w:space="0" w:color="000000"/>
              <w:left w:val="single" w:sz="4" w:space="0" w:color="000000"/>
              <w:bottom w:val="single" w:sz="4" w:space="0" w:color="000000"/>
            </w:tcBorders>
          </w:tcPr>
          <w:p w14:paraId="1D92DB4F" w14:textId="77777777" w:rsidR="00A453C3" w:rsidRDefault="00A453C3" w:rsidP="0067693D">
            <w:pPr>
              <w:keepNext/>
              <w:keepLines/>
              <w:snapToGrid w:val="0"/>
              <w:rPr>
                <w:szCs w:val="22"/>
                <w:lang w:val="lv-LV"/>
              </w:rPr>
            </w:pPr>
          </w:p>
        </w:tc>
        <w:tc>
          <w:tcPr>
            <w:tcW w:w="1701" w:type="dxa"/>
            <w:tcBorders>
              <w:top w:val="single" w:sz="4" w:space="0" w:color="000000"/>
              <w:left w:val="single" w:sz="4" w:space="0" w:color="000000"/>
              <w:bottom w:val="single" w:sz="4" w:space="0" w:color="000000"/>
              <w:right w:val="single" w:sz="4" w:space="0" w:color="000000"/>
            </w:tcBorders>
          </w:tcPr>
          <w:p w14:paraId="25F42D08" w14:textId="77777777" w:rsidR="00A453C3" w:rsidRDefault="00A453C3" w:rsidP="0067693D">
            <w:pPr>
              <w:keepNext/>
              <w:keepLines/>
              <w:rPr>
                <w:sz w:val="18"/>
                <w:szCs w:val="18"/>
                <w:lang w:val="lv-LV"/>
              </w:rPr>
            </w:pPr>
            <w:r>
              <w:rPr>
                <w:lang w:val="en-GB"/>
              </w:rPr>
              <w:t>Hipotireoze</w:t>
            </w:r>
          </w:p>
        </w:tc>
        <w:tc>
          <w:tcPr>
            <w:tcW w:w="1559" w:type="dxa"/>
            <w:tcBorders>
              <w:top w:val="single" w:sz="4" w:space="0" w:color="000000"/>
              <w:left w:val="single" w:sz="4" w:space="0" w:color="000000"/>
              <w:bottom w:val="single" w:sz="4" w:space="0" w:color="000000"/>
              <w:right w:val="single" w:sz="4" w:space="0" w:color="000000"/>
            </w:tcBorders>
          </w:tcPr>
          <w:p w14:paraId="237062C0" w14:textId="77777777" w:rsidR="00A453C3" w:rsidRDefault="00A453C3" w:rsidP="0067693D">
            <w:pPr>
              <w:keepNext/>
              <w:keepLines/>
              <w:rPr>
                <w:lang w:val="en-GB"/>
              </w:rPr>
            </w:pPr>
          </w:p>
        </w:tc>
        <w:tc>
          <w:tcPr>
            <w:tcW w:w="1134" w:type="dxa"/>
            <w:tcBorders>
              <w:top w:val="single" w:sz="4" w:space="0" w:color="000000"/>
              <w:left w:val="single" w:sz="4" w:space="0" w:color="000000"/>
              <w:bottom w:val="single" w:sz="4" w:space="0" w:color="000000"/>
              <w:right w:val="single" w:sz="4" w:space="0" w:color="000000"/>
            </w:tcBorders>
          </w:tcPr>
          <w:p w14:paraId="2989273C" w14:textId="77777777" w:rsidR="00A453C3" w:rsidRDefault="00A453C3" w:rsidP="0067693D">
            <w:pPr>
              <w:keepNext/>
              <w:keepLines/>
              <w:rPr>
                <w:lang w:val="en-GB"/>
              </w:rPr>
            </w:pPr>
          </w:p>
        </w:tc>
      </w:tr>
      <w:tr w:rsidR="00A453C3" w:rsidRPr="0018021A" w14:paraId="538677EC" w14:textId="77777777" w:rsidTr="00707120">
        <w:tblPrEx>
          <w:tblCellMar>
            <w:left w:w="0" w:type="dxa"/>
            <w:right w:w="0" w:type="dxa"/>
          </w:tblCellMar>
          <w:tblLook w:val="04A0" w:firstRow="1" w:lastRow="0" w:firstColumn="1" w:lastColumn="0" w:noHBand="0" w:noVBand="1"/>
        </w:tblPrEx>
        <w:trPr>
          <w:gridAfter w:val="1"/>
          <w:wAfter w:w="14" w:type="dxa"/>
        </w:trPr>
        <w:tc>
          <w:tcPr>
            <w:tcW w:w="173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35CE839" w14:textId="77777777" w:rsidR="00A453C3" w:rsidRPr="0018021A" w:rsidRDefault="00A453C3" w:rsidP="0067693D">
            <w:pPr>
              <w:pStyle w:val="Standard1"/>
              <w:keepNext/>
              <w:keepLines/>
              <w:rPr>
                <w:color w:val="1A1A1A"/>
                <w:szCs w:val="22"/>
              </w:rPr>
            </w:pPr>
            <w:r>
              <w:rPr>
                <w:color w:val="1A1A1A"/>
                <w:szCs w:val="22"/>
              </w:rPr>
              <w:t>Vielmaiņas un uztures traucējumi</w:t>
            </w:r>
          </w:p>
        </w:tc>
        <w:tc>
          <w:tcPr>
            <w:tcW w:w="1418" w:type="dxa"/>
            <w:tcBorders>
              <w:top w:val="nil"/>
              <w:left w:val="nil"/>
              <w:bottom w:val="single" w:sz="8" w:space="0" w:color="000000"/>
              <w:right w:val="single" w:sz="8" w:space="0" w:color="000000"/>
            </w:tcBorders>
            <w:tcMar>
              <w:top w:w="0" w:type="dxa"/>
              <w:left w:w="108" w:type="dxa"/>
              <w:bottom w:w="0" w:type="dxa"/>
              <w:right w:w="108" w:type="dxa"/>
            </w:tcMar>
          </w:tcPr>
          <w:p w14:paraId="3E4591DF" w14:textId="09E5B242" w:rsidR="00A453C3" w:rsidRPr="0018021A" w:rsidRDefault="00A453C3" w:rsidP="0067693D">
            <w:pPr>
              <w:pStyle w:val="Standard1"/>
              <w:keepNext/>
              <w:keepLines/>
              <w:rPr>
                <w:color w:val="1A1A1A"/>
                <w:szCs w:val="22"/>
              </w:rPr>
            </w:pPr>
            <w:r>
              <w:rPr>
                <w:color w:val="1A1A1A"/>
                <w:szCs w:val="22"/>
              </w:rPr>
              <w:t>Hiperholes-terinēmija*</w:t>
            </w:r>
          </w:p>
        </w:tc>
        <w:tc>
          <w:tcPr>
            <w:tcW w:w="1559" w:type="dxa"/>
            <w:tcBorders>
              <w:top w:val="nil"/>
              <w:left w:val="nil"/>
              <w:bottom w:val="single" w:sz="8" w:space="0" w:color="000000"/>
              <w:right w:val="single" w:sz="4" w:space="0" w:color="auto"/>
            </w:tcBorders>
            <w:tcMar>
              <w:top w:w="0" w:type="dxa"/>
              <w:left w:w="108" w:type="dxa"/>
              <w:bottom w:w="0" w:type="dxa"/>
              <w:right w:w="108" w:type="dxa"/>
            </w:tcMar>
          </w:tcPr>
          <w:p w14:paraId="0DF9F693" w14:textId="77777777" w:rsidR="00A453C3" w:rsidRPr="0018021A" w:rsidRDefault="00A453C3" w:rsidP="0067693D">
            <w:pPr>
              <w:pStyle w:val="Standard1"/>
              <w:keepNext/>
              <w:keepLines/>
              <w:rPr>
                <w:color w:val="1A1A1A"/>
                <w:szCs w:val="22"/>
              </w:rPr>
            </w:pPr>
            <w:r>
              <w:rPr>
                <w:color w:val="1A1A1A"/>
                <w:szCs w:val="22"/>
              </w:rPr>
              <w:t> </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7521B8" w14:textId="77777777" w:rsidR="00A453C3" w:rsidRPr="0018021A" w:rsidRDefault="00A453C3" w:rsidP="0067693D">
            <w:pPr>
              <w:pStyle w:val="Standard1"/>
              <w:keepNext/>
              <w:keepLines/>
              <w:rPr>
                <w:color w:val="1A1A1A"/>
                <w:szCs w:val="22"/>
              </w:rPr>
            </w:pPr>
            <w:r>
              <w:rPr>
                <w:color w:val="1A1A1A"/>
                <w:szCs w:val="22"/>
              </w:rPr>
              <w:t>Hipertriglice-ridēmija</w:t>
            </w:r>
          </w:p>
        </w:tc>
        <w:tc>
          <w:tcPr>
            <w:tcW w:w="1559" w:type="dxa"/>
            <w:tcBorders>
              <w:top w:val="single" w:sz="4" w:space="0" w:color="auto"/>
              <w:left w:val="single" w:sz="4" w:space="0" w:color="auto"/>
              <w:bottom w:val="single" w:sz="4" w:space="0" w:color="auto"/>
              <w:right w:val="single" w:sz="4" w:space="0" w:color="auto"/>
            </w:tcBorders>
          </w:tcPr>
          <w:p w14:paraId="2D9B7227" w14:textId="77777777" w:rsidR="00A453C3" w:rsidRPr="0018021A" w:rsidRDefault="00A453C3" w:rsidP="0067693D">
            <w:pPr>
              <w:pStyle w:val="Standard1"/>
              <w:keepNext/>
              <w:keepLines/>
              <w:ind w:left="97"/>
              <w:rPr>
                <w:szCs w:val="22"/>
                <w:lang w:val="en-GB" w:eastAsia="en-GB"/>
              </w:rPr>
            </w:pPr>
          </w:p>
        </w:tc>
        <w:tc>
          <w:tcPr>
            <w:tcW w:w="1134" w:type="dxa"/>
            <w:tcBorders>
              <w:top w:val="single" w:sz="4" w:space="0" w:color="auto"/>
              <w:left w:val="single" w:sz="4" w:space="0" w:color="auto"/>
              <w:bottom w:val="single" w:sz="4" w:space="0" w:color="auto"/>
              <w:right w:val="single" w:sz="4" w:space="0" w:color="auto"/>
            </w:tcBorders>
          </w:tcPr>
          <w:p w14:paraId="3F7701A2" w14:textId="77777777" w:rsidR="00A453C3" w:rsidRPr="0018021A" w:rsidRDefault="00A453C3" w:rsidP="0067693D">
            <w:pPr>
              <w:pStyle w:val="Standard1"/>
              <w:keepNext/>
              <w:keepLines/>
              <w:ind w:left="97"/>
              <w:rPr>
                <w:szCs w:val="22"/>
                <w:lang w:val="en-GB" w:eastAsia="en-GB"/>
              </w:rPr>
            </w:pPr>
          </w:p>
        </w:tc>
      </w:tr>
      <w:tr w:rsidR="00A453C3" w:rsidRPr="0018021A" w14:paraId="2F17ECA1" w14:textId="77777777" w:rsidTr="00707120">
        <w:tblPrEx>
          <w:tblCellMar>
            <w:left w:w="0" w:type="dxa"/>
            <w:right w:w="0" w:type="dxa"/>
          </w:tblCellMar>
          <w:tblLook w:val="04A0" w:firstRow="1" w:lastRow="0" w:firstColumn="1" w:lastColumn="0" w:noHBand="0" w:noVBand="1"/>
        </w:tblPrEx>
        <w:trPr>
          <w:gridAfter w:val="1"/>
          <w:wAfter w:w="14" w:type="dxa"/>
        </w:trPr>
        <w:tc>
          <w:tcPr>
            <w:tcW w:w="173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8B36AEE" w14:textId="77777777" w:rsidR="00A453C3" w:rsidRPr="0018021A" w:rsidRDefault="00A453C3" w:rsidP="0067693D">
            <w:pPr>
              <w:pStyle w:val="Standard1"/>
              <w:keepNext/>
              <w:keepLines/>
              <w:rPr>
                <w:color w:val="1A1A1A"/>
                <w:szCs w:val="22"/>
              </w:rPr>
            </w:pPr>
            <w:r>
              <w:rPr>
                <w:color w:val="1A1A1A"/>
                <w:szCs w:val="22"/>
              </w:rPr>
              <w:t>Nervu sistēmas traucējumi</w:t>
            </w:r>
          </w:p>
        </w:tc>
        <w:tc>
          <w:tcPr>
            <w:tcW w:w="1418" w:type="dxa"/>
            <w:tcBorders>
              <w:top w:val="nil"/>
              <w:left w:val="nil"/>
              <w:bottom w:val="single" w:sz="8" w:space="0" w:color="000000"/>
              <w:right w:val="single" w:sz="8" w:space="0" w:color="000000"/>
            </w:tcBorders>
            <w:tcMar>
              <w:top w:w="0" w:type="dxa"/>
              <w:left w:w="108" w:type="dxa"/>
              <w:bottom w:w="0" w:type="dxa"/>
              <w:right w:w="108" w:type="dxa"/>
            </w:tcMar>
          </w:tcPr>
          <w:p w14:paraId="461A1044" w14:textId="77777777" w:rsidR="00A453C3" w:rsidRPr="0018021A" w:rsidRDefault="00A453C3" w:rsidP="0067693D">
            <w:pPr>
              <w:pStyle w:val="Standard1"/>
              <w:keepNext/>
              <w:keepLines/>
              <w:rPr>
                <w:color w:val="1A1A1A"/>
                <w:szCs w:val="22"/>
              </w:rPr>
            </w:pPr>
            <w:r>
              <w:rPr>
                <w:color w:val="1A1A1A"/>
                <w:szCs w:val="22"/>
              </w:rPr>
              <w:t> </w:t>
            </w:r>
          </w:p>
        </w:tc>
        <w:tc>
          <w:tcPr>
            <w:tcW w:w="1559" w:type="dxa"/>
            <w:tcBorders>
              <w:top w:val="nil"/>
              <w:left w:val="nil"/>
              <w:bottom w:val="single" w:sz="8" w:space="0" w:color="000000"/>
              <w:right w:val="single" w:sz="4" w:space="0" w:color="auto"/>
            </w:tcBorders>
            <w:tcMar>
              <w:top w:w="0" w:type="dxa"/>
              <w:left w:w="108" w:type="dxa"/>
              <w:bottom w:w="0" w:type="dxa"/>
              <w:right w:w="108" w:type="dxa"/>
            </w:tcMar>
          </w:tcPr>
          <w:p w14:paraId="70EED871" w14:textId="77777777" w:rsidR="00A453C3" w:rsidRPr="0018021A" w:rsidRDefault="00A453C3" w:rsidP="0067693D">
            <w:pPr>
              <w:pStyle w:val="Standard1"/>
              <w:keepNext/>
              <w:keepLines/>
              <w:rPr>
                <w:color w:val="1A1A1A"/>
                <w:szCs w:val="22"/>
              </w:rPr>
            </w:pPr>
            <w:r>
              <w:rPr>
                <w:color w:val="1A1A1A"/>
                <w:szCs w:val="22"/>
              </w:rPr>
              <w:t>Galvassāpes, reibonis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F25BCB" w14:textId="77777777" w:rsidR="00A453C3" w:rsidRPr="0018021A" w:rsidRDefault="00A453C3" w:rsidP="0067693D">
            <w:pPr>
              <w:pStyle w:val="Standard1"/>
              <w:keepNext/>
              <w:keepLines/>
              <w:rPr>
                <w:color w:val="1A1A1A"/>
                <w:szCs w:val="22"/>
              </w:rPr>
            </w:pPr>
            <w:r>
              <w:rPr>
                <w:color w:val="1A1A1A"/>
                <w:szCs w:val="22"/>
              </w:rPr>
              <w:t> </w:t>
            </w:r>
          </w:p>
        </w:tc>
        <w:tc>
          <w:tcPr>
            <w:tcW w:w="1559" w:type="dxa"/>
            <w:tcBorders>
              <w:top w:val="single" w:sz="4" w:space="0" w:color="auto"/>
              <w:left w:val="single" w:sz="4" w:space="0" w:color="auto"/>
              <w:bottom w:val="single" w:sz="4" w:space="0" w:color="auto"/>
              <w:right w:val="single" w:sz="4" w:space="0" w:color="auto"/>
            </w:tcBorders>
          </w:tcPr>
          <w:p w14:paraId="0DB82E3A" w14:textId="77777777" w:rsidR="00A453C3" w:rsidRPr="0018021A" w:rsidRDefault="00A453C3" w:rsidP="0067693D">
            <w:pPr>
              <w:pStyle w:val="Standard1"/>
              <w:keepNext/>
              <w:keepLines/>
              <w:ind w:left="97"/>
              <w:rPr>
                <w:szCs w:val="22"/>
                <w:lang w:val="en-GB" w:eastAsia="en-GB"/>
              </w:rPr>
            </w:pPr>
          </w:p>
        </w:tc>
        <w:tc>
          <w:tcPr>
            <w:tcW w:w="1134" w:type="dxa"/>
            <w:tcBorders>
              <w:top w:val="single" w:sz="4" w:space="0" w:color="auto"/>
              <w:left w:val="single" w:sz="4" w:space="0" w:color="auto"/>
              <w:bottom w:val="single" w:sz="4" w:space="0" w:color="auto"/>
              <w:right w:val="single" w:sz="4" w:space="0" w:color="auto"/>
            </w:tcBorders>
          </w:tcPr>
          <w:p w14:paraId="6DD21260" w14:textId="77777777" w:rsidR="00A453C3" w:rsidRPr="0018021A" w:rsidRDefault="00A453C3" w:rsidP="0067693D">
            <w:pPr>
              <w:pStyle w:val="Standard1"/>
              <w:keepNext/>
              <w:keepLines/>
              <w:ind w:left="97"/>
              <w:rPr>
                <w:szCs w:val="22"/>
                <w:lang w:val="en-GB" w:eastAsia="en-GB"/>
              </w:rPr>
            </w:pPr>
          </w:p>
        </w:tc>
      </w:tr>
      <w:tr w:rsidR="00A453C3" w14:paraId="0FC67EAA" w14:textId="77777777" w:rsidTr="00707120">
        <w:trPr>
          <w:gridAfter w:val="1"/>
          <w:wAfter w:w="14" w:type="dxa"/>
        </w:trPr>
        <w:tc>
          <w:tcPr>
            <w:tcW w:w="1730" w:type="dxa"/>
            <w:tcBorders>
              <w:top w:val="single" w:sz="4" w:space="0" w:color="000000"/>
              <w:left w:val="single" w:sz="4" w:space="0" w:color="000000"/>
              <w:bottom w:val="single" w:sz="4" w:space="0" w:color="000000"/>
            </w:tcBorders>
          </w:tcPr>
          <w:p w14:paraId="43DDAACA" w14:textId="77777777" w:rsidR="00A453C3" w:rsidRDefault="00A453C3" w:rsidP="0067693D">
            <w:pPr>
              <w:keepNext/>
              <w:keepLines/>
              <w:rPr>
                <w:rFonts w:eastAsia="PMingLiU"/>
                <w:sz w:val="24"/>
                <w:szCs w:val="22"/>
                <w:lang w:val="lv-LV"/>
              </w:rPr>
            </w:pPr>
            <w:r>
              <w:rPr>
                <w:szCs w:val="22"/>
                <w:lang w:val="lv-LV"/>
              </w:rPr>
              <w:t>Acu bojājumi</w:t>
            </w:r>
          </w:p>
        </w:tc>
        <w:tc>
          <w:tcPr>
            <w:tcW w:w="1418" w:type="dxa"/>
            <w:tcBorders>
              <w:top w:val="single" w:sz="4" w:space="0" w:color="000000"/>
              <w:left w:val="single" w:sz="4" w:space="0" w:color="000000"/>
              <w:bottom w:val="single" w:sz="4" w:space="0" w:color="000000"/>
            </w:tcBorders>
          </w:tcPr>
          <w:p w14:paraId="29EDDA1B" w14:textId="77777777" w:rsidR="00A453C3" w:rsidRDefault="00A453C3" w:rsidP="0067693D">
            <w:pPr>
              <w:keepNext/>
              <w:keepLines/>
              <w:autoSpaceDE w:val="0"/>
              <w:snapToGrid w:val="0"/>
              <w:rPr>
                <w:rFonts w:eastAsia="PMingLiU"/>
                <w:szCs w:val="22"/>
                <w:lang w:val="lv-LV"/>
              </w:rPr>
            </w:pPr>
          </w:p>
        </w:tc>
        <w:tc>
          <w:tcPr>
            <w:tcW w:w="1559" w:type="dxa"/>
            <w:tcBorders>
              <w:top w:val="single" w:sz="4" w:space="0" w:color="000000"/>
              <w:left w:val="single" w:sz="4" w:space="0" w:color="000000"/>
              <w:bottom w:val="single" w:sz="4" w:space="0" w:color="000000"/>
            </w:tcBorders>
          </w:tcPr>
          <w:p w14:paraId="24D505AB" w14:textId="77777777" w:rsidR="00A453C3" w:rsidRDefault="00A453C3" w:rsidP="0067693D">
            <w:pPr>
              <w:keepNext/>
              <w:keepLines/>
              <w:rPr>
                <w:szCs w:val="22"/>
                <w:lang w:val="lv-LV"/>
              </w:rPr>
            </w:pPr>
            <w:r>
              <w:rPr>
                <w:szCs w:val="22"/>
                <w:lang w:val="lv-LV"/>
              </w:rPr>
              <w:t>Konjunktivīts</w:t>
            </w:r>
          </w:p>
        </w:tc>
        <w:tc>
          <w:tcPr>
            <w:tcW w:w="1701" w:type="dxa"/>
            <w:tcBorders>
              <w:top w:val="single" w:sz="4" w:space="0" w:color="000000"/>
              <w:left w:val="single" w:sz="4" w:space="0" w:color="000000"/>
              <w:bottom w:val="single" w:sz="4" w:space="0" w:color="000000"/>
              <w:right w:val="single" w:sz="4" w:space="0" w:color="000000"/>
            </w:tcBorders>
          </w:tcPr>
          <w:p w14:paraId="1B472C04" w14:textId="77777777" w:rsidR="00A453C3" w:rsidRDefault="00A453C3" w:rsidP="0067693D">
            <w:pPr>
              <w:keepNext/>
              <w:keepLines/>
              <w:snapToGrid w:val="0"/>
              <w:rPr>
                <w:szCs w:val="22"/>
                <w:lang w:val="lv-LV"/>
              </w:rPr>
            </w:pPr>
          </w:p>
        </w:tc>
        <w:tc>
          <w:tcPr>
            <w:tcW w:w="1559" w:type="dxa"/>
            <w:tcBorders>
              <w:top w:val="single" w:sz="4" w:space="0" w:color="000000"/>
              <w:left w:val="single" w:sz="4" w:space="0" w:color="000000"/>
              <w:bottom w:val="single" w:sz="4" w:space="0" w:color="000000"/>
              <w:right w:val="single" w:sz="4" w:space="0" w:color="000000"/>
            </w:tcBorders>
          </w:tcPr>
          <w:p w14:paraId="14706674" w14:textId="77777777" w:rsidR="00A453C3" w:rsidRDefault="00A453C3" w:rsidP="0067693D">
            <w:pPr>
              <w:keepNext/>
              <w:keepLines/>
              <w:snapToGrid w:val="0"/>
              <w:rPr>
                <w:szCs w:val="22"/>
                <w:lang w:val="lv-LV"/>
              </w:rPr>
            </w:pPr>
          </w:p>
        </w:tc>
        <w:tc>
          <w:tcPr>
            <w:tcW w:w="1134" w:type="dxa"/>
            <w:tcBorders>
              <w:top w:val="single" w:sz="4" w:space="0" w:color="000000"/>
              <w:left w:val="single" w:sz="4" w:space="0" w:color="000000"/>
              <w:bottom w:val="single" w:sz="4" w:space="0" w:color="000000"/>
              <w:right w:val="single" w:sz="4" w:space="0" w:color="000000"/>
            </w:tcBorders>
          </w:tcPr>
          <w:p w14:paraId="3717312E" w14:textId="77777777" w:rsidR="00A453C3" w:rsidRDefault="00A453C3" w:rsidP="0067693D">
            <w:pPr>
              <w:keepNext/>
              <w:keepLines/>
              <w:snapToGrid w:val="0"/>
              <w:rPr>
                <w:szCs w:val="22"/>
                <w:lang w:val="lv-LV"/>
              </w:rPr>
            </w:pPr>
          </w:p>
        </w:tc>
      </w:tr>
      <w:tr w:rsidR="00A453C3" w:rsidRPr="0018021A" w14:paraId="5741F433" w14:textId="77777777" w:rsidTr="00707120">
        <w:tblPrEx>
          <w:tblCellMar>
            <w:left w:w="0" w:type="dxa"/>
            <w:right w:w="0" w:type="dxa"/>
          </w:tblCellMar>
          <w:tblLook w:val="04A0" w:firstRow="1" w:lastRow="0" w:firstColumn="1" w:lastColumn="0" w:noHBand="0" w:noVBand="1"/>
        </w:tblPrEx>
        <w:trPr>
          <w:gridAfter w:val="1"/>
          <w:wAfter w:w="14" w:type="dxa"/>
        </w:trPr>
        <w:tc>
          <w:tcPr>
            <w:tcW w:w="173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CF60823" w14:textId="77777777" w:rsidR="00A453C3" w:rsidRPr="0018021A" w:rsidRDefault="00A453C3" w:rsidP="0067693D">
            <w:pPr>
              <w:pStyle w:val="Standard1"/>
              <w:keepNext/>
              <w:keepLines/>
              <w:rPr>
                <w:color w:val="1A1A1A"/>
                <w:szCs w:val="22"/>
              </w:rPr>
            </w:pPr>
            <w:r>
              <w:rPr>
                <w:color w:val="1A1A1A"/>
                <w:szCs w:val="22"/>
              </w:rPr>
              <w:t>Asinsvadu sistēmas traucējumi</w:t>
            </w:r>
          </w:p>
        </w:tc>
        <w:tc>
          <w:tcPr>
            <w:tcW w:w="1418" w:type="dxa"/>
            <w:tcBorders>
              <w:top w:val="nil"/>
              <w:left w:val="nil"/>
              <w:bottom w:val="single" w:sz="8" w:space="0" w:color="000000"/>
              <w:right w:val="single" w:sz="8" w:space="0" w:color="000000"/>
            </w:tcBorders>
            <w:tcMar>
              <w:top w:w="0" w:type="dxa"/>
              <w:left w:w="108" w:type="dxa"/>
              <w:bottom w:w="0" w:type="dxa"/>
              <w:right w:w="108" w:type="dxa"/>
            </w:tcMar>
          </w:tcPr>
          <w:p w14:paraId="15A31264" w14:textId="77777777" w:rsidR="00A453C3" w:rsidRPr="0018021A" w:rsidRDefault="00A453C3" w:rsidP="0067693D">
            <w:pPr>
              <w:pStyle w:val="Standard1"/>
              <w:keepNext/>
              <w:keepLines/>
              <w:rPr>
                <w:color w:val="1A1A1A"/>
                <w:szCs w:val="22"/>
              </w:rPr>
            </w:pPr>
            <w:r>
              <w:rPr>
                <w:color w:val="1A1A1A"/>
                <w:szCs w:val="22"/>
              </w:rPr>
              <w:t> </w:t>
            </w:r>
          </w:p>
        </w:tc>
        <w:tc>
          <w:tcPr>
            <w:tcW w:w="1559" w:type="dxa"/>
            <w:tcBorders>
              <w:top w:val="nil"/>
              <w:left w:val="nil"/>
              <w:bottom w:val="single" w:sz="8" w:space="0" w:color="000000"/>
              <w:right w:val="single" w:sz="4" w:space="0" w:color="auto"/>
            </w:tcBorders>
            <w:tcMar>
              <w:top w:w="0" w:type="dxa"/>
              <w:left w:w="108" w:type="dxa"/>
              <w:bottom w:w="0" w:type="dxa"/>
              <w:right w:w="108" w:type="dxa"/>
            </w:tcMar>
          </w:tcPr>
          <w:p w14:paraId="2C053A7B" w14:textId="77777777" w:rsidR="00A453C3" w:rsidRPr="0018021A" w:rsidRDefault="00A453C3" w:rsidP="0067693D">
            <w:pPr>
              <w:pStyle w:val="Standard1"/>
              <w:keepNext/>
              <w:keepLines/>
              <w:rPr>
                <w:color w:val="1A1A1A"/>
                <w:szCs w:val="22"/>
              </w:rPr>
            </w:pPr>
            <w:r>
              <w:rPr>
                <w:color w:val="1A1A1A"/>
                <w:szCs w:val="22"/>
              </w:rPr>
              <w:t>Hipertensija</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A14458" w14:textId="77777777" w:rsidR="00A453C3" w:rsidRPr="0018021A" w:rsidRDefault="00A453C3" w:rsidP="0067693D">
            <w:pPr>
              <w:pStyle w:val="Standard1"/>
              <w:keepNext/>
              <w:keepLines/>
              <w:rPr>
                <w:color w:val="1A1A1A"/>
                <w:szCs w:val="22"/>
              </w:rPr>
            </w:pPr>
            <w:r>
              <w:rPr>
                <w:color w:val="1A1A1A"/>
                <w:szCs w:val="22"/>
              </w:rPr>
              <w:t> </w:t>
            </w:r>
          </w:p>
        </w:tc>
        <w:tc>
          <w:tcPr>
            <w:tcW w:w="1559" w:type="dxa"/>
            <w:tcBorders>
              <w:top w:val="single" w:sz="4" w:space="0" w:color="auto"/>
              <w:left w:val="single" w:sz="4" w:space="0" w:color="auto"/>
              <w:bottom w:val="single" w:sz="4" w:space="0" w:color="auto"/>
              <w:right w:val="single" w:sz="4" w:space="0" w:color="auto"/>
            </w:tcBorders>
          </w:tcPr>
          <w:p w14:paraId="48C7BEA2" w14:textId="77777777" w:rsidR="00A453C3" w:rsidRPr="0018021A" w:rsidRDefault="00A453C3" w:rsidP="0067693D">
            <w:pPr>
              <w:pStyle w:val="Standard1"/>
              <w:keepNext/>
              <w:keepLines/>
              <w:ind w:left="97"/>
              <w:rPr>
                <w:szCs w:val="22"/>
                <w:lang w:val="en-GB" w:eastAsia="en-GB"/>
              </w:rPr>
            </w:pPr>
          </w:p>
        </w:tc>
        <w:tc>
          <w:tcPr>
            <w:tcW w:w="1134" w:type="dxa"/>
            <w:tcBorders>
              <w:top w:val="single" w:sz="4" w:space="0" w:color="auto"/>
              <w:left w:val="single" w:sz="4" w:space="0" w:color="auto"/>
              <w:bottom w:val="single" w:sz="4" w:space="0" w:color="auto"/>
              <w:right w:val="single" w:sz="4" w:space="0" w:color="auto"/>
            </w:tcBorders>
          </w:tcPr>
          <w:p w14:paraId="31E91E73" w14:textId="77777777" w:rsidR="00A453C3" w:rsidRPr="0018021A" w:rsidRDefault="00A453C3" w:rsidP="0067693D">
            <w:pPr>
              <w:pStyle w:val="Standard1"/>
              <w:keepNext/>
              <w:keepLines/>
              <w:ind w:left="97"/>
              <w:rPr>
                <w:szCs w:val="22"/>
                <w:lang w:val="en-GB" w:eastAsia="en-GB"/>
              </w:rPr>
            </w:pPr>
          </w:p>
        </w:tc>
      </w:tr>
      <w:tr w:rsidR="00A453C3" w:rsidRPr="0018021A" w14:paraId="74F293D9" w14:textId="77777777" w:rsidTr="00707120">
        <w:tblPrEx>
          <w:tblCellMar>
            <w:left w:w="0" w:type="dxa"/>
            <w:right w:w="0" w:type="dxa"/>
          </w:tblCellMar>
          <w:tblLook w:val="04A0" w:firstRow="1" w:lastRow="0" w:firstColumn="1" w:lastColumn="0" w:noHBand="0" w:noVBand="1"/>
        </w:tblPrEx>
        <w:trPr>
          <w:gridAfter w:val="1"/>
          <w:wAfter w:w="14" w:type="dxa"/>
        </w:trPr>
        <w:tc>
          <w:tcPr>
            <w:tcW w:w="173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8421AE0" w14:textId="77777777" w:rsidR="00A453C3" w:rsidRPr="0018021A" w:rsidRDefault="00A453C3" w:rsidP="0067693D">
            <w:pPr>
              <w:pStyle w:val="Standard1"/>
              <w:keepNext/>
              <w:keepLines/>
              <w:rPr>
                <w:color w:val="1A1A1A"/>
                <w:szCs w:val="22"/>
              </w:rPr>
            </w:pPr>
            <w:r>
              <w:rPr>
                <w:color w:val="1A1A1A"/>
                <w:szCs w:val="22"/>
              </w:rPr>
              <w:t>Elpošanas sistēmas traucējumi, krūšu kurvja un videnes slimības</w:t>
            </w:r>
          </w:p>
        </w:tc>
        <w:tc>
          <w:tcPr>
            <w:tcW w:w="1418" w:type="dxa"/>
            <w:tcBorders>
              <w:top w:val="nil"/>
              <w:left w:val="nil"/>
              <w:bottom w:val="single" w:sz="8" w:space="0" w:color="000000"/>
              <w:right w:val="single" w:sz="8" w:space="0" w:color="000000"/>
            </w:tcBorders>
            <w:tcMar>
              <w:top w:w="0" w:type="dxa"/>
              <w:left w:w="108" w:type="dxa"/>
              <w:bottom w:w="0" w:type="dxa"/>
              <w:right w:w="108" w:type="dxa"/>
            </w:tcMar>
          </w:tcPr>
          <w:p w14:paraId="3B0DCEC1" w14:textId="77777777" w:rsidR="00A453C3" w:rsidRPr="0018021A" w:rsidRDefault="00A453C3" w:rsidP="0067693D">
            <w:pPr>
              <w:pStyle w:val="Standard1"/>
              <w:keepNext/>
              <w:keepLines/>
              <w:rPr>
                <w:color w:val="1A1A1A"/>
                <w:szCs w:val="22"/>
              </w:rPr>
            </w:pPr>
            <w:r>
              <w:rPr>
                <w:color w:val="1A1A1A"/>
                <w:szCs w:val="22"/>
              </w:rPr>
              <w:t> </w:t>
            </w:r>
          </w:p>
        </w:tc>
        <w:tc>
          <w:tcPr>
            <w:tcW w:w="1559" w:type="dxa"/>
            <w:tcBorders>
              <w:top w:val="nil"/>
              <w:left w:val="nil"/>
              <w:bottom w:val="single" w:sz="8" w:space="0" w:color="000000"/>
              <w:right w:val="single" w:sz="4" w:space="0" w:color="auto"/>
            </w:tcBorders>
            <w:tcMar>
              <w:top w:w="0" w:type="dxa"/>
              <w:left w:w="108" w:type="dxa"/>
              <w:bottom w:w="0" w:type="dxa"/>
              <w:right w:w="108" w:type="dxa"/>
            </w:tcMar>
          </w:tcPr>
          <w:p w14:paraId="1BC1919D" w14:textId="77777777" w:rsidR="00A453C3" w:rsidRPr="0018021A" w:rsidRDefault="00A453C3" w:rsidP="0067693D">
            <w:pPr>
              <w:pStyle w:val="Standard1"/>
              <w:keepNext/>
              <w:keepLines/>
              <w:rPr>
                <w:color w:val="1A1A1A"/>
                <w:szCs w:val="22"/>
              </w:rPr>
            </w:pPr>
            <w:r>
              <w:rPr>
                <w:color w:val="1A1A1A"/>
                <w:szCs w:val="22"/>
              </w:rPr>
              <w:t>Klepus, aizdusa</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FC0328" w14:textId="77777777" w:rsidR="00A453C3" w:rsidRPr="0018021A" w:rsidRDefault="00A453C3" w:rsidP="0067693D">
            <w:pPr>
              <w:pStyle w:val="Standard1"/>
              <w:keepNext/>
              <w:keepLines/>
              <w:rPr>
                <w:color w:val="1A1A1A"/>
                <w:szCs w:val="22"/>
              </w:rPr>
            </w:pPr>
            <w:r>
              <w:rPr>
                <w:color w:val="1A1A1A"/>
                <w:szCs w:val="22"/>
              </w:rPr>
              <w:t> </w:t>
            </w:r>
          </w:p>
        </w:tc>
        <w:tc>
          <w:tcPr>
            <w:tcW w:w="1559" w:type="dxa"/>
            <w:tcBorders>
              <w:top w:val="single" w:sz="4" w:space="0" w:color="auto"/>
              <w:left w:val="single" w:sz="4" w:space="0" w:color="auto"/>
              <w:bottom w:val="single" w:sz="4" w:space="0" w:color="auto"/>
              <w:right w:val="single" w:sz="4" w:space="0" w:color="auto"/>
            </w:tcBorders>
          </w:tcPr>
          <w:p w14:paraId="3E120E8A" w14:textId="77777777" w:rsidR="00A453C3" w:rsidRPr="0018021A" w:rsidRDefault="00A453C3" w:rsidP="0067693D">
            <w:pPr>
              <w:pStyle w:val="Standard1"/>
              <w:keepNext/>
              <w:keepLines/>
              <w:ind w:left="97"/>
              <w:rPr>
                <w:szCs w:val="22"/>
                <w:lang w:val="en-GB" w:eastAsia="en-GB"/>
              </w:rPr>
            </w:pPr>
          </w:p>
        </w:tc>
        <w:tc>
          <w:tcPr>
            <w:tcW w:w="1134" w:type="dxa"/>
            <w:tcBorders>
              <w:top w:val="single" w:sz="4" w:space="0" w:color="auto"/>
              <w:left w:val="single" w:sz="4" w:space="0" w:color="auto"/>
              <w:bottom w:val="single" w:sz="4" w:space="0" w:color="auto"/>
              <w:right w:val="single" w:sz="4" w:space="0" w:color="auto"/>
            </w:tcBorders>
          </w:tcPr>
          <w:p w14:paraId="55C4AB75" w14:textId="77777777" w:rsidR="00A453C3" w:rsidRPr="0018021A" w:rsidRDefault="00A453C3" w:rsidP="0067693D">
            <w:pPr>
              <w:pStyle w:val="Standard1"/>
              <w:keepNext/>
              <w:keepLines/>
              <w:ind w:left="97"/>
              <w:rPr>
                <w:szCs w:val="22"/>
                <w:lang w:val="en-GB" w:eastAsia="en-GB"/>
              </w:rPr>
            </w:pPr>
          </w:p>
        </w:tc>
      </w:tr>
      <w:tr w:rsidR="00A453C3" w14:paraId="2E8B766E" w14:textId="77777777" w:rsidTr="00707120">
        <w:trPr>
          <w:gridAfter w:val="1"/>
          <w:wAfter w:w="14" w:type="dxa"/>
        </w:trPr>
        <w:tc>
          <w:tcPr>
            <w:tcW w:w="1730" w:type="dxa"/>
            <w:tcBorders>
              <w:top w:val="single" w:sz="4" w:space="0" w:color="000000"/>
              <w:left w:val="single" w:sz="4" w:space="0" w:color="000000"/>
              <w:bottom w:val="single" w:sz="4" w:space="0" w:color="000000"/>
            </w:tcBorders>
          </w:tcPr>
          <w:p w14:paraId="191EDEB3" w14:textId="4BF44366" w:rsidR="00A453C3" w:rsidRDefault="00A453C3" w:rsidP="00BD246C">
            <w:pPr>
              <w:keepNext/>
              <w:rPr>
                <w:rFonts w:eastAsia="PMingLiU"/>
                <w:sz w:val="24"/>
                <w:szCs w:val="22"/>
                <w:lang w:val="lv-LV"/>
              </w:rPr>
            </w:pPr>
            <w:r>
              <w:rPr>
                <w:szCs w:val="22"/>
                <w:lang w:val="lv-LV"/>
              </w:rPr>
              <w:t>Kuņģa</w:t>
            </w:r>
            <w:r w:rsidR="00BD246C">
              <w:rPr>
                <w:szCs w:val="22"/>
                <w:lang w:val="lv-LV"/>
              </w:rPr>
              <w:t xml:space="preserve"> un </w:t>
            </w:r>
            <w:r>
              <w:rPr>
                <w:szCs w:val="22"/>
                <w:lang w:val="lv-LV"/>
              </w:rPr>
              <w:t>zarnu trakta traucējumi</w:t>
            </w:r>
          </w:p>
        </w:tc>
        <w:tc>
          <w:tcPr>
            <w:tcW w:w="1418" w:type="dxa"/>
            <w:tcBorders>
              <w:top w:val="single" w:sz="4" w:space="0" w:color="000000"/>
              <w:left w:val="single" w:sz="4" w:space="0" w:color="000000"/>
              <w:bottom w:val="single" w:sz="4" w:space="0" w:color="000000"/>
            </w:tcBorders>
          </w:tcPr>
          <w:p w14:paraId="50523E09" w14:textId="77777777" w:rsidR="00A453C3" w:rsidRDefault="00A453C3" w:rsidP="0067693D">
            <w:pPr>
              <w:keepNext/>
              <w:autoSpaceDE w:val="0"/>
              <w:snapToGrid w:val="0"/>
              <w:rPr>
                <w:rFonts w:eastAsia="PMingLiU"/>
                <w:szCs w:val="22"/>
                <w:lang w:val="lv-LV"/>
              </w:rPr>
            </w:pPr>
          </w:p>
        </w:tc>
        <w:tc>
          <w:tcPr>
            <w:tcW w:w="1559" w:type="dxa"/>
            <w:tcBorders>
              <w:top w:val="single" w:sz="4" w:space="0" w:color="000000"/>
              <w:left w:val="single" w:sz="4" w:space="0" w:color="000000"/>
              <w:bottom w:val="single" w:sz="4" w:space="0" w:color="000000"/>
            </w:tcBorders>
          </w:tcPr>
          <w:p w14:paraId="7E22C445" w14:textId="77777777" w:rsidR="00A453C3" w:rsidRDefault="00A453C3" w:rsidP="0067693D">
            <w:pPr>
              <w:keepNext/>
              <w:rPr>
                <w:szCs w:val="22"/>
                <w:lang w:val="lv-LV"/>
              </w:rPr>
            </w:pPr>
            <w:r>
              <w:rPr>
                <w:szCs w:val="22"/>
                <w:lang w:val="lv-LV"/>
              </w:rPr>
              <w:t>Sāpes vēderā, čūlas mutes dobumā, gastrīts</w:t>
            </w:r>
          </w:p>
        </w:tc>
        <w:tc>
          <w:tcPr>
            <w:tcW w:w="1701" w:type="dxa"/>
            <w:tcBorders>
              <w:top w:val="single" w:sz="4" w:space="0" w:color="000000"/>
              <w:left w:val="single" w:sz="4" w:space="0" w:color="000000"/>
              <w:bottom w:val="single" w:sz="4" w:space="0" w:color="000000"/>
              <w:right w:val="single" w:sz="4" w:space="0" w:color="000000"/>
            </w:tcBorders>
          </w:tcPr>
          <w:p w14:paraId="16D08594" w14:textId="77777777" w:rsidR="00A453C3" w:rsidRDefault="00A453C3" w:rsidP="0067693D">
            <w:pPr>
              <w:keepNext/>
              <w:rPr>
                <w:szCs w:val="22"/>
                <w:lang w:val="lv-LV"/>
              </w:rPr>
            </w:pPr>
            <w:r>
              <w:rPr>
                <w:szCs w:val="22"/>
                <w:lang w:val="lv-LV"/>
              </w:rPr>
              <w:t>Stomatīts, kuņģa čūla</w:t>
            </w:r>
          </w:p>
        </w:tc>
        <w:tc>
          <w:tcPr>
            <w:tcW w:w="1559" w:type="dxa"/>
            <w:tcBorders>
              <w:top w:val="single" w:sz="4" w:space="0" w:color="000000"/>
              <w:left w:val="single" w:sz="4" w:space="0" w:color="000000"/>
              <w:bottom w:val="single" w:sz="4" w:space="0" w:color="000000"/>
              <w:right w:val="single" w:sz="4" w:space="0" w:color="000000"/>
            </w:tcBorders>
          </w:tcPr>
          <w:p w14:paraId="58A131A4" w14:textId="77777777" w:rsidR="00A453C3" w:rsidRDefault="00A453C3" w:rsidP="0067693D">
            <w:pPr>
              <w:keepNext/>
              <w:rPr>
                <w:szCs w:val="22"/>
                <w:lang w:val="lv-LV"/>
              </w:rPr>
            </w:pPr>
          </w:p>
        </w:tc>
        <w:tc>
          <w:tcPr>
            <w:tcW w:w="1134" w:type="dxa"/>
            <w:tcBorders>
              <w:top w:val="single" w:sz="4" w:space="0" w:color="000000"/>
              <w:left w:val="single" w:sz="4" w:space="0" w:color="000000"/>
              <w:bottom w:val="single" w:sz="4" w:space="0" w:color="000000"/>
              <w:right w:val="single" w:sz="4" w:space="0" w:color="000000"/>
            </w:tcBorders>
          </w:tcPr>
          <w:p w14:paraId="3AFA473B" w14:textId="77777777" w:rsidR="00A453C3" w:rsidRDefault="00A453C3" w:rsidP="0067693D">
            <w:pPr>
              <w:keepNext/>
              <w:rPr>
                <w:szCs w:val="22"/>
                <w:lang w:val="lv-LV"/>
              </w:rPr>
            </w:pPr>
          </w:p>
        </w:tc>
      </w:tr>
      <w:tr w:rsidR="00A453C3" w:rsidRPr="0018021A" w14:paraId="1839B250" w14:textId="77777777" w:rsidTr="00707120">
        <w:tblPrEx>
          <w:tblCellMar>
            <w:left w:w="0" w:type="dxa"/>
            <w:right w:w="0" w:type="dxa"/>
          </w:tblCellMar>
          <w:tblLook w:val="04A0" w:firstRow="1" w:lastRow="0" w:firstColumn="1" w:lastColumn="0" w:noHBand="0" w:noVBand="1"/>
        </w:tblPrEx>
        <w:trPr>
          <w:gridAfter w:val="1"/>
          <w:wAfter w:w="14" w:type="dxa"/>
        </w:trPr>
        <w:tc>
          <w:tcPr>
            <w:tcW w:w="173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74B2531" w14:textId="74CA8D72" w:rsidR="00A453C3" w:rsidRPr="0018021A" w:rsidRDefault="00A453C3" w:rsidP="00272878">
            <w:pPr>
              <w:pStyle w:val="Standard1"/>
              <w:rPr>
                <w:color w:val="1A1A1A"/>
                <w:szCs w:val="22"/>
              </w:rPr>
            </w:pPr>
            <w:r>
              <w:t>Aknu un žults izvades sistēmas traucējumi</w:t>
            </w:r>
          </w:p>
        </w:tc>
        <w:tc>
          <w:tcPr>
            <w:tcW w:w="1418" w:type="dxa"/>
            <w:tcBorders>
              <w:top w:val="nil"/>
              <w:left w:val="nil"/>
              <w:bottom w:val="single" w:sz="8" w:space="0" w:color="000000"/>
              <w:right w:val="single" w:sz="8" w:space="0" w:color="000000"/>
            </w:tcBorders>
            <w:tcMar>
              <w:top w:w="0" w:type="dxa"/>
              <w:left w:w="108" w:type="dxa"/>
              <w:bottom w:w="0" w:type="dxa"/>
              <w:right w:w="108" w:type="dxa"/>
            </w:tcMar>
          </w:tcPr>
          <w:p w14:paraId="58DE8A5D" w14:textId="77777777" w:rsidR="00A453C3" w:rsidRPr="00707120" w:rsidRDefault="00A453C3" w:rsidP="0067693D">
            <w:pPr>
              <w:pStyle w:val="Standard1"/>
              <w:rPr>
                <w:color w:val="1A1A1A"/>
                <w:szCs w:val="22"/>
                <w:lang w:val="es-ES" w:eastAsia="en-GB"/>
              </w:rPr>
            </w:pPr>
          </w:p>
        </w:tc>
        <w:tc>
          <w:tcPr>
            <w:tcW w:w="1559" w:type="dxa"/>
            <w:tcBorders>
              <w:top w:val="nil"/>
              <w:left w:val="nil"/>
              <w:bottom w:val="single" w:sz="8" w:space="0" w:color="000000"/>
              <w:right w:val="single" w:sz="4" w:space="0" w:color="auto"/>
            </w:tcBorders>
            <w:tcMar>
              <w:top w:w="0" w:type="dxa"/>
              <w:left w:w="108" w:type="dxa"/>
              <w:bottom w:w="0" w:type="dxa"/>
              <w:right w:w="108" w:type="dxa"/>
            </w:tcMar>
          </w:tcPr>
          <w:p w14:paraId="6C6EE926" w14:textId="77777777" w:rsidR="00A453C3" w:rsidRPr="00707120" w:rsidRDefault="00A453C3" w:rsidP="0067693D">
            <w:pPr>
              <w:pStyle w:val="Standard1"/>
              <w:rPr>
                <w:color w:val="1A1A1A"/>
                <w:szCs w:val="22"/>
                <w:lang w:val="es-ES" w:eastAsia="en-GB"/>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F34F10" w14:textId="77777777" w:rsidR="00A453C3" w:rsidRPr="00707120" w:rsidRDefault="00A453C3" w:rsidP="0067693D">
            <w:pPr>
              <w:pStyle w:val="Standard1"/>
              <w:rPr>
                <w:color w:val="1A1A1A"/>
                <w:szCs w:val="22"/>
                <w:lang w:val="es-ES" w:eastAsia="en-GB"/>
              </w:rPr>
            </w:pPr>
          </w:p>
        </w:tc>
        <w:tc>
          <w:tcPr>
            <w:tcW w:w="1559" w:type="dxa"/>
            <w:tcBorders>
              <w:top w:val="single" w:sz="4" w:space="0" w:color="auto"/>
              <w:left w:val="single" w:sz="4" w:space="0" w:color="auto"/>
              <w:bottom w:val="single" w:sz="4" w:space="0" w:color="auto"/>
              <w:right w:val="single" w:sz="4" w:space="0" w:color="auto"/>
            </w:tcBorders>
          </w:tcPr>
          <w:p w14:paraId="64795EFA" w14:textId="5DEC29DD" w:rsidR="00A453C3" w:rsidRPr="0018021A" w:rsidRDefault="00A453C3" w:rsidP="0067693D">
            <w:pPr>
              <w:pStyle w:val="Standard1"/>
              <w:ind w:left="97"/>
              <w:rPr>
                <w:szCs w:val="22"/>
              </w:rPr>
            </w:pPr>
            <w:r>
              <w:t xml:space="preserve">Zāļu izraisīts aknu bojājums, hepatīts, dzelte </w:t>
            </w:r>
          </w:p>
        </w:tc>
        <w:tc>
          <w:tcPr>
            <w:tcW w:w="1134" w:type="dxa"/>
            <w:tcBorders>
              <w:top w:val="single" w:sz="4" w:space="0" w:color="auto"/>
              <w:left w:val="single" w:sz="4" w:space="0" w:color="auto"/>
              <w:bottom w:val="single" w:sz="4" w:space="0" w:color="auto"/>
              <w:right w:val="single" w:sz="4" w:space="0" w:color="auto"/>
            </w:tcBorders>
          </w:tcPr>
          <w:p w14:paraId="1F3D92E9" w14:textId="77777777" w:rsidR="00A453C3" w:rsidRDefault="00A453C3" w:rsidP="0067693D">
            <w:pPr>
              <w:pStyle w:val="Standard1"/>
              <w:ind w:left="97"/>
            </w:pPr>
            <w:r>
              <w:t>Aknu mazspēja</w:t>
            </w:r>
          </w:p>
        </w:tc>
      </w:tr>
      <w:tr w:rsidR="00A453C3" w:rsidRPr="0018021A" w14:paraId="0F013DDD" w14:textId="77777777" w:rsidTr="00707120">
        <w:tblPrEx>
          <w:tblCellMar>
            <w:left w:w="0" w:type="dxa"/>
            <w:right w:w="0" w:type="dxa"/>
          </w:tblCellMar>
          <w:tblLook w:val="04A0" w:firstRow="1" w:lastRow="0" w:firstColumn="1" w:lastColumn="0" w:noHBand="0" w:noVBand="1"/>
        </w:tblPrEx>
        <w:trPr>
          <w:gridAfter w:val="1"/>
          <w:wAfter w:w="14" w:type="dxa"/>
        </w:trPr>
        <w:tc>
          <w:tcPr>
            <w:tcW w:w="173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87A6D58" w14:textId="77777777" w:rsidR="00A453C3" w:rsidRPr="0018021A" w:rsidRDefault="00A453C3" w:rsidP="0067693D">
            <w:pPr>
              <w:pStyle w:val="Standard1"/>
              <w:rPr>
                <w:color w:val="1A1A1A"/>
                <w:szCs w:val="22"/>
              </w:rPr>
            </w:pPr>
            <w:r>
              <w:rPr>
                <w:color w:val="1A1A1A"/>
                <w:szCs w:val="22"/>
              </w:rPr>
              <w:t>Ādas un zemādas audu bojājumi</w:t>
            </w:r>
          </w:p>
        </w:tc>
        <w:tc>
          <w:tcPr>
            <w:tcW w:w="1418" w:type="dxa"/>
            <w:tcBorders>
              <w:top w:val="nil"/>
              <w:left w:val="nil"/>
              <w:bottom w:val="single" w:sz="8" w:space="0" w:color="000000"/>
              <w:right w:val="single" w:sz="8" w:space="0" w:color="000000"/>
            </w:tcBorders>
            <w:tcMar>
              <w:top w:w="0" w:type="dxa"/>
              <w:left w:w="108" w:type="dxa"/>
              <w:bottom w:w="0" w:type="dxa"/>
              <w:right w:w="108" w:type="dxa"/>
            </w:tcMar>
          </w:tcPr>
          <w:p w14:paraId="0BC1B159" w14:textId="77777777" w:rsidR="00A453C3" w:rsidRPr="0018021A" w:rsidRDefault="00A453C3" w:rsidP="0067693D">
            <w:pPr>
              <w:pStyle w:val="Standard1"/>
              <w:rPr>
                <w:color w:val="1A1A1A"/>
                <w:szCs w:val="22"/>
              </w:rPr>
            </w:pPr>
            <w:r>
              <w:rPr>
                <w:color w:val="1A1A1A"/>
                <w:szCs w:val="22"/>
              </w:rPr>
              <w:t> </w:t>
            </w:r>
          </w:p>
        </w:tc>
        <w:tc>
          <w:tcPr>
            <w:tcW w:w="1559" w:type="dxa"/>
            <w:tcBorders>
              <w:top w:val="nil"/>
              <w:left w:val="nil"/>
              <w:bottom w:val="single" w:sz="8" w:space="0" w:color="000000"/>
              <w:right w:val="single" w:sz="4" w:space="0" w:color="auto"/>
            </w:tcBorders>
            <w:tcMar>
              <w:top w:w="0" w:type="dxa"/>
              <w:left w:w="108" w:type="dxa"/>
              <w:bottom w:w="0" w:type="dxa"/>
              <w:right w:w="108" w:type="dxa"/>
            </w:tcMar>
          </w:tcPr>
          <w:p w14:paraId="20BD57DC" w14:textId="77777777" w:rsidR="00A453C3" w:rsidRPr="0018021A" w:rsidRDefault="00A453C3" w:rsidP="0067693D">
            <w:pPr>
              <w:pStyle w:val="Standard1"/>
              <w:rPr>
                <w:color w:val="1A1A1A"/>
                <w:szCs w:val="22"/>
              </w:rPr>
            </w:pPr>
            <w:r>
              <w:rPr>
                <w:color w:val="1A1A1A"/>
                <w:szCs w:val="22"/>
              </w:rPr>
              <w:t>Izsitumi, nieze, nātrene</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E05310" w14:textId="77777777" w:rsidR="00A453C3" w:rsidRPr="0018021A" w:rsidRDefault="00A453C3" w:rsidP="0067693D">
            <w:pPr>
              <w:pStyle w:val="Standard1"/>
              <w:rPr>
                <w:color w:val="1A1A1A"/>
                <w:szCs w:val="22"/>
              </w:rPr>
            </w:pPr>
            <w:r>
              <w:rPr>
                <w:color w:val="1A1A1A"/>
                <w:szCs w:val="22"/>
              </w:rPr>
              <w:t> </w:t>
            </w:r>
          </w:p>
        </w:tc>
        <w:tc>
          <w:tcPr>
            <w:tcW w:w="1559" w:type="dxa"/>
            <w:tcBorders>
              <w:top w:val="single" w:sz="4" w:space="0" w:color="auto"/>
              <w:left w:val="single" w:sz="4" w:space="0" w:color="auto"/>
              <w:bottom w:val="single" w:sz="4" w:space="0" w:color="auto"/>
              <w:right w:val="single" w:sz="4" w:space="0" w:color="auto"/>
            </w:tcBorders>
          </w:tcPr>
          <w:p w14:paraId="2ADF52DF" w14:textId="77777777" w:rsidR="00A453C3" w:rsidRPr="0018021A" w:rsidRDefault="00A453C3" w:rsidP="0067693D">
            <w:pPr>
              <w:pStyle w:val="Standard1"/>
              <w:ind w:left="97"/>
              <w:rPr>
                <w:szCs w:val="22"/>
              </w:rPr>
            </w:pPr>
            <w:r>
              <w:t>Stīvensa-Džonsona sindroms</w:t>
            </w:r>
            <w:r>
              <w:rPr>
                <w:szCs w:val="22"/>
                <w:vertAlign w:val="superscript"/>
              </w:rPr>
              <w:t>3</w:t>
            </w:r>
          </w:p>
        </w:tc>
        <w:tc>
          <w:tcPr>
            <w:tcW w:w="1134" w:type="dxa"/>
            <w:tcBorders>
              <w:top w:val="single" w:sz="4" w:space="0" w:color="auto"/>
              <w:left w:val="single" w:sz="4" w:space="0" w:color="auto"/>
              <w:bottom w:val="single" w:sz="4" w:space="0" w:color="auto"/>
              <w:right w:val="single" w:sz="4" w:space="0" w:color="auto"/>
            </w:tcBorders>
          </w:tcPr>
          <w:p w14:paraId="547B087B" w14:textId="77777777" w:rsidR="00A453C3" w:rsidRDefault="00A453C3" w:rsidP="0067693D">
            <w:pPr>
              <w:pStyle w:val="Standard1"/>
              <w:ind w:left="97"/>
            </w:pPr>
          </w:p>
        </w:tc>
      </w:tr>
      <w:tr w:rsidR="00A453C3" w:rsidRPr="0018021A" w14:paraId="63815F30" w14:textId="77777777" w:rsidTr="00707120">
        <w:tblPrEx>
          <w:tblCellMar>
            <w:left w:w="0" w:type="dxa"/>
            <w:right w:w="0" w:type="dxa"/>
          </w:tblCellMar>
          <w:tblLook w:val="04A0" w:firstRow="1" w:lastRow="0" w:firstColumn="1" w:lastColumn="0" w:noHBand="0" w:noVBand="1"/>
        </w:tblPrEx>
        <w:trPr>
          <w:gridAfter w:val="1"/>
          <w:wAfter w:w="14" w:type="dxa"/>
        </w:trPr>
        <w:tc>
          <w:tcPr>
            <w:tcW w:w="173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DAEFF55" w14:textId="77777777" w:rsidR="00A453C3" w:rsidRPr="0018021A" w:rsidRDefault="00A453C3" w:rsidP="0067693D">
            <w:pPr>
              <w:pStyle w:val="Standard1"/>
              <w:rPr>
                <w:color w:val="1A1A1A"/>
                <w:szCs w:val="22"/>
              </w:rPr>
            </w:pPr>
            <w:r>
              <w:rPr>
                <w:color w:val="1A1A1A"/>
                <w:szCs w:val="22"/>
              </w:rPr>
              <w:t>Nieru un urīnizvades sistēmas traucējumi</w:t>
            </w:r>
          </w:p>
        </w:tc>
        <w:tc>
          <w:tcPr>
            <w:tcW w:w="1418" w:type="dxa"/>
            <w:tcBorders>
              <w:top w:val="nil"/>
              <w:left w:val="nil"/>
              <w:bottom w:val="single" w:sz="8" w:space="0" w:color="000000"/>
              <w:right w:val="single" w:sz="8" w:space="0" w:color="000000"/>
            </w:tcBorders>
            <w:tcMar>
              <w:top w:w="0" w:type="dxa"/>
              <w:left w:w="108" w:type="dxa"/>
              <w:bottom w:w="0" w:type="dxa"/>
              <w:right w:w="108" w:type="dxa"/>
            </w:tcMar>
          </w:tcPr>
          <w:p w14:paraId="7D86349F" w14:textId="77777777" w:rsidR="00A453C3" w:rsidRPr="0018021A" w:rsidRDefault="00A453C3" w:rsidP="0067693D">
            <w:pPr>
              <w:pStyle w:val="Standard1"/>
              <w:rPr>
                <w:color w:val="1A1A1A"/>
                <w:szCs w:val="22"/>
              </w:rPr>
            </w:pPr>
            <w:r>
              <w:rPr>
                <w:color w:val="1A1A1A"/>
                <w:szCs w:val="22"/>
              </w:rPr>
              <w:t> </w:t>
            </w:r>
          </w:p>
        </w:tc>
        <w:tc>
          <w:tcPr>
            <w:tcW w:w="1559" w:type="dxa"/>
            <w:tcBorders>
              <w:top w:val="nil"/>
              <w:left w:val="nil"/>
              <w:bottom w:val="single" w:sz="8" w:space="0" w:color="000000"/>
              <w:right w:val="single" w:sz="4" w:space="0" w:color="auto"/>
            </w:tcBorders>
            <w:tcMar>
              <w:top w:w="0" w:type="dxa"/>
              <w:left w:w="108" w:type="dxa"/>
              <w:bottom w:w="0" w:type="dxa"/>
              <w:right w:w="108" w:type="dxa"/>
            </w:tcMar>
          </w:tcPr>
          <w:p w14:paraId="209DA250" w14:textId="77777777" w:rsidR="00A453C3" w:rsidRPr="0018021A" w:rsidRDefault="00A453C3" w:rsidP="0067693D">
            <w:pPr>
              <w:pStyle w:val="Standard1"/>
              <w:rPr>
                <w:color w:val="1A1A1A"/>
                <w:szCs w:val="22"/>
              </w:rPr>
            </w:pPr>
            <w:r>
              <w:rPr>
                <w:color w:val="1A1A1A"/>
                <w:szCs w:val="22"/>
              </w:rPr>
              <w:t> </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6895ED" w14:textId="77777777" w:rsidR="00A453C3" w:rsidRPr="0018021A" w:rsidRDefault="00A453C3" w:rsidP="0067693D">
            <w:pPr>
              <w:pStyle w:val="Standard1"/>
              <w:rPr>
                <w:color w:val="1A1A1A"/>
                <w:szCs w:val="22"/>
              </w:rPr>
            </w:pPr>
            <w:r>
              <w:rPr>
                <w:color w:val="1A1A1A"/>
                <w:szCs w:val="22"/>
              </w:rPr>
              <w:t>Nierakmeņi</w:t>
            </w:r>
          </w:p>
        </w:tc>
        <w:tc>
          <w:tcPr>
            <w:tcW w:w="1559" w:type="dxa"/>
            <w:tcBorders>
              <w:top w:val="single" w:sz="4" w:space="0" w:color="auto"/>
              <w:left w:val="single" w:sz="4" w:space="0" w:color="auto"/>
              <w:bottom w:val="single" w:sz="4" w:space="0" w:color="auto"/>
              <w:right w:val="single" w:sz="4" w:space="0" w:color="auto"/>
            </w:tcBorders>
          </w:tcPr>
          <w:p w14:paraId="794C8E25" w14:textId="77777777" w:rsidR="00A453C3" w:rsidRPr="0018021A" w:rsidRDefault="00A453C3" w:rsidP="0067693D">
            <w:pPr>
              <w:pStyle w:val="Standard1"/>
              <w:ind w:left="97"/>
              <w:rPr>
                <w:szCs w:val="22"/>
                <w:lang w:val="en-GB" w:eastAsia="en-GB"/>
              </w:rPr>
            </w:pPr>
          </w:p>
        </w:tc>
        <w:tc>
          <w:tcPr>
            <w:tcW w:w="1134" w:type="dxa"/>
            <w:tcBorders>
              <w:top w:val="single" w:sz="4" w:space="0" w:color="auto"/>
              <w:left w:val="single" w:sz="4" w:space="0" w:color="auto"/>
              <w:bottom w:val="single" w:sz="4" w:space="0" w:color="auto"/>
              <w:right w:val="single" w:sz="4" w:space="0" w:color="auto"/>
            </w:tcBorders>
          </w:tcPr>
          <w:p w14:paraId="08F6149C" w14:textId="77777777" w:rsidR="00A453C3" w:rsidRPr="0018021A" w:rsidRDefault="00A453C3" w:rsidP="0067693D">
            <w:pPr>
              <w:pStyle w:val="Standard1"/>
              <w:ind w:left="97"/>
              <w:rPr>
                <w:szCs w:val="22"/>
                <w:lang w:val="en-GB" w:eastAsia="en-GB"/>
              </w:rPr>
            </w:pPr>
          </w:p>
        </w:tc>
      </w:tr>
      <w:tr w:rsidR="00A453C3" w:rsidRPr="00707120" w14:paraId="1EB812A1" w14:textId="77777777" w:rsidTr="00707120">
        <w:trPr>
          <w:gridAfter w:val="1"/>
          <w:wAfter w:w="14" w:type="dxa"/>
        </w:trPr>
        <w:tc>
          <w:tcPr>
            <w:tcW w:w="1730" w:type="dxa"/>
            <w:tcBorders>
              <w:top w:val="single" w:sz="4" w:space="0" w:color="000000"/>
              <w:left w:val="single" w:sz="4" w:space="0" w:color="000000"/>
              <w:bottom w:val="single" w:sz="4" w:space="0" w:color="000000"/>
            </w:tcBorders>
          </w:tcPr>
          <w:p w14:paraId="752DAF51" w14:textId="77777777" w:rsidR="00A453C3" w:rsidRDefault="00A453C3" w:rsidP="0067693D">
            <w:pPr>
              <w:keepNext/>
              <w:rPr>
                <w:rFonts w:eastAsia="PMingLiU"/>
                <w:sz w:val="24"/>
                <w:szCs w:val="22"/>
                <w:lang w:val="lv-LV"/>
              </w:rPr>
            </w:pPr>
            <w:r>
              <w:rPr>
                <w:szCs w:val="22"/>
                <w:lang w:val="lv-LV"/>
              </w:rPr>
              <w:t>Vispārēji traucējumi un reakcijas ievadīšanas vietā</w:t>
            </w:r>
          </w:p>
        </w:tc>
        <w:tc>
          <w:tcPr>
            <w:tcW w:w="1418" w:type="dxa"/>
            <w:tcBorders>
              <w:top w:val="single" w:sz="4" w:space="0" w:color="000000"/>
              <w:left w:val="single" w:sz="4" w:space="0" w:color="000000"/>
              <w:bottom w:val="single" w:sz="4" w:space="0" w:color="000000"/>
            </w:tcBorders>
          </w:tcPr>
          <w:p w14:paraId="74ABB26E" w14:textId="77777777" w:rsidR="00A453C3" w:rsidRDefault="00A453C3" w:rsidP="0067693D">
            <w:pPr>
              <w:keepNext/>
              <w:autoSpaceDE w:val="0"/>
              <w:snapToGrid w:val="0"/>
              <w:rPr>
                <w:rFonts w:eastAsia="PMingLiU"/>
                <w:szCs w:val="22"/>
                <w:lang w:val="lv-LV"/>
              </w:rPr>
            </w:pPr>
            <w:r>
              <w:rPr>
                <w:rFonts w:eastAsia="PMingLiU"/>
                <w:szCs w:val="22"/>
                <w:lang w:val="lv-LV"/>
              </w:rPr>
              <w:t>Reakcija injekcijas vietā</w:t>
            </w:r>
          </w:p>
        </w:tc>
        <w:tc>
          <w:tcPr>
            <w:tcW w:w="1559" w:type="dxa"/>
            <w:tcBorders>
              <w:top w:val="single" w:sz="4" w:space="0" w:color="000000"/>
              <w:left w:val="single" w:sz="4" w:space="0" w:color="000000"/>
              <w:bottom w:val="single" w:sz="4" w:space="0" w:color="000000"/>
            </w:tcBorders>
          </w:tcPr>
          <w:p w14:paraId="79E91779" w14:textId="7DAFAEDC" w:rsidR="00A453C3" w:rsidRDefault="00A453C3" w:rsidP="0067693D">
            <w:pPr>
              <w:keepNext/>
              <w:rPr>
                <w:szCs w:val="22"/>
                <w:lang w:val="lv-LV"/>
              </w:rPr>
            </w:pPr>
            <w:r>
              <w:rPr>
                <w:szCs w:val="22"/>
                <w:lang w:val="lv-LV"/>
              </w:rPr>
              <w:t>Perifēra tūska, paaugstinātas jutības reakcija</w:t>
            </w:r>
          </w:p>
        </w:tc>
        <w:tc>
          <w:tcPr>
            <w:tcW w:w="1701" w:type="dxa"/>
            <w:tcBorders>
              <w:top w:val="single" w:sz="4" w:space="0" w:color="000000"/>
              <w:left w:val="single" w:sz="4" w:space="0" w:color="000000"/>
              <w:bottom w:val="single" w:sz="4" w:space="0" w:color="000000"/>
              <w:right w:val="single" w:sz="4" w:space="0" w:color="000000"/>
            </w:tcBorders>
          </w:tcPr>
          <w:p w14:paraId="7E368459" w14:textId="77777777" w:rsidR="00A453C3" w:rsidRDefault="00A453C3" w:rsidP="0067693D">
            <w:pPr>
              <w:keepNext/>
              <w:snapToGrid w:val="0"/>
              <w:rPr>
                <w:szCs w:val="22"/>
                <w:lang w:val="lv-LV"/>
              </w:rPr>
            </w:pPr>
          </w:p>
        </w:tc>
        <w:tc>
          <w:tcPr>
            <w:tcW w:w="1559" w:type="dxa"/>
            <w:tcBorders>
              <w:top w:val="single" w:sz="4" w:space="0" w:color="000000"/>
              <w:left w:val="single" w:sz="4" w:space="0" w:color="000000"/>
              <w:bottom w:val="single" w:sz="4" w:space="0" w:color="000000"/>
              <w:right w:val="single" w:sz="4" w:space="0" w:color="000000"/>
            </w:tcBorders>
          </w:tcPr>
          <w:p w14:paraId="0C80533B" w14:textId="77777777" w:rsidR="00A453C3" w:rsidRDefault="00A453C3" w:rsidP="0067693D">
            <w:pPr>
              <w:keepNext/>
              <w:snapToGrid w:val="0"/>
              <w:rPr>
                <w:szCs w:val="22"/>
                <w:lang w:val="lv-LV"/>
              </w:rPr>
            </w:pPr>
          </w:p>
        </w:tc>
        <w:tc>
          <w:tcPr>
            <w:tcW w:w="1134" w:type="dxa"/>
            <w:tcBorders>
              <w:top w:val="single" w:sz="4" w:space="0" w:color="000000"/>
              <w:left w:val="single" w:sz="4" w:space="0" w:color="000000"/>
              <w:bottom w:val="single" w:sz="4" w:space="0" w:color="000000"/>
              <w:right w:val="single" w:sz="4" w:space="0" w:color="000000"/>
            </w:tcBorders>
          </w:tcPr>
          <w:p w14:paraId="3205AC84" w14:textId="77777777" w:rsidR="00A453C3" w:rsidRDefault="00A453C3" w:rsidP="0067693D">
            <w:pPr>
              <w:keepNext/>
              <w:snapToGrid w:val="0"/>
              <w:rPr>
                <w:szCs w:val="22"/>
                <w:lang w:val="lv-LV"/>
              </w:rPr>
            </w:pPr>
          </w:p>
        </w:tc>
      </w:tr>
      <w:tr w:rsidR="00A453C3" w:rsidRPr="00903A29" w14:paraId="4529724C" w14:textId="77777777" w:rsidTr="00707120">
        <w:trPr>
          <w:gridAfter w:val="1"/>
          <w:wAfter w:w="14" w:type="dxa"/>
        </w:trPr>
        <w:tc>
          <w:tcPr>
            <w:tcW w:w="1730" w:type="dxa"/>
            <w:tcBorders>
              <w:top w:val="single" w:sz="4" w:space="0" w:color="000000"/>
              <w:left w:val="single" w:sz="4" w:space="0" w:color="000000"/>
              <w:bottom w:val="single" w:sz="4" w:space="0" w:color="000000"/>
            </w:tcBorders>
          </w:tcPr>
          <w:p w14:paraId="16AF79B1" w14:textId="77777777" w:rsidR="00A453C3" w:rsidRDefault="00A453C3" w:rsidP="0067693D">
            <w:pPr>
              <w:keepNext/>
              <w:rPr>
                <w:rFonts w:eastAsia="PMingLiU"/>
                <w:sz w:val="24"/>
                <w:szCs w:val="22"/>
                <w:lang w:val="lv-LV"/>
              </w:rPr>
            </w:pPr>
            <w:r>
              <w:rPr>
                <w:szCs w:val="22"/>
                <w:lang w:val="lv-LV"/>
              </w:rPr>
              <w:t xml:space="preserve">Izmeklējumi </w:t>
            </w:r>
          </w:p>
        </w:tc>
        <w:tc>
          <w:tcPr>
            <w:tcW w:w="1418" w:type="dxa"/>
            <w:tcBorders>
              <w:top w:val="single" w:sz="4" w:space="0" w:color="000000"/>
              <w:left w:val="single" w:sz="4" w:space="0" w:color="000000"/>
              <w:bottom w:val="single" w:sz="4" w:space="0" w:color="000000"/>
            </w:tcBorders>
          </w:tcPr>
          <w:p w14:paraId="64DC2E8D" w14:textId="77777777" w:rsidR="00A453C3" w:rsidRDefault="00A453C3" w:rsidP="0067693D">
            <w:pPr>
              <w:keepNext/>
              <w:autoSpaceDE w:val="0"/>
              <w:snapToGrid w:val="0"/>
              <w:rPr>
                <w:rFonts w:eastAsia="PMingLiU"/>
                <w:szCs w:val="22"/>
                <w:lang w:val="lv-LV"/>
              </w:rPr>
            </w:pPr>
          </w:p>
        </w:tc>
        <w:tc>
          <w:tcPr>
            <w:tcW w:w="1559" w:type="dxa"/>
            <w:tcBorders>
              <w:top w:val="single" w:sz="4" w:space="0" w:color="000000"/>
              <w:left w:val="single" w:sz="4" w:space="0" w:color="000000"/>
              <w:bottom w:val="single" w:sz="4" w:space="0" w:color="000000"/>
            </w:tcBorders>
          </w:tcPr>
          <w:p w14:paraId="6DF2BA5A" w14:textId="77777777" w:rsidR="00A453C3" w:rsidRDefault="00A453C3" w:rsidP="0067693D">
            <w:pPr>
              <w:keepNext/>
              <w:rPr>
                <w:szCs w:val="22"/>
                <w:lang w:val="lv-LV"/>
              </w:rPr>
            </w:pPr>
            <w:r>
              <w:rPr>
                <w:szCs w:val="22"/>
                <w:lang w:val="lv-LV"/>
              </w:rPr>
              <w:t>Paaugstināts aknu transamināžu līmenis, ķermeņa masas palielināšanās, paaugstināts kopējā bilirubīna līmenis*</w:t>
            </w:r>
          </w:p>
        </w:tc>
        <w:tc>
          <w:tcPr>
            <w:tcW w:w="1701" w:type="dxa"/>
            <w:tcBorders>
              <w:top w:val="single" w:sz="4" w:space="0" w:color="000000"/>
              <w:left w:val="single" w:sz="4" w:space="0" w:color="000000"/>
              <w:bottom w:val="single" w:sz="4" w:space="0" w:color="000000"/>
              <w:right w:val="single" w:sz="4" w:space="0" w:color="000000"/>
            </w:tcBorders>
          </w:tcPr>
          <w:p w14:paraId="13E3F473" w14:textId="77777777" w:rsidR="00A453C3" w:rsidRDefault="00A453C3" w:rsidP="0067693D">
            <w:pPr>
              <w:keepNext/>
              <w:snapToGrid w:val="0"/>
              <w:rPr>
                <w:szCs w:val="22"/>
                <w:lang w:val="lv-LV"/>
              </w:rPr>
            </w:pPr>
          </w:p>
        </w:tc>
        <w:tc>
          <w:tcPr>
            <w:tcW w:w="1559" w:type="dxa"/>
            <w:tcBorders>
              <w:top w:val="single" w:sz="4" w:space="0" w:color="000000"/>
              <w:left w:val="single" w:sz="4" w:space="0" w:color="000000"/>
              <w:bottom w:val="single" w:sz="4" w:space="0" w:color="000000"/>
              <w:right w:val="single" w:sz="4" w:space="0" w:color="000000"/>
            </w:tcBorders>
          </w:tcPr>
          <w:p w14:paraId="2B25AD08" w14:textId="77777777" w:rsidR="00A453C3" w:rsidRDefault="00A453C3" w:rsidP="0067693D">
            <w:pPr>
              <w:keepNext/>
              <w:snapToGrid w:val="0"/>
              <w:rPr>
                <w:szCs w:val="22"/>
                <w:lang w:val="lv-LV"/>
              </w:rPr>
            </w:pPr>
          </w:p>
        </w:tc>
        <w:tc>
          <w:tcPr>
            <w:tcW w:w="1134" w:type="dxa"/>
            <w:tcBorders>
              <w:top w:val="single" w:sz="4" w:space="0" w:color="000000"/>
              <w:left w:val="single" w:sz="4" w:space="0" w:color="000000"/>
              <w:bottom w:val="single" w:sz="4" w:space="0" w:color="000000"/>
              <w:right w:val="single" w:sz="4" w:space="0" w:color="000000"/>
            </w:tcBorders>
          </w:tcPr>
          <w:p w14:paraId="5F6BC9CC" w14:textId="77777777" w:rsidR="00A453C3" w:rsidRDefault="00A453C3" w:rsidP="0067693D">
            <w:pPr>
              <w:keepNext/>
              <w:snapToGrid w:val="0"/>
              <w:rPr>
                <w:szCs w:val="22"/>
                <w:lang w:val="lv-LV"/>
              </w:rPr>
            </w:pPr>
          </w:p>
        </w:tc>
      </w:tr>
    </w:tbl>
    <w:p w14:paraId="6212A99F" w14:textId="77777777" w:rsidR="00A453C3" w:rsidRDefault="00A453C3" w:rsidP="00A453C3">
      <w:pPr>
        <w:ind w:left="182" w:hanging="182"/>
        <w:rPr>
          <w:rFonts w:eastAsia="PMingLiU"/>
          <w:b/>
          <w:bCs/>
          <w:szCs w:val="22"/>
          <w:lang w:val="lv-LV"/>
        </w:rPr>
      </w:pPr>
      <w:r>
        <w:rPr>
          <w:sz w:val="18"/>
          <w:szCs w:val="18"/>
          <w:lang w:val="lv-LV"/>
        </w:rPr>
        <w:t>* Tajā skaitā arī paaugstināšanās, kas konstatēta parasto laboratorisko kontroles pasākumu laikā (skatīt turpmāko tekstu).</w:t>
      </w:r>
    </w:p>
    <w:p w14:paraId="010214B4" w14:textId="480EF2DA" w:rsidR="00A453C3" w:rsidRDefault="00A453C3" w:rsidP="00A453C3">
      <w:pPr>
        <w:ind w:left="182" w:hanging="182"/>
        <w:rPr>
          <w:sz w:val="18"/>
          <w:szCs w:val="18"/>
          <w:lang w:val="lv-LV"/>
        </w:rPr>
      </w:pPr>
      <w:r w:rsidRPr="00925E27">
        <w:rPr>
          <w:sz w:val="18"/>
          <w:szCs w:val="18"/>
          <w:vertAlign w:val="superscript"/>
          <w:lang w:val="lv-LV"/>
        </w:rPr>
        <w:t>1</w:t>
      </w:r>
      <w:r>
        <w:rPr>
          <w:sz w:val="18"/>
          <w:szCs w:val="18"/>
          <w:lang w:val="lv-LV"/>
        </w:rPr>
        <w:t xml:space="preserve"> Skatīt 4.3. apakšpunktu.</w:t>
      </w:r>
    </w:p>
    <w:p w14:paraId="47E0EBFF" w14:textId="008780CC" w:rsidR="00A453C3" w:rsidRDefault="00A453C3" w:rsidP="00A453C3">
      <w:pPr>
        <w:ind w:left="182" w:hanging="182"/>
        <w:rPr>
          <w:sz w:val="18"/>
          <w:szCs w:val="18"/>
          <w:lang w:val="lv-LV"/>
        </w:rPr>
      </w:pPr>
      <w:r w:rsidRPr="00925E27">
        <w:rPr>
          <w:sz w:val="18"/>
          <w:szCs w:val="18"/>
          <w:vertAlign w:val="superscript"/>
          <w:lang w:val="lv-LV"/>
        </w:rPr>
        <w:t>2</w:t>
      </w:r>
      <w:r>
        <w:rPr>
          <w:sz w:val="18"/>
          <w:szCs w:val="18"/>
          <w:lang w:val="lv-LV"/>
        </w:rPr>
        <w:t xml:space="preserve"> Skatīt 4.4. apakšpunktu.</w:t>
      </w:r>
    </w:p>
    <w:p w14:paraId="1ACA6EBB" w14:textId="6964BF4A" w:rsidR="00A453C3" w:rsidRDefault="00A453C3" w:rsidP="00A453C3">
      <w:pPr>
        <w:ind w:left="142" w:hanging="142"/>
        <w:rPr>
          <w:sz w:val="18"/>
          <w:szCs w:val="18"/>
          <w:lang w:val="lv-LV"/>
        </w:rPr>
      </w:pPr>
      <w:r w:rsidRPr="007D6CFA">
        <w:rPr>
          <w:sz w:val="18"/>
          <w:szCs w:val="18"/>
          <w:vertAlign w:val="superscript"/>
          <w:lang w:val="lv-LV"/>
        </w:rPr>
        <w:t>3</w:t>
      </w:r>
      <w:r>
        <w:rPr>
          <w:sz w:val="18"/>
          <w:szCs w:val="18"/>
          <w:lang w:val="lv-LV"/>
        </w:rPr>
        <w:t xml:space="preserve"> Nevēlamā blakusparādība identificēta pēcreģistrācijas uzraudzībā, bet nav novērota kontrolētos klīniskajos pētījumos. Sastopamības biežums noteikts, aprēķinot 95% ticamības intervāla augšējo robežu, pamatojoties uz kopējo pacienta skaitu, kuri klīniskajos pētījumos lietoja tocilizumabu.</w:t>
      </w:r>
    </w:p>
    <w:p w14:paraId="6306B9BF" w14:textId="77777777" w:rsidR="00A453C3" w:rsidRDefault="00A453C3" w:rsidP="00A453C3">
      <w:pPr>
        <w:autoSpaceDE w:val="0"/>
        <w:rPr>
          <w:bCs/>
          <w:szCs w:val="22"/>
          <w:u w:val="single"/>
          <w:lang w:val="lv-LV"/>
        </w:rPr>
      </w:pPr>
    </w:p>
    <w:p w14:paraId="1410CEF9" w14:textId="590B6807" w:rsidR="00A453C3" w:rsidRDefault="00A453C3" w:rsidP="00A453C3">
      <w:pPr>
        <w:keepNext/>
        <w:keepLines/>
        <w:autoSpaceDE w:val="0"/>
        <w:rPr>
          <w:bCs/>
          <w:szCs w:val="22"/>
          <w:lang w:val="lv-LV"/>
        </w:rPr>
      </w:pPr>
      <w:r>
        <w:rPr>
          <w:bCs/>
          <w:szCs w:val="22"/>
          <w:u w:val="single"/>
          <w:lang w:val="lv-LV"/>
        </w:rPr>
        <w:t>Atsevišķu nevēlamo blakusparādību apraksts (subkutāna lietošana)</w:t>
      </w:r>
    </w:p>
    <w:p w14:paraId="63E0E03A" w14:textId="77777777" w:rsidR="00A453C3" w:rsidRPr="00707120" w:rsidRDefault="00A453C3" w:rsidP="00A453C3">
      <w:pPr>
        <w:keepNext/>
        <w:keepLines/>
        <w:autoSpaceDE w:val="0"/>
        <w:autoSpaceDN w:val="0"/>
        <w:adjustRightInd w:val="0"/>
        <w:rPr>
          <w:bCs/>
          <w:i/>
          <w:iCs/>
          <w:szCs w:val="22"/>
          <w:lang w:val="lv-LV"/>
        </w:rPr>
      </w:pPr>
      <w:r>
        <w:rPr>
          <w:rFonts w:eastAsia="SimSun"/>
          <w:bCs/>
          <w:i/>
          <w:iCs/>
          <w:szCs w:val="22"/>
          <w:lang w:val="lv-LV" w:eastAsia="zh-CN"/>
        </w:rPr>
        <w:t xml:space="preserve">Pacienti ar </w:t>
      </w:r>
      <w:r w:rsidRPr="00707120">
        <w:rPr>
          <w:rFonts w:eastAsia="SimSun"/>
          <w:bCs/>
          <w:i/>
          <w:iCs/>
          <w:szCs w:val="22"/>
          <w:lang w:val="lv-LV" w:eastAsia="zh-CN"/>
        </w:rPr>
        <w:t>RA</w:t>
      </w:r>
    </w:p>
    <w:p w14:paraId="4506ECA2" w14:textId="0774F4F4" w:rsidR="00A453C3" w:rsidRDefault="00A453C3" w:rsidP="004E2814">
      <w:pPr>
        <w:autoSpaceDE w:val="0"/>
        <w:rPr>
          <w:lang w:val="lv-LV"/>
        </w:rPr>
      </w:pPr>
      <w:r>
        <w:rPr>
          <w:lang w:val="lv-LV"/>
        </w:rPr>
        <w:t>Subkutāni lietota tocilizumaba drošums pacientiem ar RA pētīts dubultmaskētā, kontrolētā, daudzcentru pētījumā SC</w:t>
      </w:r>
      <w:r>
        <w:rPr>
          <w:lang w:val="lv-LV"/>
        </w:rPr>
        <w:noBreakHyphen/>
        <w:t>I. SC</w:t>
      </w:r>
      <w:r>
        <w:rPr>
          <w:lang w:val="lv-LV"/>
        </w:rPr>
        <w:noBreakHyphen/>
        <w:t xml:space="preserve">I bija līdzvērtīguma pētījums, kurā salīdzināja 162 mg devas drošumu un efektivitāti, lietojot vienu reizi nedēļā, ar intravenozas 8 mg/kg devas drošumu un efektivitāti </w:t>
      </w:r>
      <w:r w:rsidRPr="00390A69">
        <w:rPr>
          <w:lang w:val="lv-LV"/>
        </w:rPr>
        <w:t>1</w:t>
      </w:r>
      <w:ins w:id="979" w:author="Author">
        <w:r w:rsidR="00A961E2">
          <w:rPr>
            <w:lang w:val="lv-LV"/>
          </w:rPr>
          <w:t> </w:t>
        </w:r>
      </w:ins>
      <w:r w:rsidRPr="00390A69">
        <w:rPr>
          <w:lang w:val="lv-LV"/>
        </w:rPr>
        <w:t>262</w:t>
      </w:r>
      <w:r>
        <w:rPr>
          <w:lang w:val="lv-LV"/>
        </w:rPr>
        <w:t> </w:t>
      </w:r>
      <w:r w:rsidRPr="00390A69">
        <w:rPr>
          <w:lang w:val="lv-LV"/>
        </w:rPr>
        <w:t>pacientiem ar RA</w:t>
      </w:r>
      <w:r>
        <w:rPr>
          <w:lang w:val="lv-LV"/>
        </w:rPr>
        <w:t>.</w:t>
      </w:r>
      <w:r w:rsidRPr="00390A69">
        <w:rPr>
          <w:lang w:val="lv-LV"/>
        </w:rPr>
        <w:t xml:space="preserve"> </w:t>
      </w:r>
      <w:r>
        <w:rPr>
          <w:lang w:val="lv-LV"/>
        </w:rPr>
        <w:t>Visi pacienti saņēma pamata terapiju ar nebioloģiskiem DMARD. Subkutāni lietotam tocilizumabam novērotais drošums un imūngenitāte bija atbilstoša zināmajam intravenozi lietotā tocilizumaba drošuma profilam, un nenovēroja jaunas vai negaidītas nevēlamas zāļu blakusparādības (skatīt 1. tabulu). Subkutānas zāļu ievadīšanas grupās reakcijas injekcijas vietā novēroja biežāk nekā placebo subkutānās injekcijas gadījumā intravenozās zāļu ievadīšanas grupās.</w:t>
      </w:r>
    </w:p>
    <w:p w14:paraId="35B0DB58" w14:textId="77777777" w:rsidR="00A453C3" w:rsidRDefault="00A453C3" w:rsidP="00A453C3">
      <w:pPr>
        <w:autoSpaceDE w:val="0"/>
        <w:rPr>
          <w:bCs/>
          <w:szCs w:val="22"/>
          <w:lang w:val="lv-LV"/>
        </w:rPr>
      </w:pPr>
    </w:p>
    <w:p w14:paraId="5CDB864D" w14:textId="77777777" w:rsidR="00A453C3" w:rsidRPr="00707120" w:rsidRDefault="00A453C3" w:rsidP="00A453C3">
      <w:pPr>
        <w:keepNext/>
        <w:keepLines/>
        <w:autoSpaceDE w:val="0"/>
        <w:rPr>
          <w:bCs/>
          <w:szCs w:val="22"/>
          <w:u w:val="single"/>
          <w:lang w:val="lv-LV"/>
        </w:rPr>
      </w:pPr>
      <w:r w:rsidRPr="00707120">
        <w:rPr>
          <w:bCs/>
          <w:i/>
          <w:szCs w:val="22"/>
          <w:u w:val="single"/>
          <w:lang w:val="lv-LV"/>
        </w:rPr>
        <w:t>Reakcijas injekcijas vietā</w:t>
      </w:r>
    </w:p>
    <w:p w14:paraId="6CBC0ED0" w14:textId="6D88A01B" w:rsidR="00A453C3" w:rsidRDefault="00A453C3" w:rsidP="00A453C3">
      <w:pPr>
        <w:keepNext/>
        <w:keepLines/>
        <w:autoSpaceDE w:val="0"/>
        <w:rPr>
          <w:bCs/>
          <w:szCs w:val="22"/>
          <w:lang w:val="lv-LV"/>
        </w:rPr>
      </w:pPr>
      <w:r>
        <w:rPr>
          <w:bCs/>
          <w:szCs w:val="22"/>
          <w:lang w:val="lv-LV"/>
        </w:rPr>
        <w:t>SC</w:t>
      </w:r>
      <w:r>
        <w:rPr>
          <w:bCs/>
          <w:szCs w:val="22"/>
          <w:lang w:val="lv-LV"/>
        </w:rPr>
        <w:noBreakHyphen/>
        <w:t xml:space="preserve">I pētījuma 6 mēnešus ilgā kontrolētā periodā reakciju biežums injekcijas vietā bija 10,1% (64/631) un 2,4% (15/631) attiecīgi vienu reizi nedēļā lietota subkutāna </w:t>
      </w:r>
      <w:r>
        <w:rPr>
          <w:szCs w:val="22"/>
          <w:lang w:val="lv-LV"/>
        </w:rPr>
        <w:t xml:space="preserve">tocilizumaba </w:t>
      </w:r>
      <w:r>
        <w:rPr>
          <w:bCs/>
          <w:szCs w:val="22"/>
          <w:lang w:val="lv-LV"/>
        </w:rPr>
        <w:t xml:space="preserve">un subkutāna placebo (intravenozas lietošanas) grupā. Šīs reakcijas injekcijas vietā (tajā skaitā eritēma, nieze, sāpes un hematoma) bija vieglas vai vidēji smagas. Vairums reakciju izzuda arī bez jebkādas terapijas, un nevienas reakcijas gadījumā nebija nepieciešama terapijas pārtraukšana. </w:t>
      </w:r>
    </w:p>
    <w:p w14:paraId="05912F69" w14:textId="77777777" w:rsidR="00A453C3" w:rsidRPr="00DD7A4F" w:rsidRDefault="00A453C3" w:rsidP="00A453C3">
      <w:pPr>
        <w:autoSpaceDE w:val="0"/>
        <w:rPr>
          <w:bCs/>
          <w:szCs w:val="22"/>
          <w:lang w:val="lv-LV"/>
        </w:rPr>
      </w:pPr>
    </w:p>
    <w:p w14:paraId="2DD48DB6" w14:textId="77777777" w:rsidR="00A453C3" w:rsidRPr="00707120" w:rsidRDefault="00A453C3" w:rsidP="00707120">
      <w:pPr>
        <w:keepNext/>
        <w:autoSpaceDE w:val="0"/>
        <w:rPr>
          <w:bCs/>
          <w:szCs w:val="22"/>
          <w:u w:val="single"/>
          <w:lang w:val="lv-LV"/>
        </w:rPr>
      </w:pPr>
      <w:r w:rsidRPr="00707120">
        <w:rPr>
          <w:bCs/>
          <w:i/>
          <w:szCs w:val="22"/>
          <w:u w:val="single"/>
          <w:lang w:val="lv-LV"/>
        </w:rPr>
        <w:t>Imūngenitāte</w:t>
      </w:r>
    </w:p>
    <w:p w14:paraId="4E4D4C4B" w14:textId="06FCCCC1" w:rsidR="00A453C3" w:rsidRDefault="00A453C3" w:rsidP="00A453C3">
      <w:pPr>
        <w:autoSpaceDE w:val="0"/>
        <w:rPr>
          <w:bCs/>
          <w:szCs w:val="22"/>
          <w:lang w:val="lv-LV"/>
        </w:rPr>
      </w:pPr>
      <w:r>
        <w:rPr>
          <w:bCs/>
          <w:szCs w:val="22"/>
          <w:lang w:val="lv-LV"/>
        </w:rPr>
        <w:t>SC</w:t>
      </w:r>
      <w:r>
        <w:rPr>
          <w:bCs/>
          <w:szCs w:val="22"/>
          <w:lang w:val="lv-LV"/>
        </w:rPr>
        <w:noBreakHyphen/>
        <w:t>I pētījuma 6 mēnešus ilgajā kontrolētajā periodā anti</w:t>
      </w:r>
      <w:r>
        <w:rPr>
          <w:bCs/>
          <w:szCs w:val="22"/>
          <w:lang w:val="lv-LV"/>
        </w:rPr>
        <w:noBreakHyphen/>
        <w:t>tocilizumaba antivielas noteica kopumā 625 pacientiem, kuri bija ārstēti ar tocilizumaba 162 mg devu nedēļā. Pozitīva atrade anti</w:t>
      </w:r>
      <w:r>
        <w:rPr>
          <w:bCs/>
          <w:szCs w:val="22"/>
          <w:lang w:val="lv-LV"/>
        </w:rPr>
        <w:noBreakHyphen/>
        <w:t>tocilizumaba antivielu noteikšanas testā bija pieciem pacientiem (0,8%); visiem šiem pacientiem radās neitralizējošas anti</w:t>
      </w:r>
      <w:r>
        <w:rPr>
          <w:bCs/>
          <w:szCs w:val="22"/>
          <w:lang w:val="lv-LV"/>
        </w:rPr>
        <w:noBreakHyphen/>
        <w:t>tocilizumaba antivielas. Vienam pacientam bija pozitīvs IgE izotipa testa rezultāts (0,2%).</w:t>
      </w:r>
    </w:p>
    <w:p w14:paraId="0674B689" w14:textId="77777777" w:rsidR="00A453C3" w:rsidRDefault="00A453C3" w:rsidP="00A453C3">
      <w:pPr>
        <w:suppressAutoHyphens w:val="0"/>
        <w:rPr>
          <w:lang w:val="lv-LV" w:eastAsia="ja-JP"/>
        </w:rPr>
      </w:pPr>
    </w:p>
    <w:p w14:paraId="468B5EB7" w14:textId="02DEEC7C" w:rsidR="00A453C3" w:rsidRDefault="00A453C3" w:rsidP="00A453C3">
      <w:pPr>
        <w:suppressAutoHyphens w:val="0"/>
        <w:rPr>
          <w:lang w:val="lv-LV" w:eastAsia="ja-JP"/>
        </w:rPr>
      </w:pPr>
      <w:r>
        <w:rPr>
          <w:lang w:val="lv-LV" w:eastAsia="ja-JP"/>
        </w:rPr>
        <w:t xml:space="preserve">SC-II pētījuma </w:t>
      </w:r>
      <w:r>
        <w:rPr>
          <w:bCs/>
          <w:szCs w:val="22"/>
          <w:lang w:val="lv-LV"/>
        </w:rPr>
        <w:t>6 mēnešus ilgajā kontrolētajā periodā anti</w:t>
      </w:r>
      <w:r>
        <w:rPr>
          <w:bCs/>
          <w:szCs w:val="22"/>
          <w:lang w:val="lv-LV"/>
        </w:rPr>
        <w:noBreakHyphen/>
        <w:t xml:space="preserve">tocilizumaba antivielas noteica kopumā 434 pacientiem, kuri ārstēti ar </w:t>
      </w:r>
      <w:r>
        <w:rPr>
          <w:szCs w:val="22"/>
          <w:lang w:val="lv-LV"/>
        </w:rPr>
        <w:t xml:space="preserve">tocilizumaba </w:t>
      </w:r>
      <w:r>
        <w:rPr>
          <w:bCs/>
          <w:szCs w:val="22"/>
          <w:lang w:val="lv-LV"/>
        </w:rPr>
        <w:t>162 mg devu katru otro nedēļu. Pozitīva atrade anti</w:t>
      </w:r>
      <w:r>
        <w:rPr>
          <w:bCs/>
          <w:szCs w:val="22"/>
          <w:lang w:val="lv-LV"/>
        </w:rPr>
        <w:noBreakHyphen/>
        <w:t>tocilizumaba antivielu noteikšanas testā bija septiņiem pacientiem (1,6%); sešiem no šiem pacientiem (1,4%) radās neitralizējošas anti</w:t>
      </w:r>
      <w:r>
        <w:rPr>
          <w:bCs/>
          <w:szCs w:val="22"/>
          <w:lang w:val="lv-LV"/>
        </w:rPr>
        <w:noBreakHyphen/>
        <w:t xml:space="preserve">tocilizumaba antivielas. </w:t>
      </w:r>
      <w:r>
        <w:rPr>
          <w:lang w:val="lv-LV" w:eastAsia="ja-JP"/>
        </w:rPr>
        <w:t>Četriem pacientiem bija pozitīvs IgE izotipa testa rezultāts (0,9%).</w:t>
      </w:r>
    </w:p>
    <w:p w14:paraId="6BBD6E1E" w14:textId="77777777" w:rsidR="00A453C3" w:rsidRPr="00DD7A4F" w:rsidRDefault="00A453C3" w:rsidP="00A453C3">
      <w:pPr>
        <w:autoSpaceDE w:val="0"/>
        <w:rPr>
          <w:bCs/>
          <w:szCs w:val="22"/>
          <w:lang w:val="lv-LV"/>
        </w:rPr>
      </w:pPr>
    </w:p>
    <w:p w14:paraId="5D36545B" w14:textId="77777777" w:rsidR="00A453C3" w:rsidRPr="00DD7A4F" w:rsidRDefault="00A453C3" w:rsidP="00A453C3">
      <w:pPr>
        <w:autoSpaceDE w:val="0"/>
        <w:rPr>
          <w:bCs/>
          <w:szCs w:val="22"/>
          <w:lang w:val="lv-LV"/>
        </w:rPr>
      </w:pPr>
      <w:r w:rsidRPr="00DD7A4F">
        <w:rPr>
          <w:bCs/>
          <w:szCs w:val="22"/>
          <w:lang w:val="lv-LV"/>
        </w:rPr>
        <w:t xml:space="preserve">Antivielu veidošanās saistība ar klīnisko atbildes reakciju vai nevēlamām blakusparādībām nav novērota. </w:t>
      </w:r>
    </w:p>
    <w:p w14:paraId="084F10C9" w14:textId="77777777" w:rsidR="00A453C3" w:rsidRPr="00DD7A4F" w:rsidRDefault="00A453C3" w:rsidP="00A453C3">
      <w:pPr>
        <w:autoSpaceDE w:val="0"/>
        <w:rPr>
          <w:bCs/>
          <w:szCs w:val="22"/>
          <w:lang w:val="lv-LV"/>
        </w:rPr>
      </w:pPr>
    </w:p>
    <w:p w14:paraId="2B6FC048" w14:textId="4A9AD828" w:rsidR="00A453C3" w:rsidRPr="00707120" w:rsidRDefault="00A453C3" w:rsidP="00A453C3">
      <w:pPr>
        <w:keepNext/>
        <w:autoSpaceDE w:val="0"/>
        <w:rPr>
          <w:bCs/>
          <w:szCs w:val="22"/>
          <w:u w:val="single"/>
          <w:lang w:val="lv-LV"/>
        </w:rPr>
      </w:pPr>
      <w:r w:rsidRPr="00707120">
        <w:rPr>
          <w:bCs/>
          <w:i/>
          <w:szCs w:val="22"/>
          <w:u w:val="single"/>
          <w:lang w:val="lv-LV"/>
        </w:rPr>
        <w:t>Neitrofilie leikocīti</w:t>
      </w:r>
    </w:p>
    <w:p w14:paraId="79305B13" w14:textId="00842C0C" w:rsidR="00A453C3" w:rsidRDefault="00A453C3" w:rsidP="00A453C3">
      <w:pPr>
        <w:keepNext/>
        <w:autoSpaceDE w:val="0"/>
        <w:rPr>
          <w:bCs/>
          <w:szCs w:val="22"/>
          <w:lang w:val="lv-LV"/>
        </w:rPr>
      </w:pPr>
      <w:r>
        <w:rPr>
          <w:szCs w:val="22"/>
          <w:lang w:val="lv-LV"/>
        </w:rPr>
        <w:t xml:space="preserve">Tocilizumaba </w:t>
      </w:r>
      <w:r>
        <w:rPr>
          <w:bCs/>
          <w:szCs w:val="22"/>
          <w:lang w:val="lv-LV"/>
        </w:rPr>
        <w:t>6 mēnešus ilgajā SC</w:t>
      </w:r>
      <w:r>
        <w:rPr>
          <w:bCs/>
          <w:szCs w:val="22"/>
          <w:lang w:val="lv-LV"/>
        </w:rPr>
        <w:noBreakHyphen/>
        <w:t>I kontrolētā klīniskajā pētījuma parastās laboratoriskās kontroles laikā neitrofilo leikocītu skaita samazināšanās līdz &lt; 1 × 10</w:t>
      </w:r>
      <w:r>
        <w:rPr>
          <w:bCs/>
          <w:szCs w:val="22"/>
          <w:vertAlign w:val="superscript"/>
          <w:lang w:val="lv-LV"/>
        </w:rPr>
        <w:t>9</w:t>
      </w:r>
      <w:r>
        <w:rPr>
          <w:bCs/>
          <w:szCs w:val="22"/>
          <w:lang w:val="lv-LV"/>
        </w:rPr>
        <w:t xml:space="preserve">/l radās 2,9% pacientu, kuriem zāles ievadīja subkutāni vienu reizi nedēļā. </w:t>
      </w:r>
    </w:p>
    <w:p w14:paraId="4F22EEB3" w14:textId="77777777" w:rsidR="00A453C3" w:rsidRDefault="00A453C3" w:rsidP="00A453C3">
      <w:pPr>
        <w:autoSpaceDE w:val="0"/>
        <w:rPr>
          <w:bCs/>
          <w:szCs w:val="22"/>
          <w:lang w:val="lv-LV"/>
        </w:rPr>
      </w:pPr>
    </w:p>
    <w:p w14:paraId="0A2C1A2E" w14:textId="11206244" w:rsidR="00A453C3" w:rsidRDefault="00A453C3" w:rsidP="00A453C3">
      <w:pPr>
        <w:autoSpaceDE w:val="0"/>
        <w:rPr>
          <w:bCs/>
          <w:szCs w:val="22"/>
          <w:lang w:val="lv-LV"/>
        </w:rPr>
      </w:pPr>
      <w:r>
        <w:rPr>
          <w:bCs/>
          <w:szCs w:val="22"/>
          <w:lang w:val="lv-LV"/>
        </w:rPr>
        <w:t>Neitrofilo leikocītu skaita samazināšanās līdz &lt; 1 × 10</w:t>
      </w:r>
      <w:r>
        <w:rPr>
          <w:bCs/>
          <w:szCs w:val="22"/>
          <w:vertAlign w:val="superscript"/>
          <w:lang w:val="lv-LV"/>
        </w:rPr>
        <w:t>9</w:t>
      </w:r>
      <w:r>
        <w:rPr>
          <w:bCs/>
          <w:szCs w:val="22"/>
          <w:lang w:val="lv-LV"/>
        </w:rPr>
        <w:t xml:space="preserve">/l nebija skaidri saistīta ar nopietnu infekciju rašanos. </w:t>
      </w:r>
    </w:p>
    <w:p w14:paraId="58F4FF52" w14:textId="77777777" w:rsidR="00A453C3" w:rsidRDefault="00A453C3" w:rsidP="00A453C3">
      <w:pPr>
        <w:autoSpaceDE w:val="0"/>
        <w:rPr>
          <w:bCs/>
          <w:szCs w:val="22"/>
          <w:lang w:val="lv-LV"/>
        </w:rPr>
      </w:pPr>
    </w:p>
    <w:p w14:paraId="49F3D7DC" w14:textId="77777777" w:rsidR="00A453C3" w:rsidRPr="00707120" w:rsidRDefault="00A453C3" w:rsidP="00A453C3">
      <w:pPr>
        <w:keepNext/>
        <w:keepLines/>
        <w:autoSpaceDE w:val="0"/>
        <w:rPr>
          <w:bCs/>
          <w:szCs w:val="22"/>
          <w:u w:val="single"/>
          <w:lang w:val="lv-LV"/>
        </w:rPr>
      </w:pPr>
      <w:r w:rsidRPr="00707120">
        <w:rPr>
          <w:bCs/>
          <w:i/>
          <w:szCs w:val="22"/>
          <w:u w:val="single"/>
          <w:lang w:val="lv-LV"/>
        </w:rPr>
        <w:t>Trombocīti</w:t>
      </w:r>
    </w:p>
    <w:p w14:paraId="2AAD026B" w14:textId="60D4EEAA" w:rsidR="00A453C3" w:rsidRDefault="00A453C3" w:rsidP="00A453C3">
      <w:pPr>
        <w:keepNext/>
        <w:keepLines/>
        <w:autoSpaceDE w:val="0"/>
        <w:rPr>
          <w:bCs/>
          <w:szCs w:val="22"/>
          <w:lang w:val="lv-LV"/>
        </w:rPr>
      </w:pPr>
      <w:r>
        <w:rPr>
          <w:szCs w:val="22"/>
          <w:lang w:val="lv-LV"/>
        </w:rPr>
        <w:t xml:space="preserve">Tocilizumaba </w:t>
      </w:r>
      <w:r>
        <w:rPr>
          <w:bCs/>
          <w:szCs w:val="22"/>
          <w:lang w:val="lv-LV"/>
        </w:rPr>
        <w:t>6 mēnešus ilgajā SC</w:t>
      </w:r>
      <w:r>
        <w:rPr>
          <w:bCs/>
          <w:szCs w:val="22"/>
          <w:lang w:val="lv-LV"/>
        </w:rPr>
        <w:noBreakHyphen/>
        <w:t>I klīniskā pētījuma parastās laboratoriskās kontroles laikā trombocītu skaita samazināšanos līdz ≤ 50 × 10</w:t>
      </w:r>
      <w:r>
        <w:rPr>
          <w:bCs/>
          <w:szCs w:val="22"/>
          <w:vertAlign w:val="superscript"/>
          <w:lang w:val="lv-LV"/>
        </w:rPr>
        <w:t>3</w:t>
      </w:r>
      <w:r>
        <w:rPr>
          <w:bCs/>
          <w:szCs w:val="22"/>
          <w:lang w:val="lv-LV"/>
        </w:rPr>
        <w:t xml:space="preserve">/μl nenovēroja nevienam pacientam, kuram zāles ievadīja subkutāni vienu reizi nedēļā. </w:t>
      </w:r>
    </w:p>
    <w:p w14:paraId="4A428123" w14:textId="77777777" w:rsidR="00A453C3" w:rsidRDefault="00A453C3">
      <w:pPr>
        <w:autoSpaceDE w:val="0"/>
        <w:rPr>
          <w:bCs/>
          <w:szCs w:val="22"/>
          <w:lang w:val="lv-LV"/>
        </w:rPr>
        <w:pPrChange w:id="980" w:author="Author">
          <w:pPr>
            <w:keepNext/>
            <w:keepLines/>
            <w:autoSpaceDE w:val="0"/>
          </w:pPr>
        </w:pPrChange>
      </w:pPr>
    </w:p>
    <w:p w14:paraId="7460F361" w14:textId="77777777" w:rsidR="00A453C3" w:rsidRPr="00707120" w:rsidRDefault="00A453C3" w:rsidP="00A453C3">
      <w:pPr>
        <w:keepNext/>
        <w:keepLines/>
        <w:autoSpaceDE w:val="0"/>
        <w:rPr>
          <w:bCs/>
          <w:szCs w:val="22"/>
          <w:u w:val="single"/>
          <w:lang w:val="lv-LV"/>
        </w:rPr>
      </w:pPr>
      <w:r w:rsidRPr="00707120">
        <w:rPr>
          <w:bCs/>
          <w:i/>
          <w:szCs w:val="22"/>
          <w:u w:val="single"/>
          <w:lang w:val="lv-LV"/>
        </w:rPr>
        <w:t>Aknu transamināžu līmeņa paaugstināšanās</w:t>
      </w:r>
    </w:p>
    <w:p w14:paraId="4665BE02" w14:textId="1F3E5276" w:rsidR="00A453C3" w:rsidRDefault="00A453C3" w:rsidP="00A453C3">
      <w:pPr>
        <w:keepNext/>
        <w:keepLines/>
        <w:autoSpaceDE w:val="0"/>
        <w:rPr>
          <w:bCs/>
          <w:szCs w:val="22"/>
          <w:lang w:val="lv-LV"/>
        </w:rPr>
      </w:pPr>
      <w:r>
        <w:rPr>
          <w:szCs w:val="22"/>
          <w:lang w:val="lv-LV"/>
        </w:rPr>
        <w:t xml:space="preserve">Tocilizumaba </w:t>
      </w:r>
      <w:r>
        <w:rPr>
          <w:bCs/>
          <w:szCs w:val="22"/>
          <w:lang w:val="lv-LV"/>
        </w:rPr>
        <w:t>6 mēnešus ilgajā SC</w:t>
      </w:r>
      <w:r>
        <w:rPr>
          <w:bCs/>
          <w:szCs w:val="22"/>
          <w:lang w:val="lv-LV"/>
        </w:rPr>
        <w:noBreakHyphen/>
        <w:t xml:space="preserve">I kontrolētā klīniskā pētījuma parastās laboratoriskās kontroles laikā ALAT vai ASAT līmeņa paaugstināšanās līdz </w:t>
      </w:r>
      <w:r w:rsidR="004E2814" w:rsidRPr="00707120">
        <w:rPr>
          <w:rFonts w:eastAsia="PMingLiU"/>
          <w:szCs w:val="22"/>
          <w:lang w:val="lv-LV" w:eastAsia="de-DE"/>
        </w:rPr>
        <w:t>≥</w:t>
      </w:r>
      <w:r>
        <w:rPr>
          <w:bCs/>
          <w:szCs w:val="22"/>
          <w:lang w:val="lv-LV"/>
        </w:rPr>
        <w:t xml:space="preserve"> 3 × NAR radās attiecīgi 6,5% un 1,4% pacientu, kuriem zāles ievadīja subkutāni vienu reizi nedēļā. </w:t>
      </w:r>
    </w:p>
    <w:p w14:paraId="4837309D" w14:textId="77777777" w:rsidR="00A453C3" w:rsidRDefault="00A453C3" w:rsidP="00A453C3">
      <w:pPr>
        <w:autoSpaceDE w:val="0"/>
        <w:rPr>
          <w:bCs/>
          <w:szCs w:val="22"/>
          <w:lang w:val="lv-LV"/>
        </w:rPr>
      </w:pPr>
    </w:p>
    <w:p w14:paraId="0850C15E" w14:textId="77777777" w:rsidR="00A453C3" w:rsidRPr="00707120" w:rsidRDefault="00A453C3" w:rsidP="00A453C3">
      <w:pPr>
        <w:keepNext/>
        <w:autoSpaceDE w:val="0"/>
        <w:rPr>
          <w:bCs/>
          <w:szCs w:val="22"/>
          <w:u w:val="single"/>
          <w:lang w:val="lv-LV"/>
        </w:rPr>
      </w:pPr>
      <w:r w:rsidRPr="00707120">
        <w:rPr>
          <w:bCs/>
          <w:i/>
          <w:szCs w:val="22"/>
          <w:u w:val="single"/>
          <w:lang w:val="lv-LV"/>
        </w:rPr>
        <w:t>Lipīdu rādītāji</w:t>
      </w:r>
    </w:p>
    <w:p w14:paraId="1D16EDD2" w14:textId="47FE5368" w:rsidR="00A453C3" w:rsidRDefault="00A453C3" w:rsidP="00A453C3">
      <w:pPr>
        <w:rPr>
          <w:szCs w:val="22"/>
          <w:lang w:val="lv-LV"/>
        </w:rPr>
      </w:pPr>
      <w:r>
        <w:rPr>
          <w:bCs/>
          <w:szCs w:val="22"/>
          <w:lang w:val="lv-LV"/>
        </w:rPr>
        <w:t>Tocilizumaba 6 mēnešus ilgajā SC</w:t>
      </w:r>
      <w:r>
        <w:rPr>
          <w:bCs/>
          <w:szCs w:val="22"/>
          <w:lang w:val="lv-LV"/>
        </w:rPr>
        <w:noBreakHyphen/>
        <w:t xml:space="preserve">I klīniskā pētījuma parastās laboratoriskās kontroles laikā stabilu kopējā holesterīna līmeņa paaugstināšanos &gt; 6,2 mmol/l (240 mg/dl) novēroja 19% pacientu, kuriem zāles ievadīja subkutāni vienu reizi nedēļā, savukārt 9% pacientu bija stabila ZBL līmeņa paaugstināšanās līdz </w:t>
      </w:r>
      <w:r w:rsidR="004E2814" w:rsidRPr="00707120">
        <w:rPr>
          <w:rFonts w:eastAsia="PMingLiU"/>
          <w:szCs w:val="22"/>
          <w:lang w:val="lv-LV" w:eastAsia="de-DE"/>
        </w:rPr>
        <w:t>≥</w:t>
      </w:r>
      <w:r>
        <w:rPr>
          <w:bCs/>
          <w:szCs w:val="22"/>
          <w:lang w:val="lv-LV"/>
        </w:rPr>
        <w:t xml:space="preserve"> 4,1 mmol/l (160 mg/dl). </w:t>
      </w:r>
    </w:p>
    <w:p w14:paraId="13AE4D62" w14:textId="77777777" w:rsidR="00A453C3" w:rsidRDefault="00A453C3" w:rsidP="00A453C3">
      <w:pPr>
        <w:tabs>
          <w:tab w:val="left" w:pos="567"/>
        </w:tabs>
        <w:suppressAutoHyphens w:val="0"/>
        <w:autoSpaceDE w:val="0"/>
        <w:autoSpaceDN w:val="0"/>
        <w:adjustRightInd w:val="0"/>
        <w:jc w:val="both"/>
        <w:rPr>
          <w:snapToGrid w:val="0"/>
          <w:szCs w:val="22"/>
          <w:u w:val="single"/>
          <w:lang w:val="lv-LV" w:eastAsia="zh-CN"/>
        </w:rPr>
      </w:pPr>
    </w:p>
    <w:p w14:paraId="1E4AD031" w14:textId="77777777" w:rsidR="00A453C3" w:rsidRPr="00435777" w:rsidRDefault="00A453C3" w:rsidP="00707120">
      <w:pPr>
        <w:pStyle w:val="Standard"/>
        <w:keepNext/>
        <w:autoSpaceDE w:val="0"/>
        <w:autoSpaceDN w:val="0"/>
        <w:adjustRightInd w:val="0"/>
        <w:rPr>
          <w:rFonts w:eastAsia="SimSun"/>
          <w:bCs/>
          <w:i/>
          <w:iCs/>
          <w:szCs w:val="22"/>
          <w:lang w:val="lv-LV" w:eastAsia="zh-CN"/>
        </w:rPr>
      </w:pPr>
      <w:r w:rsidRPr="00435777">
        <w:rPr>
          <w:rFonts w:eastAsia="SimSun"/>
          <w:bCs/>
          <w:i/>
          <w:iCs/>
          <w:szCs w:val="22"/>
          <w:lang w:val="lv-LV" w:eastAsia="zh-CN"/>
        </w:rPr>
        <w:t>Pacienti ar sJIA</w:t>
      </w:r>
      <w:del w:id="981" w:author="Author">
        <w:r w:rsidRPr="00435777" w:rsidDel="001F4198">
          <w:rPr>
            <w:rFonts w:eastAsia="SimSun"/>
            <w:bCs/>
            <w:i/>
            <w:iCs/>
            <w:szCs w:val="22"/>
            <w:lang w:val="lv-LV" w:eastAsia="zh-CN"/>
          </w:rPr>
          <w:delText xml:space="preserve"> </w:delText>
        </w:r>
      </w:del>
    </w:p>
    <w:p w14:paraId="3721BABF" w14:textId="6476D41C" w:rsidR="00A453C3" w:rsidRPr="00393F18" w:rsidRDefault="00A453C3" w:rsidP="00A453C3">
      <w:pPr>
        <w:pStyle w:val="Standard"/>
        <w:rPr>
          <w:lang w:val="lv-LV"/>
        </w:rPr>
      </w:pPr>
      <w:r w:rsidRPr="004E2814">
        <w:rPr>
          <w:bCs/>
          <w:lang w:val="lv-LV"/>
        </w:rPr>
        <w:t>Subkutāni lietota</w:t>
      </w:r>
      <w:r w:rsidRPr="00393F18">
        <w:rPr>
          <w:lang w:val="lv-LV"/>
        </w:rPr>
        <w:t xml:space="preserve"> </w:t>
      </w:r>
      <w:r>
        <w:rPr>
          <w:lang w:val="lv-LV"/>
        </w:rPr>
        <w:t>tocilizumaba</w:t>
      </w:r>
      <w:r w:rsidRPr="00393F18">
        <w:rPr>
          <w:lang w:val="lv-LV"/>
        </w:rPr>
        <w:t xml:space="preserve"> drošuma profils vērtēts 51</w:t>
      </w:r>
      <w:r>
        <w:rPr>
          <w:lang w:val="lv-LV"/>
        </w:rPr>
        <w:t> </w:t>
      </w:r>
      <w:r w:rsidRPr="00393F18">
        <w:rPr>
          <w:lang w:val="lv-LV"/>
        </w:rPr>
        <w:t>pediatriskajam pacientam (vecums no 1</w:t>
      </w:r>
      <w:r>
        <w:rPr>
          <w:lang w:val="lv-LV"/>
        </w:rPr>
        <w:t> </w:t>
      </w:r>
      <w:r w:rsidRPr="00393F18">
        <w:rPr>
          <w:lang w:val="lv-LV"/>
        </w:rPr>
        <w:t>līdz 17</w:t>
      </w:r>
      <w:r>
        <w:rPr>
          <w:lang w:val="lv-LV"/>
        </w:rPr>
        <w:t> </w:t>
      </w:r>
      <w:r w:rsidRPr="00393F18">
        <w:rPr>
          <w:lang w:val="lv-LV"/>
        </w:rPr>
        <w:t xml:space="preserve">gadiem) ar sJIA. Kopumā nevēlamās blakusparādības pacientiem ar sJIA bija līdzīgas kā pacientiem ar RA novērotās (skatīt </w:t>
      </w:r>
      <w:r>
        <w:rPr>
          <w:lang w:val="lv-LV"/>
        </w:rPr>
        <w:t>4.8. </w:t>
      </w:r>
      <w:r w:rsidRPr="00393F18">
        <w:rPr>
          <w:lang w:val="lv-LV"/>
        </w:rPr>
        <w:t xml:space="preserve">apakšpunktu). </w:t>
      </w:r>
    </w:p>
    <w:p w14:paraId="24060E26" w14:textId="77777777" w:rsidR="00A453C3" w:rsidRPr="00393F18" w:rsidRDefault="00A453C3" w:rsidP="00A453C3">
      <w:pPr>
        <w:pStyle w:val="Standard"/>
        <w:rPr>
          <w:lang w:val="lv-LV"/>
        </w:rPr>
      </w:pPr>
    </w:p>
    <w:p w14:paraId="17599CB4" w14:textId="77777777" w:rsidR="00A453C3" w:rsidRPr="00707120" w:rsidRDefault="00A453C3">
      <w:pPr>
        <w:pStyle w:val="Standard"/>
        <w:keepNext/>
        <w:rPr>
          <w:i/>
          <w:u w:val="single"/>
          <w:lang w:val="lv-LV"/>
        </w:rPr>
        <w:pPrChange w:id="982" w:author="Author">
          <w:pPr>
            <w:pStyle w:val="Standard"/>
          </w:pPr>
        </w:pPrChange>
      </w:pPr>
      <w:r w:rsidRPr="00707120">
        <w:rPr>
          <w:i/>
          <w:u w:val="single"/>
          <w:lang w:val="lv-LV"/>
        </w:rPr>
        <w:t>Infekcijas</w:t>
      </w:r>
    </w:p>
    <w:p w14:paraId="63DD5126" w14:textId="42A8944D" w:rsidR="00A453C3" w:rsidRPr="00393F18" w:rsidRDefault="00A453C3" w:rsidP="00A453C3">
      <w:pPr>
        <w:pStyle w:val="Standard"/>
        <w:rPr>
          <w:lang w:val="lv-LV"/>
        </w:rPr>
      </w:pPr>
      <w:r w:rsidRPr="00393F18">
        <w:rPr>
          <w:lang w:val="lv-LV"/>
        </w:rPr>
        <w:t xml:space="preserve">Infekciju rādītājs pacientiem ar sJIA, kuri </w:t>
      </w:r>
      <w:r>
        <w:rPr>
          <w:lang w:val="lv-LV"/>
        </w:rPr>
        <w:t xml:space="preserve">tocilizumabu </w:t>
      </w:r>
      <w:r w:rsidRPr="00393F18">
        <w:rPr>
          <w:lang w:val="lv-LV"/>
        </w:rPr>
        <w:t xml:space="preserve">saņēma </w:t>
      </w:r>
      <w:r>
        <w:rPr>
          <w:lang w:val="lv-LV"/>
        </w:rPr>
        <w:t>subkutāni</w:t>
      </w:r>
      <w:r w:rsidRPr="00393F18">
        <w:rPr>
          <w:lang w:val="lv-LV"/>
        </w:rPr>
        <w:t xml:space="preserve">, bija līdzīgs kā pacientiem ar sJIA, kuri </w:t>
      </w:r>
      <w:r>
        <w:rPr>
          <w:lang w:val="lv-LV"/>
        </w:rPr>
        <w:t xml:space="preserve">tocilizumabu </w:t>
      </w:r>
      <w:r w:rsidRPr="00393F18">
        <w:rPr>
          <w:lang w:val="lv-LV"/>
        </w:rPr>
        <w:t xml:space="preserve">saņēma </w:t>
      </w:r>
      <w:r>
        <w:rPr>
          <w:lang w:val="lv-LV"/>
        </w:rPr>
        <w:t>intravenozi.</w:t>
      </w:r>
    </w:p>
    <w:p w14:paraId="3C7EFBA4" w14:textId="77777777" w:rsidR="00A453C3" w:rsidRPr="00393F18" w:rsidRDefault="00A453C3" w:rsidP="00A453C3">
      <w:pPr>
        <w:pStyle w:val="Standard"/>
        <w:rPr>
          <w:lang w:val="lv-LV"/>
        </w:rPr>
      </w:pPr>
    </w:p>
    <w:p w14:paraId="6E889E70" w14:textId="77777777" w:rsidR="00A453C3" w:rsidRPr="00707120" w:rsidRDefault="00A453C3">
      <w:pPr>
        <w:keepNext/>
        <w:suppressAutoHyphens w:val="0"/>
        <w:rPr>
          <w:i/>
          <w:u w:val="single"/>
          <w:lang w:val="lv-LV"/>
        </w:rPr>
        <w:pPrChange w:id="983" w:author="Author">
          <w:pPr/>
        </w:pPrChange>
      </w:pPr>
      <w:r w:rsidRPr="00707120">
        <w:rPr>
          <w:i/>
          <w:u w:val="single"/>
          <w:lang w:val="lv-LV"/>
        </w:rPr>
        <w:t xml:space="preserve">Reakcijas injekcijas vietā (RIV) </w:t>
      </w:r>
    </w:p>
    <w:p w14:paraId="0A33230E" w14:textId="3C59BFC4" w:rsidR="00A453C3" w:rsidRPr="0081501B" w:rsidRDefault="00A453C3" w:rsidP="00A453C3">
      <w:pPr>
        <w:rPr>
          <w:lang w:val="lv-LV"/>
        </w:rPr>
      </w:pPr>
      <w:r>
        <w:rPr>
          <w:lang w:val="lv-LV"/>
        </w:rPr>
        <w:t>Subkutānās</w:t>
      </w:r>
      <w:r w:rsidRPr="0081501B">
        <w:rPr>
          <w:lang w:val="lv-LV"/>
        </w:rPr>
        <w:t xml:space="preserve"> terapijas pētījumā (WA28118) kopumā 41,2% (21/51) pacientu ar sJIA radās RIV, </w:t>
      </w:r>
      <w:r>
        <w:rPr>
          <w:lang w:val="lv-LV"/>
        </w:rPr>
        <w:t xml:space="preserve">tocilizumabu </w:t>
      </w:r>
      <w:r w:rsidRPr="0081501B">
        <w:rPr>
          <w:lang w:val="lv-LV"/>
        </w:rPr>
        <w:t xml:space="preserve">lietojot </w:t>
      </w:r>
      <w:r>
        <w:rPr>
          <w:lang w:val="lv-LV"/>
        </w:rPr>
        <w:t>subkutāni</w:t>
      </w:r>
      <w:r w:rsidRPr="0081501B">
        <w:rPr>
          <w:lang w:val="lv-LV"/>
        </w:rPr>
        <w:t>. Biežākās RIV bija eritēma, nieze, sāpes un pietūkums injekcijas vietā. Lielākā daļa ziņoto RIV bija 1.</w:t>
      </w:r>
      <w:r>
        <w:rPr>
          <w:lang w:val="lv-LV"/>
        </w:rPr>
        <w:t> </w:t>
      </w:r>
      <w:r w:rsidRPr="0081501B">
        <w:rPr>
          <w:lang w:val="lv-LV"/>
        </w:rPr>
        <w:t>pakāpes notikumi, un visi ziņotie gadījumi bija nebūtiski, un to dēļ pacientiem nebija j</w:t>
      </w:r>
      <w:r>
        <w:rPr>
          <w:lang w:val="lv-LV"/>
        </w:rPr>
        <w:t>ā</w:t>
      </w:r>
      <w:r w:rsidRPr="0081501B">
        <w:rPr>
          <w:lang w:val="lv-LV"/>
        </w:rPr>
        <w:t>pārtrau</w:t>
      </w:r>
      <w:r>
        <w:rPr>
          <w:lang w:val="lv-LV"/>
        </w:rPr>
        <w:t>c</w:t>
      </w:r>
      <w:r w:rsidRPr="0081501B">
        <w:rPr>
          <w:lang w:val="lv-LV"/>
        </w:rPr>
        <w:t xml:space="preserve"> vai </w:t>
      </w:r>
      <w:r>
        <w:rPr>
          <w:lang w:val="lv-LV"/>
        </w:rPr>
        <w:t>jāiz</w:t>
      </w:r>
      <w:r w:rsidRPr="0081501B">
        <w:rPr>
          <w:lang w:val="lv-LV"/>
        </w:rPr>
        <w:t>bei</w:t>
      </w:r>
      <w:r>
        <w:rPr>
          <w:lang w:val="lv-LV"/>
        </w:rPr>
        <w:t>dz</w:t>
      </w:r>
      <w:r w:rsidRPr="0081501B">
        <w:rPr>
          <w:lang w:val="lv-LV"/>
        </w:rPr>
        <w:t xml:space="preserve"> šo zāļu lietošan</w:t>
      </w:r>
      <w:r>
        <w:rPr>
          <w:lang w:val="lv-LV"/>
        </w:rPr>
        <w:t>a</w:t>
      </w:r>
      <w:r w:rsidRPr="0081501B">
        <w:rPr>
          <w:lang w:val="lv-LV"/>
        </w:rPr>
        <w:t>.</w:t>
      </w:r>
    </w:p>
    <w:p w14:paraId="66D48702" w14:textId="5077F805" w:rsidR="00A453C3" w:rsidRDefault="00A453C3" w:rsidP="00A453C3">
      <w:pPr>
        <w:rPr>
          <w:rFonts w:eastAsia="MS Mincho"/>
          <w:lang w:val="lv-LV"/>
        </w:rPr>
      </w:pPr>
    </w:p>
    <w:p w14:paraId="3374A1B0" w14:textId="77777777" w:rsidR="001C0E94" w:rsidRPr="00707120" w:rsidRDefault="001C0E94">
      <w:pPr>
        <w:pStyle w:val="Standard"/>
        <w:keepNext/>
        <w:rPr>
          <w:i/>
          <w:u w:val="single"/>
          <w:lang w:val="lv-LV"/>
        </w:rPr>
        <w:pPrChange w:id="984" w:author="Author">
          <w:pPr>
            <w:pStyle w:val="Standard"/>
          </w:pPr>
        </w:pPrChange>
      </w:pPr>
      <w:r w:rsidRPr="00707120">
        <w:rPr>
          <w:i/>
          <w:u w:val="single"/>
          <w:lang w:val="lv-LV"/>
        </w:rPr>
        <w:t>Imūngenitāte</w:t>
      </w:r>
    </w:p>
    <w:p w14:paraId="1C6BA5B2" w14:textId="5A1E954C" w:rsidR="001C0E94" w:rsidRPr="00393F18" w:rsidRDefault="001C0E94" w:rsidP="001C0E94">
      <w:pPr>
        <w:pStyle w:val="Standard"/>
        <w:rPr>
          <w:lang w:val="lv-LV"/>
        </w:rPr>
      </w:pPr>
      <w:r w:rsidRPr="00393F18">
        <w:rPr>
          <w:lang w:val="lv-LV"/>
        </w:rPr>
        <w:t>Subkutānas terapijas pētījumā (WA28118) 46 no 51</w:t>
      </w:r>
      <w:r>
        <w:rPr>
          <w:lang w:val="lv-LV"/>
        </w:rPr>
        <w:t> </w:t>
      </w:r>
      <w:r w:rsidRPr="00393F18">
        <w:rPr>
          <w:lang w:val="lv-LV"/>
        </w:rPr>
        <w:t xml:space="preserve">pacienta (90,2%), kuram pētījuma sākumā pārbaudīja antivielas pret tocilizumabu, bija vismaz viens skrīninga testa rezultāts pēc pētījuma sākuma. Nevienam pacientam neizveidojās pozitīvs antivielu pret tocilizumabu statuss pēc pētījuma sākuma. </w:t>
      </w:r>
    </w:p>
    <w:p w14:paraId="2572CA16" w14:textId="77777777" w:rsidR="001C0E94" w:rsidRPr="0081501B" w:rsidRDefault="001C0E94" w:rsidP="00A453C3">
      <w:pPr>
        <w:rPr>
          <w:rFonts w:eastAsia="MS Mincho"/>
          <w:lang w:val="lv-LV"/>
        </w:rPr>
      </w:pPr>
    </w:p>
    <w:p w14:paraId="024C370A" w14:textId="77777777" w:rsidR="00A453C3" w:rsidRPr="00707120" w:rsidRDefault="00A453C3" w:rsidP="00A453C3">
      <w:pPr>
        <w:keepNext/>
        <w:keepLines/>
        <w:rPr>
          <w:i/>
          <w:u w:val="single"/>
          <w:lang w:val="lv-LV"/>
        </w:rPr>
      </w:pPr>
      <w:r w:rsidRPr="00707120">
        <w:rPr>
          <w:i/>
          <w:u w:val="single"/>
          <w:lang w:val="lv-LV"/>
        </w:rPr>
        <w:t>Laboratorisko rādītāju novirzes</w:t>
      </w:r>
    </w:p>
    <w:p w14:paraId="40E82FE8" w14:textId="0289820C" w:rsidR="00A453C3" w:rsidRPr="00E1075D" w:rsidRDefault="00A453C3" w:rsidP="00A453C3">
      <w:pPr>
        <w:rPr>
          <w:rFonts w:eastAsia="SimSun"/>
          <w:lang w:val="lv-LV"/>
        </w:rPr>
      </w:pPr>
      <w:r>
        <w:rPr>
          <w:lang w:val="lv-LV"/>
        </w:rPr>
        <w:t>Atklātā</w:t>
      </w:r>
      <w:r w:rsidRPr="00E1075D">
        <w:rPr>
          <w:lang w:val="lv-LV"/>
        </w:rPr>
        <w:t xml:space="preserve"> 52</w:t>
      </w:r>
      <w:r>
        <w:rPr>
          <w:lang w:val="lv-LV"/>
        </w:rPr>
        <w:t> </w:t>
      </w:r>
      <w:r w:rsidRPr="00E1075D">
        <w:rPr>
          <w:lang w:val="lv-LV"/>
        </w:rPr>
        <w:t>nedēļ</w:t>
      </w:r>
      <w:r>
        <w:rPr>
          <w:lang w:val="lv-LV"/>
        </w:rPr>
        <w:t xml:space="preserve">as ilgā </w:t>
      </w:r>
      <w:del w:id="985" w:author="Author">
        <w:r w:rsidRPr="00E1075D" w:rsidDel="00CE6B8D">
          <w:rPr>
            <w:lang w:val="lv-LV"/>
          </w:rPr>
          <w:delText xml:space="preserve"> </w:delText>
        </w:r>
      </w:del>
      <w:r>
        <w:rPr>
          <w:lang w:val="lv-LV"/>
        </w:rPr>
        <w:t>subkutānās</w:t>
      </w:r>
      <w:r w:rsidRPr="00E1075D">
        <w:rPr>
          <w:lang w:val="lv-LV"/>
        </w:rPr>
        <w:t xml:space="preserve"> terapijas pētījumā (WA28118) 23,5% pacientu, kuri </w:t>
      </w:r>
      <w:r>
        <w:rPr>
          <w:lang w:val="lv-LV"/>
        </w:rPr>
        <w:t xml:space="preserve">tocilizumabu </w:t>
      </w:r>
      <w:r w:rsidRPr="00E1075D">
        <w:rPr>
          <w:lang w:val="lv-LV"/>
        </w:rPr>
        <w:t xml:space="preserve">saņēma </w:t>
      </w:r>
      <w:r>
        <w:rPr>
          <w:lang w:val="lv-LV"/>
        </w:rPr>
        <w:t>subkutāni</w:t>
      </w:r>
      <w:r w:rsidRPr="00E1075D">
        <w:rPr>
          <w:lang w:val="lv-LV"/>
        </w:rPr>
        <w:t>, neitrofilo leikocītu skaits samazinājās zem 1</w:t>
      </w:r>
      <w:r>
        <w:rPr>
          <w:lang w:val="lv-LV"/>
        </w:rPr>
        <w:t> </w:t>
      </w:r>
      <w:r w:rsidRPr="00E1075D">
        <w:rPr>
          <w:lang w:val="lv-LV"/>
        </w:rPr>
        <w:t>×</w:t>
      </w:r>
      <w:r>
        <w:rPr>
          <w:lang w:val="lv-LV"/>
        </w:rPr>
        <w:t> </w:t>
      </w:r>
      <w:r w:rsidRPr="00E1075D">
        <w:rPr>
          <w:lang w:val="lv-LV"/>
        </w:rPr>
        <w:t>10</w:t>
      </w:r>
      <w:r w:rsidRPr="00E1075D">
        <w:rPr>
          <w:vertAlign w:val="superscript"/>
          <w:lang w:val="lv-LV"/>
        </w:rPr>
        <w:t>9</w:t>
      </w:r>
      <w:r w:rsidRPr="00E1075D">
        <w:rPr>
          <w:lang w:val="lv-LV"/>
        </w:rPr>
        <w:t xml:space="preserve">/l. 2% pacientu, kuri </w:t>
      </w:r>
      <w:r>
        <w:rPr>
          <w:lang w:val="lv-LV"/>
        </w:rPr>
        <w:t xml:space="preserve">tocilizumabu </w:t>
      </w:r>
      <w:r w:rsidRPr="00E1075D">
        <w:rPr>
          <w:lang w:val="lv-LV"/>
        </w:rPr>
        <w:t xml:space="preserve">saņēma </w:t>
      </w:r>
      <w:r>
        <w:rPr>
          <w:lang w:val="lv-LV"/>
        </w:rPr>
        <w:t>subkutāni</w:t>
      </w:r>
      <w:r w:rsidRPr="00E1075D">
        <w:rPr>
          <w:lang w:val="lv-LV"/>
        </w:rPr>
        <w:t>, trombocītu skaits samazinājās zem 100</w:t>
      </w:r>
      <w:r>
        <w:rPr>
          <w:lang w:val="lv-LV"/>
        </w:rPr>
        <w:t> </w:t>
      </w:r>
      <w:r w:rsidRPr="00E1075D">
        <w:rPr>
          <w:lang w:val="lv-LV"/>
        </w:rPr>
        <w:t>×</w:t>
      </w:r>
      <w:r>
        <w:rPr>
          <w:lang w:val="lv-LV"/>
        </w:rPr>
        <w:t> </w:t>
      </w:r>
      <w:r w:rsidRPr="00E1075D">
        <w:rPr>
          <w:lang w:val="lv-LV"/>
        </w:rPr>
        <w:t>10</w:t>
      </w:r>
      <w:r w:rsidRPr="00E1075D">
        <w:rPr>
          <w:vertAlign w:val="superscript"/>
          <w:lang w:val="lv-LV"/>
        </w:rPr>
        <w:t>3</w:t>
      </w:r>
      <w:r w:rsidRPr="00E1075D">
        <w:rPr>
          <w:lang w:val="lv-LV"/>
        </w:rPr>
        <w:t>/</w:t>
      </w:r>
      <w:r>
        <w:t>μ</w:t>
      </w:r>
      <w:r w:rsidRPr="00E1075D">
        <w:rPr>
          <w:lang w:val="lv-LV"/>
        </w:rPr>
        <w:t xml:space="preserve">l. Attiecīgi 9,8% un 4,0% pacientu, kuri </w:t>
      </w:r>
      <w:r>
        <w:rPr>
          <w:lang w:val="lv-LV"/>
        </w:rPr>
        <w:t xml:space="preserve">tocilizumabu </w:t>
      </w:r>
      <w:r w:rsidRPr="00E1075D">
        <w:rPr>
          <w:lang w:val="lv-LV"/>
        </w:rPr>
        <w:t xml:space="preserve">saņēma </w:t>
      </w:r>
      <w:r>
        <w:rPr>
          <w:lang w:val="lv-LV"/>
        </w:rPr>
        <w:t>subkutāni</w:t>
      </w:r>
      <w:r w:rsidRPr="00E1075D">
        <w:rPr>
          <w:lang w:val="lv-LV"/>
        </w:rPr>
        <w:t>, ALAT vai ASAT koncentrācija paaugstinājās līdz ≥</w:t>
      </w:r>
      <w:r>
        <w:rPr>
          <w:lang w:val="lv-LV"/>
        </w:rPr>
        <w:t> </w:t>
      </w:r>
      <w:r w:rsidRPr="00E1075D">
        <w:rPr>
          <w:lang w:val="lv-LV"/>
        </w:rPr>
        <w:t>3</w:t>
      </w:r>
      <w:r>
        <w:rPr>
          <w:lang w:val="lv-LV"/>
        </w:rPr>
        <w:t> × </w:t>
      </w:r>
      <w:del w:id="986" w:author="Author">
        <w:r w:rsidRPr="00E1075D" w:rsidDel="00CE6B8D">
          <w:rPr>
            <w:lang w:val="lv-LV"/>
          </w:rPr>
          <w:delText xml:space="preserve"> </w:delText>
        </w:r>
      </w:del>
      <w:r w:rsidRPr="00E1075D">
        <w:rPr>
          <w:lang w:val="lv-LV"/>
        </w:rPr>
        <w:t xml:space="preserve">NAR. </w:t>
      </w:r>
    </w:p>
    <w:p w14:paraId="2682B6BE" w14:textId="77777777" w:rsidR="00A453C3" w:rsidRPr="00E1075D" w:rsidRDefault="00A453C3" w:rsidP="00A453C3">
      <w:pPr>
        <w:rPr>
          <w:rFonts w:eastAsia="SimSun"/>
          <w:lang w:val="lv-LV"/>
        </w:rPr>
      </w:pPr>
    </w:p>
    <w:p w14:paraId="7FA9713C" w14:textId="77777777" w:rsidR="00A453C3" w:rsidRPr="00707120" w:rsidRDefault="00A453C3" w:rsidP="00A453C3">
      <w:pPr>
        <w:keepNext/>
        <w:autoSpaceDE w:val="0"/>
        <w:autoSpaceDN w:val="0"/>
        <w:adjustRightInd w:val="0"/>
        <w:rPr>
          <w:i/>
          <w:u w:val="single"/>
          <w:lang w:val="lv-LV"/>
        </w:rPr>
      </w:pPr>
      <w:r w:rsidRPr="00707120">
        <w:rPr>
          <w:i/>
          <w:u w:val="single"/>
          <w:lang w:val="lv-LV"/>
        </w:rPr>
        <w:t>Lipīdu rādītāji</w:t>
      </w:r>
    </w:p>
    <w:p w14:paraId="2269FF50" w14:textId="1536AFB3" w:rsidR="00A453C3" w:rsidRPr="00E1075D" w:rsidRDefault="00A453C3" w:rsidP="00A453C3">
      <w:pPr>
        <w:autoSpaceDE w:val="0"/>
        <w:autoSpaceDN w:val="0"/>
        <w:adjustRightInd w:val="0"/>
        <w:rPr>
          <w:lang w:val="lv-LV"/>
        </w:rPr>
      </w:pPr>
      <w:r>
        <w:rPr>
          <w:lang w:val="lv-LV"/>
        </w:rPr>
        <w:t xml:space="preserve">Atklātā </w:t>
      </w:r>
      <w:r w:rsidRPr="00E1075D">
        <w:rPr>
          <w:lang w:val="lv-LV"/>
        </w:rPr>
        <w:t>52 nedēļ</w:t>
      </w:r>
      <w:r>
        <w:rPr>
          <w:lang w:val="lv-LV"/>
        </w:rPr>
        <w:t>as ilgā subkutānās</w:t>
      </w:r>
      <w:r w:rsidRPr="00E1075D">
        <w:rPr>
          <w:lang w:val="lv-LV"/>
        </w:rPr>
        <w:t xml:space="preserve"> terapijas pētījumā (WA28118) attiecīgi 23,4% un 35,4% pacientu pēc pētījuma sākuma ZBL holesterīna </w:t>
      </w:r>
      <w:r>
        <w:rPr>
          <w:lang w:val="lv-LV"/>
        </w:rPr>
        <w:t>rādītājs</w:t>
      </w:r>
      <w:r w:rsidRPr="00E1075D">
        <w:rPr>
          <w:lang w:val="lv-LV"/>
        </w:rPr>
        <w:t xml:space="preserve"> jebkurā brīdī pētījuma zāļu lietošanas laikā paaugstinājās līdz ≥ 130 mg/dl</w:t>
      </w:r>
      <w:r>
        <w:rPr>
          <w:lang w:val="lv-LV"/>
        </w:rPr>
        <w:t>,</w:t>
      </w:r>
      <w:r w:rsidRPr="00E1075D">
        <w:rPr>
          <w:lang w:val="lv-LV"/>
        </w:rPr>
        <w:t xml:space="preserve"> un kopējā holesterīna </w:t>
      </w:r>
      <w:r>
        <w:rPr>
          <w:lang w:val="lv-LV"/>
        </w:rPr>
        <w:t>rādītājs</w:t>
      </w:r>
      <w:r w:rsidRPr="00E1075D">
        <w:rPr>
          <w:lang w:val="lv-LV"/>
        </w:rPr>
        <w:t xml:space="preserve"> paaugstinājās līdz ≥ 200 mg/dl.</w:t>
      </w:r>
    </w:p>
    <w:p w14:paraId="577464EC" w14:textId="77777777" w:rsidR="00A453C3" w:rsidRPr="00393F18" w:rsidRDefault="00A453C3" w:rsidP="00A453C3">
      <w:pPr>
        <w:pStyle w:val="Standard"/>
        <w:autoSpaceDE w:val="0"/>
        <w:autoSpaceDN w:val="0"/>
        <w:adjustRightInd w:val="0"/>
        <w:rPr>
          <w:rFonts w:eastAsia="SimSun"/>
          <w:szCs w:val="22"/>
          <w:u w:val="single"/>
          <w:lang w:val="lv-LV" w:eastAsia="zh-CN"/>
        </w:rPr>
      </w:pPr>
    </w:p>
    <w:p w14:paraId="579CFCDC" w14:textId="4C8842C5" w:rsidR="00A453C3" w:rsidRPr="00707120" w:rsidDel="000A23F4" w:rsidRDefault="00A453C3" w:rsidP="00A453C3">
      <w:pPr>
        <w:pStyle w:val="Standard"/>
        <w:keepNext/>
        <w:keepLines/>
        <w:autoSpaceDE w:val="0"/>
        <w:autoSpaceDN w:val="0"/>
        <w:adjustRightInd w:val="0"/>
        <w:rPr>
          <w:rFonts w:eastAsia="SimSun"/>
          <w:bCs/>
          <w:i/>
          <w:iCs/>
          <w:szCs w:val="22"/>
          <w:lang w:val="lv-LV" w:eastAsia="zh-CN"/>
        </w:rPr>
      </w:pPr>
      <w:r w:rsidRPr="00707120" w:rsidDel="000A23F4">
        <w:rPr>
          <w:rFonts w:eastAsia="SimSun"/>
          <w:bCs/>
          <w:i/>
          <w:iCs/>
          <w:szCs w:val="22"/>
          <w:lang w:val="lv-LV" w:eastAsia="zh-CN"/>
        </w:rPr>
        <w:t>Pacienti ar pJIA</w:t>
      </w:r>
    </w:p>
    <w:p w14:paraId="3C9D5C56" w14:textId="1AA07B5D" w:rsidR="00A453C3" w:rsidRPr="00E1075D" w:rsidRDefault="00A453C3" w:rsidP="00A453C3">
      <w:pPr>
        <w:keepNext/>
        <w:keepLines/>
        <w:rPr>
          <w:lang w:val="lv-LV"/>
        </w:rPr>
      </w:pPr>
      <w:r w:rsidRPr="00E1075D" w:rsidDel="000A23F4">
        <w:rPr>
          <w:lang w:val="lv-LV"/>
        </w:rPr>
        <w:t xml:space="preserve">Subkutāni lietota </w:t>
      </w:r>
      <w:r w:rsidDel="000A23F4">
        <w:rPr>
          <w:lang w:val="lv-LV"/>
        </w:rPr>
        <w:t>tocilizumaba</w:t>
      </w:r>
      <w:r w:rsidRPr="00E1075D" w:rsidDel="000A23F4">
        <w:rPr>
          <w:lang w:val="lv-LV"/>
        </w:rPr>
        <w:t xml:space="preserve"> drošuma profils vērtēts arī 52</w:t>
      </w:r>
      <w:r w:rsidDel="000A23F4">
        <w:rPr>
          <w:lang w:val="lv-LV"/>
        </w:rPr>
        <w:t> </w:t>
      </w:r>
      <w:r w:rsidRPr="00E1075D" w:rsidDel="000A23F4">
        <w:rPr>
          <w:lang w:val="lv-LV"/>
        </w:rPr>
        <w:t>pediatrisk</w:t>
      </w:r>
      <w:r w:rsidDel="000A23F4">
        <w:rPr>
          <w:lang w:val="lv-LV"/>
        </w:rPr>
        <w:t>iem</w:t>
      </w:r>
      <w:r w:rsidRPr="00E1075D" w:rsidDel="000A23F4">
        <w:rPr>
          <w:lang w:val="lv-LV"/>
        </w:rPr>
        <w:t xml:space="preserve"> pacient</w:t>
      </w:r>
      <w:r w:rsidDel="000A23F4">
        <w:rPr>
          <w:lang w:val="lv-LV"/>
        </w:rPr>
        <w:t>iem</w:t>
      </w:r>
      <w:r w:rsidRPr="00E1075D" w:rsidDel="000A23F4">
        <w:rPr>
          <w:lang w:val="lv-LV"/>
        </w:rPr>
        <w:t xml:space="preserve"> ar pJIA. Kopējā </w:t>
      </w:r>
      <w:r w:rsidDel="000A23F4">
        <w:rPr>
          <w:lang w:val="lv-LV"/>
        </w:rPr>
        <w:t>tocilizumaba</w:t>
      </w:r>
      <w:r w:rsidRPr="00E1075D" w:rsidDel="000A23F4">
        <w:rPr>
          <w:lang w:val="lv-LV"/>
        </w:rPr>
        <w:t xml:space="preserve"> </w:t>
      </w:r>
      <w:r w:rsidDel="000A23F4">
        <w:rPr>
          <w:lang w:val="lv-LV"/>
        </w:rPr>
        <w:t>iedarbība visiem</w:t>
      </w:r>
      <w:r w:rsidRPr="00E1075D" w:rsidDel="000A23F4">
        <w:rPr>
          <w:lang w:val="lv-LV"/>
        </w:rPr>
        <w:t xml:space="preserve"> pacientiem ar pJIA atbilst 184,4</w:t>
      </w:r>
      <w:r w:rsidDel="000A23F4">
        <w:rPr>
          <w:lang w:val="lv-LV"/>
        </w:rPr>
        <w:t> </w:t>
      </w:r>
      <w:r w:rsidRPr="00E1075D" w:rsidDel="000A23F4">
        <w:rPr>
          <w:lang w:val="lv-LV"/>
        </w:rPr>
        <w:t xml:space="preserve">pacientgadiem ar </w:t>
      </w:r>
      <w:r w:rsidDel="000A23F4">
        <w:rPr>
          <w:lang w:val="lv-LV"/>
        </w:rPr>
        <w:t>intravenozi</w:t>
      </w:r>
      <w:r w:rsidRPr="00E1075D" w:rsidDel="000A23F4">
        <w:rPr>
          <w:lang w:val="lv-LV"/>
        </w:rPr>
        <w:t xml:space="preserve"> ievadītu un 50,4</w:t>
      </w:r>
      <w:r w:rsidDel="000A23F4">
        <w:rPr>
          <w:lang w:val="lv-LV"/>
        </w:rPr>
        <w:t> </w:t>
      </w:r>
      <w:r w:rsidRPr="00E1075D" w:rsidDel="000A23F4">
        <w:rPr>
          <w:lang w:val="lv-LV"/>
        </w:rPr>
        <w:t xml:space="preserve">pacientgadiem ar </w:t>
      </w:r>
      <w:r w:rsidDel="000A23F4">
        <w:rPr>
          <w:lang w:val="lv-LV"/>
        </w:rPr>
        <w:t>subkutāni</w:t>
      </w:r>
      <w:r w:rsidRPr="00E1075D" w:rsidDel="000A23F4">
        <w:rPr>
          <w:lang w:val="lv-LV"/>
        </w:rPr>
        <w:t xml:space="preserve"> ievadītu tocilizumabu. Kopumā drošuma profils pacientiem ar pJIA bija atbilstošs zināmajam </w:t>
      </w:r>
      <w:r w:rsidDel="000A23F4">
        <w:rPr>
          <w:lang w:val="lv-LV"/>
        </w:rPr>
        <w:t>tocilizumaba</w:t>
      </w:r>
      <w:r w:rsidRPr="00E1075D" w:rsidDel="000A23F4">
        <w:rPr>
          <w:lang w:val="lv-LV"/>
        </w:rPr>
        <w:t xml:space="preserve"> drošuma profilam, izņemot RIV (skatīt 1.</w:t>
      </w:r>
      <w:r w:rsidDel="000A23F4">
        <w:rPr>
          <w:lang w:val="lv-LV"/>
        </w:rPr>
        <w:t> </w:t>
      </w:r>
      <w:r w:rsidRPr="00E1075D" w:rsidDel="000A23F4">
        <w:rPr>
          <w:lang w:val="lv-LV"/>
        </w:rPr>
        <w:t xml:space="preserve">tabulu). Salīdzinot ar pieaugušajiem, kuriem bija RA, pacientiem ar pJIA RIV pēc </w:t>
      </w:r>
      <w:r w:rsidDel="000A23F4">
        <w:rPr>
          <w:lang w:val="lv-LV"/>
        </w:rPr>
        <w:t>subkutānām</w:t>
      </w:r>
      <w:r w:rsidRPr="00E1075D" w:rsidDel="000A23F4">
        <w:rPr>
          <w:lang w:val="lv-LV"/>
        </w:rPr>
        <w:t xml:space="preserve"> injekcijām radās biežāk.</w:t>
      </w:r>
    </w:p>
    <w:p w14:paraId="7BEC35F7" w14:textId="77777777" w:rsidR="00A453C3" w:rsidRPr="00D64D62" w:rsidRDefault="00A453C3" w:rsidP="00A453C3">
      <w:pPr>
        <w:rPr>
          <w:lang w:val="lv-LV"/>
        </w:rPr>
      </w:pPr>
    </w:p>
    <w:p w14:paraId="2FDF460F" w14:textId="24694481" w:rsidR="00A453C3" w:rsidRPr="00707120" w:rsidRDefault="00A453C3" w:rsidP="00A453C3">
      <w:pPr>
        <w:keepNext/>
        <w:keepLines/>
        <w:rPr>
          <w:i/>
          <w:u w:val="single"/>
          <w:lang w:val="lv-LV"/>
        </w:rPr>
      </w:pPr>
      <w:r w:rsidRPr="00707120">
        <w:rPr>
          <w:i/>
          <w:u w:val="single"/>
          <w:lang w:val="lv-LV"/>
        </w:rPr>
        <w:t>Infekcijas</w:t>
      </w:r>
    </w:p>
    <w:p w14:paraId="238F74B5" w14:textId="38D6979B" w:rsidR="00A453C3" w:rsidRPr="00E1075D" w:rsidRDefault="00A453C3" w:rsidP="00707120">
      <w:pPr>
        <w:keepLines/>
        <w:rPr>
          <w:lang w:val="lv-LV"/>
        </w:rPr>
      </w:pPr>
      <w:r>
        <w:rPr>
          <w:lang w:val="lv-LV"/>
        </w:rPr>
        <w:t>Subkutāni lietota</w:t>
      </w:r>
      <w:r w:rsidRPr="00E1075D">
        <w:rPr>
          <w:lang w:val="lv-LV"/>
        </w:rPr>
        <w:t xml:space="preserve"> </w:t>
      </w:r>
      <w:r>
        <w:rPr>
          <w:lang w:val="lv-LV"/>
        </w:rPr>
        <w:t>tocilizumaba</w:t>
      </w:r>
      <w:r w:rsidRPr="00E1075D">
        <w:rPr>
          <w:lang w:val="lv-LV"/>
        </w:rPr>
        <w:t xml:space="preserve"> pētījumā infekciju </w:t>
      </w:r>
      <w:r>
        <w:rPr>
          <w:lang w:val="lv-LV"/>
        </w:rPr>
        <w:t>rādītājs</w:t>
      </w:r>
      <w:r w:rsidRPr="00E1075D">
        <w:rPr>
          <w:lang w:val="lv-LV"/>
        </w:rPr>
        <w:t xml:space="preserve"> pacientiem ar pJIA, kuri </w:t>
      </w:r>
      <w:r>
        <w:rPr>
          <w:lang w:val="lv-LV"/>
        </w:rPr>
        <w:t xml:space="preserve">subkutāni </w:t>
      </w:r>
      <w:r w:rsidRPr="00E1075D">
        <w:rPr>
          <w:lang w:val="lv-LV"/>
        </w:rPr>
        <w:t xml:space="preserve">saņēma </w:t>
      </w:r>
      <w:r>
        <w:rPr>
          <w:lang w:val="lv-LV"/>
        </w:rPr>
        <w:t>tocilizumabu</w:t>
      </w:r>
      <w:r w:rsidRPr="00E1075D">
        <w:rPr>
          <w:lang w:val="lv-LV"/>
        </w:rPr>
        <w:t xml:space="preserve">, bija līdzīgs kā pacientiem ar pJIA, kuri </w:t>
      </w:r>
      <w:r>
        <w:rPr>
          <w:lang w:val="lv-LV"/>
        </w:rPr>
        <w:t xml:space="preserve">tocilizumabu </w:t>
      </w:r>
      <w:r w:rsidRPr="00E1075D">
        <w:rPr>
          <w:lang w:val="lv-LV"/>
        </w:rPr>
        <w:t xml:space="preserve">saņēma </w:t>
      </w:r>
      <w:r>
        <w:rPr>
          <w:lang w:val="lv-LV"/>
        </w:rPr>
        <w:t>intravenozi.</w:t>
      </w:r>
    </w:p>
    <w:p w14:paraId="517D13A0" w14:textId="77777777" w:rsidR="00A453C3" w:rsidRPr="00D64D62" w:rsidRDefault="00A453C3" w:rsidP="00A961E2">
      <w:pPr>
        <w:keepLines/>
        <w:rPr>
          <w:lang w:val="lv-LV"/>
        </w:rPr>
      </w:pPr>
    </w:p>
    <w:p w14:paraId="4666D317" w14:textId="77777777" w:rsidR="00A453C3" w:rsidRPr="00707120" w:rsidRDefault="00A453C3" w:rsidP="00707120">
      <w:pPr>
        <w:keepNext/>
        <w:rPr>
          <w:i/>
          <w:u w:val="single"/>
          <w:lang w:val="lv-LV"/>
        </w:rPr>
      </w:pPr>
      <w:r w:rsidRPr="00707120">
        <w:rPr>
          <w:i/>
          <w:u w:val="single"/>
          <w:lang w:val="lv-LV"/>
        </w:rPr>
        <w:t>Reakcijas injekcijas vietā</w:t>
      </w:r>
    </w:p>
    <w:p w14:paraId="71BCFDC2" w14:textId="67020A94" w:rsidR="00A453C3" w:rsidRPr="00D64D62" w:rsidRDefault="00A453C3" w:rsidP="00A453C3">
      <w:pPr>
        <w:rPr>
          <w:lang w:val="lv-LV"/>
        </w:rPr>
      </w:pPr>
      <w:r w:rsidRPr="00D64D62">
        <w:rPr>
          <w:lang w:val="lv-LV"/>
        </w:rPr>
        <w:t xml:space="preserve">Kopumā 28,8% pacientu ar pJIA (15/52) radās RIV, </w:t>
      </w:r>
      <w:r>
        <w:rPr>
          <w:lang w:val="lv-LV"/>
        </w:rPr>
        <w:t xml:space="preserve">tocilizumabu </w:t>
      </w:r>
      <w:r w:rsidRPr="00D64D62">
        <w:rPr>
          <w:lang w:val="lv-LV"/>
        </w:rPr>
        <w:t xml:space="preserve">lietojot </w:t>
      </w:r>
      <w:r>
        <w:rPr>
          <w:lang w:val="lv-LV"/>
        </w:rPr>
        <w:t xml:space="preserve">subkutāni. </w:t>
      </w:r>
      <w:del w:id="987" w:author="Author">
        <w:r w:rsidRPr="00D64D62" w:rsidDel="00CE6B8D">
          <w:rPr>
            <w:lang w:val="lv-LV"/>
          </w:rPr>
          <w:delText xml:space="preserve"> </w:delText>
        </w:r>
      </w:del>
      <w:r w:rsidRPr="00D64D62">
        <w:rPr>
          <w:lang w:val="lv-LV"/>
        </w:rPr>
        <w:t xml:space="preserve">Šīs RIV radās 44% pacientu, kuru ķermeņa masa bija </w:t>
      </w:r>
      <w:r>
        <w:rPr>
          <w:lang w:val="lv-LV"/>
        </w:rPr>
        <w:t>≥ </w:t>
      </w:r>
      <w:r w:rsidRPr="00D64D62">
        <w:rPr>
          <w:lang w:val="lv-LV"/>
        </w:rPr>
        <w:t>30 kg, salīdzinot ar 14,8% pacientu, kuru ķermeņa masa bija zem 30 kg. Biežākās RIV bija eritēma, pietūkums, asinsizplūdums, sāpes un nieze injekcijas vietā. Visas ziņotās RIV bija nebūtiski 1.</w:t>
      </w:r>
      <w:r>
        <w:rPr>
          <w:lang w:val="lv-LV"/>
        </w:rPr>
        <w:t> </w:t>
      </w:r>
      <w:r w:rsidRPr="00D64D62">
        <w:rPr>
          <w:lang w:val="lv-LV"/>
        </w:rPr>
        <w:t>pakāpes notikumi, un neviena no RIV nebija par iemeslu, lai pacients beigtu vai pārtrauktu šo zāļu lietošanu.</w:t>
      </w:r>
    </w:p>
    <w:p w14:paraId="7A5FE499" w14:textId="77777777" w:rsidR="00A453C3" w:rsidRPr="00D64D62" w:rsidRDefault="00A453C3" w:rsidP="00A453C3">
      <w:pPr>
        <w:rPr>
          <w:rFonts w:eastAsia="MS Mincho"/>
          <w:lang w:val="lv-LV"/>
        </w:rPr>
      </w:pPr>
    </w:p>
    <w:p w14:paraId="4BD1BBCA" w14:textId="77777777" w:rsidR="00A453C3" w:rsidRPr="00707120" w:rsidRDefault="00A453C3" w:rsidP="00A453C3">
      <w:pPr>
        <w:keepNext/>
        <w:keepLines/>
        <w:rPr>
          <w:rFonts w:eastAsia="MS Mincho"/>
          <w:i/>
          <w:u w:val="single"/>
          <w:lang w:val="lv-LV"/>
        </w:rPr>
      </w:pPr>
      <w:r w:rsidRPr="00707120">
        <w:rPr>
          <w:i/>
          <w:u w:val="single"/>
          <w:lang w:val="lv-LV"/>
        </w:rPr>
        <w:t>Imūngenitāte</w:t>
      </w:r>
    </w:p>
    <w:p w14:paraId="481E181D" w14:textId="545CB54B" w:rsidR="00A453C3" w:rsidRPr="00D64D62" w:rsidRDefault="00A453C3" w:rsidP="00A453C3">
      <w:pPr>
        <w:keepNext/>
        <w:keepLines/>
        <w:rPr>
          <w:rFonts w:eastAsia="MS Mincho"/>
          <w:lang w:val="lv-LV"/>
        </w:rPr>
      </w:pPr>
      <w:r w:rsidRPr="00D64D62">
        <w:rPr>
          <w:lang w:val="lv-LV"/>
        </w:rPr>
        <w:t>Subkutānas terapijas pētījumā 5,8% pacientu [3/52] izveidojās pozitīvs neitralizējošu antivielu pret tocilizumabu statuss bez būtiskām vai klīniski nozīmīgām paaugstinātas jutības reakcijām. Viens no šiem 3</w:t>
      </w:r>
      <w:r w:rsidR="00714A3E">
        <w:rPr>
          <w:lang w:val="lv-LV"/>
        </w:rPr>
        <w:t> </w:t>
      </w:r>
      <w:r w:rsidRPr="00D64D62">
        <w:rPr>
          <w:lang w:val="lv-LV"/>
        </w:rPr>
        <w:t>pacientiem vēlāk pārtrauca dalību pētījumā. Korelāciju starp antivielu izveidošanos un klīnisku atbildes reakciju vai nevēlamajām blakusparādībām nenovēroja.</w:t>
      </w:r>
    </w:p>
    <w:p w14:paraId="458FE14F" w14:textId="77777777" w:rsidR="00A453C3" w:rsidRPr="00D64D62" w:rsidRDefault="00A453C3" w:rsidP="00A453C3">
      <w:pPr>
        <w:rPr>
          <w:rFonts w:eastAsia="MS Mincho"/>
          <w:lang w:val="lv-LV"/>
        </w:rPr>
      </w:pPr>
    </w:p>
    <w:p w14:paraId="3BC36632" w14:textId="77777777" w:rsidR="00A453C3" w:rsidRPr="00707120" w:rsidRDefault="00A453C3" w:rsidP="00A453C3">
      <w:pPr>
        <w:keepNext/>
        <w:keepLines/>
        <w:rPr>
          <w:i/>
          <w:u w:val="single"/>
          <w:lang w:val="lv-LV"/>
        </w:rPr>
      </w:pPr>
      <w:r w:rsidRPr="00707120">
        <w:rPr>
          <w:i/>
          <w:u w:val="single"/>
          <w:lang w:val="lv-LV"/>
        </w:rPr>
        <w:t>Laboratorisko rādītāju novirzes</w:t>
      </w:r>
    </w:p>
    <w:p w14:paraId="5234657A" w14:textId="6D6CB453" w:rsidR="00A453C3" w:rsidRPr="00D64D62" w:rsidRDefault="00A453C3" w:rsidP="00A453C3">
      <w:pPr>
        <w:keepNext/>
        <w:keepLines/>
        <w:rPr>
          <w:rFonts w:eastAsia="SimSun"/>
          <w:lang w:val="lv-LV"/>
        </w:rPr>
      </w:pPr>
      <w:r>
        <w:rPr>
          <w:lang w:val="lv-LV"/>
        </w:rPr>
        <w:t>P</w:t>
      </w:r>
      <w:r w:rsidRPr="00D64D62">
        <w:rPr>
          <w:lang w:val="lv-LV"/>
        </w:rPr>
        <w:t xml:space="preserve">arastās laboratoriskās kontroles laikā visā </w:t>
      </w:r>
      <w:r>
        <w:rPr>
          <w:lang w:val="lv-LV"/>
        </w:rPr>
        <w:t>tocilizumaba</w:t>
      </w:r>
      <w:r w:rsidRPr="00D64D62">
        <w:rPr>
          <w:lang w:val="lv-LV"/>
        </w:rPr>
        <w:t xml:space="preserve"> iedarbībai pakļautajā populācijā 15,4% pacientu, kuri </w:t>
      </w:r>
      <w:r>
        <w:rPr>
          <w:lang w:val="lv-LV"/>
        </w:rPr>
        <w:t xml:space="preserve">tocilizumabu </w:t>
      </w:r>
      <w:r w:rsidRPr="00D64D62">
        <w:rPr>
          <w:lang w:val="lv-LV"/>
        </w:rPr>
        <w:t xml:space="preserve">saņēma </w:t>
      </w:r>
      <w:r>
        <w:rPr>
          <w:lang w:val="lv-LV"/>
        </w:rPr>
        <w:t>subkutāni</w:t>
      </w:r>
      <w:r w:rsidRPr="00D64D62">
        <w:rPr>
          <w:lang w:val="lv-LV"/>
        </w:rPr>
        <w:t>, neitrofilo leikocītu skaits samazinājās zem 1</w:t>
      </w:r>
      <w:r>
        <w:rPr>
          <w:lang w:val="lv-LV"/>
        </w:rPr>
        <w:t> </w:t>
      </w:r>
      <w:r w:rsidRPr="00D64D62">
        <w:rPr>
          <w:color w:val="000000"/>
          <w:lang w:val="lv-LV"/>
        </w:rPr>
        <w:t>×</w:t>
      </w:r>
      <w:r>
        <w:rPr>
          <w:color w:val="000000"/>
          <w:lang w:val="lv-LV"/>
        </w:rPr>
        <w:t> </w:t>
      </w:r>
      <w:r w:rsidRPr="00D64D62">
        <w:rPr>
          <w:color w:val="000000"/>
          <w:lang w:val="lv-LV"/>
        </w:rPr>
        <w:t>10</w:t>
      </w:r>
      <w:r w:rsidRPr="00D64D62">
        <w:rPr>
          <w:color w:val="000000"/>
          <w:vertAlign w:val="superscript"/>
          <w:lang w:val="lv-LV"/>
        </w:rPr>
        <w:t>9</w:t>
      </w:r>
      <w:r w:rsidRPr="00D64D62">
        <w:rPr>
          <w:color w:val="000000"/>
          <w:lang w:val="lv-LV"/>
        </w:rPr>
        <w:t>/l</w:t>
      </w:r>
      <w:r w:rsidRPr="00D64D62">
        <w:rPr>
          <w:lang w:val="lv-LV"/>
        </w:rPr>
        <w:t xml:space="preserve">. Attiecīgi 9,6% un 3,8% pacientu, kuri </w:t>
      </w:r>
      <w:r>
        <w:rPr>
          <w:lang w:val="lv-LV"/>
        </w:rPr>
        <w:t xml:space="preserve">tocilizumabu </w:t>
      </w:r>
      <w:r w:rsidRPr="00D64D62">
        <w:rPr>
          <w:lang w:val="lv-LV"/>
        </w:rPr>
        <w:t xml:space="preserve">saņēma </w:t>
      </w:r>
      <w:r>
        <w:rPr>
          <w:lang w:val="lv-LV"/>
        </w:rPr>
        <w:t>subkutāni</w:t>
      </w:r>
      <w:r w:rsidRPr="00D64D62">
        <w:rPr>
          <w:lang w:val="lv-LV"/>
        </w:rPr>
        <w:t>, ALAT vai ASAT koncentrācija paaugstinājās līdz ≥</w:t>
      </w:r>
      <w:r>
        <w:rPr>
          <w:lang w:val="lv-LV"/>
        </w:rPr>
        <w:t> </w:t>
      </w:r>
      <w:r w:rsidRPr="00D64D62">
        <w:rPr>
          <w:lang w:val="lv-LV"/>
        </w:rPr>
        <w:t>3</w:t>
      </w:r>
      <w:r>
        <w:rPr>
          <w:lang w:val="lv-LV"/>
        </w:rPr>
        <w:t> × </w:t>
      </w:r>
      <w:r w:rsidRPr="00D64D62">
        <w:rPr>
          <w:lang w:val="lv-LV"/>
        </w:rPr>
        <w:t xml:space="preserve">NAR. Nevienam pacientam, kurš </w:t>
      </w:r>
      <w:r>
        <w:rPr>
          <w:lang w:val="lv-LV"/>
        </w:rPr>
        <w:t xml:space="preserve">tocilizumabu </w:t>
      </w:r>
      <w:r w:rsidRPr="00D64D62">
        <w:rPr>
          <w:lang w:val="lv-LV"/>
        </w:rPr>
        <w:t xml:space="preserve">saņēma </w:t>
      </w:r>
      <w:r>
        <w:rPr>
          <w:lang w:val="lv-LV"/>
        </w:rPr>
        <w:t>subkutāni</w:t>
      </w:r>
      <w:r w:rsidRPr="00D64D62">
        <w:rPr>
          <w:lang w:val="lv-LV"/>
        </w:rPr>
        <w:t xml:space="preserve">, trombocītu skaits nesamazinājās līdz </w:t>
      </w:r>
      <w:r w:rsidR="00714A3E" w:rsidRPr="00707120">
        <w:rPr>
          <w:szCs w:val="22"/>
          <w:lang w:val="lv-LV" w:eastAsia="ja-JP"/>
        </w:rPr>
        <w:t>≤</w:t>
      </w:r>
      <w:r w:rsidRPr="00707120">
        <w:rPr>
          <w:rFonts w:eastAsia="SimSun"/>
          <w:lang w:val="lv-LV"/>
        </w:rPr>
        <w:t> </w:t>
      </w:r>
      <w:r w:rsidRPr="00D64D62">
        <w:rPr>
          <w:lang w:val="lv-LV"/>
        </w:rPr>
        <w:t>50</w:t>
      </w:r>
      <w:r>
        <w:rPr>
          <w:lang w:val="lv-LV"/>
        </w:rPr>
        <w:t> </w:t>
      </w:r>
      <w:r w:rsidRPr="00D64D62">
        <w:rPr>
          <w:lang w:val="lv-LV"/>
        </w:rPr>
        <w:t>×</w:t>
      </w:r>
      <w:r>
        <w:rPr>
          <w:lang w:val="lv-LV"/>
        </w:rPr>
        <w:t> </w:t>
      </w:r>
      <w:r w:rsidRPr="00D64D62">
        <w:rPr>
          <w:lang w:val="lv-LV"/>
        </w:rPr>
        <w:t>10</w:t>
      </w:r>
      <w:r w:rsidRPr="00D64D62">
        <w:rPr>
          <w:vertAlign w:val="superscript"/>
          <w:lang w:val="lv-LV"/>
        </w:rPr>
        <w:t>3</w:t>
      </w:r>
      <w:r w:rsidRPr="00D64D62">
        <w:rPr>
          <w:lang w:val="lv-LV"/>
        </w:rPr>
        <w:t>/</w:t>
      </w:r>
      <w:r w:rsidRPr="00D64D62">
        <w:t>μ</w:t>
      </w:r>
      <w:r w:rsidRPr="00D64D62">
        <w:rPr>
          <w:lang w:val="lv-LV"/>
        </w:rPr>
        <w:t xml:space="preserve">l. </w:t>
      </w:r>
    </w:p>
    <w:p w14:paraId="3F25E6F1" w14:textId="77777777" w:rsidR="00A453C3" w:rsidRPr="00D64D62" w:rsidRDefault="00A453C3" w:rsidP="00A453C3">
      <w:pPr>
        <w:rPr>
          <w:rFonts w:eastAsia="SimSun"/>
          <w:lang w:val="lv-LV"/>
        </w:rPr>
      </w:pPr>
    </w:p>
    <w:p w14:paraId="2C197B6D" w14:textId="77777777" w:rsidR="00A453C3" w:rsidRPr="00707120" w:rsidRDefault="00A453C3" w:rsidP="00707120">
      <w:pPr>
        <w:keepNext/>
        <w:autoSpaceDE w:val="0"/>
        <w:autoSpaceDN w:val="0"/>
        <w:adjustRightInd w:val="0"/>
        <w:rPr>
          <w:i/>
          <w:u w:val="single"/>
          <w:lang w:val="lv-LV"/>
        </w:rPr>
      </w:pPr>
      <w:r w:rsidRPr="00707120">
        <w:rPr>
          <w:i/>
          <w:u w:val="single"/>
          <w:lang w:val="lv-LV"/>
        </w:rPr>
        <w:t>Lipīdu rādītāji</w:t>
      </w:r>
    </w:p>
    <w:p w14:paraId="68A0D033" w14:textId="77777777" w:rsidR="00A453C3" w:rsidRDefault="00A453C3" w:rsidP="00A453C3">
      <w:pPr>
        <w:rPr>
          <w:lang w:val="lv-LV"/>
        </w:rPr>
      </w:pPr>
      <w:r w:rsidRPr="00D64D62">
        <w:rPr>
          <w:lang w:val="lv-LV"/>
        </w:rPr>
        <w:t>Subkutānas terapijas pētījumā attiecīgi 14,3% un 12,8% pacientu pēc pētījuma sākuma ZBL holesterīna rādītājs jebkurā brīdī pētījuma zāļu lietošanas laikā paaugstinājās līdz ≥ 130 mg/dl un kopējā holesterīna rādītājs paaugstinājās līdz ≥ 200 mg/dl.</w:t>
      </w:r>
    </w:p>
    <w:p w14:paraId="7C6018EE" w14:textId="77777777" w:rsidR="00A453C3" w:rsidRPr="00D64D62" w:rsidRDefault="00A453C3" w:rsidP="00A453C3">
      <w:pPr>
        <w:rPr>
          <w:snapToGrid w:val="0"/>
          <w:szCs w:val="22"/>
          <w:u w:val="single"/>
          <w:lang w:val="lv-LV" w:eastAsia="zh-CN"/>
        </w:rPr>
      </w:pPr>
    </w:p>
    <w:p w14:paraId="32C58D57" w14:textId="77777777" w:rsidR="00A453C3" w:rsidRPr="00707120" w:rsidRDefault="00A453C3">
      <w:pPr>
        <w:keepNext/>
        <w:autoSpaceDE w:val="0"/>
        <w:autoSpaceDN w:val="0"/>
        <w:adjustRightInd w:val="0"/>
        <w:rPr>
          <w:rFonts w:eastAsia="SimSun"/>
          <w:bCs/>
          <w:i/>
          <w:iCs/>
          <w:szCs w:val="22"/>
          <w:lang w:val="lv-LV" w:eastAsia="zh-CN"/>
        </w:rPr>
        <w:pPrChange w:id="988" w:author="Author">
          <w:pPr>
            <w:autoSpaceDE w:val="0"/>
            <w:autoSpaceDN w:val="0"/>
            <w:adjustRightInd w:val="0"/>
          </w:pPr>
        </w:pPrChange>
      </w:pPr>
      <w:r w:rsidRPr="00707120">
        <w:rPr>
          <w:rFonts w:eastAsia="SimSun"/>
          <w:bCs/>
          <w:i/>
          <w:iCs/>
          <w:szCs w:val="22"/>
          <w:lang w:val="lv-LV" w:eastAsia="zh-CN"/>
        </w:rPr>
        <w:t>Pacienti ar GCA</w:t>
      </w:r>
    </w:p>
    <w:p w14:paraId="5FCBFFE5" w14:textId="26EEB8F1" w:rsidR="00A453C3" w:rsidRPr="00DD7A4F" w:rsidRDefault="00A453C3" w:rsidP="00A453C3">
      <w:pPr>
        <w:autoSpaceDE w:val="0"/>
        <w:autoSpaceDN w:val="0"/>
        <w:adjustRightInd w:val="0"/>
        <w:rPr>
          <w:rFonts w:eastAsia="SimSun"/>
          <w:szCs w:val="22"/>
          <w:lang w:val="lv-LV" w:eastAsia="zh-CN"/>
        </w:rPr>
      </w:pPr>
      <w:r w:rsidRPr="00DD7A4F">
        <w:rPr>
          <w:rFonts w:eastAsia="SimSun"/>
          <w:szCs w:val="22"/>
          <w:lang w:val="lv-LV" w:eastAsia="zh-CN"/>
        </w:rPr>
        <w:t xml:space="preserve">Subkutāni </w:t>
      </w:r>
      <w:r>
        <w:rPr>
          <w:rFonts w:eastAsia="SimSun"/>
          <w:szCs w:val="22"/>
          <w:lang w:val="lv-LV" w:eastAsia="zh-CN"/>
        </w:rPr>
        <w:t>lietota</w:t>
      </w:r>
      <w:r w:rsidRPr="00DD7A4F">
        <w:rPr>
          <w:rFonts w:eastAsia="SimSun"/>
          <w:szCs w:val="22"/>
          <w:lang w:val="lv-LV" w:eastAsia="zh-CN"/>
        </w:rPr>
        <w:t xml:space="preserve"> </w:t>
      </w:r>
      <w:r>
        <w:rPr>
          <w:rFonts w:eastAsia="SimSun"/>
          <w:szCs w:val="22"/>
          <w:lang w:val="lv-LV" w:eastAsia="zh-CN"/>
        </w:rPr>
        <w:t>tocilizumaba</w:t>
      </w:r>
      <w:r w:rsidRPr="00DD7A4F">
        <w:rPr>
          <w:rFonts w:eastAsia="SimSun"/>
          <w:szCs w:val="22"/>
          <w:lang w:val="lv-LV" w:eastAsia="zh-CN"/>
        </w:rPr>
        <w:t xml:space="preserve"> drošums pētīts vienā III</w:t>
      </w:r>
      <w:r>
        <w:rPr>
          <w:rFonts w:eastAsia="SimSun"/>
          <w:szCs w:val="22"/>
          <w:lang w:val="lv-LV" w:eastAsia="zh-CN"/>
        </w:rPr>
        <w:t> </w:t>
      </w:r>
      <w:r w:rsidRPr="00DD7A4F">
        <w:rPr>
          <w:rFonts w:eastAsia="SimSun"/>
          <w:szCs w:val="22"/>
          <w:lang w:val="lv-LV" w:eastAsia="zh-CN"/>
        </w:rPr>
        <w:t xml:space="preserve">fāzes pētījumā (WA28119), kurā piedalījās 251 pacients ar GCA. Pētījuma 12 mēnešus ilgajā dubultmaskētajā, </w:t>
      </w:r>
      <w:del w:id="989" w:author="Regulatory LV" w:date="2026-03-17T11:37:00Z">
        <w:r w:rsidDel="0089110E">
          <w:rPr>
            <w:rFonts w:eastAsia="SimSun"/>
            <w:szCs w:val="22"/>
            <w:lang w:val="lv-LV" w:eastAsia="zh-CN"/>
          </w:rPr>
          <w:delText xml:space="preserve">ar </w:delText>
        </w:r>
      </w:del>
      <w:r w:rsidRPr="00DD7A4F">
        <w:rPr>
          <w:rFonts w:eastAsia="SimSun"/>
          <w:szCs w:val="22"/>
          <w:lang w:val="lv-LV" w:eastAsia="zh-CN"/>
        </w:rPr>
        <w:t xml:space="preserve">placebo kontrolētajā fāzē kopējais </w:t>
      </w:r>
      <w:r>
        <w:rPr>
          <w:rFonts w:eastAsia="SimSun"/>
          <w:szCs w:val="22"/>
          <w:lang w:val="lv-LV" w:eastAsia="zh-CN"/>
        </w:rPr>
        <w:t>tocilizumaba</w:t>
      </w:r>
      <w:r w:rsidRPr="00DD7A4F">
        <w:rPr>
          <w:rFonts w:eastAsia="SimSun"/>
          <w:szCs w:val="22"/>
          <w:lang w:val="lv-LV" w:eastAsia="zh-CN"/>
        </w:rPr>
        <w:t xml:space="preserve"> terapijas ilgums bija 138,5 pacientgadi. Kopumā terapijas grupās novērotie drošuma rādītāji bija atbilstoši jau zināmajiem </w:t>
      </w:r>
      <w:r>
        <w:rPr>
          <w:rFonts w:eastAsia="SimSun"/>
          <w:szCs w:val="22"/>
          <w:lang w:val="lv-LV" w:eastAsia="zh-CN"/>
        </w:rPr>
        <w:t>tocilizumaba</w:t>
      </w:r>
      <w:r w:rsidRPr="00DD7A4F">
        <w:rPr>
          <w:rFonts w:eastAsia="SimSun"/>
          <w:szCs w:val="22"/>
          <w:lang w:val="lv-LV" w:eastAsia="zh-CN"/>
        </w:rPr>
        <w:t xml:space="preserve"> drošuma rādītājiem </w:t>
      </w:r>
      <w:r w:rsidRPr="00DD7A4F">
        <w:rPr>
          <w:lang w:val="lv-LV"/>
        </w:rPr>
        <w:t>(skatīt 1.</w:t>
      </w:r>
      <w:r>
        <w:rPr>
          <w:lang w:val="lv-LV"/>
        </w:rPr>
        <w:t> </w:t>
      </w:r>
      <w:r w:rsidRPr="00DD7A4F">
        <w:rPr>
          <w:lang w:val="lv-LV"/>
        </w:rPr>
        <w:t>tabulu).</w:t>
      </w:r>
    </w:p>
    <w:p w14:paraId="3024E45C" w14:textId="77777777" w:rsidR="00A453C3" w:rsidRPr="00DD7A4F" w:rsidRDefault="00A453C3" w:rsidP="00A453C3">
      <w:pPr>
        <w:autoSpaceDE w:val="0"/>
        <w:autoSpaceDN w:val="0"/>
        <w:adjustRightInd w:val="0"/>
        <w:rPr>
          <w:rFonts w:eastAsia="SimSun"/>
          <w:szCs w:val="22"/>
          <w:u w:val="single"/>
          <w:lang w:val="lv-LV" w:eastAsia="zh-CN"/>
        </w:rPr>
      </w:pPr>
    </w:p>
    <w:p w14:paraId="1259740B" w14:textId="77777777" w:rsidR="00A453C3" w:rsidRPr="00707120" w:rsidRDefault="00A453C3" w:rsidP="00707120">
      <w:pPr>
        <w:keepNext/>
        <w:rPr>
          <w:i/>
          <w:u w:val="single"/>
          <w:lang w:val="lv-LV" w:eastAsia="de-DE"/>
        </w:rPr>
      </w:pPr>
      <w:r w:rsidRPr="00707120">
        <w:rPr>
          <w:i/>
          <w:u w:val="single"/>
          <w:lang w:val="lv-LV" w:eastAsia="de-DE"/>
        </w:rPr>
        <w:t>Infekcijas</w:t>
      </w:r>
    </w:p>
    <w:p w14:paraId="0CC57C93" w14:textId="51DFE971" w:rsidR="00A453C3" w:rsidRPr="00DD7A4F" w:rsidRDefault="00A453C3" w:rsidP="00A453C3">
      <w:pPr>
        <w:rPr>
          <w:lang w:val="lv-LV" w:eastAsia="de-DE"/>
        </w:rPr>
      </w:pPr>
      <w:r w:rsidRPr="00171B0B">
        <w:rPr>
          <w:lang w:val="lv-LV" w:eastAsia="de-DE"/>
        </w:rPr>
        <w:t xml:space="preserve">Infekciju/būtisku infekciju rādītājs bija līdzsvarots grupā, kurā </w:t>
      </w:r>
      <w:r>
        <w:rPr>
          <w:lang w:val="lv-LV" w:eastAsia="de-DE"/>
        </w:rPr>
        <w:t>tocilizumabu</w:t>
      </w:r>
      <w:r w:rsidRPr="00171B0B">
        <w:rPr>
          <w:lang w:val="lv-LV" w:eastAsia="de-DE"/>
        </w:rPr>
        <w:t xml:space="preserve"> lietoja vienu</w:t>
      </w:r>
      <w:r w:rsidRPr="00DD7A4F">
        <w:rPr>
          <w:lang w:val="lv-LV" w:eastAsia="de-DE"/>
        </w:rPr>
        <w:t xml:space="preserve"> reizi nedēļā (200,2/9,7</w:t>
      </w:r>
      <w:r>
        <w:rPr>
          <w:lang w:val="lv-LV" w:eastAsia="de-DE"/>
        </w:rPr>
        <w:t> </w:t>
      </w:r>
      <w:r w:rsidR="00810B45">
        <w:rPr>
          <w:lang w:val="lv-LV" w:eastAsia="de-DE"/>
        </w:rPr>
        <w:t>notikumi</w:t>
      </w:r>
      <w:r w:rsidRPr="00DD7A4F">
        <w:rPr>
          <w:lang w:val="lv-LV" w:eastAsia="de-DE"/>
        </w:rPr>
        <w:t xml:space="preserve"> uz 100 pacientgadiem), </w:t>
      </w:r>
      <w:r>
        <w:rPr>
          <w:lang w:val="lv-LV" w:eastAsia="de-DE"/>
        </w:rPr>
        <w:t xml:space="preserve">un grupā, kurā lietoja </w:t>
      </w:r>
      <w:r w:rsidRPr="00DD7A4F">
        <w:rPr>
          <w:lang w:val="lv-LV" w:eastAsia="de-DE"/>
        </w:rPr>
        <w:t>placebo kombinācijā ar 26 nedēļas ilgu prednizona terapiju, pakāpeniski samazinot devu (156,0/4,2</w:t>
      </w:r>
      <w:r>
        <w:rPr>
          <w:lang w:val="lv-LV" w:eastAsia="de-DE"/>
        </w:rPr>
        <w:t> </w:t>
      </w:r>
      <w:del w:id="990" w:author="Author">
        <w:r w:rsidRPr="00DD7A4F" w:rsidDel="00CE6B8D">
          <w:rPr>
            <w:lang w:val="lv-LV" w:eastAsia="de-DE"/>
          </w:rPr>
          <w:delText xml:space="preserve"> </w:delText>
        </w:r>
      </w:del>
      <w:r w:rsidRPr="00DD7A4F">
        <w:rPr>
          <w:lang w:val="lv-LV" w:eastAsia="de-DE"/>
        </w:rPr>
        <w:t>notikumi uz 100</w:t>
      </w:r>
      <w:r>
        <w:rPr>
          <w:lang w:val="lv-LV" w:eastAsia="de-DE"/>
        </w:rPr>
        <w:t> </w:t>
      </w:r>
      <w:r w:rsidRPr="00DD7A4F">
        <w:rPr>
          <w:lang w:val="lv-LV" w:eastAsia="de-DE"/>
        </w:rPr>
        <w:t xml:space="preserve">pacientgadiem), vai </w:t>
      </w:r>
      <w:r>
        <w:rPr>
          <w:lang w:val="lv-LV" w:eastAsia="de-DE"/>
        </w:rPr>
        <w:t xml:space="preserve">grupā, kurā lietoja </w:t>
      </w:r>
      <w:r w:rsidRPr="00DD7A4F">
        <w:rPr>
          <w:lang w:val="lv-LV" w:eastAsia="de-DE"/>
        </w:rPr>
        <w:t>placebo kombinācijā ar 52</w:t>
      </w:r>
      <w:r>
        <w:rPr>
          <w:lang w:val="lv-LV" w:eastAsia="de-DE"/>
        </w:rPr>
        <w:t> </w:t>
      </w:r>
      <w:r w:rsidRPr="00DD7A4F">
        <w:rPr>
          <w:lang w:val="lv-LV" w:eastAsia="de-DE"/>
        </w:rPr>
        <w:t>nedēļas ilgu prednizona terapiju, pakāpeniski samazinot devu (210,2/12,5 notikumi uz 100</w:t>
      </w:r>
      <w:r>
        <w:rPr>
          <w:lang w:val="lv-LV" w:eastAsia="de-DE"/>
        </w:rPr>
        <w:t> </w:t>
      </w:r>
      <w:r w:rsidRPr="00DD7A4F">
        <w:rPr>
          <w:lang w:val="lv-LV" w:eastAsia="de-DE"/>
        </w:rPr>
        <w:t>pacientgadiem).</w:t>
      </w:r>
    </w:p>
    <w:p w14:paraId="0F48DE2F" w14:textId="77777777" w:rsidR="00A453C3" w:rsidRPr="00DD7A4F" w:rsidRDefault="00A453C3" w:rsidP="00A453C3">
      <w:pPr>
        <w:rPr>
          <w:b/>
          <w:lang w:val="lv-LV" w:eastAsia="de-DE"/>
        </w:rPr>
      </w:pPr>
    </w:p>
    <w:p w14:paraId="79806F30" w14:textId="77777777" w:rsidR="00A453C3" w:rsidRPr="00707120" w:rsidRDefault="00A453C3" w:rsidP="00707120">
      <w:pPr>
        <w:keepNext/>
        <w:spacing w:line="280" w:lineRule="atLeast"/>
        <w:jc w:val="both"/>
        <w:rPr>
          <w:szCs w:val="22"/>
          <w:u w:val="single"/>
          <w:lang w:val="lv-LV" w:eastAsia="de-DE"/>
        </w:rPr>
      </w:pPr>
      <w:r w:rsidRPr="00707120">
        <w:rPr>
          <w:i/>
          <w:szCs w:val="22"/>
          <w:u w:val="single"/>
          <w:lang w:val="lv-LV" w:eastAsia="de-DE"/>
        </w:rPr>
        <w:t>Reakcijas injekcijas vietā</w:t>
      </w:r>
    </w:p>
    <w:p w14:paraId="4F367488" w14:textId="160B857F" w:rsidR="00A453C3" w:rsidRPr="00DD7A4F" w:rsidRDefault="00A453C3" w:rsidP="00A453C3">
      <w:pPr>
        <w:rPr>
          <w:lang w:val="lv-LV" w:eastAsia="de-DE"/>
        </w:rPr>
      </w:pPr>
      <w:r w:rsidRPr="00DD7A4F">
        <w:rPr>
          <w:lang w:val="lv-LV" w:eastAsia="de-DE"/>
        </w:rPr>
        <w:t xml:space="preserve">Grupā, kurā </w:t>
      </w:r>
      <w:r w:rsidRPr="00DD7A4F">
        <w:rPr>
          <w:szCs w:val="22"/>
          <w:lang w:val="lv-LV" w:eastAsia="de-DE"/>
        </w:rPr>
        <w:t xml:space="preserve">pacientiem </w:t>
      </w:r>
      <w:r>
        <w:rPr>
          <w:szCs w:val="22"/>
          <w:lang w:val="lv-LV" w:eastAsia="de-DE"/>
        </w:rPr>
        <w:t xml:space="preserve">vienu </w:t>
      </w:r>
      <w:r w:rsidRPr="00DD7A4F">
        <w:rPr>
          <w:szCs w:val="22"/>
          <w:lang w:val="lv-LV" w:eastAsia="de-DE"/>
        </w:rPr>
        <w:t xml:space="preserve">reizi nedēļā subkutāni ievadīja </w:t>
      </w:r>
      <w:r>
        <w:rPr>
          <w:szCs w:val="22"/>
          <w:lang w:val="lv-LV" w:eastAsia="de-DE"/>
        </w:rPr>
        <w:t>tocilizumabu</w:t>
      </w:r>
      <w:r w:rsidRPr="00DD7A4F">
        <w:rPr>
          <w:lang w:val="lv-LV" w:eastAsia="de-DE"/>
        </w:rPr>
        <w:t>, blakusparādības subkutānās injekcijas vietā radās kopumā 6% pacientu (6/100). Netika ziņots ne par vienu reakciju injekcijas vietā, kas būtu būtiska blakusparādība vai kuras dēļ nepieciešams pārtraukt ārstēšanu.</w:t>
      </w:r>
    </w:p>
    <w:p w14:paraId="7721550D" w14:textId="77777777" w:rsidR="00A453C3" w:rsidRPr="00DD7A4F" w:rsidRDefault="00A453C3" w:rsidP="00A453C3">
      <w:pPr>
        <w:rPr>
          <w:lang w:val="lv-LV" w:eastAsia="de-DE"/>
        </w:rPr>
      </w:pPr>
    </w:p>
    <w:p w14:paraId="54C8D725" w14:textId="77777777" w:rsidR="00A453C3" w:rsidRPr="00707120" w:rsidRDefault="00A453C3" w:rsidP="00707120">
      <w:pPr>
        <w:keepNext/>
        <w:spacing w:line="280" w:lineRule="atLeast"/>
        <w:jc w:val="both"/>
        <w:rPr>
          <w:i/>
          <w:szCs w:val="22"/>
          <w:u w:val="single"/>
          <w:lang w:val="lv-LV" w:eastAsia="de-DE"/>
        </w:rPr>
      </w:pPr>
      <w:r w:rsidRPr="00707120">
        <w:rPr>
          <w:i/>
          <w:szCs w:val="22"/>
          <w:u w:val="single"/>
          <w:lang w:val="lv-LV" w:eastAsia="de-DE"/>
        </w:rPr>
        <w:t>Imūngenitāte</w:t>
      </w:r>
    </w:p>
    <w:p w14:paraId="37F2975C" w14:textId="36AF7473" w:rsidR="00A453C3" w:rsidRPr="00DD7A4F" w:rsidRDefault="00A453C3" w:rsidP="00A453C3">
      <w:pPr>
        <w:rPr>
          <w:lang w:val="lv-LV" w:eastAsia="de-DE"/>
        </w:rPr>
      </w:pPr>
      <w:r w:rsidRPr="00DD7A4F">
        <w:rPr>
          <w:lang w:val="lv-LV" w:eastAsia="de-DE"/>
        </w:rPr>
        <w:t xml:space="preserve">Grupā, kurā </w:t>
      </w:r>
      <w:r w:rsidRPr="00DD7A4F">
        <w:rPr>
          <w:szCs w:val="22"/>
          <w:lang w:val="lv-LV" w:eastAsia="de-DE"/>
        </w:rPr>
        <w:t xml:space="preserve">pacientiem reizi nedēļā subkutāni ievadīja </w:t>
      </w:r>
      <w:r>
        <w:rPr>
          <w:szCs w:val="22"/>
          <w:lang w:val="lv-LV" w:eastAsia="de-DE"/>
        </w:rPr>
        <w:t>tocilizumabu</w:t>
      </w:r>
      <w:r w:rsidRPr="00DD7A4F">
        <w:rPr>
          <w:lang w:val="lv-LV" w:eastAsia="de-DE"/>
        </w:rPr>
        <w:t>, vienam pacientam (1,1%, 1/95) izveidojās neitralizējošas anti</w:t>
      </w:r>
      <w:r>
        <w:rPr>
          <w:lang w:val="lv-LV" w:eastAsia="de-DE"/>
        </w:rPr>
        <w:noBreakHyphen/>
        <w:t>tocilizumaba</w:t>
      </w:r>
      <w:r w:rsidRPr="00DD7A4F">
        <w:rPr>
          <w:lang w:val="lv-LV" w:eastAsia="de-DE"/>
        </w:rPr>
        <w:t xml:space="preserve"> antivielas, kas nebija IgE izotips. Šim pacientam neradās paaugstinātas jutības reakcija vai reakcija injekcijas vietā.</w:t>
      </w:r>
    </w:p>
    <w:p w14:paraId="70A573FE" w14:textId="77777777" w:rsidR="00A453C3" w:rsidRPr="00DD7A4F" w:rsidRDefault="00A453C3" w:rsidP="00A453C3">
      <w:pPr>
        <w:rPr>
          <w:lang w:val="lv-LV" w:eastAsia="de-DE"/>
        </w:rPr>
      </w:pPr>
    </w:p>
    <w:p w14:paraId="754A7B88" w14:textId="77777777" w:rsidR="00A453C3" w:rsidRPr="00707120" w:rsidRDefault="00A453C3" w:rsidP="00707120">
      <w:pPr>
        <w:keepNext/>
        <w:autoSpaceDE w:val="0"/>
        <w:autoSpaceDN w:val="0"/>
        <w:adjustRightInd w:val="0"/>
        <w:rPr>
          <w:rFonts w:eastAsia="SimSun"/>
          <w:szCs w:val="22"/>
          <w:u w:val="single"/>
          <w:lang w:val="lv-LV" w:eastAsia="zh-CN"/>
        </w:rPr>
      </w:pPr>
      <w:r w:rsidRPr="00707120">
        <w:rPr>
          <w:i/>
          <w:szCs w:val="22"/>
          <w:u w:val="single"/>
          <w:lang w:val="lv-LV"/>
        </w:rPr>
        <w:t>Neitrofilie leikocīti</w:t>
      </w:r>
    </w:p>
    <w:p w14:paraId="4571FF00" w14:textId="28CC6D06" w:rsidR="00A453C3" w:rsidRPr="00DD7A4F" w:rsidRDefault="00A453C3" w:rsidP="00A453C3">
      <w:pPr>
        <w:spacing w:line="0" w:lineRule="atLeast"/>
        <w:rPr>
          <w:szCs w:val="22"/>
          <w:lang w:val="lv-LV" w:eastAsia="de-DE"/>
        </w:rPr>
      </w:pPr>
      <w:r>
        <w:rPr>
          <w:szCs w:val="22"/>
          <w:lang w:val="lv-LV" w:eastAsia="de-DE"/>
        </w:rPr>
        <w:t>Tocilizumaba</w:t>
      </w:r>
      <w:r w:rsidRPr="00DD7A4F">
        <w:rPr>
          <w:szCs w:val="22"/>
          <w:lang w:val="lv-LV" w:eastAsia="de-DE"/>
        </w:rPr>
        <w:t xml:space="preserve"> 12 mēnešus </w:t>
      </w:r>
      <w:r w:rsidRPr="00171B0B">
        <w:rPr>
          <w:szCs w:val="22"/>
          <w:lang w:val="lv-LV" w:eastAsia="de-DE"/>
        </w:rPr>
        <w:t xml:space="preserve">ilgā kontrolētā klīniskā pētījuma parastās laboratoriskās kontroles laikā grupā, kurā pacientiem vienu reizi nedēļā subkutāni ievadīja </w:t>
      </w:r>
      <w:r>
        <w:rPr>
          <w:szCs w:val="22"/>
          <w:lang w:val="lv-LV" w:eastAsia="de-DE"/>
        </w:rPr>
        <w:t>tocilizumabu</w:t>
      </w:r>
      <w:r w:rsidRPr="00171B0B">
        <w:rPr>
          <w:szCs w:val="22"/>
          <w:lang w:val="lv-LV" w:eastAsia="de-DE"/>
        </w:rPr>
        <w:t>, 4% pacientu neitrofilo leikocītu skaits samazinājās zem 1</w:t>
      </w:r>
      <w:r>
        <w:rPr>
          <w:szCs w:val="22"/>
          <w:lang w:val="lv-LV" w:eastAsia="de-DE"/>
        </w:rPr>
        <w:t> </w:t>
      </w:r>
      <w:r w:rsidRPr="00171B0B">
        <w:rPr>
          <w:szCs w:val="22"/>
          <w:lang w:val="lv-LV" w:eastAsia="de-DE"/>
        </w:rPr>
        <w:t>×</w:t>
      </w:r>
      <w:r>
        <w:rPr>
          <w:szCs w:val="22"/>
          <w:lang w:val="lv-LV" w:eastAsia="de-DE"/>
        </w:rPr>
        <w:t> </w:t>
      </w:r>
      <w:r w:rsidRPr="00171B0B">
        <w:rPr>
          <w:szCs w:val="22"/>
          <w:lang w:val="lv-LV" w:eastAsia="de-DE"/>
        </w:rPr>
        <w:t>10</w:t>
      </w:r>
      <w:r w:rsidRPr="00171B0B">
        <w:rPr>
          <w:szCs w:val="22"/>
          <w:vertAlign w:val="superscript"/>
          <w:lang w:val="lv-LV" w:eastAsia="de-DE"/>
        </w:rPr>
        <w:t>9</w:t>
      </w:r>
      <w:r w:rsidRPr="00171B0B">
        <w:rPr>
          <w:szCs w:val="22"/>
          <w:lang w:val="lv-LV" w:eastAsia="de-DE"/>
        </w:rPr>
        <w:t>/l. To nenovēroja nevienā no grupām, kurās lietoja</w:t>
      </w:r>
      <w:r w:rsidRPr="00DD7A4F">
        <w:rPr>
          <w:szCs w:val="22"/>
          <w:lang w:val="lv-LV" w:eastAsia="de-DE"/>
        </w:rPr>
        <w:t xml:space="preserve"> placebo kombinācijā ar pakāpeniski samazinātu prednizona devu.</w:t>
      </w:r>
    </w:p>
    <w:p w14:paraId="415080BC" w14:textId="77777777" w:rsidR="00A453C3" w:rsidRPr="00DD7A4F" w:rsidRDefault="00A453C3" w:rsidP="00A453C3">
      <w:pPr>
        <w:spacing w:line="0" w:lineRule="atLeast"/>
        <w:rPr>
          <w:szCs w:val="22"/>
          <w:lang w:val="lv-LV" w:eastAsia="de-DE"/>
        </w:rPr>
      </w:pPr>
    </w:p>
    <w:p w14:paraId="48678F0D" w14:textId="77777777" w:rsidR="00A453C3" w:rsidRPr="00707120" w:rsidRDefault="00A453C3" w:rsidP="00A453C3">
      <w:pPr>
        <w:keepNext/>
        <w:keepLines/>
        <w:spacing w:line="0" w:lineRule="atLeast"/>
        <w:rPr>
          <w:i/>
          <w:szCs w:val="22"/>
          <w:u w:val="single"/>
          <w:lang w:val="lv-LV" w:eastAsia="de-DE"/>
        </w:rPr>
      </w:pPr>
      <w:r w:rsidRPr="00707120">
        <w:rPr>
          <w:i/>
          <w:szCs w:val="22"/>
          <w:u w:val="single"/>
          <w:lang w:val="lv-LV" w:eastAsia="de-DE"/>
        </w:rPr>
        <w:t>Trombocīti</w:t>
      </w:r>
    </w:p>
    <w:p w14:paraId="47E7CEFF" w14:textId="1D4C00BC" w:rsidR="00A453C3" w:rsidRPr="00DD7A4F" w:rsidRDefault="00A453C3" w:rsidP="00A453C3">
      <w:pPr>
        <w:keepNext/>
        <w:keepLines/>
        <w:spacing w:line="0" w:lineRule="atLeast"/>
        <w:rPr>
          <w:szCs w:val="22"/>
          <w:lang w:val="lv-LV" w:eastAsia="de-DE"/>
        </w:rPr>
      </w:pPr>
      <w:r>
        <w:rPr>
          <w:szCs w:val="22"/>
          <w:lang w:val="lv-LV" w:eastAsia="de-DE"/>
        </w:rPr>
        <w:t>Tocilizumaba</w:t>
      </w:r>
      <w:r w:rsidRPr="00DD7A4F">
        <w:rPr>
          <w:szCs w:val="22"/>
          <w:lang w:val="lv-LV" w:eastAsia="de-DE"/>
        </w:rPr>
        <w:t xml:space="preserve"> 12 mēnešus </w:t>
      </w:r>
      <w:r w:rsidRPr="00171B0B">
        <w:rPr>
          <w:szCs w:val="22"/>
          <w:lang w:val="lv-LV" w:eastAsia="de-DE"/>
        </w:rPr>
        <w:t>ilgā kontrolētā klīniskā pētījuma parastās laboratoriskās kontroles laikā grupā, kurā pacientiem vienu</w:t>
      </w:r>
      <w:r w:rsidRPr="00DD7A4F">
        <w:rPr>
          <w:szCs w:val="22"/>
          <w:lang w:val="lv-LV" w:eastAsia="de-DE"/>
        </w:rPr>
        <w:t xml:space="preserve"> reizi nedēļā subkutāni ievadīja </w:t>
      </w:r>
      <w:r>
        <w:rPr>
          <w:szCs w:val="22"/>
          <w:lang w:val="lv-LV" w:eastAsia="de-DE"/>
        </w:rPr>
        <w:t>tocilizumabu</w:t>
      </w:r>
      <w:r w:rsidRPr="00DD7A4F">
        <w:rPr>
          <w:szCs w:val="22"/>
          <w:lang w:val="lv-LV" w:eastAsia="de-DE"/>
        </w:rPr>
        <w:t>, vienam pacientam (1%, 1/100) vienu reizi bija pārejoši samazināts trombocītu skaits līdz &lt;</w:t>
      </w:r>
      <w:r>
        <w:rPr>
          <w:szCs w:val="22"/>
          <w:lang w:val="lv-LV" w:eastAsia="de-DE"/>
        </w:rPr>
        <w:t> </w:t>
      </w:r>
      <w:r w:rsidRPr="00DD7A4F">
        <w:rPr>
          <w:szCs w:val="22"/>
          <w:lang w:val="lv-LV" w:eastAsia="de-DE"/>
        </w:rPr>
        <w:t>100</w:t>
      </w:r>
      <w:r>
        <w:rPr>
          <w:szCs w:val="22"/>
          <w:lang w:val="lv-LV" w:eastAsia="de-DE"/>
        </w:rPr>
        <w:t> </w:t>
      </w:r>
      <w:r w:rsidRPr="00DD7A4F">
        <w:rPr>
          <w:szCs w:val="22"/>
          <w:lang w:val="lv-LV" w:eastAsia="de-DE"/>
        </w:rPr>
        <w:t>×</w:t>
      </w:r>
      <w:r>
        <w:rPr>
          <w:szCs w:val="22"/>
          <w:lang w:val="lv-LV" w:eastAsia="de-DE"/>
        </w:rPr>
        <w:t> </w:t>
      </w:r>
      <w:r w:rsidRPr="00DD7A4F">
        <w:rPr>
          <w:szCs w:val="22"/>
          <w:lang w:val="lv-LV" w:eastAsia="de-DE"/>
        </w:rPr>
        <w:t>10</w:t>
      </w:r>
      <w:r w:rsidRPr="00DD7A4F">
        <w:rPr>
          <w:szCs w:val="22"/>
          <w:vertAlign w:val="superscript"/>
          <w:lang w:val="lv-LV" w:eastAsia="de-DE"/>
        </w:rPr>
        <w:t>3</w:t>
      </w:r>
      <w:r w:rsidRPr="00DD7A4F">
        <w:rPr>
          <w:szCs w:val="22"/>
          <w:lang w:val="lv-LV" w:eastAsia="de-DE"/>
        </w:rPr>
        <w:t>/μl, bet bez ar to saistītas asiņošanas. Trombocītu skaita samazināšanos zem 100</w:t>
      </w:r>
      <w:r>
        <w:rPr>
          <w:szCs w:val="22"/>
          <w:lang w:val="lv-LV" w:eastAsia="de-DE"/>
        </w:rPr>
        <w:t> </w:t>
      </w:r>
      <w:r w:rsidRPr="00DD7A4F">
        <w:rPr>
          <w:szCs w:val="22"/>
          <w:lang w:val="lv-LV" w:eastAsia="de-DE"/>
        </w:rPr>
        <w:t>×</w:t>
      </w:r>
      <w:r>
        <w:rPr>
          <w:szCs w:val="22"/>
          <w:lang w:val="lv-LV" w:eastAsia="de-DE"/>
        </w:rPr>
        <w:t> </w:t>
      </w:r>
      <w:r w:rsidRPr="00DD7A4F">
        <w:rPr>
          <w:szCs w:val="22"/>
          <w:lang w:val="lv-LV" w:eastAsia="de-DE"/>
        </w:rPr>
        <w:t>10</w:t>
      </w:r>
      <w:r w:rsidRPr="00DD7A4F">
        <w:rPr>
          <w:szCs w:val="22"/>
          <w:vertAlign w:val="superscript"/>
          <w:lang w:val="lv-LV" w:eastAsia="de-DE"/>
        </w:rPr>
        <w:t>3</w:t>
      </w:r>
      <w:r w:rsidRPr="00DD7A4F">
        <w:rPr>
          <w:szCs w:val="22"/>
          <w:lang w:val="lv-LV" w:eastAsia="de-DE"/>
        </w:rPr>
        <w:t xml:space="preserve">/μl nenovēroja nevienā no grupām, kurās </w:t>
      </w:r>
      <w:r>
        <w:rPr>
          <w:szCs w:val="22"/>
          <w:lang w:val="lv-LV" w:eastAsia="de-DE"/>
        </w:rPr>
        <w:t>lietoja</w:t>
      </w:r>
      <w:r w:rsidRPr="00DD7A4F">
        <w:rPr>
          <w:szCs w:val="22"/>
          <w:lang w:val="lv-LV" w:eastAsia="de-DE"/>
        </w:rPr>
        <w:t xml:space="preserve"> placebo kombinācijā ar pakāpeniski samazinātu prednizona devu.</w:t>
      </w:r>
    </w:p>
    <w:p w14:paraId="22FCEE58" w14:textId="77777777" w:rsidR="00A453C3" w:rsidRPr="00DD7A4F" w:rsidRDefault="00A453C3" w:rsidP="00A453C3">
      <w:pPr>
        <w:spacing w:line="0" w:lineRule="atLeast"/>
        <w:rPr>
          <w:szCs w:val="22"/>
          <w:lang w:val="lv-LV" w:eastAsia="de-DE"/>
        </w:rPr>
      </w:pPr>
    </w:p>
    <w:p w14:paraId="5C507A69" w14:textId="77777777" w:rsidR="00A453C3" w:rsidRPr="00707120" w:rsidRDefault="00A453C3" w:rsidP="00A453C3">
      <w:pPr>
        <w:keepNext/>
        <w:keepLines/>
        <w:rPr>
          <w:i/>
          <w:szCs w:val="22"/>
          <w:u w:val="single"/>
          <w:lang w:val="lv-LV"/>
        </w:rPr>
      </w:pPr>
      <w:r w:rsidRPr="00707120">
        <w:rPr>
          <w:i/>
          <w:szCs w:val="22"/>
          <w:u w:val="single"/>
          <w:lang w:val="lv-LV"/>
        </w:rPr>
        <w:t>Paaugstināts aknu transamināžu līmenis</w:t>
      </w:r>
    </w:p>
    <w:p w14:paraId="1675032F" w14:textId="5831CC43" w:rsidR="00A453C3" w:rsidRPr="00DD7A4F" w:rsidRDefault="00A453C3" w:rsidP="00A453C3">
      <w:pPr>
        <w:keepNext/>
        <w:keepLines/>
        <w:autoSpaceDE w:val="0"/>
        <w:autoSpaceDN w:val="0"/>
        <w:adjustRightInd w:val="0"/>
        <w:rPr>
          <w:szCs w:val="22"/>
          <w:lang w:val="lv-LV" w:eastAsia="de-DE"/>
        </w:rPr>
      </w:pPr>
      <w:r>
        <w:rPr>
          <w:szCs w:val="22"/>
          <w:lang w:val="lv-LV" w:eastAsia="de-DE"/>
        </w:rPr>
        <w:t>Tocilizumaba</w:t>
      </w:r>
      <w:r w:rsidRPr="00DD7A4F">
        <w:rPr>
          <w:szCs w:val="22"/>
          <w:lang w:val="lv-LV" w:eastAsia="de-DE"/>
        </w:rPr>
        <w:t xml:space="preserve"> 12 </w:t>
      </w:r>
      <w:r w:rsidRPr="00171B0B">
        <w:rPr>
          <w:szCs w:val="22"/>
          <w:lang w:val="lv-LV" w:eastAsia="de-DE"/>
        </w:rPr>
        <w:t>mēnešus ilgā kontrolētā klīniskā pētījuma parastās laboratoriskās kontroles laikā ALAT līmeņa paaugstināšanos ≥</w:t>
      </w:r>
      <w:r>
        <w:rPr>
          <w:szCs w:val="22"/>
          <w:lang w:val="lv-LV" w:eastAsia="de-DE"/>
        </w:rPr>
        <w:t> </w:t>
      </w:r>
      <w:r w:rsidRPr="00171B0B">
        <w:rPr>
          <w:szCs w:val="22"/>
          <w:lang w:val="lv-LV" w:eastAsia="de-DE"/>
        </w:rPr>
        <w:t>3</w:t>
      </w:r>
      <w:r>
        <w:rPr>
          <w:szCs w:val="22"/>
          <w:lang w:val="lv-LV" w:eastAsia="de-DE"/>
        </w:rPr>
        <w:t> × </w:t>
      </w:r>
      <w:r w:rsidRPr="00171B0B">
        <w:rPr>
          <w:szCs w:val="22"/>
          <w:lang w:val="lv-LV" w:eastAsia="de-DE"/>
        </w:rPr>
        <w:t xml:space="preserve">NAR novēroja 3% pacientu grupā, kurā pacientiem vienu </w:t>
      </w:r>
      <w:r w:rsidRPr="00DD7A4F">
        <w:rPr>
          <w:szCs w:val="22"/>
          <w:lang w:val="lv-LV" w:eastAsia="de-DE"/>
        </w:rPr>
        <w:t xml:space="preserve">reizi nedēļā subkutāni ievadīja </w:t>
      </w:r>
      <w:r>
        <w:rPr>
          <w:szCs w:val="22"/>
          <w:lang w:val="lv-LV" w:eastAsia="de-DE"/>
        </w:rPr>
        <w:t>tocilizumabu</w:t>
      </w:r>
      <w:r w:rsidRPr="00DD7A4F">
        <w:rPr>
          <w:szCs w:val="22"/>
          <w:lang w:val="lv-LV" w:eastAsia="de-DE"/>
        </w:rPr>
        <w:t>, 2% pacientu grupā, kurā lietoja placebo kombinācijā ar 52 nedēļas ilgu prednizona terapiju ar devas pakāpenisku samazināšanu, un nevienam pacientam grupā, kurā lietoja placebo kombinācijā ar 26 nedēļas ilgu prednizona terapiju ar devas pakāpenisku samazināšanu. ASAT līmeņa paaugstināšanos &gt;</w:t>
      </w:r>
      <w:r>
        <w:rPr>
          <w:szCs w:val="22"/>
          <w:lang w:val="lv-LV" w:eastAsia="de-DE"/>
        </w:rPr>
        <w:t> </w:t>
      </w:r>
      <w:r w:rsidRPr="00DD7A4F">
        <w:rPr>
          <w:szCs w:val="22"/>
          <w:lang w:val="lv-LV" w:eastAsia="de-DE"/>
        </w:rPr>
        <w:t>3</w:t>
      </w:r>
      <w:r>
        <w:rPr>
          <w:szCs w:val="22"/>
          <w:lang w:val="lv-LV" w:eastAsia="de-DE"/>
        </w:rPr>
        <w:t> × </w:t>
      </w:r>
      <w:r w:rsidRPr="00DD7A4F">
        <w:rPr>
          <w:szCs w:val="22"/>
          <w:lang w:val="lv-LV" w:eastAsia="de-DE"/>
        </w:rPr>
        <w:t>NAR novēroja 1% pacientu grupā, kurā pacientiem</w:t>
      </w:r>
      <w:r>
        <w:rPr>
          <w:szCs w:val="22"/>
          <w:lang w:val="lv-LV" w:eastAsia="de-DE"/>
        </w:rPr>
        <w:t xml:space="preserve"> vienu</w:t>
      </w:r>
      <w:r w:rsidRPr="00DD7A4F">
        <w:rPr>
          <w:szCs w:val="22"/>
          <w:lang w:val="lv-LV" w:eastAsia="de-DE"/>
        </w:rPr>
        <w:t xml:space="preserve"> reizi nedēļā subkutāni ievadīja </w:t>
      </w:r>
      <w:r>
        <w:rPr>
          <w:szCs w:val="22"/>
          <w:lang w:val="lv-LV" w:eastAsia="de-DE"/>
        </w:rPr>
        <w:t>tocilizumabu</w:t>
      </w:r>
      <w:r w:rsidRPr="00DD7A4F">
        <w:rPr>
          <w:szCs w:val="22"/>
          <w:lang w:val="lv-LV" w:eastAsia="de-DE"/>
        </w:rPr>
        <w:t>, bet to nenovēroja nevienam pacientam nevienā no grupām, kurās pacientiem lietoja placebo kombinācijā ar pakāpeniski samazinātu prednizona devu.</w:t>
      </w:r>
    </w:p>
    <w:p w14:paraId="2207F147" w14:textId="77777777" w:rsidR="00A453C3" w:rsidRPr="00DD7A4F" w:rsidRDefault="00A453C3" w:rsidP="00A453C3">
      <w:pPr>
        <w:rPr>
          <w:i/>
          <w:szCs w:val="22"/>
          <w:lang w:val="lv-LV"/>
        </w:rPr>
      </w:pPr>
    </w:p>
    <w:p w14:paraId="25BFE40C" w14:textId="77777777" w:rsidR="00A453C3" w:rsidRPr="00707120" w:rsidRDefault="00A453C3" w:rsidP="00707120">
      <w:pPr>
        <w:keepNext/>
        <w:autoSpaceDE w:val="0"/>
        <w:autoSpaceDN w:val="0"/>
        <w:adjustRightInd w:val="0"/>
        <w:rPr>
          <w:i/>
          <w:szCs w:val="22"/>
          <w:u w:val="single"/>
          <w:lang w:val="lv-LV"/>
        </w:rPr>
      </w:pPr>
      <w:r w:rsidRPr="00707120">
        <w:rPr>
          <w:i/>
          <w:szCs w:val="22"/>
          <w:u w:val="single"/>
          <w:lang w:val="lv-LV"/>
        </w:rPr>
        <w:t>Lipīdu rādītāji</w:t>
      </w:r>
    </w:p>
    <w:p w14:paraId="4D9C5D20" w14:textId="7B59AAF3" w:rsidR="00A453C3" w:rsidRPr="00DD7A4F" w:rsidRDefault="00A453C3" w:rsidP="00A453C3">
      <w:pPr>
        <w:autoSpaceDE w:val="0"/>
        <w:rPr>
          <w:rFonts w:eastAsia="PMingLiU"/>
          <w:b/>
          <w:bCs/>
          <w:szCs w:val="22"/>
          <w:lang w:val="lv-LV"/>
        </w:rPr>
      </w:pPr>
      <w:r>
        <w:rPr>
          <w:szCs w:val="22"/>
          <w:lang w:val="lv-LV" w:eastAsia="de-DE"/>
        </w:rPr>
        <w:t>Tocilizumaba</w:t>
      </w:r>
      <w:r w:rsidRPr="00DD7A4F">
        <w:rPr>
          <w:szCs w:val="22"/>
          <w:lang w:val="lv-LV" w:eastAsia="de-DE"/>
        </w:rPr>
        <w:t xml:space="preserve"> 12 mēnešus </w:t>
      </w:r>
      <w:r w:rsidRPr="00171B0B">
        <w:rPr>
          <w:szCs w:val="22"/>
          <w:lang w:val="lv-LV" w:eastAsia="de-DE"/>
        </w:rPr>
        <w:t xml:space="preserve">ilgā kontrolētā klīniskā pētījuma parastās laboratoriskās kontroles laikā grupā, kurā pacientiem vienu reizi nedēļā subkutāni ievadīja </w:t>
      </w:r>
      <w:r>
        <w:rPr>
          <w:szCs w:val="22"/>
          <w:lang w:val="lv-LV" w:eastAsia="de-DE"/>
        </w:rPr>
        <w:t>tocilizumabu</w:t>
      </w:r>
      <w:r w:rsidRPr="00171B0B">
        <w:rPr>
          <w:szCs w:val="22"/>
          <w:lang w:val="lv-LV" w:eastAsia="de-DE"/>
        </w:rPr>
        <w:t>, 34% pacientu novēroja pastāvīgi paaugstinātu kopējā holesterīna līmeni &gt;</w:t>
      </w:r>
      <w:r>
        <w:rPr>
          <w:szCs w:val="22"/>
          <w:lang w:val="lv-LV" w:eastAsia="de-DE"/>
        </w:rPr>
        <w:t> </w:t>
      </w:r>
      <w:r w:rsidRPr="00171B0B">
        <w:rPr>
          <w:szCs w:val="22"/>
          <w:lang w:val="lv-LV" w:eastAsia="de-DE"/>
        </w:rPr>
        <w:t xml:space="preserve">6,2 mmol/l (240 mg/dl), un 15% pacientu bija pastāvīgi </w:t>
      </w:r>
      <w:r w:rsidRPr="00DD7A4F">
        <w:rPr>
          <w:rFonts w:eastAsia="PMingLiU"/>
          <w:szCs w:val="22"/>
          <w:lang w:val="lv-LV" w:eastAsia="de-DE"/>
        </w:rPr>
        <w:t xml:space="preserve">paaugstināts ZBL līmenis līdz </w:t>
      </w:r>
      <w:r w:rsidR="00714A3E" w:rsidRPr="00707120">
        <w:rPr>
          <w:rFonts w:eastAsia="PMingLiU"/>
          <w:szCs w:val="22"/>
          <w:lang w:val="lv-LV" w:eastAsia="ja-JP"/>
        </w:rPr>
        <w:t>≥</w:t>
      </w:r>
      <w:r w:rsidRPr="00DD7A4F">
        <w:rPr>
          <w:rFonts w:eastAsia="PMingLiU"/>
          <w:szCs w:val="22"/>
          <w:lang w:val="lv-LV" w:eastAsia="de-DE"/>
        </w:rPr>
        <w:t> 4,1 mmol/l (160 mg/dl).</w:t>
      </w:r>
    </w:p>
    <w:p w14:paraId="02AD7A62" w14:textId="77777777" w:rsidR="00A453C3" w:rsidRDefault="00A453C3" w:rsidP="00707120">
      <w:pPr>
        <w:keepLines/>
        <w:rPr>
          <w:szCs w:val="22"/>
          <w:u w:val="single"/>
          <w:lang w:val="lv-LV"/>
        </w:rPr>
      </w:pPr>
    </w:p>
    <w:p w14:paraId="543CA857" w14:textId="3A0013E7" w:rsidR="00A453C3" w:rsidRPr="007D6CFA" w:rsidRDefault="00A453C3" w:rsidP="00A453C3">
      <w:pPr>
        <w:keepNext/>
        <w:keepLines/>
        <w:rPr>
          <w:szCs w:val="22"/>
          <w:u w:val="single"/>
          <w:lang w:val="lv-LV"/>
        </w:rPr>
      </w:pPr>
      <w:r>
        <w:rPr>
          <w:szCs w:val="22"/>
          <w:u w:val="single"/>
          <w:lang w:val="lv-LV"/>
        </w:rPr>
        <w:t>Atsevišķu nevēlamo blakusparādību apraksts (i</w:t>
      </w:r>
      <w:r w:rsidRPr="007D6CFA">
        <w:rPr>
          <w:szCs w:val="22"/>
          <w:u w:val="single"/>
          <w:lang w:val="lv-LV"/>
        </w:rPr>
        <w:t>ntravenoza lietošana</w:t>
      </w:r>
      <w:r>
        <w:rPr>
          <w:szCs w:val="22"/>
          <w:u w:val="single"/>
          <w:lang w:val="lv-LV"/>
        </w:rPr>
        <w:t>)</w:t>
      </w:r>
    </w:p>
    <w:p w14:paraId="3612E7ED" w14:textId="77777777" w:rsidR="00A453C3" w:rsidRPr="00707120" w:rsidRDefault="00A453C3" w:rsidP="00A453C3">
      <w:pPr>
        <w:keepNext/>
        <w:keepLines/>
        <w:ind w:left="567" w:hanging="567"/>
        <w:outlineLvl w:val="0"/>
        <w:rPr>
          <w:bCs/>
          <w:i/>
          <w:iCs/>
          <w:szCs w:val="22"/>
          <w:lang w:val="lv-LV"/>
        </w:rPr>
      </w:pPr>
      <w:r w:rsidRPr="00707120">
        <w:rPr>
          <w:bCs/>
          <w:i/>
          <w:iCs/>
          <w:szCs w:val="22"/>
          <w:lang w:val="lv-LV"/>
        </w:rPr>
        <w:t>Pacienti ar RA</w:t>
      </w:r>
    </w:p>
    <w:p w14:paraId="0E58432C" w14:textId="75A106AC" w:rsidR="00A453C3" w:rsidRPr="00DD7A4F" w:rsidRDefault="00A453C3" w:rsidP="00707120">
      <w:pPr>
        <w:keepLines/>
        <w:rPr>
          <w:iCs/>
          <w:szCs w:val="22"/>
          <w:lang w:val="lv-LV"/>
        </w:rPr>
      </w:pPr>
      <w:r>
        <w:rPr>
          <w:szCs w:val="22"/>
          <w:lang w:val="lv-LV"/>
        </w:rPr>
        <w:t>Tocilizumaba</w:t>
      </w:r>
      <w:r w:rsidRPr="00DD7A4F">
        <w:rPr>
          <w:szCs w:val="22"/>
          <w:lang w:val="lv-LV"/>
        </w:rPr>
        <w:t xml:space="preserve"> </w:t>
      </w:r>
      <w:r w:rsidRPr="00DD7A4F">
        <w:rPr>
          <w:iCs/>
          <w:szCs w:val="22"/>
          <w:lang w:val="lv-LV"/>
        </w:rPr>
        <w:t xml:space="preserve">drošums ir pētīts </w:t>
      </w:r>
      <w:del w:id="991" w:author="Author">
        <w:r w:rsidDel="007A58D1">
          <w:rPr>
            <w:iCs/>
            <w:szCs w:val="22"/>
            <w:lang w:val="lv-LV"/>
          </w:rPr>
          <w:delText xml:space="preserve">četros </w:delText>
        </w:r>
      </w:del>
      <w:ins w:id="992" w:author="Author">
        <w:r w:rsidR="007A58D1">
          <w:rPr>
            <w:iCs/>
            <w:szCs w:val="22"/>
            <w:lang w:val="lv-LV"/>
          </w:rPr>
          <w:t xml:space="preserve">piecos </w:t>
        </w:r>
        <w:r w:rsidR="00106C67">
          <w:rPr>
            <w:iCs/>
            <w:szCs w:val="22"/>
            <w:lang w:val="lv-LV"/>
          </w:rPr>
          <w:t xml:space="preserve">III fāzes </w:t>
        </w:r>
      </w:ins>
      <w:del w:id="993" w:author="Author">
        <w:r w:rsidRPr="00DD7A4F" w:rsidDel="00106C67">
          <w:rPr>
            <w:iCs/>
            <w:szCs w:val="22"/>
            <w:lang w:val="lv-LV"/>
          </w:rPr>
          <w:delText>ar placebo</w:delText>
        </w:r>
      </w:del>
      <w:ins w:id="994" w:author="Author">
        <w:r w:rsidR="00106C67">
          <w:rPr>
            <w:iCs/>
            <w:szCs w:val="22"/>
            <w:lang w:val="lv-LV"/>
          </w:rPr>
          <w:t>dubultmaskētos</w:t>
        </w:r>
      </w:ins>
      <w:r w:rsidRPr="00DD7A4F">
        <w:rPr>
          <w:iCs/>
          <w:szCs w:val="22"/>
          <w:lang w:val="lv-LV"/>
        </w:rPr>
        <w:t xml:space="preserve"> kontrolētos pētījumos </w:t>
      </w:r>
      <w:del w:id="995" w:author="Author">
        <w:r w:rsidRPr="00DD7A4F" w:rsidDel="003F19D5">
          <w:rPr>
            <w:iCs/>
            <w:szCs w:val="22"/>
            <w:lang w:val="lv-LV"/>
          </w:rPr>
          <w:delText>(II, III, IV</w:delText>
        </w:r>
        <w:r w:rsidDel="003F19D5">
          <w:rPr>
            <w:iCs/>
            <w:szCs w:val="22"/>
            <w:lang w:val="lv-LV"/>
          </w:rPr>
          <w:delText> </w:delText>
        </w:r>
        <w:r w:rsidRPr="00DD7A4F" w:rsidDel="003F19D5">
          <w:rPr>
            <w:iCs/>
            <w:szCs w:val="22"/>
            <w:lang w:val="lv-LV"/>
          </w:rPr>
          <w:delText>un V</w:delText>
        </w:r>
        <w:r w:rsidDel="003F19D5">
          <w:rPr>
            <w:iCs/>
            <w:szCs w:val="22"/>
            <w:lang w:val="lv-LV"/>
          </w:rPr>
          <w:delText> </w:delText>
        </w:r>
        <w:r w:rsidRPr="00DD7A4F" w:rsidDel="003F19D5">
          <w:rPr>
            <w:iCs/>
            <w:szCs w:val="22"/>
            <w:lang w:val="lv-LV"/>
          </w:rPr>
          <w:delText xml:space="preserve">pētījumā), </w:delText>
        </w:r>
        <w:r w:rsidDel="003F19D5">
          <w:rPr>
            <w:iCs/>
            <w:szCs w:val="22"/>
            <w:lang w:val="lv-LV"/>
          </w:rPr>
          <w:delText>vienā</w:delText>
        </w:r>
        <w:r w:rsidRPr="00DD7A4F" w:rsidDel="003F19D5">
          <w:rPr>
            <w:iCs/>
            <w:szCs w:val="22"/>
            <w:lang w:val="lv-LV"/>
          </w:rPr>
          <w:delText xml:space="preserve"> ar MTX kontrolētā pētījumā (I</w:delText>
        </w:r>
        <w:r w:rsidDel="003F19D5">
          <w:rPr>
            <w:iCs/>
            <w:szCs w:val="22"/>
            <w:lang w:val="lv-LV"/>
          </w:rPr>
          <w:delText> </w:delText>
        </w:r>
        <w:r w:rsidRPr="00DD7A4F" w:rsidDel="003F19D5">
          <w:rPr>
            <w:iCs/>
            <w:szCs w:val="22"/>
            <w:lang w:val="lv-LV"/>
          </w:rPr>
          <w:delText xml:space="preserve">pētījumā) </w:delText>
        </w:r>
      </w:del>
      <w:r w:rsidRPr="00DD7A4F">
        <w:rPr>
          <w:iCs/>
          <w:szCs w:val="22"/>
          <w:lang w:val="lv-LV"/>
        </w:rPr>
        <w:t xml:space="preserve">un šo pētījumu pagarinājuma periodos (skatīt 5.1. apakšpunktu). </w:t>
      </w:r>
    </w:p>
    <w:p w14:paraId="6B159AD1" w14:textId="77777777" w:rsidR="00A453C3" w:rsidRPr="00DD7A4F" w:rsidRDefault="00A453C3" w:rsidP="00A453C3">
      <w:pPr>
        <w:rPr>
          <w:iCs/>
          <w:szCs w:val="22"/>
          <w:lang w:val="lv-LV"/>
        </w:rPr>
      </w:pPr>
    </w:p>
    <w:p w14:paraId="36E127BB" w14:textId="4BEA8F84" w:rsidR="00A453C3" w:rsidRPr="00DD7A4F" w:rsidRDefault="00894C23" w:rsidP="00A453C3">
      <w:pPr>
        <w:rPr>
          <w:szCs w:val="22"/>
          <w:lang w:val="lv-LV"/>
        </w:rPr>
      </w:pPr>
      <w:ins w:id="996" w:author="Author">
        <w:r w:rsidRPr="007C468F">
          <w:rPr>
            <w:i/>
            <w:lang w:val="lv-LV"/>
          </w:rPr>
          <w:t>Visu kontrolgrupu</w:t>
        </w:r>
        <w:r>
          <w:rPr>
            <w:lang w:val="lv-LV"/>
          </w:rPr>
          <w:t xml:space="preserve"> populācijā ietilpa visi pacienti</w:t>
        </w:r>
        <w:del w:id="997" w:author="Regulatory LV" w:date="2026-03-17T11:23:00Z">
          <w:r w:rsidDel="00E45E04">
            <w:rPr>
              <w:lang w:val="lv-LV"/>
            </w:rPr>
            <w:delText>,</w:delText>
          </w:r>
        </w:del>
        <w:r>
          <w:rPr>
            <w:lang w:val="lv-LV"/>
          </w:rPr>
          <w:t xml:space="preserve"> </w:t>
        </w:r>
      </w:ins>
      <w:ins w:id="998" w:author="Regulatory LV" w:date="2026-03-17T11:24:00Z">
        <w:r w:rsidR="00E45E04">
          <w:rPr>
            <w:lang w:val="lv-LV"/>
          </w:rPr>
          <w:t>no katra pamatpētījuma dubultmaskētām fāzēm, sākot no randomizācijas līdz vai nu pirmajām izmaiņām terapijas shēmā, vai arī kad divi gadi pagājuši</w:t>
        </w:r>
      </w:ins>
      <w:ins w:id="999" w:author="Author">
        <w:del w:id="1000" w:author="Regulatory LV" w:date="2026-03-17T11:24:00Z">
          <w:r w:rsidDel="00E45E04">
            <w:rPr>
              <w:lang w:val="lv-LV"/>
            </w:rPr>
            <w:delText>kuri piedalījās kāda no pamatpētījumiem dubultmaskētajā fāzē no randomizācijas līdz vai nu pirmajai izmaiņai terapijas shēmā, vai arī divus gadus ilgi</w:delText>
          </w:r>
        </w:del>
        <w:r>
          <w:rPr>
            <w:lang w:val="lv-LV"/>
          </w:rPr>
          <w:t>. Četros pētījumos kontroles periods bija</w:t>
        </w:r>
      </w:ins>
      <w:del w:id="1001" w:author="Author">
        <w:r w:rsidR="00A453C3" w:rsidRPr="00DD7A4F" w:rsidDel="00894C23">
          <w:rPr>
            <w:szCs w:val="22"/>
            <w:lang w:val="lv-LV"/>
          </w:rPr>
          <w:delText>Četru pētījumu (I, III, IV</w:delText>
        </w:r>
        <w:r w:rsidR="00A453C3" w:rsidDel="00894C23">
          <w:rPr>
            <w:szCs w:val="22"/>
            <w:lang w:val="lv-LV"/>
          </w:rPr>
          <w:delText> </w:delText>
        </w:r>
        <w:r w:rsidR="00A453C3" w:rsidRPr="00DD7A4F" w:rsidDel="00894C23">
          <w:rPr>
            <w:szCs w:val="22"/>
            <w:lang w:val="lv-LV"/>
          </w:rPr>
          <w:delText>un V</w:delText>
        </w:r>
        <w:r w:rsidR="00A453C3" w:rsidDel="00894C23">
          <w:rPr>
            <w:szCs w:val="22"/>
            <w:lang w:val="lv-LV"/>
          </w:rPr>
          <w:delText> </w:delText>
        </w:r>
        <w:r w:rsidR="00A453C3" w:rsidRPr="00DD7A4F" w:rsidDel="00894C23">
          <w:rPr>
            <w:szCs w:val="22"/>
            <w:lang w:val="lv-LV"/>
          </w:rPr>
          <w:delText>pētījuma) dubultmaskētais kontroles periods ilga</w:delText>
        </w:r>
      </w:del>
      <w:r w:rsidR="00A453C3" w:rsidRPr="00DD7A4F">
        <w:rPr>
          <w:szCs w:val="22"/>
          <w:lang w:val="lv-LV"/>
        </w:rPr>
        <w:t xml:space="preserve"> 6 mēnešus</w:t>
      </w:r>
      <w:ins w:id="1002" w:author="Author">
        <w:r>
          <w:rPr>
            <w:szCs w:val="22"/>
            <w:lang w:val="lv-LV"/>
          </w:rPr>
          <w:t xml:space="preserve"> ilgs</w:t>
        </w:r>
      </w:ins>
      <w:r w:rsidR="00A453C3" w:rsidRPr="00DD7A4F">
        <w:rPr>
          <w:szCs w:val="22"/>
          <w:lang w:val="lv-LV"/>
        </w:rPr>
        <w:t xml:space="preserve">, bet vienā pētījumā </w:t>
      </w:r>
      <w:del w:id="1003" w:author="Author">
        <w:r w:rsidR="00A453C3" w:rsidRPr="00DD7A4F" w:rsidDel="00894C23">
          <w:rPr>
            <w:szCs w:val="22"/>
            <w:lang w:val="lv-LV"/>
          </w:rPr>
          <w:delText xml:space="preserve">(II pētījumā) </w:delText>
        </w:r>
      </w:del>
      <w:r w:rsidR="00A453C3" w:rsidRPr="00DD7A4F">
        <w:rPr>
          <w:szCs w:val="22"/>
          <w:lang w:val="lv-LV"/>
        </w:rPr>
        <w:t>t</w:t>
      </w:r>
      <w:del w:id="1004" w:author="Author">
        <w:r w:rsidR="00A453C3" w:rsidRPr="00DD7A4F" w:rsidDel="00894C23">
          <w:rPr>
            <w:szCs w:val="22"/>
            <w:lang w:val="lv-LV"/>
          </w:rPr>
          <w:delText>ā</w:delText>
        </w:r>
      </w:del>
      <w:ins w:id="1005" w:author="Author">
        <w:r>
          <w:rPr>
            <w:szCs w:val="22"/>
            <w:lang w:val="lv-LV"/>
          </w:rPr>
          <w:t>as</w:t>
        </w:r>
      </w:ins>
      <w:r w:rsidR="00A453C3" w:rsidRPr="00DD7A4F">
        <w:rPr>
          <w:szCs w:val="22"/>
          <w:lang w:val="lv-LV"/>
        </w:rPr>
        <w:t xml:space="preserve"> ilg</w:t>
      </w:r>
      <w:del w:id="1006" w:author="Author">
        <w:r w:rsidR="00A453C3" w:rsidRPr="00DD7A4F" w:rsidDel="00894C23">
          <w:rPr>
            <w:szCs w:val="22"/>
            <w:lang w:val="lv-LV"/>
          </w:rPr>
          <w:delText>ums bija</w:delText>
        </w:r>
      </w:del>
      <w:ins w:id="1007" w:author="Author">
        <w:r>
          <w:rPr>
            <w:szCs w:val="22"/>
            <w:lang w:val="lv-LV"/>
          </w:rPr>
          <w:t>a</w:t>
        </w:r>
      </w:ins>
      <w:r w:rsidR="00A453C3" w:rsidRPr="00DD7A4F">
        <w:rPr>
          <w:szCs w:val="22"/>
          <w:lang w:val="lv-LV"/>
        </w:rPr>
        <w:t xml:space="preserve"> līdz 2 gadiem.</w:t>
      </w:r>
      <w:r w:rsidR="00A453C3" w:rsidRPr="00DD7A4F">
        <w:rPr>
          <w:lang w:val="lv-LV"/>
        </w:rPr>
        <w:t xml:space="preserve"> </w:t>
      </w:r>
      <w:r w:rsidR="00A453C3" w:rsidRPr="00DD7A4F">
        <w:rPr>
          <w:iCs/>
          <w:szCs w:val="22"/>
          <w:lang w:val="lv-LV"/>
        </w:rPr>
        <w:t>Dubultmaskētajos kontrolētajos pētījumos 774</w:t>
      </w:r>
      <w:r w:rsidR="00A453C3">
        <w:rPr>
          <w:iCs/>
          <w:szCs w:val="22"/>
          <w:lang w:val="lv-LV"/>
        </w:rPr>
        <w:t> </w:t>
      </w:r>
      <w:r w:rsidR="00A453C3" w:rsidRPr="00DD7A4F">
        <w:rPr>
          <w:iCs/>
          <w:szCs w:val="22"/>
          <w:lang w:val="lv-LV"/>
        </w:rPr>
        <w:t xml:space="preserve">pacienti saņēma </w:t>
      </w:r>
      <w:r w:rsidR="00A453C3">
        <w:rPr>
          <w:iCs/>
          <w:szCs w:val="22"/>
          <w:lang w:val="lv-LV"/>
        </w:rPr>
        <w:t>tocilizumaba</w:t>
      </w:r>
      <w:r w:rsidR="00A453C3" w:rsidRPr="00DD7A4F">
        <w:rPr>
          <w:iCs/>
          <w:szCs w:val="22"/>
          <w:lang w:val="lv-LV"/>
        </w:rPr>
        <w:t xml:space="preserve"> 4 mg/kg </w:t>
      </w:r>
      <w:r w:rsidR="00A453C3">
        <w:rPr>
          <w:iCs/>
          <w:szCs w:val="22"/>
          <w:lang w:val="lv-LV"/>
        </w:rPr>
        <w:t xml:space="preserve">devu </w:t>
      </w:r>
      <w:r w:rsidR="00A453C3" w:rsidRPr="00DD7A4F">
        <w:rPr>
          <w:iCs/>
          <w:szCs w:val="22"/>
          <w:lang w:val="lv-LV"/>
        </w:rPr>
        <w:t>kombinācijā ar MTX, 1</w:t>
      </w:r>
      <w:ins w:id="1008" w:author="Author">
        <w:r w:rsidR="003C331D">
          <w:rPr>
            <w:iCs/>
            <w:szCs w:val="22"/>
            <w:lang w:val="lv-LV"/>
          </w:rPr>
          <w:t> </w:t>
        </w:r>
      </w:ins>
      <w:r w:rsidR="00A453C3" w:rsidRPr="00DD7A4F">
        <w:rPr>
          <w:iCs/>
          <w:szCs w:val="22"/>
          <w:lang w:val="lv-LV"/>
        </w:rPr>
        <w:t>870</w:t>
      </w:r>
      <w:r w:rsidR="00A453C3">
        <w:rPr>
          <w:iCs/>
          <w:szCs w:val="22"/>
          <w:lang w:val="lv-LV"/>
        </w:rPr>
        <w:t> </w:t>
      </w:r>
      <w:r w:rsidR="00A453C3" w:rsidRPr="00DD7A4F">
        <w:rPr>
          <w:iCs/>
          <w:szCs w:val="22"/>
          <w:lang w:val="lv-LV"/>
        </w:rPr>
        <w:t xml:space="preserve">pacienti saņēma </w:t>
      </w:r>
      <w:r w:rsidR="00A453C3">
        <w:rPr>
          <w:iCs/>
          <w:szCs w:val="22"/>
          <w:lang w:val="lv-LV"/>
        </w:rPr>
        <w:t xml:space="preserve">tocilizumaba </w:t>
      </w:r>
      <w:r w:rsidR="00A453C3" w:rsidRPr="00DD7A4F">
        <w:rPr>
          <w:iCs/>
          <w:szCs w:val="22"/>
          <w:lang w:val="lv-LV"/>
        </w:rPr>
        <w:t xml:space="preserve">8 mg/kg </w:t>
      </w:r>
      <w:r w:rsidR="00A453C3">
        <w:rPr>
          <w:iCs/>
          <w:szCs w:val="22"/>
          <w:lang w:val="lv-LV"/>
        </w:rPr>
        <w:t xml:space="preserve">devu </w:t>
      </w:r>
      <w:r w:rsidR="00A453C3" w:rsidRPr="00DD7A4F">
        <w:rPr>
          <w:iCs/>
          <w:szCs w:val="22"/>
          <w:lang w:val="lv-LV"/>
        </w:rPr>
        <w:t>kombinācijā ar MTX</w:t>
      </w:r>
      <w:ins w:id="1009" w:author="Author">
        <w:r w:rsidR="003C331D">
          <w:rPr>
            <w:iCs/>
            <w:szCs w:val="22"/>
            <w:lang w:val="lv-LV"/>
          </w:rPr>
          <w:t>/</w:t>
        </w:r>
      </w:ins>
      <w:del w:id="1010" w:author="Author">
        <w:r w:rsidR="00A453C3" w:rsidRPr="00DD7A4F" w:rsidDel="003C331D">
          <w:rPr>
            <w:iCs/>
            <w:szCs w:val="22"/>
            <w:lang w:val="lv-LV"/>
          </w:rPr>
          <w:delText xml:space="preserve"> vai</w:delText>
        </w:r>
      </w:del>
      <w:r w:rsidR="00A453C3" w:rsidRPr="00DD7A4F">
        <w:rPr>
          <w:iCs/>
          <w:szCs w:val="22"/>
          <w:lang w:val="lv-LV"/>
        </w:rPr>
        <w:t xml:space="preserve"> citiem DMARD un 288</w:t>
      </w:r>
      <w:r w:rsidR="00A453C3">
        <w:rPr>
          <w:iCs/>
          <w:szCs w:val="22"/>
          <w:lang w:val="lv-LV"/>
        </w:rPr>
        <w:t> </w:t>
      </w:r>
      <w:r w:rsidR="00A453C3" w:rsidRPr="00DD7A4F">
        <w:rPr>
          <w:iCs/>
          <w:szCs w:val="22"/>
          <w:lang w:val="lv-LV"/>
        </w:rPr>
        <w:t xml:space="preserve">pacienti saņēma </w:t>
      </w:r>
      <w:r w:rsidR="00A453C3">
        <w:rPr>
          <w:iCs/>
          <w:szCs w:val="22"/>
          <w:lang w:val="lv-LV"/>
        </w:rPr>
        <w:t>tocilizumaba</w:t>
      </w:r>
      <w:r w:rsidR="00A453C3" w:rsidRPr="00DD7A4F">
        <w:rPr>
          <w:iCs/>
          <w:szCs w:val="22"/>
          <w:lang w:val="lv-LV"/>
        </w:rPr>
        <w:t xml:space="preserve"> 8 mg/kg </w:t>
      </w:r>
      <w:r w:rsidR="00A453C3">
        <w:rPr>
          <w:iCs/>
          <w:szCs w:val="22"/>
          <w:lang w:val="lv-LV"/>
        </w:rPr>
        <w:t xml:space="preserve">devu </w:t>
      </w:r>
      <w:r w:rsidR="00A453C3" w:rsidRPr="00DD7A4F">
        <w:rPr>
          <w:iCs/>
          <w:szCs w:val="22"/>
          <w:lang w:val="lv-LV"/>
        </w:rPr>
        <w:t>monoterapijā</w:t>
      </w:r>
      <w:r w:rsidR="00A453C3" w:rsidRPr="00DD7A4F">
        <w:rPr>
          <w:szCs w:val="22"/>
          <w:lang w:val="lv-LV"/>
        </w:rPr>
        <w:t xml:space="preserve">. </w:t>
      </w:r>
    </w:p>
    <w:p w14:paraId="76BE08AC" w14:textId="77777777" w:rsidR="00A453C3" w:rsidRPr="00DD7A4F" w:rsidRDefault="00A453C3" w:rsidP="00A453C3">
      <w:pPr>
        <w:rPr>
          <w:szCs w:val="22"/>
          <w:lang w:val="lv-LV"/>
        </w:rPr>
      </w:pPr>
    </w:p>
    <w:p w14:paraId="735FA338" w14:textId="24659579" w:rsidR="00A453C3" w:rsidRPr="00DD7A4F" w:rsidRDefault="00A453C3" w:rsidP="00A453C3">
      <w:pPr>
        <w:rPr>
          <w:szCs w:val="22"/>
          <w:lang w:val="lv-LV"/>
        </w:rPr>
      </w:pPr>
      <w:del w:id="1011" w:author="Author">
        <w:r w:rsidRPr="00DD58C9" w:rsidDel="00894C23">
          <w:rPr>
            <w:i/>
            <w:iCs/>
            <w:szCs w:val="22"/>
            <w:lang w:val="lv-LV"/>
            <w:rPrChange w:id="1012" w:author="Author">
              <w:rPr>
                <w:szCs w:val="22"/>
                <w:lang w:val="lv-LV"/>
              </w:rPr>
            </w:rPrChange>
          </w:rPr>
          <w:delText xml:space="preserve">Ilgstošai </w:delText>
        </w:r>
      </w:del>
      <w:ins w:id="1013" w:author="Author">
        <w:r w:rsidR="00894C23" w:rsidRPr="00DD58C9">
          <w:rPr>
            <w:i/>
            <w:iCs/>
            <w:szCs w:val="22"/>
            <w:lang w:val="lv-LV"/>
            <w:rPrChange w:id="1014" w:author="Author">
              <w:rPr>
                <w:szCs w:val="22"/>
                <w:lang w:val="lv-LV"/>
              </w:rPr>
            </w:rPrChange>
          </w:rPr>
          <w:t>Vis</w:t>
        </w:r>
      </w:ins>
      <w:ins w:id="1015" w:author="Regulatory LV" w:date="2026-03-17T11:25:00Z">
        <w:r w:rsidR="00E45E04">
          <w:rPr>
            <w:i/>
            <w:iCs/>
            <w:szCs w:val="22"/>
            <w:lang w:val="lv-LV"/>
          </w:rPr>
          <w:t>ā</w:t>
        </w:r>
      </w:ins>
      <w:ins w:id="1016" w:author="Author">
        <w:del w:id="1017" w:author="Regulatory LV" w:date="2026-03-17T11:25:00Z">
          <w:r w:rsidR="00096C94" w:rsidDel="00E45E04">
            <w:rPr>
              <w:i/>
              <w:iCs/>
              <w:szCs w:val="22"/>
              <w:lang w:val="lv-LV"/>
            </w:rPr>
            <w:delText>u</w:delText>
          </w:r>
        </w:del>
        <w:r w:rsidR="00894C23" w:rsidRPr="00DD58C9">
          <w:rPr>
            <w:i/>
            <w:iCs/>
            <w:szCs w:val="22"/>
            <w:lang w:val="lv-LV"/>
            <w:rPrChange w:id="1018" w:author="Author">
              <w:rPr>
                <w:szCs w:val="22"/>
                <w:lang w:val="lv-LV"/>
              </w:rPr>
            </w:rPrChange>
          </w:rPr>
          <w:t xml:space="preserve"> </w:t>
        </w:r>
      </w:ins>
      <w:r w:rsidRPr="00DD58C9">
        <w:rPr>
          <w:i/>
          <w:iCs/>
          <w:szCs w:val="22"/>
          <w:lang w:val="lv-LV"/>
          <w:rPrChange w:id="1019" w:author="Author">
            <w:rPr>
              <w:szCs w:val="22"/>
              <w:lang w:val="lv-LV"/>
            </w:rPr>
          </w:rPrChange>
        </w:rPr>
        <w:t>iedarbībai</w:t>
      </w:r>
      <w:r w:rsidRPr="00DD7A4F">
        <w:rPr>
          <w:szCs w:val="22"/>
          <w:lang w:val="lv-LV"/>
        </w:rPr>
        <w:t xml:space="preserve"> pakļautajā populācijā </w:t>
      </w:r>
      <w:del w:id="1020" w:author="Author">
        <w:r w:rsidRPr="00DD7A4F" w:rsidDel="00096C94">
          <w:rPr>
            <w:szCs w:val="22"/>
            <w:lang w:val="lv-LV"/>
          </w:rPr>
          <w:delText xml:space="preserve">bija </w:delText>
        </w:r>
      </w:del>
      <w:ins w:id="1021" w:author="Author">
        <w:r w:rsidR="00096C94">
          <w:rPr>
            <w:szCs w:val="22"/>
            <w:lang w:val="lv-LV"/>
          </w:rPr>
          <w:t>ietilpa</w:t>
        </w:r>
        <w:r w:rsidR="00096C94" w:rsidRPr="00DD7A4F">
          <w:rPr>
            <w:szCs w:val="22"/>
            <w:lang w:val="lv-LV"/>
          </w:rPr>
          <w:t xml:space="preserve"> </w:t>
        </w:r>
      </w:ins>
      <w:r w:rsidRPr="00DD7A4F">
        <w:rPr>
          <w:szCs w:val="22"/>
          <w:lang w:val="lv-LV"/>
        </w:rPr>
        <w:t xml:space="preserve">visi pacienti, kuri pētījumu dubultmaskētā kontroles periodā vai nemaskētās pagarinājuma fāzes laikā saņēma vismaz vienu </w:t>
      </w:r>
      <w:r>
        <w:rPr>
          <w:szCs w:val="22"/>
          <w:lang w:val="lv-LV"/>
        </w:rPr>
        <w:t>tocilizumaba</w:t>
      </w:r>
      <w:r w:rsidRPr="00DD7A4F">
        <w:rPr>
          <w:szCs w:val="22"/>
          <w:lang w:val="lv-LV"/>
        </w:rPr>
        <w:t xml:space="preserve"> devu. </w:t>
      </w:r>
      <w:del w:id="1022" w:author="Author">
        <w:r w:rsidRPr="00DD7A4F" w:rsidDel="00096C94">
          <w:rPr>
            <w:szCs w:val="22"/>
            <w:lang w:val="lv-LV"/>
          </w:rPr>
          <w:delText>No šīs</w:delText>
        </w:r>
      </w:del>
      <w:ins w:id="1023" w:author="Author">
        <w:del w:id="1024" w:author="Regulatory LV" w:date="2026-03-17T11:25:00Z">
          <w:r w:rsidR="00096C94" w:rsidDel="00E45E04">
            <w:rPr>
              <w:szCs w:val="22"/>
              <w:lang w:val="lv-LV"/>
            </w:rPr>
            <w:delText>Šajā</w:delText>
          </w:r>
        </w:del>
      </w:ins>
      <w:ins w:id="1025" w:author="Regulatory LV" w:date="2026-03-17T11:25:00Z">
        <w:r w:rsidR="00E45E04">
          <w:rPr>
            <w:szCs w:val="22"/>
            <w:lang w:val="lv-LV"/>
          </w:rPr>
          <w:t>No</w:t>
        </w:r>
      </w:ins>
      <w:r w:rsidRPr="00DD7A4F">
        <w:rPr>
          <w:szCs w:val="22"/>
          <w:lang w:val="lv-LV"/>
        </w:rPr>
        <w:t xml:space="preserve"> 4</w:t>
      </w:r>
      <w:ins w:id="1026" w:author="Author">
        <w:r w:rsidR="003C331D">
          <w:rPr>
            <w:szCs w:val="22"/>
            <w:lang w:val="lv-LV"/>
          </w:rPr>
          <w:t> </w:t>
        </w:r>
      </w:ins>
      <w:r w:rsidRPr="00DD7A4F">
        <w:rPr>
          <w:szCs w:val="22"/>
          <w:lang w:val="lv-LV"/>
        </w:rPr>
        <w:t>009 pacient</w:t>
      </w:r>
      <w:ins w:id="1027" w:author="Regulatory LV" w:date="2026-03-17T11:26:00Z">
        <w:r w:rsidR="00E45E04">
          <w:rPr>
            <w:szCs w:val="22"/>
            <w:lang w:val="lv-LV"/>
          </w:rPr>
          <w:t>iem</w:t>
        </w:r>
      </w:ins>
      <w:del w:id="1028" w:author="Regulatory LV" w:date="2026-03-17T11:26:00Z">
        <w:r w:rsidRPr="00DD7A4F" w:rsidDel="00E45E04">
          <w:rPr>
            <w:szCs w:val="22"/>
            <w:lang w:val="lv-LV"/>
          </w:rPr>
          <w:delText>u</w:delText>
        </w:r>
      </w:del>
      <w:ins w:id="1029" w:author="Regulatory LV" w:date="2026-03-17T11:26:00Z">
        <w:r w:rsidR="00E45E04">
          <w:rPr>
            <w:szCs w:val="22"/>
            <w:lang w:val="lv-LV"/>
          </w:rPr>
          <w:t xml:space="preserve"> šajā</w:t>
        </w:r>
      </w:ins>
      <w:r w:rsidRPr="00DD7A4F">
        <w:rPr>
          <w:szCs w:val="22"/>
          <w:lang w:val="lv-LV"/>
        </w:rPr>
        <w:t xml:space="preserve"> populācij</w:t>
      </w:r>
      <w:ins w:id="1030" w:author="Author">
        <w:r w:rsidR="00096C94">
          <w:rPr>
            <w:szCs w:val="22"/>
            <w:lang w:val="lv-LV"/>
          </w:rPr>
          <w:t>ā</w:t>
        </w:r>
      </w:ins>
      <w:del w:id="1031" w:author="Author">
        <w:r w:rsidRPr="00DD7A4F" w:rsidDel="00096C94">
          <w:rPr>
            <w:szCs w:val="22"/>
            <w:lang w:val="lv-LV"/>
          </w:rPr>
          <w:delText>as</w:delText>
        </w:r>
      </w:del>
      <w:r w:rsidRPr="00DD7A4F">
        <w:rPr>
          <w:szCs w:val="22"/>
          <w:lang w:val="lv-LV"/>
        </w:rPr>
        <w:t xml:space="preserve"> 3</w:t>
      </w:r>
      <w:ins w:id="1032" w:author="Author">
        <w:r w:rsidR="003C331D">
          <w:rPr>
            <w:szCs w:val="22"/>
            <w:lang w:val="lv-LV"/>
          </w:rPr>
          <w:t> </w:t>
        </w:r>
      </w:ins>
      <w:r w:rsidRPr="00DD7A4F">
        <w:rPr>
          <w:szCs w:val="22"/>
          <w:lang w:val="lv-LV"/>
        </w:rPr>
        <w:t>577 pacienti saņēma vismaz 6 mēnešus ilgu terapiju, 3</w:t>
      </w:r>
      <w:ins w:id="1033" w:author="Author">
        <w:r w:rsidR="003C331D">
          <w:rPr>
            <w:szCs w:val="22"/>
            <w:lang w:val="lv-LV"/>
          </w:rPr>
          <w:t> </w:t>
        </w:r>
      </w:ins>
      <w:r w:rsidRPr="00DD7A4F">
        <w:rPr>
          <w:szCs w:val="22"/>
          <w:lang w:val="lv-LV"/>
        </w:rPr>
        <w:t xml:space="preserve">296 pacienti </w:t>
      </w:r>
      <w:r>
        <w:rPr>
          <w:szCs w:val="22"/>
          <w:lang w:val="lv-LV"/>
        </w:rPr>
        <w:noBreakHyphen/>
      </w:r>
      <w:r w:rsidRPr="00DD7A4F">
        <w:rPr>
          <w:szCs w:val="22"/>
          <w:lang w:val="lv-LV"/>
        </w:rPr>
        <w:t xml:space="preserve"> vismaz vienu gadu ilgu terapiju, 2</w:t>
      </w:r>
      <w:ins w:id="1034" w:author="Author">
        <w:r w:rsidR="003C331D">
          <w:rPr>
            <w:szCs w:val="22"/>
            <w:lang w:val="lv-LV"/>
          </w:rPr>
          <w:t> </w:t>
        </w:r>
      </w:ins>
      <w:r w:rsidRPr="00DD7A4F">
        <w:rPr>
          <w:szCs w:val="22"/>
          <w:lang w:val="lv-LV"/>
        </w:rPr>
        <w:t xml:space="preserve">806 pacienti </w:t>
      </w:r>
      <w:r>
        <w:rPr>
          <w:szCs w:val="22"/>
          <w:lang w:val="lv-LV"/>
        </w:rPr>
        <w:noBreakHyphen/>
      </w:r>
      <w:r w:rsidRPr="00DD7A4F">
        <w:rPr>
          <w:szCs w:val="22"/>
          <w:lang w:val="lv-LV"/>
        </w:rPr>
        <w:t xml:space="preserve"> vismaz divus gadus ilgu terapiju, bet 1</w:t>
      </w:r>
      <w:ins w:id="1035" w:author="Author">
        <w:r w:rsidR="003C331D">
          <w:rPr>
            <w:szCs w:val="22"/>
            <w:lang w:val="lv-LV"/>
          </w:rPr>
          <w:t> </w:t>
        </w:r>
      </w:ins>
      <w:r w:rsidRPr="00DD7A4F">
        <w:rPr>
          <w:szCs w:val="22"/>
          <w:lang w:val="lv-LV"/>
        </w:rPr>
        <w:t xml:space="preserve">222 pacienti </w:t>
      </w:r>
      <w:r>
        <w:rPr>
          <w:szCs w:val="22"/>
          <w:lang w:val="lv-LV"/>
        </w:rPr>
        <w:noBreakHyphen/>
      </w:r>
      <w:r w:rsidRPr="00DD7A4F">
        <w:rPr>
          <w:szCs w:val="22"/>
          <w:lang w:val="lv-LV"/>
        </w:rPr>
        <w:t xml:space="preserve"> trīs gadus ilgu terapiju.</w:t>
      </w:r>
    </w:p>
    <w:p w14:paraId="7688E9AA" w14:textId="77777777" w:rsidR="00A453C3" w:rsidRPr="00DD7A4F" w:rsidRDefault="00A453C3" w:rsidP="00A453C3">
      <w:pPr>
        <w:autoSpaceDE w:val="0"/>
        <w:rPr>
          <w:rFonts w:eastAsia="PMingLiU"/>
          <w:szCs w:val="22"/>
          <w:u w:val="single"/>
          <w:lang w:val="lv-LV"/>
        </w:rPr>
      </w:pPr>
    </w:p>
    <w:p w14:paraId="7D790F5F" w14:textId="77777777" w:rsidR="00A453C3" w:rsidRPr="00707120" w:rsidRDefault="00A453C3" w:rsidP="00707120">
      <w:pPr>
        <w:keepNext/>
        <w:rPr>
          <w:szCs w:val="22"/>
          <w:u w:val="single"/>
          <w:lang w:val="lv-LV"/>
        </w:rPr>
      </w:pPr>
      <w:r w:rsidRPr="00707120">
        <w:rPr>
          <w:i/>
          <w:u w:val="single"/>
          <w:lang w:val="lv-LV"/>
        </w:rPr>
        <w:t>Infekcijas</w:t>
      </w:r>
    </w:p>
    <w:p w14:paraId="284FB004" w14:textId="506F3DF4" w:rsidR="00A453C3" w:rsidRPr="00DD7A4F" w:rsidRDefault="00A453C3" w:rsidP="00A453C3">
      <w:pPr>
        <w:rPr>
          <w:szCs w:val="22"/>
          <w:lang w:val="lv-LV"/>
        </w:rPr>
      </w:pPr>
      <w:r w:rsidRPr="00DD7A4F">
        <w:rPr>
          <w:szCs w:val="22"/>
          <w:lang w:val="lv-LV"/>
        </w:rPr>
        <w:t>Sešus</w:t>
      </w:r>
      <w:r>
        <w:rPr>
          <w:szCs w:val="22"/>
          <w:lang w:val="lv-LV"/>
        </w:rPr>
        <w:t xml:space="preserve"> </w:t>
      </w:r>
      <w:r w:rsidRPr="00DD7A4F">
        <w:rPr>
          <w:szCs w:val="22"/>
          <w:lang w:val="lv-LV"/>
        </w:rPr>
        <w:t xml:space="preserve">mēnešus ilgos kontrolētos pētījumos visu infekciju rādītājs, kas novērotas, lietojot </w:t>
      </w:r>
      <w:r>
        <w:rPr>
          <w:szCs w:val="22"/>
          <w:lang w:val="lv-LV"/>
        </w:rPr>
        <w:t>tocilizumaba</w:t>
      </w:r>
      <w:r w:rsidRPr="00DD7A4F">
        <w:rPr>
          <w:szCs w:val="22"/>
          <w:lang w:val="lv-LV"/>
        </w:rPr>
        <w:t xml:space="preserve"> </w:t>
      </w:r>
      <w:r w:rsidRPr="00DD7A4F">
        <w:rPr>
          <w:iCs/>
          <w:szCs w:val="22"/>
          <w:lang w:val="lv-LV"/>
        </w:rPr>
        <w:t xml:space="preserve">8 mg/kg </w:t>
      </w:r>
      <w:r>
        <w:rPr>
          <w:iCs/>
          <w:szCs w:val="22"/>
          <w:lang w:val="lv-LV"/>
        </w:rPr>
        <w:t xml:space="preserve">devu </w:t>
      </w:r>
      <w:r w:rsidRPr="00DD7A4F">
        <w:rPr>
          <w:iCs/>
          <w:szCs w:val="22"/>
          <w:lang w:val="lv-LV"/>
        </w:rPr>
        <w:t>un DMARD, bija 127</w:t>
      </w:r>
      <w:r>
        <w:rPr>
          <w:iCs/>
          <w:szCs w:val="22"/>
          <w:lang w:val="lv-LV"/>
        </w:rPr>
        <w:t> </w:t>
      </w:r>
      <w:r w:rsidRPr="00DD7A4F">
        <w:rPr>
          <w:iCs/>
          <w:szCs w:val="22"/>
          <w:lang w:val="lv-LV"/>
        </w:rPr>
        <w:t>gadījumi uz 100</w:t>
      </w:r>
      <w:r>
        <w:rPr>
          <w:iCs/>
          <w:szCs w:val="22"/>
          <w:lang w:val="lv-LV"/>
        </w:rPr>
        <w:t> </w:t>
      </w:r>
      <w:r w:rsidRPr="00DD7A4F">
        <w:rPr>
          <w:iCs/>
          <w:szCs w:val="22"/>
          <w:lang w:val="lv-LV"/>
        </w:rPr>
        <w:t>pacientgadiem, salīdzinot ar 112</w:t>
      </w:r>
      <w:r>
        <w:rPr>
          <w:iCs/>
          <w:szCs w:val="22"/>
          <w:lang w:val="lv-LV"/>
        </w:rPr>
        <w:t> </w:t>
      </w:r>
      <w:r w:rsidRPr="00DD7A4F">
        <w:rPr>
          <w:iCs/>
          <w:szCs w:val="22"/>
          <w:lang w:val="lv-LV"/>
        </w:rPr>
        <w:t>gadījumiem uz 100</w:t>
      </w:r>
      <w:r>
        <w:rPr>
          <w:iCs/>
          <w:szCs w:val="22"/>
          <w:lang w:val="lv-LV"/>
        </w:rPr>
        <w:t> </w:t>
      </w:r>
      <w:r w:rsidRPr="00DD7A4F">
        <w:rPr>
          <w:iCs/>
          <w:szCs w:val="22"/>
          <w:lang w:val="lv-LV"/>
        </w:rPr>
        <w:t xml:space="preserve">pacientgadiem placebo un DMARD grupā. Ilgstošai iedarbībai pakļautā populācijā kopējais infekciju rādītājs, lietojot </w:t>
      </w:r>
      <w:r>
        <w:rPr>
          <w:iCs/>
          <w:szCs w:val="22"/>
          <w:lang w:val="lv-LV"/>
        </w:rPr>
        <w:t>tocilizumabu</w:t>
      </w:r>
      <w:r w:rsidRPr="00DD7A4F">
        <w:rPr>
          <w:iCs/>
          <w:szCs w:val="22"/>
          <w:lang w:val="lv-LV"/>
        </w:rPr>
        <w:t>, bija 108</w:t>
      </w:r>
      <w:r>
        <w:rPr>
          <w:iCs/>
          <w:szCs w:val="22"/>
          <w:lang w:val="lv-LV"/>
        </w:rPr>
        <w:t> </w:t>
      </w:r>
      <w:r w:rsidRPr="00DD7A4F">
        <w:rPr>
          <w:iCs/>
          <w:szCs w:val="22"/>
          <w:lang w:val="lv-LV"/>
        </w:rPr>
        <w:t>gadījumi uz 100</w:t>
      </w:r>
      <w:r>
        <w:rPr>
          <w:iCs/>
          <w:szCs w:val="22"/>
          <w:lang w:val="lv-LV"/>
        </w:rPr>
        <w:t> </w:t>
      </w:r>
      <w:r w:rsidRPr="00DD7A4F">
        <w:rPr>
          <w:iCs/>
          <w:szCs w:val="22"/>
          <w:lang w:val="lv-LV"/>
        </w:rPr>
        <w:t>pacientgadu ilgu lietošanu</w:t>
      </w:r>
      <w:r w:rsidRPr="00DD7A4F">
        <w:rPr>
          <w:szCs w:val="22"/>
          <w:lang w:val="lv-LV"/>
        </w:rPr>
        <w:t>.</w:t>
      </w:r>
    </w:p>
    <w:p w14:paraId="142050B7" w14:textId="77777777" w:rsidR="00A453C3" w:rsidRPr="00DD7A4F" w:rsidRDefault="00A453C3" w:rsidP="00A453C3">
      <w:pPr>
        <w:rPr>
          <w:szCs w:val="22"/>
          <w:lang w:val="lv-LV"/>
        </w:rPr>
      </w:pPr>
    </w:p>
    <w:p w14:paraId="36C525FE" w14:textId="0FBA45E4" w:rsidR="00A453C3" w:rsidRPr="00DD7A4F" w:rsidRDefault="00A453C3" w:rsidP="00A453C3">
      <w:pPr>
        <w:rPr>
          <w:szCs w:val="22"/>
          <w:lang w:val="lv-LV"/>
        </w:rPr>
      </w:pPr>
      <w:r w:rsidRPr="00DD7A4F">
        <w:rPr>
          <w:szCs w:val="22"/>
          <w:lang w:val="lv-LV"/>
        </w:rPr>
        <w:t>Sešus</w:t>
      </w:r>
      <w:r>
        <w:rPr>
          <w:szCs w:val="22"/>
          <w:lang w:val="lv-LV"/>
        </w:rPr>
        <w:t xml:space="preserve"> </w:t>
      </w:r>
      <w:r w:rsidRPr="00DD7A4F">
        <w:rPr>
          <w:szCs w:val="22"/>
          <w:lang w:val="lv-LV"/>
        </w:rPr>
        <w:t xml:space="preserve">mēnešus ilgos kontrolētos klīniskos pētījumos nopietnu infekciju rādītājs, lietojot </w:t>
      </w:r>
      <w:r>
        <w:rPr>
          <w:szCs w:val="22"/>
          <w:lang w:val="lv-LV"/>
        </w:rPr>
        <w:t xml:space="preserve">tocilizumaba </w:t>
      </w:r>
      <w:r w:rsidRPr="00DD7A4F">
        <w:rPr>
          <w:iCs/>
          <w:szCs w:val="22"/>
          <w:lang w:val="lv-LV"/>
        </w:rPr>
        <w:t xml:space="preserve">8 mg/kg </w:t>
      </w:r>
      <w:r>
        <w:rPr>
          <w:iCs/>
          <w:szCs w:val="22"/>
          <w:lang w:val="lv-LV"/>
        </w:rPr>
        <w:t xml:space="preserve">devu </w:t>
      </w:r>
      <w:r w:rsidRPr="00DD7A4F">
        <w:rPr>
          <w:iCs/>
          <w:szCs w:val="22"/>
          <w:lang w:val="lv-LV"/>
        </w:rPr>
        <w:t>un DMARD, bija 5,3</w:t>
      </w:r>
      <w:r>
        <w:rPr>
          <w:iCs/>
          <w:szCs w:val="22"/>
          <w:lang w:val="lv-LV"/>
        </w:rPr>
        <w:t> </w:t>
      </w:r>
      <w:r w:rsidRPr="00DD7A4F">
        <w:rPr>
          <w:iCs/>
          <w:szCs w:val="22"/>
          <w:lang w:val="lv-LV"/>
        </w:rPr>
        <w:t>gadījumi uz 100</w:t>
      </w:r>
      <w:r>
        <w:rPr>
          <w:iCs/>
          <w:szCs w:val="22"/>
          <w:lang w:val="lv-LV"/>
        </w:rPr>
        <w:t> </w:t>
      </w:r>
      <w:r w:rsidRPr="00DD7A4F">
        <w:rPr>
          <w:iCs/>
          <w:szCs w:val="22"/>
          <w:lang w:val="lv-LV"/>
        </w:rPr>
        <w:t>pacientgadiem, salīdzinot ar 3,9</w:t>
      </w:r>
      <w:r>
        <w:rPr>
          <w:iCs/>
          <w:szCs w:val="22"/>
          <w:lang w:val="lv-LV"/>
        </w:rPr>
        <w:t> </w:t>
      </w:r>
      <w:r w:rsidRPr="00DD7A4F">
        <w:rPr>
          <w:iCs/>
          <w:szCs w:val="22"/>
          <w:lang w:val="lv-LV"/>
        </w:rPr>
        <w:t>gadījumiem uz 100</w:t>
      </w:r>
      <w:r>
        <w:rPr>
          <w:iCs/>
          <w:szCs w:val="22"/>
          <w:lang w:val="lv-LV"/>
        </w:rPr>
        <w:t> </w:t>
      </w:r>
      <w:r w:rsidRPr="00DD7A4F">
        <w:rPr>
          <w:iCs/>
          <w:szCs w:val="22"/>
          <w:lang w:val="lv-LV"/>
        </w:rPr>
        <w:t>pacientgadiem placebo un DMARD grupā. Monoterapijas pētījumā nopietnu infekciju rādītājs bija 3,6</w:t>
      </w:r>
      <w:r>
        <w:rPr>
          <w:iCs/>
          <w:szCs w:val="22"/>
          <w:lang w:val="lv-LV"/>
        </w:rPr>
        <w:t> </w:t>
      </w:r>
      <w:r w:rsidRPr="00DD7A4F">
        <w:rPr>
          <w:iCs/>
          <w:szCs w:val="22"/>
          <w:lang w:val="lv-LV"/>
        </w:rPr>
        <w:t>gadījumi uz 100</w:t>
      </w:r>
      <w:r>
        <w:rPr>
          <w:iCs/>
          <w:szCs w:val="22"/>
          <w:lang w:val="lv-LV"/>
        </w:rPr>
        <w:t> </w:t>
      </w:r>
      <w:r w:rsidRPr="00DD7A4F">
        <w:rPr>
          <w:iCs/>
          <w:szCs w:val="22"/>
          <w:lang w:val="lv-LV"/>
        </w:rPr>
        <w:t xml:space="preserve">pacientgadiem </w:t>
      </w:r>
      <w:r>
        <w:rPr>
          <w:szCs w:val="22"/>
          <w:lang w:val="lv-LV"/>
        </w:rPr>
        <w:t>tocilizumaba</w:t>
      </w:r>
      <w:r w:rsidRPr="00DD7A4F">
        <w:rPr>
          <w:szCs w:val="22"/>
          <w:lang w:val="lv-LV"/>
        </w:rPr>
        <w:t xml:space="preserve"> </w:t>
      </w:r>
      <w:r w:rsidRPr="00DD7A4F">
        <w:rPr>
          <w:iCs/>
          <w:szCs w:val="22"/>
          <w:lang w:val="lv-LV"/>
        </w:rPr>
        <w:t>grupā un 1,5</w:t>
      </w:r>
      <w:r>
        <w:rPr>
          <w:iCs/>
          <w:szCs w:val="22"/>
          <w:lang w:val="lv-LV"/>
        </w:rPr>
        <w:t> </w:t>
      </w:r>
      <w:r w:rsidRPr="00DD7A4F">
        <w:rPr>
          <w:iCs/>
          <w:szCs w:val="22"/>
          <w:lang w:val="lv-LV"/>
        </w:rPr>
        <w:t>gadījumi uz 100</w:t>
      </w:r>
      <w:r>
        <w:rPr>
          <w:iCs/>
          <w:szCs w:val="22"/>
          <w:lang w:val="lv-LV"/>
        </w:rPr>
        <w:t> </w:t>
      </w:r>
      <w:r w:rsidRPr="00DD7A4F">
        <w:rPr>
          <w:iCs/>
          <w:szCs w:val="22"/>
          <w:lang w:val="lv-LV"/>
        </w:rPr>
        <w:t>pacientgadu ilgu lietošanu MTX grupā</w:t>
      </w:r>
      <w:r w:rsidRPr="00DD7A4F">
        <w:rPr>
          <w:szCs w:val="22"/>
          <w:lang w:val="lv-LV"/>
        </w:rPr>
        <w:t xml:space="preserve">. </w:t>
      </w:r>
    </w:p>
    <w:p w14:paraId="444F4CE0" w14:textId="77777777" w:rsidR="00A453C3" w:rsidRPr="00DD7A4F" w:rsidRDefault="00A453C3" w:rsidP="00A453C3">
      <w:pPr>
        <w:rPr>
          <w:szCs w:val="22"/>
          <w:lang w:val="lv-LV"/>
        </w:rPr>
      </w:pPr>
    </w:p>
    <w:p w14:paraId="314511C8" w14:textId="7A27FD2A" w:rsidR="00A453C3" w:rsidRPr="00DD7A4F" w:rsidRDefault="00A453C3" w:rsidP="00A453C3">
      <w:pPr>
        <w:rPr>
          <w:szCs w:val="22"/>
          <w:lang w:val="lv-LV"/>
        </w:rPr>
      </w:pPr>
      <w:r w:rsidRPr="00DD7A4F">
        <w:rPr>
          <w:iCs/>
          <w:szCs w:val="22"/>
          <w:lang w:val="lv-LV"/>
        </w:rPr>
        <w:t xml:space="preserve">Ilgstošai iedarbībai pakļautā populācijā kopējais nopietnu </w:t>
      </w:r>
      <w:ins w:id="1036" w:author="Author">
        <w:r w:rsidR="003428EC">
          <w:rPr>
            <w:iCs/>
            <w:szCs w:val="22"/>
            <w:lang w:val="lv-LV"/>
          </w:rPr>
          <w:t>infekciju (</w:t>
        </w:r>
      </w:ins>
      <w:r w:rsidRPr="00DD7A4F">
        <w:rPr>
          <w:iCs/>
          <w:szCs w:val="22"/>
          <w:lang w:val="lv-LV"/>
        </w:rPr>
        <w:t>baktēriju, vīrusu un sēnīšu izraisītu</w:t>
      </w:r>
      <w:ins w:id="1037" w:author="Author">
        <w:r w:rsidR="003428EC">
          <w:rPr>
            <w:iCs/>
            <w:szCs w:val="22"/>
            <w:lang w:val="lv-LV"/>
          </w:rPr>
          <w:t>)</w:t>
        </w:r>
      </w:ins>
      <w:del w:id="1038" w:author="Author">
        <w:r w:rsidRPr="00DD7A4F" w:rsidDel="003428EC">
          <w:rPr>
            <w:iCs/>
            <w:szCs w:val="22"/>
            <w:lang w:val="lv-LV"/>
          </w:rPr>
          <w:delText xml:space="preserve"> infekciju</w:delText>
        </w:r>
      </w:del>
      <w:r w:rsidRPr="00DD7A4F">
        <w:rPr>
          <w:iCs/>
          <w:szCs w:val="22"/>
          <w:lang w:val="lv-LV"/>
        </w:rPr>
        <w:t xml:space="preserve"> rādītājs bija 4,7</w:t>
      </w:r>
      <w:r>
        <w:rPr>
          <w:iCs/>
          <w:szCs w:val="22"/>
          <w:lang w:val="lv-LV"/>
        </w:rPr>
        <w:t> </w:t>
      </w:r>
      <w:r w:rsidRPr="00DD7A4F">
        <w:rPr>
          <w:iCs/>
          <w:szCs w:val="22"/>
          <w:lang w:val="lv-LV"/>
        </w:rPr>
        <w:t>gadījumi uz 100</w:t>
      </w:r>
      <w:r>
        <w:rPr>
          <w:iCs/>
          <w:szCs w:val="22"/>
          <w:lang w:val="lv-LV"/>
        </w:rPr>
        <w:t> </w:t>
      </w:r>
      <w:r w:rsidRPr="00DD7A4F">
        <w:rPr>
          <w:iCs/>
          <w:szCs w:val="22"/>
          <w:lang w:val="lv-LV"/>
        </w:rPr>
        <w:t xml:space="preserve">pacientgadiem. Novērotās nopietnās infekcijas, dažas no kurām bija ar letālu iznākumu, ietvēra </w:t>
      </w:r>
      <w:r w:rsidRPr="00DD7A4F">
        <w:rPr>
          <w:szCs w:val="22"/>
          <w:lang w:val="lv-LV"/>
        </w:rPr>
        <w:t>aktīvu tuberkulozi, kas var izpausties kā intra</w:t>
      </w:r>
      <w:ins w:id="1039" w:author="Author">
        <w:r w:rsidR="003428EC">
          <w:rPr>
            <w:szCs w:val="22"/>
            <w:lang w:val="lv-LV"/>
          </w:rPr>
          <w:t>pulmonāla</w:t>
        </w:r>
      </w:ins>
      <w:del w:id="1040" w:author="Author">
        <w:r w:rsidDel="003428EC">
          <w:rPr>
            <w:szCs w:val="22"/>
            <w:lang w:val="lv-LV"/>
          </w:rPr>
          <w:noBreakHyphen/>
        </w:r>
      </w:del>
      <w:r w:rsidRPr="00DD7A4F">
        <w:rPr>
          <w:szCs w:val="22"/>
          <w:lang w:val="lv-LV"/>
        </w:rPr>
        <w:t xml:space="preserve"> vai ekstrapulmonā</w:t>
      </w:r>
      <w:r>
        <w:rPr>
          <w:szCs w:val="22"/>
          <w:lang w:val="lv-LV"/>
        </w:rPr>
        <w:t>l</w:t>
      </w:r>
      <w:r w:rsidRPr="00DD7A4F">
        <w:rPr>
          <w:szCs w:val="22"/>
          <w:lang w:val="lv-LV"/>
        </w:rPr>
        <w:t>a slimība, invazīvas plaušu infekcijas</w:t>
      </w:r>
      <w:ins w:id="1041" w:author="Author">
        <w:r w:rsidR="003428EC">
          <w:rPr>
            <w:szCs w:val="22"/>
            <w:lang w:val="lv-LV"/>
          </w:rPr>
          <w:t>,</w:t>
        </w:r>
      </w:ins>
      <w:r w:rsidRPr="00DD7A4F">
        <w:rPr>
          <w:szCs w:val="22"/>
          <w:lang w:val="lv-LV"/>
        </w:rPr>
        <w:t xml:space="preserve"> </w:t>
      </w:r>
      <w:del w:id="1042" w:author="Author">
        <w:r w:rsidRPr="00DD7A4F" w:rsidDel="003428EC">
          <w:rPr>
            <w:szCs w:val="22"/>
            <w:lang w:val="lv-LV"/>
          </w:rPr>
          <w:delText>(</w:delText>
        </w:r>
      </w:del>
      <w:r w:rsidRPr="00DD7A4F">
        <w:rPr>
          <w:szCs w:val="22"/>
          <w:lang w:val="lv-LV"/>
        </w:rPr>
        <w:t>ta</w:t>
      </w:r>
      <w:ins w:id="1043" w:author="Author">
        <w:r w:rsidR="003428EC">
          <w:rPr>
            <w:szCs w:val="22"/>
            <w:lang w:val="lv-LV"/>
          </w:rPr>
          <w:t>i</w:t>
        </w:r>
      </w:ins>
      <w:del w:id="1044" w:author="Author">
        <w:r w:rsidRPr="00DD7A4F" w:rsidDel="003428EC">
          <w:rPr>
            <w:szCs w:val="22"/>
            <w:lang w:val="lv-LV"/>
          </w:rPr>
          <w:delText>jā</w:delText>
        </w:r>
      </w:del>
      <w:r w:rsidRPr="00DD7A4F">
        <w:rPr>
          <w:szCs w:val="22"/>
          <w:lang w:val="lv-LV"/>
        </w:rPr>
        <w:t xml:space="preserve"> skaitā </w:t>
      </w:r>
      <w:del w:id="1045" w:author="Author">
        <w:r w:rsidRPr="00DD7A4F" w:rsidDel="003428EC">
          <w:rPr>
            <w:szCs w:val="22"/>
            <w:lang w:val="lv-LV"/>
          </w:rPr>
          <w:delText xml:space="preserve">arī </w:delText>
        </w:r>
      </w:del>
      <w:r w:rsidRPr="00DD7A4F">
        <w:rPr>
          <w:szCs w:val="22"/>
          <w:lang w:val="lv-LV"/>
        </w:rPr>
        <w:t xml:space="preserve">kandidozi, aspergilozi, kokcidiomikozi un </w:t>
      </w:r>
      <w:r w:rsidRPr="00DD7A4F">
        <w:rPr>
          <w:i/>
          <w:iCs/>
          <w:szCs w:val="22"/>
          <w:lang w:val="lv-LV"/>
        </w:rPr>
        <w:t>Pneumocystis jirovecii</w:t>
      </w:r>
      <w:r w:rsidRPr="00DD7A4F">
        <w:rPr>
          <w:szCs w:val="22"/>
          <w:lang w:val="lv-LV"/>
        </w:rPr>
        <w:t xml:space="preserve"> izraisītas infekcijas</w:t>
      </w:r>
      <w:del w:id="1046" w:author="Author">
        <w:r w:rsidRPr="00DD7A4F" w:rsidDel="002C147D">
          <w:rPr>
            <w:szCs w:val="22"/>
            <w:lang w:val="lv-LV"/>
          </w:rPr>
          <w:delText>)</w:delText>
        </w:r>
      </w:del>
      <w:r w:rsidRPr="00DD7A4F">
        <w:rPr>
          <w:lang w:val="lv-LV"/>
        </w:rPr>
        <w:t xml:space="preserve">, </w:t>
      </w:r>
      <w:r w:rsidRPr="00DD7A4F">
        <w:rPr>
          <w:iCs/>
          <w:szCs w:val="22"/>
          <w:lang w:val="lv-LV"/>
        </w:rPr>
        <w:t xml:space="preserve">pneimoniju, celulītu, </w:t>
      </w:r>
      <w:r w:rsidRPr="00DD7A4F">
        <w:rPr>
          <w:i/>
          <w:iCs/>
          <w:szCs w:val="22"/>
          <w:lang w:val="lv-LV"/>
        </w:rPr>
        <w:t>herpes zoster</w:t>
      </w:r>
      <w:r w:rsidRPr="00DD7A4F">
        <w:rPr>
          <w:iCs/>
          <w:szCs w:val="22"/>
          <w:lang w:val="lv-LV"/>
        </w:rPr>
        <w:t xml:space="preserve">, gastroenterītu, divertikulītu, sepsi un bakteriālu artrītu. Ziņots </w:t>
      </w:r>
      <w:ins w:id="1047" w:author="Author">
        <w:r w:rsidR="0048246B">
          <w:rPr>
            <w:iCs/>
            <w:szCs w:val="22"/>
            <w:lang w:val="lv-LV"/>
          </w:rPr>
          <w:t xml:space="preserve">arī </w:t>
        </w:r>
      </w:ins>
      <w:r w:rsidRPr="00DD7A4F">
        <w:rPr>
          <w:iCs/>
          <w:szCs w:val="22"/>
          <w:lang w:val="lv-LV"/>
        </w:rPr>
        <w:t>par oportūnistiskām infekcijām</w:t>
      </w:r>
      <w:r w:rsidRPr="00DD7A4F">
        <w:rPr>
          <w:szCs w:val="22"/>
          <w:lang w:val="lv-LV"/>
        </w:rPr>
        <w:t xml:space="preserve">. </w:t>
      </w:r>
    </w:p>
    <w:p w14:paraId="41C7E86B" w14:textId="2FAC395B" w:rsidR="00A453C3" w:rsidRPr="00DD7A4F" w:rsidRDefault="00A453C3" w:rsidP="00A453C3">
      <w:pPr>
        <w:rPr>
          <w:szCs w:val="22"/>
          <w:lang w:val="lv-LV"/>
        </w:rPr>
      </w:pPr>
    </w:p>
    <w:p w14:paraId="2D2C24A4" w14:textId="77777777" w:rsidR="00A453C3" w:rsidRPr="00707120" w:rsidRDefault="00A453C3" w:rsidP="00A453C3">
      <w:pPr>
        <w:keepNext/>
        <w:rPr>
          <w:szCs w:val="24"/>
          <w:u w:val="single"/>
          <w:lang w:val="lv-LV"/>
        </w:rPr>
      </w:pPr>
      <w:r w:rsidRPr="00707120">
        <w:rPr>
          <w:i/>
          <w:szCs w:val="24"/>
          <w:u w:val="single"/>
          <w:lang w:val="lv-LV"/>
        </w:rPr>
        <w:t>Intersticiāla plaušu slimība</w:t>
      </w:r>
    </w:p>
    <w:p w14:paraId="11868445" w14:textId="77777777" w:rsidR="00A453C3" w:rsidRPr="00DD7A4F" w:rsidRDefault="00A453C3" w:rsidP="00A453C3">
      <w:pPr>
        <w:rPr>
          <w:szCs w:val="22"/>
          <w:lang w:val="lv-LV"/>
        </w:rPr>
      </w:pPr>
      <w:r w:rsidRPr="00DD7A4F">
        <w:rPr>
          <w:szCs w:val="24"/>
          <w:lang w:val="lv-LV"/>
        </w:rPr>
        <w:t>Plaušu darbības traucējumi var paaugstināt infekciju attīstības risku. Pēcreģistrācijas periodā ir aprakstīta intersticiāla plaušu slimība (tajā skaitā pneimonīts un plaušu fibroze), dažkārt ar letālu iznākumu.</w:t>
      </w:r>
    </w:p>
    <w:p w14:paraId="708CF2A0" w14:textId="77777777" w:rsidR="00A453C3" w:rsidRPr="00DD7A4F" w:rsidRDefault="00A453C3" w:rsidP="00A453C3">
      <w:pPr>
        <w:rPr>
          <w:szCs w:val="22"/>
          <w:lang w:val="lv-LV"/>
        </w:rPr>
      </w:pPr>
    </w:p>
    <w:p w14:paraId="6A44E0BA" w14:textId="36D4CBC4" w:rsidR="00A453C3" w:rsidRPr="00707120" w:rsidRDefault="00A453C3" w:rsidP="00707120">
      <w:pPr>
        <w:keepNext/>
        <w:rPr>
          <w:szCs w:val="22"/>
          <w:u w:val="single"/>
          <w:lang w:val="lv-LV"/>
        </w:rPr>
      </w:pPr>
      <w:r w:rsidRPr="00707120">
        <w:rPr>
          <w:i/>
          <w:szCs w:val="22"/>
          <w:u w:val="single"/>
          <w:lang w:val="lv-LV"/>
        </w:rPr>
        <w:t>Kuņģa</w:t>
      </w:r>
      <w:r w:rsidR="00BD246C">
        <w:rPr>
          <w:i/>
          <w:szCs w:val="22"/>
          <w:u w:val="single"/>
          <w:lang w:val="lv-LV"/>
        </w:rPr>
        <w:t xml:space="preserve"> un </w:t>
      </w:r>
      <w:r w:rsidRPr="00707120">
        <w:rPr>
          <w:i/>
          <w:szCs w:val="22"/>
          <w:u w:val="single"/>
          <w:lang w:val="lv-LV"/>
        </w:rPr>
        <w:t>zarnu trakta perforācija</w:t>
      </w:r>
    </w:p>
    <w:p w14:paraId="6F6E4278" w14:textId="3510348D" w:rsidR="00A453C3" w:rsidRPr="00DD7A4F" w:rsidRDefault="00A453C3" w:rsidP="00A453C3">
      <w:pPr>
        <w:rPr>
          <w:rFonts w:eastAsia="PMingLiU"/>
          <w:szCs w:val="22"/>
          <w:lang w:val="lv-LV"/>
        </w:rPr>
      </w:pPr>
      <w:r w:rsidRPr="00DD7A4F">
        <w:rPr>
          <w:szCs w:val="22"/>
          <w:lang w:val="lv-LV"/>
        </w:rPr>
        <w:t xml:space="preserve">Sešus mēnešus ilgos kontrolētos klīniskos pētījumos lietojot </w:t>
      </w:r>
      <w:r>
        <w:rPr>
          <w:iCs/>
          <w:szCs w:val="22"/>
          <w:lang w:val="lv-LV"/>
        </w:rPr>
        <w:t>tocilizumabu</w:t>
      </w:r>
      <w:r w:rsidRPr="00DD7A4F">
        <w:rPr>
          <w:szCs w:val="22"/>
          <w:lang w:val="lv-LV"/>
        </w:rPr>
        <w:t xml:space="preserve">, kopējais kuņģa </w:t>
      </w:r>
      <w:r w:rsidR="00BD246C">
        <w:rPr>
          <w:szCs w:val="22"/>
          <w:lang w:val="lv-LV"/>
        </w:rPr>
        <w:t>un</w:t>
      </w:r>
      <w:r w:rsidRPr="00DD7A4F">
        <w:rPr>
          <w:szCs w:val="22"/>
          <w:lang w:val="lv-LV"/>
        </w:rPr>
        <w:t xml:space="preserve"> zarnu trakta perforācijas rādītājs bija 0,26 gadījumi uz 100 pacientgadiem. Ilgstošai iedarbībai pakļautajā populācijā kopējais kuņģa </w:t>
      </w:r>
      <w:r w:rsidR="00BD246C">
        <w:rPr>
          <w:szCs w:val="22"/>
          <w:lang w:val="lv-LV"/>
        </w:rPr>
        <w:t>un</w:t>
      </w:r>
      <w:r w:rsidRPr="00DD7A4F">
        <w:rPr>
          <w:szCs w:val="22"/>
          <w:lang w:val="lv-LV"/>
        </w:rPr>
        <w:t xml:space="preserve"> zarnu trakta perforācijas rādītājs bija 0,28 gadījumi uz 100 pacientgadiem. Kuņģa </w:t>
      </w:r>
      <w:r w:rsidR="00BD246C">
        <w:rPr>
          <w:szCs w:val="22"/>
          <w:lang w:val="lv-LV"/>
        </w:rPr>
        <w:t>un</w:t>
      </w:r>
      <w:r w:rsidRPr="00DD7A4F">
        <w:rPr>
          <w:szCs w:val="22"/>
          <w:lang w:val="lv-LV"/>
        </w:rPr>
        <w:t xml:space="preserve"> zarnu trakta perforācija </w:t>
      </w:r>
      <w:r>
        <w:rPr>
          <w:szCs w:val="22"/>
          <w:lang w:val="lv-LV"/>
        </w:rPr>
        <w:t>terapijas</w:t>
      </w:r>
      <w:r w:rsidRPr="00DD7A4F">
        <w:rPr>
          <w:szCs w:val="22"/>
          <w:lang w:val="lv-LV"/>
        </w:rPr>
        <w:t xml:space="preserve"> laikā galvenokārt aprakstīta kā divertikulīta komplikācijas, ietverot ģeneralizētu strutainu peritonītu, kuņģa</w:t>
      </w:r>
      <w:r w:rsidR="00BD246C">
        <w:rPr>
          <w:szCs w:val="22"/>
          <w:lang w:val="lv-LV"/>
        </w:rPr>
        <w:t xml:space="preserve"> un </w:t>
      </w:r>
      <w:r w:rsidRPr="00DD7A4F">
        <w:rPr>
          <w:szCs w:val="22"/>
          <w:lang w:val="lv-LV"/>
        </w:rPr>
        <w:t>zarnu trakta apakšējās daļas perforāciju, fistulu un abscesu.</w:t>
      </w:r>
    </w:p>
    <w:p w14:paraId="73F8DBF1" w14:textId="77777777" w:rsidR="00A453C3" w:rsidRPr="00DD7A4F" w:rsidRDefault="00A453C3" w:rsidP="00A453C3">
      <w:pPr>
        <w:autoSpaceDE w:val="0"/>
        <w:rPr>
          <w:rFonts w:eastAsia="PMingLiU"/>
          <w:szCs w:val="22"/>
          <w:lang w:val="lv-LV"/>
        </w:rPr>
      </w:pPr>
    </w:p>
    <w:p w14:paraId="2D1AB18D" w14:textId="77777777" w:rsidR="00A453C3" w:rsidRPr="00707120" w:rsidRDefault="00A453C3" w:rsidP="00707120">
      <w:pPr>
        <w:keepNext/>
        <w:rPr>
          <w:szCs w:val="22"/>
          <w:u w:val="single"/>
          <w:lang w:val="lv-LV"/>
        </w:rPr>
      </w:pPr>
      <w:r w:rsidRPr="00707120">
        <w:rPr>
          <w:rFonts w:eastAsia="PMingLiU"/>
          <w:i/>
          <w:u w:val="single"/>
          <w:lang w:val="lv-LV"/>
        </w:rPr>
        <w:t>Ar infūziju saistītas reakcijas</w:t>
      </w:r>
    </w:p>
    <w:p w14:paraId="741A3195" w14:textId="7529D9A8" w:rsidR="00A453C3" w:rsidDel="003C331D" w:rsidRDefault="00A453C3" w:rsidP="00A453C3">
      <w:pPr>
        <w:rPr>
          <w:del w:id="1048" w:author="Author"/>
          <w:szCs w:val="22"/>
          <w:lang w:val="lv-LV"/>
        </w:rPr>
      </w:pPr>
      <w:r w:rsidRPr="00DD7A4F">
        <w:rPr>
          <w:szCs w:val="22"/>
          <w:lang w:val="lv-LV"/>
        </w:rPr>
        <w:t>Sešus</w:t>
      </w:r>
      <w:r>
        <w:rPr>
          <w:szCs w:val="22"/>
          <w:lang w:val="lv-LV"/>
        </w:rPr>
        <w:t xml:space="preserve"> </w:t>
      </w:r>
      <w:r w:rsidRPr="00DD7A4F">
        <w:rPr>
          <w:szCs w:val="22"/>
          <w:lang w:val="lv-LV"/>
        </w:rPr>
        <w:t xml:space="preserve">mēnešus ilgos kontrolētos pētījumos ar infūziju saistītas blakusparādības (atsevišķi traucējumi, kas rodas infūzijas laikā vai 24 stundu laikā pēc tās), novērotas 6,9% pacientu </w:t>
      </w:r>
      <w:r>
        <w:rPr>
          <w:iCs/>
          <w:szCs w:val="22"/>
          <w:lang w:val="lv-LV"/>
        </w:rPr>
        <w:t>tocilizumaba</w:t>
      </w:r>
      <w:r w:rsidRPr="00DD7A4F">
        <w:rPr>
          <w:iCs/>
          <w:szCs w:val="22"/>
          <w:lang w:val="lv-LV"/>
        </w:rPr>
        <w:t xml:space="preserve"> 8 mg/kg </w:t>
      </w:r>
      <w:r>
        <w:rPr>
          <w:iCs/>
          <w:szCs w:val="22"/>
          <w:lang w:val="lv-LV"/>
        </w:rPr>
        <w:t xml:space="preserve">devas </w:t>
      </w:r>
      <w:r w:rsidRPr="00DD7A4F">
        <w:rPr>
          <w:iCs/>
          <w:szCs w:val="22"/>
          <w:lang w:val="lv-LV"/>
        </w:rPr>
        <w:t xml:space="preserve">un DMARD grupā un 5,1% pacientu placebo un DMARD grupā. </w:t>
      </w:r>
    </w:p>
    <w:p w14:paraId="70534EB8" w14:textId="7B616486" w:rsidR="000A0D71" w:rsidRPr="00DD7A4F" w:rsidDel="003C331D" w:rsidRDefault="000A0D71" w:rsidP="000A0D71">
      <w:pPr>
        <w:rPr>
          <w:del w:id="1049" w:author="Author"/>
          <w:szCs w:val="22"/>
          <w:lang w:val="lv-LV"/>
        </w:rPr>
      </w:pPr>
      <w:r w:rsidRPr="00DD7A4F">
        <w:rPr>
          <w:iCs/>
          <w:szCs w:val="22"/>
          <w:lang w:val="lv-LV"/>
        </w:rPr>
        <w:t>Galvenais infūzijas laikā novērotais traucējums bija hipertensija; traucējumi, par kuriem ziņots 24 </w:t>
      </w:r>
      <w:r w:rsidRPr="00DD7A4F">
        <w:rPr>
          <w:szCs w:val="22"/>
          <w:lang w:val="lv-LV"/>
        </w:rPr>
        <w:t>stundu laikā pēc infūzijas pabeigšanas, bija galvassāpes un ādas reakcijas (izsitumi, nātrene). Šie traucējumi neierobežoja ārstēšanu.</w:t>
      </w:r>
    </w:p>
    <w:p w14:paraId="1F88081C" w14:textId="77777777" w:rsidR="000A0D71" w:rsidRPr="00DD7A4F" w:rsidRDefault="000A0D71" w:rsidP="00A453C3">
      <w:pPr>
        <w:rPr>
          <w:szCs w:val="22"/>
          <w:lang w:val="lv-LV"/>
        </w:rPr>
      </w:pPr>
    </w:p>
    <w:p w14:paraId="2BED0649" w14:textId="77777777" w:rsidR="00A453C3" w:rsidRPr="00DD7A4F" w:rsidRDefault="00A453C3" w:rsidP="00A453C3">
      <w:pPr>
        <w:rPr>
          <w:szCs w:val="22"/>
          <w:lang w:val="lv-LV"/>
        </w:rPr>
      </w:pPr>
    </w:p>
    <w:p w14:paraId="3F16DA63" w14:textId="3C7E0952" w:rsidR="00A453C3" w:rsidRPr="00DD7A4F" w:rsidRDefault="00A453C3" w:rsidP="00A453C3">
      <w:pPr>
        <w:rPr>
          <w:szCs w:val="22"/>
          <w:lang w:val="lv-LV"/>
        </w:rPr>
      </w:pPr>
      <w:r w:rsidRPr="00DD7A4F">
        <w:rPr>
          <w:szCs w:val="22"/>
          <w:lang w:val="lv-LV"/>
        </w:rPr>
        <w:t>Anafilaktisko reakciju rādītājs (</w:t>
      </w:r>
      <w:r>
        <w:rPr>
          <w:szCs w:val="22"/>
          <w:lang w:val="lv-LV"/>
        </w:rPr>
        <w:t>radās</w:t>
      </w:r>
      <w:r w:rsidRPr="00DD7A4F">
        <w:rPr>
          <w:szCs w:val="22"/>
          <w:lang w:val="lv-LV"/>
        </w:rPr>
        <w:t xml:space="preserve"> kopumā 8/4</w:t>
      </w:r>
      <w:ins w:id="1050" w:author="Author">
        <w:r w:rsidR="003C331D">
          <w:rPr>
            <w:szCs w:val="22"/>
            <w:lang w:val="lv-LV"/>
          </w:rPr>
          <w:t> </w:t>
        </w:r>
      </w:ins>
      <w:r w:rsidRPr="00DD7A4F">
        <w:rPr>
          <w:szCs w:val="22"/>
          <w:lang w:val="lv-LV"/>
        </w:rPr>
        <w:t>009</w:t>
      </w:r>
      <w:r>
        <w:rPr>
          <w:szCs w:val="22"/>
          <w:lang w:val="lv-LV"/>
        </w:rPr>
        <w:t> </w:t>
      </w:r>
      <w:r w:rsidRPr="00DD7A4F">
        <w:rPr>
          <w:szCs w:val="22"/>
          <w:lang w:val="lv-LV"/>
        </w:rPr>
        <w:t>pacientiem, 0,2%), lietojot 4 mg/kg devu, bija vairākas reizes lielāks</w:t>
      </w:r>
      <w:r>
        <w:rPr>
          <w:szCs w:val="22"/>
          <w:lang w:val="lv-LV"/>
        </w:rPr>
        <w:t>,</w:t>
      </w:r>
      <w:r w:rsidRPr="00DD7A4F">
        <w:rPr>
          <w:szCs w:val="22"/>
          <w:lang w:val="lv-LV"/>
        </w:rPr>
        <w:t xml:space="preserve"> nekā lietojot 8 mg/kg devu. Par klīniski nozīmīgām paaugstinātas jutības reakcijām saistībā ar </w:t>
      </w:r>
      <w:r w:rsidRPr="00DD7A4F">
        <w:rPr>
          <w:iCs/>
          <w:szCs w:val="22"/>
          <w:lang w:val="lv-LV"/>
        </w:rPr>
        <w:t>tocilizumaba lietošanu, kuru dēļ nepieciešama terapijas pārtraukšana, ziņots kopumā 56</w:t>
      </w:r>
      <w:r>
        <w:rPr>
          <w:iCs/>
          <w:szCs w:val="22"/>
          <w:lang w:val="lv-LV"/>
        </w:rPr>
        <w:t> </w:t>
      </w:r>
      <w:r w:rsidRPr="00DD7A4F">
        <w:rPr>
          <w:iCs/>
          <w:szCs w:val="22"/>
          <w:lang w:val="lv-LV"/>
        </w:rPr>
        <w:t>no 4</w:t>
      </w:r>
      <w:ins w:id="1051" w:author="Author">
        <w:r w:rsidR="003C331D">
          <w:rPr>
            <w:iCs/>
            <w:szCs w:val="22"/>
            <w:lang w:val="lv-LV"/>
          </w:rPr>
          <w:t> </w:t>
        </w:r>
      </w:ins>
      <w:r w:rsidRPr="00DD7A4F">
        <w:rPr>
          <w:iCs/>
          <w:szCs w:val="22"/>
          <w:lang w:val="lv-LV"/>
        </w:rPr>
        <w:t>009</w:t>
      </w:r>
      <w:r>
        <w:rPr>
          <w:iCs/>
          <w:szCs w:val="22"/>
          <w:lang w:val="lv-LV"/>
        </w:rPr>
        <w:t> </w:t>
      </w:r>
      <w:r w:rsidRPr="00DD7A4F">
        <w:rPr>
          <w:iCs/>
          <w:szCs w:val="22"/>
          <w:lang w:val="lv-LV"/>
        </w:rPr>
        <w:t xml:space="preserve">(1,4%) kontrolētos un atklātos klīniskos pētījumos ar ārstētiem pacientiem. Šīs reakcijas parasti tika novērotas </w:t>
      </w:r>
      <w:r>
        <w:rPr>
          <w:iCs/>
          <w:szCs w:val="22"/>
          <w:lang w:val="lv-LV"/>
        </w:rPr>
        <w:t xml:space="preserve">tocilizumaba </w:t>
      </w:r>
      <w:r w:rsidRPr="00DD7A4F">
        <w:rPr>
          <w:iCs/>
          <w:szCs w:val="22"/>
          <w:lang w:val="lv-LV"/>
        </w:rPr>
        <w:t>2.</w:t>
      </w:r>
      <w:r>
        <w:rPr>
          <w:iCs/>
          <w:szCs w:val="22"/>
          <w:lang w:val="lv-LV"/>
        </w:rPr>
        <w:noBreakHyphen/>
      </w:r>
      <w:r w:rsidRPr="00DD7A4F">
        <w:rPr>
          <w:iCs/>
          <w:szCs w:val="22"/>
          <w:lang w:val="lv-LV"/>
        </w:rPr>
        <w:t>5.</w:t>
      </w:r>
      <w:r>
        <w:rPr>
          <w:iCs/>
          <w:szCs w:val="22"/>
          <w:lang w:val="lv-LV"/>
        </w:rPr>
        <w:t> </w:t>
      </w:r>
      <w:r w:rsidRPr="00DD7A4F">
        <w:rPr>
          <w:iCs/>
          <w:szCs w:val="22"/>
          <w:lang w:val="lv-LV"/>
        </w:rPr>
        <w:t>infūzijas laikā (skatīt 4.4. apakšpunktu)</w:t>
      </w:r>
      <w:r w:rsidRPr="00DD7A4F">
        <w:rPr>
          <w:szCs w:val="22"/>
          <w:lang w:val="lv-LV"/>
        </w:rPr>
        <w:t>.</w:t>
      </w:r>
      <w:r w:rsidRPr="00DD7A4F">
        <w:rPr>
          <w:lang w:val="lv-LV"/>
        </w:rPr>
        <w:t xml:space="preserve"> Pēcreģistrācijas periodā ziņots par letālu anafilakses gadījumu intravenozi lietojama </w:t>
      </w:r>
      <w:r>
        <w:rPr>
          <w:szCs w:val="22"/>
          <w:lang w:val="lv-LV"/>
        </w:rPr>
        <w:t>tocilizumaba</w:t>
      </w:r>
      <w:r w:rsidRPr="00DD7A4F">
        <w:rPr>
          <w:szCs w:val="22"/>
          <w:lang w:val="lv-LV"/>
        </w:rPr>
        <w:t xml:space="preserve"> </w:t>
      </w:r>
      <w:r w:rsidRPr="00DD7A4F">
        <w:rPr>
          <w:lang w:val="lv-LV"/>
        </w:rPr>
        <w:t>terapijas laikā (skatīt 4.4. apakšpunktu).</w:t>
      </w:r>
    </w:p>
    <w:p w14:paraId="6AC4E6D2" w14:textId="77777777" w:rsidR="00A453C3" w:rsidRPr="00DD7A4F" w:rsidRDefault="00A453C3" w:rsidP="00A453C3">
      <w:pPr>
        <w:rPr>
          <w:szCs w:val="22"/>
          <w:lang w:val="lv-LV"/>
        </w:rPr>
      </w:pPr>
    </w:p>
    <w:p w14:paraId="1ED804D8" w14:textId="77777777" w:rsidR="00A453C3" w:rsidRPr="00707120" w:rsidRDefault="00A453C3" w:rsidP="00707120">
      <w:pPr>
        <w:keepNext/>
        <w:rPr>
          <w:szCs w:val="22"/>
          <w:u w:val="single"/>
          <w:lang w:val="lv-LV"/>
        </w:rPr>
      </w:pPr>
      <w:r w:rsidRPr="00707120">
        <w:rPr>
          <w:i/>
          <w:u w:val="single"/>
          <w:lang w:val="lv-LV"/>
        </w:rPr>
        <w:t>Imūngenitāte</w:t>
      </w:r>
    </w:p>
    <w:p w14:paraId="603EA45D" w14:textId="5D6C0308" w:rsidR="00A453C3" w:rsidRPr="00DD7A4F" w:rsidRDefault="00A453C3" w:rsidP="00A453C3">
      <w:pPr>
        <w:rPr>
          <w:szCs w:val="22"/>
          <w:lang w:val="lv-LV"/>
        </w:rPr>
      </w:pPr>
      <w:r w:rsidRPr="00DD7A4F">
        <w:rPr>
          <w:szCs w:val="22"/>
          <w:lang w:val="lv-LV"/>
        </w:rPr>
        <w:t>Sešus mēnešus ilgos k</w:t>
      </w:r>
      <w:r w:rsidRPr="00DD7A4F">
        <w:rPr>
          <w:iCs/>
          <w:szCs w:val="22"/>
          <w:lang w:val="lv-LV"/>
        </w:rPr>
        <w:t>ontrolētos klīniskos pētījumos anti</w:t>
      </w:r>
      <w:r>
        <w:rPr>
          <w:iCs/>
          <w:szCs w:val="22"/>
          <w:lang w:val="lv-LV"/>
        </w:rPr>
        <w:noBreakHyphen/>
        <w:t>tocilizumaba</w:t>
      </w:r>
      <w:r w:rsidRPr="00DD7A4F">
        <w:rPr>
          <w:szCs w:val="22"/>
          <w:lang w:val="lv-LV"/>
        </w:rPr>
        <w:t xml:space="preserve"> </w:t>
      </w:r>
      <w:r w:rsidRPr="00DD7A4F">
        <w:rPr>
          <w:iCs/>
          <w:szCs w:val="22"/>
          <w:lang w:val="lv-LV"/>
        </w:rPr>
        <w:t>antivielas noteica kopumā 2</w:t>
      </w:r>
      <w:ins w:id="1052" w:author="Author">
        <w:r w:rsidR="003C331D">
          <w:rPr>
            <w:iCs/>
            <w:szCs w:val="22"/>
            <w:lang w:val="lv-LV"/>
          </w:rPr>
          <w:t> </w:t>
        </w:r>
      </w:ins>
      <w:r w:rsidRPr="00DD7A4F">
        <w:rPr>
          <w:iCs/>
          <w:szCs w:val="22"/>
          <w:lang w:val="lv-LV"/>
        </w:rPr>
        <w:t>876</w:t>
      </w:r>
      <w:r>
        <w:rPr>
          <w:iCs/>
          <w:szCs w:val="22"/>
          <w:lang w:val="lv-LV"/>
        </w:rPr>
        <w:t> </w:t>
      </w:r>
      <w:r w:rsidRPr="00DD7A4F">
        <w:rPr>
          <w:iCs/>
          <w:szCs w:val="22"/>
          <w:lang w:val="lv-LV"/>
        </w:rPr>
        <w:t>pacientiem. No 46</w:t>
      </w:r>
      <w:r>
        <w:rPr>
          <w:iCs/>
          <w:szCs w:val="22"/>
          <w:lang w:val="lv-LV"/>
        </w:rPr>
        <w:t> </w:t>
      </w:r>
      <w:r w:rsidRPr="00DD7A4F">
        <w:rPr>
          <w:iCs/>
          <w:szCs w:val="22"/>
          <w:lang w:val="lv-LV"/>
        </w:rPr>
        <w:t>pacientiem (1,6%), kuriem attīstījās anti</w:t>
      </w:r>
      <w:r>
        <w:rPr>
          <w:iCs/>
          <w:szCs w:val="22"/>
          <w:lang w:val="lv-LV"/>
        </w:rPr>
        <w:noBreakHyphen/>
        <w:t>tocilizumaba</w:t>
      </w:r>
      <w:r w:rsidRPr="00DD7A4F">
        <w:rPr>
          <w:szCs w:val="22"/>
          <w:lang w:val="lv-LV"/>
        </w:rPr>
        <w:t xml:space="preserve"> </w:t>
      </w:r>
      <w:r w:rsidRPr="00DD7A4F">
        <w:rPr>
          <w:iCs/>
          <w:szCs w:val="22"/>
          <w:lang w:val="lv-LV"/>
        </w:rPr>
        <w:t>antivielas, 6</w:t>
      </w:r>
      <w:r>
        <w:rPr>
          <w:iCs/>
          <w:szCs w:val="22"/>
          <w:lang w:val="lv-LV"/>
        </w:rPr>
        <w:t> pacientiem</w:t>
      </w:r>
      <w:r w:rsidRPr="00DD7A4F">
        <w:rPr>
          <w:iCs/>
          <w:szCs w:val="22"/>
          <w:lang w:val="lv-LV"/>
        </w:rPr>
        <w:t xml:space="preserve"> vienlaikus bija arī klīniski nozīmīga paaugstinātas jutības reakcija, kuras dēļ 5</w:t>
      </w:r>
      <w:r>
        <w:rPr>
          <w:iCs/>
          <w:szCs w:val="22"/>
          <w:lang w:val="lv-LV"/>
        </w:rPr>
        <w:t> </w:t>
      </w:r>
      <w:r w:rsidRPr="00DD7A4F">
        <w:rPr>
          <w:iCs/>
          <w:szCs w:val="22"/>
          <w:lang w:val="lv-LV"/>
        </w:rPr>
        <w:t>pacientiem terapija bija pilnīgi jāpārtrauc. Trīsdesmit pacientiem (1,1%) attīstījās neitralizējošas antivielas.</w:t>
      </w:r>
      <w:r w:rsidRPr="00DD7A4F">
        <w:rPr>
          <w:szCs w:val="22"/>
          <w:lang w:val="lv-LV"/>
        </w:rPr>
        <w:t xml:space="preserve"> </w:t>
      </w:r>
    </w:p>
    <w:p w14:paraId="5E347214" w14:textId="77777777" w:rsidR="00A453C3" w:rsidRPr="00DD7A4F" w:rsidRDefault="00A453C3" w:rsidP="00A453C3">
      <w:pPr>
        <w:rPr>
          <w:szCs w:val="22"/>
          <w:lang w:val="lv-LV"/>
        </w:rPr>
      </w:pPr>
    </w:p>
    <w:p w14:paraId="09881BA7" w14:textId="77777777" w:rsidR="00A453C3" w:rsidRPr="00707120" w:rsidRDefault="00A453C3" w:rsidP="00A453C3">
      <w:pPr>
        <w:keepNext/>
        <w:keepLines/>
        <w:rPr>
          <w:szCs w:val="22"/>
          <w:u w:val="single"/>
          <w:lang w:val="lv-LV"/>
        </w:rPr>
      </w:pPr>
      <w:r w:rsidRPr="00707120">
        <w:rPr>
          <w:i/>
          <w:u w:val="single"/>
          <w:lang w:val="lv-LV"/>
        </w:rPr>
        <w:t>Neitrofilie leikocīti</w:t>
      </w:r>
    </w:p>
    <w:p w14:paraId="45999715" w14:textId="48B69407" w:rsidR="00A453C3" w:rsidRPr="00DD7A4F" w:rsidRDefault="00A453C3" w:rsidP="00A453C3">
      <w:pPr>
        <w:rPr>
          <w:szCs w:val="22"/>
          <w:lang w:val="lv-LV"/>
        </w:rPr>
      </w:pPr>
      <w:r w:rsidRPr="00DD7A4F">
        <w:rPr>
          <w:szCs w:val="22"/>
          <w:lang w:val="lv-LV"/>
        </w:rPr>
        <w:t>Sešus</w:t>
      </w:r>
      <w:r>
        <w:rPr>
          <w:szCs w:val="22"/>
          <w:lang w:val="lv-LV"/>
        </w:rPr>
        <w:t xml:space="preserve"> </w:t>
      </w:r>
      <w:r w:rsidRPr="00DD7A4F">
        <w:rPr>
          <w:szCs w:val="22"/>
          <w:lang w:val="lv-LV"/>
        </w:rPr>
        <w:t>mēnešus ilgos k</w:t>
      </w:r>
      <w:r w:rsidRPr="00DD7A4F">
        <w:rPr>
          <w:iCs/>
          <w:szCs w:val="22"/>
          <w:lang w:val="lv-LV"/>
        </w:rPr>
        <w:t>ontrolētos pētījumos n</w:t>
      </w:r>
      <w:r w:rsidRPr="00DD7A4F">
        <w:rPr>
          <w:szCs w:val="22"/>
          <w:lang w:val="lv-LV"/>
        </w:rPr>
        <w:t>eitrofilo leikocītu skaita samazināšanos zem 1</w:t>
      </w:r>
      <w:r>
        <w:rPr>
          <w:szCs w:val="22"/>
          <w:lang w:val="lv-LV"/>
        </w:rPr>
        <w:t> × </w:t>
      </w:r>
      <w:r w:rsidRPr="00DD7A4F">
        <w:rPr>
          <w:szCs w:val="22"/>
          <w:lang w:val="lv-LV"/>
        </w:rPr>
        <w:t>10</w:t>
      </w:r>
      <w:r w:rsidRPr="00DD7A4F">
        <w:rPr>
          <w:szCs w:val="22"/>
          <w:vertAlign w:val="superscript"/>
          <w:lang w:val="lv-LV"/>
        </w:rPr>
        <w:t>9</w:t>
      </w:r>
      <w:r w:rsidRPr="00DD7A4F">
        <w:rPr>
          <w:rFonts w:eastAsia="MS Mincho"/>
          <w:szCs w:val="22"/>
          <w:lang w:val="lv-LV"/>
        </w:rPr>
        <w:t>/l</w:t>
      </w:r>
      <w:r>
        <w:rPr>
          <w:rFonts w:eastAsia="MS Mincho"/>
          <w:szCs w:val="22"/>
          <w:lang w:val="lv-LV"/>
        </w:rPr>
        <w:t xml:space="preserve"> </w:t>
      </w:r>
      <w:r w:rsidRPr="00DD7A4F">
        <w:rPr>
          <w:szCs w:val="22"/>
          <w:lang w:val="lv-LV"/>
        </w:rPr>
        <w:t xml:space="preserve">konstatēja 3,4% pacientu, kuri saņēma </w:t>
      </w:r>
      <w:r>
        <w:rPr>
          <w:szCs w:val="22"/>
          <w:lang w:val="lv-LV"/>
        </w:rPr>
        <w:t>tocilizumaba</w:t>
      </w:r>
      <w:r w:rsidRPr="00DD7A4F">
        <w:rPr>
          <w:szCs w:val="22"/>
          <w:lang w:val="lv-LV"/>
        </w:rPr>
        <w:t xml:space="preserve"> 8 mg/kg </w:t>
      </w:r>
      <w:r>
        <w:rPr>
          <w:szCs w:val="22"/>
          <w:lang w:val="lv-LV"/>
        </w:rPr>
        <w:t xml:space="preserve">devu </w:t>
      </w:r>
      <w:r w:rsidRPr="00DD7A4F">
        <w:rPr>
          <w:szCs w:val="22"/>
          <w:lang w:val="lv-LV"/>
        </w:rPr>
        <w:t>un DMARD, salīdzinot ar &lt;</w:t>
      </w:r>
      <w:r>
        <w:rPr>
          <w:szCs w:val="22"/>
          <w:lang w:val="lv-LV"/>
        </w:rPr>
        <w:t> </w:t>
      </w:r>
      <w:r w:rsidRPr="00DD7A4F">
        <w:rPr>
          <w:szCs w:val="22"/>
          <w:lang w:val="lv-LV"/>
        </w:rPr>
        <w:t xml:space="preserve">0,1% pacientu, kuri saņēma placebo un DMARD. Aptuveni pusei pacientu, kuriem ANS samazinājās </w:t>
      </w:r>
      <w:r>
        <w:rPr>
          <w:szCs w:val="22"/>
          <w:lang w:val="lv-LV"/>
        </w:rPr>
        <w:t>līdz </w:t>
      </w:r>
      <w:r w:rsidRPr="00DD7A4F">
        <w:rPr>
          <w:szCs w:val="22"/>
          <w:lang w:val="lv-LV"/>
        </w:rPr>
        <w:t>&lt; 1 </w:t>
      </w:r>
      <w:r>
        <w:rPr>
          <w:szCs w:val="22"/>
          <w:lang w:val="lv-LV"/>
        </w:rPr>
        <w:t>×</w:t>
      </w:r>
      <w:r w:rsidRPr="00DD7A4F">
        <w:rPr>
          <w:szCs w:val="22"/>
          <w:lang w:val="lv-LV"/>
        </w:rPr>
        <w:t> 10</w:t>
      </w:r>
      <w:r w:rsidRPr="00DD7A4F">
        <w:rPr>
          <w:szCs w:val="22"/>
          <w:vertAlign w:val="superscript"/>
          <w:lang w:val="lv-LV"/>
        </w:rPr>
        <w:t>9</w:t>
      </w:r>
      <w:r w:rsidRPr="00DD7A4F">
        <w:rPr>
          <w:szCs w:val="22"/>
          <w:lang w:val="lv-LV"/>
        </w:rPr>
        <w:t>/l, tas notika 8</w:t>
      </w:r>
      <w:r>
        <w:rPr>
          <w:szCs w:val="22"/>
          <w:lang w:val="lv-LV"/>
        </w:rPr>
        <w:t> </w:t>
      </w:r>
      <w:r w:rsidRPr="00DD7A4F">
        <w:rPr>
          <w:szCs w:val="22"/>
          <w:lang w:val="lv-LV"/>
        </w:rPr>
        <w:t>nedēļu laikā pēc ārstēšanas uzsākšanas.</w:t>
      </w:r>
      <w:r w:rsidRPr="00DD7A4F">
        <w:rPr>
          <w:szCs w:val="22"/>
          <w:vertAlign w:val="superscript"/>
          <w:lang w:val="lv-LV"/>
        </w:rPr>
        <w:t xml:space="preserve"> </w:t>
      </w:r>
      <w:r w:rsidRPr="00DD7A4F">
        <w:rPr>
          <w:szCs w:val="22"/>
          <w:lang w:val="lv-LV"/>
        </w:rPr>
        <w:t>Par samazināšanos zem</w:t>
      </w:r>
      <w:r>
        <w:rPr>
          <w:szCs w:val="22"/>
          <w:lang w:val="lv-LV"/>
        </w:rPr>
        <w:t> </w:t>
      </w:r>
      <w:r w:rsidRPr="00DD7A4F">
        <w:rPr>
          <w:szCs w:val="22"/>
          <w:lang w:val="lv-LV"/>
        </w:rPr>
        <w:t>0,5</w:t>
      </w:r>
      <w:r>
        <w:rPr>
          <w:szCs w:val="22"/>
          <w:lang w:val="lv-LV"/>
        </w:rPr>
        <w:t> × </w:t>
      </w:r>
      <w:r w:rsidRPr="00DD7A4F">
        <w:rPr>
          <w:szCs w:val="22"/>
          <w:lang w:val="lv-LV"/>
        </w:rPr>
        <w:t>10</w:t>
      </w:r>
      <w:r w:rsidRPr="00DD7A4F">
        <w:rPr>
          <w:szCs w:val="22"/>
          <w:vertAlign w:val="superscript"/>
          <w:lang w:val="lv-LV"/>
        </w:rPr>
        <w:t>9</w:t>
      </w:r>
      <w:r w:rsidRPr="00DD7A4F">
        <w:rPr>
          <w:rFonts w:eastAsia="MS Mincho"/>
          <w:szCs w:val="22"/>
          <w:lang w:val="lv-LV"/>
        </w:rPr>
        <w:t>/l</w:t>
      </w:r>
      <w:r w:rsidRPr="00DD7A4F">
        <w:rPr>
          <w:szCs w:val="22"/>
          <w:lang w:val="lv-LV"/>
        </w:rPr>
        <w:t xml:space="preserve"> tika ziņots 0,3% pacientu, kuri saņēma </w:t>
      </w:r>
      <w:r>
        <w:rPr>
          <w:szCs w:val="22"/>
          <w:lang w:val="lv-LV"/>
        </w:rPr>
        <w:t>tocilizumaba</w:t>
      </w:r>
      <w:r w:rsidRPr="00DD7A4F">
        <w:rPr>
          <w:szCs w:val="22"/>
          <w:lang w:val="lv-LV"/>
        </w:rPr>
        <w:t xml:space="preserve"> 8 mg/kg </w:t>
      </w:r>
      <w:r>
        <w:rPr>
          <w:szCs w:val="22"/>
          <w:lang w:val="lv-LV"/>
        </w:rPr>
        <w:t xml:space="preserve">devu </w:t>
      </w:r>
      <w:r w:rsidRPr="00DD7A4F">
        <w:rPr>
          <w:szCs w:val="22"/>
          <w:lang w:val="lv-LV"/>
        </w:rPr>
        <w:t xml:space="preserve">un DMARD. Neitropēnijas gadījumos ir aprakstītas infekcijas. </w:t>
      </w:r>
    </w:p>
    <w:p w14:paraId="3045CA0F" w14:textId="77777777" w:rsidR="00A453C3" w:rsidRPr="00DD7A4F" w:rsidRDefault="00A453C3" w:rsidP="00A453C3">
      <w:pPr>
        <w:autoSpaceDE w:val="0"/>
        <w:rPr>
          <w:szCs w:val="22"/>
          <w:lang w:val="lv-LV"/>
        </w:rPr>
      </w:pPr>
    </w:p>
    <w:p w14:paraId="00657B98" w14:textId="77777777" w:rsidR="00A453C3" w:rsidRPr="00DD7A4F" w:rsidRDefault="00A453C3" w:rsidP="00A453C3">
      <w:pPr>
        <w:autoSpaceDE w:val="0"/>
        <w:rPr>
          <w:szCs w:val="22"/>
          <w:lang w:val="lv-LV"/>
        </w:rPr>
      </w:pPr>
      <w:r w:rsidRPr="00DD7A4F">
        <w:rPr>
          <w:szCs w:val="22"/>
          <w:lang w:val="lv-LV"/>
        </w:rPr>
        <w:t>Dubultmaskētā kontroles periodā pakļaujot pacientus ilgstošai zāļu iedarbībai, neitrofilo leikocītu skaita samazināšanās veids un sastopamība saglabājās atbilstoši tam, kāds tika novērots 6 mēnešus ilgo kontrolēto klīnisko pētījumu laikā.</w:t>
      </w:r>
    </w:p>
    <w:p w14:paraId="50431709" w14:textId="77777777" w:rsidR="00A453C3" w:rsidRPr="00DD7A4F" w:rsidRDefault="00A453C3" w:rsidP="00A453C3">
      <w:pPr>
        <w:autoSpaceDE w:val="0"/>
        <w:rPr>
          <w:szCs w:val="22"/>
          <w:lang w:val="lv-LV"/>
        </w:rPr>
      </w:pPr>
    </w:p>
    <w:p w14:paraId="38D7A38A" w14:textId="77777777" w:rsidR="00A453C3" w:rsidRPr="00707120" w:rsidRDefault="00A453C3" w:rsidP="00A453C3">
      <w:pPr>
        <w:keepNext/>
        <w:keepLines/>
        <w:autoSpaceDE w:val="0"/>
        <w:rPr>
          <w:szCs w:val="22"/>
          <w:u w:val="single"/>
          <w:lang w:val="lv-LV"/>
        </w:rPr>
      </w:pPr>
      <w:r w:rsidRPr="00707120">
        <w:rPr>
          <w:i/>
          <w:szCs w:val="22"/>
          <w:u w:val="single"/>
          <w:lang w:val="lv-LV"/>
        </w:rPr>
        <w:t>Trombocīti</w:t>
      </w:r>
    </w:p>
    <w:p w14:paraId="43A9C33E" w14:textId="168FA91C" w:rsidR="00A453C3" w:rsidRPr="00DD7A4F" w:rsidRDefault="00A453C3" w:rsidP="00A453C3">
      <w:pPr>
        <w:autoSpaceDE w:val="0"/>
        <w:rPr>
          <w:szCs w:val="22"/>
          <w:lang w:val="lv-LV"/>
        </w:rPr>
      </w:pPr>
      <w:r w:rsidRPr="00DD7A4F">
        <w:rPr>
          <w:szCs w:val="22"/>
          <w:lang w:val="lv-LV"/>
        </w:rPr>
        <w:t>Sešus</w:t>
      </w:r>
      <w:r>
        <w:rPr>
          <w:szCs w:val="22"/>
          <w:lang w:val="lv-LV"/>
        </w:rPr>
        <w:t xml:space="preserve"> </w:t>
      </w:r>
      <w:r w:rsidRPr="00DD7A4F">
        <w:rPr>
          <w:szCs w:val="22"/>
          <w:lang w:val="lv-LV"/>
        </w:rPr>
        <w:t>mēnešus ilgos k</w:t>
      </w:r>
      <w:r w:rsidRPr="00DD7A4F">
        <w:rPr>
          <w:iCs/>
          <w:szCs w:val="22"/>
          <w:lang w:val="lv-LV"/>
        </w:rPr>
        <w:t xml:space="preserve">ontrolētos pētījumos </w:t>
      </w:r>
      <w:r w:rsidRPr="00DD7A4F">
        <w:rPr>
          <w:szCs w:val="22"/>
          <w:lang w:val="lv-LV"/>
        </w:rPr>
        <w:t>trombocītu skaita samazināšanos zem 100</w:t>
      </w:r>
      <w:r>
        <w:rPr>
          <w:szCs w:val="22"/>
          <w:lang w:val="lv-LV"/>
        </w:rPr>
        <w:t> × </w:t>
      </w:r>
      <w:r w:rsidRPr="00DD7A4F">
        <w:rPr>
          <w:szCs w:val="22"/>
          <w:lang w:val="lv-LV"/>
        </w:rPr>
        <w:t>10</w:t>
      </w:r>
      <w:r w:rsidRPr="00DD7A4F">
        <w:rPr>
          <w:szCs w:val="22"/>
          <w:vertAlign w:val="superscript"/>
          <w:lang w:val="lv-LV"/>
        </w:rPr>
        <w:t>3</w:t>
      </w:r>
      <w:r w:rsidRPr="00DD7A4F">
        <w:rPr>
          <w:rFonts w:eastAsia="MS Mincho"/>
          <w:szCs w:val="22"/>
          <w:lang w:val="lv-LV"/>
        </w:rPr>
        <w:t>/</w:t>
      </w:r>
      <w:r w:rsidR="00714A3E" w:rsidRPr="00707120">
        <w:rPr>
          <w:rFonts w:eastAsia="SimSun"/>
          <w:szCs w:val="22"/>
          <w:lang w:val="lv-LV" w:eastAsia="ja-JP"/>
        </w:rPr>
        <w:t>µ</w:t>
      </w:r>
      <w:r w:rsidRPr="00DD7A4F">
        <w:rPr>
          <w:rFonts w:eastAsia="MS Mincho"/>
          <w:szCs w:val="22"/>
          <w:lang w:val="lv-LV"/>
        </w:rPr>
        <w:t>l</w:t>
      </w:r>
      <w:r w:rsidRPr="00DD7A4F">
        <w:rPr>
          <w:szCs w:val="22"/>
          <w:lang w:val="lv-LV"/>
        </w:rPr>
        <w:t xml:space="preserve"> konstatēja 1,7% pacientu, kuri saņēma </w:t>
      </w:r>
      <w:r>
        <w:rPr>
          <w:szCs w:val="22"/>
          <w:lang w:val="lv-LV"/>
        </w:rPr>
        <w:t>tocilizumaba</w:t>
      </w:r>
      <w:r w:rsidRPr="00DD7A4F">
        <w:rPr>
          <w:szCs w:val="22"/>
          <w:lang w:val="lv-LV"/>
        </w:rPr>
        <w:t xml:space="preserve"> 8 mg/kg </w:t>
      </w:r>
      <w:r>
        <w:rPr>
          <w:szCs w:val="22"/>
          <w:lang w:val="lv-LV"/>
        </w:rPr>
        <w:t xml:space="preserve">devu </w:t>
      </w:r>
      <w:r w:rsidRPr="00DD7A4F">
        <w:rPr>
          <w:szCs w:val="22"/>
          <w:lang w:val="lv-LV"/>
        </w:rPr>
        <w:t>un DMARD, salīdzinot ar &lt;</w:t>
      </w:r>
      <w:r>
        <w:rPr>
          <w:szCs w:val="22"/>
          <w:lang w:val="lv-LV"/>
        </w:rPr>
        <w:t> </w:t>
      </w:r>
      <w:r w:rsidRPr="00DD7A4F">
        <w:rPr>
          <w:szCs w:val="22"/>
          <w:lang w:val="lv-LV"/>
        </w:rPr>
        <w:t>1% pacientu, kuri saņēma placebo un DMARD. Šī samazināšanās nebija saistīta ar asiņošanu.</w:t>
      </w:r>
    </w:p>
    <w:p w14:paraId="62B400C1" w14:textId="77777777" w:rsidR="00A453C3" w:rsidRPr="00DD7A4F" w:rsidRDefault="00A453C3" w:rsidP="00A453C3">
      <w:pPr>
        <w:autoSpaceDE w:val="0"/>
        <w:rPr>
          <w:szCs w:val="22"/>
          <w:lang w:val="lv-LV"/>
        </w:rPr>
      </w:pPr>
    </w:p>
    <w:p w14:paraId="2E8DE726" w14:textId="77777777" w:rsidR="00A453C3" w:rsidRPr="00DD7A4F" w:rsidRDefault="00A453C3" w:rsidP="00A453C3">
      <w:pPr>
        <w:autoSpaceDE w:val="0"/>
        <w:rPr>
          <w:szCs w:val="22"/>
          <w:lang w:val="lv-LV"/>
        </w:rPr>
      </w:pPr>
      <w:r w:rsidRPr="00DD7A4F">
        <w:rPr>
          <w:szCs w:val="22"/>
          <w:lang w:val="lv-LV"/>
        </w:rPr>
        <w:t>Dubultmaskētā kontroles periodā pakļaujot pacientus ilgstošai zāļu iedarbībai, trombocītu skaita samazināšanās veids un sastopamība saglabājās tāda pati, kāda tika novērota 6 mēnešus ilgo kontrolēto klīnisko pētījumu laikā.</w:t>
      </w:r>
    </w:p>
    <w:p w14:paraId="14E95A06" w14:textId="77777777" w:rsidR="00A453C3" w:rsidRPr="00DD7A4F" w:rsidRDefault="00A453C3" w:rsidP="00A453C3">
      <w:pPr>
        <w:autoSpaceDE w:val="0"/>
        <w:rPr>
          <w:szCs w:val="22"/>
          <w:lang w:val="lv-LV"/>
        </w:rPr>
      </w:pPr>
    </w:p>
    <w:p w14:paraId="572F5B04" w14:textId="77777777" w:rsidR="00A453C3" w:rsidRPr="00DD7A4F" w:rsidRDefault="00A453C3" w:rsidP="00A453C3">
      <w:pPr>
        <w:autoSpaceDE w:val="0"/>
        <w:rPr>
          <w:szCs w:val="22"/>
          <w:lang w:val="lv-LV"/>
        </w:rPr>
      </w:pPr>
      <w:r w:rsidRPr="00DD7A4F">
        <w:rPr>
          <w:szCs w:val="22"/>
          <w:lang w:val="lv-LV"/>
        </w:rPr>
        <w:t>Pēcreģistrācijas periodā ļoti retos gadījumos novērota pancitopēnija.</w:t>
      </w:r>
    </w:p>
    <w:p w14:paraId="4EC38331" w14:textId="77777777" w:rsidR="00A453C3" w:rsidRPr="00DD7A4F" w:rsidRDefault="00A453C3" w:rsidP="00A453C3">
      <w:pPr>
        <w:autoSpaceDE w:val="0"/>
        <w:rPr>
          <w:szCs w:val="22"/>
          <w:lang w:val="lv-LV"/>
        </w:rPr>
      </w:pPr>
    </w:p>
    <w:p w14:paraId="3D8CC75E" w14:textId="77777777" w:rsidR="00A453C3" w:rsidRPr="00707120" w:rsidRDefault="00A453C3" w:rsidP="00A453C3">
      <w:pPr>
        <w:keepNext/>
        <w:rPr>
          <w:szCs w:val="22"/>
          <w:u w:val="single"/>
          <w:lang w:val="lv-LV"/>
        </w:rPr>
      </w:pPr>
      <w:r w:rsidRPr="00707120">
        <w:rPr>
          <w:i/>
          <w:u w:val="single"/>
          <w:lang w:val="lv-LV"/>
        </w:rPr>
        <w:t>Paaugstināts aknu transamināžu līmenis</w:t>
      </w:r>
    </w:p>
    <w:p w14:paraId="5CC92F72" w14:textId="42AF3F8F" w:rsidR="00A453C3" w:rsidRDefault="00A453C3" w:rsidP="00A453C3">
      <w:pPr>
        <w:rPr>
          <w:szCs w:val="22"/>
          <w:lang w:val="lv-LV"/>
        </w:rPr>
      </w:pPr>
      <w:r>
        <w:rPr>
          <w:szCs w:val="22"/>
          <w:lang w:val="lv-LV"/>
        </w:rPr>
        <w:t>Sešus mēnešus ilgos k</w:t>
      </w:r>
      <w:r>
        <w:rPr>
          <w:iCs/>
          <w:szCs w:val="22"/>
          <w:lang w:val="lv-LV"/>
        </w:rPr>
        <w:t>ontrolētos pētījumos ī</w:t>
      </w:r>
      <w:r>
        <w:rPr>
          <w:szCs w:val="22"/>
          <w:lang w:val="lv-LV"/>
        </w:rPr>
        <w:t>slaicīgu ALAT/ASAT līmeņa paaugstināšanos &gt; 3 × NAR novēroja 2,1% pacientu, kuri lietoja tocilizumaba 8 mg/kg devu, salīdzinot ar 4,9% pacientu, kuri saņēma MTX, un 6,5% pacientu, kuri saņēma tocilizumaba 8 mg/kg devu un DMARD, salīdzinot ar 1,5% pacientu, kuri saņēma placebo un DMARD.</w:t>
      </w:r>
    </w:p>
    <w:p w14:paraId="2D2E2180" w14:textId="77777777" w:rsidR="00A453C3" w:rsidRDefault="00A453C3" w:rsidP="00A453C3">
      <w:pPr>
        <w:rPr>
          <w:szCs w:val="22"/>
          <w:lang w:val="lv-LV"/>
        </w:rPr>
      </w:pPr>
    </w:p>
    <w:p w14:paraId="5DC7F35B" w14:textId="2C3E5AF3" w:rsidR="00A453C3" w:rsidRDefault="00A453C3" w:rsidP="00A453C3">
      <w:pPr>
        <w:rPr>
          <w:szCs w:val="22"/>
          <w:lang w:val="lv-LV"/>
        </w:rPr>
      </w:pPr>
      <w:r>
        <w:rPr>
          <w:szCs w:val="22"/>
          <w:lang w:val="lv-LV"/>
        </w:rPr>
        <w:t>Pievienojot tocilizumaba monoterapijai potenciāli hepatotoksisk</w:t>
      </w:r>
      <w:r w:rsidR="008A589E">
        <w:rPr>
          <w:szCs w:val="22"/>
          <w:lang w:val="lv-LV"/>
        </w:rPr>
        <w:t>a</w:t>
      </w:r>
      <w:r>
        <w:rPr>
          <w:szCs w:val="22"/>
          <w:lang w:val="lv-LV"/>
        </w:rPr>
        <w:t xml:space="preserve">s </w:t>
      </w:r>
      <w:r w:rsidR="008A589E">
        <w:rPr>
          <w:szCs w:val="22"/>
          <w:lang w:val="lv-LV"/>
        </w:rPr>
        <w:t xml:space="preserve">zāles </w:t>
      </w:r>
      <w:r>
        <w:rPr>
          <w:szCs w:val="22"/>
          <w:lang w:val="lv-LV"/>
        </w:rPr>
        <w:t>(piemēram, MTX), šādu enzīmu koncentrācijas paaugstināšanos novēroja biežāk. ALAT/ASAT līmeņa paaugstināšanos &gt; 5 × NAR novēroja 0,7% pacientu, kuri saņēma tocilizumaba monoterapiju, un 1,4% pacientu, kuri saņēma tocilizumabu un DMARD, no kuriem lielākai daļai tocilizumaba terapija tika pilnīgi pārtraukta. Dubultmaskētā kontrolētā perioda laikā 6,2% pacientu, kurus ārstēja ar tocilizumaba 8 mg/kg devām + DMARD, parasto laboratorisko rādītāju kontroles laikā konstatēja netiešā bilirubīna koncentrāciju, kas pārsniedz normas augstāko robežu. Pavisam 5,8% pacientu paaugstinātā netiešā bilirubīna koncentrācija NAR pārsniedza &gt; 1 līdz 2 reizes, bet 0,4% pacientu paaugstinātā koncentrācija NAR pārsniedza &gt; 2 reizes.</w:t>
      </w:r>
    </w:p>
    <w:p w14:paraId="5ACFCB50" w14:textId="77777777" w:rsidR="00A453C3" w:rsidRPr="00DD7A4F" w:rsidRDefault="00A453C3" w:rsidP="00A453C3">
      <w:pPr>
        <w:rPr>
          <w:szCs w:val="22"/>
          <w:lang w:val="lv-LV"/>
        </w:rPr>
      </w:pPr>
    </w:p>
    <w:p w14:paraId="70B7B36C" w14:textId="77777777" w:rsidR="00A453C3" w:rsidRPr="00DD7A4F" w:rsidRDefault="00A453C3" w:rsidP="00A453C3">
      <w:pPr>
        <w:rPr>
          <w:szCs w:val="22"/>
          <w:lang w:val="lv-LV"/>
        </w:rPr>
      </w:pPr>
      <w:r w:rsidRPr="00DD7A4F">
        <w:rPr>
          <w:szCs w:val="22"/>
          <w:lang w:val="lv-LV"/>
        </w:rPr>
        <w:t>Dubultmaskētā kontroles periodā pakļaujot pacientus ilgstošai zāļu iedarbībai, ASAT/ALAT paaugstināšanās veids un sastopamība saglabājās atbilstoši tam, kāds novērots 6 mēnešus ilgo kontrolēto klīnisko pētījumu laikā.</w:t>
      </w:r>
    </w:p>
    <w:p w14:paraId="526B1DA2" w14:textId="77777777" w:rsidR="00A453C3" w:rsidRPr="00DD7A4F" w:rsidRDefault="00A453C3" w:rsidP="00A453C3">
      <w:pPr>
        <w:rPr>
          <w:szCs w:val="22"/>
          <w:lang w:val="lv-LV"/>
        </w:rPr>
      </w:pPr>
    </w:p>
    <w:p w14:paraId="725CC32A" w14:textId="77777777" w:rsidR="00A453C3" w:rsidRPr="00707120" w:rsidRDefault="00A453C3" w:rsidP="00A453C3">
      <w:pPr>
        <w:keepNext/>
        <w:keepLines/>
        <w:rPr>
          <w:rFonts w:eastAsia="PMingLiU"/>
          <w:szCs w:val="22"/>
          <w:u w:val="single"/>
          <w:lang w:val="lv-LV"/>
        </w:rPr>
      </w:pPr>
      <w:r w:rsidRPr="00707120">
        <w:rPr>
          <w:i/>
          <w:u w:val="single"/>
          <w:lang w:val="lv-LV"/>
        </w:rPr>
        <w:t>Lipīdu rādītāji</w:t>
      </w:r>
    </w:p>
    <w:p w14:paraId="6BB81100" w14:textId="13BA378B" w:rsidR="00A453C3" w:rsidRPr="00DD7A4F" w:rsidRDefault="00A453C3" w:rsidP="00A453C3">
      <w:pPr>
        <w:keepNext/>
        <w:keepLines/>
        <w:rPr>
          <w:rFonts w:eastAsia="PMingLiU"/>
          <w:szCs w:val="22"/>
          <w:lang w:val="lv-LV"/>
        </w:rPr>
      </w:pPr>
      <w:r w:rsidRPr="00DD7A4F">
        <w:rPr>
          <w:rFonts w:eastAsia="PMingLiU"/>
          <w:szCs w:val="22"/>
          <w:lang w:val="lv-LV"/>
        </w:rPr>
        <w:t xml:space="preserve">Sešus mēnešus ilgu kontrolētu klīnisko pētījumu laikā bieži ir novērots lipīdu rādītāju, piemēram, kopējā holesterīna, triglicerīdu, ZBL holesterīna un/vai ABL holesterīna koncentrāciju raksturojošo vērtību pieaugums. </w:t>
      </w:r>
      <w:r w:rsidRPr="00DD7A4F">
        <w:rPr>
          <w:szCs w:val="22"/>
          <w:lang w:val="lv-LV"/>
        </w:rPr>
        <w:t>Veicot parasto laboratorisko kontroli, konstatēja, ka aptuveni</w:t>
      </w:r>
      <w:r w:rsidRPr="00DD7A4F">
        <w:rPr>
          <w:rFonts w:eastAsia="PMingLiU"/>
          <w:szCs w:val="22"/>
          <w:lang w:val="lv-LV"/>
        </w:rPr>
        <w:t xml:space="preserve"> 24% pacientu, kuri klīnisko pētījumu laikā saņēma </w:t>
      </w:r>
      <w:r>
        <w:rPr>
          <w:rFonts w:eastAsia="PMingLiU"/>
          <w:szCs w:val="22"/>
          <w:lang w:val="lv-LV"/>
        </w:rPr>
        <w:t>tocilizumabu</w:t>
      </w:r>
      <w:r w:rsidRPr="00DD7A4F">
        <w:rPr>
          <w:rFonts w:eastAsia="PMingLiU"/>
          <w:szCs w:val="22"/>
          <w:lang w:val="lv-LV"/>
        </w:rPr>
        <w:t>, novēroja ilgstoši paaugstinātu kopējā holesterīna līmeni, kas bija ≥</w:t>
      </w:r>
      <w:r>
        <w:rPr>
          <w:rFonts w:eastAsia="PMingLiU"/>
          <w:szCs w:val="22"/>
          <w:lang w:val="lv-LV"/>
        </w:rPr>
        <w:t> </w:t>
      </w:r>
      <w:r w:rsidRPr="00DD7A4F">
        <w:rPr>
          <w:rFonts w:eastAsia="PMingLiU"/>
          <w:szCs w:val="22"/>
          <w:lang w:val="lv-LV"/>
        </w:rPr>
        <w:t>6,2 mmol/l, bet 15% pacientu novēroja ilgstoši paaugstinātu ZBL līmeni, kas bija ≥</w:t>
      </w:r>
      <w:r>
        <w:rPr>
          <w:rFonts w:eastAsia="PMingLiU"/>
          <w:szCs w:val="22"/>
          <w:lang w:val="lv-LV"/>
        </w:rPr>
        <w:t> </w:t>
      </w:r>
      <w:r w:rsidRPr="00DD7A4F">
        <w:rPr>
          <w:rFonts w:eastAsia="PMingLiU"/>
          <w:szCs w:val="22"/>
          <w:lang w:val="lv-LV"/>
        </w:rPr>
        <w:t>4,1 mmol/l. Lipīdu līmeni raksturojošo rādītāju paaugstināšanās reaģēja uz terapiju ar lipīdu koncentrāciju pazeminošajiem līdzekļiem.</w:t>
      </w:r>
    </w:p>
    <w:p w14:paraId="0F7118D3" w14:textId="77777777" w:rsidR="00A453C3" w:rsidRPr="00DD7A4F" w:rsidRDefault="00A453C3" w:rsidP="00A453C3">
      <w:pPr>
        <w:rPr>
          <w:rFonts w:eastAsia="PMingLiU"/>
          <w:szCs w:val="22"/>
          <w:lang w:val="lv-LV"/>
        </w:rPr>
      </w:pPr>
    </w:p>
    <w:p w14:paraId="00D218D1" w14:textId="77777777" w:rsidR="00A453C3" w:rsidRPr="00DD7A4F" w:rsidRDefault="00A453C3" w:rsidP="00A453C3">
      <w:pPr>
        <w:rPr>
          <w:rFonts w:eastAsia="PMingLiU"/>
          <w:szCs w:val="22"/>
          <w:lang w:val="lv-LV"/>
        </w:rPr>
      </w:pPr>
      <w:r w:rsidRPr="00DD7A4F">
        <w:rPr>
          <w:szCs w:val="22"/>
          <w:lang w:val="lv-LV"/>
        </w:rPr>
        <w:t>Dubultmaskētā kontroles periodā pakļaujot pacientus ilgstošai zāļu iedarbībai, lipīdu rādītāju vērtību paaugstināšanās veids un sastopamība saglabājās atbilstoši tam, kāda novērota 6 mēnešus ilgo kontrolēto klīnisko pētījumu laikā.</w:t>
      </w:r>
    </w:p>
    <w:p w14:paraId="4F5FFB1C" w14:textId="77777777" w:rsidR="00A453C3" w:rsidRPr="00DD7A4F" w:rsidRDefault="00A453C3" w:rsidP="00707120">
      <w:pPr>
        <w:rPr>
          <w:i/>
          <w:iCs/>
          <w:szCs w:val="22"/>
          <w:lang w:val="lv-LV"/>
        </w:rPr>
      </w:pPr>
    </w:p>
    <w:p w14:paraId="30314979" w14:textId="77777777" w:rsidR="00A453C3" w:rsidRPr="00707120" w:rsidRDefault="00A453C3" w:rsidP="00707120">
      <w:pPr>
        <w:keepNext/>
        <w:autoSpaceDE w:val="0"/>
        <w:rPr>
          <w:i/>
          <w:iCs/>
          <w:szCs w:val="22"/>
          <w:u w:val="single"/>
          <w:lang w:val="lv-LV"/>
        </w:rPr>
      </w:pPr>
      <w:r w:rsidRPr="00707120">
        <w:rPr>
          <w:i/>
          <w:iCs/>
          <w:szCs w:val="22"/>
          <w:u w:val="single"/>
          <w:lang w:val="lv-LV"/>
        </w:rPr>
        <w:t>Ādas reakcijas</w:t>
      </w:r>
    </w:p>
    <w:p w14:paraId="6DDC7ACD" w14:textId="77777777" w:rsidR="00A453C3" w:rsidRPr="00DD7A4F" w:rsidRDefault="00A453C3" w:rsidP="00A453C3">
      <w:pPr>
        <w:autoSpaceDE w:val="0"/>
        <w:rPr>
          <w:szCs w:val="22"/>
          <w:lang w:val="lv-LV"/>
        </w:rPr>
      </w:pPr>
      <w:r w:rsidRPr="00DD7A4F">
        <w:rPr>
          <w:szCs w:val="22"/>
          <w:lang w:val="lv-LV"/>
        </w:rPr>
        <w:t xml:space="preserve">Pēcreģistrācijas periodā retos gadījumos novērots </w:t>
      </w:r>
      <w:r w:rsidRPr="00DD7A4F">
        <w:rPr>
          <w:szCs w:val="22"/>
          <w:lang w:val="lv-LV" w:eastAsia="en-US" w:bidi="ne-NP"/>
        </w:rPr>
        <w:t>S</w:t>
      </w:r>
      <w:r w:rsidRPr="00725942">
        <w:rPr>
          <w:szCs w:val="22"/>
          <w:lang w:val="lv-LV" w:eastAsia="en-US" w:bidi="ne-NP"/>
        </w:rPr>
        <w:t>t</w:t>
      </w:r>
      <w:r w:rsidRPr="00846FA5">
        <w:rPr>
          <w:szCs w:val="22"/>
          <w:lang w:val="lv-LV" w:eastAsia="en-US" w:bidi="ne-NP"/>
        </w:rPr>
        <w:t>ī</w:t>
      </w:r>
      <w:r w:rsidRPr="00725942">
        <w:rPr>
          <w:szCs w:val="22"/>
          <w:lang w:val="lv-LV" w:eastAsia="en-US" w:bidi="ne-NP"/>
        </w:rPr>
        <w:t>v</w:t>
      </w:r>
      <w:r w:rsidRPr="00DD7A4F">
        <w:rPr>
          <w:szCs w:val="22"/>
          <w:lang w:val="lv-LV" w:eastAsia="en-US" w:bidi="ne-NP"/>
        </w:rPr>
        <w:t>ensa-Džonsona sindroms</w:t>
      </w:r>
      <w:r w:rsidRPr="00DD7A4F">
        <w:rPr>
          <w:szCs w:val="22"/>
          <w:lang w:val="lv-LV"/>
        </w:rPr>
        <w:t>.</w:t>
      </w:r>
    </w:p>
    <w:p w14:paraId="3E5FEE21" w14:textId="77777777" w:rsidR="00A453C3" w:rsidRPr="00DD7A4F" w:rsidRDefault="00A453C3" w:rsidP="00A453C3">
      <w:pPr>
        <w:tabs>
          <w:tab w:val="left" w:pos="567"/>
        </w:tabs>
        <w:suppressAutoHyphens w:val="0"/>
        <w:autoSpaceDE w:val="0"/>
        <w:autoSpaceDN w:val="0"/>
        <w:adjustRightInd w:val="0"/>
        <w:jc w:val="both"/>
        <w:rPr>
          <w:snapToGrid w:val="0"/>
          <w:szCs w:val="22"/>
          <w:u w:val="single"/>
          <w:lang w:val="lv-LV" w:eastAsia="zh-CN"/>
        </w:rPr>
      </w:pPr>
    </w:p>
    <w:p w14:paraId="013F31F2" w14:textId="77777777" w:rsidR="00A453C3" w:rsidRPr="00DD7A4F" w:rsidRDefault="00A453C3">
      <w:pPr>
        <w:keepNext/>
        <w:tabs>
          <w:tab w:val="left" w:pos="567"/>
        </w:tabs>
        <w:suppressAutoHyphens w:val="0"/>
        <w:autoSpaceDE w:val="0"/>
        <w:autoSpaceDN w:val="0"/>
        <w:adjustRightInd w:val="0"/>
        <w:jc w:val="both"/>
        <w:rPr>
          <w:snapToGrid w:val="0"/>
          <w:szCs w:val="22"/>
          <w:u w:val="single"/>
          <w:lang w:val="lv-LV" w:eastAsia="zh-CN"/>
        </w:rPr>
        <w:pPrChange w:id="1053" w:author="Author">
          <w:pPr>
            <w:tabs>
              <w:tab w:val="left" w:pos="567"/>
            </w:tabs>
            <w:suppressAutoHyphens w:val="0"/>
            <w:autoSpaceDE w:val="0"/>
            <w:autoSpaceDN w:val="0"/>
            <w:adjustRightInd w:val="0"/>
            <w:jc w:val="both"/>
          </w:pPr>
        </w:pPrChange>
      </w:pPr>
      <w:r w:rsidRPr="00DD7A4F">
        <w:rPr>
          <w:snapToGrid w:val="0"/>
          <w:szCs w:val="22"/>
          <w:u w:val="single"/>
          <w:lang w:val="lv-LV" w:eastAsia="zh-CN"/>
        </w:rPr>
        <w:t>Ziņošana par iespējamām nevēlamām blakusparādībām</w:t>
      </w:r>
    </w:p>
    <w:p w14:paraId="706BCF1A" w14:textId="028CF321" w:rsidR="00A453C3" w:rsidRPr="00DD7A4F" w:rsidRDefault="00A453C3" w:rsidP="00A453C3">
      <w:pPr>
        <w:rPr>
          <w:snapToGrid w:val="0"/>
          <w:szCs w:val="22"/>
          <w:lang w:val="lv-LV" w:eastAsia="zh-CN"/>
        </w:rPr>
      </w:pPr>
      <w:r w:rsidRPr="00DD7A4F">
        <w:rPr>
          <w:snapToGrid w:val="0"/>
          <w:szCs w:val="22"/>
          <w:lang w:val="lv-LV" w:eastAsia="zh-CN"/>
        </w:rPr>
        <w:t>Ir svarīgi ziņot par iespējamām nevēlamām blakusparādībām pēc zāļu reģistrācijas. Tādējādi zāļu ieguvum</w:t>
      </w:r>
      <w:r>
        <w:rPr>
          <w:snapToGrid w:val="0"/>
          <w:szCs w:val="22"/>
          <w:lang w:val="lv-LV" w:eastAsia="zh-CN"/>
        </w:rPr>
        <w:t>a</w:t>
      </w:r>
      <w:r w:rsidRPr="00DD7A4F">
        <w:rPr>
          <w:snapToGrid w:val="0"/>
          <w:szCs w:val="22"/>
          <w:lang w:val="lv-LV" w:eastAsia="zh-CN"/>
        </w:rPr>
        <w:t xml:space="preserve">/riska attiecība tiek nepārtraukti uzraudzīta. Veselības aprūpes speciālisti tiek lūgti ziņot par jebkādām iespējamām nevēlamām blakusparādībām, izmantojot </w:t>
      </w:r>
      <w:r w:rsidR="007E17F8">
        <w:fldChar w:fldCharType="begin"/>
      </w:r>
      <w:r w:rsidR="007E17F8" w:rsidRPr="00DD58C9">
        <w:rPr>
          <w:lang w:val="lv-LV"/>
          <w:rPrChange w:id="1054" w:author="Author">
            <w:rPr/>
          </w:rPrChange>
        </w:rPr>
        <w:instrText xml:space="preserve"> HYPERLINK "https://www.ema.europa.eu/documents/template-form/qrd-appendix-v-adverse-drug-reaction-reporting-details_en.docx" </w:instrText>
      </w:r>
      <w:r w:rsidR="007E17F8">
        <w:fldChar w:fldCharType="separate"/>
      </w:r>
      <w:r w:rsidRPr="00DD7A4F">
        <w:rPr>
          <w:snapToGrid w:val="0"/>
          <w:color w:val="0000FF"/>
          <w:highlight w:val="lightGray"/>
          <w:u w:val="single"/>
          <w:lang w:val="lv-LV" w:eastAsia="zh-CN"/>
        </w:rPr>
        <w:t>V pielikumā</w:t>
      </w:r>
      <w:r w:rsidR="007E17F8">
        <w:rPr>
          <w:snapToGrid w:val="0"/>
          <w:color w:val="0000FF"/>
          <w:highlight w:val="lightGray"/>
          <w:u w:val="single"/>
          <w:lang w:val="lv-LV" w:eastAsia="zh-CN"/>
        </w:rPr>
        <w:fldChar w:fldCharType="end"/>
      </w:r>
      <w:r w:rsidRPr="00DD7A4F">
        <w:rPr>
          <w:snapToGrid w:val="0"/>
          <w:szCs w:val="22"/>
          <w:highlight w:val="lightGray"/>
          <w:lang w:val="lv-LV" w:eastAsia="zh-CN"/>
        </w:rPr>
        <w:t xml:space="preserve"> minēto nacionālās ziņošanas sistēmas kontaktinformāciju</w:t>
      </w:r>
      <w:r w:rsidRPr="00DD7A4F">
        <w:rPr>
          <w:snapToGrid w:val="0"/>
          <w:szCs w:val="22"/>
          <w:lang w:val="lv-LV" w:eastAsia="zh-CN"/>
        </w:rPr>
        <w:t>.</w:t>
      </w:r>
    </w:p>
    <w:p w14:paraId="72F50F81" w14:textId="77777777" w:rsidR="00A453C3" w:rsidRPr="00DD7A4F" w:rsidRDefault="00A453C3" w:rsidP="00A453C3">
      <w:pPr>
        <w:rPr>
          <w:b/>
          <w:szCs w:val="22"/>
          <w:lang w:val="lv-LV"/>
        </w:rPr>
      </w:pPr>
    </w:p>
    <w:p w14:paraId="3E60C55E" w14:textId="77777777" w:rsidR="00A453C3" w:rsidRPr="00DD7A4F" w:rsidRDefault="00A453C3" w:rsidP="00A453C3">
      <w:pPr>
        <w:keepNext/>
        <w:keepLines/>
        <w:rPr>
          <w:szCs w:val="22"/>
          <w:lang w:val="lv-LV"/>
        </w:rPr>
      </w:pPr>
      <w:r w:rsidRPr="00DD7A4F">
        <w:rPr>
          <w:b/>
          <w:szCs w:val="22"/>
          <w:lang w:val="lv-LV"/>
        </w:rPr>
        <w:t>4.9.</w:t>
      </w:r>
      <w:r w:rsidRPr="00DD7A4F">
        <w:rPr>
          <w:b/>
          <w:szCs w:val="22"/>
          <w:lang w:val="lv-LV"/>
        </w:rPr>
        <w:tab/>
        <w:t>Pārdozēšana</w:t>
      </w:r>
    </w:p>
    <w:p w14:paraId="21808A95" w14:textId="77777777" w:rsidR="00A453C3" w:rsidRPr="00DD7A4F" w:rsidRDefault="00A453C3" w:rsidP="00A453C3">
      <w:pPr>
        <w:keepNext/>
        <w:keepLines/>
        <w:rPr>
          <w:szCs w:val="22"/>
          <w:lang w:val="lv-LV"/>
        </w:rPr>
      </w:pPr>
    </w:p>
    <w:p w14:paraId="5B512B07" w14:textId="7457E1AC" w:rsidR="00A453C3" w:rsidRPr="00DD7A4F" w:rsidRDefault="00A453C3" w:rsidP="00A453C3">
      <w:pPr>
        <w:keepNext/>
        <w:keepLines/>
        <w:rPr>
          <w:szCs w:val="22"/>
          <w:lang w:val="lv-LV"/>
        </w:rPr>
      </w:pPr>
      <w:r w:rsidRPr="00DD7A4F">
        <w:rPr>
          <w:szCs w:val="22"/>
          <w:lang w:val="lv-LV"/>
        </w:rPr>
        <w:t xml:space="preserve">Dati par </w:t>
      </w:r>
      <w:r>
        <w:rPr>
          <w:szCs w:val="22"/>
          <w:lang w:val="lv-LV"/>
        </w:rPr>
        <w:t>tocilizumaba</w:t>
      </w:r>
      <w:r w:rsidRPr="00DD7A4F">
        <w:rPr>
          <w:szCs w:val="22"/>
          <w:lang w:val="lv-LV"/>
        </w:rPr>
        <w:t xml:space="preserve"> pārdozēšanu ir ierobežoti. Ziņots par vienu nejaušas pārdozēšanas gadījumu, kad pacients ar multiplo mielomu saņēma vienu intravenozi ievadītu 40 mg/kg devu. Nevēlamas blakusparādības nenovēroja. </w:t>
      </w:r>
    </w:p>
    <w:p w14:paraId="53EC8E86" w14:textId="77777777" w:rsidR="00A453C3" w:rsidRPr="00DD7A4F" w:rsidRDefault="00A453C3" w:rsidP="00A453C3">
      <w:pPr>
        <w:rPr>
          <w:szCs w:val="22"/>
          <w:lang w:val="lv-LV"/>
        </w:rPr>
      </w:pPr>
    </w:p>
    <w:p w14:paraId="3524827F" w14:textId="77777777" w:rsidR="00A453C3" w:rsidRPr="00DD7A4F" w:rsidRDefault="00A453C3" w:rsidP="00A453C3">
      <w:pPr>
        <w:rPr>
          <w:szCs w:val="22"/>
          <w:lang w:val="lv-LV"/>
        </w:rPr>
      </w:pPr>
      <w:r w:rsidRPr="00DD7A4F">
        <w:rPr>
          <w:szCs w:val="22"/>
          <w:lang w:val="lv-LV"/>
        </w:rPr>
        <w:t>Nopietnas nevēlamas blakusparādības nenovēroja arī veseliem brīvprātīgajiem, kuri saņēma vienreizēju devu līdz 28 mg/kg, lai gan novēroja devu ierobežojošu neitropēniju.</w:t>
      </w:r>
    </w:p>
    <w:p w14:paraId="54AF177B" w14:textId="77777777" w:rsidR="00A453C3" w:rsidRPr="00DD7A4F" w:rsidRDefault="00A453C3" w:rsidP="00A453C3">
      <w:pPr>
        <w:rPr>
          <w:szCs w:val="22"/>
          <w:lang w:val="lv-LV"/>
        </w:rPr>
      </w:pPr>
    </w:p>
    <w:p w14:paraId="5C249F40" w14:textId="77777777" w:rsidR="00A453C3" w:rsidRPr="00DD7A4F" w:rsidRDefault="00A453C3" w:rsidP="00A453C3">
      <w:pPr>
        <w:rPr>
          <w:szCs w:val="22"/>
          <w:lang w:val="lv-LV"/>
        </w:rPr>
      </w:pPr>
    </w:p>
    <w:p w14:paraId="03FE44BA" w14:textId="77777777" w:rsidR="00A453C3" w:rsidRPr="00DD7A4F" w:rsidRDefault="00A453C3" w:rsidP="00A453C3">
      <w:pPr>
        <w:keepNext/>
        <w:keepLines/>
        <w:ind w:left="567" w:hanging="567"/>
        <w:rPr>
          <w:szCs w:val="22"/>
          <w:lang w:val="lv-LV"/>
        </w:rPr>
      </w:pPr>
      <w:r w:rsidRPr="00DD7A4F">
        <w:rPr>
          <w:b/>
          <w:szCs w:val="22"/>
          <w:lang w:val="lv-LV"/>
        </w:rPr>
        <w:t>5.</w:t>
      </w:r>
      <w:r w:rsidRPr="00DD7A4F">
        <w:rPr>
          <w:b/>
          <w:szCs w:val="22"/>
          <w:lang w:val="lv-LV"/>
        </w:rPr>
        <w:tab/>
        <w:t>FARMAKOLOĢISKĀS ĪPAŠĪBAS</w:t>
      </w:r>
    </w:p>
    <w:p w14:paraId="4C9F4B51" w14:textId="77777777" w:rsidR="00A453C3" w:rsidRDefault="00A453C3" w:rsidP="00A453C3">
      <w:pPr>
        <w:keepNext/>
        <w:keepLines/>
        <w:rPr>
          <w:szCs w:val="22"/>
          <w:lang w:val="lv-LV"/>
        </w:rPr>
      </w:pPr>
    </w:p>
    <w:p w14:paraId="161941AA" w14:textId="77777777" w:rsidR="00A453C3" w:rsidRDefault="00A453C3" w:rsidP="00A453C3">
      <w:pPr>
        <w:keepNext/>
        <w:keepLines/>
        <w:rPr>
          <w:szCs w:val="22"/>
          <w:lang w:val="lv-LV"/>
        </w:rPr>
      </w:pPr>
      <w:r w:rsidRPr="00DD7A4F">
        <w:rPr>
          <w:b/>
          <w:szCs w:val="22"/>
          <w:lang w:val="lv-LV"/>
        </w:rPr>
        <w:t xml:space="preserve">5.1. </w:t>
      </w:r>
      <w:r w:rsidRPr="00DD7A4F">
        <w:rPr>
          <w:b/>
          <w:szCs w:val="22"/>
          <w:lang w:val="lv-LV"/>
        </w:rPr>
        <w:tab/>
        <w:t>Farmakodinamiskās īpašības</w:t>
      </w:r>
    </w:p>
    <w:p w14:paraId="61F8C510" w14:textId="77777777" w:rsidR="00A453C3" w:rsidRPr="00DD7A4F" w:rsidRDefault="00A453C3" w:rsidP="00A453C3">
      <w:pPr>
        <w:keepNext/>
        <w:keepLines/>
        <w:rPr>
          <w:szCs w:val="22"/>
          <w:lang w:val="lv-LV"/>
        </w:rPr>
      </w:pPr>
    </w:p>
    <w:p w14:paraId="1FACDA65" w14:textId="77777777" w:rsidR="00A453C3" w:rsidRPr="00DD7A4F" w:rsidRDefault="00A453C3" w:rsidP="00A453C3">
      <w:pPr>
        <w:keepNext/>
        <w:keepLines/>
        <w:rPr>
          <w:szCs w:val="22"/>
          <w:lang w:val="lv-LV"/>
        </w:rPr>
      </w:pPr>
      <w:r w:rsidRPr="00DD7A4F">
        <w:rPr>
          <w:szCs w:val="22"/>
          <w:lang w:val="lv-LV"/>
        </w:rPr>
        <w:t>Farmakoterapeitiskā grupa: imūnsupresanti, interleikīna inhibitori: ATĶ kods: L04AC07.</w:t>
      </w:r>
    </w:p>
    <w:p w14:paraId="45431787" w14:textId="77777777" w:rsidR="00A453C3" w:rsidRPr="00DD7A4F" w:rsidRDefault="00A453C3" w:rsidP="00A453C3">
      <w:pPr>
        <w:rPr>
          <w:szCs w:val="22"/>
          <w:lang w:val="lv-LV"/>
        </w:rPr>
      </w:pPr>
    </w:p>
    <w:p w14:paraId="39EA70C8" w14:textId="77777777" w:rsidR="00A453C3" w:rsidRPr="00DD7A4F" w:rsidRDefault="00A453C3" w:rsidP="00A453C3">
      <w:pPr>
        <w:keepNext/>
        <w:rPr>
          <w:szCs w:val="22"/>
          <w:lang w:val="lv-LV"/>
        </w:rPr>
      </w:pPr>
      <w:r w:rsidRPr="00DD7A4F">
        <w:rPr>
          <w:u w:val="single"/>
          <w:lang w:val="lv-LV"/>
        </w:rPr>
        <w:t>Darbības mehānisms</w:t>
      </w:r>
    </w:p>
    <w:p w14:paraId="71F58138" w14:textId="653865A3" w:rsidR="00A453C3" w:rsidRPr="00DD7A4F" w:rsidRDefault="00A453C3" w:rsidP="00A453C3">
      <w:pPr>
        <w:rPr>
          <w:szCs w:val="22"/>
          <w:lang w:val="lv-LV"/>
        </w:rPr>
      </w:pPr>
      <w:r>
        <w:rPr>
          <w:szCs w:val="22"/>
          <w:lang w:val="lv-LV"/>
        </w:rPr>
        <w:t>Tocilizumabs</w:t>
      </w:r>
      <w:r w:rsidRPr="00DD7A4F">
        <w:rPr>
          <w:szCs w:val="22"/>
          <w:lang w:val="lv-LV"/>
        </w:rPr>
        <w:t xml:space="preserve"> specifiski saistās gan ar šķīstošiem, gan pie membrānas fiksētiem IL</w:t>
      </w:r>
      <w:r>
        <w:rPr>
          <w:szCs w:val="22"/>
          <w:lang w:val="lv-LV"/>
        </w:rPr>
        <w:noBreakHyphen/>
      </w:r>
      <w:r w:rsidRPr="00DD7A4F">
        <w:rPr>
          <w:szCs w:val="22"/>
          <w:lang w:val="lv-LV"/>
        </w:rPr>
        <w:t>6 receptoriem (sIL</w:t>
      </w:r>
      <w:r>
        <w:rPr>
          <w:szCs w:val="22"/>
          <w:lang w:val="lv-LV"/>
        </w:rPr>
        <w:noBreakHyphen/>
      </w:r>
      <w:r w:rsidRPr="00DD7A4F">
        <w:rPr>
          <w:szCs w:val="22"/>
          <w:lang w:val="lv-LV"/>
        </w:rPr>
        <w:t>6R un mIL</w:t>
      </w:r>
      <w:r>
        <w:rPr>
          <w:szCs w:val="22"/>
          <w:lang w:val="lv-LV"/>
        </w:rPr>
        <w:noBreakHyphen/>
      </w:r>
      <w:r w:rsidRPr="00DD7A4F">
        <w:rPr>
          <w:szCs w:val="22"/>
          <w:lang w:val="lv-LV"/>
        </w:rPr>
        <w:t xml:space="preserve">6R). Pierādīts, ka </w:t>
      </w:r>
      <w:r>
        <w:rPr>
          <w:szCs w:val="22"/>
          <w:lang w:val="lv-LV"/>
        </w:rPr>
        <w:t>tocilizumabs</w:t>
      </w:r>
      <w:r w:rsidRPr="00DD7A4F">
        <w:rPr>
          <w:szCs w:val="22"/>
          <w:lang w:val="lv-LV"/>
        </w:rPr>
        <w:t xml:space="preserve"> nomāc sIL</w:t>
      </w:r>
      <w:r>
        <w:rPr>
          <w:szCs w:val="22"/>
          <w:lang w:val="lv-LV"/>
        </w:rPr>
        <w:noBreakHyphen/>
      </w:r>
      <w:r w:rsidRPr="00DD7A4F">
        <w:rPr>
          <w:szCs w:val="22"/>
          <w:lang w:val="lv-LV"/>
        </w:rPr>
        <w:t>6R un mIL</w:t>
      </w:r>
      <w:r>
        <w:rPr>
          <w:szCs w:val="22"/>
          <w:lang w:val="lv-LV"/>
        </w:rPr>
        <w:noBreakHyphen/>
      </w:r>
      <w:r w:rsidRPr="00DD7A4F">
        <w:rPr>
          <w:szCs w:val="22"/>
          <w:lang w:val="lv-LV"/>
        </w:rPr>
        <w:t>6R mediētu signālu pārvadi. IL</w:t>
      </w:r>
      <w:r>
        <w:rPr>
          <w:szCs w:val="22"/>
          <w:lang w:val="lv-LV"/>
        </w:rPr>
        <w:noBreakHyphen/>
      </w:r>
      <w:r w:rsidRPr="00DD7A4F">
        <w:rPr>
          <w:szCs w:val="22"/>
          <w:lang w:val="lv-LV"/>
        </w:rPr>
        <w:t>6 ir pleiotropisks iekaisumu veicinošs citokīns, ko sintezē dažāda veida šūnas, to vidū T</w:t>
      </w:r>
      <w:r>
        <w:rPr>
          <w:szCs w:val="22"/>
          <w:lang w:val="lv-LV"/>
        </w:rPr>
        <w:t> </w:t>
      </w:r>
      <w:r w:rsidRPr="00DD7A4F">
        <w:rPr>
          <w:szCs w:val="22"/>
          <w:lang w:val="lv-LV"/>
        </w:rPr>
        <w:t>un B</w:t>
      </w:r>
      <w:r>
        <w:rPr>
          <w:szCs w:val="22"/>
          <w:lang w:val="lv-LV"/>
        </w:rPr>
        <w:t> </w:t>
      </w:r>
      <w:r w:rsidRPr="00DD7A4F">
        <w:rPr>
          <w:szCs w:val="22"/>
          <w:lang w:val="lv-LV"/>
        </w:rPr>
        <w:t>šūnas, monocīti un fibroblasti. IL</w:t>
      </w:r>
      <w:r>
        <w:rPr>
          <w:szCs w:val="22"/>
          <w:lang w:val="lv-LV"/>
        </w:rPr>
        <w:noBreakHyphen/>
      </w:r>
      <w:r w:rsidRPr="00DD7A4F">
        <w:rPr>
          <w:szCs w:val="22"/>
          <w:lang w:val="lv-LV"/>
        </w:rPr>
        <w:t>6 ir iesaistīts dažādos fizioloģiskos procesos, piemēram, T šūnu aktivizēšanā, imunoglobulīnu sekrēcijas indukcijā, aknu akūtās fāzes proteīnu sintēzes indukcijā un asinsrades stimulēšanā. IL</w:t>
      </w:r>
      <w:r>
        <w:rPr>
          <w:szCs w:val="22"/>
          <w:lang w:val="lv-LV"/>
        </w:rPr>
        <w:noBreakHyphen/>
      </w:r>
      <w:r w:rsidRPr="00DD7A4F">
        <w:rPr>
          <w:szCs w:val="22"/>
          <w:lang w:val="lv-LV"/>
        </w:rPr>
        <w:t xml:space="preserve">6 ir iesaistīts slimību, tajā skaitā iekaisuma slimību, osteoporozes un jaunveidojumu patoģenēzē. </w:t>
      </w:r>
    </w:p>
    <w:p w14:paraId="726B3601" w14:textId="77777777" w:rsidR="00A453C3" w:rsidRPr="00DD7A4F" w:rsidRDefault="00A453C3" w:rsidP="00A453C3">
      <w:pPr>
        <w:rPr>
          <w:szCs w:val="22"/>
          <w:lang w:val="lv-LV"/>
        </w:rPr>
      </w:pPr>
    </w:p>
    <w:p w14:paraId="1603BD86" w14:textId="77777777" w:rsidR="00A453C3" w:rsidRPr="00DD7A4F" w:rsidRDefault="00A453C3" w:rsidP="00A453C3">
      <w:pPr>
        <w:keepNext/>
        <w:keepLines/>
        <w:autoSpaceDE w:val="0"/>
        <w:jc w:val="both"/>
        <w:rPr>
          <w:rFonts w:eastAsia="PMingLiU"/>
          <w:szCs w:val="22"/>
          <w:lang w:val="lv-LV"/>
        </w:rPr>
      </w:pPr>
      <w:r w:rsidRPr="00DD7A4F">
        <w:rPr>
          <w:szCs w:val="22"/>
          <w:u w:val="single"/>
          <w:lang w:val="lv-LV"/>
        </w:rPr>
        <w:t>Farmakodinamiskā iedarbība</w:t>
      </w:r>
    </w:p>
    <w:p w14:paraId="288A8C95" w14:textId="3B138B29" w:rsidR="00A453C3" w:rsidRPr="00DD7A4F" w:rsidRDefault="00A453C3" w:rsidP="00A453C3">
      <w:pPr>
        <w:keepNext/>
        <w:keepLines/>
        <w:rPr>
          <w:szCs w:val="22"/>
          <w:lang w:val="lv-LV"/>
        </w:rPr>
      </w:pPr>
      <w:r w:rsidRPr="00DD7A4F">
        <w:rPr>
          <w:rFonts w:eastAsia="PMingLiU"/>
          <w:szCs w:val="22"/>
          <w:lang w:val="lv-LV"/>
        </w:rPr>
        <w:t>RA klīniskos pētījumos</w:t>
      </w:r>
      <w:r>
        <w:rPr>
          <w:rFonts w:eastAsia="PMingLiU"/>
          <w:szCs w:val="22"/>
          <w:lang w:val="lv-LV"/>
        </w:rPr>
        <w:t>, lietojot</w:t>
      </w:r>
      <w:r w:rsidRPr="00DD7A4F">
        <w:rPr>
          <w:rFonts w:eastAsia="PMingLiU"/>
          <w:szCs w:val="22"/>
          <w:lang w:val="lv-LV"/>
        </w:rPr>
        <w:t xml:space="preserve"> </w:t>
      </w:r>
      <w:r>
        <w:rPr>
          <w:szCs w:val="22"/>
          <w:lang w:val="lv-LV"/>
        </w:rPr>
        <w:t>tocilizumabu,</w:t>
      </w:r>
      <w:r w:rsidRPr="00DD7A4F">
        <w:rPr>
          <w:szCs w:val="22"/>
          <w:lang w:val="lv-LV"/>
        </w:rPr>
        <w:t xml:space="preserve"> novērota ātra CRO, eritrocītu grimšanas ātruma (EGĀ)</w:t>
      </w:r>
      <w:r>
        <w:rPr>
          <w:szCs w:val="22"/>
          <w:lang w:val="lv-LV"/>
        </w:rPr>
        <w:t>,</w:t>
      </w:r>
      <w:r w:rsidRPr="00DD7A4F">
        <w:rPr>
          <w:szCs w:val="22"/>
          <w:lang w:val="lv-LV"/>
        </w:rPr>
        <w:t xml:space="preserve"> A</w:t>
      </w:r>
      <w:r>
        <w:rPr>
          <w:szCs w:val="22"/>
          <w:lang w:val="lv-LV"/>
        </w:rPr>
        <w:t> </w:t>
      </w:r>
      <w:r w:rsidRPr="00DD7A4F">
        <w:rPr>
          <w:szCs w:val="22"/>
          <w:lang w:val="lv-LV"/>
        </w:rPr>
        <w:t xml:space="preserve">amiloīda līmeņa serumā (AAS) </w:t>
      </w:r>
      <w:r>
        <w:rPr>
          <w:szCs w:val="22"/>
          <w:lang w:val="lv-LV"/>
        </w:rPr>
        <w:t xml:space="preserve">un fibrinogēna </w:t>
      </w:r>
      <w:r w:rsidRPr="00DD7A4F">
        <w:rPr>
          <w:szCs w:val="22"/>
          <w:lang w:val="lv-LV"/>
        </w:rPr>
        <w:t xml:space="preserve">samazināšanās. Ņemot vērā ietekmi uz akūtās fāzes reaģentiem, ārstēšana ar </w:t>
      </w:r>
      <w:r>
        <w:rPr>
          <w:szCs w:val="22"/>
          <w:lang w:val="lv-LV"/>
        </w:rPr>
        <w:t>tocilizumabu</w:t>
      </w:r>
      <w:r w:rsidRPr="00DD7A4F">
        <w:rPr>
          <w:szCs w:val="22"/>
          <w:lang w:val="lv-LV"/>
        </w:rPr>
        <w:t xml:space="preserve"> bija saistīta ar trombocītu skaita samazināšanos normālā diapazona ietvaros. Novēroja hemoglobīna līmeņa paaugstināšanos, ko </w:t>
      </w:r>
      <w:r>
        <w:rPr>
          <w:szCs w:val="22"/>
          <w:lang w:val="lv-LV"/>
        </w:rPr>
        <w:t>tocilizumabs</w:t>
      </w:r>
      <w:r w:rsidRPr="00DD7A4F">
        <w:rPr>
          <w:szCs w:val="22"/>
          <w:lang w:val="lv-LV"/>
        </w:rPr>
        <w:t xml:space="preserve"> izraisa, samazinot IL</w:t>
      </w:r>
      <w:r>
        <w:rPr>
          <w:szCs w:val="22"/>
          <w:lang w:val="lv-LV"/>
        </w:rPr>
        <w:noBreakHyphen/>
      </w:r>
      <w:r w:rsidRPr="00DD7A4F">
        <w:rPr>
          <w:szCs w:val="22"/>
          <w:lang w:val="lv-LV"/>
        </w:rPr>
        <w:t xml:space="preserve">6 mediēto ietekmi uz hepcidīna sintēzi, lai palielinātu dzelzs pieejamību. </w:t>
      </w:r>
      <w:r>
        <w:rPr>
          <w:szCs w:val="22"/>
          <w:lang w:val="lv-LV"/>
        </w:rPr>
        <w:t>Ā</w:t>
      </w:r>
      <w:r w:rsidRPr="00DD7A4F">
        <w:rPr>
          <w:szCs w:val="22"/>
          <w:lang w:val="lv-LV"/>
        </w:rPr>
        <w:t>rstētiem pacientiem CRO līmeņa pazemināšanos normālā diapazona robežās novēroja jau 2.</w:t>
      </w:r>
      <w:r>
        <w:rPr>
          <w:szCs w:val="22"/>
          <w:lang w:val="lv-LV"/>
        </w:rPr>
        <w:t> </w:t>
      </w:r>
      <w:r w:rsidRPr="00DD7A4F">
        <w:rPr>
          <w:szCs w:val="22"/>
          <w:lang w:val="lv-LV"/>
        </w:rPr>
        <w:t>nedēļā, un šāda pazemināšanās saglabājās, kamēr tika turpināta ārstēšana.</w:t>
      </w:r>
    </w:p>
    <w:p w14:paraId="663FEDDE" w14:textId="77777777" w:rsidR="00A453C3" w:rsidRPr="00DD7A4F" w:rsidRDefault="00A453C3" w:rsidP="00707120">
      <w:pPr>
        <w:keepLines/>
        <w:rPr>
          <w:szCs w:val="22"/>
          <w:lang w:val="lv-LV"/>
        </w:rPr>
      </w:pPr>
    </w:p>
    <w:p w14:paraId="4F456204" w14:textId="441A2089" w:rsidR="0048564E" w:rsidRDefault="00A453C3" w:rsidP="00810B45">
      <w:pPr>
        <w:keepNext/>
        <w:keepLines/>
        <w:rPr>
          <w:ins w:id="1055" w:author="Author"/>
          <w:szCs w:val="22"/>
          <w:lang w:val="lv-LV"/>
        </w:rPr>
      </w:pPr>
      <w:r w:rsidRPr="00DD7A4F">
        <w:rPr>
          <w:rFonts w:eastAsia="SimSun"/>
          <w:lang w:val="lv-LV" w:eastAsia="de-DE"/>
        </w:rPr>
        <w:t xml:space="preserve">GCA klīniskajā pētījumā WA28119 novēroja līdzīgu ātru </w:t>
      </w:r>
      <w:r w:rsidRPr="00DD7A4F">
        <w:rPr>
          <w:lang w:val="lv-LV" w:eastAsia="de-DE"/>
        </w:rPr>
        <w:t xml:space="preserve">CRO un EGĀ samazināšanos apvienojumā ar vidējās hemoglobīna koncentrācijas eritrocītā nelielu paaugstināšanos. </w:t>
      </w:r>
      <w:r>
        <w:rPr>
          <w:lang w:val="lv-LV" w:eastAsia="de-DE"/>
        </w:rPr>
        <w:t xml:space="preserve">Tocilizumaba </w:t>
      </w:r>
      <w:r w:rsidRPr="00DD7A4F">
        <w:rPr>
          <w:szCs w:val="22"/>
          <w:lang w:val="lv-LV"/>
        </w:rPr>
        <w:t>2</w:t>
      </w:r>
      <w:r>
        <w:rPr>
          <w:szCs w:val="22"/>
          <w:lang w:val="lv-LV"/>
        </w:rPr>
        <w:noBreakHyphen/>
      </w:r>
      <w:r w:rsidRPr="00DD7A4F">
        <w:rPr>
          <w:szCs w:val="22"/>
          <w:lang w:val="lv-LV"/>
        </w:rPr>
        <w:t xml:space="preserve">28 mg/kg devas ievadot intravenozi un </w:t>
      </w:r>
      <w:r>
        <w:rPr>
          <w:szCs w:val="22"/>
          <w:lang w:val="lv-LV"/>
        </w:rPr>
        <w:t xml:space="preserve">tocilizumaba </w:t>
      </w:r>
      <w:r w:rsidRPr="00DD7A4F">
        <w:rPr>
          <w:szCs w:val="22"/>
          <w:lang w:val="lv-LV"/>
        </w:rPr>
        <w:t>81</w:t>
      </w:r>
      <w:r>
        <w:rPr>
          <w:szCs w:val="22"/>
          <w:lang w:val="lv-LV"/>
        </w:rPr>
        <w:noBreakHyphen/>
      </w:r>
      <w:r w:rsidRPr="00DD7A4F">
        <w:rPr>
          <w:szCs w:val="22"/>
          <w:lang w:val="lv-LV"/>
        </w:rPr>
        <w:t>162 mg devas ievadot subkutāni veseliem brīvprātīgajiem, absolūtais neitrofilo leikocītu skaits līdz mazākajai vērtībai samazinājās 2</w:t>
      </w:r>
      <w:r>
        <w:rPr>
          <w:szCs w:val="22"/>
          <w:lang w:val="lv-LV"/>
        </w:rPr>
        <w:noBreakHyphen/>
      </w:r>
      <w:r w:rsidRPr="00DD7A4F">
        <w:rPr>
          <w:szCs w:val="22"/>
          <w:lang w:val="lv-LV"/>
        </w:rPr>
        <w:t>5 dien</w:t>
      </w:r>
      <w:r>
        <w:rPr>
          <w:szCs w:val="22"/>
          <w:lang w:val="lv-LV"/>
        </w:rPr>
        <w:t>u laikā</w:t>
      </w:r>
      <w:r w:rsidRPr="00DD7A4F">
        <w:rPr>
          <w:szCs w:val="22"/>
          <w:lang w:val="lv-LV"/>
        </w:rPr>
        <w:t xml:space="preserve"> pēc ievadīšanas. Vēlāk neitrofilo leikocītu skaits atjaunojās sākotnējā stāvoklī (atjaunošanās ātrums bija atkarīgs no zāļu devas lieluma). </w:t>
      </w:r>
    </w:p>
    <w:p w14:paraId="021D50B7" w14:textId="77777777" w:rsidR="0048564E" w:rsidRDefault="0048564E" w:rsidP="00810B45">
      <w:pPr>
        <w:keepNext/>
        <w:keepLines/>
        <w:rPr>
          <w:ins w:id="1056" w:author="Author"/>
          <w:szCs w:val="22"/>
          <w:lang w:val="lv-LV"/>
        </w:rPr>
      </w:pPr>
    </w:p>
    <w:p w14:paraId="3D955143" w14:textId="33CE0833" w:rsidR="00A453C3" w:rsidRPr="00DD7A4F" w:rsidRDefault="00A453C3" w:rsidP="00810B45">
      <w:pPr>
        <w:keepNext/>
        <w:keepLines/>
        <w:rPr>
          <w:rFonts w:eastAsia="SimSun"/>
          <w:lang w:val="lv-LV" w:eastAsia="de-DE"/>
        </w:rPr>
      </w:pPr>
      <w:r w:rsidRPr="00DD7A4F">
        <w:rPr>
          <w:szCs w:val="22"/>
          <w:lang w:val="lv-LV"/>
        </w:rPr>
        <w:t xml:space="preserve">Pacientiem ar RA vai GCA absolūtais neitrofilo leikocītu skaits pēc </w:t>
      </w:r>
      <w:r>
        <w:rPr>
          <w:szCs w:val="22"/>
          <w:lang w:val="lv-LV"/>
        </w:rPr>
        <w:t>tocilizumaba</w:t>
      </w:r>
      <w:r w:rsidRPr="00DD7A4F" w:rsidDel="001D4271">
        <w:rPr>
          <w:szCs w:val="22"/>
          <w:lang w:val="lv-LV"/>
        </w:rPr>
        <w:t xml:space="preserve"> </w:t>
      </w:r>
      <w:r w:rsidRPr="00DD7A4F">
        <w:rPr>
          <w:szCs w:val="22"/>
          <w:lang w:val="lv-LV"/>
        </w:rPr>
        <w:t>ievadīšanas bija samazināts līdzīgi veseliem brīvprātīgajiem (skatīt 4.8. apakšpunktu).</w:t>
      </w:r>
    </w:p>
    <w:p w14:paraId="245B5B99" w14:textId="77777777" w:rsidR="00A453C3" w:rsidRPr="00DD7A4F" w:rsidRDefault="00A453C3" w:rsidP="00A453C3">
      <w:pPr>
        <w:rPr>
          <w:szCs w:val="22"/>
          <w:lang w:val="lv-LV"/>
        </w:rPr>
      </w:pPr>
    </w:p>
    <w:p w14:paraId="5FD5B168" w14:textId="77777777" w:rsidR="00A453C3" w:rsidRDefault="00A453C3" w:rsidP="00A453C3">
      <w:pPr>
        <w:keepNext/>
        <w:keepLines/>
        <w:rPr>
          <w:szCs w:val="22"/>
          <w:u w:val="single"/>
          <w:lang w:val="lv-LV"/>
        </w:rPr>
      </w:pPr>
      <w:r w:rsidRPr="00DD7A4F">
        <w:rPr>
          <w:szCs w:val="22"/>
          <w:u w:val="single"/>
          <w:lang w:val="lv-LV"/>
        </w:rPr>
        <w:t>Subkutāna lietošana</w:t>
      </w:r>
    </w:p>
    <w:p w14:paraId="2403BECC" w14:textId="77777777" w:rsidR="00A453C3" w:rsidRDefault="00A453C3" w:rsidP="00A453C3">
      <w:pPr>
        <w:keepNext/>
        <w:keepLines/>
        <w:rPr>
          <w:ins w:id="1057" w:author="Author"/>
          <w:bCs/>
          <w:i/>
          <w:iCs/>
          <w:szCs w:val="22"/>
          <w:lang w:val="lv-LV"/>
        </w:rPr>
      </w:pPr>
      <w:r w:rsidRPr="00707120">
        <w:rPr>
          <w:bCs/>
          <w:i/>
          <w:iCs/>
          <w:szCs w:val="22"/>
          <w:lang w:val="lv-LV"/>
        </w:rPr>
        <w:t>Pacienti ar RA</w:t>
      </w:r>
    </w:p>
    <w:p w14:paraId="62ABB8FE" w14:textId="77777777" w:rsidR="00435777" w:rsidRPr="00707120" w:rsidRDefault="00435777" w:rsidP="00A453C3">
      <w:pPr>
        <w:keepNext/>
        <w:keepLines/>
        <w:rPr>
          <w:bCs/>
          <w:i/>
          <w:iCs/>
          <w:szCs w:val="22"/>
          <w:lang w:val="lv-LV"/>
        </w:rPr>
      </w:pPr>
    </w:p>
    <w:p w14:paraId="3EBB4DAF" w14:textId="77777777" w:rsidR="00A453C3" w:rsidRPr="00707120" w:rsidRDefault="00A453C3">
      <w:pPr>
        <w:keepNext/>
        <w:rPr>
          <w:i/>
          <w:szCs w:val="22"/>
          <w:u w:val="single"/>
          <w:lang w:val="lv-LV"/>
        </w:rPr>
        <w:pPrChange w:id="1058" w:author="Author">
          <w:pPr>
            <w:ind w:right="-2"/>
          </w:pPr>
        </w:pPrChange>
      </w:pPr>
      <w:r w:rsidRPr="00707120">
        <w:rPr>
          <w:i/>
          <w:szCs w:val="22"/>
          <w:u w:val="single"/>
          <w:lang w:val="lv-LV"/>
        </w:rPr>
        <w:t>Klīniskā efektivitāte</w:t>
      </w:r>
    </w:p>
    <w:p w14:paraId="404E3896" w14:textId="436070F9" w:rsidR="00A453C3" w:rsidRPr="00171B0B" w:rsidRDefault="00A453C3" w:rsidP="00A453C3">
      <w:pPr>
        <w:ind w:right="-2"/>
        <w:rPr>
          <w:szCs w:val="22"/>
          <w:lang w:val="lv-LV"/>
        </w:rPr>
      </w:pPr>
      <w:r w:rsidRPr="00DD7A4F">
        <w:rPr>
          <w:szCs w:val="22"/>
          <w:lang w:val="lv-LV"/>
        </w:rPr>
        <w:t xml:space="preserve">Subkutāni lietota </w:t>
      </w:r>
      <w:r>
        <w:rPr>
          <w:szCs w:val="22"/>
          <w:lang w:val="lv-LV"/>
        </w:rPr>
        <w:t>tocilizumaba</w:t>
      </w:r>
      <w:r w:rsidRPr="00DD7A4F" w:rsidDel="001D4271">
        <w:rPr>
          <w:szCs w:val="22"/>
          <w:lang w:val="lv-LV"/>
        </w:rPr>
        <w:t xml:space="preserve"> </w:t>
      </w:r>
      <w:r w:rsidRPr="00DD7A4F">
        <w:rPr>
          <w:szCs w:val="22"/>
          <w:lang w:val="lv-LV"/>
        </w:rPr>
        <w:t xml:space="preserve">efektivitāti, mazinot </w:t>
      </w:r>
      <w:r w:rsidRPr="00171B0B">
        <w:rPr>
          <w:szCs w:val="22"/>
          <w:lang w:val="lv-LV"/>
        </w:rPr>
        <w:t xml:space="preserve">RA pazīmes un simptomus, kā arī radioloģisko atbildes reakciju vērtēja divos randomizētos, dubultmaskētos, kontrolētos, daudzcentru pētījumos. </w:t>
      </w:r>
      <w:r>
        <w:rPr>
          <w:szCs w:val="22"/>
          <w:lang w:val="lv-LV"/>
        </w:rPr>
        <w:t>I p</w:t>
      </w:r>
      <w:r w:rsidRPr="00171B0B">
        <w:rPr>
          <w:szCs w:val="22"/>
          <w:lang w:val="lv-LV"/>
        </w:rPr>
        <w:t>ētījumā (SC</w:t>
      </w:r>
      <w:r w:rsidRPr="00171B0B">
        <w:rPr>
          <w:szCs w:val="22"/>
          <w:lang w:val="lv-LV"/>
        </w:rPr>
        <w:noBreakHyphen/>
        <w:t xml:space="preserve">I) pacientiem bija jābūt vecākiem par 18 gadiem, ar vidēji smagu vai smagu aktīvu RA, kura diagnoze noteikta atbilstoši ACR kritērijiem, un pētījuma sākumā šiem pacientiem bija jābūt vismaz 4 jutīgām un 4 pietūkušām locītavām. Visi pacienti saņēma pamata terapiju ar nebioloģiskajiem DMARD. </w:t>
      </w:r>
      <w:r>
        <w:rPr>
          <w:szCs w:val="22"/>
          <w:lang w:val="lv-LV"/>
        </w:rPr>
        <w:t>II p</w:t>
      </w:r>
      <w:r w:rsidRPr="00171B0B">
        <w:rPr>
          <w:szCs w:val="22"/>
          <w:lang w:val="lv-LV"/>
        </w:rPr>
        <w:t>ētījumā (SC</w:t>
      </w:r>
      <w:r w:rsidRPr="00171B0B">
        <w:rPr>
          <w:szCs w:val="22"/>
          <w:lang w:val="lv-LV"/>
        </w:rPr>
        <w:noBreakHyphen/>
        <w:t xml:space="preserve">II) pacientiem bija jābūt vecākiem par 18 gadiem, ar vidēji smagu vai smagu aktīvu RA, kura diagnoze bija noteikta atbilstoši ACR kritērijiem, un šiem pacientiem pētījuma sākumā bija jābūt vismaz 8 jutīgām un 6 pietūkušām locītavām. </w:t>
      </w:r>
    </w:p>
    <w:p w14:paraId="13DDAB36" w14:textId="77777777" w:rsidR="00A453C3" w:rsidRPr="00171B0B" w:rsidRDefault="00A453C3" w:rsidP="00A453C3">
      <w:pPr>
        <w:ind w:right="-2"/>
        <w:rPr>
          <w:szCs w:val="22"/>
          <w:lang w:val="lv-LV"/>
        </w:rPr>
      </w:pPr>
    </w:p>
    <w:p w14:paraId="39FDEC7E" w14:textId="77653654" w:rsidR="00A453C3" w:rsidRPr="00DD7A4F" w:rsidRDefault="00A453C3" w:rsidP="00A453C3">
      <w:pPr>
        <w:ind w:right="-2"/>
        <w:rPr>
          <w:lang w:val="lv-LV" w:eastAsia="ja-JP"/>
        </w:rPr>
      </w:pPr>
      <w:r w:rsidRPr="00171B0B">
        <w:rPr>
          <w:szCs w:val="22"/>
          <w:lang w:val="lv-LV"/>
        </w:rPr>
        <w:t>Pārejot no 8</w:t>
      </w:r>
      <w:r w:rsidR="000F59DB">
        <w:rPr>
          <w:szCs w:val="22"/>
          <w:lang w:val="lv-LV"/>
        </w:rPr>
        <w:t> </w:t>
      </w:r>
      <w:r w:rsidRPr="00171B0B">
        <w:rPr>
          <w:szCs w:val="22"/>
          <w:lang w:val="lv-LV"/>
        </w:rPr>
        <w:t>mg/kg intravenozas ievadīšanas vienu</w:t>
      </w:r>
      <w:r w:rsidRPr="00DD7A4F">
        <w:rPr>
          <w:lang w:val="lv-LV" w:eastAsia="ja-JP"/>
        </w:rPr>
        <w:t xml:space="preserve"> reizi 4</w:t>
      </w:r>
      <w:r>
        <w:rPr>
          <w:lang w:val="lv-LV" w:eastAsia="ja-JP"/>
        </w:rPr>
        <w:t> </w:t>
      </w:r>
      <w:r w:rsidRPr="00DD7A4F">
        <w:rPr>
          <w:lang w:val="lv-LV" w:eastAsia="ja-JP"/>
        </w:rPr>
        <w:t>nedēļās uz 162</w:t>
      </w:r>
      <w:r>
        <w:rPr>
          <w:lang w:val="lv-LV" w:eastAsia="ja-JP"/>
        </w:rPr>
        <w:t> </w:t>
      </w:r>
      <w:r w:rsidRPr="00DD7A4F">
        <w:rPr>
          <w:lang w:val="lv-LV" w:eastAsia="ja-JP"/>
        </w:rPr>
        <w:t>mg subkutānu ievadīšanu reizi nedēļā, pacientam mainīsies kopējā iedarbība. Apmērs atkarīgs no pacienta ķermeņa masas (palielinās pacientiem ar mazu ķermeņa masu un samazinās pacientiem ar lielu ķermeņa masu), taču klīniskais iznākums atbilst tam, kas novērots intravenozas lietošanas gadījumā.</w:t>
      </w:r>
    </w:p>
    <w:p w14:paraId="5D666840" w14:textId="77777777" w:rsidR="00A453C3" w:rsidRPr="00DD7A4F" w:rsidRDefault="00A453C3" w:rsidP="00A453C3">
      <w:pPr>
        <w:ind w:right="-2"/>
        <w:rPr>
          <w:szCs w:val="22"/>
          <w:lang w:val="lv-LV"/>
        </w:rPr>
      </w:pPr>
    </w:p>
    <w:p w14:paraId="3CBA4E38" w14:textId="77777777" w:rsidR="00A453C3" w:rsidRPr="00707120" w:rsidRDefault="00A453C3">
      <w:pPr>
        <w:keepNext/>
        <w:rPr>
          <w:i/>
          <w:iCs/>
          <w:szCs w:val="22"/>
          <w:u w:val="single"/>
          <w:lang w:val="lv-LV"/>
        </w:rPr>
        <w:pPrChange w:id="1059" w:author="Author">
          <w:pPr>
            <w:ind w:right="-2"/>
          </w:pPr>
        </w:pPrChange>
      </w:pPr>
      <w:r w:rsidRPr="00707120">
        <w:rPr>
          <w:i/>
          <w:iCs/>
          <w:szCs w:val="22"/>
          <w:u w:val="single"/>
          <w:lang w:val="lv-LV"/>
        </w:rPr>
        <w:t>Klīniskā atbildes reakcija</w:t>
      </w:r>
    </w:p>
    <w:p w14:paraId="5257948E" w14:textId="72B5B50B" w:rsidR="00A453C3" w:rsidRPr="00DD7A4F" w:rsidRDefault="00A453C3" w:rsidP="00A453C3">
      <w:pPr>
        <w:ind w:right="-2"/>
        <w:rPr>
          <w:szCs w:val="22"/>
          <w:lang w:val="lv-LV"/>
        </w:rPr>
      </w:pPr>
      <w:r w:rsidRPr="00DD7A4F">
        <w:rPr>
          <w:szCs w:val="22"/>
          <w:lang w:val="lv-LV"/>
        </w:rPr>
        <w:t>Pētījumā SC</w:t>
      </w:r>
      <w:r w:rsidRPr="00DD7A4F">
        <w:rPr>
          <w:szCs w:val="22"/>
          <w:lang w:val="lv-LV"/>
        </w:rPr>
        <w:noBreakHyphen/>
        <w:t xml:space="preserve">I </w:t>
      </w:r>
      <w:r w:rsidRPr="00171B0B">
        <w:rPr>
          <w:szCs w:val="22"/>
          <w:lang w:val="lv-LV"/>
        </w:rPr>
        <w:t xml:space="preserve">izvērtēja pacientus ar vidēji smagu vai smagu aktīvu RA, kuriem bija nepietiekama klīniskā atbildes reakcija uz pašreizējo reimatoloģisko terapiju, kuras sastāvā bija arī viens vai vairāki DMARD, un aptuveni 20% pētījuma dalībnieku anamnēzē bija nepietiekama atbildes reakcija uz vismaz vienu TNF inhibitoru. </w:t>
      </w:r>
      <w:r>
        <w:rPr>
          <w:szCs w:val="22"/>
          <w:lang w:val="lv-LV"/>
        </w:rPr>
        <w:t xml:space="preserve">Pētījumā </w:t>
      </w:r>
      <w:r w:rsidRPr="00171B0B">
        <w:rPr>
          <w:szCs w:val="22"/>
          <w:lang w:val="lv-LV"/>
        </w:rPr>
        <w:t>SC</w:t>
      </w:r>
      <w:r w:rsidRPr="00171B0B">
        <w:rPr>
          <w:szCs w:val="22"/>
          <w:lang w:val="lv-LV"/>
        </w:rPr>
        <w:noBreakHyphen/>
        <w:t xml:space="preserve">I 1262 pacienti tika randomizēti attiecībā 1:1, lai saņemtu 162 mg </w:t>
      </w:r>
      <w:r w:rsidR="00810B45">
        <w:rPr>
          <w:szCs w:val="22"/>
          <w:lang w:val="lv-LV"/>
        </w:rPr>
        <w:t>tocilizumaba</w:t>
      </w:r>
      <w:r w:rsidR="00810B45" w:rsidRPr="00171B0B" w:rsidDel="001D4271">
        <w:rPr>
          <w:szCs w:val="22"/>
          <w:lang w:val="lv-LV"/>
        </w:rPr>
        <w:t xml:space="preserve"> </w:t>
      </w:r>
      <w:r w:rsidRPr="00171B0B">
        <w:rPr>
          <w:szCs w:val="22"/>
          <w:lang w:val="lv-LV"/>
        </w:rPr>
        <w:t xml:space="preserve">subkutāni vienu reizi nedēļā vai 8 mg/kg </w:t>
      </w:r>
      <w:r w:rsidR="00810B45">
        <w:rPr>
          <w:szCs w:val="22"/>
          <w:lang w:val="lv-LV"/>
        </w:rPr>
        <w:t>tocilizumaba</w:t>
      </w:r>
      <w:r w:rsidR="00810B45" w:rsidRPr="00171B0B" w:rsidDel="001D4271">
        <w:rPr>
          <w:szCs w:val="22"/>
          <w:lang w:val="lv-LV"/>
        </w:rPr>
        <w:t xml:space="preserve"> </w:t>
      </w:r>
      <w:r w:rsidRPr="00171B0B">
        <w:rPr>
          <w:szCs w:val="22"/>
          <w:lang w:val="lv-LV"/>
        </w:rPr>
        <w:t>intravenozi ik pēc četrām nedēļām kombinācijā ar nebioloģisku DMARD. Pētījuma primārais mērķa kritērijs bija to pacientu procentuālā īpatsvara starpība, kuriem 24. nedēļā bija panākta ACR</w:t>
      </w:r>
      <w:r>
        <w:rPr>
          <w:szCs w:val="22"/>
          <w:lang w:val="lv-LV"/>
        </w:rPr>
        <w:t> </w:t>
      </w:r>
      <w:r w:rsidRPr="00171B0B">
        <w:rPr>
          <w:szCs w:val="22"/>
          <w:lang w:val="lv-LV"/>
        </w:rPr>
        <w:t xml:space="preserve">20 atbildes reakcija. </w:t>
      </w:r>
      <w:r>
        <w:rPr>
          <w:szCs w:val="22"/>
          <w:lang w:val="lv-LV"/>
        </w:rPr>
        <w:t xml:space="preserve">Pētījuma </w:t>
      </w:r>
      <w:r w:rsidRPr="00171B0B">
        <w:rPr>
          <w:szCs w:val="22"/>
          <w:lang w:val="lv-LV"/>
        </w:rPr>
        <w:t>SC</w:t>
      </w:r>
      <w:r w:rsidRPr="00171B0B">
        <w:rPr>
          <w:szCs w:val="22"/>
          <w:lang w:val="lv-LV"/>
        </w:rPr>
        <w:noBreakHyphen/>
        <w:t>I rezultāti norādīti</w:t>
      </w:r>
      <w:r w:rsidRPr="00DD7A4F">
        <w:rPr>
          <w:szCs w:val="22"/>
          <w:lang w:val="lv-LV"/>
        </w:rPr>
        <w:t xml:space="preserve"> </w:t>
      </w:r>
      <w:r>
        <w:rPr>
          <w:szCs w:val="22"/>
          <w:lang w:val="lv-LV"/>
        </w:rPr>
        <w:t>2</w:t>
      </w:r>
      <w:r w:rsidRPr="00DD7A4F">
        <w:rPr>
          <w:szCs w:val="22"/>
          <w:lang w:val="lv-LV"/>
        </w:rPr>
        <w:t xml:space="preserve">. tabulā. </w:t>
      </w:r>
    </w:p>
    <w:p w14:paraId="04EB001A" w14:textId="77777777" w:rsidR="00A453C3" w:rsidRPr="00DD7A4F" w:rsidRDefault="00A453C3" w:rsidP="00A453C3">
      <w:pPr>
        <w:ind w:right="-2"/>
        <w:rPr>
          <w:sz w:val="24"/>
          <w:szCs w:val="22"/>
          <w:lang w:val="lv-LV"/>
        </w:rPr>
      </w:pPr>
    </w:p>
    <w:p w14:paraId="466FAA3B" w14:textId="5BFBE99D" w:rsidR="00A453C3" w:rsidRDefault="00A453C3" w:rsidP="00A453C3">
      <w:pPr>
        <w:keepNext/>
        <w:keepLines/>
        <w:numPr>
          <w:ilvl w:val="12"/>
          <w:numId w:val="0"/>
        </w:numPr>
        <w:ind w:right="-2"/>
        <w:rPr>
          <w:bCs/>
          <w:i/>
          <w:szCs w:val="22"/>
          <w:lang w:val="lv-LV"/>
        </w:rPr>
      </w:pPr>
      <w:r>
        <w:rPr>
          <w:bCs/>
          <w:i/>
          <w:szCs w:val="22"/>
          <w:lang w:val="lv-LV"/>
        </w:rPr>
        <w:t>2</w:t>
      </w:r>
      <w:r w:rsidRPr="00DD7A4F">
        <w:rPr>
          <w:bCs/>
          <w:i/>
          <w:szCs w:val="22"/>
          <w:lang w:val="lv-LV"/>
        </w:rPr>
        <w:t>.</w:t>
      </w:r>
      <w:r>
        <w:rPr>
          <w:bCs/>
          <w:i/>
          <w:szCs w:val="22"/>
          <w:lang w:val="lv-LV"/>
        </w:rPr>
        <w:t> </w:t>
      </w:r>
      <w:r w:rsidRPr="00DD7A4F">
        <w:rPr>
          <w:bCs/>
          <w:i/>
          <w:szCs w:val="22"/>
          <w:lang w:val="lv-LV"/>
        </w:rPr>
        <w:t>tabula. ACR atbildes reakcija pētījuma SC-I (% pacientu) 24.</w:t>
      </w:r>
      <w:r>
        <w:rPr>
          <w:bCs/>
          <w:i/>
          <w:szCs w:val="22"/>
          <w:lang w:val="lv-LV"/>
        </w:rPr>
        <w:t> </w:t>
      </w:r>
      <w:r w:rsidRPr="00DD7A4F">
        <w:rPr>
          <w:bCs/>
          <w:i/>
          <w:szCs w:val="22"/>
          <w:lang w:val="lv-LV"/>
        </w:rPr>
        <w:t>nedēļā</w:t>
      </w:r>
    </w:p>
    <w:p w14:paraId="44E26988" w14:textId="77777777" w:rsidR="00A453C3" w:rsidRPr="00DD7A4F" w:rsidRDefault="00A453C3" w:rsidP="00A453C3">
      <w:pPr>
        <w:keepNext/>
        <w:keepLines/>
        <w:numPr>
          <w:ilvl w:val="12"/>
          <w:numId w:val="0"/>
        </w:numPr>
        <w:ind w:right="-2"/>
        <w:rPr>
          <w: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6"/>
        <w:gridCol w:w="3159"/>
        <w:gridCol w:w="3215"/>
      </w:tblGrid>
      <w:tr w:rsidR="00A453C3" w:rsidRPr="00DD7A4F" w14:paraId="3699719C" w14:textId="77777777" w:rsidTr="0067693D">
        <w:tc>
          <w:tcPr>
            <w:tcW w:w="2686" w:type="dxa"/>
          </w:tcPr>
          <w:p w14:paraId="3CF766EA" w14:textId="77777777" w:rsidR="00A453C3" w:rsidRPr="00DD7A4F" w:rsidRDefault="00A453C3" w:rsidP="0067693D">
            <w:pPr>
              <w:keepNext/>
              <w:keepLines/>
              <w:spacing w:line="280" w:lineRule="atLeast"/>
              <w:rPr>
                <w:lang w:val="lv-LV" w:eastAsia="de-DE"/>
              </w:rPr>
            </w:pPr>
          </w:p>
        </w:tc>
        <w:tc>
          <w:tcPr>
            <w:tcW w:w="6374" w:type="dxa"/>
            <w:gridSpan w:val="2"/>
          </w:tcPr>
          <w:p w14:paraId="7A33F70C" w14:textId="77777777" w:rsidR="00A453C3" w:rsidRPr="00DD7A4F" w:rsidRDefault="00A453C3" w:rsidP="0067693D">
            <w:pPr>
              <w:keepNext/>
              <w:keepLines/>
              <w:spacing w:line="280" w:lineRule="atLeast"/>
              <w:jc w:val="center"/>
              <w:rPr>
                <w:lang w:val="lv-LV" w:eastAsia="de-DE"/>
              </w:rPr>
            </w:pPr>
            <w:r w:rsidRPr="00DD7A4F">
              <w:rPr>
                <w:lang w:val="lv-LV" w:eastAsia="de-DE"/>
              </w:rPr>
              <w:t>SC-I</w:t>
            </w:r>
            <w:r w:rsidRPr="00DD7A4F">
              <w:rPr>
                <w:vertAlign w:val="superscript"/>
                <w:lang w:val="lv-LV" w:eastAsia="de-DE"/>
              </w:rPr>
              <w:t>a</w:t>
            </w:r>
          </w:p>
        </w:tc>
      </w:tr>
      <w:tr w:rsidR="00A453C3" w:rsidRPr="00DD7A4F" w14:paraId="13D6DD12" w14:textId="77777777" w:rsidTr="0067693D">
        <w:tc>
          <w:tcPr>
            <w:tcW w:w="2686" w:type="dxa"/>
          </w:tcPr>
          <w:p w14:paraId="37A83707" w14:textId="77777777" w:rsidR="00A453C3" w:rsidRPr="00DD7A4F" w:rsidRDefault="00A453C3" w:rsidP="0067693D">
            <w:pPr>
              <w:keepNext/>
              <w:keepLines/>
              <w:spacing w:line="280" w:lineRule="atLeast"/>
              <w:rPr>
                <w:lang w:val="lv-LV" w:eastAsia="de-DE"/>
              </w:rPr>
            </w:pPr>
          </w:p>
        </w:tc>
        <w:tc>
          <w:tcPr>
            <w:tcW w:w="3159" w:type="dxa"/>
          </w:tcPr>
          <w:p w14:paraId="4B53DAB7" w14:textId="3FEF607E" w:rsidR="00A453C3" w:rsidRPr="00DD7A4F" w:rsidRDefault="00A453C3" w:rsidP="0067693D">
            <w:pPr>
              <w:keepNext/>
              <w:keepLines/>
              <w:spacing w:line="280" w:lineRule="atLeast"/>
              <w:jc w:val="center"/>
              <w:rPr>
                <w:lang w:val="lv-LV" w:eastAsia="de-DE"/>
              </w:rPr>
            </w:pPr>
            <w:r w:rsidRPr="00DD7A4F">
              <w:rPr>
                <w:lang w:val="lv-LV" w:eastAsia="de-DE"/>
              </w:rPr>
              <w:t xml:space="preserve">TCZ </w:t>
            </w:r>
            <w:r>
              <w:rPr>
                <w:lang w:val="lv-LV" w:eastAsia="de-DE"/>
              </w:rPr>
              <w:t>s.c.</w:t>
            </w:r>
            <w:r w:rsidRPr="00DD7A4F">
              <w:rPr>
                <w:lang w:val="lv-LV" w:eastAsia="de-DE"/>
              </w:rPr>
              <w:t xml:space="preserve"> 162 mg</w:t>
            </w:r>
            <w:r>
              <w:rPr>
                <w:lang w:val="lv-LV" w:eastAsia="de-DE"/>
              </w:rPr>
              <w:t xml:space="preserve"> vienu</w:t>
            </w:r>
            <w:r w:rsidRPr="00DD7A4F">
              <w:rPr>
                <w:lang w:val="lv-LV" w:eastAsia="de-DE"/>
              </w:rPr>
              <w:t xml:space="preserve"> reizi nedēļā</w:t>
            </w:r>
          </w:p>
          <w:p w14:paraId="6AFA69C8" w14:textId="77777777" w:rsidR="00A453C3" w:rsidRPr="00DD7A4F" w:rsidRDefault="00A453C3" w:rsidP="0067693D">
            <w:pPr>
              <w:keepNext/>
              <w:keepLines/>
              <w:spacing w:line="280" w:lineRule="atLeast"/>
              <w:jc w:val="center"/>
              <w:rPr>
                <w:lang w:val="lv-LV" w:eastAsia="de-DE"/>
              </w:rPr>
            </w:pPr>
            <w:r w:rsidRPr="00DD7A4F">
              <w:rPr>
                <w:lang w:val="lv-LV" w:eastAsia="de-DE"/>
              </w:rPr>
              <w:t>+ DMARD</w:t>
            </w:r>
          </w:p>
          <w:p w14:paraId="23B90C8D" w14:textId="138F0A54" w:rsidR="00A453C3" w:rsidRPr="00DD7A4F" w:rsidRDefault="00A453C3" w:rsidP="0067693D">
            <w:pPr>
              <w:keepNext/>
              <w:keepLines/>
              <w:spacing w:line="280" w:lineRule="atLeast"/>
              <w:jc w:val="center"/>
              <w:rPr>
                <w:lang w:val="lv-LV" w:eastAsia="de-DE"/>
              </w:rPr>
            </w:pPr>
            <w:del w:id="1060" w:author="Author">
              <w:r w:rsidRPr="00DD7A4F" w:rsidDel="000A0D71">
                <w:rPr>
                  <w:lang w:val="lv-LV" w:eastAsia="de-DE"/>
                </w:rPr>
                <w:delText>N</w:delText>
              </w:r>
            </w:del>
            <w:ins w:id="1061" w:author="Author">
              <w:r w:rsidR="000A0D71">
                <w:rPr>
                  <w:lang w:val="lv-LV" w:eastAsia="de-DE"/>
                </w:rPr>
                <w:t>n</w:t>
              </w:r>
            </w:ins>
            <w:r w:rsidRPr="00DD7A4F">
              <w:rPr>
                <w:lang w:val="lv-LV" w:eastAsia="de-DE"/>
              </w:rPr>
              <w:t>=558</w:t>
            </w:r>
          </w:p>
        </w:tc>
        <w:tc>
          <w:tcPr>
            <w:tcW w:w="3215" w:type="dxa"/>
          </w:tcPr>
          <w:p w14:paraId="0D235079" w14:textId="77777777" w:rsidR="00A453C3" w:rsidRPr="00DD7A4F" w:rsidRDefault="00A453C3" w:rsidP="0067693D">
            <w:pPr>
              <w:keepNext/>
              <w:keepLines/>
              <w:spacing w:line="280" w:lineRule="atLeast"/>
              <w:jc w:val="center"/>
              <w:rPr>
                <w:lang w:val="lv-LV" w:eastAsia="de-DE"/>
              </w:rPr>
            </w:pPr>
            <w:r w:rsidRPr="00DD7A4F">
              <w:rPr>
                <w:lang w:val="lv-LV" w:eastAsia="de-DE"/>
              </w:rPr>
              <w:t>TCZ i.v. 8 mg/kg</w:t>
            </w:r>
          </w:p>
          <w:p w14:paraId="1ED2DDDE" w14:textId="77777777" w:rsidR="00A453C3" w:rsidRPr="00DD7A4F" w:rsidRDefault="00A453C3" w:rsidP="0067693D">
            <w:pPr>
              <w:keepNext/>
              <w:keepLines/>
              <w:spacing w:line="280" w:lineRule="atLeast"/>
              <w:jc w:val="center"/>
              <w:rPr>
                <w:lang w:val="lv-LV" w:eastAsia="de-DE"/>
              </w:rPr>
            </w:pPr>
            <w:r w:rsidRPr="00DD7A4F">
              <w:rPr>
                <w:lang w:val="lv-LV" w:eastAsia="de-DE"/>
              </w:rPr>
              <w:t>+ DMARD</w:t>
            </w:r>
          </w:p>
          <w:p w14:paraId="1A965210" w14:textId="10F89639" w:rsidR="00A453C3" w:rsidRPr="00DD7A4F" w:rsidRDefault="00A453C3" w:rsidP="0067693D">
            <w:pPr>
              <w:keepNext/>
              <w:keepLines/>
              <w:spacing w:line="280" w:lineRule="atLeast"/>
              <w:jc w:val="center"/>
              <w:rPr>
                <w:lang w:val="lv-LV" w:eastAsia="de-DE"/>
              </w:rPr>
            </w:pPr>
            <w:del w:id="1062" w:author="Author">
              <w:r w:rsidRPr="00DD7A4F" w:rsidDel="000A0D71">
                <w:rPr>
                  <w:lang w:val="lv-LV" w:eastAsia="de-DE"/>
                </w:rPr>
                <w:delText>N</w:delText>
              </w:r>
            </w:del>
            <w:ins w:id="1063" w:author="Author">
              <w:r w:rsidR="000A0D71">
                <w:rPr>
                  <w:lang w:val="lv-LV" w:eastAsia="de-DE"/>
                </w:rPr>
                <w:t>n</w:t>
              </w:r>
            </w:ins>
            <w:r w:rsidRPr="00DD7A4F">
              <w:rPr>
                <w:lang w:val="lv-LV" w:eastAsia="de-DE"/>
              </w:rPr>
              <w:t>=537</w:t>
            </w:r>
          </w:p>
        </w:tc>
      </w:tr>
      <w:tr w:rsidR="00A453C3" w:rsidRPr="00DD7A4F" w14:paraId="2050D07D" w14:textId="77777777" w:rsidTr="0067693D">
        <w:tc>
          <w:tcPr>
            <w:tcW w:w="2686" w:type="dxa"/>
          </w:tcPr>
          <w:p w14:paraId="34EBCA4A" w14:textId="77777777" w:rsidR="00A453C3" w:rsidRPr="00DD7A4F" w:rsidRDefault="00A453C3" w:rsidP="0067693D">
            <w:pPr>
              <w:keepNext/>
              <w:keepLines/>
              <w:spacing w:line="280" w:lineRule="atLeast"/>
              <w:jc w:val="right"/>
              <w:rPr>
                <w:lang w:val="lv-LV" w:eastAsia="de-DE"/>
              </w:rPr>
            </w:pPr>
            <w:r w:rsidRPr="00DD7A4F">
              <w:rPr>
                <w:lang w:val="lv-LV" w:eastAsia="de-DE"/>
              </w:rPr>
              <w:t>ACR</w:t>
            </w:r>
            <w:r>
              <w:rPr>
                <w:lang w:val="lv-LV" w:eastAsia="de-DE"/>
              </w:rPr>
              <w:t> </w:t>
            </w:r>
            <w:r w:rsidRPr="00DD7A4F">
              <w:rPr>
                <w:lang w:val="lv-LV" w:eastAsia="de-DE"/>
              </w:rPr>
              <w:t>20 24. nedēļā</w:t>
            </w:r>
          </w:p>
        </w:tc>
        <w:tc>
          <w:tcPr>
            <w:tcW w:w="3159" w:type="dxa"/>
          </w:tcPr>
          <w:p w14:paraId="54BC4F0D" w14:textId="77777777" w:rsidR="00A453C3" w:rsidRPr="00DD7A4F" w:rsidRDefault="00A453C3" w:rsidP="0067693D">
            <w:pPr>
              <w:keepNext/>
              <w:keepLines/>
              <w:spacing w:line="280" w:lineRule="atLeast"/>
              <w:jc w:val="center"/>
              <w:rPr>
                <w:lang w:val="lv-LV" w:eastAsia="de-DE"/>
              </w:rPr>
            </w:pPr>
            <w:r w:rsidRPr="00DD7A4F">
              <w:rPr>
                <w:lang w:val="lv-LV" w:eastAsia="de-DE"/>
              </w:rPr>
              <w:t>69,4%</w:t>
            </w:r>
          </w:p>
        </w:tc>
        <w:tc>
          <w:tcPr>
            <w:tcW w:w="3215" w:type="dxa"/>
          </w:tcPr>
          <w:p w14:paraId="57317B37" w14:textId="77777777" w:rsidR="00A453C3" w:rsidRPr="00DD7A4F" w:rsidRDefault="00A453C3" w:rsidP="0067693D">
            <w:pPr>
              <w:keepNext/>
              <w:keepLines/>
              <w:spacing w:line="280" w:lineRule="atLeast"/>
              <w:jc w:val="center"/>
              <w:rPr>
                <w:lang w:val="lv-LV" w:eastAsia="de-DE"/>
              </w:rPr>
            </w:pPr>
            <w:r w:rsidRPr="00DD7A4F">
              <w:rPr>
                <w:lang w:val="lv-LV" w:eastAsia="de-DE"/>
              </w:rPr>
              <w:t>73,4%</w:t>
            </w:r>
          </w:p>
        </w:tc>
      </w:tr>
      <w:tr w:rsidR="00A453C3" w:rsidRPr="00DD7A4F" w14:paraId="739F97DB" w14:textId="77777777" w:rsidTr="0067693D">
        <w:tc>
          <w:tcPr>
            <w:tcW w:w="2686" w:type="dxa"/>
          </w:tcPr>
          <w:p w14:paraId="575B0747" w14:textId="77777777" w:rsidR="00A453C3" w:rsidRPr="00DD7A4F" w:rsidRDefault="00A453C3" w:rsidP="0067693D">
            <w:pPr>
              <w:keepNext/>
              <w:keepLines/>
              <w:spacing w:line="280" w:lineRule="atLeast"/>
              <w:jc w:val="right"/>
              <w:rPr>
                <w:lang w:val="lv-LV" w:eastAsia="de-DE"/>
              </w:rPr>
            </w:pPr>
            <w:r>
              <w:rPr>
                <w:lang w:val="lv-LV" w:eastAsia="de-DE"/>
              </w:rPr>
              <w:t>S</w:t>
            </w:r>
            <w:r w:rsidRPr="00DD7A4F">
              <w:rPr>
                <w:lang w:val="lv-LV" w:eastAsia="de-DE"/>
              </w:rPr>
              <w:t>vērtā starpība (95% TI)</w:t>
            </w:r>
          </w:p>
        </w:tc>
        <w:tc>
          <w:tcPr>
            <w:tcW w:w="6374" w:type="dxa"/>
            <w:gridSpan w:val="2"/>
          </w:tcPr>
          <w:p w14:paraId="5A330DA7" w14:textId="77777777" w:rsidR="00A453C3" w:rsidRPr="00DD7A4F" w:rsidRDefault="00A453C3" w:rsidP="0067693D">
            <w:pPr>
              <w:keepNext/>
              <w:keepLines/>
              <w:spacing w:line="280" w:lineRule="atLeast"/>
              <w:jc w:val="center"/>
              <w:rPr>
                <w:lang w:val="lv-LV" w:eastAsia="de-DE"/>
              </w:rPr>
            </w:pPr>
            <w:r w:rsidRPr="00DD7A4F">
              <w:rPr>
                <w:lang w:val="lv-LV" w:eastAsia="de-DE"/>
              </w:rPr>
              <w:t>-4,0 (-9,2</w:t>
            </w:r>
            <w:r>
              <w:rPr>
                <w:lang w:val="lv-LV" w:eastAsia="de-DE"/>
              </w:rPr>
              <w:t>;</w:t>
            </w:r>
            <w:r w:rsidRPr="00DD7A4F">
              <w:rPr>
                <w:lang w:val="lv-LV" w:eastAsia="de-DE"/>
              </w:rPr>
              <w:t xml:space="preserve"> 1,2)</w:t>
            </w:r>
          </w:p>
        </w:tc>
      </w:tr>
      <w:tr w:rsidR="00A453C3" w:rsidRPr="00DD7A4F" w14:paraId="4BD16DB6" w14:textId="77777777" w:rsidTr="0067693D">
        <w:tc>
          <w:tcPr>
            <w:tcW w:w="2686" w:type="dxa"/>
          </w:tcPr>
          <w:p w14:paraId="4C91A4BE" w14:textId="77777777" w:rsidR="00A453C3" w:rsidRPr="00DD7A4F" w:rsidRDefault="00A453C3" w:rsidP="0067693D">
            <w:pPr>
              <w:keepNext/>
              <w:keepLines/>
              <w:spacing w:line="280" w:lineRule="atLeast"/>
              <w:jc w:val="right"/>
              <w:rPr>
                <w:lang w:val="lv-LV" w:eastAsia="de-DE"/>
              </w:rPr>
            </w:pPr>
            <w:r w:rsidRPr="00DD7A4F">
              <w:rPr>
                <w:lang w:val="lv-LV" w:eastAsia="de-DE"/>
              </w:rPr>
              <w:t>ACR</w:t>
            </w:r>
            <w:r>
              <w:rPr>
                <w:lang w:val="lv-LV" w:eastAsia="de-DE"/>
              </w:rPr>
              <w:t> </w:t>
            </w:r>
            <w:r w:rsidRPr="00DD7A4F">
              <w:rPr>
                <w:lang w:val="lv-LV" w:eastAsia="de-DE"/>
              </w:rPr>
              <w:t>50 24. nedēļā</w:t>
            </w:r>
          </w:p>
        </w:tc>
        <w:tc>
          <w:tcPr>
            <w:tcW w:w="3159" w:type="dxa"/>
          </w:tcPr>
          <w:p w14:paraId="0A69F45A" w14:textId="77777777" w:rsidR="00A453C3" w:rsidRPr="00DD7A4F" w:rsidRDefault="00A453C3" w:rsidP="0067693D">
            <w:pPr>
              <w:keepNext/>
              <w:keepLines/>
              <w:spacing w:line="280" w:lineRule="atLeast"/>
              <w:jc w:val="center"/>
              <w:rPr>
                <w:lang w:val="lv-LV" w:eastAsia="de-DE"/>
              </w:rPr>
            </w:pPr>
            <w:r w:rsidRPr="00DD7A4F">
              <w:rPr>
                <w:lang w:val="lv-LV" w:eastAsia="de-DE"/>
              </w:rPr>
              <w:t>47,0%</w:t>
            </w:r>
          </w:p>
        </w:tc>
        <w:tc>
          <w:tcPr>
            <w:tcW w:w="3215" w:type="dxa"/>
          </w:tcPr>
          <w:p w14:paraId="1DCFE6AE" w14:textId="77777777" w:rsidR="00A453C3" w:rsidRPr="00DD7A4F" w:rsidRDefault="00A453C3" w:rsidP="0067693D">
            <w:pPr>
              <w:keepNext/>
              <w:keepLines/>
              <w:spacing w:line="280" w:lineRule="atLeast"/>
              <w:jc w:val="center"/>
              <w:rPr>
                <w:lang w:val="lv-LV" w:eastAsia="de-DE"/>
              </w:rPr>
            </w:pPr>
            <w:r w:rsidRPr="00DD7A4F">
              <w:rPr>
                <w:lang w:val="lv-LV" w:eastAsia="de-DE"/>
              </w:rPr>
              <w:t>48,6%</w:t>
            </w:r>
          </w:p>
        </w:tc>
      </w:tr>
      <w:tr w:rsidR="00A453C3" w:rsidRPr="00DD7A4F" w14:paraId="360E06C3" w14:textId="77777777" w:rsidTr="0067693D">
        <w:tc>
          <w:tcPr>
            <w:tcW w:w="2686" w:type="dxa"/>
          </w:tcPr>
          <w:p w14:paraId="3C6ACA6A" w14:textId="77777777" w:rsidR="00A453C3" w:rsidRPr="00DD7A4F" w:rsidRDefault="00A453C3" w:rsidP="0067693D">
            <w:pPr>
              <w:keepNext/>
              <w:keepLines/>
              <w:spacing w:line="280" w:lineRule="atLeast"/>
              <w:jc w:val="right"/>
              <w:rPr>
                <w:lang w:val="lv-LV" w:eastAsia="de-DE"/>
              </w:rPr>
            </w:pPr>
            <w:r>
              <w:rPr>
                <w:lang w:val="lv-LV" w:eastAsia="de-DE"/>
              </w:rPr>
              <w:t>S</w:t>
            </w:r>
            <w:r w:rsidRPr="00DD7A4F">
              <w:rPr>
                <w:lang w:val="lv-LV" w:eastAsia="de-DE"/>
              </w:rPr>
              <w:t>vērtā starpība (95% TI)</w:t>
            </w:r>
          </w:p>
        </w:tc>
        <w:tc>
          <w:tcPr>
            <w:tcW w:w="6374" w:type="dxa"/>
            <w:gridSpan w:val="2"/>
          </w:tcPr>
          <w:p w14:paraId="67E4228A" w14:textId="77777777" w:rsidR="00A453C3" w:rsidRPr="00DD7A4F" w:rsidRDefault="00A453C3" w:rsidP="0067693D">
            <w:pPr>
              <w:keepNext/>
              <w:keepLines/>
              <w:spacing w:line="280" w:lineRule="atLeast"/>
              <w:jc w:val="center"/>
              <w:rPr>
                <w:lang w:val="lv-LV" w:eastAsia="de-DE"/>
              </w:rPr>
            </w:pPr>
            <w:r w:rsidRPr="00DD7A4F">
              <w:rPr>
                <w:lang w:val="lv-LV" w:eastAsia="de-DE"/>
              </w:rPr>
              <w:t>-1,8 (-7,5</w:t>
            </w:r>
            <w:r>
              <w:rPr>
                <w:lang w:val="lv-LV" w:eastAsia="de-DE"/>
              </w:rPr>
              <w:t>;</w:t>
            </w:r>
            <w:r w:rsidRPr="00DD7A4F">
              <w:rPr>
                <w:lang w:val="lv-LV" w:eastAsia="de-DE"/>
              </w:rPr>
              <w:t xml:space="preserve"> 4,0)</w:t>
            </w:r>
          </w:p>
        </w:tc>
      </w:tr>
      <w:tr w:rsidR="00A453C3" w:rsidRPr="00DD7A4F" w14:paraId="21B20C3D" w14:textId="77777777" w:rsidTr="0067693D">
        <w:tc>
          <w:tcPr>
            <w:tcW w:w="2686" w:type="dxa"/>
          </w:tcPr>
          <w:p w14:paraId="53263FA1" w14:textId="77777777" w:rsidR="00A453C3" w:rsidRPr="00DD7A4F" w:rsidRDefault="00A453C3" w:rsidP="0067693D">
            <w:pPr>
              <w:keepNext/>
              <w:keepLines/>
              <w:spacing w:line="280" w:lineRule="atLeast"/>
              <w:jc w:val="right"/>
              <w:rPr>
                <w:lang w:val="lv-LV" w:eastAsia="de-DE"/>
              </w:rPr>
            </w:pPr>
            <w:r w:rsidRPr="00DD7A4F">
              <w:rPr>
                <w:lang w:val="lv-LV" w:eastAsia="de-DE"/>
              </w:rPr>
              <w:t>ACR</w:t>
            </w:r>
            <w:r>
              <w:rPr>
                <w:lang w:val="lv-LV" w:eastAsia="de-DE"/>
              </w:rPr>
              <w:t> </w:t>
            </w:r>
            <w:r w:rsidRPr="00DD7A4F">
              <w:rPr>
                <w:lang w:val="lv-LV" w:eastAsia="de-DE"/>
              </w:rPr>
              <w:t>70 24. nedēļā</w:t>
            </w:r>
          </w:p>
        </w:tc>
        <w:tc>
          <w:tcPr>
            <w:tcW w:w="3159" w:type="dxa"/>
          </w:tcPr>
          <w:p w14:paraId="7D63E6B1" w14:textId="77777777" w:rsidR="00A453C3" w:rsidRPr="00DD7A4F" w:rsidRDefault="00A453C3" w:rsidP="0067693D">
            <w:pPr>
              <w:keepNext/>
              <w:keepLines/>
              <w:spacing w:line="280" w:lineRule="atLeast"/>
              <w:jc w:val="center"/>
              <w:rPr>
                <w:lang w:val="lv-LV" w:eastAsia="de-DE"/>
              </w:rPr>
            </w:pPr>
            <w:r w:rsidRPr="00DD7A4F">
              <w:rPr>
                <w:lang w:val="lv-LV" w:eastAsia="de-DE"/>
              </w:rPr>
              <w:t>24,0%</w:t>
            </w:r>
          </w:p>
        </w:tc>
        <w:tc>
          <w:tcPr>
            <w:tcW w:w="3215" w:type="dxa"/>
          </w:tcPr>
          <w:p w14:paraId="7C960105" w14:textId="77777777" w:rsidR="00A453C3" w:rsidRPr="00DD7A4F" w:rsidRDefault="00A453C3" w:rsidP="0067693D">
            <w:pPr>
              <w:keepNext/>
              <w:keepLines/>
              <w:spacing w:line="280" w:lineRule="atLeast"/>
              <w:jc w:val="center"/>
              <w:rPr>
                <w:lang w:val="lv-LV" w:eastAsia="de-DE"/>
              </w:rPr>
            </w:pPr>
            <w:r w:rsidRPr="00DD7A4F">
              <w:rPr>
                <w:lang w:val="lv-LV" w:eastAsia="de-DE"/>
              </w:rPr>
              <w:t>27,9%</w:t>
            </w:r>
          </w:p>
        </w:tc>
      </w:tr>
      <w:tr w:rsidR="00A453C3" w:rsidRPr="00DD7A4F" w14:paraId="57F2F12B" w14:textId="77777777" w:rsidTr="0067693D">
        <w:tc>
          <w:tcPr>
            <w:tcW w:w="2686" w:type="dxa"/>
          </w:tcPr>
          <w:p w14:paraId="468C3788" w14:textId="77777777" w:rsidR="00A453C3" w:rsidRPr="00DD7A4F" w:rsidRDefault="00A453C3" w:rsidP="0067693D">
            <w:pPr>
              <w:keepNext/>
              <w:keepLines/>
              <w:spacing w:line="280" w:lineRule="atLeast"/>
              <w:jc w:val="right"/>
              <w:rPr>
                <w:lang w:val="lv-LV" w:eastAsia="de-DE"/>
              </w:rPr>
            </w:pPr>
            <w:r>
              <w:rPr>
                <w:lang w:val="lv-LV" w:eastAsia="de-DE"/>
              </w:rPr>
              <w:t>S</w:t>
            </w:r>
            <w:r w:rsidRPr="00DD7A4F">
              <w:rPr>
                <w:lang w:val="lv-LV" w:eastAsia="de-DE"/>
              </w:rPr>
              <w:t>vērtā starpība (95% TI)</w:t>
            </w:r>
          </w:p>
        </w:tc>
        <w:tc>
          <w:tcPr>
            <w:tcW w:w="6374" w:type="dxa"/>
            <w:gridSpan w:val="2"/>
          </w:tcPr>
          <w:p w14:paraId="0C3B3F2A" w14:textId="77777777" w:rsidR="00A453C3" w:rsidRPr="00DD7A4F" w:rsidRDefault="00A453C3" w:rsidP="0067693D">
            <w:pPr>
              <w:keepNext/>
              <w:keepLines/>
              <w:spacing w:line="280" w:lineRule="atLeast"/>
              <w:jc w:val="center"/>
              <w:rPr>
                <w:lang w:val="lv-LV" w:eastAsia="de-DE"/>
              </w:rPr>
            </w:pPr>
            <w:r w:rsidRPr="00DD7A4F">
              <w:rPr>
                <w:lang w:val="lv-LV" w:eastAsia="de-DE"/>
              </w:rPr>
              <w:t>-3,8 (-9,0</w:t>
            </w:r>
            <w:r>
              <w:rPr>
                <w:lang w:val="lv-LV" w:eastAsia="de-DE"/>
              </w:rPr>
              <w:t>;</w:t>
            </w:r>
            <w:r w:rsidRPr="00DD7A4F">
              <w:rPr>
                <w:lang w:val="lv-LV" w:eastAsia="de-DE"/>
              </w:rPr>
              <w:t xml:space="preserve"> 1,3)</w:t>
            </w:r>
          </w:p>
        </w:tc>
      </w:tr>
    </w:tbl>
    <w:p w14:paraId="0C4B4425" w14:textId="77777777" w:rsidR="000A0D71" w:rsidRDefault="000A0D71" w:rsidP="000A0D71">
      <w:pPr>
        <w:keepNext/>
        <w:keepLines/>
        <w:rPr>
          <w:sz w:val="18"/>
          <w:szCs w:val="18"/>
          <w:lang w:val="lv-LV" w:eastAsia="de-DE"/>
        </w:rPr>
      </w:pPr>
      <w:r>
        <w:rPr>
          <w:sz w:val="18"/>
          <w:szCs w:val="18"/>
          <w:lang w:val="lv-LV" w:eastAsia="de-DE"/>
        </w:rPr>
        <w:t>DMARD = slimības gaitu modificējoši pretreimatisma līdzekļi.</w:t>
      </w:r>
    </w:p>
    <w:p w14:paraId="081CCAF7" w14:textId="77777777" w:rsidR="00A453C3" w:rsidRPr="00DD7A4F" w:rsidRDefault="00A453C3" w:rsidP="00A453C3">
      <w:pPr>
        <w:keepNext/>
        <w:keepLines/>
        <w:rPr>
          <w:sz w:val="18"/>
          <w:szCs w:val="18"/>
          <w:lang w:val="lv-LV" w:eastAsia="de-DE"/>
        </w:rPr>
      </w:pPr>
      <w:r w:rsidRPr="00DD7A4F">
        <w:rPr>
          <w:sz w:val="18"/>
          <w:szCs w:val="18"/>
          <w:lang w:val="lv-LV" w:eastAsia="de-DE"/>
        </w:rPr>
        <w:t>TCZ = tocilizumabs</w:t>
      </w:r>
      <w:r>
        <w:rPr>
          <w:sz w:val="18"/>
          <w:szCs w:val="18"/>
          <w:lang w:val="lv-LV" w:eastAsia="de-DE"/>
        </w:rPr>
        <w:t>.</w:t>
      </w:r>
    </w:p>
    <w:p w14:paraId="53A30E0B" w14:textId="77777777" w:rsidR="00A453C3" w:rsidRDefault="00A453C3" w:rsidP="00A453C3">
      <w:pPr>
        <w:keepNext/>
        <w:keepLines/>
        <w:rPr>
          <w:sz w:val="18"/>
          <w:szCs w:val="18"/>
          <w:lang w:val="lv-LV" w:eastAsia="de-DE"/>
        </w:rPr>
      </w:pPr>
      <w:r>
        <w:rPr>
          <w:sz w:val="18"/>
          <w:szCs w:val="18"/>
          <w:lang w:val="lv-LV" w:eastAsia="de-DE"/>
        </w:rPr>
        <w:t>i.v. = intravenozi.</w:t>
      </w:r>
    </w:p>
    <w:p w14:paraId="315E8B32" w14:textId="77777777" w:rsidR="00A453C3" w:rsidRDefault="00A453C3" w:rsidP="00A453C3">
      <w:pPr>
        <w:keepNext/>
        <w:keepLines/>
        <w:rPr>
          <w:sz w:val="18"/>
          <w:szCs w:val="18"/>
          <w:lang w:val="lv-LV" w:eastAsia="de-DE"/>
        </w:rPr>
      </w:pPr>
      <w:r>
        <w:rPr>
          <w:sz w:val="18"/>
          <w:szCs w:val="18"/>
          <w:lang w:val="lv-LV" w:eastAsia="de-DE"/>
        </w:rPr>
        <w:t>s.c. = subkutāni.</w:t>
      </w:r>
    </w:p>
    <w:p w14:paraId="130ED6C8" w14:textId="77777777" w:rsidR="00A453C3" w:rsidRPr="00171B0B" w:rsidRDefault="00A453C3" w:rsidP="00A453C3">
      <w:pPr>
        <w:keepNext/>
        <w:keepLines/>
        <w:rPr>
          <w:sz w:val="18"/>
          <w:szCs w:val="18"/>
          <w:lang w:val="lv-LV" w:eastAsia="de-DE"/>
        </w:rPr>
      </w:pPr>
      <w:r w:rsidRPr="00DD7A4F">
        <w:rPr>
          <w:sz w:val="18"/>
          <w:szCs w:val="18"/>
          <w:lang w:val="lv-LV" w:eastAsia="de-DE"/>
        </w:rPr>
        <w:t xml:space="preserve">a = </w:t>
      </w:r>
      <w:r w:rsidRPr="00171B0B">
        <w:rPr>
          <w:sz w:val="18"/>
          <w:szCs w:val="18"/>
          <w:lang w:val="lv-LV" w:eastAsia="de-DE"/>
        </w:rPr>
        <w:t>protokolam atbilstošā pacientu populācija.</w:t>
      </w:r>
    </w:p>
    <w:p w14:paraId="3B52736C" w14:textId="77777777" w:rsidR="00A453C3" w:rsidRPr="00DD7A4F" w:rsidRDefault="00A453C3" w:rsidP="00A453C3">
      <w:pPr>
        <w:rPr>
          <w:sz w:val="18"/>
          <w:szCs w:val="18"/>
          <w:lang w:val="lv-LV" w:eastAsia="de-DE"/>
        </w:rPr>
      </w:pPr>
    </w:p>
    <w:p w14:paraId="6522DBFC" w14:textId="5D559CCF" w:rsidR="00A453C3" w:rsidRPr="00DD7A4F" w:rsidRDefault="00A453C3" w:rsidP="00A453C3">
      <w:pPr>
        <w:ind w:right="-2"/>
        <w:rPr>
          <w:szCs w:val="22"/>
          <w:lang w:val="lv-LV"/>
        </w:rPr>
      </w:pPr>
      <w:r w:rsidRPr="00DD7A4F">
        <w:rPr>
          <w:szCs w:val="22"/>
          <w:lang w:val="lv-LV"/>
        </w:rPr>
        <w:t>Pētījuma SC</w:t>
      </w:r>
      <w:r w:rsidRPr="00DD7A4F">
        <w:rPr>
          <w:szCs w:val="22"/>
          <w:lang w:val="lv-LV"/>
        </w:rPr>
        <w:noBreakHyphen/>
        <w:t xml:space="preserve">I sākumā pacientiem subkutānās lietošanas un intravenozās lietošanas grupā vidējais slimības aktivitātes </w:t>
      </w:r>
      <w:r w:rsidRPr="00171B0B">
        <w:rPr>
          <w:szCs w:val="22"/>
          <w:lang w:val="lv-LV"/>
        </w:rPr>
        <w:t xml:space="preserve">novērtējuma punktu skaits </w:t>
      </w:r>
      <w:r w:rsidRPr="00DD7A4F">
        <w:rPr>
          <w:szCs w:val="22"/>
          <w:lang w:val="lv-LV"/>
        </w:rPr>
        <w:t>(</w:t>
      </w:r>
      <w:r w:rsidRPr="00DD7A4F">
        <w:rPr>
          <w:i/>
          <w:szCs w:val="22"/>
          <w:lang w:val="lv-LV"/>
        </w:rPr>
        <w:t>Disease Activity Score</w:t>
      </w:r>
      <w:r>
        <w:rPr>
          <w:i/>
          <w:szCs w:val="22"/>
          <w:lang w:val="lv-LV"/>
        </w:rPr>
        <w:t>;</w:t>
      </w:r>
      <w:r w:rsidRPr="00DD7A4F">
        <w:rPr>
          <w:szCs w:val="22"/>
          <w:lang w:val="lv-LV"/>
        </w:rPr>
        <w:t xml:space="preserve"> DAS28) bija attiecīgi 6,6 un 6,7. Pētījuma 24. nedēļā abās terapijas grupās tika novērota nozīmīga DAS28 samazināšanās par 3,5 (</w:t>
      </w:r>
      <w:r w:rsidRPr="00171B0B">
        <w:rPr>
          <w:szCs w:val="22"/>
          <w:lang w:val="lv-LV"/>
        </w:rPr>
        <w:t>vidējā uzlabošanās</w:t>
      </w:r>
      <w:r w:rsidRPr="00DD7A4F">
        <w:rPr>
          <w:szCs w:val="22"/>
          <w:lang w:val="lv-LV"/>
        </w:rPr>
        <w:t xml:space="preserve">), salīdzinot ar pētījuma sākumu, un DAS28 klīniskā remisija (DAS28 &lt; 2,6) tika panākta līdzīgam pacientu </w:t>
      </w:r>
      <w:r w:rsidRPr="00171B0B">
        <w:rPr>
          <w:szCs w:val="22"/>
          <w:lang w:val="lv-LV"/>
        </w:rPr>
        <w:t xml:space="preserve">procentuālajam īpatsvaram </w:t>
      </w:r>
      <w:r w:rsidRPr="00DD7A4F">
        <w:rPr>
          <w:szCs w:val="22"/>
          <w:lang w:val="lv-LV"/>
        </w:rPr>
        <w:t xml:space="preserve">subkutānās lietošanas (38,4%) un intravenozās lietošanas (36,9%) grupā. </w:t>
      </w:r>
    </w:p>
    <w:p w14:paraId="055E4604" w14:textId="77777777" w:rsidR="00A453C3" w:rsidRPr="00DD7A4F" w:rsidRDefault="00A453C3" w:rsidP="00A453C3">
      <w:pPr>
        <w:ind w:right="-2"/>
        <w:rPr>
          <w:szCs w:val="22"/>
          <w:lang w:val="lv-LV"/>
        </w:rPr>
      </w:pPr>
    </w:p>
    <w:p w14:paraId="0CB0B769" w14:textId="77777777" w:rsidR="00A453C3" w:rsidRPr="00707120" w:rsidRDefault="00A453C3" w:rsidP="00707120">
      <w:pPr>
        <w:keepNext/>
        <w:ind w:right="-2"/>
        <w:rPr>
          <w:szCs w:val="22"/>
          <w:u w:val="single"/>
          <w:lang w:val="lv-LV"/>
        </w:rPr>
      </w:pPr>
      <w:r w:rsidRPr="00707120">
        <w:rPr>
          <w:i/>
          <w:szCs w:val="22"/>
          <w:u w:val="single"/>
          <w:lang w:val="lv-LV"/>
        </w:rPr>
        <w:t>Radioloģiskā atbildes reakcija</w:t>
      </w:r>
    </w:p>
    <w:p w14:paraId="7278F435" w14:textId="5D97F0E9" w:rsidR="00A453C3" w:rsidRPr="00DD7A4F" w:rsidRDefault="00A453C3" w:rsidP="00A453C3">
      <w:pPr>
        <w:ind w:right="-2"/>
        <w:rPr>
          <w:szCs w:val="22"/>
          <w:lang w:val="lv-LV"/>
        </w:rPr>
      </w:pPr>
      <w:r w:rsidRPr="00DD7A4F">
        <w:rPr>
          <w:szCs w:val="22"/>
          <w:lang w:val="lv-LV"/>
        </w:rPr>
        <w:t xml:space="preserve">Radioloģisko atbildes reakciju </w:t>
      </w:r>
      <w:r>
        <w:rPr>
          <w:szCs w:val="22"/>
          <w:lang w:val="lv-LV"/>
        </w:rPr>
        <w:t xml:space="preserve">uz </w:t>
      </w:r>
      <w:r w:rsidRPr="00DD7A4F">
        <w:rPr>
          <w:szCs w:val="22"/>
          <w:lang w:val="lv-LV"/>
        </w:rPr>
        <w:t xml:space="preserve">subkutāni lietotu </w:t>
      </w:r>
      <w:r>
        <w:rPr>
          <w:szCs w:val="22"/>
          <w:lang w:val="lv-LV"/>
        </w:rPr>
        <w:t>tocilizumabu</w:t>
      </w:r>
      <w:r w:rsidRPr="00DD7A4F" w:rsidDel="001D4271">
        <w:rPr>
          <w:szCs w:val="22"/>
          <w:lang w:val="lv-LV"/>
        </w:rPr>
        <w:t xml:space="preserve"> </w:t>
      </w:r>
      <w:r w:rsidRPr="00DD7A4F">
        <w:rPr>
          <w:szCs w:val="22"/>
          <w:lang w:val="lv-LV"/>
        </w:rPr>
        <w:t>vērtēja dubultmaskētā, kontrolētā, daudzcentru pētījumā, kurā piedalījās pacienti ar aktīvu RA (SC</w:t>
      </w:r>
      <w:r w:rsidRPr="00DD7A4F">
        <w:rPr>
          <w:szCs w:val="22"/>
          <w:lang w:val="lv-LV"/>
        </w:rPr>
        <w:noBreakHyphen/>
        <w:t>II). Pētījumā SC</w:t>
      </w:r>
      <w:r w:rsidRPr="00DD7A4F">
        <w:rPr>
          <w:szCs w:val="22"/>
          <w:lang w:val="lv-LV"/>
        </w:rPr>
        <w:noBreakHyphen/>
        <w:t xml:space="preserve">II </w:t>
      </w:r>
      <w:r w:rsidRPr="00171B0B">
        <w:rPr>
          <w:szCs w:val="22"/>
          <w:lang w:val="lv-LV"/>
        </w:rPr>
        <w:t>vērtēja pacientus ar vidēji smagu vai smagu aktīvu RA, kuriem bija nepietiekama klīniskā atbildes reakcija uz pašreizējo reimatoloģisko terapiju, kuras sastāvā bija arī viens vai vairāki DMARD, un aptuveni 20% pacientu anamnēzē bija nepietiekama atbildes reakcija uz vismaz vienu TNF inhibitoru. Pētījumā pacientiem bija jābūt vecākiem par 18 gadiem</w:t>
      </w:r>
      <w:r>
        <w:rPr>
          <w:szCs w:val="22"/>
          <w:lang w:val="lv-LV"/>
        </w:rPr>
        <w:t>,</w:t>
      </w:r>
      <w:r w:rsidRPr="00171B0B">
        <w:rPr>
          <w:szCs w:val="22"/>
          <w:lang w:val="lv-LV"/>
        </w:rPr>
        <w:t xml:space="preserve"> ar aktīvu RA, kura diagnoze noteikta atbilstoši ACR kritērijiem, un pētījuma sākumā pacientiem bija vismaz 8 jutīgas un 6 pietūkušas locītavas. </w:t>
      </w:r>
      <w:r>
        <w:rPr>
          <w:szCs w:val="22"/>
          <w:lang w:val="lv-LV"/>
        </w:rPr>
        <w:t xml:space="preserve">Pētījumā </w:t>
      </w:r>
      <w:r w:rsidRPr="00171B0B">
        <w:rPr>
          <w:szCs w:val="22"/>
          <w:lang w:val="lv-LV"/>
        </w:rPr>
        <w:t>SC</w:t>
      </w:r>
      <w:r w:rsidRPr="00171B0B">
        <w:rPr>
          <w:szCs w:val="22"/>
          <w:lang w:val="lv-LV"/>
        </w:rPr>
        <w:noBreakHyphen/>
        <w:t xml:space="preserve">II pētījumā 656 pacienti tika randomizēti attiecībā 2:1, lai saņemtu </w:t>
      </w:r>
      <w:r>
        <w:rPr>
          <w:szCs w:val="22"/>
          <w:lang w:val="lv-LV"/>
        </w:rPr>
        <w:t>tocilizumaba</w:t>
      </w:r>
      <w:r w:rsidRPr="00171B0B" w:rsidDel="001D4271">
        <w:rPr>
          <w:szCs w:val="22"/>
          <w:lang w:val="lv-LV"/>
        </w:rPr>
        <w:t xml:space="preserve"> </w:t>
      </w:r>
      <w:r w:rsidRPr="00171B0B">
        <w:rPr>
          <w:szCs w:val="22"/>
          <w:lang w:val="lv-LV"/>
        </w:rPr>
        <w:t xml:space="preserve">162 mg </w:t>
      </w:r>
      <w:r>
        <w:rPr>
          <w:szCs w:val="22"/>
          <w:lang w:val="lv-LV"/>
        </w:rPr>
        <w:t xml:space="preserve">devu </w:t>
      </w:r>
      <w:r w:rsidRPr="00171B0B">
        <w:rPr>
          <w:szCs w:val="22"/>
          <w:lang w:val="lv-LV"/>
        </w:rPr>
        <w:t>subkutāni katru otro nedēļu vai placebo</w:t>
      </w:r>
      <w:r w:rsidRPr="00DD7A4F">
        <w:rPr>
          <w:szCs w:val="22"/>
          <w:lang w:val="lv-LV"/>
        </w:rPr>
        <w:t xml:space="preserve"> kombinācijā ar nebioloģisku DMARD.</w:t>
      </w:r>
    </w:p>
    <w:p w14:paraId="253D96E2" w14:textId="77777777" w:rsidR="00A453C3" w:rsidRPr="00DD7A4F" w:rsidRDefault="00A453C3" w:rsidP="00A453C3">
      <w:pPr>
        <w:ind w:right="-2"/>
        <w:rPr>
          <w:szCs w:val="22"/>
          <w:lang w:val="lv-LV"/>
        </w:rPr>
      </w:pPr>
    </w:p>
    <w:p w14:paraId="46D218DE" w14:textId="1176330F" w:rsidR="00A453C3" w:rsidRPr="00DD7A4F" w:rsidRDefault="00A453C3" w:rsidP="00A453C3">
      <w:pPr>
        <w:ind w:right="-2"/>
        <w:rPr>
          <w:szCs w:val="22"/>
          <w:lang w:val="lv-LV"/>
        </w:rPr>
      </w:pPr>
      <w:r>
        <w:rPr>
          <w:szCs w:val="22"/>
          <w:lang w:val="lv-LV"/>
        </w:rPr>
        <w:t xml:space="preserve">Pētījumā </w:t>
      </w:r>
      <w:r w:rsidRPr="00DD7A4F">
        <w:rPr>
          <w:szCs w:val="22"/>
          <w:lang w:val="lv-LV"/>
        </w:rPr>
        <w:t>SC</w:t>
      </w:r>
      <w:r w:rsidRPr="00DD7A4F">
        <w:rPr>
          <w:szCs w:val="22"/>
          <w:lang w:val="lv-LV"/>
        </w:rPr>
        <w:noBreakHyphen/>
        <w:t>II locītavu strukturālā bojājuma nomākšanu izvērtēja radioloģiski, un izmaiņas, salīdzinot ar pētījuma sākumu, izteica</w:t>
      </w:r>
      <w:r>
        <w:rPr>
          <w:szCs w:val="22"/>
          <w:lang w:val="lv-LV"/>
        </w:rPr>
        <w:t xml:space="preserve"> kā</w:t>
      </w:r>
      <w:r w:rsidRPr="00DD7A4F">
        <w:rPr>
          <w:szCs w:val="22"/>
          <w:lang w:val="lv-LV"/>
        </w:rPr>
        <w:t xml:space="preserve"> </w:t>
      </w:r>
      <w:r w:rsidRPr="00DD7A4F">
        <w:rPr>
          <w:i/>
          <w:szCs w:val="22"/>
          <w:lang w:val="lv-LV"/>
        </w:rPr>
        <w:t>van der Heijde</w:t>
      </w:r>
      <w:r w:rsidRPr="00DD7A4F">
        <w:rPr>
          <w:szCs w:val="22"/>
          <w:lang w:val="lv-LV"/>
        </w:rPr>
        <w:t xml:space="preserve"> modificētā vidējā kopējā </w:t>
      </w:r>
      <w:r w:rsidRPr="00DD7A4F">
        <w:rPr>
          <w:i/>
          <w:szCs w:val="22"/>
          <w:lang w:val="lv-LV"/>
        </w:rPr>
        <w:t>Sharp</w:t>
      </w:r>
      <w:r w:rsidRPr="00DD7A4F">
        <w:rPr>
          <w:szCs w:val="22"/>
          <w:lang w:val="lv-LV"/>
        </w:rPr>
        <w:t xml:space="preserve"> skal</w:t>
      </w:r>
      <w:r>
        <w:rPr>
          <w:szCs w:val="22"/>
          <w:lang w:val="lv-LV"/>
        </w:rPr>
        <w:t>as</w:t>
      </w:r>
      <w:r w:rsidRPr="00DD7A4F">
        <w:rPr>
          <w:szCs w:val="22"/>
          <w:lang w:val="lv-LV"/>
        </w:rPr>
        <w:t xml:space="preserve"> </w:t>
      </w:r>
      <w:r w:rsidRPr="00171B0B">
        <w:rPr>
          <w:szCs w:val="22"/>
          <w:lang w:val="lv-LV"/>
        </w:rPr>
        <w:t xml:space="preserve">vidējo kopējo novērtējuma punktu skaitu </w:t>
      </w:r>
      <w:r w:rsidRPr="00DD7A4F">
        <w:rPr>
          <w:szCs w:val="22"/>
          <w:lang w:val="lv-LV"/>
        </w:rPr>
        <w:t>(mTSS). Pētījuma 24. nedēļā bija pierādīts strukturālā bojājuma nomākums, un pacientiem</w:t>
      </w:r>
      <w:r>
        <w:rPr>
          <w:szCs w:val="22"/>
          <w:lang w:val="lv-LV"/>
        </w:rPr>
        <w:t>,</w:t>
      </w:r>
      <w:r w:rsidRPr="00DD7A4F">
        <w:rPr>
          <w:szCs w:val="22"/>
          <w:lang w:val="lv-LV"/>
        </w:rPr>
        <w:t xml:space="preserve"> </w:t>
      </w:r>
      <w:r w:rsidRPr="006B62E6">
        <w:rPr>
          <w:szCs w:val="22"/>
          <w:lang w:val="lv-LV"/>
        </w:rPr>
        <w:t xml:space="preserve">kuri </w:t>
      </w:r>
      <w:r>
        <w:rPr>
          <w:szCs w:val="22"/>
          <w:lang w:val="lv-LV"/>
        </w:rPr>
        <w:t xml:space="preserve">tocilizumabu </w:t>
      </w:r>
      <w:r w:rsidRPr="006B62E6">
        <w:rPr>
          <w:szCs w:val="22"/>
          <w:lang w:val="lv-LV"/>
        </w:rPr>
        <w:t>saņēma subkutāni</w:t>
      </w:r>
      <w:r>
        <w:rPr>
          <w:szCs w:val="22"/>
          <w:lang w:val="lv-LV"/>
        </w:rPr>
        <w:t>,</w:t>
      </w:r>
      <w:r w:rsidRPr="006B62E6" w:rsidDel="006B62E6">
        <w:rPr>
          <w:szCs w:val="22"/>
          <w:lang w:val="lv-LV"/>
        </w:rPr>
        <w:t xml:space="preserve"> </w:t>
      </w:r>
      <w:r w:rsidRPr="00DD7A4F">
        <w:rPr>
          <w:szCs w:val="22"/>
          <w:lang w:val="lv-LV"/>
        </w:rPr>
        <w:t>radioloģiska slimības progresēšana bija nozīmīgi mazāka nekā placebo grupā (vidējais mTSS attiecīgi 0,62</w:t>
      </w:r>
      <w:r>
        <w:rPr>
          <w:szCs w:val="22"/>
          <w:lang w:val="lv-LV"/>
        </w:rPr>
        <w:t> </w:t>
      </w:r>
      <w:r w:rsidRPr="00DD7A4F">
        <w:rPr>
          <w:szCs w:val="22"/>
          <w:lang w:val="lv-LV"/>
        </w:rPr>
        <w:t>un 1,23, p=0,0149 (</w:t>
      </w:r>
      <w:r w:rsidRPr="00DD7A4F">
        <w:rPr>
          <w:i/>
          <w:szCs w:val="22"/>
          <w:lang w:val="lv-LV"/>
        </w:rPr>
        <w:t>van Elteren</w:t>
      </w:r>
      <w:r w:rsidRPr="00DD7A4F">
        <w:rPr>
          <w:szCs w:val="22"/>
          <w:lang w:val="lv-LV"/>
        </w:rPr>
        <w:t xml:space="preserve">)). Šie rezultāti </w:t>
      </w:r>
      <w:r>
        <w:rPr>
          <w:szCs w:val="22"/>
          <w:lang w:val="lv-LV"/>
        </w:rPr>
        <w:t xml:space="preserve">atbilda </w:t>
      </w:r>
      <w:r w:rsidRPr="00DD7A4F">
        <w:rPr>
          <w:szCs w:val="22"/>
          <w:lang w:val="lv-LV"/>
        </w:rPr>
        <w:t xml:space="preserve">rezultātiem, kādi iegūti pacientiem, kuri </w:t>
      </w:r>
      <w:r>
        <w:rPr>
          <w:szCs w:val="22"/>
          <w:lang w:val="lv-LV"/>
        </w:rPr>
        <w:t xml:space="preserve">ārstēti ar </w:t>
      </w:r>
      <w:r w:rsidRPr="00DD7A4F">
        <w:rPr>
          <w:szCs w:val="22"/>
          <w:lang w:val="lv-LV"/>
        </w:rPr>
        <w:t>intravenozi</w:t>
      </w:r>
      <w:r>
        <w:rPr>
          <w:szCs w:val="22"/>
          <w:lang w:val="lv-LV"/>
        </w:rPr>
        <w:t xml:space="preserve"> lietojamu tocilizumabu</w:t>
      </w:r>
      <w:r w:rsidRPr="00DD7A4F">
        <w:rPr>
          <w:szCs w:val="22"/>
          <w:lang w:val="lv-LV"/>
        </w:rPr>
        <w:t xml:space="preserve">. </w:t>
      </w:r>
    </w:p>
    <w:p w14:paraId="0510E268" w14:textId="77777777" w:rsidR="00A453C3" w:rsidRDefault="00A453C3" w:rsidP="00A453C3">
      <w:pPr>
        <w:suppressAutoHyphens w:val="0"/>
        <w:rPr>
          <w:rFonts w:eastAsia="MS PGothic"/>
          <w:color w:val="000000"/>
          <w:szCs w:val="22"/>
          <w:lang w:val="lv-LV" w:eastAsia="ja-JP"/>
        </w:rPr>
      </w:pPr>
    </w:p>
    <w:p w14:paraId="73CA5684" w14:textId="5C0E820A" w:rsidR="00A453C3" w:rsidRDefault="00A453C3" w:rsidP="00A453C3">
      <w:pPr>
        <w:suppressAutoHyphens w:val="0"/>
        <w:rPr>
          <w:szCs w:val="22"/>
          <w:lang w:val="lv-LV" w:eastAsia="lv-LV"/>
        </w:rPr>
      </w:pPr>
      <w:r>
        <w:rPr>
          <w:szCs w:val="22"/>
          <w:lang w:val="lv-LV" w:eastAsia="lv-LV"/>
        </w:rPr>
        <w:t xml:space="preserve">Pētījuma SC-II 24. nedēļā pacientu grupā, kuri </w:t>
      </w:r>
      <w:r w:rsidRPr="007668E5">
        <w:rPr>
          <w:szCs w:val="22"/>
          <w:lang w:val="lv-LV" w:eastAsia="lv-LV"/>
        </w:rPr>
        <w:t>subkutāni katru otro nedēļu</w:t>
      </w:r>
      <w:r>
        <w:rPr>
          <w:szCs w:val="22"/>
          <w:lang w:val="lv-LV" w:eastAsia="lv-LV"/>
        </w:rPr>
        <w:t xml:space="preserve"> saņēma tocilizumabu, ACR 20 bija 60,9%, ACR 50 bija 39,8% un ACR 70 bija 19,7%, salīdzinot ar ACR 20 31,5%, ACR 50 12,3% un ACR 70 5,0% placebo grupā. Pacientiem vidējais DAS28 sākotnēji bija 6,7 subkutānās terapijas grupā un 6,6 placebo grupā. 24. nedēļā novēroja nozīmīgu DAS28 samazināšanos, salīdzinot ar sākotnējo – par 3,1 subkutānās terapijas grupā un par 1,7 placebo grupā, un DAS28 </w:t>
      </w:r>
      <w:r w:rsidRPr="007668E5">
        <w:rPr>
          <w:szCs w:val="22"/>
          <w:lang w:val="lv-LV" w:eastAsia="lv-LV"/>
        </w:rPr>
        <w:t>&lt;</w:t>
      </w:r>
      <w:r>
        <w:rPr>
          <w:szCs w:val="22"/>
          <w:lang w:val="lv-LV" w:eastAsia="lv-LV"/>
        </w:rPr>
        <w:t> </w:t>
      </w:r>
      <w:r w:rsidRPr="007668E5">
        <w:rPr>
          <w:szCs w:val="22"/>
          <w:lang w:val="lv-LV" w:eastAsia="lv-LV"/>
        </w:rPr>
        <w:t>2,6 novēroja</w:t>
      </w:r>
      <w:r>
        <w:rPr>
          <w:szCs w:val="22"/>
          <w:lang w:val="lv-LV" w:eastAsia="lv-LV"/>
        </w:rPr>
        <w:t xml:space="preserve"> 32,0% pacientu subkutānās terapijas grupā un 4,0% pacientu placebo grupā.</w:t>
      </w:r>
    </w:p>
    <w:p w14:paraId="346602A3" w14:textId="77777777" w:rsidR="00A453C3" w:rsidRPr="00DD7A4F" w:rsidRDefault="00A453C3" w:rsidP="00A453C3">
      <w:pPr>
        <w:ind w:right="-2"/>
        <w:rPr>
          <w:szCs w:val="22"/>
          <w:lang w:val="lv-LV"/>
        </w:rPr>
      </w:pPr>
    </w:p>
    <w:p w14:paraId="487FE448" w14:textId="77777777" w:rsidR="00A453C3" w:rsidRPr="00707120" w:rsidRDefault="00A453C3" w:rsidP="00707120">
      <w:pPr>
        <w:keepNext/>
        <w:ind w:right="-2"/>
        <w:rPr>
          <w:szCs w:val="22"/>
          <w:u w:val="single"/>
          <w:lang w:val="lv-LV"/>
        </w:rPr>
      </w:pPr>
      <w:r w:rsidRPr="00707120">
        <w:rPr>
          <w:i/>
          <w:szCs w:val="22"/>
          <w:u w:val="single"/>
          <w:lang w:val="lv-LV"/>
        </w:rPr>
        <w:t>Ar veselību un dzīves kvalitātes saistītie iznākumi</w:t>
      </w:r>
    </w:p>
    <w:p w14:paraId="6D65796B" w14:textId="608A5A5B" w:rsidR="00A453C3" w:rsidRPr="00DD7A4F" w:rsidRDefault="00A453C3" w:rsidP="00A453C3">
      <w:pPr>
        <w:ind w:right="-2"/>
        <w:rPr>
          <w:szCs w:val="22"/>
          <w:lang w:val="lv-LV"/>
        </w:rPr>
      </w:pPr>
      <w:r w:rsidRPr="00DD7A4F">
        <w:rPr>
          <w:szCs w:val="22"/>
          <w:lang w:val="lv-LV"/>
        </w:rPr>
        <w:t>Pētījumā SC</w:t>
      </w:r>
      <w:r w:rsidRPr="00DD7A4F">
        <w:rPr>
          <w:szCs w:val="22"/>
          <w:lang w:val="lv-LV"/>
        </w:rPr>
        <w:noBreakHyphen/>
        <w:t xml:space="preserve">I </w:t>
      </w:r>
      <w:r w:rsidRPr="006B62E6">
        <w:rPr>
          <w:szCs w:val="22"/>
          <w:lang w:val="lv-LV"/>
        </w:rPr>
        <w:t>vidējā HAQ</w:t>
      </w:r>
      <w:r w:rsidRPr="006B62E6">
        <w:rPr>
          <w:szCs w:val="22"/>
          <w:lang w:val="lv-LV"/>
        </w:rPr>
        <w:noBreakHyphen/>
        <w:t>DI samazināšanās no sākotnējā stāvokļa līdz 24. nedēļai gan subkutāni lietotā, gan intravenozi lietotā tocilizumaba grupā bija 0,6. To pacientu procentuālais īpatsvars, kuriem 24. nedēļā panākta klīniski nozīmīga HAQ</w:t>
      </w:r>
      <w:r w:rsidRPr="006B62E6">
        <w:rPr>
          <w:szCs w:val="22"/>
          <w:lang w:val="lv-LV"/>
        </w:rPr>
        <w:noBreakHyphen/>
        <w:t xml:space="preserve">DI uzlabošanās (izmaiņas no sākotnējā stāvokļa ≥ 0,3 vienības) subkutāni (62,5%) un intravenozi (67,4%) lietotā </w:t>
      </w:r>
      <w:r>
        <w:rPr>
          <w:szCs w:val="22"/>
          <w:lang w:val="lv-LV"/>
        </w:rPr>
        <w:t xml:space="preserve">tocilizumaba </w:t>
      </w:r>
      <w:r w:rsidRPr="006B62E6">
        <w:rPr>
          <w:szCs w:val="22"/>
          <w:lang w:val="lv-LV"/>
        </w:rPr>
        <w:t>grupā bija līdzīgs, un svērtā procentuālā īpatsvara</w:t>
      </w:r>
      <w:r w:rsidRPr="00DD7A4F">
        <w:rPr>
          <w:szCs w:val="22"/>
          <w:lang w:val="lv-LV"/>
        </w:rPr>
        <w:t xml:space="preserve"> starpība bija </w:t>
      </w:r>
      <w:r>
        <w:rPr>
          <w:szCs w:val="22"/>
          <w:lang w:val="lv-LV"/>
        </w:rPr>
        <w:noBreakHyphen/>
      </w:r>
      <w:r w:rsidRPr="00DD7A4F">
        <w:rPr>
          <w:szCs w:val="22"/>
          <w:lang w:val="lv-LV"/>
        </w:rPr>
        <w:t>2,3% (95% TI</w:t>
      </w:r>
      <w:r>
        <w:rPr>
          <w:szCs w:val="22"/>
          <w:lang w:val="lv-LV"/>
        </w:rPr>
        <w:t>:</w:t>
      </w:r>
      <w:r w:rsidRPr="00DD7A4F">
        <w:rPr>
          <w:szCs w:val="22"/>
          <w:lang w:val="lv-LV"/>
        </w:rPr>
        <w:t xml:space="preserve"> </w:t>
      </w:r>
      <w:r>
        <w:rPr>
          <w:szCs w:val="22"/>
          <w:lang w:val="lv-LV"/>
        </w:rPr>
        <w:noBreakHyphen/>
      </w:r>
      <w:r w:rsidRPr="00DD7A4F">
        <w:rPr>
          <w:szCs w:val="22"/>
          <w:lang w:val="lv-LV"/>
        </w:rPr>
        <w:t>8,1</w:t>
      </w:r>
      <w:r>
        <w:rPr>
          <w:szCs w:val="22"/>
          <w:lang w:val="lv-LV"/>
        </w:rPr>
        <w:t>;</w:t>
      </w:r>
      <w:r w:rsidRPr="00DD7A4F">
        <w:rPr>
          <w:szCs w:val="22"/>
          <w:lang w:val="lv-LV"/>
        </w:rPr>
        <w:t xml:space="preserve"> 3,4). Vērtējot pēc SF</w:t>
      </w:r>
      <w:r w:rsidRPr="00DD7A4F">
        <w:rPr>
          <w:szCs w:val="22"/>
          <w:lang w:val="lv-LV"/>
        </w:rPr>
        <w:noBreakHyphen/>
        <w:t xml:space="preserve">36, psihiskā komponenta skalas vidējā starpība 24. nedēļā, salīdzinot ar pētījuma sākumu, bija 6,22 subkutāni lietotā tocilizumaba grupā un 6,54 intravenozi lietotā tocilizumaba grupā, un arī fiziskā komponenta skalas izmaiņas bija līdzīgas – 9,49 subkutāni lietotā tocilizumaba grupā un 9,65 intravenozi lietotā tocilizumaba grupā. </w:t>
      </w:r>
    </w:p>
    <w:p w14:paraId="68EFE0D9" w14:textId="77777777" w:rsidR="00A453C3" w:rsidRPr="00DD7A4F" w:rsidRDefault="00A453C3" w:rsidP="00A453C3">
      <w:pPr>
        <w:suppressAutoHyphens w:val="0"/>
        <w:rPr>
          <w:rFonts w:eastAsia="MS PGothic"/>
          <w:color w:val="000000"/>
          <w:szCs w:val="22"/>
          <w:lang w:val="lv-LV" w:eastAsia="ja-JP"/>
        </w:rPr>
      </w:pPr>
    </w:p>
    <w:p w14:paraId="5591E316" w14:textId="07F84D3A" w:rsidR="00A453C3" w:rsidRDefault="00A453C3" w:rsidP="00A453C3">
      <w:pPr>
        <w:ind w:right="-2"/>
        <w:rPr>
          <w:szCs w:val="22"/>
          <w:lang w:val="lv-LV" w:eastAsia="lv-LV"/>
        </w:rPr>
      </w:pPr>
      <w:r>
        <w:rPr>
          <w:szCs w:val="22"/>
          <w:lang w:val="lv-LV" w:eastAsia="lv-LV"/>
        </w:rPr>
        <w:t xml:space="preserve">Pētījumā SC-II pacientiem, kuri </w:t>
      </w:r>
      <w:r w:rsidRPr="007668E5">
        <w:rPr>
          <w:szCs w:val="22"/>
          <w:lang w:val="lv-LV" w:eastAsia="lv-LV"/>
        </w:rPr>
        <w:t>subkutāni katru otro nedēļu</w:t>
      </w:r>
      <w:r>
        <w:rPr>
          <w:szCs w:val="22"/>
          <w:lang w:val="lv-LV" w:eastAsia="lv-LV"/>
        </w:rPr>
        <w:t xml:space="preserve"> saņēma tocilizumabu</w:t>
      </w:r>
      <w:r w:rsidRPr="007668E5">
        <w:rPr>
          <w:szCs w:val="22"/>
          <w:lang w:val="lv-LV" w:eastAsia="lv-LV"/>
        </w:rPr>
        <w:t>, vidējā HAQ-DI samazināšanās līdz 24.</w:t>
      </w:r>
      <w:r>
        <w:rPr>
          <w:szCs w:val="22"/>
          <w:lang w:val="lv-LV" w:eastAsia="lv-LV"/>
        </w:rPr>
        <w:t> </w:t>
      </w:r>
      <w:r w:rsidRPr="007668E5">
        <w:rPr>
          <w:szCs w:val="22"/>
          <w:lang w:val="lv-LV" w:eastAsia="lv-LV"/>
        </w:rPr>
        <w:t>nedēļai, salīdzinot ar sākotnējo stāvokli, bija nozīmīgi lielāka (0,4) nekā placebo grupā (0,3). Pacientu procentuālais īpatsvars, kuri sasniedza klīniski nozīmīgu HAQ-DI samazināšanos 24.</w:t>
      </w:r>
      <w:r>
        <w:rPr>
          <w:szCs w:val="22"/>
          <w:lang w:val="lv-LV" w:eastAsia="lv-LV"/>
        </w:rPr>
        <w:t> </w:t>
      </w:r>
      <w:r w:rsidRPr="007668E5">
        <w:rPr>
          <w:szCs w:val="22"/>
          <w:lang w:val="lv-LV" w:eastAsia="lv-LV"/>
        </w:rPr>
        <w:t>nedēļā (izmaiņas no sākotnējā stāvokļa ≥</w:t>
      </w:r>
      <w:r>
        <w:rPr>
          <w:szCs w:val="22"/>
          <w:lang w:val="lv-LV" w:eastAsia="lv-LV"/>
        </w:rPr>
        <w:t> </w:t>
      </w:r>
      <w:r w:rsidRPr="007668E5">
        <w:rPr>
          <w:szCs w:val="22"/>
          <w:lang w:val="lv-LV" w:eastAsia="lv-LV"/>
        </w:rPr>
        <w:t>0,3</w:t>
      </w:r>
      <w:r>
        <w:rPr>
          <w:szCs w:val="22"/>
          <w:lang w:val="lv-LV" w:eastAsia="lv-LV"/>
        </w:rPr>
        <w:t> </w:t>
      </w:r>
      <w:r w:rsidRPr="007668E5">
        <w:rPr>
          <w:szCs w:val="22"/>
          <w:lang w:val="lv-LV" w:eastAsia="lv-LV"/>
        </w:rPr>
        <w:t xml:space="preserve">vienībām), </w:t>
      </w:r>
      <w:r>
        <w:rPr>
          <w:szCs w:val="22"/>
          <w:lang w:val="lv-LV" w:eastAsia="lv-LV"/>
        </w:rPr>
        <w:t xml:space="preserve">subkutānās terapijas </w:t>
      </w:r>
      <w:r w:rsidRPr="007668E5">
        <w:rPr>
          <w:szCs w:val="22"/>
          <w:lang w:val="lv-LV" w:eastAsia="lv-LV"/>
        </w:rPr>
        <w:t xml:space="preserve">grupā (58%) bija lielāks nekā placebo grupā (46,8%). SF-36 (garīgo un fizisko komponenšu punktu skaita vidējās izmaiņas) bija nozīmīgi lielākas grupā, kurā </w:t>
      </w:r>
      <w:r>
        <w:rPr>
          <w:szCs w:val="22"/>
          <w:lang w:val="lv-LV" w:eastAsia="lv-LV"/>
        </w:rPr>
        <w:t>tocilizumabu</w:t>
      </w:r>
      <w:r w:rsidRPr="007668E5">
        <w:rPr>
          <w:szCs w:val="22"/>
          <w:lang w:val="lv-LV" w:eastAsia="lv-LV"/>
        </w:rPr>
        <w:t xml:space="preserve"> ievadīja subkutāni (6,5 un 5,3)</w:t>
      </w:r>
      <w:r>
        <w:rPr>
          <w:szCs w:val="22"/>
          <w:lang w:val="lv-LV" w:eastAsia="lv-LV"/>
        </w:rPr>
        <w:t>,</w:t>
      </w:r>
      <w:r w:rsidRPr="007668E5">
        <w:rPr>
          <w:szCs w:val="22"/>
          <w:lang w:val="lv-LV" w:eastAsia="lv-LV"/>
        </w:rPr>
        <w:t xml:space="preserve"> salīdzinot ar placebo </w:t>
      </w:r>
      <w:r>
        <w:rPr>
          <w:szCs w:val="22"/>
          <w:lang w:val="lv-LV" w:eastAsia="lv-LV"/>
        </w:rPr>
        <w:t>(3,8 un 2,9).</w:t>
      </w:r>
    </w:p>
    <w:p w14:paraId="58C19F4D" w14:textId="77777777" w:rsidR="00A453C3" w:rsidRPr="00D64D62" w:rsidRDefault="00A453C3" w:rsidP="00A453C3">
      <w:pPr>
        <w:pStyle w:val="Standard"/>
        <w:rPr>
          <w:rFonts w:eastAsia="MS PGothic"/>
          <w:color w:val="000000"/>
          <w:szCs w:val="22"/>
          <w:lang w:val="lv-LV"/>
        </w:rPr>
      </w:pPr>
    </w:p>
    <w:p w14:paraId="170944C9" w14:textId="77777777" w:rsidR="00A453C3" w:rsidRPr="00D64D62" w:rsidRDefault="00A453C3" w:rsidP="00707120">
      <w:pPr>
        <w:pStyle w:val="Standard"/>
        <w:keepNext/>
        <w:rPr>
          <w:u w:val="single"/>
          <w:lang w:val="lv-LV" w:eastAsia="de-DE"/>
        </w:rPr>
      </w:pPr>
      <w:r w:rsidRPr="00D64D62">
        <w:rPr>
          <w:u w:val="single"/>
          <w:lang w:val="lv-LV" w:eastAsia="de-DE"/>
        </w:rPr>
        <w:t>Subkutāna lietošana</w:t>
      </w:r>
    </w:p>
    <w:p w14:paraId="59A09781" w14:textId="77777777" w:rsidR="00A453C3" w:rsidRDefault="00A453C3" w:rsidP="00707120">
      <w:pPr>
        <w:pStyle w:val="Standard"/>
        <w:keepNext/>
        <w:rPr>
          <w:ins w:id="1064" w:author="Author"/>
          <w:bCs/>
          <w:i/>
          <w:iCs/>
          <w:lang w:val="lv-LV" w:eastAsia="de-DE"/>
        </w:rPr>
      </w:pPr>
      <w:r w:rsidRPr="00707120">
        <w:rPr>
          <w:bCs/>
          <w:i/>
          <w:iCs/>
          <w:lang w:val="lv-LV" w:eastAsia="de-DE"/>
        </w:rPr>
        <w:t>Pacienti ar sJIA</w:t>
      </w:r>
    </w:p>
    <w:p w14:paraId="31BF3A2E" w14:textId="77777777" w:rsidR="00435777" w:rsidRPr="00707120" w:rsidRDefault="00435777" w:rsidP="00707120">
      <w:pPr>
        <w:pStyle w:val="Standard"/>
        <w:keepNext/>
        <w:rPr>
          <w:bCs/>
          <w:i/>
          <w:iCs/>
          <w:lang w:val="lv-LV" w:eastAsia="de-DE"/>
        </w:rPr>
      </w:pPr>
    </w:p>
    <w:p w14:paraId="00E10A75" w14:textId="77777777" w:rsidR="00A453C3" w:rsidRPr="00707120" w:rsidRDefault="00A453C3" w:rsidP="00707120">
      <w:pPr>
        <w:pStyle w:val="Standard"/>
        <w:keepNext/>
        <w:rPr>
          <w:i/>
          <w:iCs/>
          <w:u w:val="single"/>
          <w:lang w:val="lv-LV" w:eastAsia="de-DE"/>
        </w:rPr>
      </w:pPr>
      <w:r w:rsidRPr="00707120">
        <w:rPr>
          <w:i/>
          <w:iCs/>
          <w:u w:val="single"/>
          <w:lang w:val="lv-LV" w:eastAsia="de-DE"/>
        </w:rPr>
        <w:t>Klīniskā efektivitāte</w:t>
      </w:r>
    </w:p>
    <w:p w14:paraId="545ACEC5" w14:textId="196CB026" w:rsidR="00A453C3" w:rsidRPr="007668E5" w:rsidRDefault="00A453C3" w:rsidP="00A453C3">
      <w:pPr>
        <w:rPr>
          <w:lang w:val="lv-LV"/>
        </w:rPr>
      </w:pPr>
      <w:r w:rsidRPr="007668E5">
        <w:rPr>
          <w:lang w:val="lv-LV"/>
        </w:rPr>
        <w:t>52</w:t>
      </w:r>
      <w:r>
        <w:rPr>
          <w:lang w:val="lv-LV"/>
        </w:rPr>
        <w:t> </w:t>
      </w:r>
      <w:r w:rsidRPr="007668E5">
        <w:rPr>
          <w:lang w:val="lv-LV"/>
        </w:rPr>
        <w:t xml:space="preserve">nedēļas ilgs, atklāts, daudzcentru FK/FD un drošuma pētījums (WA28118) tika veikts </w:t>
      </w:r>
      <w:r>
        <w:rPr>
          <w:lang w:val="lv-LV"/>
        </w:rPr>
        <w:t xml:space="preserve">ar </w:t>
      </w:r>
      <w:r w:rsidRPr="007668E5">
        <w:rPr>
          <w:lang w:val="lv-LV"/>
        </w:rPr>
        <w:t>pediatriskiem pacientiem vecumā no 1</w:t>
      </w:r>
      <w:r>
        <w:rPr>
          <w:lang w:val="lv-LV"/>
        </w:rPr>
        <w:t> </w:t>
      </w:r>
      <w:r w:rsidRPr="007668E5">
        <w:rPr>
          <w:lang w:val="lv-LV"/>
        </w:rPr>
        <w:t xml:space="preserve">līdz 17 gadiem ar sJIA, lai noteiktu atbilstošu </w:t>
      </w:r>
      <w:r>
        <w:rPr>
          <w:lang w:val="lv-LV"/>
        </w:rPr>
        <w:t>subkutānu tocilizumaba</w:t>
      </w:r>
      <w:r w:rsidRPr="007668E5">
        <w:rPr>
          <w:lang w:val="lv-LV"/>
        </w:rPr>
        <w:t xml:space="preserve"> devu, kas nodrošinātu ar </w:t>
      </w:r>
      <w:r>
        <w:rPr>
          <w:lang w:val="lv-LV"/>
        </w:rPr>
        <w:t>intravenozās lietošanas</w:t>
      </w:r>
      <w:r w:rsidRPr="007668E5">
        <w:rPr>
          <w:lang w:val="lv-LV"/>
        </w:rPr>
        <w:t xml:space="preserve"> shēmu salīdzināmus FK/FD un drošuma rādītājus. </w:t>
      </w:r>
    </w:p>
    <w:p w14:paraId="3ABB321C" w14:textId="77777777" w:rsidR="00A453C3" w:rsidRPr="007668E5" w:rsidRDefault="00A453C3" w:rsidP="00A453C3">
      <w:pPr>
        <w:rPr>
          <w:lang w:val="lv-LV"/>
        </w:rPr>
      </w:pPr>
    </w:p>
    <w:p w14:paraId="3A7E399C" w14:textId="5973F88E" w:rsidR="00A453C3" w:rsidRPr="002607ED" w:rsidRDefault="00A453C3" w:rsidP="00A453C3">
      <w:pPr>
        <w:rPr>
          <w:lang w:val="lv-LV"/>
        </w:rPr>
      </w:pPr>
      <w:r w:rsidRPr="007668E5">
        <w:rPr>
          <w:lang w:val="lv-LV"/>
        </w:rPr>
        <w:t xml:space="preserve">Pētījumam piemērotie </w:t>
      </w:r>
      <w:r w:rsidRPr="002607ED">
        <w:rPr>
          <w:lang w:val="lv-LV"/>
        </w:rPr>
        <w:t xml:space="preserve">pacienti saņēma </w:t>
      </w:r>
      <w:r>
        <w:rPr>
          <w:lang w:val="lv-LV"/>
        </w:rPr>
        <w:t>tocilizumabu</w:t>
      </w:r>
      <w:r w:rsidRPr="002607ED">
        <w:rPr>
          <w:lang w:val="lv-LV"/>
        </w:rPr>
        <w:t xml:space="preserve"> atbilstoši ķermeņa masai; pacienti, kuru ķermeņa masa bija ≥</w:t>
      </w:r>
      <w:r>
        <w:rPr>
          <w:lang w:val="lv-LV"/>
        </w:rPr>
        <w:t> </w:t>
      </w:r>
      <w:r w:rsidRPr="002607ED">
        <w:rPr>
          <w:lang w:val="lv-LV"/>
        </w:rPr>
        <w:t>30</w:t>
      </w:r>
      <w:r>
        <w:rPr>
          <w:lang w:val="lv-LV"/>
        </w:rPr>
        <w:t> </w:t>
      </w:r>
      <w:r w:rsidRPr="002607ED">
        <w:rPr>
          <w:lang w:val="lv-LV"/>
        </w:rPr>
        <w:t xml:space="preserve">kg (n=26), saņēma </w:t>
      </w:r>
      <w:r>
        <w:rPr>
          <w:lang w:val="lv-LV"/>
        </w:rPr>
        <w:t xml:space="preserve">tocilizumaba </w:t>
      </w:r>
      <w:r w:rsidRPr="002607ED">
        <w:rPr>
          <w:lang w:val="lv-LV"/>
        </w:rPr>
        <w:t>162</w:t>
      </w:r>
      <w:r>
        <w:rPr>
          <w:lang w:val="lv-LV"/>
        </w:rPr>
        <w:t> </w:t>
      </w:r>
      <w:r w:rsidRPr="002607ED">
        <w:rPr>
          <w:lang w:val="lv-LV"/>
        </w:rPr>
        <w:t xml:space="preserve">mg </w:t>
      </w:r>
      <w:r>
        <w:rPr>
          <w:lang w:val="lv-LV"/>
        </w:rPr>
        <w:t>devu</w:t>
      </w:r>
      <w:r w:rsidRPr="002607ED">
        <w:rPr>
          <w:lang w:val="lv-LV"/>
        </w:rPr>
        <w:t xml:space="preserve"> katru nedēļu (QW), bet pacienti, kuru ķermeņa masa bija mazāka par 30</w:t>
      </w:r>
      <w:r>
        <w:rPr>
          <w:lang w:val="lv-LV"/>
        </w:rPr>
        <w:t> </w:t>
      </w:r>
      <w:r w:rsidRPr="002607ED">
        <w:rPr>
          <w:lang w:val="lv-LV"/>
        </w:rPr>
        <w:t xml:space="preserve">kg (n=25), saņēma </w:t>
      </w:r>
      <w:r>
        <w:rPr>
          <w:lang w:val="lv-LV"/>
        </w:rPr>
        <w:t xml:space="preserve">tocilizumaba </w:t>
      </w:r>
      <w:r w:rsidRPr="002607ED">
        <w:rPr>
          <w:lang w:val="lv-LV"/>
        </w:rPr>
        <w:t>162</w:t>
      </w:r>
      <w:r>
        <w:rPr>
          <w:lang w:val="lv-LV"/>
        </w:rPr>
        <w:t> </w:t>
      </w:r>
      <w:r w:rsidRPr="002607ED">
        <w:rPr>
          <w:lang w:val="lv-LV"/>
        </w:rPr>
        <w:t xml:space="preserve">mg </w:t>
      </w:r>
      <w:r>
        <w:rPr>
          <w:lang w:val="lv-LV"/>
        </w:rPr>
        <w:t>devu</w:t>
      </w:r>
      <w:r w:rsidRPr="002607ED">
        <w:rPr>
          <w:lang w:val="lv-LV"/>
        </w:rPr>
        <w:t xml:space="preserve"> ik pēc 10</w:t>
      </w:r>
      <w:r>
        <w:rPr>
          <w:lang w:val="lv-LV"/>
        </w:rPr>
        <w:t> </w:t>
      </w:r>
      <w:r w:rsidRPr="002607ED">
        <w:rPr>
          <w:lang w:val="lv-LV"/>
        </w:rPr>
        <w:t>dienām (Q10D; n=8) vai ik pēc 2</w:t>
      </w:r>
      <w:r>
        <w:rPr>
          <w:lang w:val="lv-LV"/>
        </w:rPr>
        <w:t> </w:t>
      </w:r>
      <w:r w:rsidRPr="002607ED">
        <w:rPr>
          <w:lang w:val="lv-LV"/>
        </w:rPr>
        <w:t>nedēļām (Q2W; n=17) 52</w:t>
      </w:r>
      <w:r>
        <w:rPr>
          <w:lang w:val="lv-LV"/>
        </w:rPr>
        <w:t> </w:t>
      </w:r>
      <w:r w:rsidRPr="002607ED">
        <w:rPr>
          <w:lang w:val="lv-LV"/>
        </w:rPr>
        <w:t>nedēļ</w:t>
      </w:r>
      <w:r>
        <w:rPr>
          <w:lang w:val="lv-LV"/>
        </w:rPr>
        <w:t>as</w:t>
      </w:r>
      <w:r w:rsidRPr="002607ED">
        <w:rPr>
          <w:lang w:val="lv-LV"/>
        </w:rPr>
        <w:t>. No šī 51</w:t>
      </w:r>
      <w:r>
        <w:rPr>
          <w:lang w:val="lv-LV"/>
        </w:rPr>
        <w:t> </w:t>
      </w:r>
      <w:r w:rsidRPr="002607ED">
        <w:rPr>
          <w:lang w:val="lv-LV"/>
        </w:rPr>
        <w:t xml:space="preserve">pacienta 26 (51%) iepriekš nebija saņēmuši </w:t>
      </w:r>
      <w:r>
        <w:rPr>
          <w:lang w:val="lv-LV"/>
        </w:rPr>
        <w:t>tocilizumabu</w:t>
      </w:r>
      <w:r w:rsidRPr="002607ED">
        <w:rPr>
          <w:lang w:val="lv-LV"/>
        </w:rPr>
        <w:t xml:space="preserve">, bet 25 (49%) </w:t>
      </w:r>
      <w:r>
        <w:rPr>
          <w:lang w:val="lv-LV"/>
        </w:rPr>
        <w:t xml:space="preserve">tocilizumabu </w:t>
      </w:r>
      <w:r w:rsidRPr="002607ED">
        <w:rPr>
          <w:lang w:val="lv-LV"/>
        </w:rPr>
        <w:t xml:space="preserve">bija saņēmuši </w:t>
      </w:r>
      <w:r>
        <w:rPr>
          <w:lang w:val="lv-LV"/>
        </w:rPr>
        <w:t>intravenozi</w:t>
      </w:r>
      <w:r w:rsidRPr="002607ED">
        <w:rPr>
          <w:lang w:val="lv-LV"/>
        </w:rPr>
        <w:t xml:space="preserve"> un, sākoties pētījumam, </w:t>
      </w:r>
      <w:r>
        <w:rPr>
          <w:lang w:val="lv-LV"/>
        </w:rPr>
        <w:t xml:space="preserve">tocilizumabu </w:t>
      </w:r>
      <w:r w:rsidRPr="002607ED">
        <w:rPr>
          <w:lang w:val="lv-LV"/>
        </w:rPr>
        <w:t xml:space="preserve">sāka saņemt </w:t>
      </w:r>
      <w:r>
        <w:rPr>
          <w:lang w:val="lv-LV"/>
        </w:rPr>
        <w:t>subkutāni</w:t>
      </w:r>
      <w:r w:rsidRPr="002607ED">
        <w:rPr>
          <w:lang w:val="lv-LV"/>
        </w:rPr>
        <w:t>.</w:t>
      </w:r>
    </w:p>
    <w:p w14:paraId="1774DC8F" w14:textId="77777777" w:rsidR="00A453C3" w:rsidRPr="002607ED" w:rsidRDefault="00A453C3" w:rsidP="00A453C3">
      <w:pPr>
        <w:rPr>
          <w:lang w:val="lv-LV"/>
        </w:rPr>
      </w:pPr>
    </w:p>
    <w:p w14:paraId="793E06FA" w14:textId="606A8940" w:rsidR="00A453C3" w:rsidRPr="002607ED" w:rsidRDefault="00A453C3" w:rsidP="00A453C3">
      <w:pPr>
        <w:rPr>
          <w:lang w:val="lv-LV"/>
        </w:rPr>
      </w:pPr>
      <w:r w:rsidRPr="002607ED">
        <w:rPr>
          <w:lang w:val="lv-LV"/>
        </w:rPr>
        <w:t xml:space="preserve">Pētnieciskie </w:t>
      </w:r>
      <w:r w:rsidRPr="007668E5">
        <w:rPr>
          <w:lang w:val="lv-LV"/>
        </w:rPr>
        <w:t xml:space="preserve">efektivitātes rezultāti liecināja, ka </w:t>
      </w:r>
      <w:r>
        <w:rPr>
          <w:lang w:val="lv-LV"/>
        </w:rPr>
        <w:t>subkutāni lietojamais tocilizumabs</w:t>
      </w:r>
      <w:r w:rsidRPr="007668E5">
        <w:rPr>
          <w:lang w:val="lv-LV"/>
        </w:rPr>
        <w:t xml:space="preserve"> uzlaboja visus pētnieciskos efektivitātes rādītājus, tajā skaitā Juvenil</w:t>
      </w:r>
      <w:r>
        <w:rPr>
          <w:lang w:val="lv-LV"/>
        </w:rPr>
        <w:t>ā</w:t>
      </w:r>
      <w:r w:rsidRPr="007668E5">
        <w:rPr>
          <w:lang w:val="lv-LV"/>
        </w:rPr>
        <w:t xml:space="preserve"> artrīta slimības aktivitātes indeksa (</w:t>
      </w:r>
      <w:r w:rsidRPr="007668E5">
        <w:rPr>
          <w:i/>
          <w:lang w:val="lv-LV"/>
        </w:rPr>
        <w:t>Juvenile Arthritis Disease Activity Score</w:t>
      </w:r>
      <w:r w:rsidRPr="007668E5">
        <w:rPr>
          <w:lang w:val="lv-LV"/>
        </w:rPr>
        <w:t>, JADAS)</w:t>
      </w:r>
      <w:r>
        <w:rPr>
          <w:lang w:val="lv-LV"/>
        </w:rPr>
        <w:noBreakHyphen/>
      </w:r>
      <w:r w:rsidRPr="007668E5">
        <w:rPr>
          <w:lang w:val="lv-LV"/>
        </w:rPr>
        <w:t xml:space="preserve">71 rādītāju, iepriekš ar </w:t>
      </w:r>
      <w:r>
        <w:rPr>
          <w:lang w:val="lv-LV"/>
        </w:rPr>
        <w:t>tocilizumabu</w:t>
      </w:r>
      <w:r w:rsidRPr="007668E5">
        <w:rPr>
          <w:lang w:val="lv-LV"/>
        </w:rPr>
        <w:t xml:space="preserve"> neārstētiem pacientiem un visā pētījuma laikā saglabāja visus pētnieciskos efektivitātes rādītājus</w:t>
      </w:r>
      <w:r w:rsidRPr="002607ED">
        <w:rPr>
          <w:lang w:val="lv-LV"/>
        </w:rPr>
        <w:t xml:space="preserve"> pacientiem, kuriem </w:t>
      </w:r>
      <w:r>
        <w:rPr>
          <w:lang w:val="lv-LV"/>
        </w:rPr>
        <w:t xml:space="preserve">intravenoza tocilizumaba </w:t>
      </w:r>
      <w:r w:rsidRPr="002607ED">
        <w:rPr>
          <w:lang w:val="lv-LV"/>
        </w:rPr>
        <w:t xml:space="preserve">terapija tika mainīta uz </w:t>
      </w:r>
      <w:r>
        <w:rPr>
          <w:lang w:val="lv-LV"/>
        </w:rPr>
        <w:t>subkutānu tocilizumaba</w:t>
      </w:r>
      <w:r w:rsidRPr="002607ED">
        <w:rPr>
          <w:lang w:val="lv-LV"/>
        </w:rPr>
        <w:t xml:space="preserve"> terapiju, abās ķermeņa masas grupās (zem 30</w:t>
      </w:r>
      <w:r>
        <w:rPr>
          <w:lang w:val="lv-LV"/>
        </w:rPr>
        <w:t> </w:t>
      </w:r>
      <w:r w:rsidRPr="002607ED">
        <w:rPr>
          <w:lang w:val="lv-LV"/>
        </w:rPr>
        <w:t>kg un ≥</w:t>
      </w:r>
      <w:r>
        <w:rPr>
          <w:lang w:val="lv-LV"/>
        </w:rPr>
        <w:t> </w:t>
      </w:r>
      <w:r w:rsidRPr="002607ED">
        <w:rPr>
          <w:lang w:val="lv-LV"/>
        </w:rPr>
        <w:t>30</w:t>
      </w:r>
      <w:r>
        <w:rPr>
          <w:lang w:val="lv-LV"/>
        </w:rPr>
        <w:t> </w:t>
      </w:r>
      <w:r w:rsidRPr="002607ED">
        <w:rPr>
          <w:lang w:val="lv-LV"/>
        </w:rPr>
        <w:t>kg).</w:t>
      </w:r>
    </w:p>
    <w:p w14:paraId="5B9EAB64" w14:textId="77777777" w:rsidR="00A453C3" w:rsidRPr="00D64D62" w:rsidRDefault="00A453C3" w:rsidP="00A453C3">
      <w:pPr>
        <w:pStyle w:val="Standard"/>
        <w:rPr>
          <w:lang w:val="lv-LV" w:eastAsia="de-DE"/>
        </w:rPr>
      </w:pPr>
    </w:p>
    <w:p w14:paraId="7121FDDB" w14:textId="77777777" w:rsidR="00A453C3" w:rsidRPr="00D64D62" w:rsidRDefault="00A453C3" w:rsidP="00707120">
      <w:pPr>
        <w:pStyle w:val="Standard"/>
        <w:keepNext/>
        <w:rPr>
          <w:lang w:val="lv-LV" w:eastAsia="de-DE"/>
        </w:rPr>
      </w:pPr>
      <w:r w:rsidRPr="00D64D62">
        <w:rPr>
          <w:u w:val="single"/>
          <w:lang w:val="lv-LV" w:eastAsia="de-DE"/>
        </w:rPr>
        <w:t>Subkutāna lietošana</w:t>
      </w:r>
    </w:p>
    <w:p w14:paraId="4014B54B" w14:textId="59E3DD06" w:rsidR="00A453C3" w:rsidRDefault="00A453C3" w:rsidP="00707120">
      <w:pPr>
        <w:pStyle w:val="Standard"/>
        <w:keepNext/>
        <w:rPr>
          <w:ins w:id="1065" w:author="Author"/>
          <w:bCs/>
          <w:i/>
          <w:iCs/>
          <w:szCs w:val="22"/>
          <w:lang w:val="lv-LV"/>
        </w:rPr>
      </w:pPr>
      <w:r w:rsidRPr="00707120">
        <w:rPr>
          <w:bCs/>
          <w:i/>
          <w:iCs/>
          <w:szCs w:val="22"/>
          <w:lang w:val="lv-LV"/>
        </w:rPr>
        <w:t>Pacienti ar pJIA</w:t>
      </w:r>
      <w:del w:id="1066" w:author="Author">
        <w:r w:rsidRPr="00707120" w:rsidDel="00BB0320">
          <w:rPr>
            <w:bCs/>
            <w:i/>
            <w:iCs/>
            <w:szCs w:val="22"/>
            <w:lang w:val="lv-LV"/>
          </w:rPr>
          <w:delText xml:space="preserve"> </w:delText>
        </w:r>
      </w:del>
    </w:p>
    <w:p w14:paraId="7D25D9BF" w14:textId="77777777" w:rsidR="00435777" w:rsidRPr="00707120" w:rsidRDefault="00435777" w:rsidP="00707120">
      <w:pPr>
        <w:pStyle w:val="Standard"/>
        <w:keepNext/>
        <w:rPr>
          <w:bCs/>
          <w:i/>
          <w:iCs/>
          <w:szCs w:val="22"/>
          <w:lang w:val="lv-LV"/>
        </w:rPr>
      </w:pPr>
    </w:p>
    <w:p w14:paraId="757BC619" w14:textId="77777777" w:rsidR="00A453C3" w:rsidRPr="00707120" w:rsidRDefault="00A453C3" w:rsidP="00707120">
      <w:pPr>
        <w:pStyle w:val="Standard"/>
        <w:keepNext/>
        <w:rPr>
          <w:i/>
          <w:iCs/>
          <w:u w:val="single"/>
          <w:lang w:val="lv-LV" w:eastAsia="de-DE"/>
        </w:rPr>
      </w:pPr>
      <w:r w:rsidRPr="00707120">
        <w:rPr>
          <w:i/>
          <w:iCs/>
          <w:u w:val="single"/>
          <w:lang w:val="lv-LV" w:eastAsia="de-DE"/>
        </w:rPr>
        <w:t>Klīniskā efektivitāte</w:t>
      </w:r>
    </w:p>
    <w:p w14:paraId="286BB4B4" w14:textId="5720A7B0" w:rsidR="00A453C3" w:rsidRPr="007668E5" w:rsidRDefault="00A453C3" w:rsidP="00A453C3">
      <w:pPr>
        <w:keepNext/>
        <w:keepLines/>
        <w:rPr>
          <w:lang w:val="lv-LV"/>
        </w:rPr>
      </w:pPr>
      <w:r w:rsidRPr="007668E5">
        <w:rPr>
          <w:lang w:val="lv-LV"/>
        </w:rPr>
        <w:t>52</w:t>
      </w:r>
      <w:r>
        <w:rPr>
          <w:lang w:val="lv-LV"/>
        </w:rPr>
        <w:t> </w:t>
      </w:r>
      <w:r w:rsidRPr="007668E5">
        <w:rPr>
          <w:lang w:val="lv-LV"/>
        </w:rPr>
        <w:t>nedēļas ilgs, atklāts, daudzcentru FK/FD un drošuma pētījums tika veikts pediatriskiem pacientiem vecumā no 1</w:t>
      </w:r>
      <w:r>
        <w:rPr>
          <w:lang w:val="lv-LV"/>
        </w:rPr>
        <w:t> </w:t>
      </w:r>
      <w:r w:rsidRPr="007668E5">
        <w:rPr>
          <w:lang w:val="lv-LV"/>
        </w:rPr>
        <w:t xml:space="preserve">līdz 17 gadiem ar pJIA, lai noteiktu atbilstošu subkutānu </w:t>
      </w:r>
      <w:r>
        <w:rPr>
          <w:lang w:val="lv-LV"/>
        </w:rPr>
        <w:t>tocilizumaba</w:t>
      </w:r>
      <w:r w:rsidRPr="007668E5">
        <w:rPr>
          <w:lang w:val="lv-LV"/>
        </w:rPr>
        <w:t xml:space="preserve"> devu, kas nodrošinātu ar </w:t>
      </w:r>
      <w:r>
        <w:rPr>
          <w:lang w:val="lv-LV"/>
        </w:rPr>
        <w:t>intravenozas lietošanas</w:t>
      </w:r>
      <w:r w:rsidRPr="007668E5">
        <w:rPr>
          <w:lang w:val="lv-LV"/>
        </w:rPr>
        <w:t xml:space="preserve"> shēmu salīdzināmus FK/FD un drošuma rādītājus.</w:t>
      </w:r>
    </w:p>
    <w:p w14:paraId="47002E8A" w14:textId="77777777" w:rsidR="00A453C3" w:rsidRPr="007668E5" w:rsidRDefault="00A453C3" w:rsidP="00A453C3">
      <w:pPr>
        <w:rPr>
          <w:lang w:val="lv-LV"/>
        </w:rPr>
      </w:pPr>
    </w:p>
    <w:p w14:paraId="6D06331B" w14:textId="115D632F" w:rsidR="00A453C3" w:rsidRPr="009C5994" w:rsidRDefault="00A453C3" w:rsidP="00A453C3">
      <w:pPr>
        <w:rPr>
          <w:lang w:val="lv-LV"/>
        </w:rPr>
      </w:pPr>
      <w:r w:rsidRPr="007668E5">
        <w:rPr>
          <w:lang w:val="lv-LV"/>
        </w:rPr>
        <w:t xml:space="preserve">Pētījumam piemērotie </w:t>
      </w:r>
      <w:r w:rsidRPr="002607ED">
        <w:rPr>
          <w:lang w:val="lv-LV"/>
        </w:rPr>
        <w:t>pacienti saņēma tocilizum</w:t>
      </w:r>
      <w:r>
        <w:rPr>
          <w:lang w:val="lv-LV"/>
        </w:rPr>
        <w:t>a</w:t>
      </w:r>
      <w:r w:rsidRPr="002607ED">
        <w:rPr>
          <w:lang w:val="lv-LV"/>
        </w:rPr>
        <w:t>bu atbilstoši ķermeņa masai; pacienti, kuru ķermeņa masa bija</w:t>
      </w:r>
      <w:r>
        <w:rPr>
          <w:lang w:val="lv-LV"/>
        </w:rPr>
        <w:t> </w:t>
      </w:r>
      <w:r w:rsidRPr="00290EF7">
        <w:sym w:font="Symbol" w:char="F0B3"/>
      </w:r>
      <w:r w:rsidRPr="00707120">
        <w:rPr>
          <w:lang w:val="lv-LV"/>
        </w:rPr>
        <w:t> </w:t>
      </w:r>
      <w:r w:rsidRPr="009C5994">
        <w:rPr>
          <w:lang w:val="lv-LV"/>
        </w:rPr>
        <w:t>30</w:t>
      </w:r>
      <w:r>
        <w:rPr>
          <w:lang w:val="lv-LV"/>
        </w:rPr>
        <w:t> </w:t>
      </w:r>
      <w:r w:rsidRPr="009C5994">
        <w:rPr>
          <w:lang w:val="lv-LV"/>
        </w:rPr>
        <w:t>kg (n </w:t>
      </w:r>
      <w:r w:rsidRPr="00290EF7">
        <w:sym w:font="Symbol" w:char="F03D"/>
      </w:r>
      <w:r w:rsidRPr="009C5994">
        <w:rPr>
          <w:lang w:val="lv-LV"/>
        </w:rPr>
        <w:t xml:space="preserve"> 25), saņēma </w:t>
      </w:r>
      <w:r>
        <w:rPr>
          <w:lang w:val="lv-LV"/>
        </w:rPr>
        <w:t xml:space="preserve">tocilizumaba </w:t>
      </w:r>
      <w:r w:rsidRPr="009C5994">
        <w:rPr>
          <w:lang w:val="lv-LV"/>
        </w:rPr>
        <w:t>162</w:t>
      </w:r>
      <w:r>
        <w:rPr>
          <w:lang w:val="lv-LV"/>
        </w:rPr>
        <w:t> </w:t>
      </w:r>
      <w:r w:rsidRPr="009C5994">
        <w:rPr>
          <w:lang w:val="lv-LV"/>
        </w:rPr>
        <w:t xml:space="preserve">mg </w:t>
      </w:r>
      <w:r>
        <w:rPr>
          <w:lang w:val="lv-LV"/>
        </w:rPr>
        <w:t>devu</w:t>
      </w:r>
      <w:r w:rsidRPr="009C5994">
        <w:rPr>
          <w:lang w:val="lv-LV"/>
        </w:rPr>
        <w:t xml:space="preserve"> ik pēc 2</w:t>
      </w:r>
      <w:r>
        <w:rPr>
          <w:lang w:val="lv-LV"/>
        </w:rPr>
        <w:t> </w:t>
      </w:r>
      <w:r w:rsidRPr="009C5994">
        <w:rPr>
          <w:lang w:val="lv-LV"/>
        </w:rPr>
        <w:t>nedēļām (Q2W), bet pacienti, kuru ķermeņa masa bija mazāka par 30</w:t>
      </w:r>
      <w:r>
        <w:rPr>
          <w:lang w:val="lv-LV"/>
        </w:rPr>
        <w:t> </w:t>
      </w:r>
      <w:r w:rsidRPr="009C5994">
        <w:rPr>
          <w:lang w:val="lv-LV"/>
        </w:rPr>
        <w:t>kg (n </w:t>
      </w:r>
      <w:r w:rsidRPr="00290EF7">
        <w:sym w:font="Symbol" w:char="F03D"/>
      </w:r>
      <w:r w:rsidRPr="009C5994">
        <w:rPr>
          <w:lang w:val="lv-LV"/>
        </w:rPr>
        <w:t xml:space="preserve"> 27), saņēma </w:t>
      </w:r>
      <w:r>
        <w:rPr>
          <w:lang w:val="lv-LV"/>
        </w:rPr>
        <w:t xml:space="preserve">tocilizumaba </w:t>
      </w:r>
      <w:r w:rsidRPr="009C5994">
        <w:rPr>
          <w:lang w:val="lv-LV"/>
        </w:rPr>
        <w:t>162</w:t>
      </w:r>
      <w:r>
        <w:rPr>
          <w:lang w:val="lv-LV"/>
        </w:rPr>
        <w:t> </w:t>
      </w:r>
      <w:r w:rsidRPr="009C5994">
        <w:rPr>
          <w:lang w:val="lv-LV"/>
        </w:rPr>
        <w:t xml:space="preserve">mg </w:t>
      </w:r>
      <w:r>
        <w:rPr>
          <w:lang w:val="lv-LV"/>
        </w:rPr>
        <w:t xml:space="preserve">devu </w:t>
      </w:r>
      <w:r w:rsidRPr="009C5994">
        <w:rPr>
          <w:lang w:val="lv-LV"/>
        </w:rPr>
        <w:t>ik pēc 3</w:t>
      </w:r>
      <w:r>
        <w:rPr>
          <w:lang w:val="lv-LV"/>
        </w:rPr>
        <w:t> </w:t>
      </w:r>
      <w:r w:rsidRPr="009C5994">
        <w:rPr>
          <w:lang w:val="lv-LV"/>
        </w:rPr>
        <w:t>nedēļām (Q3W) 52</w:t>
      </w:r>
      <w:r>
        <w:rPr>
          <w:lang w:val="lv-LV"/>
        </w:rPr>
        <w:t> </w:t>
      </w:r>
      <w:r w:rsidRPr="009C5994">
        <w:rPr>
          <w:lang w:val="lv-LV"/>
        </w:rPr>
        <w:t>nedēļ</w:t>
      </w:r>
      <w:r>
        <w:rPr>
          <w:lang w:val="lv-LV"/>
        </w:rPr>
        <w:t>as</w:t>
      </w:r>
      <w:r w:rsidRPr="009C5994">
        <w:rPr>
          <w:lang w:val="lv-LV"/>
        </w:rPr>
        <w:t>. No šiem 52</w:t>
      </w:r>
      <w:r>
        <w:rPr>
          <w:lang w:val="lv-LV"/>
        </w:rPr>
        <w:t> </w:t>
      </w:r>
      <w:r w:rsidRPr="009C5994">
        <w:rPr>
          <w:lang w:val="lv-LV"/>
        </w:rPr>
        <w:t xml:space="preserve">pacientiem 37 (71%) iepriekš nebija saņēmuši </w:t>
      </w:r>
      <w:r>
        <w:rPr>
          <w:lang w:val="lv-LV"/>
        </w:rPr>
        <w:t>tocilizumabu</w:t>
      </w:r>
      <w:r w:rsidRPr="009C5994">
        <w:rPr>
          <w:lang w:val="lv-LV"/>
        </w:rPr>
        <w:t xml:space="preserve">, bet 15 (29%) </w:t>
      </w:r>
      <w:r>
        <w:rPr>
          <w:lang w:val="lv-LV"/>
        </w:rPr>
        <w:t xml:space="preserve">tocilizumabu </w:t>
      </w:r>
      <w:r w:rsidRPr="009C5994">
        <w:rPr>
          <w:lang w:val="lv-LV"/>
        </w:rPr>
        <w:t xml:space="preserve">bija saņēmuši </w:t>
      </w:r>
      <w:r>
        <w:rPr>
          <w:lang w:val="lv-LV"/>
        </w:rPr>
        <w:t>intravenozi</w:t>
      </w:r>
      <w:r w:rsidRPr="009C5994">
        <w:rPr>
          <w:lang w:val="lv-LV"/>
        </w:rPr>
        <w:t xml:space="preserve"> un, sākoties pētījumam, sāka </w:t>
      </w:r>
      <w:r>
        <w:rPr>
          <w:lang w:val="lv-LV"/>
        </w:rPr>
        <w:t xml:space="preserve">to </w:t>
      </w:r>
      <w:r w:rsidRPr="009C5994">
        <w:rPr>
          <w:lang w:val="lv-LV"/>
        </w:rPr>
        <w:t xml:space="preserve">saņemt </w:t>
      </w:r>
      <w:r>
        <w:rPr>
          <w:lang w:val="lv-LV"/>
        </w:rPr>
        <w:t>subkutāni</w:t>
      </w:r>
      <w:r w:rsidRPr="009C5994">
        <w:rPr>
          <w:lang w:val="lv-LV"/>
        </w:rPr>
        <w:t>.</w:t>
      </w:r>
    </w:p>
    <w:p w14:paraId="21E37DE2" w14:textId="77777777" w:rsidR="00A453C3" w:rsidRPr="009C5994" w:rsidRDefault="00A453C3" w:rsidP="00A453C3">
      <w:pPr>
        <w:jc w:val="both"/>
        <w:rPr>
          <w:lang w:val="lv-LV"/>
        </w:rPr>
      </w:pPr>
    </w:p>
    <w:p w14:paraId="2F61104F" w14:textId="0687392C" w:rsidR="00A453C3" w:rsidRPr="009C5994" w:rsidRDefault="00A453C3" w:rsidP="00A453C3">
      <w:pPr>
        <w:rPr>
          <w:iCs/>
          <w:lang w:val="lv-LV"/>
        </w:rPr>
      </w:pPr>
      <w:r>
        <w:rPr>
          <w:lang w:val="lv-LV"/>
        </w:rPr>
        <w:t>Tocilizumaba subkutānas lietošanas</w:t>
      </w:r>
      <w:r w:rsidRPr="009C5994">
        <w:rPr>
          <w:lang w:val="lv-LV"/>
        </w:rPr>
        <w:t xml:space="preserve"> shēmas, lietojot 162 mg </w:t>
      </w:r>
      <w:r>
        <w:rPr>
          <w:lang w:val="lv-LV"/>
        </w:rPr>
        <w:t xml:space="preserve">devu </w:t>
      </w:r>
      <w:r w:rsidRPr="009C5994">
        <w:rPr>
          <w:lang w:val="lv-LV"/>
        </w:rPr>
        <w:t xml:space="preserve">Q3W pacientiem, kuru ķermeņa masa </w:t>
      </w:r>
      <w:r>
        <w:rPr>
          <w:lang w:val="lv-LV"/>
        </w:rPr>
        <w:t>ir</w:t>
      </w:r>
      <w:r w:rsidRPr="009C5994">
        <w:rPr>
          <w:lang w:val="lv-LV"/>
        </w:rPr>
        <w:t xml:space="preserve"> </w:t>
      </w:r>
      <w:r>
        <w:rPr>
          <w:lang w:val="lv-LV"/>
        </w:rPr>
        <w:t xml:space="preserve">mazāka par </w:t>
      </w:r>
      <w:r w:rsidRPr="009C5994">
        <w:rPr>
          <w:lang w:val="lv-LV"/>
        </w:rPr>
        <w:t xml:space="preserve">30 kg, un 162 mg </w:t>
      </w:r>
      <w:r>
        <w:rPr>
          <w:lang w:val="lv-LV"/>
        </w:rPr>
        <w:t xml:space="preserve">devu </w:t>
      </w:r>
      <w:r w:rsidRPr="009C5994">
        <w:rPr>
          <w:lang w:val="lv-LV"/>
        </w:rPr>
        <w:t xml:space="preserve">Q2W pacientiem, kuru ķermeņa masa </w:t>
      </w:r>
      <w:r>
        <w:rPr>
          <w:lang w:val="lv-LV"/>
        </w:rPr>
        <w:t>ir</w:t>
      </w:r>
      <w:r w:rsidRPr="009C5994">
        <w:rPr>
          <w:lang w:val="lv-LV"/>
        </w:rPr>
        <w:t xml:space="preserve"> ≥</w:t>
      </w:r>
      <w:r>
        <w:rPr>
          <w:lang w:val="lv-LV"/>
        </w:rPr>
        <w:t> </w:t>
      </w:r>
      <w:r w:rsidRPr="009C5994">
        <w:rPr>
          <w:lang w:val="lv-LV"/>
        </w:rPr>
        <w:t xml:space="preserve">30 kg, nodrošina </w:t>
      </w:r>
      <w:r>
        <w:rPr>
          <w:lang w:val="lv-LV"/>
        </w:rPr>
        <w:t>līdzīgu</w:t>
      </w:r>
      <w:r w:rsidRPr="009C5994">
        <w:rPr>
          <w:lang w:val="lv-LV"/>
        </w:rPr>
        <w:t xml:space="preserve"> FK </w:t>
      </w:r>
      <w:r>
        <w:rPr>
          <w:lang w:val="lv-LV"/>
        </w:rPr>
        <w:t>iedarbību</w:t>
      </w:r>
      <w:r w:rsidRPr="009C5994">
        <w:rPr>
          <w:lang w:val="lv-LV"/>
        </w:rPr>
        <w:t xml:space="preserve"> un FD atbildes reakciju, lai būtu iespējams panākt tādus pašus efektivitātes un drošuma rādītājus kā ar apstiprinātajām </w:t>
      </w:r>
      <w:r>
        <w:rPr>
          <w:lang w:val="lv-LV"/>
        </w:rPr>
        <w:t>tocilizumaba intravenozas lietošanas</w:t>
      </w:r>
      <w:r w:rsidRPr="009C5994">
        <w:rPr>
          <w:lang w:val="lv-LV"/>
        </w:rPr>
        <w:t xml:space="preserve"> shēmām pacientiem ar pJIA.</w:t>
      </w:r>
    </w:p>
    <w:p w14:paraId="39BB6BEF" w14:textId="77777777" w:rsidR="00A453C3" w:rsidRPr="009C5994" w:rsidRDefault="00A453C3" w:rsidP="00A453C3">
      <w:pPr>
        <w:jc w:val="both"/>
        <w:rPr>
          <w:iCs/>
          <w:lang w:val="lv-LV"/>
        </w:rPr>
      </w:pPr>
    </w:p>
    <w:p w14:paraId="6628835E" w14:textId="399C5C43" w:rsidR="00A453C3" w:rsidRPr="009C5994" w:rsidRDefault="00A453C3" w:rsidP="00A453C3">
      <w:pPr>
        <w:rPr>
          <w:lang w:val="lv-LV"/>
        </w:rPr>
      </w:pPr>
      <w:r w:rsidRPr="009C5994">
        <w:rPr>
          <w:lang w:val="lv-LV"/>
        </w:rPr>
        <w:t>Pētnieciskie efektivitāt</w:t>
      </w:r>
      <w:r>
        <w:rPr>
          <w:lang w:val="lv-LV"/>
        </w:rPr>
        <w:t>es</w:t>
      </w:r>
      <w:r w:rsidRPr="009C5994">
        <w:rPr>
          <w:lang w:val="lv-LV"/>
        </w:rPr>
        <w:t xml:space="preserve"> rezultāti liecināja, ka </w:t>
      </w:r>
      <w:r>
        <w:rPr>
          <w:lang w:val="lv-LV"/>
        </w:rPr>
        <w:t>subkutāni lietojams tocilizumabs</w:t>
      </w:r>
      <w:r w:rsidRPr="009C5994">
        <w:rPr>
          <w:lang w:val="lv-LV"/>
        </w:rPr>
        <w:t xml:space="preserve"> uzlaboja visus pētnieciskos efektivitātes </w:t>
      </w:r>
      <w:r w:rsidRPr="00D006F4">
        <w:rPr>
          <w:lang w:val="lv-LV"/>
        </w:rPr>
        <w:t>rādītājus, tajā skaitā Juvenil</w:t>
      </w:r>
      <w:r>
        <w:rPr>
          <w:lang w:val="lv-LV"/>
        </w:rPr>
        <w:t>ā</w:t>
      </w:r>
      <w:r w:rsidRPr="00D006F4">
        <w:rPr>
          <w:lang w:val="lv-LV"/>
        </w:rPr>
        <w:t xml:space="preserve"> artrīta slimības aktivitātes indeksa (</w:t>
      </w:r>
      <w:r w:rsidRPr="00D006F4">
        <w:rPr>
          <w:i/>
          <w:lang w:val="lv-LV"/>
        </w:rPr>
        <w:t>Juvenile Arthritis Disease Activity Score</w:t>
      </w:r>
      <w:r w:rsidRPr="00D006F4">
        <w:rPr>
          <w:lang w:val="lv-LV"/>
        </w:rPr>
        <w:t>, JADAS)</w:t>
      </w:r>
      <w:r>
        <w:rPr>
          <w:lang w:val="lv-LV"/>
        </w:rPr>
        <w:noBreakHyphen/>
      </w:r>
      <w:r w:rsidRPr="00D006F4">
        <w:rPr>
          <w:lang w:val="lv-LV"/>
        </w:rPr>
        <w:t xml:space="preserve">71 rādītāja mediānu, iepriekš ar </w:t>
      </w:r>
      <w:r>
        <w:rPr>
          <w:lang w:val="lv-LV"/>
        </w:rPr>
        <w:t>tocilizumabu</w:t>
      </w:r>
      <w:r w:rsidRPr="00D006F4">
        <w:rPr>
          <w:lang w:val="lv-LV"/>
        </w:rPr>
        <w:t xml:space="preserve"> neārstētiem pacientiem un</w:t>
      </w:r>
      <w:r w:rsidRPr="009C5994">
        <w:rPr>
          <w:lang w:val="lv-LV"/>
        </w:rPr>
        <w:t xml:space="preserve"> visā pētījuma laikā saglabāja JADAS</w:t>
      </w:r>
      <w:r>
        <w:rPr>
          <w:lang w:val="lv-LV"/>
        </w:rPr>
        <w:noBreakHyphen/>
      </w:r>
      <w:r w:rsidRPr="009C5994">
        <w:rPr>
          <w:lang w:val="lv-LV"/>
        </w:rPr>
        <w:t xml:space="preserve">71 mediānu pacientiem, kuriem </w:t>
      </w:r>
      <w:r>
        <w:rPr>
          <w:lang w:val="lv-LV"/>
        </w:rPr>
        <w:t xml:space="preserve">intravenoza tocilizumaba </w:t>
      </w:r>
      <w:r w:rsidRPr="009C5994">
        <w:rPr>
          <w:lang w:val="lv-LV"/>
        </w:rPr>
        <w:t xml:space="preserve">terapija tika mainīta uz </w:t>
      </w:r>
      <w:r>
        <w:rPr>
          <w:lang w:val="lv-LV"/>
        </w:rPr>
        <w:t>subkutānu tocilizumaba</w:t>
      </w:r>
      <w:r w:rsidRPr="009C5994">
        <w:rPr>
          <w:lang w:val="lv-LV"/>
        </w:rPr>
        <w:t xml:space="preserve"> terapiju, abās ķermeņa masas grupās (zem 30 kg un </w:t>
      </w:r>
      <w:r w:rsidR="00714A3E" w:rsidRPr="00707120">
        <w:rPr>
          <w:szCs w:val="22"/>
          <w:lang w:val="lv-LV" w:eastAsia="ja-JP"/>
        </w:rPr>
        <w:t>≥</w:t>
      </w:r>
      <w:r w:rsidRPr="00707120">
        <w:rPr>
          <w:lang w:val="lv-LV"/>
        </w:rPr>
        <w:t> </w:t>
      </w:r>
      <w:r w:rsidRPr="009C5994">
        <w:rPr>
          <w:lang w:val="lv-LV"/>
        </w:rPr>
        <w:t>30 kg).</w:t>
      </w:r>
    </w:p>
    <w:p w14:paraId="3B449B4B" w14:textId="77777777" w:rsidR="00A453C3" w:rsidRPr="00D64D62" w:rsidRDefault="00A453C3" w:rsidP="00A453C3">
      <w:pPr>
        <w:pStyle w:val="Standard"/>
        <w:rPr>
          <w:rFonts w:eastAsia="MS PGothic"/>
          <w:color w:val="000000"/>
          <w:szCs w:val="22"/>
          <w:lang w:val="lv-LV"/>
        </w:rPr>
      </w:pPr>
    </w:p>
    <w:p w14:paraId="52066689" w14:textId="77777777" w:rsidR="00A453C3" w:rsidRPr="00D64D62" w:rsidRDefault="00A453C3" w:rsidP="00A453C3">
      <w:pPr>
        <w:pStyle w:val="Standard"/>
        <w:keepNext/>
        <w:rPr>
          <w:rFonts w:eastAsia="MS PGothic"/>
          <w:color w:val="000000"/>
          <w:szCs w:val="22"/>
          <w:u w:val="single"/>
          <w:lang w:val="lv-LV"/>
        </w:rPr>
      </w:pPr>
      <w:r w:rsidRPr="00D64D62">
        <w:rPr>
          <w:rFonts w:eastAsia="MS PGothic"/>
          <w:color w:val="000000"/>
          <w:szCs w:val="22"/>
          <w:u w:val="single"/>
          <w:lang w:val="lv-LV"/>
        </w:rPr>
        <w:t>Subkutāna lietošana</w:t>
      </w:r>
    </w:p>
    <w:p w14:paraId="5A986AE3" w14:textId="0775D790" w:rsidR="00A453C3" w:rsidRDefault="00A453C3" w:rsidP="00707120">
      <w:pPr>
        <w:keepNext/>
        <w:rPr>
          <w:ins w:id="1067" w:author="Author"/>
          <w:bCs/>
          <w:i/>
          <w:iCs/>
          <w:color w:val="000000"/>
          <w:lang w:val="lv-LV"/>
        </w:rPr>
      </w:pPr>
      <w:r w:rsidRPr="00707120">
        <w:rPr>
          <w:bCs/>
          <w:i/>
          <w:iCs/>
          <w:color w:val="000000"/>
          <w:lang w:val="lv-LV"/>
        </w:rPr>
        <w:t>Pacienti ar GCA</w:t>
      </w:r>
      <w:del w:id="1068" w:author="Author">
        <w:r w:rsidRPr="00707120" w:rsidDel="00BB0320">
          <w:rPr>
            <w:bCs/>
            <w:i/>
            <w:iCs/>
            <w:color w:val="000000"/>
            <w:lang w:val="lv-LV"/>
          </w:rPr>
          <w:delText xml:space="preserve"> </w:delText>
        </w:r>
      </w:del>
    </w:p>
    <w:p w14:paraId="24C55169" w14:textId="77777777" w:rsidR="00435777" w:rsidRPr="00707120" w:rsidRDefault="00435777" w:rsidP="00707120">
      <w:pPr>
        <w:keepNext/>
        <w:rPr>
          <w:rFonts w:eastAsia="MS PGothic"/>
          <w:bCs/>
          <w:i/>
          <w:iCs/>
          <w:color w:val="000000"/>
          <w:szCs w:val="22"/>
          <w:lang w:val="lv-LV"/>
        </w:rPr>
      </w:pPr>
    </w:p>
    <w:p w14:paraId="24496D7E" w14:textId="77777777" w:rsidR="00A453C3" w:rsidRPr="00707120" w:rsidRDefault="00A453C3" w:rsidP="00707120">
      <w:pPr>
        <w:keepNext/>
        <w:rPr>
          <w:rFonts w:eastAsia="MS PGothic"/>
          <w:i/>
          <w:iCs/>
          <w:color w:val="000000"/>
          <w:szCs w:val="22"/>
          <w:u w:val="single"/>
          <w:lang w:val="lv-LV"/>
        </w:rPr>
      </w:pPr>
      <w:r w:rsidRPr="00707120">
        <w:rPr>
          <w:i/>
          <w:iCs/>
          <w:color w:val="000000"/>
          <w:u w:val="single"/>
          <w:lang w:val="lv-LV"/>
        </w:rPr>
        <w:t>Klīniskā efektivitāte</w:t>
      </w:r>
    </w:p>
    <w:p w14:paraId="2FFA4B3F" w14:textId="131C3713" w:rsidR="00A453C3" w:rsidRPr="00D30C7D" w:rsidRDefault="00A453C3" w:rsidP="00A453C3">
      <w:pPr>
        <w:keepNext/>
        <w:keepLines/>
        <w:rPr>
          <w:lang w:val="lv-LV"/>
        </w:rPr>
      </w:pPr>
      <w:r w:rsidRPr="00D30C7D">
        <w:rPr>
          <w:lang w:val="lv-LV"/>
        </w:rPr>
        <w:t xml:space="preserve">Pētījums WA28119 bija randomizēts, dubultmaskēts, </w:t>
      </w:r>
      <w:del w:id="1069" w:author="Regulatory LV" w:date="2026-03-17T11:38:00Z">
        <w:r w:rsidDel="0089110E">
          <w:rPr>
            <w:lang w:val="lv-LV"/>
          </w:rPr>
          <w:delText xml:space="preserve">ar </w:delText>
        </w:r>
      </w:del>
      <w:r w:rsidRPr="00D30C7D">
        <w:rPr>
          <w:lang w:val="lv-LV"/>
        </w:rPr>
        <w:t>placebo kontrolēts</w:t>
      </w:r>
      <w:r>
        <w:rPr>
          <w:lang w:val="lv-LV"/>
        </w:rPr>
        <w:t>,</w:t>
      </w:r>
      <w:r w:rsidRPr="00D30C7D">
        <w:rPr>
          <w:lang w:val="lv-LV"/>
        </w:rPr>
        <w:t xml:space="preserve"> daudzcentru III</w:t>
      </w:r>
      <w:r>
        <w:rPr>
          <w:lang w:val="lv-LV"/>
        </w:rPr>
        <w:t> </w:t>
      </w:r>
      <w:r w:rsidRPr="00D30C7D">
        <w:rPr>
          <w:lang w:val="lv-LV"/>
        </w:rPr>
        <w:t xml:space="preserve">fāzes pētījums pārākuma noteikšanai, kas tika veikts, lai vērtētu </w:t>
      </w:r>
      <w:r>
        <w:rPr>
          <w:lang w:val="lv-LV"/>
        </w:rPr>
        <w:t>tocilizumaba</w:t>
      </w:r>
      <w:r w:rsidRPr="00D30C7D">
        <w:rPr>
          <w:lang w:val="lv-LV"/>
        </w:rPr>
        <w:t xml:space="preserve"> efektivitāti un drošumu pacientiem ar GCA. </w:t>
      </w:r>
    </w:p>
    <w:p w14:paraId="30258CE0" w14:textId="77777777" w:rsidR="00A453C3" w:rsidRPr="00D30C7D" w:rsidRDefault="00A453C3" w:rsidP="00A453C3">
      <w:pPr>
        <w:rPr>
          <w:lang w:val="lv-LV"/>
        </w:rPr>
      </w:pPr>
    </w:p>
    <w:p w14:paraId="2B9A30D0" w14:textId="19C1AF8E" w:rsidR="00A453C3" w:rsidRPr="00D30C7D" w:rsidRDefault="00A453C3" w:rsidP="00A453C3">
      <w:pPr>
        <w:rPr>
          <w:lang w:val="lv-LV"/>
        </w:rPr>
      </w:pPr>
      <w:r w:rsidRPr="00D006F4">
        <w:rPr>
          <w:lang w:val="lv-LV"/>
        </w:rPr>
        <w:t xml:space="preserve">Divi simti piecdesmit viens (251) pacients ar pirmoreiz radušos GCA vai tā recidīvu tika iesaistīts pētījumā un iekļauts </w:t>
      </w:r>
      <w:r w:rsidRPr="00D30C7D">
        <w:rPr>
          <w:lang w:val="lv-LV"/>
        </w:rPr>
        <w:t>vienā no četrām ārstēšanas grupām. Pētījumu veidoja 52</w:t>
      </w:r>
      <w:r>
        <w:rPr>
          <w:lang w:val="lv-LV"/>
        </w:rPr>
        <w:t> </w:t>
      </w:r>
      <w:r w:rsidRPr="00D30C7D">
        <w:rPr>
          <w:lang w:val="lv-LV"/>
        </w:rPr>
        <w:t>nedēļas ilgs maskētais periods (1.</w:t>
      </w:r>
      <w:r>
        <w:rPr>
          <w:lang w:val="lv-LV"/>
        </w:rPr>
        <w:t> </w:t>
      </w:r>
      <w:r w:rsidRPr="00D30C7D">
        <w:rPr>
          <w:lang w:val="lv-LV"/>
        </w:rPr>
        <w:t>daļa), kam sekoja 104 nedēļas ilgs nemaskēts pagarinājums (2.</w:t>
      </w:r>
      <w:r>
        <w:rPr>
          <w:lang w:val="lv-LV"/>
        </w:rPr>
        <w:t> </w:t>
      </w:r>
      <w:r w:rsidRPr="00D30C7D">
        <w:rPr>
          <w:lang w:val="lv-LV"/>
        </w:rPr>
        <w:t xml:space="preserve">daļa). </w:t>
      </w:r>
      <w:r>
        <w:rPr>
          <w:lang w:val="lv-LV"/>
        </w:rPr>
        <w:t>Otrās</w:t>
      </w:r>
      <w:r w:rsidRPr="00D30C7D">
        <w:rPr>
          <w:lang w:val="lv-LV"/>
        </w:rPr>
        <w:t xml:space="preserve"> daļas mērķis bija raksturot ilgtermiņa drošumu un efektivitātes saglabāšanos pēc 52</w:t>
      </w:r>
      <w:r>
        <w:rPr>
          <w:lang w:val="lv-LV"/>
        </w:rPr>
        <w:t> </w:t>
      </w:r>
      <w:r w:rsidRPr="00D30C7D">
        <w:rPr>
          <w:lang w:val="lv-LV"/>
        </w:rPr>
        <w:t xml:space="preserve">nedēļas ilgas terapijas, noskaidrot recidīvu </w:t>
      </w:r>
      <w:r>
        <w:rPr>
          <w:lang w:val="lv-LV"/>
        </w:rPr>
        <w:t>rādītāju</w:t>
      </w:r>
      <w:r w:rsidRPr="00D30C7D">
        <w:rPr>
          <w:lang w:val="lv-LV"/>
        </w:rPr>
        <w:t xml:space="preserve"> un nepieciešamību pēc </w:t>
      </w:r>
      <w:r>
        <w:rPr>
          <w:lang w:val="lv-LV"/>
        </w:rPr>
        <w:t>tocilizumaba</w:t>
      </w:r>
      <w:r w:rsidRPr="00D30C7D">
        <w:rPr>
          <w:lang w:val="lv-LV"/>
        </w:rPr>
        <w:t xml:space="preserve"> terapijas pēc 52 nedēļ</w:t>
      </w:r>
      <w:r>
        <w:rPr>
          <w:lang w:val="lv-LV"/>
        </w:rPr>
        <w:t>ām, kā arī</w:t>
      </w:r>
      <w:r w:rsidRPr="00D30C7D">
        <w:rPr>
          <w:lang w:val="lv-LV"/>
        </w:rPr>
        <w:t xml:space="preserve"> gūt ieskatu par </w:t>
      </w:r>
      <w:r>
        <w:rPr>
          <w:lang w:val="lv-LV"/>
        </w:rPr>
        <w:t>šo zāļu</w:t>
      </w:r>
      <w:r w:rsidRPr="00D30C7D">
        <w:rPr>
          <w:lang w:val="lv-LV"/>
        </w:rPr>
        <w:t xml:space="preserve"> iespējamo ietekmi, ilgtermiņā samazinot nepieciešamību pēc steroīdu lietošanas.</w:t>
      </w:r>
    </w:p>
    <w:p w14:paraId="554F6152" w14:textId="77777777" w:rsidR="00A453C3" w:rsidRPr="00D30C7D" w:rsidRDefault="00A453C3" w:rsidP="00A453C3">
      <w:pPr>
        <w:rPr>
          <w:lang w:val="lv-LV"/>
        </w:rPr>
      </w:pPr>
    </w:p>
    <w:p w14:paraId="615564BF" w14:textId="4BA699B2" w:rsidR="00A453C3" w:rsidRPr="00D30C7D" w:rsidRDefault="00A453C3" w:rsidP="00A453C3">
      <w:pPr>
        <w:rPr>
          <w:lang w:val="lv-LV"/>
        </w:rPr>
      </w:pPr>
      <w:r w:rsidRPr="00D30C7D">
        <w:rPr>
          <w:lang w:val="lv-LV"/>
        </w:rPr>
        <w:t>Divas subkutāni lietota</w:t>
      </w:r>
      <w:r>
        <w:rPr>
          <w:lang w:val="lv-LV"/>
        </w:rPr>
        <w:t>s</w:t>
      </w:r>
      <w:r w:rsidRPr="00D30C7D">
        <w:rPr>
          <w:lang w:val="lv-LV"/>
        </w:rPr>
        <w:t xml:space="preserve"> </w:t>
      </w:r>
      <w:r>
        <w:rPr>
          <w:lang w:val="lv-LV"/>
        </w:rPr>
        <w:t>tocilizumaba</w:t>
      </w:r>
      <w:r w:rsidRPr="00D30C7D">
        <w:rPr>
          <w:lang w:val="lv-LV"/>
        </w:rPr>
        <w:t xml:space="preserve"> devas (162</w:t>
      </w:r>
      <w:r>
        <w:rPr>
          <w:lang w:val="lv-LV"/>
        </w:rPr>
        <w:t> </w:t>
      </w:r>
      <w:r w:rsidRPr="00D30C7D">
        <w:rPr>
          <w:lang w:val="lv-LV"/>
        </w:rPr>
        <w:t>mg</w:t>
      </w:r>
      <w:r>
        <w:rPr>
          <w:lang w:val="lv-LV"/>
        </w:rPr>
        <w:t xml:space="preserve"> vienu</w:t>
      </w:r>
      <w:r w:rsidRPr="00D30C7D">
        <w:rPr>
          <w:lang w:val="lv-LV"/>
        </w:rPr>
        <w:t xml:space="preserve"> reizi nedēļā un 162</w:t>
      </w:r>
      <w:r>
        <w:rPr>
          <w:lang w:val="lv-LV"/>
        </w:rPr>
        <w:t> </w:t>
      </w:r>
      <w:r w:rsidRPr="00D30C7D">
        <w:rPr>
          <w:lang w:val="lv-LV"/>
        </w:rPr>
        <w:t>mg katru otro nedēļu) tika salīdzinātas ar divām dažādām placebo kontroles grupām; pacienti tika randomizēti attiecībā</w:t>
      </w:r>
      <w:r>
        <w:rPr>
          <w:lang w:val="lv-LV"/>
        </w:rPr>
        <w:t> </w:t>
      </w:r>
      <w:r w:rsidRPr="00D30C7D">
        <w:rPr>
          <w:lang w:val="lv-LV"/>
        </w:rPr>
        <w:t>2:1:1:1.</w:t>
      </w:r>
    </w:p>
    <w:p w14:paraId="2406EB0D" w14:textId="77777777" w:rsidR="00A453C3" w:rsidRPr="00D30C7D" w:rsidRDefault="00A453C3" w:rsidP="00A453C3">
      <w:pPr>
        <w:rPr>
          <w:lang w:val="lv-LV"/>
        </w:rPr>
      </w:pPr>
    </w:p>
    <w:p w14:paraId="38740845" w14:textId="5A097137" w:rsidR="00A453C3" w:rsidRPr="00C74D1A" w:rsidRDefault="00A453C3" w:rsidP="00A453C3">
      <w:pPr>
        <w:rPr>
          <w:lang w:val="lv-LV"/>
        </w:rPr>
      </w:pPr>
      <w:r w:rsidRPr="00C74D1A">
        <w:rPr>
          <w:lang w:val="lv-LV"/>
        </w:rPr>
        <w:t xml:space="preserve">Visi pacienti saņēma </w:t>
      </w:r>
      <w:r>
        <w:rPr>
          <w:lang w:val="lv-LV"/>
        </w:rPr>
        <w:t>pamat</w:t>
      </w:r>
      <w:r w:rsidRPr="00C74D1A">
        <w:rPr>
          <w:lang w:val="lv-LV"/>
        </w:rPr>
        <w:t xml:space="preserve">terapiju ar glikokortikoīdiem (prednizonu). Visās </w:t>
      </w:r>
      <w:r>
        <w:rPr>
          <w:lang w:val="lv-LV"/>
        </w:rPr>
        <w:t>tocilizumaba</w:t>
      </w:r>
      <w:r w:rsidRPr="00C74D1A">
        <w:rPr>
          <w:lang w:val="lv-LV"/>
        </w:rPr>
        <w:t xml:space="preserve"> grupās un vienā no placebo grupām tika izmantota iepriekš noteikta prednizona devas pakāpeniskas samazināšanas shēma 26</w:t>
      </w:r>
      <w:r>
        <w:rPr>
          <w:lang w:val="lv-LV"/>
        </w:rPr>
        <w:t> </w:t>
      </w:r>
      <w:r w:rsidRPr="00C74D1A">
        <w:rPr>
          <w:lang w:val="lv-LV"/>
        </w:rPr>
        <w:t xml:space="preserve">nedēļu </w:t>
      </w:r>
      <w:r>
        <w:rPr>
          <w:lang w:val="lv-LV"/>
        </w:rPr>
        <w:t>laikā</w:t>
      </w:r>
      <w:r w:rsidRPr="00C74D1A">
        <w:rPr>
          <w:lang w:val="lv-LV"/>
        </w:rPr>
        <w:t>, savukārt otrā placebo grupā tika izmantota iepriekš noteikta prednizona devas pakāpeniskas samazināšanas shēma 52</w:t>
      </w:r>
      <w:r>
        <w:rPr>
          <w:lang w:val="lv-LV"/>
        </w:rPr>
        <w:t> </w:t>
      </w:r>
      <w:r w:rsidRPr="00C74D1A">
        <w:rPr>
          <w:lang w:val="lv-LV"/>
        </w:rPr>
        <w:t xml:space="preserve">nedēļu </w:t>
      </w:r>
      <w:r>
        <w:rPr>
          <w:lang w:val="lv-LV"/>
        </w:rPr>
        <w:t>laikā</w:t>
      </w:r>
      <w:r w:rsidRPr="00C74D1A">
        <w:rPr>
          <w:lang w:val="lv-LV"/>
        </w:rPr>
        <w:t>, kas bija veidota kā lielākā mērā atbilstoša standarta</w:t>
      </w:r>
      <w:r>
        <w:rPr>
          <w:lang w:val="lv-LV"/>
        </w:rPr>
        <w:t>i</w:t>
      </w:r>
      <w:r w:rsidRPr="00C74D1A">
        <w:rPr>
          <w:lang w:val="lv-LV"/>
        </w:rPr>
        <w:t xml:space="preserve"> praksei. </w:t>
      </w:r>
    </w:p>
    <w:p w14:paraId="566E21E5" w14:textId="77777777" w:rsidR="00A453C3" w:rsidRPr="00C74D1A" w:rsidRDefault="00A453C3" w:rsidP="00A453C3">
      <w:pPr>
        <w:suppressAutoHyphens w:val="0"/>
        <w:rPr>
          <w:rFonts w:eastAsia="SimSun"/>
          <w:szCs w:val="24"/>
          <w:lang w:val="lv-LV" w:eastAsia="zh-TW"/>
        </w:rPr>
      </w:pPr>
    </w:p>
    <w:p w14:paraId="5A173E6F" w14:textId="7A091DF3" w:rsidR="00A453C3" w:rsidRPr="00C74D1A" w:rsidRDefault="00A453C3" w:rsidP="00A453C3">
      <w:pPr>
        <w:suppressAutoHyphens w:val="0"/>
        <w:rPr>
          <w:lang w:val="lv-LV" w:eastAsia="de-DE"/>
        </w:rPr>
      </w:pPr>
      <w:r w:rsidRPr="00C74D1A">
        <w:rPr>
          <w:rFonts w:eastAsia="SimSun"/>
          <w:szCs w:val="24"/>
          <w:lang w:val="lv-LV" w:eastAsia="zh-TW"/>
        </w:rPr>
        <w:t>Visās 4</w:t>
      </w:r>
      <w:r>
        <w:rPr>
          <w:rFonts w:eastAsia="SimSun"/>
          <w:szCs w:val="24"/>
          <w:lang w:val="lv-LV" w:eastAsia="zh-TW"/>
        </w:rPr>
        <w:t> </w:t>
      </w:r>
      <w:r w:rsidRPr="00C74D1A">
        <w:rPr>
          <w:rFonts w:eastAsia="SimSun"/>
          <w:szCs w:val="24"/>
          <w:lang w:val="lv-LV" w:eastAsia="zh-TW"/>
        </w:rPr>
        <w:t xml:space="preserve">ārstēšanas grupās glikokortikoīdu terapijas ilgums </w:t>
      </w:r>
      <w:r>
        <w:rPr>
          <w:rFonts w:eastAsia="SimSun"/>
          <w:szCs w:val="24"/>
          <w:lang w:val="lv-LV" w:eastAsia="zh-TW"/>
        </w:rPr>
        <w:t>skrīninga</w:t>
      </w:r>
      <w:r w:rsidRPr="00C74D1A">
        <w:rPr>
          <w:rFonts w:eastAsia="SimSun"/>
          <w:szCs w:val="24"/>
          <w:lang w:val="lv-LV" w:eastAsia="zh-TW"/>
        </w:rPr>
        <w:t xml:space="preserve"> posmā un pirms ārstēšanas uzsākšanas ar </w:t>
      </w:r>
      <w:r>
        <w:rPr>
          <w:rFonts w:eastAsia="SimSun"/>
          <w:szCs w:val="24"/>
          <w:lang w:val="lv-LV" w:eastAsia="zh-TW"/>
        </w:rPr>
        <w:t>tocilizumabu</w:t>
      </w:r>
      <w:r w:rsidRPr="00C74D1A">
        <w:rPr>
          <w:rFonts w:eastAsia="SimSun"/>
          <w:szCs w:val="24"/>
          <w:lang w:val="lv-LV" w:eastAsia="zh-TW"/>
        </w:rPr>
        <w:t xml:space="preserve"> (vai placebo) bija līdzīgs (skatīt </w:t>
      </w:r>
      <w:r>
        <w:rPr>
          <w:rFonts w:eastAsia="SimSun"/>
          <w:szCs w:val="24"/>
          <w:lang w:val="lv-LV" w:eastAsia="zh-TW"/>
        </w:rPr>
        <w:t>3</w:t>
      </w:r>
      <w:r w:rsidRPr="00C74D1A">
        <w:rPr>
          <w:rFonts w:eastAsia="SimSun"/>
          <w:szCs w:val="24"/>
          <w:lang w:val="lv-LV" w:eastAsia="zh-TW"/>
        </w:rPr>
        <w:t>.</w:t>
      </w:r>
      <w:r>
        <w:rPr>
          <w:rFonts w:eastAsia="SimSun"/>
          <w:szCs w:val="24"/>
          <w:lang w:val="lv-LV" w:eastAsia="zh-TW"/>
        </w:rPr>
        <w:t> </w:t>
      </w:r>
      <w:r w:rsidRPr="00C74D1A">
        <w:rPr>
          <w:rFonts w:eastAsia="SimSun"/>
          <w:szCs w:val="24"/>
          <w:lang w:val="lv-LV" w:eastAsia="zh-TW"/>
        </w:rPr>
        <w:t>tabulu).</w:t>
      </w:r>
    </w:p>
    <w:p w14:paraId="48C305E9" w14:textId="77777777" w:rsidR="00A453C3" w:rsidRPr="00C74D1A" w:rsidRDefault="00A453C3" w:rsidP="00A453C3">
      <w:pPr>
        <w:suppressAutoHyphens w:val="0"/>
        <w:rPr>
          <w:lang w:val="lv-LV" w:eastAsia="de-DE"/>
        </w:rPr>
      </w:pPr>
    </w:p>
    <w:p w14:paraId="7CC69076" w14:textId="0062673B" w:rsidR="00A453C3" w:rsidRDefault="00A453C3" w:rsidP="00A453C3">
      <w:pPr>
        <w:keepNext/>
        <w:keepLines/>
        <w:numPr>
          <w:ilvl w:val="12"/>
          <w:numId w:val="0"/>
        </w:numPr>
        <w:suppressAutoHyphens w:val="0"/>
        <w:ind w:right="-2"/>
        <w:rPr>
          <w:rFonts w:eastAsia="SimSun"/>
          <w:bCs/>
          <w:i/>
          <w:szCs w:val="22"/>
          <w:lang w:val="lv-LV" w:eastAsia="zh-CN"/>
        </w:rPr>
      </w:pPr>
      <w:r>
        <w:rPr>
          <w:rFonts w:eastAsia="SimSun"/>
          <w:bCs/>
          <w:i/>
          <w:szCs w:val="22"/>
          <w:lang w:val="lv-LV" w:eastAsia="zh-CN"/>
        </w:rPr>
        <w:t>3</w:t>
      </w:r>
      <w:r w:rsidRPr="00C74D1A">
        <w:rPr>
          <w:rFonts w:eastAsia="SimSun"/>
          <w:bCs/>
          <w:i/>
          <w:szCs w:val="22"/>
          <w:lang w:val="lv-LV" w:eastAsia="zh-CN"/>
        </w:rPr>
        <w:t>.</w:t>
      </w:r>
      <w:r>
        <w:rPr>
          <w:rFonts w:eastAsia="SimSun"/>
          <w:bCs/>
          <w:i/>
          <w:szCs w:val="22"/>
          <w:lang w:val="lv-LV" w:eastAsia="zh-CN"/>
        </w:rPr>
        <w:t> </w:t>
      </w:r>
      <w:r w:rsidRPr="00C74D1A">
        <w:rPr>
          <w:rFonts w:eastAsia="SimSun"/>
          <w:bCs/>
          <w:i/>
          <w:szCs w:val="22"/>
          <w:lang w:val="lv-LV" w:eastAsia="zh-CN"/>
        </w:rPr>
        <w:t>tabula. Glikokor</w:t>
      </w:r>
      <w:r>
        <w:rPr>
          <w:rFonts w:eastAsia="SimSun"/>
          <w:bCs/>
          <w:i/>
          <w:szCs w:val="22"/>
          <w:lang w:val="lv-LV" w:eastAsia="zh-CN"/>
        </w:rPr>
        <w:t>t</w:t>
      </w:r>
      <w:r w:rsidRPr="00C74D1A">
        <w:rPr>
          <w:rFonts w:eastAsia="SimSun"/>
          <w:bCs/>
          <w:i/>
          <w:szCs w:val="22"/>
          <w:lang w:val="lv-LV" w:eastAsia="zh-CN"/>
        </w:rPr>
        <w:t xml:space="preserve">ikoīdu terapijas ilgums pētījuma WA 28119 </w:t>
      </w:r>
      <w:r>
        <w:rPr>
          <w:rFonts w:eastAsia="SimSun"/>
          <w:bCs/>
          <w:i/>
          <w:szCs w:val="22"/>
          <w:lang w:val="lv-LV" w:eastAsia="zh-CN"/>
        </w:rPr>
        <w:t>skrīninga laikā</w:t>
      </w:r>
    </w:p>
    <w:p w14:paraId="68A0F062" w14:textId="77777777" w:rsidR="00A453C3" w:rsidRPr="00C74D1A" w:rsidRDefault="00A453C3" w:rsidP="00A453C3">
      <w:pPr>
        <w:keepNext/>
        <w:keepLines/>
        <w:numPr>
          <w:ilvl w:val="12"/>
          <w:numId w:val="0"/>
        </w:numPr>
        <w:suppressAutoHyphens w:val="0"/>
        <w:ind w:right="-2"/>
        <w:rPr>
          <w:rFonts w:eastAsia="SimSun"/>
          <w:i/>
          <w:szCs w:val="22"/>
          <w:lang w:val="lv-LV" w:eastAsia="zh-CN"/>
        </w:rPr>
      </w:pPr>
    </w:p>
    <w:tbl>
      <w:tblPr>
        <w:tblW w:w="915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
        <w:gridCol w:w="2059"/>
        <w:gridCol w:w="10"/>
        <w:gridCol w:w="1549"/>
        <w:gridCol w:w="1701"/>
        <w:gridCol w:w="1843"/>
        <w:gridCol w:w="1984"/>
      </w:tblGrid>
      <w:tr w:rsidR="00A453C3" w:rsidRPr="0075336D" w14:paraId="5E104482" w14:textId="77777777" w:rsidTr="00707120">
        <w:trPr>
          <w:gridBefore w:val="1"/>
          <w:wBefore w:w="6" w:type="dxa"/>
          <w:cantSplit/>
        </w:trPr>
        <w:tc>
          <w:tcPr>
            <w:tcW w:w="2059" w:type="dxa"/>
            <w:tcMar>
              <w:top w:w="0" w:type="dxa"/>
              <w:left w:w="57" w:type="dxa"/>
              <w:bottom w:w="0" w:type="dxa"/>
              <w:right w:w="57" w:type="dxa"/>
            </w:tcMar>
            <w:vAlign w:val="bottom"/>
          </w:tcPr>
          <w:p w14:paraId="0132C0A3" w14:textId="77777777" w:rsidR="00A453C3" w:rsidRPr="00C74D1A" w:rsidRDefault="00A453C3" w:rsidP="0067693D">
            <w:pPr>
              <w:keepNext/>
              <w:keepLines/>
              <w:suppressAutoHyphens w:val="0"/>
              <w:spacing w:before="50" w:after="50" w:line="240" w:lineRule="exact"/>
              <w:rPr>
                <w:rFonts w:ascii="Arial" w:eastAsia="SimSun" w:hAnsi="Arial"/>
                <w:strike/>
                <w:sz w:val="18"/>
                <w:szCs w:val="18"/>
                <w:lang w:val="lv-LV" w:eastAsia="zh-CN"/>
              </w:rPr>
            </w:pPr>
          </w:p>
        </w:tc>
        <w:tc>
          <w:tcPr>
            <w:tcW w:w="1559" w:type="dxa"/>
            <w:gridSpan w:val="2"/>
            <w:tcMar>
              <w:top w:w="0" w:type="dxa"/>
              <w:left w:w="57" w:type="dxa"/>
              <w:bottom w:w="0" w:type="dxa"/>
              <w:right w:w="57" w:type="dxa"/>
            </w:tcMar>
          </w:tcPr>
          <w:p w14:paraId="1314E94F" w14:textId="5A1EF156" w:rsidR="00A453C3" w:rsidRPr="00707120" w:rsidRDefault="00A453C3" w:rsidP="0067693D">
            <w:pPr>
              <w:keepNext/>
              <w:keepLines/>
              <w:spacing w:before="50" w:after="50" w:line="240" w:lineRule="exact"/>
              <w:jc w:val="center"/>
              <w:rPr>
                <w:rFonts w:eastAsia="SimSun"/>
                <w:b/>
                <w:sz w:val="20"/>
                <w:lang w:val="lv-LV"/>
              </w:rPr>
            </w:pPr>
            <w:r w:rsidRPr="00707120">
              <w:rPr>
                <w:b/>
                <w:sz w:val="20"/>
                <w:lang w:val="lv-LV"/>
              </w:rPr>
              <w:t>Placebo + 26 nedēļas ilga prednizona terapija, pakāpeniski samazinot devu</w:t>
            </w:r>
          </w:p>
          <w:p w14:paraId="2447491A" w14:textId="230C497F" w:rsidR="00A453C3" w:rsidRPr="00707120" w:rsidRDefault="00A453C3" w:rsidP="0067693D">
            <w:pPr>
              <w:keepNext/>
              <w:keepLines/>
              <w:suppressAutoHyphens w:val="0"/>
              <w:spacing w:before="50" w:after="50" w:line="240" w:lineRule="exact"/>
              <w:jc w:val="center"/>
              <w:rPr>
                <w:rFonts w:ascii="Arial" w:eastAsia="SimSun" w:hAnsi="Arial"/>
                <w:b/>
                <w:sz w:val="20"/>
                <w:lang w:val="en-GB" w:eastAsia="zh-CN"/>
              </w:rPr>
            </w:pPr>
            <w:del w:id="1070" w:author="Author">
              <w:r w:rsidRPr="00707120" w:rsidDel="00843B6A">
                <w:rPr>
                  <w:b/>
                  <w:sz w:val="20"/>
                </w:rPr>
                <w:delText>N</w:delText>
              </w:r>
            </w:del>
            <w:ins w:id="1071" w:author="Author">
              <w:r w:rsidR="00843B6A">
                <w:rPr>
                  <w:b/>
                  <w:sz w:val="20"/>
                </w:rPr>
                <w:t>n</w:t>
              </w:r>
            </w:ins>
            <w:r w:rsidRPr="00707120">
              <w:rPr>
                <w:b/>
                <w:sz w:val="20"/>
              </w:rPr>
              <w:t>=50</w:t>
            </w:r>
          </w:p>
        </w:tc>
        <w:tc>
          <w:tcPr>
            <w:tcW w:w="1701" w:type="dxa"/>
            <w:tcMar>
              <w:top w:w="0" w:type="dxa"/>
              <w:left w:w="57" w:type="dxa"/>
              <w:bottom w:w="0" w:type="dxa"/>
              <w:right w:w="57" w:type="dxa"/>
            </w:tcMar>
          </w:tcPr>
          <w:p w14:paraId="00042A87" w14:textId="32C078DF" w:rsidR="00A453C3" w:rsidRPr="00707120" w:rsidRDefault="00A453C3" w:rsidP="0067693D">
            <w:pPr>
              <w:keepNext/>
              <w:keepLines/>
              <w:spacing w:before="50" w:after="50" w:line="240" w:lineRule="exact"/>
              <w:jc w:val="center"/>
              <w:rPr>
                <w:rFonts w:eastAsia="SimSun"/>
                <w:b/>
                <w:sz w:val="20"/>
                <w:lang w:val="pt-PT"/>
              </w:rPr>
            </w:pPr>
            <w:r w:rsidRPr="00707120">
              <w:rPr>
                <w:b/>
                <w:sz w:val="20"/>
                <w:lang w:val="pt-PT"/>
              </w:rPr>
              <w:t>Placebo + 52 nedēļas ilga prednizona terapija, pakāpeniski samazinot devu</w:t>
            </w:r>
          </w:p>
          <w:p w14:paraId="3AE033E4" w14:textId="6A769ED4" w:rsidR="00A453C3" w:rsidRPr="00707120" w:rsidRDefault="00A453C3" w:rsidP="0067693D">
            <w:pPr>
              <w:keepNext/>
              <w:keepLines/>
              <w:suppressAutoHyphens w:val="0"/>
              <w:spacing w:before="50" w:after="50" w:line="240" w:lineRule="exact"/>
              <w:jc w:val="center"/>
              <w:rPr>
                <w:rFonts w:ascii="Arial" w:eastAsia="SimSun" w:hAnsi="Arial"/>
                <w:b/>
                <w:sz w:val="20"/>
                <w:lang w:val="en-GB" w:eastAsia="zh-CN"/>
              </w:rPr>
            </w:pPr>
            <w:del w:id="1072" w:author="Author">
              <w:r w:rsidRPr="00707120" w:rsidDel="00843B6A">
                <w:rPr>
                  <w:b/>
                  <w:sz w:val="20"/>
                </w:rPr>
                <w:delText>N</w:delText>
              </w:r>
            </w:del>
            <w:ins w:id="1073" w:author="Author">
              <w:r w:rsidR="00843B6A">
                <w:rPr>
                  <w:b/>
                  <w:sz w:val="20"/>
                </w:rPr>
                <w:t>n</w:t>
              </w:r>
            </w:ins>
            <w:r w:rsidRPr="00707120">
              <w:rPr>
                <w:b/>
                <w:sz w:val="20"/>
              </w:rPr>
              <w:t>=51</w:t>
            </w:r>
          </w:p>
        </w:tc>
        <w:tc>
          <w:tcPr>
            <w:tcW w:w="1843" w:type="dxa"/>
          </w:tcPr>
          <w:p w14:paraId="46338A2C" w14:textId="52A7EA6B" w:rsidR="00A453C3" w:rsidRPr="00707120" w:rsidRDefault="00A453C3" w:rsidP="0067693D">
            <w:pPr>
              <w:keepNext/>
              <w:keepLines/>
              <w:spacing w:before="50" w:after="50" w:line="240" w:lineRule="exact"/>
              <w:jc w:val="center"/>
              <w:rPr>
                <w:rFonts w:eastAsia="SimSun"/>
                <w:b/>
                <w:sz w:val="20"/>
              </w:rPr>
            </w:pPr>
            <w:r w:rsidRPr="00707120">
              <w:rPr>
                <w:b/>
                <w:sz w:val="20"/>
              </w:rPr>
              <w:t>Tocilizumabs 162 mg s.c. vienu reizi nedēļā + 26 nedēļas ilga prednizona terapija, pakāpeniski samazinot devu</w:t>
            </w:r>
          </w:p>
          <w:p w14:paraId="4248813E" w14:textId="1CDB3952" w:rsidR="00A453C3" w:rsidRPr="00707120" w:rsidRDefault="00A453C3" w:rsidP="0067693D">
            <w:pPr>
              <w:keepNext/>
              <w:keepLines/>
              <w:suppressAutoHyphens w:val="0"/>
              <w:spacing w:before="50" w:after="50" w:line="240" w:lineRule="exact"/>
              <w:jc w:val="center"/>
              <w:rPr>
                <w:rFonts w:ascii="Arial" w:eastAsia="SimSun" w:hAnsi="Arial"/>
                <w:b/>
                <w:sz w:val="20"/>
                <w:lang w:val="en-GB" w:eastAsia="zh-CN"/>
              </w:rPr>
            </w:pPr>
            <w:del w:id="1074" w:author="Author">
              <w:r w:rsidRPr="00707120" w:rsidDel="00843B6A">
                <w:rPr>
                  <w:b/>
                  <w:sz w:val="20"/>
                </w:rPr>
                <w:delText>N</w:delText>
              </w:r>
            </w:del>
            <w:ins w:id="1075" w:author="Author">
              <w:r w:rsidR="00843B6A">
                <w:rPr>
                  <w:b/>
                  <w:sz w:val="20"/>
                </w:rPr>
                <w:t>n</w:t>
              </w:r>
            </w:ins>
            <w:r w:rsidRPr="00707120">
              <w:rPr>
                <w:b/>
                <w:sz w:val="20"/>
              </w:rPr>
              <w:t>=100</w:t>
            </w:r>
          </w:p>
        </w:tc>
        <w:tc>
          <w:tcPr>
            <w:tcW w:w="1984" w:type="dxa"/>
            <w:tcMar>
              <w:top w:w="0" w:type="dxa"/>
              <w:left w:w="57" w:type="dxa"/>
              <w:bottom w:w="0" w:type="dxa"/>
              <w:right w:w="57" w:type="dxa"/>
            </w:tcMar>
          </w:tcPr>
          <w:p w14:paraId="7292F765" w14:textId="3363196D" w:rsidR="00A453C3" w:rsidRPr="00707120" w:rsidRDefault="00A453C3" w:rsidP="0067693D">
            <w:pPr>
              <w:keepNext/>
              <w:keepLines/>
              <w:spacing w:before="50" w:after="50" w:line="240" w:lineRule="exact"/>
              <w:jc w:val="center"/>
              <w:rPr>
                <w:rFonts w:eastAsia="SimSun"/>
                <w:b/>
                <w:sz w:val="20"/>
              </w:rPr>
            </w:pPr>
            <w:r w:rsidRPr="00707120">
              <w:rPr>
                <w:b/>
                <w:sz w:val="20"/>
              </w:rPr>
              <w:t xml:space="preserve">Tocilizumabs 162 mg s.c. katru otro nedēļu + 26 nedēļas ilga prednizona terapija, pakāpeniski samazinot devu </w:t>
            </w:r>
          </w:p>
          <w:p w14:paraId="0B29CFA9" w14:textId="56096DB7" w:rsidR="00A453C3" w:rsidRPr="00707120" w:rsidRDefault="00A453C3" w:rsidP="0067693D">
            <w:pPr>
              <w:keepNext/>
              <w:keepLines/>
              <w:suppressAutoHyphens w:val="0"/>
              <w:spacing w:before="50" w:after="50" w:line="240" w:lineRule="exact"/>
              <w:jc w:val="center"/>
              <w:rPr>
                <w:rFonts w:ascii="Arial" w:eastAsia="SimSun" w:hAnsi="Arial"/>
                <w:b/>
                <w:sz w:val="20"/>
                <w:lang w:val="en-GB" w:eastAsia="zh-CN"/>
              </w:rPr>
            </w:pPr>
            <w:del w:id="1076" w:author="Author">
              <w:r w:rsidRPr="00707120" w:rsidDel="00843B6A">
                <w:rPr>
                  <w:b/>
                  <w:sz w:val="20"/>
                </w:rPr>
                <w:delText>N</w:delText>
              </w:r>
            </w:del>
            <w:ins w:id="1077" w:author="Author">
              <w:r w:rsidR="00843B6A">
                <w:rPr>
                  <w:b/>
                  <w:sz w:val="20"/>
                </w:rPr>
                <w:t>n</w:t>
              </w:r>
            </w:ins>
            <w:r w:rsidRPr="00707120">
              <w:rPr>
                <w:b/>
                <w:sz w:val="20"/>
              </w:rPr>
              <w:t>=49</w:t>
            </w:r>
          </w:p>
        </w:tc>
      </w:tr>
      <w:tr w:rsidR="00E57AAD" w:rsidRPr="00DA1321" w14:paraId="3373BD28" w14:textId="77777777" w:rsidTr="00590B03">
        <w:trPr>
          <w:cantSplit/>
        </w:trPr>
        <w:tc>
          <w:tcPr>
            <w:tcW w:w="9152" w:type="dxa"/>
            <w:gridSpan w:val="7"/>
            <w:tcMar>
              <w:top w:w="0" w:type="dxa"/>
              <w:left w:w="57" w:type="dxa"/>
              <w:bottom w:w="0" w:type="dxa"/>
              <w:right w:w="57" w:type="dxa"/>
            </w:tcMar>
          </w:tcPr>
          <w:p w14:paraId="54D611BF" w14:textId="7BD33A3E" w:rsidR="00E57AAD" w:rsidRPr="00707120" w:rsidRDefault="00E57AAD" w:rsidP="00707120">
            <w:pPr>
              <w:keepNext/>
              <w:keepLines/>
              <w:suppressAutoHyphens w:val="0"/>
              <w:spacing w:before="50" w:after="50" w:line="240" w:lineRule="exact"/>
              <w:rPr>
                <w:rFonts w:eastAsia="SimSun"/>
                <w:b/>
                <w:bCs/>
                <w:strike/>
                <w:szCs w:val="22"/>
                <w:lang w:val="en-GB" w:eastAsia="zh-CN"/>
              </w:rPr>
            </w:pPr>
            <w:r w:rsidRPr="00707120">
              <w:rPr>
                <w:rFonts w:eastAsia="SimSun"/>
                <w:b/>
                <w:bCs/>
                <w:szCs w:val="22"/>
                <w:lang w:val="en-GB" w:eastAsia="zh-CN"/>
              </w:rPr>
              <w:t xml:space="preserve">Ilgums (dienas) </w:t>
            </w:r>
          </w:p>
        </w:tc>
      </w:tr>
      <w:tr w:rsidR="00A453C3" w:rsidRPr="0075336D" w14:paraId="5F696360" w14:textId="77777777" w:rsidTr="00707120">
        <w:trPr>
          <w:cantSplit/>
        </w:trPr>
        <w:tc>
          <w:tcPr>
            <w:tcW w:w="2075" w:type="dxa"/>
            <w:gridSpan w:val="3"/>
            <w:tcMar>
              <w:top w:w="0" w:type="dxa"/>
              <w:left w:w="57" w:type="dxa"/>
              <w:bottom w:w="0" w:type="dxa"/>
              <w:right w:w="57" w:type="dxa"/>
            </w:tcMar>
          </w:tcPr>
          <w:p w14:paraId="7A2C692A" w14:textId="77777777" w:rsidR="00A453C3" w:rsidRPr="00096020" w:rsidRDefault="00A453C3" w:rsidP="00707120">
            <w:pPr>
              <w:keepNext/>
              <w:keepLines/>
              <w:suppressAutoHyphens w:val="0"/>
              <w:spacing w:before="50" w:after="50" w:line="240" w:lineRule="exact"/>
              <w:ind w:left="301"/>
              <w:rPr>
                <w:rFonts w:eastAsia="SimSun"/>
                <w:szCs w:val="22"/>
                <w:lang w:val="en-GB" w:eastAsia="zh-CN"/>
              </w:rPr>
            </w:pPr>
            <w:r>
              <w:rPr>
                <w:rFonts w:eastAsia="SimSun"/>
                <w:szCs w:val="22"/>
                <w:lang w:val="en-GB" w:eastAsia="zh-CN"/>
              </w:rPr>
              <w:t>Vidējais (SN</w:t>
            </w:r>
            <w:r w:rsidRPr="00096020">
              <w:rPr>
                <w:rFonts w:eastAsia="SimSun"/>
                <w:szCs w:val="22"/>
                <w:lang w:val="en-GB" w:eastAsia="zh-CN"/>
              </w:rPr>
              <w:t>)</w:t>
            </w:r>
          </w:p>
        </w:tc>
        <w:tc>
          <w:tcPr>
            <w:tcW w:w="1549" w:type="dxa"/>
            <w:tcMar>
              <w:top w:w="0" w:type="dxa"/>
              <w:left w:w="57" w:type="dxa"/>
              <w:bottom w:w="0" w:type="dxa"/>
              <w:right w:w="57" w:type="dxa"/>
            </w:tcMar>
          </w:tcPr>
          <w:p w14:paraId="14CB74F5" w14:textId="77777777" w:rsidR="00A453C3" w:rsidRPr="00096020" w:rsidRDefault="00A453C3" w:rsidP="0067693D">
            <w:pPr>
              <w:keepNext/>
              <w:keepLines/>
              <w:suppressAutoHyphens w:val="0"/>
              <w:spacing w:before="50" w:after="50" w:line="240" w:lineRule="exact"/>
              <w:jc w:val="center"/>
              <w:rPr>
                <w:rFonts w:eastAsia="SimSun"/>
                <w:szCs w:val="22"/>
                <w:lang w:val="en-GB" w:eastAsia="zh-CN"/>
              </w:rPr>
            </w:pPr>
            <w:r>
              <w:rPr>
                <w:rFonts w:eastAsia="SimSun"/>
                <w:szCs w:val="22"/>
                <w:lang w:val="en-GB" w:eastAsia="zh-CN"/>
              </w:rPr>
              <w:t>35,7 (11,</w:t>
            </w:r>
            <w:r w:rsidRPr="00096020">
              <w:rPr>
                <w:rFonts w:eastAsia="SimSun"/>
                <w:szCs w:val="22"/>
                <w:lang w:val="en-GB" w:eastAsia="zh-CN"/>
              </w:rPr>
              <w:t>5)</w:t>
            </w:r>
          </w:p>
        </w:tc>
        <w:tc>
          <w:tcPr>
            <w:tcW w:w="1701" w:type="dxa"/>
            <w:tcMar>
              <w:top w:w="0" w:type="dxa"/>
              <w:left w:w="57" w:type="dxa"/>
              <w:bottom w:w="0" w:type="dxa"/>
              <w:right w:w="57" w:type="dxa"/>
            </w:tcMar>
          </w:tcPr>
          <w:p w14:paraId="5C52A8DA" w14:textId="77777777" w:rsidR="00A453C3" w:rsidRPr="00096020" w:rsidRDefault="00A453C3" w:rsidP="0067693D">
            <w:pPr>
              <w:keepNext/>
              <w:keepLines/>
              <w:suppressAutoHyphens w:val="0"/>
              <w:spacing w:before="50" w:after="50" w:line="240" w:lineRule="exact"/>
              <w:jc w:val="center"/>
              <w:rPr>
                <w:rFonts w:eastAsia="SimSun"/>
                <w:szCs w:val="22"/>
                <w:lang w:val="en-GB" w:eastAsia="zh-CN"/>
              </w:rPr>
            </w:pPr>
            <w:r>
              <w:rPr>
                <w:rFonts w:eastAsia="SimSun"/>
                <w:szCs w:val="22"/>
                <w:lang w:val="en-GB" w:eastAsia="zh-CN"/>
              </w:rPr>
              <w:t>36,3 (12,</w:t>
            </w:r>
            <w:r w:rsidRPr="00096020">
              <w:rPr>
                <w:rFonts w:eastAsia="SimSun"/>
                <w:szCs w:val="22"/>
                <w:lang w:val="en-GB" w:eastAsia="zh-CN"/>
              </w:rPr>
              <w:t>5)</w:t>
            </w:r>
          </w:p>
        </w:tc>
        <w:tc>
          <w:tcPr>
            <w:tcW w:w="1843" w:type="dxa"/>
          </w:tcPr>
          <w:p w14:paraId="6A24A8D5" w14:textId="77777777" w:rsidR="00A453C3" w:rsidRPr="00096020" w:rsidRDefault="00A453C3" w:rsidP="0067693D">
            <w:pPr>
              <w:keepNext/>
              <w:keepLines/>
              <w:suppressAutoHyphens w:val="0"/>
              <w:spacing w:before="50" w:after="50" w:line="240" w:lineRule="exact"/>
              <w:jc w:val="center"/>
              <w:rPr>
                <w:rFonts w:eastAsia="SimSun"/>
                <w:szCs w:val="22"/>
                <w:lang w:val="en-GB" w:eastAsia="zh-CN"/>
              </w:rPr>
            </w:pPr>
            <w:r>
              <w:rPr>
                <w:rFonts w:eastAsia="SimSun"/>
                <w:szCs w:val="22"/>
                <w:lang w:val="en-GB" w:eastAsia="zh-CN"/>
              </w:rPr>
              <w:t>35,</w:t>
            </w:r>
            <w:r w:rsidRPr="00096020">
              <w:rPr>
                <w:rFonts w:eastAsia="SimSun"/>
                <w:szCs w:val="22"/>
                <w:lang w:val="en-GB" w:eastAsia="zh-CN"/>
              </w:rPr>
              <w:t xml:space="preserve">6 </w:t>
            </w:r>
            <w:r>
              <w:rPr>
                <w:rFonts w:eastAsia="SimSun"/>
                <w:szCs w:val="22"/>
                <w:lang w:val="en-GB" w:eastAsia="zh-CN"/>
              </w:rPr>
              <w:t>(13,</w:t>
            </w:r>
            <w:r w:rsidRPr="00096020">
              <w:rPr>
                <w:rFonts w:eastAsia="SimSun"/>
                <w:szCs w:val="22"/>
                <w:lang w:val="en-GB" w:eastAsia="zh-CN"/>
              </w:rPr>
              <w:t>2)</w:t>
            </w:r>
          </w:p>
        </w:tc>
        <w:tc>
          <w:tcPr>
            <w:tcW w:w="1984" w:type="dxa"/>
            <w:tcMar>
              <w:top w:w="0" w:type="dxa"/>
              <w:left w:w="57" w:type="dxa"/>
              <w:bottom w:w="0" w:type="dxa"/>
              <w:right w:w="57" w:type="dxa"/>
            </w:tcMar>
          </w:tcPr>
          <w:p w14:paraId="1B6DD3F7" w14:textId="77777777" w:rsidR="00A453C3" w:rsidRPr="00096020" w:rsidRDefault="00A453C3" w:rsidP="0067693D">
            <w:pPr>
              <w:keepNext/>
              <w:keepLines/>
              <w:suppressAutoHyphens w:val="0"/>
              <w:spacing w:before="50" w:after="50" w:line="240" w:lineRule="exact"/>
              <w:jc w:val="center"/>
              <w:rPr>
                <w:rFonts w:eastAsia="SimSun"/>
                <w:szCs w:val="22"/>
                <w:lang w:val="en-GB" w:eastAsia="zh-CN"/>
              </w:rPr>
            </w:pPr>
            <w:r>
              <w:rPr>
                <w:rFonts w:eastAsia="SimSun"/>
                <w:szCs w:val="22"/>
                <w:lang w:val="en-GB" w:eastAsia="zh-CN"/>
              </w:rPr>
              <w:t>37,4 (14,</w:t>
            </w:r>
            <w:r w:rsidRPr="00096020">
              <w:rPr>
                <w:rFonts w:eastAsia="SimSun"/>
                <w:szCs w:val="22"/>
                <w:lang w:val="en-GB" w:eastAsia="zh-CN"/>
              </w:rPr>
              <w:t>4)</w:t>
            </w:r>
          </w:p>
        </w:tc>
      </w:tr>
      <w:tr w:rsidR="00A453C3" w:rsidRPr="0075336D" w14:paraId="73C91613" w14:textId="77777777" w:rsidTr="00707120">
        <w:trPr>
          <w:cantSplit/>
        </w:trPr>
        <w:tc>
          <w:tcPr>
            <w:tcW w:w="2075" w:type="dxa"/>
            <w:gridSpan w:val="3"/>
            <w:tcMar>
              <w:top w:w="0" w:type="dxa"/>
              <w:left w:w="57" w:type="dxa"/>
              <w:bottom w:w="0" w:type="dxa"/>
              <w:right w:w="57" w:type="dxa"/>
            </w:tcMar>
          </w:tcPr>
          <w:p w14:paraId="69164000" w14:textId="77777777" w:rsidR="00A453C3" w:rsidRPr="00096020" w:rsidRDefault="00A453C3" w:rsidP="00707120">
            <w:pPr>
              <w:keepNext/>
              <w:keepLines/>
              <w:suppressAutoHyphens w:val="0"/>
              <w:spacing w:before="50" w:after="50" w:line="240" w:lineRule="exact"/>
              <w:ind w:left="301"/>
              <w:rPr>
                <w:rFonts w:eastAsia="SimSun"/>
                <w:szCs w:val="22"/>
                <w:lang w:val="en-GB" w:eastAsia="zh-CN"/>
              </w:rPr>
            </w:pPr>
            <w:r>
              <w:rPr>
                <w:rFonts w:eastAsia="SimSun"/>
                <w:szCs w:val="22"/>
                <w:lang w:val="en-GB" w:eastAsia="zh-CN"/>
              </w:rPr>
              <w:t>Mediāna</w:t>
            </w:r>
          </w:p>
        </w:tc>
        <w:tc>
          <w:tcPr>
            <w:tcW w:w="1549" w:type="dxa"/>
            <w:tcMar>
              <w:top w:w="0" w:type="dxa"/>
              <w:left w:w="57" w:type="dxa"/>
              <w:bottom w:w="0" w:type="dxa"/>
              <w:right w:w="57" w:type="dxa"/>
            </w:tcMar>
          </w:tcPr>
          <w:p w14:paraId="15A22FF2" w14:textId="77777777" w:rsidR="00A453C3" w:rsidRPr="00096020" w:rsidRDefault="00A453C3" w:rsidP="0067693D">
            <w:pPr>
              <w:keepNext/>
              <w:keepLines/>
              <w:suppressAutoHyphens w:val="0"/>
              <w:spacing w:before="50" w:after="50" w:line="240" w:lineRule="exact"/>
              <w:jc w:val="center"/>
              <w:rPr>
                <w:rFonts w:eastAsia="SimSun"/>
                <w:szCs w:val="22"/>
                <w:lang w:val="en-GB" w:eastAsia="zh-CN"/>
              </w:rPr>
            </w:pPr>
            <w:r>
              <w:rPr>
                <w:rFonts w:eastAsia="SimSun"/>
                <w:szCs w:val="22"/>
                <w:lang w:val="en-GB" w:eastAsia="zh-CN"/>
              </w:rPr>
              <w:t>42,</w:t>
            </w:r>
            <w:r w:rsidRPr="00096020">
              <w:rPr>
                <w:rFonts w:eastAsia="SimSun"/>
                <w:szCs w:val="22"/>
                <w:lang w:val="en-GB" w:eastAsia="zh-CN"/>
              </w:rPr>
              <w:t>0</w:t>
            </w:r>
          </w:p>
        </w:tc>
        <w:tc>
          <w:tcPr>
            <w:tcW w:w="1701" w:type="dxa"/>
            <w:tcMar>
              <w:top w:w="0" w:type="dxa"/>
              <w:left w:w="57" w:type="dxa"/>
              <w:bottom w:w="0" w:type="dxa"/>
              <w:right w:w="57" w:type="dxa"/>
            </w:tcMar>
          </w:tcPr>
          <w:p w14:paraId="0A1618A1" w14:textId="77777777" w:rsidR="00A453C3" w:rsidRPr="00096020" w:rsidRDefault="00A453C3" w:rsidP="0067693D">
            <w:pPr>
              <w:keepNext/>
              <w:keepLines/>
              <w:suppressAutoHyphens w:val="0"/>
              <w:spacing w:before="50" w:after="50" w:line="240" w:lineRule="exact"/>
              <w:jc w:val="center"/>
              <w:rPr>
                <w:rFonts w:eastAsia="SimSun"/>
                <w:szCs w:val="22"/>
                <w:lang w:val="en-GB" w:eastAsia="zh-CN"/>
              </w:rPr>
            </w:pPr>
            <w:r>
              <w:rPr>
                <w:rFonts w:eastAsia="SimSun"/>
                <w:szCs w:val="22"/>
                <w:lang w:val="en-GB" w:eastAsia="zh-CN"/>
              </w:rPr>
              <w:t>41,</w:t>
            </w:r>
            <w:r w:rsidRPr="00096020">
              <w:rPr>
                <w:rFonts w:eastAsia="SimSun"/>
                <w:szCs w:val="22"/>
                <w:lang w:val="en-GB" w:eastAsia="zh-CN"/>
              </w:rPr>
              <w:t>0</w:t>
            </w:r>
          </w:p>
        </w:tc>
        <w:tc>
          <w:tcPr>
            <w:tcW w:w="1843" w:type="dxa"/>
          </w:tcPr>
          <w:p w14:paraId="0CBB976E" w14:textId="77777777" w:rsidR="00A453C3" w:rsidRPr="00096020" w:rsidRDefault="00A453C3" w:rsidP="0067693D">
            <w:pPr>
              <w:keepNext/>
              <w:keepLines/>
              <w:suppressAutoHyphens w:val="0"/>
              <w:spacing w:before="50" w:after="50" w:line="240" w:lineRule="exact"/>
              <w:jc w:val="center"/>
              <w:rPr>
                <w:rFonts w:eastAsia="SimSun"/>
                <w:szCs w:val="22"/>
                <w:lang w:val="en-GB" w:eastAsia="zh-CN"/>
              </w:rPr>
            </w:pPr>
            <w:r>
              <w:rPr>
                <w:rFonts w:eastAsia="SimSun"/>
                <w:szCs w:val="22"/>
                <w:lang w:val="en-GB" w:eastAsia="zh-CN"/>
              </w:rPr>
              <w:t>41,</w:t>
            </w:r>
            <w:r w:rsidRPr="00096020">
              <w:rPr>
                <w:rFonts w:eastAsia="SimSun"/>
                <w:szCs w:val="22"/>
                <w:lang w:val="en-GB" w:eastAsia="zh-CN"/>
              </w:rPr>
              <w:t>0</w:t>
            </w:r>
          </w:p>
        </w:tc>
        <w:tc>
          <w:tcPr>
            <w:tcW w:w="1984" w:type="dxa"/>
            <w:tcMar>
              <w:top w:w="0" w:type="dxa"/>
              <w:left w:w="57" w:type="dxa"/>
              <w:bottom w:w="0" w:type="dxa"/>
              <w:right w:w="57" w:type="dxa"/>
            </w:tcMar>
          </w:tcPr>
          <w:p w14:paraId="13AD209E" w14:textId="77777777" w:rsidR="00A453C3" w:rsidRPr="00096020" w:rsidRDefault="00A453C3" w:rsidP="0067693D">
            <w:pPr>
              <w:keepNext/>
              <w:keepLines/>
              <w:suppressAutoHyphens w:val="0"/>
              <w:spacing w:before="50" w:after="50" w:line="240" w:lineRule="exact"/>
              <w:jc w:val="center"/>
              <w:rPr>
                <w:rFonts w:eastAsia="SimSun"/>
                <w:szCs w:val="22"/>
                <w:lang w:val="en-GB" w:eastAsia="zh-CN"/>
              </w:rPr>
            </w:pPr>
            <w:r>
              <w:rPr>
                <w:rFonts w:eastAsia="SimSun"/>
                <w:szCs w:val="22"/>
                <w:lang w:val="en-GB" w:eastAsia="zh-CN"/>
              </w:rPr>
              <w:t>42,</w:t>
            </w:r>
            <w:r w:rsidRPr="00096020">
              <w:rPr>
                <w:rFonts w:eastAsia="SimSun"/>
                <w:szCs w:val="22"/>
                <w:lang w:val="en-GB" w:eastAsia="zh-CN"/>
              </w:rPr>
              <w:t>0</w:t>
            </w:r>
          </w:p>
        </w:tc>
      </w:tr>
      <w:tr w:rsidR="00A453C3" w:rsidRPr="0075336D" w14:paraId="561E4112" w14:textId="77777777" w:rsidTr="00707120">
        <w:trPr>
          <w:cantSplit/>
        </w:trPr>
        <w:tc>
          <w:tcPr>
            <w:tcW w:w="2075" w:type="dxa"/>
            <w:gridSpan w:val="3"/>
            <w:tcMar>
              <w:top w:w="0" w:type="dxa"/>
              <w:left w:w="57" w:type="dxa"/>
              <w:bottom w:w="0" w:type="dxa"/>
              <w:right w:w="57" w:type="dxa"/>
            </w:tcMar>
          </w:tcPr>
          <w:p w14:paraId="0460DE74" w14:textId="18E00FB7" w:rsidR="00A453C3" w:rsidRPr="00096020" w:rsidRDefault="00A453C3" w:rsidP="00707120">
            <w:pPr>
              <w:keepNext/>
              <w:keepLines/>
              <w:suppressAutoHyphens w:val="0"/>
              <w:spacing w:before="50" w:after="50" w:line="240" w:lineRule="exact"/>
              <w:ind w:left="301"/>
              <w:rPr>
                <w:rFonts w:eastAsia="SimSun"/>
                <w:szCs w:val="22"/>
                <w:lang w:val="en-GB" w:eastAsia="zh-CN"/>
              </w:rPr>
            </w:pPr>
            <w:r w:rsidRPr="00096020">
              <w:rPr>
                <w:rFonts w:eastAsia="SimSun"/>
                <w:szCs w:val="22"/>
                <w:lang w:val="en-GB" w:eastAsia="zh-CN"/>
              </w:rPr>
              <w:t>Min</w:t>
            </w:r>
            <w:r>
              <w:rPr>
                <w:rFonts w:eastAsia="SimSun"/>
                <w:szCs w:val="22"/>
                <w:lang w:val="en-GB" w:eastAsia="zh-CN"/>
              </w:rPr>
              <w:t>imums</w:t>
            </w:r>
            <w:r w:rsidRPr="00096020">
              <w:rPr>
                <w:rFonts w:eastAsia="SimSun"/>
                <w:szCs w:val="22"/>
                <w:lang w:val="en-GB" w:eastAsia="zh-CN"/>
              </w:rPr>
              <w:t xml:space="preserve"> </w:t>
            </w:r>
            <w:r>
              <w:rPr>
                <w:rFonts w:eastAsia="SimSun"/>
                <w:szCs w:val="22"/>
                <w:lang w:val="en-GB" w:eastAsia="zh-CN"/>
              </w:rPr>
              <w:noBreakHyphen/>
            </w:r>
            <w:r w:rsidRPr="00096020">
              <w:rPr>
                <w:rFonts w:eastAsia="SimSun"/>
                <w:szCs w:val="22"/>
                <w:lang w:val="en-GB" w:eastAsia="zh-CN"/>
              </w:rPr>
              <w:t xml:space="preserve"> Ma</w:t>
            </w:r>
            <w:r>
              <w:rPr>
                <w:rFonts w:eastAsia="SimSun"/>
                <w:szCs w:val="22"/>
                <w:lang w:val="en-GB" w:eastAsia="zh-CN"/>
              </w:rPr>
              <w:t>ksimums</w:t>
            </w:r>
          </w:p>
        </w:tc>
        <w:tc>
          <w:tcPr>
            <w:tcW w:w="1549" w:type="dxa"/>
            <w:tcMar>
              <w:top w:w="0" w:type="dxa"/>
              <w:left w:w="57" w:type="dxa"/>
              <w:bottom w:w="0" w:type="dxa"/>
              <w:right w:w="57" w:type="dxa"/>
            </w:tcMar>
          </w:tcPr>
          <w:p w14:paraId="1342ABE2" w14:textId="66C7A11E" w:rsidR="00A453C3" w:rsidRPr="00096020" w:rsidRDefault="00A453C3" w:rsidP="0067693D">
            <w:pPr>
              <w:keepNext/>
              <w:keepLines/>
              <w:suppressAutoHyphens w:val="0"/>
              <w:spacing w:before="50" w:after="50" w:line="240" w:lineRule="exact"/>
              <w:jc w:val="center"/>
              <w:rPr>
                <w:rFonts w:eastAsia="SimSun"/>
                <w:szCs w:val="22"/>
                <w:lang w:val="en-GB" w:eastAsia="zh-CN"/>
              </w:rPr>
            </w:pPr>
            <w:r w:rsidRPr="00096020">
              <w:rPr>
                <w:rFonts w:eastAsia="SimSun"/>
                <w:szCs w:val="22"/>
                <w:lang w:val="en-GB" w:eastAsia="zh-CN"/>
              </w:rPr>
              <w:t xml:space="preserve">6 </w:t>
            </w:r>
            <w:r>
              <w:rPr>
                <w:rFonts w:eastAsia="SimSun"/>
                <w:szCs w:val="22"/>
                <w:lang w:val="en-GB" w:eastAsia="zh-CN"/>
              </w:rPr>
              <w:t>–</w:t>
            </w:r>
            <w:r w:rsidRPr="00096020">
              <w:rPr>
                <w:rFonts w:eastAsia="SimSun"/>
                <w:szCs w:val="22"/>
                <w:lang w:val="en-GB" w:eastAsia="zh-CN"/>
              </w:rPr>
              <w:t xml:space="preserve"> 63</w:t>
            </w:r>
          </w:p>
        </w:tc>
        <w:tc>
          <w:tcPr>
            <w:tcW w:w="1701" w:type="dxa"/>
            <w:tcMar>
              <w:top w:w="0" w:type="dxa"/>
              <w:left w:w="57" w:type="dxa"/>
              <w:bottom w:w="0" w:type="dxa"/>
              <w:right w:w="57" w:type="dxa"/>
            </w:tcMar>
          </w:tcPr>
          <w:p w14:paraId="7FC8C93A" w14:textId="77777777" w:rsidR="00A453C3" w:rsidRPr="00096020" w:rsidRDefault="00A453C3" w:rsidP="0067693D">
            <w:pPr>
              <w:keepNext/>
              <w:keepLines/>
              <w:suppressAutoHyphens w:val="0"/>
              <w:spacing w:before="50" w:after="50" w:line="240" w:lineRule="exact"/>
              <w:jc w:val="center"/>
              <w:rPr>
                <w:rFonts w:eastAsia="SimSun"/>
                <w:szCs w:val="22"/>
                <w:lang w:val="en-GB" w:eastAsia="zh-CN"/>
              </w:rPr>
            </w:pPr>
            <w:r w:rsidRPr="00096020">
              <w:rPr>
                <w:rFonts w:eastAsia="SimSun"/>
                <w:szCs w:val="22"/>
                <w:lang w:val="en-GB" w:eastAsia="zh-CN"/>
              </w:rPr>
              <w:t>12 – 82</w:t>
            </w:r>
          </w:p>
        </w:tc>
        <w:tc>
          <w:tcPr>
            <w:tcW w:w="1843" w:type="dxa"/>
          </w:tcPr>
          <w:p w14:paraId="54DCA4E3" w14:textId="137CDA3C" w:rsidR="00A453C3" w:rsidRPr="00096020" w:rsidRDefault="00A453C3" w:rsidP="0067693D">
            <w:pPr>
              <w:keepNext/>
              <w:keepLines/>
              <w:suppressAutoHyphens w:val="0"/>
              <w:spacing w:before="50" w:after="50" w:line="240" w:lineRule="exact"/>
              <w:jc w:val="center"/>
              <w:rPr>
                <w:rFonts w:eastAsia="SimSun"/>
                <w:szCs w:val="22"/>
                <w:lang w:val="en-GB" w:eastAsia="zh-CN"/>
              </w:rPr>
            </w:pPr>
            <w:r w:rsidRPr="00096020">
              <w:rPr>
                <w:rFonts w:eastAsia="SimSun"/>
                <w:szCs w:val="22"/>
                <w:lang w:val="en-GB" w:eastAsia="zh-CN"/>
              </w:rPr>
              <w:t xml:space="preserve">1 </w:t>
            </w:r>
            <w:r>
              <w:rPr>
                <w:rFonts w:eastAsia="SimSun"/>
                <w:szCs w:val="22"/>
                <w:lang w:val="en-GB" w:eastAsia="zh-CN"/>
              </w:rPr>
              <w:t>–</w:t>
            </w:r>
            <w:r w:rsidRPr="00096020">
              <w:rPr>
                <w:rFonts w:eastAsia="SimSun"/>
                <w:szCs w:val="22"/>
                <w:lang w:val="en-GB" w:eastAsia="zh-CN"/>
              </w:rPr>
              <w:t xml:space="preserve"> 87</w:t>
            </w:r>
          </w:p>
        </w:tc>
        <w:tc>
          <w:tcPr>
            <w:tcW w:w="1984" w:type="dxa"/>
            <w:tcMar>
              <w:top w:w="0" w:type="dxa"/>
              <w:left w:w="57" w:type="dxa"/>
              <w:bottom w:w="0" w:type="dxa"/>
              <w:right w:w="57" w:type="dxa"/>
            </w:tcMar>
          </w:tcPr>
          <w:p w14:paraId="2FAE8B2E" w14:textId="37CCFD93" w:rsidR="00A453C3" w:rsidRPr="00096020" w:rsidRDefault="00A453C3" w:rsidP="0067693D">
            <w:pPr>
              <w:keepNext/>
              <w:keepLines/>
              <w:suppressAutoHyphens w:val="0"/>
              <w:spacing w:before="50" w:after="50" w:line="240" w:lineRule="exact"/>
              <w:jc w:val="center"/>
              <w:rPr>
                <w:rFonts w:eastAsia="SimSun"/>
                <w:szCs w:val="22"/>
                <w:lang w:val="en-GB" w:eastAsia="zh-CN"/>
              </w:rPr>
            </w:pPr>
            <w:r w:rsidRPr="00096020">
              <w:rPr>
                <w:rFonts w:eastAsia="SimSun"/>
                <w:szCs w:val="22"/>
                <w:lang w:val="en-GB" w:eastAsia="zh-CN"/>
              </w:rPr>
              <w:t xml:space="preserve">9 </w:t>
            </w:r>
            <w:r>
              <w:rPr>
                <w:rFonts w:eastAsia="SimSun"/>
                <w:szCs w:val="22"/>
                <w:lang w:val="en-GB" w:eastAsia="zh-CN"/>
              </w:rPr>
              <w:t>–</w:t>
            </w:r>
            <w:r w:rsidRPr="00096020">
              <w:rPr>
                <w:rFonts w:eastAsia="SimSun"/>
                <w:szCs w:val="22"/>
                <w:lang w:val="en-GB" w:eastAsia="zh-CN"/>
              </w:rPr>
              <w:t xml:space="preserve"> 87</w:t>
            </w:r>
          </w:p>
        </w:tc>
      </w:tr>
    </w:tbl>
    <w:p w14:paraId="61B335D0" w14:textId="77777777" w:rsidR="00A453C3" w:rsidRPr="00707120" w:rsidRDefault="00A453C3" w:rsidP="00A453C3">
      <w:pPr>
        <w:rPr>
          <w:sz w:val="18"/>
          <w:szCs w:val="18"/>
        </w:rPr>
      </w:pPr>
      <w:r w:rsidRPr="00707120">
        <w:rPr>
          <w:sz w:val="18"/>
          <w:szCs w:val="18"/>
        </w:rPr>
        <w:t>s.c. = subkutāni.</w:t>
      </w:r>
    </w:p>
    <w:p w14:paraId="33246A71" w14:textId="77777777" w:rsidR="00A453C3" w:rsidRPr="00D6314F" w:rsidRDefault="00A453C3" w:rsidP="00A453C3"/>
    <w:p w14:paraId="171450E3" w14:textId="4A5DE1FD" w:rsidR="00A453C3" w:rsidRPr="00D6314F" w:rsidRDefault="00A453C3" w:rsidP="00A453C3">
      <w:r w:rsidRPr="00D6314F">
        <w:t xml:space="preserve">Tika </w:t>
      </w:r>
      <w:r>
        <w:t>sasniegts</w:t>
      </w:r>
      <w:r w:rsidRPr="00D6314F">
        <w:t xml:space="preserve"> primārais vērtētais efektivitātes mērķa kritērijs </w:t>
      </w:r>
      <w:r>
        <w:t>–</w:t>
      </w:r>
      <w:r w:rsidRPr="00D6314F">
        <w:t xml:space="preserve"> pacientu </w:t>
      </w:r>
      <w:r>
        <w:t xml:space="preserve">procentuālais </w:t>
      </w:r>
      <w:r w:rsidRPr="00D6314F">
        <w:t xml:space="preserve">īpatsvars, kuriem </w:t>
      </w:r>
      <w:r>
        <w:t>tocilizumaba</w:t>
      </w:r>
      <w:r w:rsidRPr="00D6314F">
        <w:t xml:space="preserve"> terapijas 52. nedēļā </w:t>
      </w:r>
      <w:r>
        <w:t>kombinācijā ar</w:t>
      </w:r>
      <w:r w:rsidRPr="00D6314F">
        <w:t xml:space="preserve"> 26</w:t>
      </w:r>
      <w:r>
        <w:t xml:space="preserve"> nedēļas </w:t>
      </w:r>
      <w:r w:rsidRPr="00D6314F">
        <w:t>ilg</w:t>
      </w:r>
      <w:r>
        <w:t>u</w:t>
      </w:r>
      <w:r w:rsidRPr="00D6314F">
        <w:t xml:space="preserve"> prednizona </w:t>
      </w:r>
      <w:r>
        <w:t>terapiju</w:t>
      </w:r>
      <w:r w:rsidRPr="00D6314F">
        <w:t xml:space="preserve">, pakāpeniski samazinot devu, bija </w:t>
      </w:r>
      <w:r>
        <w:t>panākta</w:t>
      </w:r>
      <w:r w:rsidRPr="00D6314F">
        <w:t xml:space="preserve"> noturīga remisija bez steroīdu lietošanas, salīdzinājumā ar placebo </w:t>
      </w:r>
      <w:r>
        <w:t>kombinācijā</w:t>
      </w:r>
      <w:r w:rsidRPr="00D6314F">
        <w:t xml:space="preserve"> ar 26</w:t>
      </w:r>
      <w:r>
        <w:t> </w:t>
      </w:r>
      <w:r w:rsidRPr="00D6314F">
        <w:t>nedēļas ilgu prednizona terapiju, pakāpeniski samazinot devu (</w:t>
      </w:r>
      <w:r>
        <w:t>4</w:t>
      </w:r>
      <w:r w:rsidRPr="00D6314F">
        <w:t>.</w:t>
      </w:r>
      <w:r>
        <w:t> </w:t>
      </w:r>
      <w:r w:rsidRPr="00D6314F">
        <w:t xml:space="preserve">tabula). </w:t>
      </w:r>
    </w:p>
    <w:p w14:paraId="016FD428" w14:textId="77777777" w:rsidR="00A453C3" w:rsidRPr="00DD7A4F" w:rsidRDefault="00A453C3" w:rsidP="00A453C3"/>
    <w:p w14:paraId="3A2AC525" w14:textId="716B3F4F" w:rsidR="00A453C3" w:rsidRPr="00DD7A4F" w:rsidRDefault="00A453C3" w:rsidP="00A453C3">
      <w:r w:rsidRPr="00DD7A4F">
        <w:t xml:space="preserve">Tika </w:t>
      </w:r>
      <w:r>
        <w:t>sasniegts</w:t>
      </w:r>
      <w:r w:rsidRPr="00DD7A4F">
        <w:t xml:space="preserve"> arī galvenais sekundārais efektivitātes mērķa kritērijs; </w:t>
      </w:r>
      <w:r w:rsidRPr="001929B8">
        <w:rPr>
          <w:lang w:val="lv-LV"/>
        </w:rPr>
        <w:t xml:space="preserve">kas arī pamatojās uz </w:t>
      </w:r>
      <w:r>
        <w:rPr>
          <w:lang w:val="lv-LV"/>
        </w:rPr>
        <w:t xml:space="preserve">to </w:t>
      </w:r>
      <w:r w:rsidRPr="001929B8">
        <w:rPr>
          <w:lang w:val="lv-LV"/>
        </w:rPr>
        <w:t>pacientu procentuālo</w:t>
      </w:r>
      <w:r w:rsidRPr="00DD7A4F">
        <w:t xml:space="preserve"> īpatsvaru, kuriem 52.</w:t>
      </w:r>
      <w:r>
        <w:t> </w:t>
      </w:r>
      <w:r w:rsidRPr="00DD7A4F">
        <w:t>nedēļā bija panākta noturīga remisija, salīdzinot tocilizumabu kombinācijā ar 26 nedēļas ilgu prednizona terapiju, pakāpeniski samazinot devu, un placebo kombinācijā ar 52</w:t>
      </w:r>
      <w:r>
        <w:t> </w:t>
      </w:r>
      <w:r w:rsidRPr="00DD7A4F">
        <w:t>nedēļas ilgu prednizona terapiju, pakāpeniski samazinot devu (</w:t>
      </w:r>
      <w:r>
        <w:t>4</w:t>
      </w:r>
      <w:r w:rsidRPr="00DD7A4F">
        <w:t>.</w:t>
      </w:r>
      <w:r w:rsidR="00595F16">
        <w:t> </w:t>
      </w:r>
      <w:r w:rsidRPr="00DD7A4F">
        <w:t>tabula).</w:t>
      </w:r>
    </w:p>
    <w:p w14:paraId="15D9E247" w14:textId="77777777" w:rsidR="00A453C3" w:rsidRPr="00DD7A4F" w:rsidRDefault="00A453C3" w:rsidP="00A453C3"/>
    <w:p w14:paraId="62CA87D2" w14:textId="1E473953" w:rsidR="00A453C3" w:rsidRPr="00DD7A4F" w:rsidRDefault="00A453C3" w:rsidP="00A453C3">
      <w:pPr>
        <w:rPr>
          <w:color w:val="000000"/>
          <w:shd w:val="clear" w:color="auto" w:fill="FFFFFF"/>
        </w:rPr>
      </w:pPr>
      <w:r w:rsidRPr="001929B8">
        <w:rPr>
          <w:color w:val="000000"/>
          <w:shd w:val="clear" w:color="auto" w:fill="FFFFFF"/>
          <w:lang w:val="lv-LV"/>
        </w:rPr>
        <w:t xml:space="preserve">Statistiski nozīmīgi labāks ārstēšanas efekts par labu </w:t>
      </w:r>
      <w:r>
        <w:rPr>
          <w:color w:val="000000"/>
          <w:shd w:val="clear" w:color="auto" w:fill="FFFFFF"/>
          <w:lang w:val="lv-LV"/>
        </w:rPr>
        <w:t>tocilizumabam</w:t>
      </w:r>
      <w:r w:rsidRPr="001929B8">
        <w:rPr>
          <w:color w:val="000000"/>
          <w:shd w:val="clear" w:color="auto" w:fill="FFFFFF"/>
          <w:lang w:val="lv-LV"/>
        </w:rPr>
        <w:t xml:space="preserve"> salīdzinājumā ar placebo tika novērots</w:t>
      </w:r>
      <w:r>
        <w:rPr>
          <w:color w:val="000000"/>
          <w:shd w:val="clear" w:color="auto" w:fill="FFFFFF"/>
          <w:lang w:val="lv-LV"/>
        </w:rPr>
        <w:t>,</w:t>
      </w:r>
      <w:r w:rsidRPr="001929B8">
        <w:rPr>
          <w:color w:val="000000"/>
          <w:shd w:val="clear" w:color="auto" w:fill="FFFFFF"/>
          <w:lang w:val="lv-LV"/>
        </w:rPr>
        <w:t xml:space="preserve"> v</w:t>
      </w:r>
      <w:r w:rsidRPr="00DD7A4F">
        <w:rPr>
          <w:color w:val="000000"/>
          <w:shd w:val="clear" w:color="auto" w:fill="FFFFFF"/>
        </w:rPr>
        <w:t xml:space="preserve">ērtējot noturīgas remisijas panākšanu bez steroīdu lietošanas 52. nedēļā, lietojot </w:t>
      </w:r>
      <w:r>
        <w:rPr>
          <w:color w:val="000000"/>
          <w:shd w:val="clear" w:color="auto" w:fill="FFFFFF"/>
        </w:rPr>
        <w:t>tocilizumabu</w:t>
      </w:r>
      <w:r w:rsidRPr="00DD7A4F">
        <w:rPr>
          <w:color w:val="000000"/>
          <w:shd w:val="clear" w:color="auto" w:fill="FFFFFF"/>
        </w:rPr>
        <w:t xml:space="preserve"> kombinācijā ar 26</w:t>
      </w:r>
      <w:r>
        <w:rPr>
          <w:color w:val="000000"/>
          <w:shd w:val="clear" w:color="auto" w:fill="FFFFFF"/>
        </w:rPr>
        <w:t> </w:t>
      </w:r>
      <w:r w:rsidRPr="00DD7A4F">
        <w:rPr>
          <w:color w:val="000000"/>
          <w:shd w:val="clear" w:color="auto" w:fill="FFFFFF"/>
        </w:rPr>
        <w:t>nedēļas ilgu prednizona terapiju, pakāpeniski samazinot devu, salīdzinājumā ar placebo kombinācijā ar 26</w:t>
      </w:r>
      <w:r>
        <w:rPr>
          <w:color w:val="000000"/>
          <w:shd w:val="clear" w:color="auto" w:fill="FFFFFF"/>
        </w:rPr>
        <w:t> </w:t>
      </w:r>
      <w:r w:rsidRPr="00DD7A4F">
        <w:rPr>
          <w:color w:val="000000"/>
          <w:shd w:val="clear" w:color="auto" w:fill="FFFFFF"/>
        </w:rPr>
        <w:t>nedēļas vai 52</w:t>
      </w:r>
      <w:r>
        <w:rPr>
          <w:color w:val="000000"/>
          <w:shd w:val="clear" w:color="auto" w:fill="FFFFFF"/>
        </w:rPr>
        <w:t> </w:t>
      </w:r>
      <w:r w:rsidRPr="00DD7A4F">
        <w:rPr>
          <w:color w:val="000000"/>
          <w:shd w:val="clear" w:color="auto" w:fill="FFFFFF"/>
        </w:rPr>
        <w:t>nedēļas ilgu prednizona terapiju, pakāpeniski samazinot devu.</w:t>
      </w:r>
    </w:p>
    <w:p w14:paraId="0EC96ED1" w14:textId="77777777" w:rsidR="00A453C3" w:rsidRPr="00DD7A4F" w:rsidRDefault="00A453C3" w:rsidP="00A453C3"/>
    <w:p w14:paraId="60ACEE23" w14:textId="2D6ED6AE" w:rsidR="00A453C3" w:rsidRPr="00DD7A4F" w:rsidRDefault="00A453C3" w:rsidP="00A453C3">
      <w:r w:rsidRPr="001929B8">
        <w:rPr>
          <w:lang w:val="lv-LV"/>
        </w:rPr>
        <w:t>Pacientu procentuālais īpatsvars, kuriem 52. nedēļā bija panākta noturīga remisija, norādīts</w:t>
      </w:r>
      <w:r w:rsidRPr="001929B8" w:rsidDel="001929B8">
        <w:t xml:space="preserve"> </w:t>
      </w:r>
      <w:r>
        <w:t>4</w:t>
      </w:r>
      <w:r w:rsidRPr="00DD7A4F">
        <w:t>.</w:t>
      </w:r>
      <w:r>
        <w:t> </w:t>
      </w:r>
      <w:r w:rsidRPr="00DD7A4F">
        <w:t>tabulā.</w:t>
      </w:r>
    </w:p>
    <w:p w14:paraId="6538A6FB" w14:textId="77777777" w:rsidR="00A453C3" w:rsidRPr="00DD7A4F" w:rsidRDefault="00A453C3" w:rsidP="00A453C3"/>
    <w:p w14:paraId="496AC519" w14:textId="77777777" w:rsidR="00A453C3" w:rsidRPr="00707120" w:rsidRDefault="00A453C3" w:rsidP="00A453C3">
      <w:pPr>
        <w:keepNext/>
        <w:spacing w:line="280" w:lineRule="atLeast"/>
        <w:jc w:val="both"/>
        <w:rPr>
          <w:i/>
          <w:szCs w:val="22"/>
          <w:u w:val="single"/>
        </w:rPr>
      </w:pPr>
      <w:r w:rsidRPr="00707120">
        <w:rPr>
          <w:i/>
          <w:szCs w:val="22"/>
          <w:u w:val="single"/>
        </w:rPr>
        <w:t xml:space="preserve">Sekundārie mērķa kritēriji </w:t>
      </w:r>
    </w:p>
    <w:p w14:paraId="201828B9" w14:textId="72EC3FCD" w:rsidR="00A453C3" w:rsidRPr="00DD7A4F" w:rsidRDefault="00A453C3" w:rsidP="00A453C3">
      <w:pPr>
        <w:rPr>
          <w:color w:val="000000"/>
        </w:rPr>
      </w:pPr>
      <w:r w:rsidRPr="00DD7A4F">
        <w:rPr>
          <w:color w:val="000000"/>
          <w:shd w:val="clear" w:color="auto" w:fill="FFFFFF"/>
        </w:rPr>
        <w:t xml:space="preserve">Vērtējot laiku līdz pirmajam GCA uzliesmojumam, tika konstatēts </w:t>
      </w:r>
      <w:r>
        <w:rPr>
          <w:color w:val="000000"/>
          <w:shd w:val="clear" w:color="auto" w:fill="FFFFFF"/>
        </w:rPr>
        <w:t>nozīmīgi zemāks</w:t>
      </w:r>
      <w:r w:rsidRPr="00DD7A4F">
        <w:rPr>
          <w:color w:val="000000"/>
          <w:shd w:val="clear" w:color="auto" w:fill="FFFFFF"/>
        </w:rPr>
        <w:t xml:space="preserve"> slimības uzliesmojuma risks</w:t>
      </w:r>
      <w:r>
        <w:rPr>
          <w:color w:val="000000"/>
          <w:shd w:val="clear" w:color="auto" w:fill="FFFFFF"/>
        </w:rPr>
        <w:t xml:space="preserve"> vienu</w:t>
      </w:r>
      <w:r w:rsidRPr="00DD7A4F">
        <w:rPr>
          <w:color w:val="000000"/>
          <w:shd w:val="clear" w:color="auto" w:fill="FFFFFF"/>
        </w:rPr>
        <w:t xml:space="preserve"> reizi nedēļā subkutāni lietota</w:t>
      </w:r>
      <w:r>
        <w:rPr>
          <w:color w:val="000000"/>
          <w:shd w:val="clear" w:color="auto" w:fill="FFFFFF"/>
        </w:rPr>
        <w:t xml:space="preserve"> tocilizumaba</w:t>
      </w:r>
      <w:r w:rsidRPr="00DD7A4F">
        <w:rPr>
          <w:color w:val="000000"/>
          <w:shd w:val="clear" w:color="auto" w:fill="FFFFFF"/>
        </w:rPr>
        <w:t xml:space="preserve"> grupā salīdzinājumā ar grupu, kurā lietoja placebo kombinācijā ar 26</w:t>
      </w:r>
      <w:r>
        <w:rPr>
          <w:color w:val="000000"/>
          <w:shd w:val="clear" w:color="auto" w:fill="FFFFFF"/>
        </w:rPr>
        <w:t> </w:t>
      </w:r>
      <w:r w:rsidRPr="00DD7A4F">
        <w:rPr>
          <w:color w:val="000000"/>
          <w:shd w:val="clear" w:color="auto" w:fill="FFFFFF"/>
        </w:rPr>
        <w:t>nedēļas ilgu prednizona terapiju, pakāpeniski samazinot devu, un grupu, kurā lietoja placebo kombinācijā ar 52</w:t>
      </w:r>
      <w:r>
        <w:rPr>
          <w:color w:val="000000"/>
          <w:shd w:val="clear" w:color="auto" w:fill="FFFFFF"/>
        </w:rPr>
        <w:t> </w:t>
      </w:r>
      <w:r w:rsidRPr="00DD7A4F">
        <w:rPr>
          <w:color w:val="000000"/>
          <w:shd w:val="clear" w:color="auto" w:fill="FFFFFF"/>
        </w:rPr>
        <w:t xml:space="preserve">nedēļas ilgu prednizona terapiju, pakāpeniski samazinot devu, kā arī katru otro nedēļu subkutāni lietota </w:t>
      </w:r>
      <w:r>
        <w:rPr>
          <w:color w:val="000000"/>
          <w:shd w:val="clear" w:color="auto" w:fill="FFFFFF"/>
        </w:rPr>
        <w:t>tocilizumaba</w:t>
      </w:r>
      <w:r w:rsidRPr="00DD7A4F">
        <w:rPr>
          <w:color w:val="000000"/>
          <w:shd w:val="clear" w:color="auto" w:fill="FFFFFF"/>
        </w:rPr>
        <w:t xml:space="preserve"> grupā salīdzinājumā ar grupu, kurā lietoja placebo un 26</w:t>
      </w:r>
      <w:r>
        <w:rPr>
          <w:color w:val="000000"/>
          <w:shd w:val="clear" w:color="auto" w:fill="FFFFFF"/>
        </w:rPr>
        <w:t> </w:t>
      </w:r>
      <w:r w:rsidRPr="00DD7A4F">
        <w:rPr>
          <w:color w:val="000000"/>
          <w:shd w:val="clear" w:color="auto" w:fill="FFFFFF"/>
        </w:rPr>
        <w:t xml:space="preserve">nedēļas ilgu prednizona terapiju (salīdzinājumā par </w:t>
      </w:r>
      <w:r>
        <w:rPr>
          <w:color w:val="000000"/>
          <w:shd w:val="clear" w:color="auto" w:fill="FFFFFF"/>
        </w:rPr>
        <w:t xml:space="preserve">statistiskā </w:t>
      </w:r>
      <w:r w:rsidRPr="00DD7A4F">
        <w:rPr>
          <w:color w:val="000000"/>
          <w:shd w:val="clear" w:color="auto" w:fill="FFFFFF"/>
        </w:rPr>
        <w:t>nozīmīguma robežvērtību izmantot</w:t>
      </w:r>
      <w:r>
        <w:rPr>
          <w:color w:val="000000"/>
          <w:shd w:val="clear" w:color="auto" w:fill="FFFFFF"/>
        </w:rPr>
        <w:t>s</w:t>
      </w:r>
      <w:r w:rsidRPr="00DD7A4F">
        <w:rPr>
          <w:color w:val="000000"/>
          <w:shd w:val="clear" w:color="auto" w:fill="FFFFFF"/>
        </w:rPr>
        <w:t xml:space="preserve"> 0,01). </w:t>
      </w:r>
      <w:r w:rsidRPr="001929B8">
        <w:rPr>
          <w:color w:val="000000"/>
          <w:lang w:val="lv-LV"/>
        </w:rPr>
        <w:t xml:space="preserve">Lietojot </w:t>
      </w:r>
      <w:r>
        <w:rPr>
          <w:color w:val="000000"/>
          <w:lang w:val="lv-LV"/>
        </w:rPr>
        <w:t>tocilizumaba</w:t>
      </w:r>
      <w:r w:rsidRPr="001929B8">
        <w:rPr>
          <w:color w:val="000000"/>
          <w:lang w:val="lv-LV"/>
        </w:rPr>
        <w:t xml:space="preserve"> devu vienu reizi nedēļā subkutāni, konstatēta arī klīniski nozīmīga slimības uzliesmojumu riska pazemināšanās salīdzinājumā ar placebo kombinācijā ar 26 nedēļas ilgu prednizona terapiju gan pacientiem, kuri iesaistījās pētījumā ar recidivējošu GCA, gan pacientiem ar pirmoreiz diagnosticētu slimību</w:t>
      </w:r>
      <w:r w:rsidRPr="00DD7A4F">
        <w:rPr>
          <w:color w:val="000000"/>
        </w:rPr>
        <w:t xml:space="preserve"> (</w:t>
      </w:r>
      <w:r>
        <w:rPr>
          <w:color w:val="000000"/>
        </w:rPr>
        <w:t>4</w:t>
      </w:r>
      <w:r w:rsidRPr="00DD7A4F">
        <w:rPr>
          <w:color w:val="000000"/>
        </w:rPr>
        <w:t>.</w:t>
      </w:r>
      <w:r>
        <w:rPr>
          <w:color w:val="000000"/>
        </w:rPr>
        <w:t> </w:t>
      </w:r>
      <w:r w:rsidRPr="00DD7A4F">
        <w:rPr>
          <w:color w:val="000000"/>
        </w:rPr>
        <w:t>tabula).</w:t>
      </w:r>
    </w:p>
    <w:p w14:paraId="59DF1679" w14:textId="77777777" w:rsidR="00A453C3" w:rsidRPr="00DD7A4F" w:rsidRDefault="00A453C3" w:rsidP="00A453C3">
      <w:pPr>
        <w:spacing w:line="280" w:lineRule="atLeast"/>
        <w:jc w:val="both"/>
        <w:rPr>
          <w:sz w:val="24"/>
          <w:szCs w:val="24"/>
        </w:rPr>
      </w:pPr>
    </w:p>
    <w:p w14:paraId="5E6E14EB" w14:textId="77777777" w:rsidR="00A453C3" w:rsidRPr="00707120" w:rsidRDefault="00A453C3" w:rsidP="00707120">
      <w:pPr>
        <w:keepNext/>
        <w:spacing w:line="280" w:lineRule="atLeast"/>
        <w:jc w:val="both"/>
        <w:rPr>
          <w:szCs w:val="22"/>
          <w:u w:val="single"/>
        </w:rPr>
      </w:pPr>
      <w:r w:rsidRPr="00707120">
        <w:rPr>
          <w:i/>
          <w:szCs w:val="22"/>
          <w:u w:val="single"/>
        </w:rPr>
        <w:t xml:space="preserve">Kumulatīvā glikokortikoīdu deva </w:t>
      </w:r>
    </w:p>
    <w:p w14:paraId="402569F7" w14:textId="487FB04A" w:rsidR="00A453C3" w:rsidRPr="00DD7A4F" w:rsidRDefault="00A453C3" w:rsidP="00A453C3">
      <w:r w:rsidRPr="00DD7A4F">
        <w:t>Kumulatīvā prednizona deva 52.</w:t>
      </w:r>
      <w:r>
        <w:t> </w:t>
      </w:r>
      <w:r w:rsidRPr="00DD7A4F">
        <w:t xml:space="preserve">nedēļā abās </w:t>
      </w:r>
      <w:r>
        <w:t>tocilizumaba</w:t>
      </w:r>
      <w:r w:rsidRPr="00DD7A4F">
        <w:t xml:space="preserve"> devu grupās bija ievērojami mazāka nekā abās placebo grupās (</w:t>
      </w:r>
      <w:r>
        <w:t>4</w:t>
      </w:r>
      <w:r w:rsidRPr="00DD7A4F">
        <w:t>.</w:t>
      </w:r>
      <w:r>
        <w:t> </w:t>
      </w:r>
      <w:r w:rsidRPr="00DD7A4F">
        <w:t xml:space="preserve">tabula). Atsevišķā analīzē pacientiem, kuri GCA uzliesmojuma ārstēšanai pirmo 52 nedēļu laikā saņēma ārpuskārtas prednizonu, prednizona kumulatīvā deva ievērojami variēja. Ārpuskārtas pacientiem grupās, kurās </w:t>
      </w:r>
      <w:r>
        <w:t>tocilizumabu</w:t>
      </w:r>
      <w:r w:rsidRPr="00DD7A4F">
        <w:t xml:space="preserve"> lietoja</w:t>
      </w:r>
      <w:r>
        <w:t xml:space="preserve"> vienu</w:t>
      </w:r>
      <w:r w:rsidRPr="00DD7A4F">
        <w:t xml:space="preserve"> reizi nedēļā vai katru otro nedēļu, devas mediāna bija attiecīgi 3</w:t>
      </w:r>
      <w:ins w:id="1078" w:author="Author">
        <w:r w:rsidR="00BB0320">
          <w:t> </w:t>
        </w:r>
      </w:ins>
      <w:r w:rsidRPr="00DD7A4F">
        <w:t>129,75 mg un 3</w:t>
      </w:r>
      <w:ins w:id="1079" w:author="Author">
        <w:r w:rsidR="00BB0320">
          <w:t> </w:t>
        </w:r>
      </w:ins>
      <w:r w:rsidRPr="00DD7A4F">
        <w:t>847 mg. Abas šīs vērtības ir ievērojami zemākas nekā grupās, kurās lietoja placebo kombinācijā ar 26</w:t>
      </w:r>
      <w:r>
        <w:t> </w:t>
      </w:r>
      <w:r w:rsidRPr="00DD7A4F">
        <w:t>vai 52</w:t>
      </w:r>
      <w:r>
        <w:t> </w:t>
      </w:r>
      <w:r w:rsidRPr="00DD7A4F">
        <w:t>nedēļas ilgu prednizona terapiju, pakāpeniski samazinot devu; šajās grupās atbilstošās vērtības bija attiecīgi 4</w:t>
      </w:r>
      <w:ins w:id="1080" w:author="Author">
        <w:r w:rsidR="00BB0320">
          <w:t> </w:t>
        </w:r>
      </w:ins>
      <w:r w:rsidRPr="00DD7A4F">
        <w:t>023,5 mg un 5</w:t>
      </w:r>
      <w:ins w:id="1081" w:author="Author">
        <w:r w:rsidR="00BB0320">
          <w:t> </w:t>
        </w:r>
      </w:ins>
      <w:r w:rsidRPr="00DD7A4F">
        <w:t>389,5 mg.</w:t>
      </w:r>
    </w:p>
    <w:p w14:paraId="765F0676" w14:textId="77777777" w:rsidR="00A453C3" w:rsidRPr="00DD7A4F" w:rsidRDefault="00A453C3" w:rsidP="00A453C3">
      <w:pPr>
        <w:spacing w:line="280" w:lineRule="atLeast"/>
        <w:jc w:val="both"/>
        <w:rPr>
          <w:szCs w:val="22"/>
        </w:rPr>
      </w:pPr>
    </w:p>
    <w:p w14:paraId="3687E5FD" w14:textId="2B548147" w:rsidR="00A453C3" w:rsidRDefault="00A453C3" w:rsidP="00A453C3">
      <w:pPr>
        <w:keepNext/>
        <w:keepLines/>
        <w:numPr>
          <w:ilvl w:val="12"/>
          <w:numId w:val="0"/>
        </w:numPr>
        <w:ind w:right="-2"/>
        <w:rPr>
          <w:i/>
        </w:rPr>
      </w:pPr>
      <w:r>
        <w:rPr>
          <w:i/>
        </w:rPr>
        <w:t>4</w:t>
      </w:r>
      <w:r w:rsidRPr="00DD7A4F">
        <w:rPr>
          <w:i/>
        </w:rPr>
        <w:t>.</w:t>
      </w:r>
      <w:r w:rsidR="00293564">
        <w:rPr>
          <w:i/>
        </w:rPr>
        <w:t> </w:t>
      </w:r>
      <w:r w:rsidRPr="00DD7A4F">
        <w:rPr>
          <w:i/>
        </w:rPr>
        <w:t xml:space="preserve">tabula. Efektivitāti raksturojošie rezultāti pētījumā WA28119 </w:t>
      </w:r>
    </w:p>
    <w:p w14:paraId="168EDDF9" w14:textId="77777777" w:rsidR="00A453C3" w:rsidRPr="00D6314F" w:rsidRDefault="00A453C3" w:rsidP="00A453C3">
      <w:pPr>
        <w:keepNext/>
        <w:keepLines/>
        <w:numPr>
          <w:ilvl w:val="12"/>
          <w:numId w:val="0"/>
        </w:numPr>
        <w:ind w:right="-2"/>
        <w:rPr>
          <w:i/>
          <w:szCs w:val="22"/>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61"/>
        <w:gridCol w:w="1417"/>
        <w:gridCol w:w="1559"/>
        <w:gridCol w:w="1560"/>
        <w:gridCol w:w="1701"/>
      </w:tblGrid>
      <w:tr w:rsidR="004976C8" w:rsidRPr="00FB280D" w14:paraId="2441EF0B" w14:textId="77777777" w:rsidTr="00707120">
        <w:trPr>
          <w:cantSplit/>
          <w:tblHeader/>
        </w:trPr>
        <w:tc>
          <w:tcPr>
            <w:tcW w:w="3261" w:type="dxa"/>
            <w:tcMar>
              <w:top w:w="0" w:type="dxa"/>
              <w:left w:w="57" w:type="dxa"/>
              <w:bottom w:w="0" w:type="dxa"/>
              <w:right w:w="57" w:type="dxa"/>
            </w:tcMar>
            <w:vAlign w:val="bottom"/>
          </w:tcPr>
          <w:p w14:paraId="01E662BE" w14:textId="77777777" w:rsidR="00A453C3" w:rsidRPr="00707120" w:rsidRDefault="00A453C3" w:rsidP="0067693D">
            <w:pPr>
              <w:keepNext/>
              <w:keepLines/>
              <w:spacing w:before="50" w:after="50" w:line="240" w:lineRule="exact"/>
              <w:rPr>
                <w:rFonts w:eastAsia="SimSun"/>
                <w:strike/>
                <w:sz w:val="20"/>
              </w:rPr>
            </w:pPr>
          </w:p>
        </w:tc>
        <w:tc>
          <w:tcPr>
            <w:tcW w:w="1417" w:type="dxa"/>
            <w:tcMar>
              <w:top w:w="0" w:type="dxa"/>
              <w:left w:w="57" w:type="dxa"/>
              <w:bottom w:w="0" w:type="dxa"/>
              <w:right w:w="57" w:type="dxa"/>
            </w:tcMar>
          </w:tcPr>
          <w:p w14:paraId="7E66B8DC" w14:textId="63F039A9" w:rsidR="00A453C3" w:rsidRPr="00707120" w:rsidRDefault="00A453C3" w:rsidP="00707120">
            <w:pPr>
              <w:keepNext/>
              <w:keepLines/>
              <w:spacing w:before="50" w:after="50" w:line="240" w:lineRule="exact"/>
              <w:ind w:left="-92"/>
              <w:jc w:val="center"/>
              <w:rPr>
                <w:rFonts w:eastAsia="SimSun"/>
                <w:b/>
                <w:sz w:val="20"/>
                <w:lang w:val="pt-PT"/>
              </w:rPr>
            </w:pPr>
            <w:r w:rsidRPr="00707120">
              <w:rPr>
                <w:b/>
                <w:sz w:val="20"/>
                <w:lang w:val="pt-PT"/>
              </w:rPr>
              <w:t>Placebo + 26 nedēļas ilga prednizona terapija, pakāpeniski samazinot devu</w:t>
            </w:r>
          </w:p>
          <w:p w14:paraId="45CEC5B6" w14:textId="311FC6A2" w:rsidR="00A453C3" w:rsidRPr="00707120" w:rsidRDefault="00A453C3" w:rsidP="00707120">
            <w:pPr>
              <w:keepNext/>
              <w:keepLines/>
              <w:spacing w:before="50" w:after="50" w:line="240" w:lineRule="exact"/>
              <w:ind w:left="-92"/>
              <w:jc w:val="center"/>
              <w:rPr>
                <w:rFonts w:eastAsia="SimSun"/>
                <w:b/>
                <w:sz w:val="20"/>
              </w:rPr>
            </w:pPr>
            <w:del w:id="1082" w:author="Author">
              <w:r w:rsidRPr="00707120" w:rsidDel="00843B6A">
                <w:rPr>
                  <w:b/>
                  <w:sz w:val="20"/>
                </w:rPr>
                <w:delText>N</w:delText>
              </w:r>
            </w:del>
            <w:ins w:id="1083" w:author="Author">
              <w:r w:rsidR="00843B6A">
                <w:rPr>
                  <w:b/>
                  <w:sz w:val="20"/>
                </w:rPr>
                <w:t>n</w:t>
              </w:r>
            </w:ins>
            <w:r w:rsidRPr="00707120">
              <w:rPr>
                <w:b/>
                <w:sz w:val="20"/>
              </w:rPr>
              <w:t>=50</w:t>
            </w:r>
          </w:p>
        </w:tc>
        <w:tc>
          <w:tcPr>
            <w:tcW w:w="1559" w:type="dxa"/>
            <w:tcMar>
              <w:top w:w="0" w:type="dxa"/>
              <w:left w:w="57" w:type="dxa"/>
              <w:bottom w:w="0" w:type="dxa"/>
              <w:right w:w="57" w:type="dxa"/>
            </w:tcMar>
          </w:tcPr>
          <w:p w14:paraId="5FF76F5D" w14:textId="004D502E" w:rsidR="00A453C3" w:rsidRPr="00707120" w:rsidRDefault="00A453C3" w:rsidP="0067693D">
            <w:pPr>
              <w:keepNext/>
              <w:keepLines/>
              <w:spacing w:before="50" w:after="50" w:line="240" w:lineRule="exact"/>
              <w:jc w:val="center"/>
              <w:rPr>
                <w:rFonts w:eastAsia="SimSun"/>
                <w:b/>
                <w:sz w:val="20"/>
                <w:lang w:val="pt-PT"/>
              </w:rPr>
            </w:pPr>
            <w:r w:rsidRPr="00707120">
              <w:rPr>
                <w:b/>
                <w:sz w:val="20"/>
                <w:lang w:val="pt-PT"/>
              </w:rPr>
              <w:t>Placebo + 52 nedēļas ilga prednizona terapija, pakāpeniski samazinot devu</w:t>
            </w:r>
          </w:p>
          <w:p w14:paraId="3278265E" w14:textId="2E595545" w:rsidR="00A453C3" w:rsidRPr="00707120" w:rsidRDefault="00A453C3" w:rsidP="0067693D">
            <w:pPr>
              <w:keepNext/>
              <w:keepLines/>
              <w:spacing w:before="50" w:after="50" w:line="240" w:lineRule="exact"/>
              <w:jc w:val="center"/>
              <w:rPr>
                <w:rFonts w:eastAsia="SimSun"/>
                <w:b/>
                <w:sz w:val="20"/>
              </w:rPr>
            </w:pPr>
            <w:del w:id="1084" w:author="Author">
              <w:r w:rsidRPr="00707120" w:rsidDel="00843B6A">
                <w:rPr>
                  <w:b/>
                  <w:sz w:val="20"/>
                </w:rPr>
                <w:delText>N</w:delText>
              </w:r>
            </w:del>
            <w:ins w:id="1085" w:author="Author">
              <w:r w:rsidR="00843B6A">
                <w:rPr>
                  <w:b/>
                  <w:sz w:val="20"/>
                </w:rPr>
                <w:t>n</w:t>
              </w:r>
            </w:ins>
            <w:r w:rsidRPr="00707120">
              <w:rPr>
                <w:b/>
                <w:sz w:val="20"/>
              </w:rPr>
              <w:t>=51</w:t>
            </w:r>
          </w:p>
        </w:tc>
        <w:tc>
          <w:tcPr>
            <w:tcW w:w="1560" w:type="dxa"/>
          </w:tcPr>
          <w:p w14:paraId="4664A6FC" w14:textId="5CD35099" w:rsidR="00A453C3" w:rsidRPr="00707120" w:rsidRDefault="00A453C3" w:rsidP="0067693D">
            <w:pPr>
              <w:keepNext/>
              <w:keepLines/>
              <w:spacing w:before="50" w:after="50" w:line="240" w:lineRule="exact"/>
              <w:jc w:val="center"/>
              <w:rPr>
                <w:rFonts w:eastAsia="SimSun"/>
                <w:b/>
                <w:sz w:val="20"/>
              </w:rPr>
            </w:pPr>
            <w:r w:rsidRPr="00707120">
              <w:rPr>
                <w:b/>
                <w:sz w:val="20"/>
              </w:rPr>
              <w:t>Tocilizumabs 162 mg s.c. vienu reizi nedēļā + 26 nedēļas ilga prednizona terapija, pakāpeniski samazinot devu</w:t>
            </w:r>
          </w:p>
          <w:p w14:paraId="1E66EC4A" w14:textId="526E9692" w:rsidR="00A453C3" w:rsidRPr="00707120" w:rsidRDefault="00A453C3" w:rsidP="0067693D">
            <w:pPr>
              <w:keepNext/>
              <w:keepLines/>
              <w:spacing w:before="50" w:after="50" w:line="240" w:lineRule="exact"/>
              <w:jc w:val="center"/>
              <w:rPr>
                <w:rFonts w:eastAsia="SimSun"/>
                <w:b/>
                <w:sz w:val="20"/>
              </w:rPr>
            </w:pPr>
            <w:del w:id="1086" w:author="Author">
              <w:r w:rsidRPr="00707120" w:rsidDel="00843B6A">
                <w:rPr>
                  <w:b/>
                  <w:sz w:val="20"/>
                </w:rPr>
                <w:delText>N</w:delText>
              </w:r>
            </w:del>
            <w:ins w:id="1087" w:author="Author">
              <w:r w:rsidR="00843B6A">
                <w:rPr>
                  <w:b/>
                  <w:sz w:val="20"/>
                </w:rPr>
                <w:t>n</w:t>
              </w:r>
            </w:ins>
            <w:r w:rsidRPr="00707120">
              <w:rPr>
                <w:b/>
                <w:sz w:val="20"/>
              </w:rPr>
              <w:t>=100</w:t>
            </w:r>
          </w:p>
        </w:tc>
        <w:tc>
          <w:tcPr>
            <w:tcW w:w="1701" w:type="dxa"/>
            <w:tcMar>
              <w:top w:w="0" w:type="dxa"/>
              <w:left w:w="57" w:type="dxa"/>
              <w:bottom w:w="0" w:type="dxa"/>
              <w:right w:w="57" w:type="dxa"/>
            </w:tcMar>
          </w:tcPr>
          <w:p w14:paraId="6D838515" w14:textId="5C972546" w:rsidR="00A453C3" w:rsidRPr="00707120" w:rsidRDefault="00A453C3" w:rsidP="00707120">
            <w:pPr>
              <w:keepNext/>
              <w:keepLines/>
              <w:spacing w:before="50" w:after="50" w:line="240" w:lineRule="exact"/>
              <w:ind w:left="-138"/>
              <w:jc w:val="center"/>
              <w:rPr>
                <w:rFonts w:eastAsia="SimSun"/>
                <w:b/>
                <w:sz w:val="20"/>
              </w:rPr>
            </w:pPr>
            <w:r w:rsidRPr="00707120">
              <w:rPr>
                <w:b/>
                <w:sz w:val="20"/>
              </w:rPr>
              <w:t xml:space="preserve">Tocilizumabs 162 mg s.c. katru otro nedēļu + 26 nedēļas ilga prednizona terapija, pakāpeniski samazinot devu </w:t>
            </w:r>
          </w:p>
          <w:p w14:paraId="69956B4A" w14:textId="7C7CC19B" w:rsidR="00A453C3" w:rsidRPr="00707120" w:rsidRDefault="00A453C3" w:rsidP="00707120">
            <w:pPr>
              <w:keepNext/>
              <w:keepLines/>
              <w:spacing w:before="50" w:after="50" w:line="240" w:lineRule="exact"/>
              <w:ind w:left="-138"/>
              <w:jc w:val="center"/>
              <w:rPr>
                <w:rFonts w:eastAsia="SimSun"/>
                <w:b/>
                <w:sz w:val="20"/>
              </w:rPr>
            </w:pPr>
            <w:del w:id="1088" w:author="Author">
              <w:r w:rsidRPr="00707120" w:rsidDel="00843B6A">
                <w:rPr>
                  <w:b/>
                  <w:sz w:val="20"/>
                </w:rPr>
                <w:delText>N</w:delText>
              </w:r>
            </w:del>
            <w:ins w:id="1089" w:author="Author">
              <w:r w:rsidR="00843B6A">
                <w:rPr>
                  <w:b/>
                  <w:sz w:val="20"/>
                </w:rPr>
                <w:t>n</w:t>
              </w:r>
            </w:ins>
            <w:r w:rsidRPr="00707120">
              <w:rPr>
                <w:b/>
                <w:sz w:val="20"/>
              </w:rPr>
              <w:t>=49</w:t>
            </w:r>
          </w:p>
        </w:tc>
      </w:tr>
      <w:tr w:rsidR="00A453C3" w:rsidRPr="00FB280D" w14:paraId="0ADC206E" w14:textId="77777777" w:rsidTr="00707120">
        <w:trPr>
          <w:cantSplit/>
        </w:trPr>
        <w:tc>
          <w:tcPr>
            <w:tcW w:w="9498" w:type="dxa"/>
            <w:gridSpan w:val="5"/>
          </w:tcPr>
          <w:p w14:paraId="107C47D3" w14:textId="77777777" w:rsidR="00A453C3" w:rsidRPr="00707120" w:rsidRDefault="00A453C3" w:rsidP="00707120">
            <w:pPr>
              <w:keepNext/>
              <w:keepLines/>
              <w:spacing w:line="240" w:lineRule="exact"/>
              <w:ind w:left="82"/>
              <w:rPr>
                <w:rFonts w:eastAsia="SimSun"/>
                <w:b/>
                <w:sz w:val="20"/>
              </w:rPr>
            </w:pPr>
            <w:r w:rsidRPr="00707120">
              <w:rPr>
                <w:b/>
                <w:sz w:val="20"/>
              </w:rPr>
              <w:t xml:space="preserve"> Primārais mērķa kritērijs</w:t>
            </w:r>
          </w:p>
        </w:tc>
      </w:tr>
      <w:tr w:rsidR="00FB280D" w:rsidRPr="00707120" w14:paraId="7E0561DF" w14:textId="77777777" w:rsidTr="00590B03">
        <w:trPr>
          <w:cantSplit/>
        </w:trPr>
        <w:tc>
          <w:tcPr>
            <w:tcW w:w="9498" w:type="dxa"/>
            <w:gridSpan w:val="5"/>
            <w:tcMar>
              <w:top w:w="0" w:type="dxa"/>
              <w:left w:w="57" w:type="dxa"/>
              <w:bottom w:w="0" w:type="dxa"/>
              <w:right w:w="57" w:type="dxa"/>
            </w:tcMar>
          </w:tcPr>
          <w:p w14:paraId="228C5E2B" w14:textId="779ADB71" w:rsidR="00FB280D" w:rsidRPr="00707120" w:rsidRDefault="00FB280D" w:rsidP="00707120">
            <w:pPr>
              <w:keepNext/>
              <w:keepLines/>
              <w:spacing w:line="240" w:lineRule="exact"/>
              <w:ind w:left="82"/>
              <w:rPr>
                <w:rFonts w:eastAsia="SimSun"/>
                <w:strike/>
                <w:sz w:val="20"/>
                <w:lang w:val="es-ES"/>
              </w:rPr>
            </w:pPr>
            <w:r w:rsidRPr="00707120">
              <w:rPr>
                <w:sz w:val="20"/>
                <w:lang w:val="es-ES"/>
              </w:rPr>
              <w:t xml:space="preserve">****Noturīga remisija (tocilizumaba grupas salīdzinājumā ar placebo+26) </w:t>
            </w:r>
          </w:p>
        </w:tc>
      </w:tr>
      <w:tr w:rsidR="004976C8" w:rsidRPr="00FB280D" w14:paraId="6D416B40" w14:textId="77777777" w:rsidTr="00707120">
        <w:trPr>
          <w:cantSplit/>
        </w:trPr>
        <w:tc>
          <w:tcPr>
            <w:tcW w:w="3261" w:type="dxa"/>
            <w:tcMar>
              <w:top w:w="0" w:type="dxa"/>
              <w:left w:w="57" w:type="dxa"/>
              <w:bottom w:w="0" w:type="dxa"/>
              <w:right w:w="57" w:type="dxa"/>
            </w:tcMar>
          </w:tcPr>
          <w:p w14:paraId="2F88A871" w14:textId="0AE1709F" w:rsidR="00A453C3" w:rsidRPr="00707120" w:rsidRDefault="00A453C3" w:rsidP="00707120">
            <w:pPr>
              <w:keepNext/>
              <w:keepLines/>
              <w:spacing w:line="240" w:lineRule="exact"/>
              <w:ind w:left="649"/>
              <w:rPr>
                <w:rFonts w:eastAsia="SimSun"/>
                <w:sz w:val="20"/>
                <w:lang w:val="pt-BR"/>
              </w:rPr>
            </w:pPr>
            <w:r w:rsidRPr="00707120">
              <w:rPr>
                <w:sz w:val="20"/>
                <w:lang w:val="pt-BR"/>
              </w:rPr>
              <w:t>Pacienti ar atbildes reakciju 52. nedēļā, n (%)</w:t>
            </w:r>
          </w:p>
        </w:tc>
        <w:tc>
          <w:tcPr>
            <w:tcW w:w="1417" w:type="dxa"/>
            <w:tcMar>
              <w:top w:w="0" w:type="dxa"/>
              <w:left w:w="57" w:type="dxa"/>
              <w:bottom w:w="0" w:type="dxa"/>
              <w:right w:w="57" w:type="dxa"/>
            </w:tcMar>
          </w:tcPr>
          <w:p w14:paraId="28B2B76A" w14:textId="77777777" w:rsidR="00A453C3" w:rsidRPr="00707120" w:rsidRDefault="00A453C3" w:rsidP="00707120">
            <w:pPr>
              <w:keepNext/>
              <w:keepLines/>
              <w:spacing w:line="240" w:lineRule="exact"/>
              <w:ind w:left="82"/>
              <w:jc w:val="center"/>
              <w:rPr>
                <w:rFonts w:eastAsia="SimSun"/>
                <w:sz w:val="20"/>
              </w:rPr>
            </w:pPr>
            <w:r w:rsidRPr="00707120">
              <w:rPr>
                <w:sz w:val="20"/>
              </w:rPr>
              <w:t>7 (14%)</w:t>
            </w:r>
          </w:p>
        </w:tc>
        <w:tc>
          <w:tcPr>
            <w:tcW w:w="1559" w:type="dxa"/>
            <w:tcMar>
              <w:top w:w="0" w:type="dxa"/>
              <w:left w:w="57" w:type="dxa"/>
              <w:bottom w:w="0" w:type="dxa"/>
              <w:right w:w="57" w:type="dxa"/>
            </w:tcMar>
          </w:tcPr>
          <w:p w14:paraId="6B333878" w14:textId="77777777" w:rsidR="00A453C3" w:rsidRPr="00707120" w:rsidRDefault="00A453C3" w:rsidP="00707120">
            <w:pPr>
              <w:keepNext/>
              <w:keepLines/>
              <w:spacing w:line="240" w:lineRule="exact"/>
              <w:ind w:left="82"/>
              <w:jc w:val="center"/>
              <w:rPr>
                <w:rFonts w:eastAsia="SimSun"/>
                <w:sz w:val="20"/>
              </w:rPr>
            </w:pPr>
            <w:r w:rsidRPr="00707120">
              <w:rPr>
                <w:sz w:val="20"/>
              </w:rPr>
              <w:t>9 (17,6%)</w:t>
            </w:r>
          </w:p>
        </w:tc>
        <w:tc>
          <w:tcPr>
            <w:tcW w:w="1560" w:type="dxa"/>
          </w:tcPr>
          <w:p w14:paraId="270A4111" w14:textId="77777777" w:rsidR="00A453C3" w:rsidRPr="00707120" w:rsidRDefault="00A453C3" w:rsidP="00707120">
            <w:pPr>
              <w:keepNext/>
              <w:keepLines/>
              <w:spacing w:line="240" w:lineRule="exact"/>
              <w:ind w:left="82"/>
              <w:jc w:val="center"/>
              <w:rPr>
                <w:rFonts w:eastAsia="SimSun"/>
                <w:sz w:val="20"/>
              </w:rPr>
            </w:pPr>
            <w:r w:rsidRPr="00707120">
              <w:rPr>
                <w:sz w:val="20"/>
              </w:rPr>
              <w:t>56 (56%)</w:t>
            </w:r>
          </w:p>
        </w:tc>
        <w:tc>
          <w:tcPr>
            <w:tcW w:w="1701" w:type="dxa"/>
            <w:tcMar>
              <w:top w:w="0" w:type="dxa"/>
              <w:left w:w="57" w:type="dxa"/>
              <w:bottom w:w="0" w:type="dxa"/>
              <w:right w:w="57" w:type="dxa"/>
            </w:tcMar>
          </w:tcPr>
          <w:p w14:paraId="4F6EEB30" w14:textId="77777777" w:rsidR="00A453C3" w:rsidRPr="00707120" w:rsidRDefault="00A453C3" w:rsidP="00707120">
            <w:pPr>
              <w:keepNext/>
              <w:keepLines/>
              <w:spacing w:line="240" w:lineRule="exact"/>
              <w:ind w:left="82"/>
              <w:jc w:val="center"/>
              <w:rPr>
                <w:rFonts w:eastAsia="SimSun"/>
                <w:sz w:val="20"/>
              </w:rPr>
            </w:pPr>
            <w:r w:rsidRPr="00707120">
              <w:rPr>
                <w:sz w:val="20"/>
              </w:rPr>
              <w:t>26 (53,1%)</w:t>
            </w:r>
          </w:p>
        </w:tc>
      </w:tr>
      <w:tr w:rsidR="004976C8" w:rsidRPr="00FB280D" w14:paraId="669DFCED" w14:textId="77777777" w:rsidTr="00707120">
        <w:trPr>
          <w:cantSplit/>
        </w:trPr>
        <w:tc>
          <w:tcPr>
            <w:tcW w:w="3261" w:type="dxa"/>
            <w:tcMar>
              <w:top w:w="0" w:type="dxa"/>
              <w:left w:w="57" w:type="dxa"/>
              <w:bottom w:w="0" w:type="dxa"/>
              <w:right w:w="57" w:type="dxa"/>
            </w:tcMar>
          </w:tcPr>
          <w:p w14:paraId="01BC55CA" w14:textId="77777777" w:rsidR="00A453C3" w:rsidRPr="00707120" w:rsidRDefault="00A453C3" w:rsidP="00707120">
            <w:pPr>
              <w:keepNext/>
              <w:keepLines/>
              <w:spacing w:line="240" w:lineRule="exact"/>
              <w:ind w:left="649"/>
              <w:rPr>
                <w:rFonts w:eastAsia="SimSun"/>
                <w:sz w:val="20"/>
                <w:lang w:val="pt-PT"/>
              </w:rPr>
            </w:pPr>
            <w:r w:rsidRPr="00707120">
              <w:rPr>
                <w:sz w:val="20"/>
                <w:lang w:val="pt-PT"/>
              </w:rPr>
              <w:t>Nekoriģēta procentuālā īpatsvara atšķirība</w:t>
            </w:r>
          </w:p>
          <w:p w14:paraId="3133CA46" w14:textId="77777777" w:rsidR="00A453C3" w:rsidRPr="00707120" w:rsidRDefault="00A453C3" w:rsidP="00707120">
            <w:pPr>
              <w:keepNext/>
              <w:keepLines/>
              <w:spacing w:line="240" w:lineRule="exact"/>
              <w:ind w:left="649"/>
              <w:rPr>
                <w:rFonts w:eastAsia="SimSun"/>
                <w:sz w:val="20"/>
                <w:lang w:val="pt-PT"/>
              </w:rPr>
            </w:pPr>
            <w:r w:rsidRPr="00707120">
              <w:rPr>
                <w:sz w:val="20"/>
                <w:lang w:val="pt-PT"/>
              </w:rPr>
              <w:t>(99,5% TI)</w:t>
            </w:r>
          </w:p>
        </w:tc>
        <w:tc>
          <w:tcPr>
            <w:tcW w:w="1417" w:type="dxa"/>
            <w:tcMar>
              <w:top w:w="0" w:type="dxa"/>
              <w:left w:w="57" w:type="dxa"/>
              <w:bottom w:w="0" w:type="dxa"/>
              <w:right w:w="57" w:type="dxa"/>
            </w:tcMar>
          </w:tcPr>
          <w:p w14:paraId="2AE3B97F" w14:textId="77777777" w:rsidR="00A453C3" w:rsidRPr="00707120" w:rsidRDefault="00A453C3" w:rsidP="00707120">
            <w:pPr>
              <w:keepNext/>
              <w:keepLines/>
              <w:spacing w:line="240" w:lineRule="exact"/>
              <w:ind w:left="82"/>
              <w:jc w:val="center"/>
              <w:rPr>
                <w:rFonts w:eastAsia="SimSun"/>
                <w:sz w:val="20"/>
              </w:rPr>
            </w:pPr>
            <w:r w:rsidRPr="00707120">
              <w:rPr>
                <w:sz w:val="20"/>
              </w:rPr>
              <w:t>N/P</w:t>
            </w:r>
          </w:p>
        </w:tc>
        <w:tc>
          <w:tcPr>
            <w:tcW w:w="1559" w:type="dxa"/>
            <w:tcMar>
              <w:top w:w="0" w:type="dxa"/>
              <w:left w:w="57" w:type="dxa"/>
              <w:bottom w:w="0" w:type="dxa"/>
              <w:right w:w="57" w:type="dxa"/>
            </w:tcMar>
          </w:tcPr>
          <w:p w14:paraId="7D50145A" w14:textId="77777777" w:rsidR="00A453C3" w:rsidRPr="00707120" w:rsidRDefault="00A453C3" w:rsidP="00707120">
            <w:pPr>
              <w:keepNext/>
              <w:keepLines/>
              <w:spacing w:line="240" w:lineRule="exact"/>
              <w:ind w:left="82"/>
              <w:jc w:val="center"/>
              <w:rPr>
                <w:rFonts w:eastAsia="SimSun"/>
                <w:sz w:val="20"/>
              </w:rPr>
            </w:pPr>
            <w:r w:rsidRPr="00707120">
              <w:rPr>
                <w:sz w:val="20"/>
              </w:rPr>
              <w:t>N/P</w:t>
            </w:r>
          </w:p>
        </w:tc>
        <w:tc>
          <w:tcPr>
            <w:tcW w:w="1560" w:type="dxa"/>
          </w:tcPr>
          <w:p w14:paraId="0429AB06" w14:textId="77777777" w:rsidR="00A453C3" w:rsidRPr="00707120" w:rsidRDefault="00A453C3" w:rsidP="00707120">
            <w:pPr>
              <w:keepNext/>
              <w:keepLines/>
              <w:spacing w:line="240" w:lineRule="exact"/>
              <w:ind w:left="82"/>
              <w:jc w:val="center"/>
              <w:rPr>
                <w:rFonts w:eastAsia="SimSun"/>
                <w:sz w:val="20"/>
              </w:rPr>
            </w:pPr>
            <w:r w:rsidRPr="00707120">
              <w:rPr>
                <w:sz w:val="20"/>
              </w:rPr>
              <w:t>42%*</w:t>
            </w:r>
          </w:p>
          <w:p w14:paraId="4D92AF10" w14:textId="77777777" w:rsidR="00A453C3" w:rsidRPr="00707120" w:rsidRDefault="00A453C3" w:rsidP="00707120">
            <w:pPr>
              <w:keepNext/>
              <w:keepLines/>
              <w:spacing w:line="240" w:lineRule="exact"/>
              <w:ind w:left="82"/>
              <w:jc w:val="center"/>
              <w:rPr>
                <w:rFonts w:eastAsia="SimSun"/>
                <w:sz w:val="20"/>
              </w:rPr>
            </w:pPr>
            <w:r w:rsidRPr="00707120">
              <w:rPr>
                <w:sz w:val="20"/>
              </w:rPr>
              <w:t>(18,00; 66,00)</w:t>
            </w:r>
          </w:p>
        </w:tc>
        <w:tc>
          <w:tcPr>
            <w:tcW w:w="1701" w:type="dxa"/>
            <w:tcMar>
              <w:top w:w="0" w:type="dxa"/>
              <w:left w:w="57" w:type="dxa"/>
              <w:bottom w:w="0" w:type="dxa"/>
              <w:right w:w="57" w:type="dxa"/>
            </w:tcMar>
          </w:tcPr>
          <w:p w14:paraId="0F52E743" w14:textId="77777777" w:rsidR="00A453C3" w:rsidRPr="00707120" w:rsidRDefault="00A453C3" w:rsidP="00707120">
            <w:pPr>
              <w:keepNext/>
              <w:keepLines/>
              <w:spacing w:line="240" w:lineRule="exact"/>
              <w:ind w:left="82"/>
              <w:jc w:val="center"/>
              <w:rPr>
                <w:rFonts w:eastAsia="SimSun"/>
                <w:sz w:val="20"/>
              </w:rPr>
            </w:pPr>
            <w:r w:rsidRPr="00707120">
              <w:rPr>
                <w:sz w:val="20"/>
              </w:rPr>
              <w:t>39,06%*</w:t>
            </w:r>
          </w:p>
          <w:p w14:paraId="7A7E9EC6" w14:textId="77777777" w:rsidR="00A453C3" w:rsidRPr="00707120" w:rsidRDefault="00A453C3" w:rsidP="00707120">
            <w:pPr>
              <w:keepNext/>
              <w:keepLines/>
              <w:spacing w:line="240" w:lineRule="exact"/>
              <w:ind w:left="82"/>
              <w:jc w:val="center"/>
              <w:rPr>
                <w:rFonts w:eastAsia="SimSun"/>
                <w:sz w:val="20"/>
              </w:rPr>
            </w:pPr>
            <w:r w:rsidRPr="00707120">
              <w:rPr>
                <w:sz w:val="20"/>
              </w:rPr>
              <w:t>(12,46; 65,66)</w:t>
            </w:r>
          </w:p>
        </w:tc>
      </w:tr>
      <w:tr w:rsidR="00A453C3" w:rsidRPr="00FB280D" w14:paraId="64DAD482" w14:textId="77777777" w:rsidTr="00707120">
        <w:trPr>
          <w:cantSplit/>
        </w:trPr>
        <w:tc>
          <w:tcPr>
            <w:tcW w:w="9498" w:type="dxa"/>
            <w:gridSpan w:val="5"/>
          </w:tcPr>
          <w:p w14:paraId="55FCF89F" w14:textId="77777777" w:rsidR="00A453C3" w:rsidRPr="00707120" w:rsidRDefault="00A453C3" w:rsidP="00707120">
            <w:pPr>
              <w:keepNext/>
              <w:keepLines/>
              <w:spacing w:line="240" w:lineRule="exact"/>
              <w:ind w:left="82"/>
              <w:rPr>
                <w:rFonts w:eastAsia="SimSun"/>
                <w:b/>
                <w:sz w:val="20"/>
              </w:rPr>
            </w:pPr>
            <w:r w:rsidRPr="00707120">
              <w:rPr>
                <w:b/>
                <w:sz w:val="20"/>
              </w:rPr>
              <w:t xml:space="preserve"> Galvenais sekundārais mērķa kritērijs</w:t>
            </w:r>
            <w:r w:rsidRPr="00707120">
              <w:rPr>
                <w:sz w:val="20"/>
              </w:rPr>
              <w:t xml:space="preserve"> </w:t>
            </w:r>
          </w:p>
        </w:tc>
      </w:tr>
      <w:tr w:rsidR="00FB280D" w:rsidRPr="00707120" w14:paraId="13B801DC" w14:textId="77777777" w:rsidTr="00590B03">
        <w:trPr>
          <w:cantSplit/>
        </w:trPr>
        <w:tc>
          <w:tcPr>
            <w:tcW w:w="9498" w:type="dxa"/>
            <w:gridSpan w:val="5"/>
            <w:tcMar>
              <w:top w:w="0" w:type="dxa"/>
              <w:left w:w="57" w:type="dxa"/>
              <w:bottom w:w="0" w:type="dxa"/>
              <w:right w:w="57" w:type="dxa"/>
            </w:tcMar>
          </w:tcPr>
          <w:p w14:paraId="5F13BFF5" w14:textId="68CFDFDB" w:rsidR="00FB280D" w:rsidRPr="00707120" w:rsidRDefault="00FB280D" w:rsidP="00707120">
            <w:pPr>
              <w:keepNext/>
              <w:keepLines/>
              <w:spacing w:line="240" w:lineRule="exact"/>
              <w:ind w:left="82"/>
              <w:rPr>
                <w:rFonts w:eastAsia="SimSun"/>
                <w:sz w:val="20"/>
                <w:lang w:val="es-ES"/>
              </w:rPr>
            </w:pPr>
            <w:r w:rsidRPr="00707120">
              <w:rPr>
                <w:sz w:val="20"/>
                <w:lang w:val="es-ES"/>
              </w:rPr>
              <w:t xml:space="preserve">Noturīga remisija (tocilizumaba grupa salīdzinājumā ar placebo+52) </w:t>
            </w:r>
          </w:p>
        </w:tc>
      </w:tr>
      <w:tr w:rsidR="004976C8" w:rsidRPr="00FB280D" w14:paraId="464F74F7" w14:textId="77777777" w:rsidTr="00707120">
        <w:trPr>
          <w:cantSplit/>
        </w:trPr>
        <w:tc>
          <w:tcPr>
            <w:tcW w:w="3261" w:type="dxa"/>
            <w:tcMar>
              <w:top w:w="0" w:type="dxa"/>
              <w:left w:w="57" w:type="dxa"/>
              <w:bottom w:w="0" w:type="dxa"/>
              <w:right w:w="57" w:type="dxa"/>
            </w:tcMar>
          </w:tcPr>
          <w:p w14:paraId="152BFEF6" w14:textId="67F3B972" w:rsidR="00A453C3" w:rsidRPr="00707120" w:rsidRDefault="00A453C3" w:rsidP="00707120">
            <w:pPr>
              <w:keepNext/>
              <w:keepLines/>
              <w:spacing w:line="240" w:lineRule="exact"/>
              <w:ind w:left="649"/>
              <w:rPr>
                <w:rFonts w:eastAsia="SimSun"/>
                <w:sz w:val="20"/>
                <w:lang w:val="pt-BR"/>
              </w:rPr>
            </w:pPr>
            <w:r w:rsidRPr="00707120">
              <w:rPr>
                <w:sz w:val="20"/>
                <w:lang w:val="pt-BR"/>
              </w:rPr>
              <w:t>Pacienti ar atbildes reakciju 52. nedēļā, n (%)</w:t>
            </w:r>
          </w:p>
        </w:tc>
        <w:tc>
          <w:tcPr>
            <w:tcW w:w="1417" w:type="dxa"/>
            <w:tcMar>
              <w:top w:w="0" w:type="dxa"/>
              <w:left w:w="57" w:type="dxa"/>
              <w:bottom w:w="0" w:type="dxa"/>
              <w:right w:w="57" w:type="dxa"/>
            </w:tcMar>
          </w:tcPr>
          <w:p w14:paraId="53E0D305" w14:textId="77777777" w:rsidR="00A453C3" w:rsidRPr="00707120" w:rsidRDefault="00A453C3" w:rsidP="00707120">
            <w:pPr>
              <w:keepNext/>
              <w:keepLines/>
              <w:spacing w:line="240" w:lineRule="exact"/>
              <w:ind w:left="82"/>
              <w:jc w:val="center"/>
              <w:rPr>
                <w:rFonts w:eastAsia="SimSun"/>
                <w:sz w:val="20"/>
              </w:rPr>
            </w:pPr>
            <w:r w:rsidRPr="00707120">
              <w:rPr>
                <w:sz w:val="20"/>
              </w:rPr>
              <w:t>7 (14%)</w:t>
            </w:r>
          </w:p>
        </w:tc>
        <w:tc>
          <w:tcPr>
            <w:tcW w:w="1559" w:type="dxa"/>
            <w:tcMar>
              <w:top w:w="0" w:type="dxa"/>
              <w:left w:w="57" w:type="dxa"/>
              <w:bottom w:w="0" w:type="dxa"/>
              <w:right w:w="57" w:type="dxa"/>
            </w:tcMar>
          </w:tcPr>
          <w:p w14:paraId="730C54BC" w14:textId="77777777" w:rsidR="00A453C3" w:rsidRPr="00707120" w:rsidRDefault="00A453C3" w:rsidP="00707120">
            <w:pPr>
              <w:keepNext/>
              <w:keepLines/>
              <w:spacing w:line="240" w:lineRule="exact"/>
              <w:ind w:left="82"/>
              <w:jc w:val="center"/>
              <w:rPr>
                <w:rFonts w:eastAsia="SimSun"/>
                <w:sz w:val="20"/>
              </w:rPr>
            </w:pPr>
            <w:r w:rsidRPr="00707120">
              <w:rPr>
                <w:sz w:val="20"/>
              </w:rPr>
              <w:t>9 (17,6%)</w:t>
            </w:r>
          </w:p>
        </w:tc>
        <w:tc>
          <w:tcPr>
            <w:tcW w:w="1560" w:type="dxa"/>
          </w:tcPr>
          <w:p w14:paraId="3B1B9C0B" w14:textId="77777777" w:rsidR="00A453C3" w:rsidRPr="00707120" w:rsidRDefault="00A453C3" w:rsidP="00707120">
            <w:pPr>
              <w:keepNext/>
              <w:keepLines/>
              <w:spacing w:line="240" w:lineRule="exact"/>
              <w:ind w:left="82"/>
              <w:jc w:val="center"/>
              <w:rPr>
                <w:rFonts w:eastAsia="SimSun"/>
                <w:sz w:val="20"/>
              </w:rPr>
            </w:pPr>
            <w:r w:rsidRPr="00707120">
              <w:rPr>
                <w:sz w:val="20"/>
              </w:rPr>
              <w:t>56 (56%)</w:t>
            </w:r>
          </w:p>
        </w:tc>
        <w:tc>
          <w:tcPr>
            <w:tcW w:w="1701" w:type="dxa"/>
            <w:tcMar>
              <w:top w:w="0" w:type="dxa"/>
              <w:left w:w="57" w:type="dxa"/>
              <w:bottom w:w="0" w:type="dxa"/>
              <w:right w:w="57" w:type="dxa"/>
            </w:tcMar>
          </w:tcPr>
          <w:p w14:paraId="2D3E33A1" w14:textId="77777777" w:rsidR="00A453C3" w:rsidRPr="00707120" w:rsidRDefault="00A453C3" w:rsidP="00707120">
            <w:pPr>
              <w:keepNext/>
              <w:keepLines/>
              <w:spacing w:line="240" w:lineRule="exact"/>
              <w:ind w:left="82"/>
              <w:jc w:val="center"/>
              <w:rPr>
                <w:rFonts w:eastAsia="SimSun"/>
                <w:sz w:val="20"/>
              </w:rPr>
            </w:pPr>
            <w:r w:rsidRPr="00707120">
              <w:rPr>
                <w:sz w:val="20"/>
              </w:rPr>
              <w:t>26 (53,1%)</w:t>
            </w:r>
          </w:p>
        </w:tc>
      </w:tr>
      <w:tr w:rsidR="004976C8" w:rsidRPr="00FB280D" w14:paraId="5FF7E073" w14:textId="77777777" w:rsidTr="00707120">
        <w:trPr>
          <w:cantSplit/>
        </w:trPr>
        <w:tc>
          <w:tcPr>
            <w:tcW w:w="3261" w:type="dxa"/>
            <w:tcMar>
              <w:top w:w="0" w:type="dxa"/>
              <w:left w:w="57" w:type="dxa"/>
              <w:bottom w:w="0" w:type="dxa"/>
              <w:right w:w="57" w:type="dxa"/>
            </w:tcMar>
          </w:tcPr>
          <w:p w14:paraId="7146FA86" w14:textId="77777777" w:rsidR="00A453C3" w:rsidRPr="00707120" w:rsidRDefault="00A453C3" w:rsidP="00707120">
            <w:pPr>
              <w:keepNext/>
              <w:keepLines/>
              <w:spacing w:line="240" w:lineRule="exact"/>
              <w:ind w:left="649"/>
              <w:rPr>
                <w:rFonts w:eastAsia="SimSun"/>
                <w:sz w:val="20"/>
                <w:lang w:val="pt-PT"/>
              </w:rPr>
            </w:pPr>
            <w:r w:rsidRPr="00707120">
              <w:rPr>
                <w:sz w:val="20"/>
                <w:lang w:val="pt-PT"/>
              </w:rPr>
              <w:t>Nekoriģēta procentuālā īpatsvara atšķirība</w:t>
            </w:r>
          </w:p>
          <w:p w14:paraId="4B05DBDE" w14:textId="77777777" w:rsidR="00A453C3" w:rsidRPr="00707120" w:rsidRDefault="00A453C3" w:rsidP="00707120">
            <w:pPr>
              <w:keepNext/>
              <w:keepLines/>
              <w:spacing w:line="240" w:lineRule="exact"/>
              <w:ind w:left="649"/>
              <w:rPr>
                <w:rFonts w:eastAsia="SimSun"/>
                <w:sz w:val="20"/>
                <w:lang w:val="pt-PT"/>
              </w:rPr>
            </w:pPr>
            <w:r w:rsidRPr="00707120">
              <w:rPr>
                <w:sz w:val="20"/>
                <w:lang w:val="pt-PT"/>
              </w:rPr>
              <w:t>(99,5% TI)</w:t>
            </w:r>
          </w:p>
        </w:tc>
        <w:tc>
          <w:tcPr>
            <w:tcW w:w="1417" w:type="dxa"/>
            <w:tcMar>
              <w:top w:w="0" w:type="dxa"/>
              <w:left w:w="57" w:type="dxa"/>
              <w:bottom w:w="0" w:type="dxa"/>
              <w:right w:w="57" w:type="dxa"/>
            </w:tcMar>
          </w:tcPr>
          <w:p w14:paraId="3AD0B0C9" w14:textId="77777777" w:rsidR="00A453C3" w:rsidRPr="00707120" w:rsidRDefault="00A453C3" w:rsidP="00707120">
            <w:pPr>
              <w:keepNext/>
              <w:keepLines/>
              <w:spacing w:line="240" w:lineRule="exact"/>
              <w:ind w:left="82"/>
              <w:jc w:val="center"/>
              <w:rPr>
                <w:rFonts w:eastAsia="SimSun"/>
                <w:sz w:val="20"/>
              </w:rPr>
            </w:pPr>
            <w:r w:rsidRPr="00707120">
              <w:rPr>
                <w:sz w:val="20"/>
              </w:rPr>
              <w:t>N/P</w:t>
            </w:r>
          </w:p>
        </w:tc>
        <w:tc>
          <w:tcPr>
            <w:tcW w:w="1559" w:type="dxa"/>
            <w:tcMar>
              <w:top w:w="0" w:type="dxa"/>
              <w:left w:w="57" w:type="dxa"/>
              <w:bottom w:w="0" w:type="dxa"/>
              <w:right w:w="57" w:type="dxa"/>
            </w:tcMar>
          </w:tcPr>
          <w:p w14:paraId="731AE064" w14:textId="77777777" w:rsidR="00A453C3" w:rsidRPr="00707120" w:rsidDel="00CA004A" w:rsidRDefault="00A453C3" w:rsidP="00707120">
            <w:pPr>
              <w:keepNext/>
              <w:keepLines/>
              <w:spacing w:line="240" w:lineRule="exact"/>
              <w:ind w:left="82"/>
              <w:jc w:val="center"/>
              <w:rPr>
                <w:rFonts w:eastAsia="SimSun"/>
                <w:sz w:val="20"/>
              </w:rPr>
            </w:pPr>
            <w:r w:rsidRPr="00707120">
              <w:rPr>
                <w:sz w:val="20"/>
              </w:rPr>
              <w:t>N/P</w:t>
            </w:r>
          </w:p>
        </w:tc>
        <w:tc>
          <w:tcPr>
            <w:tcW w:w="1560" w:type="dxa"/>
          </w:tcPr>
          <w:p w14:paraId="691F4035" w14:textId="77777777" w:rsidR="00A453C3" w:rsidRPr="00707120" w:rsidRDefault="00A453C3" w:rsidP="00707120">
            <w:pPr>
              <w:keepNext/>
              <w:keepLines/>
              <w:spacing w:line="240" w:lineRule="exact"/>
              <w:ind w:left="82"/>
              <w:jc w:val="center"/>
              <w:rPr>
                <w:rFonts w:eastAsia="SimSun"/>
                <w:sz w:val="20"/>
              </w:rPr>
            </w:pPr>
            <w:r w:rsidRPr="00707120">
              <w:rPr>
                <w:sz w:val="20"/>
              </w:rPr>
              <w:t>38,35%*</w:t>
            </w:r>
          </w:p>
          <w:p w14:paraId="6EEF1009" w14:textId="77777777" w:rsidR="00A453C3" w:rsidRPr="00707120" w:rsidDel="00CA004A" w:rsidRDefault="00A453C3" w:rsidP="00707120">
            <w:pPr>
              <w:keepNext/>
              <w:keepLines/>
              <w:spacing w:line="240" w:lineRule="exact"/>
              <w:ind w:left="82"/>
              <w:jc w:val="center"/>
              <w:rPr>
                <w:rFonts w:eastAsia="SimSun"/>
                <w:sz w:val="20"/>
              </w:rPr>
            </w:pPr>
            <w:r w:rsidRPr="00707120">
              <w:rPr>
                <w:sz w:val="20"/>
              </w:rPr>
              <w:t>(17,89; 58,81)</w:t>
            </w:r>
          </w:p>
        </w:tc>
        <w:tc>
          <w:tcPr>
            <w:tcW w:w="1701" w:type="dxa"/>
            <w:tcMar>
              <w:top w:w="0" w:type="dxa"/>
              <w:left w:w="57" w:type="dxa"/>
              <w:bottom w:w="0" w:type="dxa"/>
              <w:right w:w="57" w:type="dxa"/>
            </w:tcMar>
          </w:tcPr>
          <w:p w14:paraId="644720DA" w14:textId="77777777" w:rsidR="00A453C3" w:rsidRPr="00707120" w:rsidRDefault="00A453C3" w:rsidP="00707120">
            <w:pPr>
              <w:keepNext/>
              <w:keepLines/>
              <w:spacing w:line="240" w:lineRule="exact"/>
              <w:ind w:left="82"/>
              <w:jc w:val="center"/>
              <w:rPr>
                <w:rFonts w:eastAsia="SimSun"/>
                <w:sz w:val="20"/>
              </w:rPr>
            </w:pPr>
            <w:r w:rsidRPr="00707120">
              <w:rPr>
                <w:sz w:val="20"/>
              </w:rPr>
              <w:t>35,41%**</w:t>
            </w:r>
          </w:p>
          <w:p w14:paraId="17C44781" w14:textId="77777777" w:rsidR="00A453C3" w:rsidRPr="00707120" w:rsidRDefault="00A453C3" w:rsidP="00707120">
            <w:pPr>
              <w:keepNext/>
              <w:keepLines/>
              <w:spacing w:line="240" w:lineRule="exact"/>
              <w:ind w:left="82"/>
              <w:jc w:val="center"/>
              <w:rPr>
                <w:rFonts w:eastAsia="SimSun"/>
                <w:sz w:val="20"/>
              </w:rPr>
            </w:pPr>
            <w:r w:rsidRPr="00707120">
              <w:rPr>
                <w:sz w:val="20"/>
              </w:rPr>
              <w:t>(10,41; 60,41)</w:t>
            </w:r>
          </w:p>
        </w:tc>
      </w:tr>
      <w:tr w:rsidR="00FB280D" w:rsidRPr="00FB280D" w14:paraId="2A1FB6D9" w14:textId="77777777" w:rsidTr="00590B03">
        <w:trPr>
          <w:cantSplit/>
        </w:trPr>
        <w:tc>
          <w:tcPr>
            <w:tcW w:w="9498" w:type="dxa"/>
            <w:gridSpan w:val="5"/>
            <w:tcMar>
              <w:top w:w="0" w:type="dxa"/>
              <w:left w:w="57" w:type="dxa"/>
              <w:bottom w:w="0" w:type="dxa"/>
              <w:right w:w="57" w:type="dxa"/>
            </w:tcMar>
          </w:tcPr>
          <w:p w14:paraId="6F083D2C" w14:textId="332E3A15" w:rsidR="00FB280D" w:rsidRPr="00707120" w:rsidRDefault="00FB280D" w:rsidP="00707120">
            <w:pPr>
              <w:keepNext/>
              <w:keepLines/>
              <w:spacing w:line="240" w:lineRule="exact"/>
              <w:ind w:left="82"/>
              <w:rPr>
                <w:rFonts w:eastAsia="SimSun"/>
                <w:sz w:val="20"/>
              </w:rPr>
            </w:pPr>
            <w:r w:rsidRPr="00707120">
              <w:rPr>
                <w:b/>
                <w:sz w:val="20"/>
              </w:rPr>
              <w:t>Citi sekundārie mērķa kritēriji</w:t>
            </w:r>
          </w:p>
        </w:tc>
      </w:tr>
      <w:tr w:rsidR="004976C8" w:rsidRPr="00FB280D" w14:paraId="625F567C" w14:textId="77777777" w:rsidTr="00707120">
        <w:trPr>
          <w:cantSplit/>
        </w:trPr>
        <w:tc>
          <w:tcPr>
            <w:tcW w:w="3261" w:type="dxa"/>
            <w:tcMar>
              <w:top w:w="0" w:type="dxa"/>
              <w:left w:w="57" w:type="dxa"/>
              <w:bottom w:w="0" w:type="dxa"/>
              <w:right w:w="57" w:type="dxa"/>
            </w:tcMar>
          </w:tcPr>
          <w:p w14:paraId="1DB67209" w14:textId="7F21B816" w:rsidR="00A453C3" w:rsidRPr="00707120" w:rsidRDefault="00A453C3" w:rsidP="00707120">
            <w:pPr>
              <w:ind w:left="79"/>
              <w:rPr>
                <w:rFonts w:eastAsia="SimSun"/>
                <w:sz w:val="20"/>
              </w:rPr>
            </w:pPr>
            <w:r w:rsidRPr="00707120">
              <w:rPr>
                <w:sz w:val="20"/>
              </w:rPr>
              <w:t>Laiks līdz pirmajam GCA uzliesmojumam¹ (tocilizumaba grupas salīdzinājumā ar placebo+26)</w:t>
            </w:r>
          </w:p>
          <w:p w14:paraId="7B417684" w14:textId="21EAA118" w:rsidR="00A453C3" w:rsidRPr="00707120" w:rsidRDefault="00FB280D" w:rsidP="00707120">
            <w:pPr>
              <w:ind w:left="79"/>
              <w:rPr>
                <w:rFonts w:eastAsia="SimSun"/>
                <w:sz w:val="20"/>
                <w:lang w:val="pt-PT"/>
              </w:rPr>
            </w:pPr>
            <w:r w:rsidRPr="00FB280D">
              <w:rPr>
                <w:rFonts w:eastAsia="SimSun"/>
                <w:sz w:val="21"/>
                <w:szCs w:val="21"/>
                <w:lang w:val="en-GB" w:eastAsia="zh-CN"/>
              </w:rPr>
              <w:tab/>
            </w:r>
            <w:r w:rsidR="00A453C3" w:rsidRPr="00707120">
              <w:rPr>
                <w:sz w:val="20"/>
                <w:lang w:val="pt-PT"/>
              </w:rPr>
              <w:t>RA (99% TI)</w:t>
            </w:r>
          </w:p>
          <w:p w14:paraId="196CAF73" w14:textId="5A3A5CAB" w:rsidR="00A453C3" w:rsidRPr="00707120" w:rsidRDefault="00A453C3" w:rsidP="00707120">
            <w:pPr>
              <w:ind w:left="79"/>
              <w:rPr>
                <w:rFonts w:eastAsia="SimSun"/>
                <w:sz w:val="20"/>
                <w:lang w:val="pt-PT"/>
              </w:rPr>
            </w:pPr>
            <w:r w:rsidRPr="00707120">
              <w:rPr>
                <w:sz w:val="20"/>
                <w:lang w:val="pt-PT"/>
              </w:rPr>
              <w:t>Laiks līdz pirmajam GCA uzliesmojumam¹ (tocilizumaba grupas salīdzinājumā ar placebo+52)</w:t>
            </w:r>
          </w:p>
          <w:p w14:paraId="79938E3D" w14:textId="0C01EBE2" w:rsidR="00A453C3" w:rsidRPr="00707120" w:rsidRDefault="00FB280D" w:rsidP="00707120">
            <w:pPr>
              <w:ind w:left="79"/>
              <w:rPr>
                <w:rFonts w:eastAsia="SimSun"/>
                <w:sz w:val="20"/>
                <w:lang w:val="pt-PT"/>
              </w:rPr>
            </w:pPr>
            <w:r w:rsidRPr="00707120">
              <w:rPr>
                <w:rFonts w:eastAsia="SimSun"/>
                <w:sz w:val="21"/>
                <w:szCs w:val="21"/>
                <w:lang w:val="pt-PT" w:eastAsia="zh-CN"/>
              </w:rPr>
              <w:tab/>
            </w:r>
            <w:r w:rsidR="00A453C3" w:rsidRPr="00707120">
              <w:rPr>
                <w:sz w:val="20"/>
                <w:lang w:val="pt-PT"/>
              </w:rPr>
              <w:t>RA (99% TI)</w:t>
            </w:r>
          </w:p>
          <w:p w14:paraId="2CC4B498" w14:textId="242DA96D" w:rsidR="00A453C3" w:rsidRPr="00707120" w:rsidRDefault="00A453C3" w:rsidP="00707120">
            <w:pPr>
              <w:ind w:left="79"/>
              <w:rPr>
                <w:rFonts w:eastAsia="SimSun"/>
                <w:sz w:val="20"/>
                <w:lang w:val="pt-PT"/>
              </w:rPr>
            </w:pPr>
            <w:r w:rsidRPr="00707120">
              <w:rPr>
                <w:sz w:val="20"/>
                <w:lang w:val="pt-PT"/>
              </w:rPr>
              <w:t>Laiks līdz pirmajam GCA uzliesmojumam¹ (pacienti ar slimības recidīvu; tocilizumaba grupas salīdzinājumā ar placebo+26) RA</w:t>
            </w:r>
            <w:r w:rsidR="00293564" w:rsidRPr="00707120">
              <w:rPr>
                <w:sz w:val="20"/>
                <w:lang w:val="pt-PT"/>
              </w:rPr>
              <w:t> </w:t>
            </w:r>
            <w:r w:rsidRPr="00707120">
              <w:rPr>
                <w:sz w:val="20"/>
                <w:lang w:val="pt-PT"/>
              </w:rPr>
              <w:t>(99% TI)</w:t>
            </w:r>
          </w:p>
          <w:p w14:paraId="1150FD91" w14:textId="76E55182" w:rsidR="00A453C3" w:rsidRPr="00707120" w:rsidRDefault="00A453C3" w:rsidP="00707120">
            <w:pPr>
              <w:ind w:left="79"/>
              <w:rPr>
                <w:rFonts w:eastAsia="SimSun"/>
                <w:sz w:val="20"/>
                <w:lang w:val="pt-PT"/>
              </w:rPr>
            </w:pPr>
            <w:r w:rsidRPr="00707120">
              <w:rPr>
                <w:sz w:val="20"/>
                <w:lang w:val="pt-PT"/>
              </w:rPr>
              <w:t>Laiks līdz pirmajam GCA uzliesmojumam¹ (pacienti ar slimības recidīvu; tocilizumaba grupas salīdzinājumā ar placebo+52) RA</w:t>
            </w:r>
            <w:r w:rsidR="00293564" w:rsidRPr="00707120">
              <w:rPr>
                <w:sz w:val="20"/>
                <w:lang w:val="pt-PT"/>
              </w:rPr>
              <w:t> </w:t>
            </w:r>
            <w:r w:rsidRPr="00707120">
              <w:rPr>
                <w:sz w:val="20"/>
                <w:lang w:val="pt-PT"/>
              </w:rPr>
              <w:t>(99% TI)</w:t>
            </w:r>
          </w:p>
          <w:p w14:paraId="6B1C6F0D" w14:textId="13A155F7" w:rsidR="00A453C3" w:rsidRPr="00707120" w:rsidRDefault="00A453C3" w:rsidP="00707120">
            <w:pPr>
              <w:ind w:left="79"/>
              <w:rPr>
                <w:rFonts w:eastAsia="SimSun"/>
                <w:sz w:val="20"/>
                <w:lang w:val="pt-PT"/>
              </w:rPr>
            </w:pPr>
            <w:r w:rsidRPr="00707120">
              <w:rPr>
                <w:sz w:val="20"/>
                <w:lang w:val="pt-PT"/>
              </w:rPr>
              <w:t>Laiks līdz pirmajam GCA uzliesmojumam¹ (pacienti ar pirmoreiz konstatētu slimību; tocilizumaba grupas salīdzinājumā ar placebo+26) RA</w:t>
            </w:r>
            <w:r w:rsidR="00293564" w:rsidRPr="00707120">
              <w:rPr>
                <w:sz w:val="20"/>
                <w:lang w:val="pt-PT"/>
              </w:rPr>
              <w:t> </w:t>
            </w:r>
            <w:r w:rsidRPr="00707120">
              <w:rPr>
                <w:sz w:val="20"/>
                <w:lang w:val="pt-PT"/>
              </w:rPr>
              <w:t>(99% TI)</w:t>
            </w:r>
          </w:p>
          <w:p w14:paraId="3CDD3B96" w14:textId="7993CB65" w:rsidR="00A453C3" w:rsidRPr="00707120" w:rsidRDefault="00A453C3" w:rsidP="00707120">
            <w:pPr>
              <w:ind w:left="79"/>
              <w:rPr>
                <w:rFonts w:eastAsia="SimSun"/>
                <w:sz w:val="20"/>
                <w:lang w:val="pt-PT"/>
              </w:rPr>
            </w:pPr>
            <w:r w:rsidRPr="00707120">
              <w:rPr>
                <w:sz w:val="20"/>
                <w:lang w:val="pt-PT"/>
              </w:rPr>
              <w:t>Laiks līdz pirmajam GCA uzliesmojumam¹ (pacienti ar pirmoreiz diagnosticētu slimību; tocilizumaba grupas salīdzinājumā ar placebo+52) RA</w:t>
            </w:r>
            <w:r w:rsidR="00293564" w:rsidRPr="00707120">
              <w:rPr>
                <w:sz w:val="20"/>
                <w:lang w:val="pt-PT"/>
              </w:rPr>
              <w:t> </w:t>
            </w:r>
            <w:r w:rsidRPr="00707120">
              <w:rPr>
                <w:sz w:val="20"/>
                <w:lang w:val="pt-PT"/>
              </w:rPr>
              <w:t>(99% TI)</w:t>
            </w:r>
          </w:p>
        </w:tc>
        <w:tc>
          <w:tcPr>
            <w:tcW w:w="1417" w:type="dxa"/>
            <w:tcMar>
              <w:top w:w="0" w:type="dxa"/>
              <w:left w:w="57" w:type="dxa"/>
              <w:bottom w:w="0" w:type="dxa"/>
              <w:right w:w="57" w:type="dxa"/>
            </w:tcMar>
          </w:tcPr>
          <w:p w14:paraId="0E43B8B2" w14:textId="281E2FA4" w:rsidR="00A453C3" w:rsidRPr="00707120" w:rsidRDefault="00A453C3" w:rsidP="00707120">
            <w:pPr>
              <w:ind w:left="79"/>
              <w:jc w:val="center"/>
              <w:rPr>
                <w:rFonts w:eastAsia="SimSun"/>
                <w:sz w:val="20"/>
                <w:lang w:val="pt-BR"/>
              </w:rPr>
            </w:pPr>
            <w:r w:rsidRPr="00707120">
              <w:rPr>
                <w:sz w:val="20"/>
                <w:lang w:val="pt-BR"/>
              </w:rPr>
              <w:t>N/P</w:t>
            </w:r>
          </w:p>
          <w:p w14:paraId="571137EA" w14:textId="77777777" w:rsidR="00A453C3" w:rsidRPr="00707120" w:rsidRDefault="00A453C3" w:rsidP="00707120">
            <w:pPr>
              <w:ind w:left="79"/>
              <w:jc w:val="center"/>
              <w:rPr>
                <w:rFonts w:eastAsia="SimSun"/>
                <w:sz w:val="20"/>
                <w:lang w:val="pt-BR"/>
              </w:rPr>
            </w:pPr>
          </w:p>
          <w:p w14:paraId="2FC739BC" w14:textId="77777777" w:rsidR="008C0BE6" w:rsidRPr="00707120" w:rsidRDefault="008C0BE6" w:rsidP="00707120">
            <w:pPr>
              <w:ind w:left="79"/>
              <w:jc w:val="center"/>
              <w:rPr>
                <w:rFonts w:eastAsia="SimSun"/>
                <w:sz w:val="20"/>
                <w:lang w:val="pt-BR"/>
              </w:rPr>
            </w:pPr>
          </w:p>
          <w:p w14:paraId="271C5F63" w14:textId="77777777" w:rsidR="008C0BE6" w:rsidRPr="00707120" w:rsidRDefault="008C0BE6" w:rsidP="00707120">
            <w:pPr>
              <w:ind w:left="79"/>
              <w:jc w:val="center"/>
              <w:rPr>
                <w:rFonts w:eastAsia="SimSun"/>
                <w:sz w:val="20"/>
                <w:lang w:val="pt-BR"/>
              </w:rPr>
            </w:pPr>
          </w:p>
          <w:p w14:paraId="34D4F778" w14:textId="77777777" w:rsidR="00A453C3" w:rsidRPr="00707120" w:rsidRDefault="00A453C3" w:rsidP="00707120">
            <w:pPr>
              <w:ind w:left="79"/>
              <w:jc w:val="center"/>
              <w:rPr>
                <w:rFonts w:eastAsia="SimSun"/>
                <w:sz w:val="20"/>
                <w:lang w:val="pt-BR"/>
              </w:rPr>
            </w:pPr>
            <w:r w:rsidRPr="00707120">
              <w:rPr>
                <w:sz w:val="20"/>
                <w:lang w:val="pt-BR"/>
              </w:rPr>
              <w:t>N/P</w:t>
            </w:r>
          </w:p>
          <w:p w14:paraId="692683B1" w14:textId="77777777" w:rsidR="00A453C3" w:rsidRPr="00707120" w:rsidRDefault="00A453C3" w:rsidP="00707120">
            <w:pPr>
              <w:ind w:left="79"/>
              <w:jc w:val="center"/>
              <w:rPr>
                <w:rFonts w:eastAsia="SimSun"/>
                <w:sz w:val="20"/>
                <w:lang w:val="pt-BR"/>
              </w:rPr>
            </w:pPr>
          </w:p>
          <w:p w14:paraId="79C888BF" w14:textId="77777777" w:rsidR="004976C8" w:rsidRPr="00707120" w:rsidRDefault="004976C8" w:rsidP="00707120">
            <w:pPr>
              <w:ind w:left="79"/>
              <w:jc w:val="center"/>
              <w:rPr>
                <w:rFonts w:eastAsia="SimSun"/>
                <w:sz w:val="20"/>
                <w:lang w:val="pt-BR"/>
              </w:rPr>
            </w:pPr>
          </w:p>
          <w:p w14:paraId="4BD6808F" w14:textId="77777777" w:rsidR="004976C8" w:rsidRPr="00707120" w:rsidRDefault="004976C8" w:rsidP="00707120">
            <w:pPr>
              <w:ind w:left="79"/>
              <w:jc w:val="center"/>
              <w:rPr>
                <w:rFonts w:eastAsia="SimSun"/>
                <w:sz w:val="20"/>
                <w:lang w:val="pt-BR"/>
              </w:rPr>
            </w:pPr>
          </w:p>
          <w:p w14:paraId="10CC959E" w14:textId="08A7761C" w:rsidR="00A453C3" w:rsidRPr="00707120" w:rsidRDefault="00A453C3" w:rsidP="00707120">
            <w:pPr>
              <w:ind w:left="79"/>
              <w:jc w:val="center"/>
              <w:rPr>
                <w:rFonts w:eastAsia="SimSun"/>
                <w:sz w:val="20"/>
                <w:lang w:val="pt-BR"/>
              </w:rPr>
            </w:pPr>
            <w:r w:rsidRPr="00707120">
              <w:rPr>
                <w:sz w:val="20"/>
                <w:lang w:val="pt-BR"/>
              </w:rPr>
              <w:t>N/P</w:t>
            </w:r>
          </w:p>
          <w:p w14:paraId="1394834D" w14:textId="77777777" w:rsidR="00A453C3" w:rsidRPr="00707120" w:rsidRDefault="00A453C3" w:rsidP="00707120">
            <w:pPr>
              <w:ind w:left="79"/>
              <w:rPr>
                <w:rFonts w:eastAsia="SimSun"/>
                <w:sz w:val="20"/>
                <w:lang w:val="pt-BR"/>
              </w:rPr>
            </w:pPr>
          </w:p>
          <w:p w14:paraId="437DDD97" w14:textId="77777777" w:rsidR="00A453C3" w:rsidRPr="00707120" w:rsidRDefault="00A453C3" w:rsidP="00707120">
            <w:pPr>
              <w:ind w:left="79"/>
              <w:jc w:val="center"/>
              <w:rPr>
                <w:sz w:val="20"/>
                <w:lang w:val="pt-BR"/>
              </w:rPr>
            </w:pPr>
          </w:p>
          <w:p w14:paraId="00B653AA" w14:textId="77777777" w:rsidR="004976C8" w:rsidRPr="00707120" w:rsidRDefault="004976C8" w:rsidP="00707120">
            <w:pPr>
              <w:ind w:left="79"/>
              <w:jc w:val="center"/>
              <w:rPr>
                <w:sz w:val="20"/>
                <w:lang w:val="pt-BR"/>
              </w:rPr>
            </w:pPr>
          </w:p>
          <w:p w14:paraId="35DED8BE" w14:textId="77777777" w:rsidR="004976C8" w:rsidRPr="00707120" w:rsidRDefault="004976C8" w:rsidP="00707120">
            <w:pPr>
              <w:ind w:left="79"/>
              <w:jc w:val="center"/>
              <w:rPr>
                <w:sz w:val="20"/>
                <w:lang w:val="pt-BR"/>
              </w:rPr>
            </w:pPr>
          </w:p>
          <w:p w14:paraId="4EAAC1AC" w14:textId="77777777" w:rsidR="00A453C3" w:rsidRPr="00707120" w:rsidRDefault="00A453C3" w:rsidP="00707120">
            <w:pPr>
              <w:ind w:left="79"/>
              <w:jc w:val="center"/>
              <w:rPr>
                <w:rFonts w:eastAsia="SimSun"/>
                <w:sz w:val="20"/>
                <w:lang w:val="pt-BR"/>
              </w:rPr>
            </w:pPr>
            <w:r w:rsidRPr="00707120">
              <w:rPr>
                <w:sz w:val="20"/>
                <w:lang w:val="pt-BR"/>
              </w:rPr>
              <w:t>N/P</w:t>
            </w:r>
          </w:p>
          <w:p w14:paraId="07D4B8D5" w14:textId="77777777" w:rsidR="00A453C3" w:rsidRPr="00707120" w:rsidRDefault="00A453C3" w:rsidP="00707120">
            <w:pPr>
              <w:ind w:left="79"/>
              <w:jc w:val="center"/>
              <w:rPr>
                <w:rFonts w:eastAsia="SimSun"/>
                <w:sz w:val="20"/>
                <w:lang w:val="pt-BR"/>
              </w:rPr>
            </w:pPr>
          </w:p>
          <w:p w14:paraId="5F7C27BF" w14:textId="77777777" w:rsidR="004976C8" w:rsidRPr="00707120" w:rsidRDefault="004976C8" w:rsidP="00707120">
            <w:pPr>
              <w:ind w:left="79"/>
              <w:jc w:val="center"/>
              <w:rPr>
                <w:rFonts w:eastAsia="SimSun"/>
                <w:sz w:val="20"/>
                <w:lang w:val="pt-BR"/>
              </w:rPr>
            </w:pPr>
          </w:p>
          <w:p w14:paraId="19C8AF4A" w14:textId="77777777" w:rsidR="004976C8" w:rsidRPr="00707120" w:rsidRDefault="004976C8" w:rsidP="00707120">
            <w:pPr>
              <w:ind w:left="79"/>
              <w:jc w:val="center"/>
              <w:rPr>
                <w:rFonts w:eastAsia="SimSun"/>
                <w:sz w:val="20"/>
                <w:lang w:val="pt-BR"/>
              </w:rPr>
            </w:pPr>
          </w:p>
          <w:p w14:paraId="06C37296" w14:textId="77777777" w:rsidR="00A453C3" w:rsidRPr="00707120" w:rsidRDefault="00A453C3" w:rsidP="00707120">
            <w:pPr>
              <w:ind w:left="79"/>
              <w:jc w:val="center"/>
              <w:rPr>
                <w:sz w:val="20"/>
                <w:lang w:val="pt-BR"/>
              </w:rPr>
            </w:pPr>
          </w:p>
          <w:p w14:paraId="130FA89B" w14:textId="77777777" w:rsidR="00A453C3" w:rsidRPr="00707120" w:rsidRDefault="00A453C3" w:rsidP="00707120">
            <w:pPr>
              <w:ind w:left="79"/>
              <w:jc w:val="center"/>
              <w:rPr>
                <w:rFonts w:eastAsia="SimSun"/>
                <w:sz w:val="20"/>
                <w:lang w:val="pt-BR"/>
              </w:rPr>
            </w:pPr>
            <w:r w:rsidRPr="00707120">
              <w:rPr>
                <w:sz w:val="20"/>
                <w:lang w:val="pt-BR"/>
              </w:rPr>
              <w:t>N/P</w:t>
            </w:r>
          </w:p>
          <w:p w14:paraId="5AC3FA0E" w14:textId="77777777" w:rsidR="00A453C3" w:rsidRPr="00707120" w:rsidRDefault="00A453C3" w:rsidP="00707120">
            <w:pPr>
              <w:ind w:left="79"/>
              <w:rPr>
                <w:rFonts w:eastAsia="SimSun"/>
                <w:sz w:val="20"/>
                <w:lang w:val="pt-BR"/>
              </w:rPr>
            </w:pPr>
          </w:p>
          <w:p w14:paraId="2B5CCA52" w14:textId="77777777" w:rsidR="00A453C3" w:rsidRPr="00707120" w:rsidRDefault="00A453C3" w:rsidP="00707120">
            <w:pPr>
              <w:ind w:left="79"/>
              <w:jc w:val="center"/>
              <w:rPr>
                <w:sz w:val="20"/>
                <w:lang w:val="pt-BR"/>
              </w:rPr>
            </w:pPr>
          </w:p>
          <w:p w14:paraId="7FD3CB2D" w14:textId="77777777" w:rsidR="004976C8" w:rsidRPr="00707120" w:rsidRDefault="004976C8" w:rsidP="00707120">
            <w:pPr>
              <w:ind w:left="79"/>
              <w:jc w:val="center"/>
              <w:rPr>
                <w:sz w:val="20"/>
                <w:lang w:val="pt-BR"/>
              </w:rPr>
            </w:pPr>
          </w:p>
          <w:p w14:paraId="2BE7424E" w14:textId="77777777" w:rsidR="004976C8" w:rsidRPr="00707120" w:rsidRDefault="004976C8" w:rsidP="00707120">
            <w:pPr>
              <w:ind w:left="79"/>
              <w:jc w:val="center"/>
              <w:rPr>
                <w:sz w:val="20"/>
                <w:lang w:val="pt-BR"/>
              </w:rPr>
            </w:pPr>
          </w:p>
          <w:p w14:paraId="21CA8076" w14:textId="77777777" w:rsidR="00A453C3" w:rsidRPr="00707120" w:rsidRDefault="00A453C3" w:rsidP="00707120">
            <w:pPr>
              <w:ind w:left="79"/>
              <w:jc w:val="center"/>
              <w:rPr>
                <w:rFonts w:eastAsia="SimSun"/>
                <w:sz w:val="20"/>
                <w:lang w:val="pt-BR"/>
              </w:rPr>
            </w:pPr>
            <w:r w:rsidRPr="00707120">
              <w:rPr>
                <w:sz w:val="20"/>
                <w:lang w:val="pt-BR"/>
              </w:rPr>
              <w:t>N/P</w:t>
            </w:r>
          </w:p>
        </w:tc>
        <w:tc>
          <w:tcPr>
            <w:tcW w:w="1559" w:type="dxa"/>
            <w:tcMar>
              <w:top w:w="0" w:type="dxa"/>
              <w:left w:w="57" w:type="dxa"/>
              <w:bottom w:w="0" w:type="dxa"/>
              <w:right w:w="57" w:type="dxa"/>
            </w:tcMar>
          </w:tcPr>
          <w:p w14:paraId="70AEEC15" w14:textId="329AAD13" w:rsidR="00A453C3" w:rsidRPr="00707120" w:rsidRDefault="00A453C3" w:rsidP="00707120">
            <w:pPr>
              <w:ind w:left="79"/>
              <w:jc w:val="center"/>
              <w:rPr>
                <w:rFonts w:eastAsia="SimSun"/>
                <w:sz w:val="20"/>
                <w:lang w:val="pt-BR"/>
              </w:rPr>
            </w:pPr>
            <w:r w:rsidRPr="00707120">
              <w:rPr>
                <w:sz w:val="20"/>
                <w:lang w:val="pt-BR"/>
              </w:rPr>
              <w:t>N/P</w:t>
            </w:r>
          </w:p>
          <w:p w14:paraId="01A3CAD5" w14:textId="77777777" w:rsidR="00A453C3" w:rsidRPr="00707120" w:rsidRDefault="00A453C3" w:rsidP="00707120">
            <w:pPr>
              <w:ind w:left="79"/>
              <w:jc w:val="center"/>
              <w:rPr>
                <w:rFonts w:eastAsia="SimSun"/>
                <w:sz w:val="20"/>
                <w:lang w:val="pt-BR"/>
              </w:rPr>
            </w:pPr>
          </w:p>
          <w:p w14:paraId="71EFF641" w14:textId="77777777" w:rsidR="008C0BE6" w:rsidRPr="00707120" w:rsidRDefault="008C0BE6" w:rsidP="00707120">
            <w:pPr>
              <w:ind w:left="79"/>
              <w:jc w:val="center"/>
              <w:rPr>
                <w:rFonts w:eastAsia="SimSun"/>
                <w:sz w:val="20"/>
                <w:lang w:val="pt-BR"/>
              </w:rPr>
            </w:pPr>
          </w:p>
          <w:p w14:paraId="46FEED73" w14:textId="77777777" w:rsidR="008C0BE6" w:rsidRPr="00707120" w:rsidRDefault="008C0BE6" w:rsidP="00707120">
            <w:pPr>
              <w:ind w:left="79"/>
              <w:jc w:val="center"/>
              <w:rPr>
                <w:rFonts w:eastAsia="SimSun"/>
                <w:sz w:val="20"/>
                <w:lang w:val="pt-BR"/>
              </w:rPr>
            </w:pPr>
          </w:p>
          <w:p w14:paraId="05B521AF" w14:textId="77777777" w:rsidR="00A453C3" w:rsidRPr="00707120" w:rsidRDefault="00A453C3" w:rsidP="00707120">
            <w:pPr>
              <w:ind w:left="79"/>
              <w:jc w:val="center"/>
              <w:rPr>
                <w:rFonts w:eastAsia="SimSun"/>
                <w:sz w:val="20"/>
                <w:lang w:val="pt-BR"/>
              </w:rPr>
            </w:pPr>
            <w:r w:rsidRPr="00707120">
              <w:rPr>
                <w:sz w:val="20"/>
                <w:lang w:val="pt-BR"/>
              </w:rPr>
              <w:t>N/P</w:t>
            </w:r>
          </w:p>
          <w:p w14:paraId="10D9EA03" w14:textId="77777777" w:rsidR="00A453C3" w:rsidRPr="00707120" w:rsidRDefault="00A453C3" w:rsidP="00707120">
            <w:pPr>
              <w:ind w:left="79"/>
              <w:jc w:val="center"/>
              <w:rPr>
                <w:rFonts w:eastAsia="SimSun"/>
                <w:sz w:val="20"/>
                <w:lang w:val="pt-BR"/>
              </w:rPr>
            </w:pPr>
          </w:p>
          <w:p w14:paraId="690A81DA" w14:textId="77777777" w:rsidR="004976C8" w:rsidRPr="00707120" w:rsidRDefault="004976C8" w:rsidP="00707120">
            <w:pPr>
              <w:ind w:left="79"/>
              <w:jc w:val="center"/>
              <w:rPr>
                <w:rFonts w:eastAsia="SimSun"/>
                <w:sz w:val="20"/>
                <w:lang w:val="pt-BR"/>
              </w:rPr>
            </w:pPr>
          </w:p>
          <w:p w14:paraId="6A69723B" w14:textId="77777777" w:rsidR="004976C8" w:rsidRPr="00707120" w:rsidRDefault="004976C8" w:rsidP="00707120">
            <w:pPr>
              <w:ind w:left="79"/>
              <w:jc w:val="center"/>
              <w:rPr>
                <w:rFonts w:eastAsia="SimSun"/>
                <w:sz w:val="20"/>
                <w:lang w:val="pt-BR"/>
              </w:rPr>
            </w:pPr>
          </w:p>
          <w:p w14:paraId="15644E86" w14:textId="40878942" w:rsidR="00A453C3" w:rsidRPr="00707120" w:rsidRDefault="00A453C3" w:rsidP="00707120">
            <w:pPr>
              <w:ind w:left="79"/>
              <w:jc w:val="center"/>
              <w:rPr>
                <w:rFonts w:eastAsia="SimSun"/>
                <w:sz w:val="20"/>
                <w:lang w:val="pt-BR"/>
              </w:rPr>
            </w:pPr>
            <w:r w:rsidRPr="00707120">
              <w:rPr>
                <w:sz w:val="20"/>
                <w:lang w:val="pt-BR"/>
              </w:rPr>
              <w:t>N/P</w:t>
            </w:r>
          </w:p>
          <w:p w14:paraId="442536BB" w14:textId="77777777" w:rsidR="00A453C3" w:rsidRPr="00707120" w:rsidRDefault="00A453C3" w:rsidP="00707120">
            <w:pPr>
              <w:ind w:left="79"/>
              <w:rPr>
                <w:rFonts w:eastAsia="SimSun"/>
                <w:sz w:val="20"/>
                <w:lang w:val="pt-BR"/>
              </w:rPr>
            </w:pPr>
          </w:p>
          <w:p w14:paraId="62B18BC8" w14:textId="77777777" w:rsidR="00A453C3" w:rsidRPr="00707120" w:rsidRDefault="00A453C3" w:rsidP="00707120">
            <w:pPr>
              <w:ind w:left="79"/>
              <w:jc w:val="center"/>
              <w:rPr>
                <w:sz w:val="20"/>
                <w:lang w:val="pt-BR"/>
              </w:rPr>
            </w:pPr>
          </w:p>
          <w:p w14:paraId="3E3B18EC" w14:textId="77777777" w:rsidR="004976C8" w:rsidRPr="00707120" w:rsidRDefault="004976C8" w:rsidP="00707120">
            <w:pPr>
              <w:ind w:left="79"/>
              <w:jc w:val="center"/>
              <w:rPr>
                <w:sz w:val="20"/>
                <w:lang w:val="pt-BR"/>
              </w:rPr>
            </w:pPr>
          </w:p>
          <w:p w14:paraId="4FF3E651" w14:textId="77777777" w:rsidR="004976C8" w:rsidRPr="00707120" w:rsidRDefault="004976C8" w:rsidP="00707120">
            <w:pPr>
              <w:ind w:left="79"/>
              <w:jc w:val="center"/>
              <w:rPr>
                <w:sz w:val="20"/>
                <w:lang w:val="pt-BR"/>
              </w:rPr>
            </w:pPr>
          </w:p>
          <w:p w14:paraId="504C6E6B" w14:textId="77777777" w:rsidR="00A453C3" w:rsidRPr="00707120" w:rsidRDefault="00A453C3" w:rsidP="00707120">
            <w:pPr>
              <w:ind w:left="79"/>
              <w:jc w:val="center"/>
              <w:rPr>
                <w:rFonts w:eastAsia="SimSun"/>
                <w:sz w:val="20"/>
                <w:lang w:val="pt-BR"/>
              </w:rPr>
            </w:pPr>
            <w:r w:rsidRPr="00707120">
              <w:rPr>
                <w:sz w:val="20"/>
                <w:lang w:val="pt-BR"/>
              </w:rPr>
              <w:t>N/P</w:t>
            </w:r>
          </w:p>
          <w:p w14:paraId="1F34D4E4" w14:textId="77777777" w:rsidR="00A453C3" w:rsidRPr="00707120" w:rsidRDefault="00A453C3" w:rsidP="00707120">
            <w:pPr>
              <w:ind w:left="79"/>
              <w:jc w:val="center"/>
              <w:rPr>
                <w:rFonts w:eastAsia="SimSun"/>
                <w:sz w:val="20"/>
                <w:lang w:val="pt-BR"/>
              </w:rPr>
            </w:pPr>
          </w:p>
          <w:p w14:paraId="07869EC8" w14:textId="77777777" w:rsidR="004976C8" w:rsidRPr="00707120" w:rsidRDefault="004976C8" w:rsidP="00707120">
            <w:pPr>
              <w:ind w:left="79"/>
              <w:jc w:val="center"/>
              <w:rPr>
                <w:rFonts w:eastAsia="SimSun"/>
                <w:sz w:val="20"/>
                <w:lang w:val="pt-BR"/>
              </w:rPr>
            </w:pPr>
          </w:p>
          <w:p w14:paraId="124E0519" w14:textId="77777777" w:rsidR="004976C8" w:rsidRPr="00707120" w:rsidRDefault="004976C8" w:rsidP="00707120">
            <w:pPr>
              <w:ind w:left="79"/>
              <w:jc w:val="center"/>
              <w:rPr>
                <w:rFonts w:eastAsia="SimSun"/>
                <w:sz w:val="20"/>
                <w:lang w:val="pt-BR"/>
              </w:rPr>
            </w:pPr>
          </w:p>
          <w:p w14:paraId="48D7F662" w14:textId="77777777" w:rsidR="00A453C3" w:rsidRPr="00707120" w:rsidRDefault="00A453C3" w:rsidP="00707120">
            <w:pPr>
              <w:ind w:left="79"/>
              <w:jc w:val="center"/>
              <w:rPr>
                <w:sz w:val="20"/>
                <w:lang w:val="pt-BR"/>
              </w:rPr>
            </w:pPr>
          </w:p>
          <w:p w14:paraId="2013F95A" w14:textId="77777777" w:rsidR="00A453C3" w:rsidRPr="00707120" w:rsidRDefault="00A453C3" w:rsidP="00707120">
            <w:pPr>
              <w:ind w:left="79"/>
              <w:jc w:val="center"/>
              <w:rPr>
                <w:rFonts w:eastAsia="SimSun"/>
                <w:sz w:val="20"/>
                <w:lang w:val="pt-BR"/>
              </w:rPr>
            </w:pPr>
            <w:r w:rsidRPr="00707120">
              <w:rPr>
                <w:sz w:val="20"/>
                <w:lang w:val="pt-BR"/>
              </w:rPr>
              <w:t>N/P</w:t>
            </w:r>
          </w:p>
          <w:p w14:paraId="3951ACD1" w14:textId="77777777" w:rsidR="00A453C3" w:rsidRPr="00707120" w:rsidRDefault="00A453C3" w:rsidP="00707120">
            <w:pPr>
              <w:ind w:left="79"/>
              <w:rPr>
                <w:rFonts w:eastAsia="SimSun"/>
                <w:sz w:val="20"/>
                <w:lang w:val="pt-BR"/>
              </w:rPr>
            </w:pPr>
          </w:p>
          <w:p w14:paraId="0D5F8D78" w14:textId="77777777" w:rsidR="00A453C3" w:rsidRPr="00707120" w:rsidRDefault="00A453C3" w:rsidP="00707120">
            <w:pPr>
              <w:ind w:left="79"/>
              <w:jc w:val="center"/>
              <w:rPr>
                <w:sz w:val="20"/>
                <w:lang w:val="pt-BR"/>
              </w:rPr>
            </w:pPr>
          </w:p>
          <w:p w14:paraId="4621EF33" w14:textId="77777777" w:rsidR="004976C8" w:rsidRPr="00707120" w:rsidRDefault="004976C8" w:rsidP="00707120">
            <w:pPr>
              <w:ind w:left="79"/>
              <w:jc w:val="center"/>
              <w:rPr>
                <w:sz w:val="20"/>
                <w:lang w:val="pt-BR"/>
              </w:rPr>
            </w:pPr>
          </w:p>
          <w:p w14:paraId="257C049F" w14:textId="77777777" w:rsidR="004976C8" w:rsidRPr="00707120" w:rsidRDefault="004976C8" w:rsidP="00707120">
            <w:pPr>
              <w:ind w:left="79"/>
              <w:jc w:val="center"/>
              <w:rPr>
                <w:sz w:val="20"/>
                <w:lang w:val="pt-BR"/>
              </w:rPr>
            </w:pPr>
          </w:p>
          <w:p w14:paraId="25C2E945" w14:textId="77777777" w:rsidR="00A453C3" w:rsidRPr="00707120" w:rsidRDefault="00A453C3" w:rsidP="00707120">
            <w:pPr>
              <w:ind w:left="79"/>
              <w:jc w:val="center"/>
              <w:rPr>
                <w:rFonts w:eastAsia="SimSun"/>
                <w:sz w:val="20"/>
                <w:lang w:val="pt-BR"/>
              </w:rPr>
            </w:pPr>
            <w:r w:rsidRPr="00707120">
              <w:rPr>
                <w:sz w:val="20"/>
                <w:lang w:val="pt-BR"/>
              </w:rPr>
              <w:t>N/P</w:t>
            </w:r>
          </w:p>
        </w:tc>
        <w:tc>
          <w:tcPr>
            <w:tcW w:w="1560" w:type="dxa"/>
          </w:tcPr>
          <w:p w14:paraId="417BCA24" w14:textId="0F0742DE" w:rsidR="00A453C3" w:rsidRPr="00707120" w:rsidRDefault="00A453C3" w:rsidP="00707120">
            <w:pPr>
              <w:ind w:left="79"/>
              <w:jc w:val="center"/>
              <w:rPr>
                <w:rFonts w:eastAsia="SimSun"/>
                <w:sz w:val="20"/>
              </w:rPr>
            </w:pPr>
            <w:r w:rsidRPr="00707120">
              <w:rPr>
                <w:sz w:val="20"/>
              </w:rPr>
              <w:t>0,23*</w:t>
            </w:r>
          </w:p>
          <w:p w14:paraId="4506AB42" w14:textId="77777777" w:rsidR="00A453C3" w:rsidRPr="00707120" w:rsidRDefault="00A453C3" w:rsidP="00707120">
            <w:pPr>
              <w:ind w:left="79"/>
              <w:jc w:val="center"/>
              <w:rPr>
                <w:rFonts w:eastAsia="SimSun"/>
                <w:sz w:val="20"/>
              </w:rPr>
            </w:pPr>
            <w:r w:rsidRPr="00707120">
              <w:rPr>
                <w:sz w:val="20"/>
              </w:rPr>
              <w:t>(0,11; 0,46)</w:t>
            </w:r>
          </w:p>
          <w:p w14:paraId="2BE4D733" w14:textId="77777777" w:rsidR="00A453C3" w:rsidRPr="00707120" w:rsidRDefault="00A453C3" w:rsidP="00707120">
            <w:pPr>
              <w:ind w:left="79"/>
              <w:jc w:val="center"/>
              <w:rPr>
                <w:sz w:val="20"/>
              </w:rPr>
            </w:pPr>
          </w:p>
          <w:p w14:paraId="19C50554" w14:textId="77777777" w:rsidR="008C0BE6" w:rsidRPr="00707120" w:rsidRDefault="008C0BE6" w:rsidP="00707120">
            <w:pPr>
              <w:ind w:left="79"/>
              <w:jc w:val="center"/>
              <w:rPr>
                <w:sz w:val="20"/>
              </w:rPr>
            </w:pPr>
          </w:p>
          <w:p w14:paraId="0520794D" w14:textId="77777777" w:rsidR="00A453C3" w:rsidRPr="00707120" w:rsidRDefault="00A453C3" w:rsidP="00707120">
            <w:pPr>
              <w:ind w:left="79"/>
              <w:jc w:val="center"/>
              <w:rPr>
                <w:rFonts w:eastAsia="SimSun"/>
                <w:sz w:val="20"/>
              </w:rPr>
            </w:pPr>
            <w:r w:rsidRPr="00707120">
              <w:rPr>
                <w:sz w:val="20"/>
              </w:rPr>
              <w:t>0,39**</w:t>
            </w:r>
          </w:p>
          <w:p w14:paraId="49DA342C" w14:textId="77777777" w:rsidR="00A453C3" w:rsidRPr="00707120" w:rsidRDefault="00A453C3" w:rsidP="00707120">
            <w:pPr>
              <w:ind w:left="79"/>
              <w:jc w:val="center"/>
              <w:rPr>
                <w:rFonts w:eastAsia="SimSun"/>
                <w:sz w:val="20"/>
              </w:rPr>
            </w:pPr>
            <w:r w:rsidRPr="00707120">
              <w:rPr>
                <w:sz w:val="20"/>
              </w:rPr>
              <w:t xml:space="preserve">(0,18; 0,82) </w:t>
            </w:r>
          </w:p>
          <w:p w14:paraId="2A1D9D78" w14:textId="77777777" w:rsidR="004976C8" w:rsidRPr="00707120" w:rsidRDefault="004976C8" w:rsidP="00707120">
            <w:pPr>
              <w:ind w:left="79"/>
              <w:jc w:val="center"/>
              <w:rPr>
                <w:rFonts w:eastAsia="SimSun"/>
                <w:sz w:val="20"/>
              </w:rPr>
            </w:pPr>
          </w:p>
          <w:p w14:paraId="69CF5689" w14:textId="77777777" w:rsidR="008C0BE6" w:rsidRPr="00707120" w:rsidRDefault="008C0BE6" w:rsidP="00707120">
            <w:pPr>
              <w:ind w:left="79"/>
              <w:jc w:val="center"/>
              <w:rPr>
                <w:rFonts w:eastAsia="SimSun"/>
                <w:sz w:val="20"/>
              </w:rPr>
            </w:pPr>
          </w:p>
          <w:p w14:paraId="348593A7" w14:textId="59F7FA04" w:rsidR="00A453C3" w:rsidRPr="00707120" w:rsidRDefault="00A453C3" w:rsidP="00707120">
            <w:pPr>
              <w:ind w:left="79"/>
              <w:jc w:val="center"/>
              <w:rPr>
                <w:rFonts w:eastAsia="SimSun"/>
                <w:sz w:val="20"/>
              </w:rPr>
            </w:pPr>
            <w:r w:rsidRPr="00707120">
              <w:rPr>
                <w:sz w:val="20"/>
              </w:rPr>
              <w:t>0,23***</w:t>
            </w:r>
          </w:p>
          <w:p w14:paraId="037E4484" w14:textId="77777777" w:rsidR="00A453C3" w:rsidRPr="00707120" w:rsidRDefault="00A453C3" w:rsidP="00707120">
            <w:pPr>
              <w:ind w:left="79"/>
              <w:jc w:val="center"/>
              <w:rPr>
                <w:rFonts w:eastAsia="SimSun"/>
                <w:sz w:val="20"/>
              </w:rPr>
            </w:pPr>
            <w:r w:rsidRPr="00707120">
              <w:rPr>
                <w:sz w:val="20"/>
              </w:rPr>
              <w:t>(0,09; 0,61)</w:t>
            </w:r>
          </w:p>
          <w:p w14:paraId="1E171D13" w14:textId="77777777" w:rsidR="00A453C3" w:rsidRPr="00707120" w:rsidRDefault="00A453C3" w:rsidP="00707120">
            <w:pPr>
              <w:ind w:left="79"/>
              <w:jc w:val="center"/>
              <w:rPr>
                <w:sz w:val="20"/>
              </w:rPr>
            </w:pPr>
          </w:p>
          <w:p w14:paraId="52BA4629" w14:textId="77777777" w:rsidR="004976C8" w:rsidRPr="00707120" w:rsidRDefault="004976C8" w:rsidP="00707120">
            <w:pPr>
              <w:ind w:left="79"/>
              <w:jc w:val="center"/>
              <w:rPr>
                <w:sz w:val="20"/>
              </w:rPr>
            </w:pPr>
          </w:p>
          <w:p w14:paraId="3344677D" w14:textId="77777777" w:rsidR="004976C8" w:rsidRPr="00707120" w:rsidRDefault="004976C8" w:rsidP="00707120">
            <w:pPr>
              <w:ind w:left="79"/>
              <w:jc w:val="center"/>
              <w:rPr>
                <w:sz w:val="20"/>
              </w:rPr>
            </w:pPr>
          </w:p>
          <w:p w14:paraId="77C32051" w14:textId="77777777" w:rsidR="00A453C3" w:rsidRPr="00707120" w:rsidRDefault="00A453C3" w:rsidP="00707120">
            <w:pPr>
              <w:ind w:left="79"/>
              <w:jc w:val="center"/>
              <w:rPr>
                <w:rFonts w:eastAsia="SimSun"/>
                <w:sz w:val="20"/>
              </w:rPr>
            </w:pPr>
            <w:r w:rsidRPr="00707120">
              <w:rPr>
                <w:sz w:val="20"/>
              </w:rPr>
              <w:t>0,36</w:t>
            </w:r>
          </w:p>
          <w:p w14:paraId="13BBA908" w14:textId="77777777" w:rsidR="00A453C3" w:rsidRPr="00707120" w:rsidRDefault="00A453C3" w:rsidP="00707120">
            <w:pPr>
              <w:ind w:left="79"/>
              <w:jc w:val="center"/>
              <w:rPr>
                <w:rFonts w:eastAsia="SimSun"/>
                <w:sz w:val="20"/>
              </w:rPr>
            </w:pPr>
            <w:r w:rsidRPr="00707120">
              <w:rPr>
                <w:sz w:val="20"/>
              </w:rPr>
              <w:t>(0,13; 1,00)</w:t>
            </w:r>
          </w:p>
          <w:p w14:paraId="21505713" w14:textId="77777777" w:rsidR="00A453C3" w:rsidRPr="00707120" w:rsidRDefault="00A453C3" w:rsidP="00707120">
            <w:pPr>
              <w:ind w:left="79"/>
              <w:jc w:val="center"/>
              <w:rPr>
                <w:sz w:val="20"/>
              </w:rPr>
            </w:pPr>
          </w:p>
          <w:p w14:paraId="3CF248CF" w14:textId="77777777" w:rsidR="004976C8" w:rsidRPr="00707120" w:rsidRDefault="004976C8" w:rsidP="00707120">
            <w:pPr>
              <w:ind w:left="79"/>
              <w:jc w:val="center"/>
              <w:rPr>
                <w:sz w:val="20"/>
              </w:rPr>
            </w:pPr>
          </w:p>
          <w:p w14:paraId="7AF20606" w14:textId="77777777" w:rsidR="004976C8" w:rsidRPr="00707120" w:rsidRDefault="004976C8" w:rsidP="00707120">
            <w:pPr>
              <w:ind w:left="79"/>
              <w:jc w:val="center"/>
              <w:rPr>
                <w:sz w:val="20"/>
              </w:rPr>
            </w:pPr>
          </w:p>
          <w:p w14:paraId="22292C1A" w14:textId="77777777" w:rsidR="00A453C3" w:rsidRPr="00707120" w:rsidRDefault="00A453C3" w:rsidP="00707120">
            <w:pPr>
              <w:ind w:left="79"/>
              <w:jc w:val="center"/>
              <w:rPr>
                <w:rFonts w:eastAsia="SimSun"/>
                <w:sz w:val="20"/>
              </w:rPr>
            </w:pPr>
            <w:r w:rsidRPr="00707120">
              <w:rPr>
                <w:sz w:val="20"/>
              </w:rPr>
              <w:t>0,25***</w:t>
            </w:r>
          </w:p>
          <w:p w14:paraId="208D9DC4" w14:textId="77777777" w:rsidR="00A453C3" w:rsidRPr="00707120" w:rsidRDefault="00A453C3" w:rsidP="00707120">
            <w:pPr>
              <w:ind w:left="79"/>
              <w:jc w:val="center"/>
              <w:rPr>
                <w:rFonts w:eastAsia="SimSun"/>
                <w:sz w:val="20"/>
              </w:rPr>
            </w:pPr>
            <w:r w:rsidRPr="00707120">
              <w:rPr>
                <w:sz w:val="20"/>
              </w:rPr>
              <w:t>(0,09; 0,70)</w:t>
            </w:r>
          </w:p>
          <w:p w14:paraId="73EA2425" w14:textId="77777777" w:rsidR="00A453C3" w:rsidRPr="00707120" w:rsidRDefault="00A453C3" w:rsidP="00707120">
            <w:pPr>
              <w:ind w:left="79"/>
              <w:jc w:val="center"/>
              <w:rPr>
                <w:sz w:val="20"/>
              </w:rPr>
            </w:pPr>
          </w:p>
          <w:p w14:paraId="14641323" w14:textId="77777777" w:rsidR="004976C8" w:rsidRPr="00707120" w:rsidRDefault="004976C8" w:rsidP="00707120">
            <w:pPr>
              <w:ind w:left="79"/>
              <w:jc w:val="center"/>
              <w:rPr>
                <w:sz w:val="20"/>
              </w:rPr>
            </w:pPr>
          </w:p>
          <w:p w14:paraId="39B9CA03" w14:textId="77777777" w:rsidR="004976C8" w:rsidRPr="00707120" w:rsidRDefault="004976C8" w:rsidP="00707120">
            <w:pPr>
              <w:ind w:left="79"/>
              <w:jc w:val="center"/>
              <w:rPr>
                <w:sz w:val="20"/>
              </w:rPr>
            </w:pPr>
          </w:p>
          <w:p w14:paraId="78798544" w14:textId="77777777" w:rsidR="00A453C3" w:rsidRPr="00707120" w:rsidRDefault="00A453C3" w:rsidP="00707120">
            <w:pPr>
              <w:ind w:left="79"/>
              <w:jc w:val="center"/>
              <w:rPr>
                <w:rFonts w:eastAsia="SimSun"/>
                <w:sz w:val="20"/>
              </w:rPr>
            </w:pPr>
            <w:r w:rsidRPr="00707120">
              <w:rPr>
                <w:sz w:val="20"/>
              </w:rPr>
              <w:t>0,44</w:t>
            </w:r>
          </w:p>
          <w:p w14:paraId="6C7BFCDB" w14:textId="35EECBA4" w:rsidR="00A453C3" w:rsidRPr="00707120" w:rsidRDefault="00A453C3" w:rsidP="00707120">
            <w:pPr>
              <w:ind w:left="79"/>
              <w:jc w:val="center"/>
              <w:rPr>
                <w:rFonts w:eastAsia="SimSun"/>
                <w:sz w:val="20"/>
              </w:rPr>
            </w:pPr>
            <w:r w:rsidRPr="00707120">
              <w:rPr>
                <w:sz w:val="20"/>
              </w:rPr>
              <w:t>(0,14; 1,32)</w:t>
            </w:r>
          </w:p>
        </w:tc>
        <w:tc>
          <w:tcPr>
            <w:tcW w:w="1701" w:type="dxa"/>
            <w:tcMar>
              <w:top w:w="0" w:type="dxa"/>
              <w:left w:w="57" w:type="dxa"/>
              <w:bottom w:w="0" w:type="dxa"/>
              <w:right w:w="57" w:type="dxa"/>
            </w:tcMar>
          </w:tcPr>
          <w:p w14:paraId="6BA04435" w14:textId="2A5181BE" w:rsidR="00A453C3" w:rsidRPr="00707120" w:rsidRDefault="00A453C3" w:rsidP="00707120">
            <w:pPr>
              <w:ind w:left="79"/>
              <w:jc w:val="center"/>
              <w:rPr>
                <w:rFonts w:eastAsia="SimSun"/>
                <w:sz w:val="20"/>
              </w:rPr>
            </w:pPr>
            <w:r w:rsidRPr="00707120">
              <w:rPr>
                <w:sz w:val="20"/>
              </w:rPr>
              <w:t>0,28**</w:t>
            </w:r>
          </w:p>
          <w:p w14:paraId="7E659FC2" w14:textId="77777777" w:rsidR="00A453C3" w:rsidRPr="00707120" w:rsidRDefault="00A453C3" w:rsidP="00707120">
            <w:pPr>
              <w:ind w:left="79"/>
              <w:jc w:val="center"/>
              <w:rPr>
                <w:rFonts w:eastAsia="SimSun"/>
                <w:sz w:val="20"/>
              </w:rPr>
            </w:pPr>
            <w:r w:rsidRPr="00707120">
              <w:rPr>
                <w:sz w:val="20"/>
              </w:rPr>
              <w:t>(0,12; 0,66)</w:t>
            </w:r>
          </w:p>
          <w:p w14:paraId="1BAED515" w14:textId="77777777" w:rsidR="00A453C3" w:rsidRPr="00707120" w:rsidRDefault="00A453C3" w:rsidP="00707120">
            <w:pPr>
              <w:ind w:left="79"/>
              <w:jc w:val="center"/>
              <w:rPr>
                <w:sz w:val="20"/>
              </w:rPr>
            </w:pPr>
          </w:p>
          <w:p w14:paraId="130503ED" w14:textId="77777777" w:rsidR="008C0BE6" w:rsidRPr="00707120" w:rsidRDefault="008C0BE6" w:rsidP="00707120">
            <w:pPr>
              <w:ind w:left="79"/>
              <w:jc w:val="center"/>
              <w:rPr>
                <w:sz w:val="20"/>
              </w:rPr>
            </w:pPr>
          </w:p>
          <w:p w14:paraId="1D3146FF" w14:textId="77777777" w:rsidR="00A453C3" w:rsidRPr="00707120" w:rsidRDefault="00A453C3" w:rsidP="00707120">
            <w:pPr>
              <w:ind w:left="79"/>
              <w:jc w:val="center"/>
              <w:rPr>
                <w:rFonts w:eastAsia="SimSun"/>
                <w:sz w:val="20"/>
              </w:rPr>
            </w:pPr>
            <w:r w:rsidRPr="00707120">
              <w:rPr>
                <w:sz w:val="20"/>
              </w:rPr>
              <w:t>0,48</w:t>
            </w:r>
          </w:p>
          <w:p w14:paraId="067D593D" w14:textId="77777777" w:rsidR="00A453C3" w:rsidRPr="00707120" w:rsidRDefault="00A453C3" w:rsidP="00707120">
            <w:pPr>
              <w:ind w:left="79"/>
              <w:jc w:val="center"/>
              <w:rPr>
                <w:rFonts w:eastAsia="SimSun"/>
                <w:sz w:val="20"/>
              </w:rPr>
            </w:pPr>
            <w:r w:rsidRPr="00707120">
              <w:rPr>
                <w:sz w:val="20"/>
              </w:rPr>
              <w:t xml:space="preserve">(0,20; 1,16) </w:t>
            </w:r>
          </w:p>
          <w:p w14:paraId="49CE907A" w14:textId="77777777" w:rsidR="004976C8" w:rsidRPr="00707120" w:rsidRDefault="004976C8" w:rsidP="00707120">
            <w:pPr>
              <w:ind w:left="79"/>
              <w:jc w:val="center"/>
              <w:rPr>
                <w:rFonts w:eastAsia="SimSun"/>
                <w:sz w:val="20"/>
              </w:rPr>
            </w:pPr>
          </w:p>
          <w:p w14:paraId="78ECFDD0" w14:textId="77777777" w:rsidR="008C0BE6" w:rsidRPr="00707120" w:rsidRDefault="008C0BE6" w:rsidP="00707120">
            <w:pPr>
              <w:ind w:left="79"/>
              <w:jc w:val="center"/>
              <w:rPr>
                <w:rFonts w:eastAsia="SimSun"/>
                <w:sz w:val="20"/>
              </w:rPr>
            </w:pPr>
          </w:p>
          <w:p w14:paraId="3D0F5901" w14:textId="1845FA32" w:rsidR="00A453C3" w:rsidRPr="00707120" w:rsidRDefault="00A453C3" w:rsidP="00707120">
            <w:pPr>
              <w:ind w:left="79"/>
              <w:jc w:val="center"/>
              <w:rPr>
                <w:rFonts w:eastAsia="SimSun"/>
                <w:sz w:val="20"/>
              </w:rPr>
            </w:pPr>
            <w:r w:rsidRPr="00707120">
              <w:rPr>
                <w:sz w:val="20"/>
              </w:rPr>
              <w:t>0,42</w:t>
            </w:r>
          </w:p>
          <w:p w14:paraId="10D64F36" w14:textId="77777777" w:rsidR="00A453C3" w:rsidRPr="00707120" w:rsidRDefault="00A453C3" w:rsidP="00707120">
            <w:pPr>
              <w:ind w:left="79"/>
              <w:jc w:val="center"/>
              <w:rPr>
                <w:rFonts w:eastAsia="SimSun"/>
                <w:sz w:val="20"/>
              </w:rPr>
            </w:pPr>
            <w:r w:rsidRPr="00707120">
              <w:rPr>
                <w:sz w:val="20"/>
              </w:rPr>
              <w:t>(0,14; 1,28)</w:t>
            </w:r>
          </w:p>
          <w:p w14:paraId="08A987EA" w14:textId="77777777" w:rsidR="00A453C3" w:rsidRPr="00707120" w:rsidRDefault="00A453C3" w:rsidP="00707120">
            <w:pPr>
              <w:ind w:left="79"/>
              <w:jc w:val="center"/>
              <w:rPr>
                <w:sz w:val="20"/>
              </w:rPr>
            </w:pPr>
          </w:p>
          <w:p w14:paraId="7ED4F244" w14:textId="77777777" w:rsidR="004976C8" w:rsidRPr="00707120" w:rsidRDefault="004976C8" w:rsidP="00707120">
            <w:pPr>
              <w:ind w:left="79"/>
              <w:jc w:val="center"/>
              <w:rPr>
                <w:sz w:val="20"/>
              </w:rPr>
            </w:pPr>
          </w:p>
          <w:p w14:paraId="3FA8F03B" w14:textId="77777777" w:rsidR="004976C8" w:rsidRPr="00707120" w:rsidRDefault="004976C8" w:rsidP="00707120">
            <w:pPr>
              <w:ind w:left="79"/>
              <w:jc w:val="center"/>
              <w:rPr>
                <w:sz w:val="20"/>
              </w:rPr>
            </w:pPr>
          </w:p>
          <w:p w14:paraId="6ACFBF72" w14:textId="77777777" w:rsidR="00A453C3" w:rsidRPr="00707120" w:rsidRDefault="00A453C3" w:rsidP="00707120">
            <w:pPr>
              <w:ind w:left="79"/>
              <w:jc w:val="center"/>
              <w:rPr>
                <w:rFonts w:eastAsia="SimSun"/>
                <w:sz w:val="20"/>
              </w:rPr>
            </w:pPr>
            <w:r w:rsidRPr="00707120">
              <w:rPr>
                <w:sz w:val="20"/>
              </w:rPr>
              <w:t>0,67</w:t>
            </w:r>
          </w:p>
          <w:p w14:paraId="3EF07565" w14:textId="77777777" w:rsidR="00A453C3" w:rsidRPr="00707120" w:rsidRDefault="00A453C3" w:rsidP="00707120">
            <w:pPr>
              <w:ind w:left="79"/>
              <w:jc w:val="center"/>
              <w:rPr>
                <w:rFonts w:eastAsia="SimSun"/>
                <w:sz w:val="20"/>
              </w:rPr>
            </w:pPr>
            <w:r w:rsidRPr="00707120">
              <w:rPr>
                <w:sz w:val="20"/>
              </w:rPr>
              <w:t>(0,21; 2,10)</w:t>
            </w:r>
          </w:p>
          <w:p w14:paraId="29D47CA2" w14:textId="77777777" w:rsidR="00A453C3" w:rsidRPr="00707120" w:rsidRDefault="00A453C3" w:rsidP="00707120">
            <w:pPr>
              <w:ind w:left="79"/>
              <w:jc w:val="center"/>
              <w:rPr>
                <w:sz w:val="20"/>
              </w:rPr>
            </w:pPr>
          </w:p>
          <w:p w14:paraId="4A58D4E8" w14:textId="77777777" w:rsidR="004976C8" w:rsidRPr="00707120" w:rsidRDefault="004976C8" w:rsidP="00707120">
            <w:pPr>
              <w:ind w:left="79"/>
              <w:jc w:val="center"/>
              <w:rPr>
                <w:sz w:val="20"/>
              </w:rPr>
            </w:pPr>
          </w:p>
          <w:p w14:paraId="1BD8DBFE" w14:textId="77777777" w:rsidR="004976C8" w:rsidRPr="00707120" w:rsidRDefault="004976C8" w:rsidP="00707120">
            <w:pPr>
              <w:ind w:left="79"/>
              <w:jc w:val="center"/>
              <w:rPr>
                <w:sz w:val="20"/>
              </w:rPr>
            </w:pPr>
          </w:p>
          <w:p w14:paraId="57BE1DA1" w14:textId="77777777" w:rsidR="00A453C3" w:rsidRPr="00707120" w:rsidRDefault="00A453C3" w:rsidP="00707120">
            <w:pPr>
              <w:ind w:left="79"/>
              <w:jc w:val="center"/>
              <w:rPr>
                <w:rFonts w:eastAsia="SimSun"/>
                <w:sz w:val="20"/>
              </w:rPr>
            </w:pPr>
            <w:r w:rsidRPr="00707120">
              <w:rPr>
                <w:sz w:val="20"/>
              </w:rPr>
              <w:t>0,20***</w:t>
            </w:r>
          </w:p>
          <w:p w14:paraId="33838DF8" w14:textId="77777777" w:rsidR="00A453C3" w:rsidRPr="00707120" w:rsidRDefault="00A453C3" w:rsidP="00707120">
            <w:pPr>
              <w:ind w:left="79"/>
              <w:jc w:val="center"/>
              <w:rPr>
                <w:rFonts w:eastAsia="SimSun"/>
                <w:sz w:val="20"/>
              </w:rPr>
            </w:pPr>
            <w:r w:rsidRPr="00707120">
              <w:rPr>
                <w:sz w:val="20"/>
              </w:rPr>
              <w:t>(0,05; 0,76)</w:t>
            </w:r>
          </w:p>
          <w:p w14:paraId="58EA2CD2" w14:textId="77777777" w:rsidR="00A453C3" w:rsidRPr="00707120" w:rsidRDefault="00A453C3" w:rsidP="00707120">
            <w:pPr>
              <w:ind w:left="79"/>
              <w:jc w:val="center"/>
              <w:rPr>
                <w:sz w:val="20"/>
              </w:rPr>
            </w:pPr>
          </w:p>
          <w:p w14:paraId="039672DA" w14:textId="77777777" w:rsidR="004976C8" w:rsidRPr="00707120" w:rsidRDefault="004976C8" w:rsidP="00707120">
            <w:pPr>
              <w:ind w:left="79"/>
              <w:jc w:val="center"/>
              <w:rPr>
                <w:sz w:val="20"/>
              </w:rPr>
            </w:pPr>
          </w:p>
          <w:p w14:paraId="413DD7E0" w14:textId="77777777" w:rsidR="004976C8" w:rsidRPr="00707120" w:rsidRDefault="004976C8" w:rsidP="00707120">
            <w:pPr>
              <w:ind w:left="79"/>
              <w:jc w:val="center"/>
              <w:rPr>
                <w:sz w:val="20"/>
              </w:rPr>
            </w:pPr>
          </w:p>
          <w:p w14:paraId="2AC66A4E" w14:textId="77777777" w:rsidR="00A453C3" w:rsidRPr="00707120" w:rsidRDefault="00A453C3" w:rsidP="00707120">
            <w:pPr>
              <w:ind w:left="79"/>
              <w:jc w:val="center"/>
              <w:rPr>
                <w:rFonts w:eastAsia="SimSun"/>
                <w:sz w:val="20"/>
              </w:rPr>
            </w:pPr>
            <w:r w:rsidRPr="00707120">
              <w:rPr>
                <w:sz w:val="20"/>
              </w:rPr>
              <w:t>0,35</w:t>
            </w:r>
          </w:p>
          <w:p w14:paraId="3A40C8AD" w14:textId="2507266D" w:rsidR="00A453C3" w:rsidRPr="00707120" w:rsidRDefault="00A453C3" w:rsidP="00707120">
            <w:pPr>
              <w:ind w:left="79"/>
              <w:jc w:val="center"/>
              <w:rPr>
                <w:rFonts w:eastAsia="SimSun"/>
                <w:sz w:val="20"/>
              </w:rPr>
            </w:pPr>
            <w:r w:rsidRPr="00707120">
              <w:rPr>
                <w:sz w:val="20"/>
              </w:rPr>
              <w:t>(0,09; 1,42)</w:t>
            </w:r>
          </w:p>
        </w:tc>
      </w:tr>
      <w:tr w:rsidR="004976C8" w:rsidRPr="00FB280D" w14:paraId="60007CA1" w14:textId="77777777" w:rsidTr="00707120">
        <w:trPr>
          <w:cantSplit/>
        </w:trPr>
        <w:tc>
          <w:tcPr>
            <w:tcW w:w="3261" w:type="dxa"/>
            <w:tcMar>
              <w:top w:w="0" w:type="dxa"/>
              <w:left w:w="57" w:type="dxa"/>
              <w:bottom w:w="0" w:type="dxa"/>
              <w:right w:w="57" w:type="dxa"/>
            </w:tcMar>
          </w:tcPr>
          <w:p w14:paraId="7E85B161" w14:textId="77777777" w:rsidR="00A453C3" w:rsidRPr="00707120" w:rsidRDefault="00A453C3" w:rsidP="00707120">
            <w:pPr>
              <w:spacing w:line="240" w:lineRule="exact"/>
              <w:rPr>
                <w:rFonts w:eastAsia="SimSun"/>
                <w:i/>
                <w:sz w:val="20"/>
              </w:rPr>
            </w:pPr>
            <w:r w:rsidRPr="00707120">
              <w:rPr>
                <w:i/>
                <w:sz w:val="20"/>
              </w:rPr>
              <w:t>Kumulatīvā glikokortikoīdu deva (mg)</w:t>
            </w:r>
          </w:p>
          <w:p w14:paraId="69F2CA60" w14:textId="76AB5188" w:rsidR="00A453C3" w:rsidRPr="00707120" w:rsidRDefault="00A453C3" w:rsidP="00707120">
            <w:pPr>
              <w:keepNext/>
              <w:keepLines/>
              <w:spacing w:line="240" w:lineRule="exact"/>
              <w:ind w:left="228"/>
              <w:rPr>
                <w:rFonts w:eastAsia="SimSun"/>
                <w:i/>
                <w:sz w:val="20"/>
                <w:lang w:val="pt-PT"/>
              </w:rPr>
            </w:pPr>
            <w:r w:rsidRPr="00707120">
              <w:rPr>
                <w:i/>
                <w:sz w:val="20"/>
              </w:rPr>
              <w:t>mediāna 52. </w:t>
            </w:r>
            <w:r w:rsidRPr="00707120">
              <w:rPr>
                <w:i/>
                <w:sz w:val="20"/>
                <w:lang w:val="pt-PT"/>
              </w:rPr>
              <w:t>nedēļā (tocilizumaba grupas salīdzinājumā ar placebo+26</w:t>
            </w:r>
            <w:r w:rsidRPr="00707120">
              <w:rPr>
                <w:i/>
                <w:sz w:val="20"/>
                <w:vertAlign w:val="superscript"/>
                <w:lang w:val="pt-PT"/>
              </w:rPr>
              <w:t>2</w:t>
            </w:r>
            <w:r w:rsidRPr="00707120">
              <w:rPr>
                <w:i/>
                <w:sz w:val="20"/>
                <w:lang w:val="pt-PT"/>
              </w:rPr>
              <w:t xml:space="preserve">) </w:t>
            </w:r>
          </w:p>
          <w:p w14:paraId="224AB3B2" w14:textId="6ABFFFD2" w:rsidR="00A453C3" w:rsidRPr="00707120" w:rsidRDefault="00A453C3" w:rsidP="00707120">
            <w:pPr>
              <w:keepNext/>
              <w:keepLines/>
              <w:spacing w:line="240" w:lineRule="exact"/>
              <w:ind w:left="228"/>
              <w:rPr>
                <w:rFonts w:eastAsia="SimSun"/>
                <w:sz w:val="20"/>
                <w:lang w:val="pt-PT"/>
              </w:rPr>
            </w:pPr>
            <w:r w:rsidRPr="00707120">
              <w:rPr>
                <w:i/>
                <w:sz w:val="20"/>
                <w:lang w:val="pt-PT"/>
              </w:rPr>
              <w:t>mediāna 52. nedēļā (tocilizumaba grupas salīdzinājumā ar placebo+52</w:t>
            </w:r>
            <w:r w:rsidRPr="00707120">
              <w:rPr>
                <w:i/>
                <w:sz w:val="20"/>
                <w:vertAlign w:val="superscript"/>
                <w:lang w:val="pt-PT"/>
              </w:rPr>
              <w:t>2</w:t>
            </w:r>
            <w:r w:rsidRPr="00707120">
              <w:rPr>
                <w:i/>
                <w:sz w:val="20"/>
                <w:lang w:val="pt-PT"/>
              </w:rPr>
              <w:t>)</w:t>
            </w:r>
            <w:r w:rsidRPr="00707120">
              <w:rPr>
                <w:sz w:val="20"/>
                <w:lang w:val="pt-PT"/>
              </w:rPr>
              <w:t xml:space="preserve"> </w:t>
            </w:r>
          </w:p>
        </w:tc>
        <w:tc>
          <w:tcPr>
            <w:tcW w:w="1417" w:type="dxa"/>
            <w:tcMar>
              <w:top w:w="0" w:type="dxa"/>
              <w:left w:w="57" w:type="dxa"/>
              <w:bottom w:w="0" w:type="dxa"/>
              <w:right w:w="57" w:type="dxa"/>
            </w:tcMar>
          </w:tcPr>
          <w:p w14:paraId="26DC7FF1" w14:textId="77777777" w:rsidR="00A453C3" w:rsidRPr="00707120" w:rsidRDefault="00A453C3" w:rsidP="00707120">
            <w:pPr>
              <w:keepNext/>
              <w:keepLines/>
              <w:spacing w:line="240" w:lineRule="exact"/>
              <w:ind w:left="-92"/>
              <w:jc w:val="center"/>
              <w:rPr>
                <w:rFonts w:eastAsia="SimSun"/>
                <w:sz w:val="20"/>
                <w:lang w:val="pt-PT"/>
              </w:rPr>
            </w:pPr>
          </w:p>
          <w:p w14:paraId="742516F1" w14:textId="77777777" w:rsidR="00A453C3" w:rsidRPr="00707120" w:rsidRDefault="00A453C3" w:rsidP="00707120">
            <w:pPr>
              <w:keepNext/>
              <w:keepLines/>
              <w:spacing w:line="240" w:lineRule="exact"/>
              <w:ind w:left="-92"/>
              <w:jc w:val="center"/>
              <w:rPr>
                <w:rFonts w:eastAsia="SimSun"/>
                <w:sz w:val="20"/>
              </w:rPr>
            </w:pPr>
            <w:r w:rsidRPr="00707120">
              <w:rPr>
                <w:sz w:val="20"/>
              </w:rPr>
              <w:t>3296,00</w:t>
            </w:r>
          </w:p>
          <w:p w14:paraId="4DEE05F3" w14:textId="77777777" w:rsidR="00A453C3" w:rsidRPr="00707120" w:rsidRDefault="00A453C3" w:rsidP="00707120">
            <w:pPr>
              <w:keepNext/>
              <w:keepLines/>
              <w:spacing w:line="240" w:lineRule="exact"/>
              <w:ind w:left="-92"/>
              <w:jc w:val="center"/>
              <w:rPr>
                <w:rFonts w:eastAsia="SimSun"/>
                <w:sz w:val="20"/>
              </w:rPr>
            </w:pPr>
          </w:p>
          <w:p w14:paraId="3F67126B" w14:textId="77777777" w:rsidR="00A453C3" w:rsidRPr="00707120" w:rsidRDefault="00A453C3" w:rsidP="00707120">
            <w:pPr>
              <w:keepNext/>
              <w:keepLines/>
              <w:spacing w:line="240" w:lineRule="exact"/>
              <w:ind w:left="-92"/>
              <w:jc w:val="center"/>
              <w:rPr>
                <w:rFonts w:eastAsia="SimSun"/>
                <w:sz w:val="20"/>
              </w:rPr>
            </w:pPr>
            <w:r w:rsidRPr="00707120">
              <w:rPr>
                <w:sz w:val="20"/>
              </w:rPr>
              <w:t>N/P</w:t>
            </w:r>
          </w:p>
        </w:tc>
        <w:tc>
          <w:tcPr>
            <w:tcW w:w="1559" w:type="dxa"/>
            <w:tcMar>
              <w:top w:w="0" w:type="dxa"/>
              <w:left w:w="57" w:type="dxa"/>
              <w:bottom w:w="0" w:type="dxa"/>
              <w:right w:w="57" w:type="dxa"/>
            </w:tcMar>
          </w:tcPr>
          <w:p w14:paraId="703A7639" w14:textId="77777777" w:rsidR="00A453C3" w:rsidRPr="00707120" w:rsidRDefault="00A453C3" w:rsidP="00707120">
            <w:pPr>
              <w:keepNext/>
              <w:keepLines/>
              <w:spacing w:line="240" w:lineRule="exact"/>
              <w:jc w:val="center"/>
              <w:rPr>
                <w:rFonts w:eastAsia="SimSun"/>
                <w:sz w:val="20"/>
              </w:rPr>
            </w:pPr>
          </w:p>
          <w:p w14:paraId="0DD6635E" w14:textId="77777777" w:rsidR="00A453C3" w:rsidRPr="00707120" w:rsidRDefault="00A453C3" w:rsidP="00707120">
            <w:pPr>
              <w:keepNext/>
              <w:keepLines/>
              <w:spacing w:line="240" w:lineRule="exact"/>
              <w:jc w:val="center"/>
              <w:rPr>
                <w:rFonts w:eastAsia="SimSun"/>
                <w:sz w:val="20"/>
              </w:rPr>
            </w:pPr>
            <w:r w:rsidRPr="00707120">
              <w:rPr>
                <w:sz w:val="20"/>
              </w:rPr>
              <w:t>N/P</w:t>
            </w:r>
          </w:p>
          <w:p w14:paraId="74AECDF5" w14:textId="77777777" w:rsidR="00A453C3" w:rsidRPr="00707120" w:rsidRDefault="00A453C3" w:rsidP="00707120">
            <w:pPr>
              <w:keepNext/>
              <w:keepLines/>
              <w:spacing w:line="240" w:lineRule="exact"/>
              <w:jc w:val="center"/>
              <w:rPr>
                <w:rFonts w:eastAsia="SimSun"/>
                <w:sz w:val="20"/>
              </w:rPr>
            </w:pPr>
          </w:p>
          <w:p w14:paraId="712034C6" w14:textId="77777777" w:rsidR="00A453C3" w:rsidRPr="00707120" w:rsidRDefault="00A453C3" w:rsidP="00707120">
            <w:pPr>
              <w:keepNext/>
              <w:keepLines/>
              <w:spacing w:line="240" w:lineRule="exact"/>
              <w:jc w:val="center"/>
              <w:rPr>
                <w:rFonts w:eastAsia="SimSun"/>
                <w:sz w:val="20"/>
              </w:rPr>
            </w:pPr>
            <w:r w:rsidRPr="00707120">
              <w:rPr>
                <w:sz w:val="20"/>
              </w:rPr>
              <w:t>3817,50</w:t>
            </w:r>
          </w:p>
        </w:tc>
        <w:tc>
          <w:tcPr>
            <w:tcW w:w="1560" w:type="dxa"/>
          </w:tcPr>
          <w:p w14:paraId="7B958B09" w14:textId="77777777" w:rsidR="00A453C3" w:rsidRPr="00707120" w:rsidRDefault="00A453C3" w:rsidP="00707120">
            <w:pPr>
              <w:keepNext/>
              <w:keepLines/>
              <w:spacing w:line="240" w:lineRule="exact"/>
              <w:jc w:val="center"/>
              <w:rPr>
                <w:rFonts w:eastAsia="SimSun"/>
                <w:sz w:val="20"/>
              </w:rPr>
            </w:pPr>
          </w:p>
          <w:p w14:paraId="3303C2E5" w14:textId="77777777" w:rsidR="00A453C3" w:rsidRPr="00707120" w:rsidRDefault="00A453C3" w:rsidP="00707120">
            <w:pPr>
              <w:keepNext/>
              <w:keepLines/>
              <w:spacing w:line="240" w:lineRule="exact"/>
              <w:jc w:val="center"/>
              <w:rPr>
                <w:rFonts w:eastAsia="SimSun"/>
                <w:sz w:val="20"/>
              </w:rPr>
            </w:pPr>
            <w:r w:rsidRPr="00707120">
              <w:rPr>
                <w:sz w:val="20"/>
              </w:rPr>
              <w:t>1862,00*</w:t>
            </w:r>
          </w:p>
          <w:p w14:paraId="325890F3" w14:textId="77777777" w:rsidR="00A453C3" w:rsidRPr="00707120" w:rsidRDefault="00A453C3" w:rsidP="00707120">
            <w:pPr>
              <w:keepNext/>
              <w:keepLines/>
              <w:spacing w:line="240" w:lineRule="exact"/>
              <w:jc w:val="center"/>
              <w:rPr>
                <w:rFonts w:eastAsia="SimSun"/>
                <w:sz w:val="20"/>
              </w:rPr>
            </w:pPr>
          </w:p>
          <w:p w14:paraId="0ABD983E" w14:textId="77777777" w:rsidR="00A453C3" w:rsidRPr="00707120" w:rsidRDefault="00A453C3" w:rsidP="00707120">
            <w:pPr>
              <w:keepNext/>
              <w:keepLines/>
              <w:spacing w:line="240" w:lineRule="exact"/>
              <w:jc w:val="center"/>
              <w:rPr>
                <w:rFonts w:eastAsia="SimSun"/>
                <w:sz w:val="20"/>
              </w:rPr>
            </w:pPr>
            <w:r w:rsidRPr="00707120">
              <w:rPr>
                <w:sz w:val="20"/>
              </w:rPr>
              <w:t>1862,00*</w:t>
            </w:r>
          </w:p>
        </w:tc>
        <w:tc>
          <w:tcPr>
            <w:tcW w:w="1701" w:type="dxa"/>
            <w:tcMar>
              <w:top w:w="0" w:type="dxa"/>
              <w:left w:w="57" w:type="dxa"/>
              <w:bottom w:w="0" w:type="dxa"/>
              <w:right w:w="57" w:type="dxa"/>
            </w:tcMar>
          </w:tcPr>
          <w:p w14:paraId="26862D76" w14:textId="77777777" w:rsidR="00A453C3" w:rsidRPr="00707120" w:rsidRDefault="00A453C3" w:rsidP="00707120">
            <w:pPr>
              <w:keepNext/>
              <w:keepLines/>
              <w:spacing w:line="240" w:lineRule="exact"/>
              <w:ind w:left="-138"/>
              <w:jc w:val="center"/>
              <w:rPr>
                <w:rFonts w:eastAsia="SimSun"/>
                <w:sz w:val="20"/>
              </w:rPr>
            </w:pPr>
          </w:p>
          <w:p w14:paraId="048ABE6B" w14:textId="77777777" w:rsidR="00A453C3" w:rsidRPr="00707120" w:rsidRDefault="00A453C3" w:rsidP="00707120">
            <w:pPr>
              <w:keepNext/>
              <w:keepLines/>
              <w:spacing w:line="240" w:lineRule="exact"/>
              <w:ind w:left="-138"/>
              <w:jc w:val="center"/>
              <w:rPr>
                <w:rFonts w:eastAsia="SimSun"/>
                <w:sz w:val="20"/>
              </w:rPr>
            </w:pPr>
            <w:r w:rsidRPr="00707120">
              <w:rPr>
                <w:sz w:val="20"/>
              </w:rPr>
              <w:t>1862,00*</w:t>
            </w:r>
          </w:p>
          <w:p w14:paraId="59B7CB56" w14:textId="77777777" w:rsidR="00A453C3" w:rsidRPr="00707120" w:rsidRDefault="00A453C3" w:rsidP="00707120">
            <w:pPr>
              <w:keepNext/>
              <w:keepLines/>
              <w:spacing w:line="240" w:lineRule="exact"/>
              <w:ind w:left="-138"/>
              <w:jc w:val="center"/>
              <w:rPr>
                <w:rFonts w:eastAsia="SimSun"/>
                <w:sz w:val="20"/>
              </w:rPr>
            </w:pPr>
          </w:p>
          <w:p w14:paraId="7B00927B" w14:textId="77777777" w:rsidR="00A453C3" w:rsidRPr="00707120" w:rsidRDefault="00A453C3" w:rsidP="00707120">
            <w:pPr>
              <w:keepNext/>
              <w:keepLines/>
              <w:spacing w:line="240" w:lineRule="exact"/>
              <w:ind w:left="-138"/>
              <w:jc w:val="center"/>
              <w:rPr>
                <w:rFonts w:eastAsia="SimSun"/>
                <w:sz w:val="20"/>
              </w:rPr>
            </w:pPr>
            <w:r w:rsidRPr="00707120">
              <w:rPr>
                <w:sz w:val="20"/>
              </w:rPr>
              <w:t>1862,00*</w:t>
            </w:r>
          </w:p>
        </w:tc>
      </w:tr>
      <w:tr w:rsidR="00A453C3" w:rsidRPr="00FB280D" w14:paraId="39939C82" w14:textId="77777777" w:rsidTr="00707120">
        <w:trPr>
          <w:cantSplit/>
        </w:trPr>
        <w:tc>
          <w:tcPr>
            <w:tcW w:w="9498" w:type="dxa"/>
            <w:gridSpan w:val="5"/>
          </w:tcPr>
          <w:p w14:paraId="0DBA27C0" w14:textId="62C6071C" w:rsidR="00A453C3" w:rsidRPr="00707120" w:rsidRDefault="00A453C3" w:rsidP="00707120">
            <w:pPr>
              <w:keepNext/>
              <w:keepLines/>
              <w:spacing w:line="240" w:lineRule="exact"/>
              <w:rPr>
                <w:rFonts w:eastAsia="SimSun"/>
                <w:b/>
                <w:sz w:val="20"/>
              </w:rPr>
            </w:pPr>
            <w:r w:rsidRPr="00707120">
              <w:rPr>
                <w:b/>
                <w:sz w:val="20"/>
              </w:rPr>
              <w:t>Pētnieciskie mērķa kritēriji</w:t>
            </w:r>
          </w:p>
        </w:tc>
      </w:tr>
      <w:tr w:rsidR="00762373" w:rsidRPr="00FB280D" w14:paraId="2C9A0D30" w14:textId="77777777" w:rsidTr="00707120">
        <w:trPr>
          <w:cantSplit/>
        </w:trPr>
        <w:tc>
          <w:tcPr>
            <w:tcW w:w="3261" w:type="dxa"/>
            <w:tcMar>
              <w:top w:w="0" w:type="dxa"/>
              <w:left w:w="57" w:type="dxa"/>
              <w:bottom w:w="0" w:type="dxa"/>
              <w:right w:w="57" w:type="dxa"/>
            </w:tcMar>
          </w:tcPr>
          <w:p w14:paraId="6EE8040F" w14:textId="620BA59F" w:rsidR="00762373" w:rsidRPr="00707120" w:rsidRDefault="00762373" w:rsidP="00707120">
            <w:pPr>
              <w:keepNext/>
              <w:keepLines/>
              <w:rPr>
                <w:rFonts w:eastAsia="SimSun"/>
                <w:sz w:val="20"/>
              </w:rPr>
            </w:pPr>
            <w:r w:rsidRPr="00707120">
              <w:rPr>
                <w:sz w:val="20"/>
              </w:rPr>
              <w:t>Ikgadējais recidīvu rādītājs, 52. nedēļa</w:t>
            </w:r>
            <w:r w:rsidRPr="00707120">
              <w:rPr>
                <w:sz w:val="20"/>
                <w:vertAlign w:val="superscript"/>
              </w:rPr>
              <w:t>§</w:t>
            </w:r>
          </w:p>
          <w:p w14:paraId="0E767C00" w14:textId="194AFDE9" w:rsidR="00762373" w:rsidRPr="00707120" w:rsidRDefault="00762373" w:rsidP="00707120">
            <w:pPr>
              <w:keepNext/>
              <w:keepLines/>
              <w:ind w:left="1440"/>
              <w:rPr>
                <w:rFonts w:eastAsia="SimSun"/>
                <w:sz w:val="20"/>
              </w:rPr>
            </w:pPr>
            <w:r w:rsidRPr="00762373">
              <w:rPr>
                <w:rFonts w:eastAsia="SimSun"/>
                <w:sz w:val="21"/>
                <w:szCs w:val="21"/>
                <w:lang w:val="en-GB" w:eastAsia="zh-CN"/>
              </w:rPr>
              <w:tab/>
            </w:r>
            <w:r w:rsidRPr="00707120">
              <w:rPr>
                <w:sz w:val="20"/>
              </w:rPr>
              <w:t>Vidējais (SN)</w:t>
            </w:r>
          </w:p>
        </w:tc>
        <w:tc>
          <w:tcPr>
            <w:tcW w:w="1417" w:type="dxa"/>
            <w:tcBorders>
              <w:top w:val="single" w:sz="4" w:space="0" w:color="auto"/>
              <w:bottom w:val="single" w:sz="4" w:space="0" w:color="auto"/>
            </w:tcBorders>
            <w:tcMar>
              <w:top w:w="0" w:type="dxa"/>
              <w:left w:w="57" w:type="dxa"/>
              <w:bottom w:w="0" w:type="dxa"/>
              <w:right w:w="57" w:type="dxa"/>
            </w:tcMar>
            <w:vAlign w:val="center"/>
          </w:tcPr>
          <w:p w14:paraId="066182A0" w14:textId="77777777" w:rsidR="00762373" w:rsidRPr="00DD7A4F" w:rsidRDefault="00762373" w:rsidP="00762373">
            <w:pPr>
              <w:keepNext/>
              <w:keepLines/>
              <w:spacing w:before="50" w:after="50" w:line="240" w:lineRule="exact"/>
              <w:jc w:val="center"/>
              <w:rPr>
                <w:rFonts w:eastAsia="SimSun"/>
                <w:sz w:val="18"/>
                <w:szCs w:val="18"/>
              </w:rPr>
            </w:pPr>
          </w:p>
          <w:p w14:paraId="65DCD5B1" w14:textId="77777777" w:rsidR="00762373" w:rsidRPr="00DD7A4F" w:rsidRDefault="00762373" w:rsidP="00762373">
            <w:pPr>
              <w:keepNext/>
              <w:keepLines/>
              <w:spacing w:before="50" w:after="50" w:line="240" w:lineRule="exact"/>
              <w:jc w:val="center"/>
              <w:rPr>
                <w:rFonts w:eastAsia="SimSun"/>
                <w:sz w:val="18"/>
                <w:szCs w:val="18"/>
              </w:rPr>
            </w:pPr>
            <w:r w:rsidRPr="00DD7A4F">
              <w:rPr>
                <w:sz w:val="18"/>
              </w:rPr>
              <w:t xml:space="preserve">1,74 </w:t>
            </w:r>
          </w:p>
          <w:p w14:paraId="3E9D413C" w14:textId="63FECF86" w:rsidR="00762373" w:rsidRPr="00707120" w:rsidRDefault="00762373" w:rsidP="00707120">
            <w:pPr>
              <w:keepNext/>
              <w:keepLines/>
              <w:ind w:left="-91"/>
              <w:jc w:val="center"/>
              <w:rPr>
                <w:rFonts w:eastAsia="SimSun"/>
                <w:sz w:val="20"/>
              </w:rPr>
            </w:pPr>
            <w:r w:rsidRPr="00DD7A4F">
              <w:rPr>
                <w:sz w:val="18"/>
              </w:rPr>
              <w:t>(2,18)</w:t>
            </w:r>
          </w:p>
        </w:tc>
        <w:tc>
          <w:tcPr>
            <w:tcW w:w="1559" w:type="dxa"/>
            <w:tcBorders>
              <w:top w:val="single" w:sz="4" w:space="0" w:color="auto"/>
              <w:bottom w:val="single" w:sz="4" w:space="0" w:color="auto"/>
            </w:tcBorders>
            <w:vAlign w:val="center"/>
          </w:tcPr>
          <w:p w14:paraId="701D3125" w14:textId="77777777" w:rsidR="00762373" w:rsidRPr="00DD7A4F" w:rsidRDefault="00762373" w:rsidP="00762373">
            <w:pPr>
              <w:keepNext/>
              <w:keepLines/>
              <w:spacing w:before="50" w:after="50" w:line="240" w:lineRule="exact"/>
              <w:jc w:val="center"/>
              <w:rPr>
                <w:rFonts w:eastAsia="SimSun"/>
                <w:sz w:val="18"/>
                <w:szCs w:val="18"/>
              </w:rPr>
            </w:pPr>
          </w:p>
          <w:p w14:paraId="2AF3483C" w14:textId="77777777" w:rsidR="00762373" w:rsidRPr="00DD7A4F" w:rsidRDefault="00762373" w:rsidP="00762373">
            <w:pPr>
              <w:keepNext/>
              <w:keepLines/>
              <w:spacing w:before="50" w:after="50" w:line="240" w:lineRule="exact"/>
              <w:jc w:val="center"/>
              <w:rPr>
                <w:rFonts w:eastAsia="SimSun"/>
                <w:sz w:val="18"/>
                <w:szCs w:val="18"/>
              </w:rPr>
            </w:pPr>
            <w:r w:rsidRPr="00DD7A4F">
              <w:rPr>
                <w:sz w:val="18"/>
              </w:rPr>
              <w:t xml:space="preserve">1,30 </w:t>
            </w:r>
          </w:p>
          <w:p w14:paraId="4C0E827B" w14:textId="5226FFEF" w:rsidR="00762373" w:rsidRPr="00707120" w:rsidRDefault="00762373" w:rsidP="00707120">
            <w:pPr>
              <w:keepNext/>
              <w:keepLines/>
              <w:ind w:left="-92"/>
              <w:jc w:val="center"/>
              <w:rPr>
                <w:rFonts w:eastAsia="SimSun"/>
                <w:sz w:val="20"/>
              </w:rPr>
            </w:pPr>
            <w:r w:rsidRPr="00DD7A4F">
              <w:rPr>
                <w:sz w:val="18"/>
              </w:rPr>
              <w:t>(1,84)</w:t>
            </w:r>
          </w:p>
        </w:tc>
        <w:tc>
          <w:tcPr>
            <w:tcW w:w="1560" w:type="dxa"/>
            <w:tcBorders>
              <w:top w:val="single" w:sz="4" w:space="0" w:color="auto"/>
              <w:bottom w:val="single" w:sz="4" w:space="0" w:color="auto"/>
              <w:right w:val="nil"/>
            </w:tcBorders>
            <w:tcMar>
              <w:top w:w="0" w:type="dxa"/>
              <w:left w:w="57" w:type="dxa"/>
              <w:bottom w:w="0" w:type="dxa"/>
              <w:right w:w="57" w:type="dxa"/>
            </w:tcMar>
            <w:vAlign w:val="center"/>
          </w:tcPr>
          <w:p w14:paraId="43E5426B" w14:textId="77777777" w:rsidR="00762373" w:rsidRPr="00DD7A4F" w:rsidRDefault="00762373" w:rsidP="00762373">
            <w:pPr>
              <w:keepNext/>
              <w:keepLines/>
              <w:spacing w:before="50" w:after="50" w:line="240" w:lineRule="exact"/>
              <w:jc w:val="center"/>
              <w:rPr>
                <w:rFonts w:eastAsia="SimSun"/>
                <w:sz w:val="18"/>
                <w:szCs w:val="18"/>
              </w:rPr>
            </w:pPr>
          </w:p>
          <w:p w14:paraId="4D31D298" w14:textId="77777777" w:rsidR="00762373" w:rsidRPr="00DD7A4F" w:rsidRDefault="00762373" w:rsidP="00762373">
            <w:pPr>
              <w:keepNext/>
              <w:keepLines/>
              <w:spacing w:before="50" w:after="50" w:line="240" w:lineRule="exact"/>
              <w:jc w:val="center"/>
              <w:rPr>
                <w:rFonts w:eastAsia="SimSun"/>
                <w:sz w:val="18"/>
                <w:szCs w:val="18"/>
              </w:rPr>
            </w:pPr>
            <w:r w:rsidRPr="00DD7A4F">
              <w:rPr>
                <w:sz w:val="18"/>
              </w:rPr>
              <w:t>0,41</w:t>
            </w:r>
          </w:p>
          <w:p w14:paraId="24BC808B" w14:textId="0B68F540" w:rsidR="00762373" w:rsidRPr="00707120" w:rsidRDefault="00762373" w:rsidP="00707120">
            <w:pPr>
              <w:keepNext/>
              <w:keepLines/>
              <w:jc w:val="center"/>
              <w:rPr>
                <w:rFonts w:eastAsia="SimSun"/>
                <w:sz w:val="20"/>
              </w:rPr>
            </w:pPr>
            <w:r w:rsidRPr="00DD7A4F">
              <w:rPr>
                <w:sz w:val="18"/>
              </w:rPr>
              <w:t xml:space="preserve"> (0,78)</w:t>
            </w:r>
          </w:p>
        </w:tc>
        <w:tc>
          <w:tcPr>
            <w:tcW w:w="1701" w:type="dxa"/>
            <w:tcBorders>
              <w:top w:val="single" w:sz="4" w:space="0" w:color="auto"/>
              <w:left w:val="nil"/>
              <w:bottom w:val="single" w:sz="4" w:space="0" w:color="auto"/>
              <w:right w:val="single" w:sz="8" w:space="0" w:color="auto"/>
            </w:tcBorders>
            <w:vAlign w:val="center"/>
          </w:tcPr>
          <w:p w14:paraId="01586FC9" w14:textId="77777777" w:rsidR="00762373" w:rsidRPr="00DD7A4F" w:rsidRDefault="00762373" w:rsidP="00762373">
            <w:pPr>
              <w:keepNext/>
              <w:keepLines/>
              <w:spacing w:before="50" w:after="50" w:line="240" w:lineRule="exact"/>
              <w:jc w:val="center"/>
              <w:rPr>
                <w:rFonts w:eastAsia="SimSun"/>
                <w:sz w:val="18"/>
                <w:szCs w:val="18"/>
              </w:rPr>
            </w:pPr>
          </w:p>
          <w:p w14:paraId="38C52678" w14:textId="77777777" w:rsidR="00762373" w:rsidRPr="00DD7A4F" w:rsidRDefault="00762373" w:rsidP="00762373">
            <w:pPr>
              <w:keepNext/>
              <w:keepLines/>
              <w:spacing w:before="50" w:after="50" w:line="240" w:lineRule="exact"/>
              <w:jc w:val="center"/>
              <w:rPr>
                <w:rFonts w:eastAsia="SimSun"/>
                <w:sz w:val="18"/>
                <w:szCs w:val="18"/>
              </w:rPr>
            </w:pPr>
            <w:r w:rsidRPr="00DD7A4F">
              <w:rPr>
                <w:sz w:val="18"/>
              </w:rPr>
              <w:t>0,67</w:t>
            </w:r>
          </w:p>
          <w:p w14:paraId="08433B9C" w14:textId="7E61A920" w:rsidR="00762373" w:rsidRPr="00707120" w:rsidRDefault="00762373" w:rsidP="00707120">
            <w:pPr>
              <w:keepNext/>
              <w:keepLines/>
              <w:ind w:left="-138"/>
              <w:jc w:val="center"/>
              <w:rPr>
                <w:rFonts w:eastAsia="SimSun"/>
                <w:sz w:val="20"/>
              </w:rPr>
            </w:pPr>
            <w:r w:rsidRPr="00DD7A4F">
              <w:rPr>
                <w:sz w:val="18"/>
              </w:rPr>
              <w:t xml:space="preserve"> (1,10)</w:t>
            </w:r>
          </w:p>
        </w:tc>
      </w:tr>
    </w:tbl>
    <w:p w14:paraId="2CF8BA76" w14:textId="77777777" w:rsidR="00A453C3" w:rsidRPr="00D6314F" w:rsidRDefault="00A453C3" w:rsidP="00A453C3">
      <w:pPr>
        <w:keepNext/>
        <w:keepLines/>
        <w:jc w:val="both"/>
        <w:rPr>
          <w:sz w:val="18"/>
          <w:szCs w:val="18"/>
        </w:rPr>
      </w:pPr>
      <w:r w:rsidRPr="00D6314F">
        <w:rPr>
          <w:sz w:val="18"/>
        </w:rPr>
        <w:t>*</w:t>
      </w:r>
      <w:del w:id="1090" w:author="Author">
        <w:r w:rsidRPr="00D6314F" w:rsidDel="00CE6B8D">
          <w:rPr>
            <w:sz w:val="18"/>
          </w:rPr>
          <w:delText xml:space="preserve"> </w:delText>
        </w:r>
      </w:del>
      <w:r w:rsidRPr="00D6314F">
        <w:rPr>
          <w:sz w:val="18"/>
        </w:rPr>
        <w:t xml:space="preserve"> p</w:t>
      </w:r>
      <w:r>
        <w:rPr>
          <w:sz w:val="18"/>
        </w:rPr>
        <w:t> </w:t>
      </w:r>
      <w:r w:rsidRPr="00D6314F">
        <w:rPr>
          <w:sz w:val="18"/>
        </w:rPr>
        <w:t>&lt;</w:t>
      </w:r>
      <w:r>
        <w:rPr>
          <w:sz w:val="18"/>
        </w:rPr>
        <w:t> </w:t>
      </w:r>
      <w:r w:rsidRPr="00D6314F">
        <w:rPr>
          <w:sz w:val="18"/>
        </w:rPr>
        <w:t>0,0001</w:t>
      </w:r>
      <w:r>
        <w:rPr>
          <w:sz w:val="18"/>
        </w:rPr>
        <w:t>.</w:t>
      </w:r>
    </w:p>
    <w:p w14:paraId="5D161A68" w14:textId="33D588B5" w:rsidR="00A453C3" w:rsidRPr="00D6314F" w:rsidRDefault="00A453C3" w:rsidP="00A453C3">
      <w:pPr>
        <w:keepNext/>
        <w:keepLines/>
        <w:jc w:val="both"/>
        <w:rPr>
          <w:sz w:val="18"/>
          <w:szCs w:val="18"/>
        </w:rPr>
      </w:pPr>
      <w:r w:rsidRPr="00D6314F">
        <w:rPr>
          <w:sz w:val="18"/>
        </w:rPr>
        <w:t>** p</w:t>
      </w:r>
      <w:r>
        <w:rPr>
          <w:sz w:val="18"/>
        </w:rPr>
        <w:t> </w:t>
      </w:r>
      <w:r w:rsidRPr="00D6314F">
        <w:rPr>
          <w:sz w:val="18"/>
        </w:rPr>
        <w:t>&lt;</w:t>
      </w:r>
      <w:r>
        <w:rPr>
          <w:sz w:val="18"/>
        </w:rPr>
        <w:t> </w:t>
      </w:r>
      <w:r w:rsidRPr="00D6314F">
        <w:rPr>
          <w:sz w:val="18"/>
        </w:rPr>
        <w:t xml:space="preserve">0,005 (nozīmīguma </w:t>
      </w:r>
      <w:r>
        <w:rPr>
          <w:sz w:val="18"/>
        </w:rPr>
        <w:t>robežvērtība</w:t>
      </w:r>
      <w:r w:rsidRPr="00D6314F">
        <w:rPr>
          <w:sz w:val="18"/>
        </w:rPr>
        <w:t xml:space="preserve"> pārākuma primārajam un galvenajiem sekundārajiem testiem)</w:t>
      </w:r>
      <w:r>
        <w:rPr>
          <w:sz w:val="18"/>
        </w:rPr>
        <w:t>.</w:t>
      </w:r>
    </w:p>
    <w:p w14:paraId="33FFE3F2" w14:textId="0BF0DA1B" w:rsidR="00A453C3" w:rsidRDefault="00A453C3" w:rsidP="00A453C3">
      <w:pPr>
        <w:keepNext/>
        <w:keepLines/>
        <w:jc w:val="both"/>
        <w:rPr>
          <w:sz w:val="18"/>
          <w:u w:val="single"/>
        </w:rPr>
      </w:pPr>
      <w:r w:rsidRPr="00D6314F">
        <w:rPr>
          <w:sz w:val="18"/>
        </w:rPr>
        <w:t>***Aprakstošā p</w:t>
      </w:r>
      <w:r>
        <w:rPr>
          <w:sz w:val="18"/>
        </w:rPr>
        <w:t> </w:t>
      </w:r>
      <w:r w:rsidRPr="00D6314F">
        <w:rPr>
          <w:sz w:val="18"/>
        </w:rPr>
        <w:t>vērtība</w:t>
      </w:r>
      <w:r>
        <w:rPr>
          <w:sz w:val="18"/>
        </w:rPr>
        <w:t> </w:t>
      </w:r>
      <w:r w:rsidRPr="002007A3">
        <w:rPr>
          <w:sz w:val="18"/>
          <w:rPrChange w:id="1091" w:author="Author">
            <w:rPr>
              <w:sz w:val="18"/>
              <w:u w:val="single"/>
            </w:rPr>
          </w:rPrChange>
        </w:rPr>
        <w:t>&lt; 0,005.</w:t>
      </w:r>
    </w:p>
    <w:p w14:paraId="7AD87E6C" w14:textId="430A5566" w:rsidR="00A453C3" w:rsidRPr="00C2155B" w:rsidRDefault="00A453C3" w:rsidP="00A453C3">
      <w:pPr>
        <w:keepNext/>
        <w:keepLines/>
        <w:shd w:val="clear" w:color="auto" w:fill="FFFFFF"/>
        <w:suppressAutoHyphens w:val="0"/>
        <w:rPr>
          <w:sz w:val="18"/>
          <w:szCs w:val="18"/>
          <w:lang w:val="lv-LV" w:eastAsia="zh-TW"/>
        </w:rPr>
      </w:pPr>
      <w:r w:rsidRPr="00E1075D">
        <w:rPr>
          <w:sz w:val="18"/>
          <w:szCs w:val="18"/>
          <w:lang w:val="lv-LV" w:eastAsia="en-US"/>
        </w:rPr>
        <w:t>****</w:t>
      </w:r>
      <w:r w:rsidRPr="00707120">
        <w:rPr>
          <w:iCs/>
          <w:sz w:val="18"/>
          <w:szCs w:val="18"/>
          <w:shd w:val="clear" w:color="auto" w:fill="FFFFFF"/>
          <w:lang w:val="lv-LV" w:eastAsia="zh-TW"/>
        </w:rPr>
        <w:t xml:space="preserve">Uzliesmojums: GCA pazīmju vai simptomu recidīvs un/vai EGĀ </w:t>
      </w:r>
      <w:r w:rsidRPr="00707120">
        <w:rPr>
          <w:iCs/>
          <w:color w:val="706F6F"/>
          <w:sz w:val="18"/>
          <w:szCs w:val="18"/>
          <w:shd w:val="clear" w:color="auto" w:fill="FFFFFF"/>
          <w:lang w:val="en-GB" w:eastAsia="zh-TW"/>
        </w:rPr>
        <w:t>≥</w:t>
      </w:r>
      <w:r>
        <w:rPr>
          <w:iCs/>
          <w:color w:val="706F6F"/>
          <w:sz w:val="18"/>
          <w:szCs w:val="18"/>
          <w:shd w:val="clear" w:color="auto" w:fill="FFFFFF"/>
          <w:lang w:val="en-GB" w:eastAsia="zh-TW"/>
        </w:rPr>
        <w:t> </w:t>
      </w:r>
      <w:r w:rsidRPr="00707120">
        <w:rPr>
          <w:iCs/>
          <w:sz w:val="18"/>
          <w:szCs w:val="18"/>
          <w:shd w:val="clear" w:color="auto" w:fill="FFFFFF"/>
          <w:lang w:val="lv-LV" w:eastAsia="zh-TW"/>
        </w:rPr>
        <w:t>30</w:t>
      </w:r>
      <w:r>
        <w:rPr>
          <w:iCs/>
          <w:sz w:val="18"/>
          <w:szCs w:val="18"/>
          <w:shd w:val="clear" w:color="auto" w:fill="FFFFFF"/>
          <w:lang w:val="lv-LV" w:eastAsia="zh-TW"/>
        </w:rPr>
        <w:t> </w:t>
      </w:r>
      <w:r w:rsidRPr="00707120">
        <w:rPr>
          <w:iCs/>
          <w:sz w:val="18"/>
          <w:szCs w:val="18"/>
          <w:shd w:val="clear" w:color="auto" w:fill="FFFFFF"/>
          <w:lang w:val="lv-LV" w:eastAsia="zh-TW"/>
        </w:rPr>
        <w:t>mm/h </w:t>
      </w:r>
      <w:r w:rsidRPr="00546C50">
        <w:rPr>
          <w:iCs/>
          <w:sz w:val="18"/>
          <w:szCs w:val="18"/>
          <w:lang w:val="lv-LV" w:eastAsia="zh-TW"/>
        </w:rPr>
        <w:t>–</w:t>
      </w:r>
      <w:r w:rsidRPr="00C2155B">
        <w:rPr>
          <w:iCs/>
          <w:sz w:val="18"/>
          <w:szCs w:val="18"/>
          <w:lang w:val="lv-LV" w:eastAsia="zh-TW"/>
        </w:rPr>
        <w:t> nepieciešamā</w:t>
      </w:r>
      <w:r>
        <w:rPr>
          <w:iCs/>
          <w:sz w:val="18"/>
          <w:szCs w:val="18"/>
          <w:lang w:val="lv-LV" w:eastAsia="zh-TW"/>
        </w:rPr>
        <w:t>s</w:t>
      </w:r>
      <w:r w:rsidRPr="00C2155B">
        <w:rPr>
          <w:iCs/>
          <w:sz w:val="18"/>
          <w:szCs w:val="18"/>
          <w:lang w:val="lv-LV" w:eastAsia="zh-TW"/>
        </w:rPr>
        <w:t xml:space="preserve"> prednizona deva</w:t>
      </w:r>
      <w:r>
        <w:rPr>
          <w:iCs/>
          <w:sz w:val="18"/>
          <w:szCs w:val="18"/>
          <w:lang w:val="lv-LV" w:eastAsia="zh-TW"/>
        </w:rPr>
        <w:t>s pieaugums.</w:t>
      </w:r>
    </w:p>
    <w:p w14:paraId="5E76E853" w14:textId="77777777" w:rsidR="00A453C3" w:rsidRPr="00546C50" w:rsidRDefault="00A453C3" w:rsidP="00A453C3">
      <w:pPr>
        <w:keepNext/>
        <w:keepLines/>
        <w:shd w:val="clear" w:color="auto" w:fill="FFFFFF"/>
        <w:suppressAutoHyphens w:val="0"/>
        <w:rPr>
          <w:sz w:val="18"/>
          <w:szCs w:val="18"/>
          <w:lang w:val="lv-LV" w:eastAsia="zh-TW"/>
        </w:rPr>
      </w:pPr>
      <w:r w:rsidRPr="00707120">
        <w:rPr>
          <w:iCs/>
          <w:sz w:val="18"/>
          <w:szCs w:val="18"/>
          <w:lang w:val="lv-LV" w:eastAsia="zh-TW"/>
        </w:rPr>
        <w:t>Remisija: nav uzliesmojuma un CRO normalizējas.</w:t>
      </w:r>
    </w:p>
    <w:p w14:paraId="12BB91FF" w14:textId="0EF9050B" w:rsidR="00A453C3" w:rsidRPr="002B34B7" w:rsidRDefault="00A453C3" w:rsidP="00A453C3">
      <w:pPr>
        <w:keepNext/>
        <w:keepLines/>
        <w:shd w:val="clear" w:color="auto" w:fill="FFFFFF"/>
        <w:suppressAutoHyphens w:val="0"/>
        <w:rPr>
          <w:iCs/>
          <w:sz w:val="18"/>
          <w:szCs w:val="18"/>
          <w:lang w:val="lv-LV" w:eastAsia="zh-TW"/>
        </w:rPr>
      </w:pPr>
      <w:r w:rsidRPr="00707120">
        <w:rPr>
          <w:iCs/>
          <w:sz w:val="18"/>
          <w:szCs w:val="18"/>
          <w:lang w:val="lv-LV" w:eastAsia="zh-TW"/>
        </w:rPr>
        <w:t>Stabila remisija: remisija no 12.</w:t>
      </w:r>
      <w:r>
        <w:rPr>
          <w:iCs/>
          <w:sz w:val="18"/>
          <w:szCs w:val="18"/>
          <w:lang w:val="lv-LV" w:eastAsia="zh-TW"/>
        </w:rPr>
        <w:t> </w:t>
      </w:r>
      <w:r w:rsidRPr="00707120">
        <w:rPr>
          <w:iCs/>
          <w:sz w:val="18"/>
          <w:szCs w:val="18"/>
          <w:lang w:val="lv-LV" w:eastAsia="zh-TW"/>
        </w:rPr>
        <w:t>nedēļas līdz 52.</w:t>
      </w:r>
      <w:r>
        <w:rPr>
          <w:iCs/>
          <w:sz w:val="18"/>
          <w:szCs w:val="18"/>
          <w:lang w:val="lv-LV" w:eastAsia="zh-TW"/>
        </w:rPr>
        <w:t> </w:t>
      </w:r>
      <w:r w:rsidRPr="00707120">
        <w:rPr>
          <w:iCs/>
          <w:sz w:val="18"/>
          <w:szCs w:val="18"/>
          <w:lang w:val="lv-LV" w:eastAsia="zh-TW"/>
        </w:rPr>
        <w:t>nedēļa</w:t>
      </w:r>
      <w:r>
        <w:rPr>
          <w:iCs/>
          <w:sz w:val="18"/>
          <w:szCs w:val="18"/>
          <w:lang w:val="lv-LV" w:eastAsia="zh-TW"/>
        </w:rPr>
        <w:t xml:space="preserve">i </w:t>
      </w:r>
      <w:r w:rsidRPr="00546C50">
        <w:rPr>
          <w:iCs/>
          <w:sz w:val="18"/>
          <w:szCs w:val="18"/>
          <w:lang w:val="lv-LV" w:eastAsia="zh-TW"/>
        </w:rPr>
        <w:t>–</w:t>
      </w:r>
      <w:r>
        <w:rPr>
          <w:iCs/>
          <w:sz w:val="18"/>
          <w:szCs w:val="18"/>
          <w:lang w:val="lv-LV" w:eastAsia="zh-TW"/>
        </w:rPr>
        <w:t xml:space="preserve"> </w:t>
      </w:r>
      <w:r w:rsidRPr="00C2155B">
        <w:rPr>
          <w:iCs/>
          <w:sz w:val="18"/>
          <w:szCs w:val="18"/>
          <w:lang w:val="lv-LV" w:eastAsia="zh-TW"/>
        </w:rPr>
        <w:t>pacientiem jāievēro protokolā noteikt</w:t>
      </w:r>
      <w:r>
        <w:rPr>
          <w:iCs/>
          <w:sz w:val="18"/>
          <w:szCs w:val="18"/>
          <w:lang w:val="lv-LV" w:eastAsia="zh-TW"/>
        </w:rPr>
        <w:t>ā</w:t>
      </w:r>
      <w:r w:rsidRPr="00C2155B">
        <w:rPr>
          <w:iCs/>
          <w:sz w:val="18"/>
          <w:szCs w:val="18"/>
          <w:lang w:val="lv-LV" w:eastAsia="zh-TW"/>
        </w:rPr>
        <w:t xml:space="preserve"> pakāpenisk</w:t>
      </w:r>
      <w:r>
        <w:rPr>
          <w:iCs/>
          <w:sz w:val="18"/>
          <w:szCs w:val="18"/>
          <w:lang w:val="lv-LV" w:eastAsia="zh-TW"/>
        </w:rPr>
        <w:t>ā</w:t>
      </w:r>
      <w:r w:rsidRPr="00C2155B">
        <w:rPr>
          <w:iCs/>
          <w:sz w:val="18"/>
          <w:szCs w:val="18"/>
          <w:lang w:val="lv-LV" w:eastAsia="zh-TW"/>
        </w:rPr>
        <w:t xml:space="preserve"> prednizona devas samazināšan</w:t>
      </w:r>
      <w:r>
        <w:rPr>
          <w:iCs/>
          <w:sz w:val="18"/>
          <w:szCs w:val="18"/>
          <w:lang w:val="lv-LV" w:eastAsia="zh-TW"/>
        </w:rPr>
        <w:t>a.</w:t>
      </w:r>
    </w:p>
    <w:p w14:paraId="40DC8EF2" w14:textId="77777777" w:rsidR="00A453C3" w:rsidRPr="005E4E3F" w:rsidRDefault="00A453C3" w:rsidP="00A453C3">
      <w:pPr>
        <w:keepNext/>
        <w:keepLines/>
        <w:jc w:val="both"/>
        <w:rPr>
          <w:sz w:val="18"/>
          <w:szCs w:val="18"/>
          <w:lang w:val="lv-LV"/>
        </w:rPr>
      </w:pPr>
      <w:r w:rsidRPr="005E4E3F">
        <w:rPr>
          <w:sz w:val="18"/>
          <w:lang w:val="lv-LV"/>
        </w:rPr>
        <w:t>¹ Analīze par laiku (dienās) no klīniskās remisijas līdz pirmajam slimības uzliesmojumam</w:t>
      </w:r>
      <w:r>
        <w:rPr>
          <w:sz w:val="18"/>
          <w:lang w:val="lv-LV"/>
        </w:rPr>
        <w:t>.</w:t>
      </w:r>
    </w:p>
    <w:p w14:paraId="6864B34D" w14:textId="02432681" w:rsidR="00A453C3" w:rsidRPr="00C74D1A" w:rsidRDefault="00A453C3" w:rsidP="00A453C3">
      <w:pPr>
        <w:keepNext/>
        <w:keepLines/>
        <w:jc w:val="both"/>
        <w:rPr>
          <w:sz w:val="18"/>
          <w:szCs w:val="18"/>
          <w:lang w:val="lv-LV"/>
        </w:rPr>
      </w:pPr>
      <w:r w:rsidRPr="00C74D1A">
        <w:rPr>
          <w:sz w:val="18"/>
          <w:vertAlign w:val="superscript"/>
          <w:lang w:val="lv-LV"/>
        </w:rPr>
        <w:t>2</w:t>
      </w:r>
      <w:r w:rsidRPr="00C74D1A">
        <w:rPr>
          <w:sz w:val="18"/>
          <w:lang w:val="lv-LV"/>
        </w:rPr>
        <w:t xml:space="preserve"> p</w:t>
      </w:r>
      <w:r>
        <w:rPr>
          <w:sz w:val="18"/>
          <w:lang w:val="lv-LV"/>
        </w:rPr>
        <w:t> </w:t>
      </w:r>
      <w:r w:rsidRPr="00C74D1A">
        <w:rPr>
          <w:sz w:val="18"/>
          <w:lang w:val="lv-LV"/>
        </w:rPr>
        <w:t xml:space="preserve">vērtības noteiktas, izmantojot neparametrisko datu </w:t>
      </w:r>
      <w:r w:rsidRPr="00C74D1A">
        <w:rPr>
          <w:i/>
          <w:sz w:val="18"/>
          <w:lang w:val="lv-LV"/>
        </w:rPr>
        <w:t>Van Elteren</w:t>
      </w:r>
      <w:r w:rsidRPr="00C74D1A">
        <w:rPr>
          <w:sz w:val="18"/>
          <w:lang w:val="lv-LV"/>
        </w:rPr>
        <w:t xml:space="preserve"> analīzi</w:t>
      </w:r>
      <w:r>
        <w:rPr>
          <w:sz w:val="18"/>
          <w:lang w:val="lv-LV"/>
        </w:rPr>
        <w:t>.</w:t>
      </w:r>
    </w:p>
    <w:p w14:paraId="7A3F858F" w14:textId="6528DC7B" w:rsidR="00A453C3" w:rsidRPr="00C74D1A" w:rsidRDefault="00A453C3" w:rsidP="00A453C3">
      <w:pPr>
        <w:keepNext/>
        <w:keepLines/>
        <w:jc w:val="both"/>
        <w:rPr>
          <w:sz w:val="18"/>
          <w:szCs w:val="18"/>
          <w:lang w:val="lv-LV"/>
        </w:rPr>
      </w:pPr>
      <w:r w:rsidRPr="00C74D1A">
        <w:rPr>
          <w:sz w:val="18"/>
          <w:vertAlign w:val="superscript"/>
          <w:lang w:val="lv-LV"/>
        </w:rPr>
        <w:t>§</w:t>
      </w:r>
      <w:r w:rsidRPr="00C74D1A">
        <w:rPr>
          <w:sz w:val="18"/>
          <w:lang w:val="lv-LV"/>
        </w:rPr>
        <w:t xml:space="preserve"> </w:t>
      </w:r>
      <w:r>
        <w:rPr>
          <w:sz w:val="18"/>
          <w:lang w:val="lv-LV"/>
        </w:rPr>
        <w:t>S</w:t>
      </w:r>
      <w:r w:rsidRPr="00C74D1A">
        <w:rPr>
          <w:sz w:val="18"/>
          <w:lang w:val="lv-LV"/>
        </w:rPr>
        <w:t>tatistiskā analīze nav veikta</w:t>
      </w:r>
      <w:r>
        <w:rPr>
          <w:sz w:val="18"/>
          <w:lang w:val="lv-LV"/>
        </w:rPr>
        <w:t>.</w:t>
      </w:r>
    </w:p>
    <w:p w14:paraId="71F3B110" w14:textId="54E0F0E8" w:rsidR="00A453C3" w:rsidRPr="00C74D1A" w:rsidRDefault="00A453C3" w:rsidP="00A453C3">
      <w:pPr>
        <w:keepNext/>
        <w:keepLines/>
        <w:jc w:val="both"/>
        <w:rPr>
          <w:sz w:val="18"/>
          <w:szCs w:val="18"/>
          <w:lang w:val="lv-LV"/>
        </w:rPr>
      </w:pPr>
      <w:r w:rsidRPr="00C74D1A">
        <w:rPr>
          <w:sz w:val="18"/>
          <w:lang w:val="lv-LV"/>
        </w:rPr>
        <w:t>N/P</w:t>
      </w:r>
      <w:del w:id="1092" w:author="Author">
        <w:r w:rsidRPr="00C74D1A" w:rsidDel="00136871">
          <w:rPr>
            <w:sz w:val="18"/>
            <w:lang w:val="lv-LV"/>
          </w:rPr>
          <w:delText xml:space="preserve"> </w:delText>
        </w:r>
      </w:del>
      <w:r w:rsidRPr="00C74D1A">
        <w:rPr>
          <w:sz w:val="18"/>
          <w:lang w:val="lv-LV"/>
        </w:rPr>
        <w:t>=</w:t>
      </w:r>
      <w:del w:id="1093" w:author="Author">
        <w:r w:rsidRPr="00C74D1A" w:rsidDel="00136871">
          <w:rPr>
            <w:sz w:val="18"/>
            <w:lang w:val="lv-LV"/>
          </w:rPr>
          <w:delText xml:space="preserve"> </w:delText>
        </w:r>
      </w:del>
      <w:r w:rsidRPr="00C74D1A">
        <w:rPr>
          <w:sz w:val="18"/>
          <w:lang w:val="lv-LV"/>
        </w:rPr>
        <w:t>nav piemērojams</w:t>
      </w:r>
      <w:r>
        <w:rPr>
          <w:sz w:val="18"/>
          <w:lang w:val="lv-LV"/>
        </w:rPr>
        <w:t>.</w:t>
      </w:r>
    </w:p>
    <w:p w14:paraId="2CDCA53B" w14:textId="62B7F748" w:rsidR="00A453C3" w:rsidRPr="00C74D1A" w:rsidRDefault="00A453C3" w:rsidP="00A453C3">
      <w:pPr>
        <w:keepNext/>
        <w:keepLines/>
        <w:jc w:val="both"/>
        <w:rPr>
          <w:sz w:val="18"/>
          <w:szCs w:val="18"/>
          <w:lang w:val="it-IT"/>
        </w:rPr>
      </w:pPr>
      <w:r w:rsidRPr="00C74D1A">
        <w:rPr>
          <w:sz w:val="18"/>
          <w:lang w:val="it-IT"/>
        </w:rPr>
        <w:t>RA</w:t>
      </w:r>
      <w:del w:id="1094" w:author="Author">
        <w:r w:rsidRPr="00C74D1A" w:rsidDel="00136871">
          <w:rPr>
            <w:sz w:val="18"/>
            <w:lang w:val="it-IT"/>
          </w:rPr>
          <w:delText xml:space="preserve"> </w:delText>
        </w:r>
      </w:del>
      <w:r w:rsidRPr="00C74D1A">
        <w:rPr>
          <w:sz w:val="18"/>
          <w:lang w:val="it-IT"/>
        </w:rPr>
        <w:t>=</w:t>
      </w:r>
      <w:del w:id="1095" w:author="Author">
        <w:r w:rsidRPr="00C74D1A" w:rsidDel="00136871">
          <w:rPr>
            <w:sz w:val="18"/>
            <w:lang w:val="it-IT"/>
          </w:rPr>
          <w:delText xml:space="preserve"> </w:delText>
        </w:r>
      </w:del>
      <w:r w:rsidRPr="00C74D1A">
        <w:rPr>
          <w:sz w:val="18"/>
          <w:lang w:val="it-IT"/>
        </w:rPr>
        <w:t>riska attiecība</w:t>
      </w:r>
      <w:r>
        <w:rPr>
          <w:sz w:val="18"/>
          <w:lang w:val="it-IT"/>
        </w:rPr>
        <w:t>.</w:t>
      </w:r>
    </w:p>
    <w:p w14:paraId="27BB89FF" w14:textId="65CF3EBB" w:rsidR="00A453C3" w:rsidRDefault="00A453C3" w:rsidP="00A453C3">
      <w:pPr>
        <w:keepNext/>
        <w:keepLines/>
        <w:jc w:val="both"/>
        <w:rPr>
          <w:sz w:val="18"/>
          <w:lang w:val="it-IT"/>
        </w:rPr>
      </w:pPr>
      <w:r w:rsidRPr="00C74D1A">
        <w:rPr>
          <w:sz w:val="18"/>
          <w:lang w:val="it-IT"/>
        </w:rPr>
        <w:t>TI</w:t>
      </w:r>
      <w:del w:id="1096" w:author="Author">
        <w:r w:rsidRPr="00C74D1A" w:rsidDel="00136871">
          <w:rPr>
            <w:sz w:val="18"/>
            <w:lang w:val="it-IT"/>
          </w:rPr>
          <w:delText xml:space="preserve"> </w:delText>
        </w:r>
      </w:del>
      <w:r w:rsidRPr="00C74D1A">
        <w:rPr>
          <w:sz w:val="18"/>
          <w:lang w:val="it-IT"/>
        </w:rPr>
        <w:t>=</w:t>
      </w:r>
      <w:del w:id="1097" w:author="Author">
        <w:r w:rsidRPr="00C74D1A" w:rsidDel="00136871">
          <w:rPr>
            <w:sz w:val="18"/>
            <w:lang w:val="it-IT"/>
          </w:rPr>
          <w:delText xml:space="preserve"> </w:delText>
        </w:r>
      </w:del>
      <w:r w:rsidRPr="00C74D1A">
        <w:rPr>
          <w:sz w:val="18"/>
          <w:lang w:val="it-IT"/>
        </w:rPr>
        <w:t>ticamības intervāls</w:t>
      </w:r>
      <w:r>
        <w:rPr>
          <w:sz w:val="18"/>
          <w:lang w:val="it-IT"/>
        </w:rPr>
        <w:t>.</w:t>
      </w:r>
    </w:p>
    <w:p w14:paraId="60A9D300" w14:textId="75713DF9" w:rsidR="00A453C3" w:rsidRPr="00C74D1A" w:rsidRDefault="00A453C3" w:rsidP="00707120">
      <w:pPr>
        <w:keepLines/>
        <w:jc w:val="both"/>
        <w:rPr>
          <w:sz w:val="18"/>
          <w:szCs w:val="18"/>
          <w:lang w:val="it-IT"/>
        </w:rPr>
      </w:pPr>
      <w:r>
        <w:rPr>
          <w:sz w:val="18"/>
          <w:lang w:val="it-IT"/>
        </w:rPr>
        <w:t>s.c.</w:t>
      </w:r>
      <w:del w:id="1098" w:author="Author">
        <w:r w:rsidDel="00136871">
          <w:rPr>
            <w:sz w:val="18"/>
            <w:lang w:val="it-IT"/>
          </w:rPr>
          <w:delText xml:space="preserve"> </w:delText>
        </w:r>
      </w:del>
      <w:r>
        <w:rPr>
          <w:sz w:val="18"/>
          <w:lang w:val="it-IT"/>
        </w:rPr>
        <w:t>=</w:t>
      </w:r>
      <w:del w:id="1099" w:author="Author">
        <w:r w:rsidDel="00136871">
          <w:rPr>
            <w:sz w:val="18"/>
            <w:lang w:val="it-IT"/>
          </w:rPr>
          <w:delText xml:space="preserve"> </w:delText>
        </w:r>
      </w:del>
      <w:r>
        <w:rPr>
          <w:sz w:val="18"/>
          <w:lang w:val="it-IT"/>
        </w:rPr>
        <w:t>subkutāni.</w:t>
      </w:r>
    </w:p>
    <w:p w14:paraId="6E109F42" w14:textId="77777777" w:rsidR="00A453C3" w:rsidRPr="00DD7A4F" w:rsidRDefault="00A453C3" w:rsidP="00A453C3">
      <w:pPr>
        <w:jc w:val="both"/>
        <w:rPr>
          <w:sz w:val="18"/>
          <w:szCs w:val="18"/>
          <w:lang w:val="it-IT"/>
        </w:rPr>
      </w:pPr>
    </w:p>
    <w:p w14:paraId="0EBA9546" w14:textId="77777777" w:rsidR="00A453C3" w:rsidRPr="00707120" w:rsidRDefault="00A453C3" w:rsidP="00707120">
      <w:pPr>
        <w:keepLines/>
        <w:spacing w:line="280" w:lineRule="atLeast"/>
        <w:jc w:val="both"/>
        <w:rPr>
          <w:i/>
          <w:szCs w:val="22"/>
          <w:u w:val="single"/>
          <w:lang w:val="it-IT"/>
        </w:rPr>
      </w:pPr>
      <w:r w:rsidRPr="00707120">
        <w:rPr>
          <w:i/>
          <w:u w:val="single"/>
          <w:lang w:val="it-IT"/>
        </w:rPr>
        <w:t>Ar dzīves kvalitāti saistītie iznākumi</w:t>
      </w:r>
    </w:p>
    <w:p w14:paraId="6163EA1F" w14:textId="09551931" w:rsidR="00A453C3" w:rsidRPr="000200A3" w:rsidRDefault="00A453C3" w:rsidP="00A453C3">
      <w:pPr>
        <w:keepNext/>
        <w:keepLines/>
        <w:rPr>
          <w:lang w:val="lv-LV"/>
        </w:rPr>
      </w:pPr>
      <w:r w:rsidRPr="00C74D1A">
        <w:rPr>
          <w:lang w:val="it-IT"/>
        </w:rPr>
        <w:t>Pētījumā WA28119 SF</w:t>
      </w:r>
      <w:r>
        <w:rPr>
          <w:lang w:val="it-IT"/>
        </w:rPr>
        <w:noBreakHyphen/>
      </w:r>
      <w:r w:rsidRPr="00C74D1A">
        <w:rPr>
          <w:lang w:val="it-IT"/>
        </w:rPr>
        <w:t xml:space="preserve">36 rezultāti tika sadalīti fiziskās un garīgās komponentes </w:t>
      </w:r>
      <w:r w:rsidRPr="009A2974">
        <w:rPr>
          <w:lang w:val="lv-LV"/>
        </w:rPr>
        <w:t xml:space="preserve">kopējā novērtējuma punktu skaitā (attiecīgi FKS un GKS). Grupās, kurās </w:t>
      </w:r>
      <w:r>
        <w:rPr>
          <w:lang w:val="lv-LV"/>
        </w:rPr>
        <w:t>tocilizumabu</w:t>
      </w:r>
      <w:r w:rsidRPr="009A2974">
        <w:rPr>
          <w:lang w:val="lv-LV"/>
        </w:rPr>
        <w:t xml:space="preserve"> lietoja vienu reizi nedēļā un katru otro nedēļu, bija lielākas FKS vidējās izmaiņas (uzrādot izteiktāku uzlabošanos) </w:t>
      </w:r>
      <w:r w:rsidRPr="000200A3">
        <w:rPr>
          <w:lang w:val="lv-LV"/>
        </w:rPr>
        <w:t>no sākotnējā stāvokļa līdz 52.</w:t>
      </w:r>
      <w:r>
        <w:rPr>
          <w:lang w:val="lv-LV"/>
        </w:rPr>
        <w:t> </w:t>
      </w:r>
      <w:r w:rsidRPr="000200A3">
        <w:rPr>
          <w:lang w:val="lv-LV"/>
        </w:rPr>
        <w:t>nedēļai [attiecīgi 4,10 un 2,76] nekā abās placebo grupās [placebo</w:t>
      </w:r>
      <w:r>
        <w:rPr>
          <w:lang w:val="lv-LV"/>
        </w:rPr>
        <w:t> + </w:t>
      </w:r>
      <w:del w:id="1100" w:author="Author">
        <w:r w:rsidRPr="000200A3" w:rsidDel="00CE6B8D">
          <w:rPr>
            <w:lang w:val="lv-LV"/>
          </w:rPr>
          <w:delText xml:space="preserve"> </w:delText>
        </w:r>
      </w:del>
      <w:r w:rsidRPr="000200A3">
        <w:rPr>
          <w:lang w:val="lv-LV"/>
        </w:rPr>
        <w:t>26</w:t>
      </w:r>
      <w:r>
        <w:rPr>
          <w:lang w:val="lv-LV"/>
        </w:rPr>
        <w:t> </w:t>
      </w:r>
      <w:r w:rsidRPr="000200A3">
        <w:rPr>
          <w:lang w:val="lv-LV"/>
        </w:rPr>
        <w:t>nedēļ</w:t>
      </w:r>
      <w:r>
        <w:rPr>
          <w:lang w:val="lv-LV"/>
        </w:rPr>
        <w:t>as</w:t>
      </w:r>
      <w:r w:rsidRPr="000200A3">
        <w:rPr>
          <w:lang w:val="lv-LV"/>
        </w:rPr>
        <w:t xml:space="preserve">; </w:t>
      </w:r>
      <w:r>
        <w:rPr>
          <w:lang w:val="lv-LV"/>
        </w:rPr>
        <w:noBreakHyphen/>
      </w:r>
      <w:r w:rsidRPr="000200A3">
        <w:rPr>
          <w:lang w:val="lv-LV"/>
        </w:rPr>
        <w:t>0,28, placebo</w:t>
      </w:r>
      <w:r>
        <w:rPr>
          <w:lang w:val="lv-LV"/>
        </w:rPr>
        <w:t> + </w:t>
      </w:r>
      <w:r w:rsidRPr="000200A3">
        <w:rPr>
          <w:lang w:val="lv-LV"/>
        </w:rPr>
        <w:t>52</w:t>
      </w:r>
      <w:r>
        <w:rPr>
          <w:lang w:val="lv-LV"/>
        </w:rPr>
        <w:t> </w:t>
      </w:r>
      <w:r w:rsidRPr="000200A3">
        <w:rPr>
          <w:lang w:val="lv-LV"/>
        </w:rPr>
        <w:t>nedēļ</w:t>
      </w:r>
      <w:r>
        <w:rPr>
          <w:lang w:val="lv-LV"/>
        </w:rPr>
        <w:t>as</w:t>
      </w:r>
      <w:r w:rsidRPr="000200A3">
        <w:rPr>
          <w:lang w:val="lv-LV"/>
        </w:rPr>
        <w:t xml:space="preserve">; </w:t>
      </w:r>
      <w:r>
        <w:rPr>
          <w:lang w:val="lv-LV"/>
        </w:rPr>
        <w:noBreakHyphen/>
      </w:r>
      <w:r w:rsidRPr="000200A3">
        <w:rPr>
          <w:lang w:val="lv-LV"/>
        </w:rPr>
        <w:t>1,49], lai gan statistiski ticama atšķirība (p</w:t>
      </w:r>
      <w:r>
        <w:rPr>
          <w:lang w:val="lv-LV"/>
        </w:rPr>
        <w:t> </w:t>
      </w:r>
      <w:r w:rsidRPr="000200A3">
        <w:rPr>
          <w:lang w:val="lv-LV"/>
        </w:rPr>
        <w:t>=</w:t>
      </w:r>
      <w:r>
        <w:rPr>
          <w:lang w:val="lv-LV"/>
        </w:rPr>
        <w:t> </w:t>
      </w:r>
      <w:r w:rsidRPr="000200A3">
        <w:rPr>
          <w:lang w:val="lv-LV"/>
        </w:rPr>
        <w:t xml:space="preserve">0,0024) bija tikai starp grupu, kurā </w:t>
      </w:r>
      <w:r>
        <w:rPr>
          <w:lang w:val="lv-LV"/>
        </w:rPr>
        <w:t xml:space="preserve">tocilizumabu </w:t>
      </w:r>
      <w:r w:rsidRPr="000200A3">
        <w:rPr>
          <w:lang w:val="lv-LV"/>
        </w:rPr>
        <w:t>lietoja kombinācijā ar 26</w:t>
      </w:r>
      <w:r>
        <w:rPr>
          <w:lang w:val="lv-LV"/>
        </w:rPr>
        <w:t> </w:t>
      </w:r>
      <w:r w:rsidRPr="000200A3">
        <w:rPr>
          <w:lang w:val="lv-LV"/>
        </w:rPr>
        <w:t>nedēļas ilgu prednizona terapiju, pakāpeniski samazinot devu, un grupu, kurā lietoja placebo kombinācijā ar 52</w:t>
      </w:r>
      <w:r>
        <w:rPr>
          <w:lang w:val="lv-LV"/>
        </w:rPr>
        <w:t> </w:t>
      </w:r>
      <w:r w:rsidRPr="000200A3">
        <w:rPr>
          <w:lang w:val="lv-LV"/>
        </w:rPr>
        <w:t xml:space="preserve">nedēļas ilgu prednizona terapiju, pakāpeniski samazinot devu (5,59, 99% TI: 8,6; 10,32). Attiecībā uz GKS grupās, kurās </w:t>
      </w:r>
      <w:r>
        <w:rPr>
          <w:lang w:val="lv-LV"/>
        </w:rPr>
        <w:t>tocilizumabu</w:t>
      </w:r>
      <w:r w:rsidRPr="000200A3">
        <w:rPr>
          <w:lang w:val="lv-LV"/>
        </w:rPr>
        <w:t xml:space="preserve"> </w:t>
      </w:r>
      <w:r w:rsidRPr="009A2974">
        <w:rPr>
          <w:lang w:val="lv-LV"/>
        </w:rPr>
        <w:t>lietoja vienu reizi nedēļā un katru otro nedēļu, vidējās izmaiņas no sākotnējā stāvokļa līdz 52.</w:t>
      </w:r>
      <w:r>
        <w:rPr>
          <w:lang w:val="lv-LV"/>
        </w:rPr>
        <w:t> </w:t>
      </w:r>
      <w:r w:rsidRPr="009A2974">
        <w:rPr>
          <w:lang w:val="lv-LV"/>
        </w:rPr>
        <w:t>nedēļai [attiecīgi 7,28,</w:t>
      </w:r>
      <w:r>
        <w:rPr>
          <w:lang w:val="lv-LV"/>
        </w:rPr>
        <w:t> </w:t>
      </w:r>
      <w:r w:rsidRPr="009A2974">
        <w:rPr>
          <w:lang w:val="lv-LV"/>
        </w:rPr>
        <w:t>6,12] bija lielākas nekā grupā, kurā lietoja placebo kombinācijā ar 52</w:t>
      </w:r>
      <w:r>
        <w:rPr>
          <w:lang w:val="lv-LV"/>
        </w:rPr>
        <w:t> </w:t>
      </w:r>
      <w:r w:rsidRPr="009A2974">
        <w:rPr>
          <w:lang w:val="lv-LV"/>
        </w:rPr>
        <w:t>nedēļas ilgu prednizona terapiju, pakāpeniski samazinot devu [2,84] (lai gan atšķirības nebija statistiski ticamas [lietošana vienu</w:t>
      </w:r>
      <w:r w:rsidRPr="000200A3">
        <w:rPr>
          <w:lang w:val="lv-LV"/>
        </w:rPr>
        <w:t xml:space="preserve"> reizi nedēļā, p</w:t>
      </w:r>
      <w:r>
        <w:rPr>
          <w:lang w:val="lv-LV"/>
        </w:rPr>
        <w:t> </w:t>
      </w:r>
      <w:r w:rsidRPr="000200A3">
        <w:rPr>
          <w:lang w:val="lv-LV"/>
        </w:rPr>
        <w:t>=</w:t>
      </w:r>
      <w:r>
        <w:rPr>
          <w:lang w:val="lv-LV"/>
        </w:rPr>
        <w:t> </w:t>
      </w:r>
      <w:r w:rsidRPr="000200A3">
        <w:rPr>
          <w:lang w:val="lv-LV"/>
        </w:rPr>
        <w:t>0,0252; lietošana katru otro nedēļu, p</w:t>
      </w:r>
      <w:r>
        <w:rPr>
          <w:lang w:val="lv-LV"/>
        </w:rPr>
        <w:t> </w:t>
      </w:r>
      <w:r w:rsidRPr="000200A3">
        <w:rPr>
          <w:lang w:val="lv-LV"/>
        </w:rPr>
        <w:t>=</w:t>
      </w:r>
      <w:r>
        <w:rPr>
          <w:lang w:val="lv-LV"/>
        </w:rPr>
        <w:t> </w:t>
      </w:r>
      <w:r w:rsidRPr="000200A3">
        <w:rPr>
          <w:lang w:val="lv-LV"/>
        </w:rPr>
        <w:t>0,1468]), un līdzīgas kā grupā, kurā lietoja placebo apvienojumā ar 26</w:t>
      </w:r>
      <w:r>
        <w:rPr>
          <w:lang w:val="lv-LV"/>
        </w:rPr>
        <w:t> </w:t>
      </w:r>
      <w:r w:rsidRPr="000200A3">
        <w:rPr>
          <w:lang w:val="lv-LV"/>
        </w:rPr>
        <w:t xml:space="preserve">nedēļas ilgu prednizona terapiju, pakāpeniski samazinot devu [6,67]. </w:t>
      </w:r>
    </w:p>
    <w:p w14:paraId="51198F09" w14:textId="77777777" w:rsidR="00A453C3" w:rsidRPr="000200A3" w:rsidRDefault="00A453C3" w:rsidP="00A453C3">
      <w:pPr>
        <w:rPr>
          <w:i/>
          <w:lang w:val="lv-LV"/>
        </w:rPr>
      </w:pPr>
    </w:p>
    <w:p w14:paraId="5C913C10" w14:textId="04B20D20" w:rsidR="00A453C3" w:rsidRPr="000200A3" w:rsidRDefault="00A453C3" w:rsidP="00A453C3">
      <w:pPr>
        <w:rPr>
          <w:lang w:val="lv-LV"/>
        </w:rPr>
      </w:pPr>
      <w:r w:rsidRPr="000200A3">
        <w:rPr>
          <w:lang w:val="lv-LV"/>
        </w:rPr>
        <w:t>Vispārējā slimības aktivitāte pacienta vērtējumā tika novērtēta, izmantojot 0</w:t>
      </w:r>
      <w:r>
        <w:rPr>
          <w:lang w:val="lv-LV"/>
        </w:rPr>
        <w:noBreakHyphen/>
      </w:r>
      <w:r w:rsidRPr="000200A3">
        <w:rPr>
          <w:lang w:val="lv-LV"/>
        </w:rPr>
        <w:t>100 mm vizuālo analogu skalu (VAS). Pacienta vispārējās VAS vidējās izmaiņas 52.</w:t>
      </w:r>
      <w:r>
        <w:rPr>
          <w:lang w:val="lv-LV"/>
        </w:rPr>
        <w:t> </w:t>
      </w:r>
      <w:r w:rsidRPr="000200A3">
        <w:rPr>
          <w:lang w:val="lv-LV"/>
        </w:rPr>
        <w:t xml:space="preserve">nedēļā </w:t>
      </w:r>
      <w:r w:rsidRPr="009A2974">
        <w:rPr>
          <w:lang w:val="lv-LV"/>
        </w:rPr>
        <w:t xml:space="preserve">bija mazākas (uzrādot izteiktāku uzlabošanos) [attiecīgi </w:t>
      </w:r>
      <w:r>
        <w:rPr>
          <w:lang w:val="lv-LV"/>
        </w:rPr>
        <w:noBreakHyphen/>
      </w:r>
      <w:r w:rsidRPr="009A2974">
        <w:rPr>
          <w:lang w:val="lv-LV"/>
        </w:rPr>
        <w:t xml:space="preserve">19,0, </w:t>
      </w:r>
      <w:r>
        <w:rPr>
          <w:lang w:val="lv-LV"/>
        </w:rPr>
        <w:noBreakHyphen/>
      </w:r>
      <w:r w:rsidRPr="009A2974">
        <w:rPr>
          <w:lang w:val="lv-LV"/>
        </w:rPr>
        <w:t xml:space="preserve">25,3] grupās, kurās </w:t>
      </w:r>
      <w:r>
        <w:rPr>
          <w:lang w:val="lv-LV"/>
        </w:rPr>
        <w:t>tocilizumabu</w:t>
      </w:r>
      <w:r w:rsidRPr="009A2974">
        <w:rPr>
          <w:lang w:val="lv-LV"/>
        </w:rPr>
        <w:t xml:space="preserve"> lietoja vienu reizi nedēļā un katru otro nedēļu, </w:t>
      </w:r>
      <w:r w:rsidRPr="000200A3">
        <w:rPr>
          <w:lang w:val="lv-LV"/>
        </w:rPr>
        <w:t>nekā abās placebo grupās [placebo</w:t>
      </w:r>
      <w:r>
        <w:rPr>
          <w:lang w:val="lv-LV"/>
        </w:rPr>
        <w:t> + </w:t>
      </w:r>
      <w:r w:rsidRPr="000200A3">
        <w:rPr>
          <w:lang w:val="lv-LV"/>
        </w:rPr>
        <w:t>26</w:t>
      </w:r>
      <w:r>
        <w:rPr>
          <w:lang w:val="lv-LV"/>
        </w:rPr>
        <w:t> </w:t>
      </w:r>
      <w:r w:rsidRPr="000200A3">
        <w:rPr>
          <w:lang w:val="lv-LV"/>
        </w:rPr>
        <w:t>nedēļ</w:t>
      </w:r>
      <w:r>
        <w:rPr>
          <w:lang w:val="lv-LV"/>
        </w:rPr>
        <w:t>as</w:t>
      </w:r>
      <w:r w:rsidRPr="000200A3">
        <w:rPr>
          <w:lang w:val="lv-LV"/>
        </w:rPr>
        <w:t xml:space="preserve"> </w:t>
      </w:r>
      <w:r>
        <w:rPr>
          <w:lang w:val="lv-LV"/>
        </w:rPr>
        <w:noBreakHyphen/>
      </w:r>
      <w:r w:rsidRPr="000200A3">
        <w:rPr>
          <w:lang w:val="lv-LV"/>
        </w:rPr>
        <w:t>3,4, placebo</w:t>
      </w:r>
      <w:r>
        <w:rPr>
          <w:lang w:val="lv-LV"/>
        </w:rPr>
        <w:t> + </w:t>
      </w:r>
      <w:r w:rsidRPr="000200A3">
        <w:rPr>
          <w:lang w:val="lv-LV"/>
        </w:rPr>
        <w:t>52</w:t>
      </w:r>
      <w:r>
        <w:rPr>
          <w:lang w:val="lv-LV"/>
        </w:rPr>
        <w:t> </w:t>
      </w:r>
      <w:r w:rsidRPr="000200A3">
        <w:rPr>
          <w:lang w:val="lv-LV"/>
        </w:rPr>
        <w:t>nedēļ</w:t>
      </w:r>
      <w:r>
        <w:rPr>
          <w:lang w:val="lv-LV"/>
        </w:rPr>
        <w:t>as</w:t>
      </w:r>
      <w:r w:rsidRPr="000200A3">
        <w:rPr>
          <w:lang w:val="lv-LV"/>
        </w:rPr>
        <w:t xml:space="preserve"> </w:t>
      </w:r>
      <w:r>
        <w:rPr>
          <w:lang w:val="lv-LV"/>
        </w:rPr>
        <w:noBreakHyphen/>
      </w:r>
      <w:r w:rsidRPr="000200A3">
        <w:rPr>
          <w:lang w:val="lv-LV"/>
        </w:rPr>
        <w:t xml:space="preserve">7,2], lai gan statistiski nozīmīga atšķirība bija tikai starp grupu, kurā </w:t>
      </w:r>
      <w:r>
        <w:rPr>
          <w:lang w:val="lv-LV"/>
        </w:rPr>
        <w:t>tocilizumabu</w:t>
      </w:r>
      <w:r w:rsidRPr="000200A3">
        <w:rPr>
          <w:lang w:val="lv-LV"/>
        </w:rPr>
        <w:t xml:space="preserve"> lietoja katru otro nedēļu kombinācijā ar 26</w:t>
      </w:r>
      <w:r>
        <w:rPr>
          <w:lang w:val="lv-LV"/>
        </w:rPr>
        <w:t> </w:t>
      </w:r>
      <w:r w:rsidRPr="000200A3">
        <w:rPr>
          <w:lang w:val="lv-LV"/>
        </w:rPr>
        <w:t>nedēļas ilgu prednizona terapiju, pakāpeniski samazinot devu, un placebo grupām [placebo kombinācijā ar 26</w:t>
      </w:r>
      <w:r>
        <w:rPr>
          <w:lang w:val="lv-LV"/>
        </w:rPr>
        <w:t> </w:t>
      </w:r>
      <w:r w:rsidRPr="000200A3">
        <w:rPr>
          <w:lang w:val="lv-LV"/>
        </w:rPr>
        <w:t>nedēļas ilgu terapiju, samazinot devu, p</w:t>
      </w:r>
      <w:r>
        <w:rPr>
          <w:lang w:val="lv-LV"/>
        </w:rPr>
        <w:t> </w:t>
      </w:r>
      <w:r w:rsidRPr="000200A3">
        <w:rPr>
          <w:lang w:val="lv-LV"/>
        </w:rPr>
        <w:t>=</w:t>
      </w:r>
      <w:r>
        <w:rPr>
          <w:lang w:val="lv-LV"/>
        </w:rPr>
        <w:t> </w:t>
      </w:r>
      <w:r w:rsidRPr="000200A3">
        <w:rPr>
          <w:lang w:val="lv-LV"/>
        </w:rPr>
        <w:t>0,0059, un placebo kombinācijā ar 52 nedēļas ilgu terapiju, pakāpeniski samazinot devu</w:t>
      </w:r>
      <w:r>
        <w:rPr>
          <w:lang w:val="lv-LV"/>
        </w:rPr>
        <w:t>,</w:t>
      </w:r>
      <w:r w:rsidRPr="000200A3">
        <w:rPr>
          <w:lang w:val="lv-LV"/>
        </w:rPr>
        <w:t xml:space="preserve"> p</w:t>
      </w:r>
      <w:r>
        <w:rPr>
          <w:lang w:val="lv-LV"/>
        </w:rPr>
        <w:t> </w:t>
      </w:r>
      <w:r w:rsidRPr="000200A3">
        <w:rPr>
          <w:lang w:val="lv-LV"/>
        </w:rPr>
        <w:t>=</w:t>
      </w:r>
      <w:r>
        <w:rPr>
          <w:lang w:val="lv-LV"/>
        </w:rPr>
        <w:t> </w:t>
      </w:r>
      <w:r w:rsidRPr="000200A3">
        <w:rPr>
          <w:lang w:val="lv-LV"/>
        </w:rPr>
        <w:t>0,0081].</w:t>
      </w:r>
    </w:p>
    <w:p w14:paraId="4ABA0BF3" w14:textId="77777777" w:rsidR="00A453C3" w:rsidRPr="000200A3" w:rsidRDefault="00A453C3" w:rsidP="00A453C3">
      <w:pPr>
        <w:rPr>
          <w:lang w:val="lv-LV"/>
        </w:rPr>
      </w:pPr>
    </w:p>
    <w:p w14:paraId="5E6956D2" w14:textId="6488CB83" w:rsidR="00A453C3" w:rsidRPr="000200A3" w:rsidRDefault="00A453C3" w:rsidP="00A453C3">
      <w:pPr>
        <w:rPr>
          <w:lang w:val="lv-LV"/>
        </w:rPr>
      </w:pPr>
      <w:r w:rsidRPr="000200A3">
        <w:rPr>
          <w:lang w:val="lv-LV"/>
        </w:rPr>
        <w:t xml:space="preserve">Visām grupām aprēķināja FACIT – noguruma </w:t>
      </w:r>
      <w:r w:rsidRPr="009A2974">
        <w:rPr>
          <w:lang w:val="lv-LV"/>
        </w:rPr>
        <w:t xml:space="preserve">rādītāju izmaiņas no sākotnējā stāvokļa līdz 52. nedēļai. Vidējās [SN] novērtējuma punktu skaita izmaiņas bija šādas: </w:t>
      </w:r>
      <w:r>
        <w:rPr>
          <w:lang w:val="lv-LV"/>
        </w:rPr>
        <w:t>tocilizumabs</w:t>
      </w:r>
      <w:r w:rsidRPr="009A2974">
        <w:rPr>
          <w:lang w:val="lv-LV"/>
        </w:rPr>
        <w:t xml:space="preserve"> vienu</w:t>
      </w:r>
      <w:r w:rsidRPr="000200A3" w:rsidDel="009A2974">
        <w:rPr>
          <w:lang w:val="lv-LV"/>
        </w:rPr>
        <w:t xml:space="preserve"> </w:t>
      </w:r>
      <w:r w:rsidRPr="000200A3">
        <w:rPr>
          <w:lang w:val="lv-LV"/>
        </w:rPr>
        <w:t>reizi nedēļā</w:t>
      </w:r>
      <w:r>
        <w:rPr>
          <w:lang w:val="lv-LV"/>
        </w:rPr>
        <w:t> + </w:t>
      </w:r>
      <w:r w:rsidRPr="000200A3">
        <w:rPr>
          <w:lang w:val="lv-LV"/>
        </w:rPr>
        <w:t>26</w:t>
      </w:r>
      <w:r>
        <w:rPr>
          <w:lang w:val="lv-LV"/>
        </w:rPr>
        <w:t> </w:t>
      </w:r>
      <w:r w:rsidRPr="000200A3">
        <w:rPr>
          <w:lang w:val="lv-LV"/>
        </w:rPr>
        <w:t>nedēļ</w:t>
      </w:r>
      <w:r>
        <w:rPr>
          <w:lang w:val="lv-LV"/>
        </w:rPr>
        <w:t>as</w:t>
      </w:r>
      <w:r w:rsidRPr="000200A3">
        <w:rPr>
          <w:lang w:val="lv-LV"/>
        </w:rPr>
        <w:t xml:space="preserve"> 5,61 [10,115], </w:t>
      </w:r>
      <w:r>
        <w:rPr>
          <w:lang w:val="lv-LV"/>
        </w:rPr>
        <w:t>tocilizumabs</w:t>
      </w:r>
      <w:r w:rsidRPr="000200A3">
        <w:rPr>
          <w:lang w:val="lv-LV"/>
        </w:rPr>
        <w:t xml:space="preserve"> katru otro nedēļu</w:t>
      </w:r>
      <w:r>
        <w:rPr>
          <w:lang w:val="lv-LV"/>
        </w:rPr>
        <w:t> + </w:t>
      </w:r>
      <w:r w:rsidRPr="000200A3">
        <w:rPr>
          <w:lang w:val="lv-LV"/>
        </w:rPr>
        <w:t>26</w:t>
      </w:r>
      <w:r>
        <w:rPr>
          <w:lang w:val="lv-LV"/>
        </w:rPr>
        <w:t> </w:t>
      </w:r>
      <w:r w:rsidRPr="000200A3">
        <w:rPr>
          <w:lang w:val="lv-LV"/>
        </w:rPr>
        <w:t>nedēļ</w:t>
      </w:r>
      <w:r>
        <w:rPr>
          <w:lang w:val="lv-LV"/>
        </w:rPr>
        <w:t>as</w:t>
      </w:r>
      <w:r w:rsidRPr="000200A3">
        <w:rPr>
          <w:lang w:val="lv-LV"/>
        </w:rPr>
        <w:t xml:space="preserve"> 1,81 [8,836], placebo</w:t>
      </w:r>
      <w:r>
        <w:rPr>
          <w:lang w:val="lv-LV"/>
        </w:rPr>
        <w:t> + </w:t>
      </w:r>
      <w:r w:rsidRPr="000200A3">
        <w:rPr>
          <w:lang w:val="lv-LV"/>
        </w:rPr>
        <w:t>26</w:t>
      </w:r>
      <w:r>
        <w:rPr>
          <w:lang w:val="lv-LV"/>
        </w:rPr>
        <w:t> </w:t>
      </w:r>
      <w:r w:rsidRPr="000200A3">
        <w:rPr>
          <w:lang w:val="lv-LV"/>
        </w:rPr>
        <w:t>nedēļ</w:t>
      </w:r>
      <w:r>
        <w:rPr>
          <w:lang w:val="lv-LV"/>
        </w:rPr>
        <w:t>as</w:t>
      </w:r>
      <w:r w:rsidRPr="000200A3">
        <w:rPr>
          <w:lang w:val="lv-LV"/>
        </w:rPr>
        <w:t xml:space="preserve"> 0,26 [10,702] un placebo</w:t>
      </w:r>
      <w:r>
        <w:rPr>
          <w:lang w:val="lv-LV"/>
        </w:rPr>
        <w:t> + </w:t>
      </w:r>
      <w:r w:rsidRPr="000200A3">
        <w:rPr>
          <w:lang w:val="lv-LV"/>
        </w:rPr>
        <w:t>52</w:t>
      </w:r>
      <w:r>
        <w:rPr>
          <w:lang w:val="lv-LV"/>
        </w:rPr>
        <w:t> </w:t>
      </w:r>
      <w:r w:rsidRPr="000200A3">
        <w:rPr>
          <w:lang w:val="lv-LV"/>
        </w:rPr>
        <w:t>nedēļ</w:t>
      </w:r>
      <w:r>
        <w:rPr>
          <w:lang w:val="lv-LV"/>
        </w:rPr>
        <w:t>as</w:t>
      </w:r>
      <w:r w:rsidRPr="000200A3">
        <w:rPr>
          <w:lang w:val="lv-LV"/>
        </w:rPr>
        <w:t xml:space="preserve"> </w:t>
      </w:r>
      <w:r>
        <w:rPr>
          <w:lang w:val="lv-LV"/>
        </w:rPr>
        <w:noBreakHyphen/>
      </w:r>
      <w:r w:rsidRPr="000200A3">
        <w:rPr>
          <w:lang w:val="lv-LV"/>
        </w:rPr>
        <w:t xml:space="preserve">1,63 [6,753]. </w:t>
      </w:r>
    </w:p>
    <w:p w14:paraId="0A34A590" w14:textId="77777777" w:rsidR="00A453C3" w:rsidRPr="000200A3" w:rsidRDefault="00A453C3" w:rsidP="00A453C3">
      <w:pPr>
        <w:rPr>
          <w:lang w:val="lv-LV"/>
        </w:rPr>
      </w:pPr>
    </w:p>
    <w:p w14:paraId="20C02EAD" w14:textId="4235F044" w:rsidR="00A453C3" w:rsidRPr="000200A3" w:rsidRDefault="00A453C3" w:rsidP="00A453C3">
      <w:pPr>
        <w:rPr>
          <w:lang w:val="lv-LV"/>
        </w:rPr>
      </w:pPr>
      <w:r w:rsidRPr="000200A3">
        <w:rPr>
          <w:lang w:val="lv-LV"/>
        </w:rPr>
        <w:t xml:space="preserve">EQ5D </w:t>
      </w:r>
      <w:r w:rsidRPr="009A2974">
        <w:rPr>
          <w:lang w:val="lv-LV"/>
        </w:rPr>
        <w:t>novērtējuma punktu skaita izmaiņas no sākotnējā stāvokļa līdz 52.</w:t>
      </w:r>
      <w:r>
        <w:rPr>
          <w:lang w:val="lv-LV"/>
        </w:rPr>
        <w:t> </w:t>
      </w:r>
      <w:r w:rsidRPr="009A2974">
        <w:rPr>
          <w:lang w:val="lv-LV"/>
        </w:rPr>
        <w:t xml:space="preserve">nedēļai </w:t>
      </w:r>
      <w:r>
        <w:rPr>
          <w:lang w:val="lv-LV"/>
        </w:rPr>
        <w:t>tocilizumaba</w:t>
      </w:r>
      <w:r w:rsidRPr="009A2974">
        <w:rPr>
          <w:lang w:val="lv-LV"/>
        </w:rPr>
        <w:t xml:space="preserve"> vienu</w:t>
      </w:r>
      <w:r w:rsidRPr="000200A3">
        <w:rPr>
          <w:lang w:val="lv-LV"/>
        </w:rPr>
        <w:t xml:space="preserve"> reizi nedēļā kombinācijā ar 26</w:t>
      </w:r>
      <w:r>
        <w:rPr>
          <w:lang w:val="lv-LV"/>
        </w:rPr>
        <w:t> </w:t>
      </w:r>
      <w:r w:rsidRPr="000200A3">
        <w:rPr>
          <w:lang w:val="lv-LV"/>
        </w:rPr>
        <w:t xml:space="preserve">nedēļām grupā bija 0,10 [0,198], </w:t>
      </w:r>
      <w:r>
        <w:rPr>
          <w:lang w:val="lv-LV"/>
        </w:rPr>
        <w:t>tocilizumaba</w:t>
      </w:r>
      <w:r w:rsidRPr="000200A3">
        <w:rPr>
          <w:lang w:val="lv-LV"/>
        </w:rPr>
        <w:t xml:space="preserve"> katru otro nedēļu kombinācijā ar 26</w:t>
      </w:r>
      <w:r>
        <w:rPr>
          <w:lang w:val="lv-LV"/>
        </w:rPr>
        <w:t> </w:t>
      </w:r>
      <w:r w:rsidRPr="000200A3">
        <w:rPr>
          <w:lang w:val="lv-LV"/>
        </w:rPr>
        <w:t>nedēļām grupā 0,05 [0,215], placebo kombinācijā ar 26</w:t>
      </w:r>
      <w:r>
        <w:rPr>
          <w:lang w:val="lv-LV"/>
        </w:rPr>
        <w:t> </w:t>
      </w:r>
      <w:r w:rsidRPr="000200A3">
        <w:rPr>
          <w:lang w:val="lv-LV"/>
        </w:rPr>
        <w:t>nedēļām grupā 0,07 [0,293], bet placebo kombinācijā ar 52</w:t>
      </w:r>
      <w:r>
        <w:rPr>
          <w:lang w:val="lv-LV"/>
        </w:rPr>
        <w:t> </w:t>
      </w:r>
      <w:r w:rsidRPr="000200A3">
        <w:rPr>
          <w:lang w:val="lv-LV"/>
        </w:rPr>
        <w:t>nedēļām grupā 0,02 [0,159].</w:t>
      </w:r>
    </w:p>
    <w:p w14:paraId="07CB6084" w14:textId="77777777" w:rsidR="00A453C3" w:rsidRPr="000200A3" w:rsidRDefault="00A453C3" w:rsidP="00A453C3">
      <w:pPr>
        <w:rPr>
          <w:lang w:val="lv-LV"/>
        </w:rPr>
      </w:pPr>
    </w:p>
    <w:p w14:paraId="20426E3D" w14:textId="0084A8B6" w:rsidR="00A453C3" w:rsidRPr="00732183" w:rsidRDefault="00A453C3" w:rsidP="00A453C3">
      <w:pPr>
        <w:rPr>
          <w:lang w:val="lv-LV"/>
        </w:rPr>
      </w:pPr>
      <w:r w:rsidRPr="00732183">
        <w:rPr>
          <w:lang w:val="lv-LV"/>
        </w:rPr>
        <w:t>Augstāki FACIT noguruma un EQ5D novērtējuma punkti norāda uz uzlabošanos.</w:t>
      </w:r>
    </w:p>
    <w:p w14:paraId="2F8BDC2C" w14:textId="77777777" w:rsidR="00A453C3" w:rsidRDefault="00A453C3" w:rsidP="00707120">
      <w:pPr>
        <w:rPr>
          <w:rFonts w:eastAsia="MS Mincho"/>
          <w:u w:val="single"/>
          <w:lang w:val="lv-LV"/>
        </w:rPr>
      </w:pPr>
    </w:p>
    <w:p w14:paraId="238A5ECD" w14:textId="77777777" w:rsidR="00A453C3" w:rsidRPr="00DD7A4F" w:rsidRDefault="00A453C3" w:rsidP="00A453C3">
      <w:pPr>
        <w:keepNext/>
        <w:rPr>
          <w:rFonts w:eastAsia="MS Mincho"/>
          <w:u w:val="single"/>
          <w:lang w:val="lv-LV"/>
        </w:rPr>
      </w:pPr>
      <w:r w:rsidRPr="00DD7A4F">
        <w:rPr>
          <w:rFonts w:eastAsia="MS Mincho"/>
          <w:u w:val="single"/>
          <w:lang w:val="lv-LV"/>
        </w:rPr>
        <w:t>Intravenoza lietošana</w:t>
      </w:r>
    </w:p>
    <w:p w14:paraId="0E6397A5" w14:textId="77777777" w:rsidR="00A453C3" w:rsidRPr="00707120" w:rsidRDefault="00A453C3" w:rsidP="00A453C3">
      <w:pPr>
        <w:keepNext/>
        <w:numPr>
          <w:ilvl w:val="12"/>
          <w:numId w:val="0"/>
        </w:numPr>
        <w:ind w:right="-2"/>
        <w:rPr>
          <w:bCs/>
          <w:i/>
          <w:iCs/>
          <w:szCs w:val="22"/>
          <w:lang w:val="lv-LV"/>
        </w:rPr>
      </w:pPr>
      <w:r w:rsidRPr="00707120">
        <w:rPr>
          <w:bCs/>
          <w:i/>
          <w:iCs/>
          <w:szCs w:val="22"/>
          <w:lang w:val="lv-LV"/>
        </w:rPr>
        <w:t>Pacienti ar RA</w:t>
      </w:r>
    </w:p>
    <w:p w14:paraId="32BEB2D0" w14:textId="77777777" w:rsidR="00843B6A" w:rsidRDefault="00843B6A" w:rsidP="00A453C3">
      <w:pPr>
        <w:keepNext/>
        <w:rPr>
          <w:ins w:id="1101" w:author="Author"/>
          <w:rFonts w:eastAsia="MS Mincho"/>
          <w:i/>
          <w:iCs/>
          <w:u w:val="single"/>
          <w:lang w:val="lv-LV"/>
        </w:rPr>
      </w:pPr>
    </w:p>
    <w:p w14:paraId="1DBD5F1F" w14:textId="4C389BD2" w:rsidR="00A453C3" w:rsidRPr="00BD5E36" w:rsidRDefault="00A453C3" w:rsidP="00A453C3">
      <w:pPr>
        <w:keepNext/>
        <w:rPr>
          <w:i/>
          <w:iCs/>
          <w:szCs w:val="22"/>
          <w:lang w:val="lv-LV"/>
        </w:rPr>
      </w:pPr>
      <w:r w:rsidRPr="00BD5E36">
        <w:rPr>
          <w:rFonts w:eastAsia="MS Mincho"/>
          <w:i/>
          <w:iCs/>
          <w:u w:val="single"/>
          <w:lang w:val="lv-LV"/>
        </w:rPr>
        <w:t xml:space="preserve">Klīniskā efektivitāte </w:t>
      </w:r>
    </w:p>
    <w:p w14:paraId="04F6FB5C" w14:textId="50D04ADE" w:rsidR="00A453C3" w:rsidRDefault="00A453C3" w:rsidP="00A453C3">
      <w:pPr>
        <w:rPr>
          <w:rFonts w:eastAsia="MS Mincho"/>
          <w:szCs w:val="22"/>
          <w:lang w:val="lv-LV"/>
        </w:rPr>
      </w:pPr>
      <w:r>
        <w:rPr>
          <w:szCs w:val="22"/>
          <w:lang w:val="lv-LV"/>
        </w:rPr>
        <w:t>Tocilizumaba</w:t>
      </w:r>
      <w:r w:rsidRPr="002607ED">
        <w:rPr>
          <w:szCs w:val="22"/>
          <w:lang w:val="lv-LV"/>
        </w:rPr>
        <w:t xml:space="preserve"> </w:t>
      </w:r>
      <w:r>
        <w:rPr>
          <w:szCs w:val="22"/>
          <w:lang w:val="lv-LV"/>
        </w:rPr>
        <w:t>efektivitāti RA pazīmju un simptomu mazināšanā vērtēja piecos randomizētos, dubultmaskētos, daudzcentru pētījumos. I</w:t>
      </w:r>
      <w:r>
        <w:rPr>
          <w:szCs w:val="22"/>
          <w:lang w:val="lv-LV"/>
        </w:rPr>
        <w:noBreakHyphen/>
        <w:t xml:space="preserve">V pētījumā iekļāva </w:t>
      </w:r>
      <w:r>
        <w:rPr>
          <w:rFonts w:eastAsia="MS Mincho"/>
          <w:szCs w:val="22"/>
          <w:lang w:val="lv-LV"/>
        </w:rPr>
        <w:t xml:space="preserve">≥ 18 gadus vecus pacientus ar aktīvu </w:t>
      </w:r>
      <w:r>
        <w:rPr>
          <w:szCs w:val="22"/>
          <w:lang w:val="lv-LV"/>
        </w:rPr>
        <w:t>RA</w:t>
      </w:r>
      <w:r>
        <w:rPr>
          <w:rFonts w:eastAsia="MS Mincho"/>
          <w:szCs w:val="22"/>
          <w:lang w:val="lv-LV"/>
        </w:rPr>
        <w:t>, kuriem diagnoze noteikta atbilstoši Amerikas Reimatoloģijas kolēģijas (ACR) kritērijiem un kuriem pētījuma sākumā bija vismaz astoņas jutīgas un sešas pietūkušas locītavas.</w:t>
      </w:r>
    </w:p>
    <w:p w14:paraId="1215BCC2" w14:textId="77777777" w:rsidR="00A453C3" w:rsidRDefault="00A453C3" w:rsidP="00A453C3">
      <w:pPr>
        <w:rPr>
          <w:rFonts w:eastAsia="MS Mincho"/>
          <w:szCs w:val="22"/>
          <w:lang w:val="lv-LV"/>
        </w:rPr>
      </w:pPr>
    </w:p>
    <w:p w14:paraId="66F72B20" w14:textId="0058CF9E" w:rsidR="00A453C3" w:rsidRDefault="00A453C3" w:rsidP="00A453C3">
      <w:pPr>
        <w:rPr>
          <w:rFonts w:eastAsia="MS Mincho"/>
          <w:szCs w:val="22"/>
          <w:lang w:val="lv-LV"/>
        </w:rPr>
      </w:pPr>
      <w:r>
        <w:rPr>
          <w:szCs w:val="22"/>
          <w:lang w:val="lv-LV"/>
        </w:rPr>
        <w:t>I pētījumā tocilizumabu</w:t>
      </w:r>
      <w:r w:rsidDel="001D4271">
        <w:rPr>
          <w:szCs w:val="22"/>
          <w:lang w:val="lv-LV"/>
        </w:rPr>
        <w:t xml:space="preserve"> </w:t>
      </w:r>
      <w:r>
        <w:rPr>
          <w:szCs w:val="22"/>
          <w:lang w:val="lv-LV"/>
        </w:rPr>
        <w:t>ievadīja intravenozi ik pēc četrām nedēļām monoterapijas veidā. II, III un V pētījumā tocilizumabu</w:t>
      </w:r>
      <w:r w:rsidDel="001D4271">
        <w:rPr>
          <w:szCs w:val="22"/>
          <w:lang w:val="lv-LV"/>
        </w:rPr>
        <w:t xml:space="preserve"> </w:t>
      </w:r>
      <w:r>
        <w:rPr>
          <w:szCs w:val="22"/>
          <w:lang w:val="lv-LV"/>
        </w:rPr>
        <w:t>ievadīja intravenozi ik pēc četrām nedēļām kombinācijā ar MTX salīdzinājumā ar placebo un MTX. IV pētījumā tocilizumabu</w:t>
      </w:r>
      <w:r w:rsidDel="001D4271">
        <w:rPr>
          <w:szCs w:val="22"/>
          <w:lang w:val="lv-LV"/>
        </w:rPr>
        <w:t xml:space="preserve"> </w:t>
      </w:r>
      <w:r>
        <w:rPr>
          <w:szCs w:val="22"/>
          <w:lang w:val="lv-LV"/>
        </w:rPr>
        <w:t>ievadīja intravenozi ik pēc 4 nedēļām kombinācijā ar citiem DMARD salīdzinājumā ar placebo un citiem DMARD. Primārais mērķa kritērijs visiem pieciem pētījumiem bija pacientu īpatsvars, kas sasniedza ACR 20 atbildes reakciju 24. nedēļā.</w:t>
      </w:r>
    </w:p>
    <w:p w14:paraId="333E63DC" w14:textId="77777777" w:rsidR="00A453C3" w:rsidRDefault="00A453C3" w:rsidP="00A453C3">
      <w:pPr>
        <w:rPr>
          <w:rFonts w:eastAsia="MS Mincho"/>
          <w:szCs w:val="22"/>
          <w:lang w:val="lv-LV"/>
        </w:rPr>
      </w:pPr>
    </w:p>
    <w:p w14:paraId="7B89C4B6" w14:textId="40355998" w:rsidR="00A453C3" w:rsidRDefault="00A453C3" w:rsidP="00A453C3">
      <w:pPr>
        <w:rPr>
          <w:rFonts w:eastAsia="MS Mincho"/>
          <w:szCs w:val="22"/>
          <w:lang w:val="lv-LV"/>
        </w:rPr>
      </w:pPr>
      <w:r>
        <w:rPr>
          <w:rFonts w:eastAsia="MS Mincho"/>
          <w:szCs w:val="22"/>
          <w:lang w:val="lv-LV"/>
        </w:rPr>
        <w:t xml:space="preserve">I pētījumā novērtēja 673 pacientus, kuri nebija ārstēti ar MTX sešus mēnešus pirms randomizācijas un kuriem nebija pārtraukta iepriekšēja MTX terapija klīniski nozīmīgas toksiskas iedarbības vai atbildes reakcijas trūkuma dēļ. Lielākā daļa pacientu (67%) iepriekš ar MTX nebija ārstēti. </w:t>
      </w:r>
      <w:r>
        <w:rPr>
          <w:szCs w:val="22"/>
          <w:lang w:val="lv-LV"/>
        </w:rPr>
        <w:t>Ik pēc četrām nedēļām monoterapijas veidā</w:t>
      </w:r>
      <w:r>
        <w:rPr>
          <w:rFonts w:eastAsia="MS Mincho"/>
          <w:szCs w:val="22"/>
          <w:lang w:val="lv-LV"/>
        </w:rPr>
        <w:t xml:space="preserve"> </w:t>
      </w:r>
      <w:r>
        <w:rPr>
          <w:szCs w:val="22"/>
          <w:lang w:val="lv-LV"/>
        </w:rPr>
        <w:t>lietoja tocilizumaba</w:t>
      </w:r>
      <w:r w:rsidDel="001D4271">
        <w:rPr>
          <w:szCs w:val="22"/>
          <w:lang w:val="lv-LV"/>
        </w:rPr>
        <w:t xml:space="preserve"> </w:t>
      </w:r>
      <w:r>
        <w:rPr>
          <w:rFonts w:eastAsia="MS Mincho"/>
          <w:szCs w:val="22"/>
          <w:lang w:val="lv-LV"/>
        </w:rPr>
        <w:t>8 mg/kg devu</w:t>
      </w:r>
      <w:r>
        <w:rPr>
          <w:szCs w:val="22"/>
          <w:lang w:val="lv-LV"/>
        </w:rPr>
        <w:t>. Salīdzinošajā grupā lietoja MTX reizi nedēļā (deva titrēta no 7,5 mg līdz maksimāli 20 mg nedēļā astoņu nedēļu laikā)</w:t>
      </w:r>
      <w:r>
        <w:rPr>
          <w:rFonts w:eastAsia="MS Mincho"/>
          <w:szCs w:val="22"/>
          <w:lang w:val="lv-LV"/>
        </w:rPr>
        <w:t xml:space="preserve">. </w:t>
      </w:r>
    </w:p>
    <w:p w14:paraId="6F4C797E" w14:textId="77777777" w:rsidR="00A453C3" w:rsidRDefault="00A453C3" w:rsidP="00A453C3">
      <w:pPr>
        <w:rPr>
          <w:rFonts w:eastAsia="MS Mincho"/>
          <w:szCs w:val="22"/>
          <w:lang w:val="lv-LV"/>
        </w:rPr>
      </w:pPr>
    </w:p>
    <w:p w14:paraId="63DDCEE2" w14:textId="3F117419" w:rsidR="00A453C3" w:rsidRDefault="00A453C3" w:rsidP="00A453C3">
      <w:pPr>
        <w:rPr>
          <w:rFonts w:eastAsia="MS Mincho"/>
          <w:szCs w:val="22"/>
          <w:lang w:val="lv-LV"/>
        </w:rPr>
      </w:pPr>
      <w:r>
        <w:rPr>
          <w:szCs w:val="22"/>
          <w:lang w:val="lv-LV"/>
        </w:rPr>
        <w:t>II pētījumā, divus gadus ilgā pētījumā ar plānotām analīzēm 24., 52. un 104. nedēļā, novērtēja 1</w:t>
      </w:r>
      <w:ins w:id="1102" w:author="Author">
        <w:r w:rsidR="00BB0320">
          <w:rPr>
            <w:szCs w:val="22"/>
            <w:lang w:val="lv-LV"/>
          </w:rPr>
          <w:t> </w:t>
        </w:r>
      </w:ins>
      <w:r>
        <w:rPr>
          <w:szCs w:val="22"/>
          <w:lang w:val="lv-LV"/>
        </w:rPr>
        <w:t>196 pacientus, kuriem bija nepietiekama klīniskā atbildes reakcija uz MTX. Tocilizumaba</w:t>
      </w:r>
      <w:r w:rsidDel="001D4271">
        <w:rPr>
          <w:szCs w:val="22"/>
          <w:lang w:val="lv-LV"/>
        </w:rPr>
        <w:t xml:space="preserve"> </w:t>
      </w:r>
      <w:r>
        <w:rPr>
          <w:szCs w:val="22"/>
          <w:lang w:val="lv-LV"/>
        </w:rPr>
        <w:t>4 vai 8 mg/kg devas vai placebo ievadīja ik pēc četrām nedēļām maskētas terapijas veidā 52 nedēļas kombinācijā ar stabilu MTX devu (10 mg līdz 25 mg nedēļā). Pēc 52. nedēļas visi pacienti varēja saņemt nemaskētu ārstēšanu ar tocilizumaba 8 mg/kg devām. 86% pacientu, kuri pabeidza pētījumu un sākotnēji bija randomizēti placebo un MTX saņemšanai, 2. gadā nemaskēti saņēma tocilizumaba 8 mg/kg devas.</w:t>
      </w:r>
      <w:r>
        <w:rPr>
          <w:lang w:val="lv-LV"/>
        </w:rPr>
        <w:t xml:space="preserve"> </w:t>
      </w:r>
      <w:r>
        <w:rPr>
          <w:szCs w:val="22"/>
          <w:lang w:val="lv-LV"/>
        </w:rPr>
        <w:t>Primārais mērķa kritērijs 24.</w:t>
      </w:r>
      <w:r w:rsidR="00595F16">
        <w:rPr>
          <w:szCs w:val="22"/>
          <w:lang w:val="lv-LV"/>
        </w:rPr>
        <w:t> </w:t>
      </w:r>
      <w:r>
        <w:rPr>
          <w:szCs w:val="22"/>
          <w:lang w:val="lv-LV"/>
        </w:rPr>
        <w:t>nedēļā bija pacientu daļa, kas sasniedza ACR 20 atbildi. 52. un 104. nedēļā papildus vērtētie primārie mērķa kritēriji bija locītavu bojājuma novēršana un fiziskās funkcijas uzlabošanās.</w:t>
      </w:r>
      <w:r>
        <w:rPr>
          <w:rFonts w:eastAsia="MS Mincho"/>
          <w:szCs w:val="22"/>
          <w:lang w:val="lv-LV"/>
        </w:rPr>
        <w:t xml:space="preserve"> </w:t>
      </w:r>
    </w:p>
    <w:p w14:paraId="4F569489" w14:textId="77777777" w:rsidR="00A453C3" w:rsidRDefault="00A453C3" w:rsidP="00A453C3">
      <w:pPr>
        <w:autoSpaceDE w:val="0"/>
        <w:rPr>
          <w:rFonts w:eastAsia="MS Mincho"/>
          <w:szCs w:val="22"/>
          <w:lang w:val="lv-LV"/>
        </w:rPr>
      </w:pPr>
    </w:p>
    <w:p w14:paraId="478D1CD8" w14:textId="534F4BD9" w:rsidR="00A453C3" w:rsidRDefault="00A453C3" w:rsidP="00A453C3">
      <w:pPr>
        <w:rPr>
          <w:rFonts w:eastAsia="MS Mincho"/>
          <w:szCs w:val="22"/>
          <w:lang w:val="lv-LV"/>
        </w:rPr>
      </w:pPr>
      <w:r>
        <w:rPr>
          <w:rFonts w:eastAsia="MS Mincho"/>
          <w:szCs w:val="22"/>
          <w:lang w:val="lv-LV"/>
        </w:rPr>
        <w:t xml:space="preserve">III pētījumā vērtēja 623 pacientus, kuriem bija nepietiekama klīniskā atbildes reakcija uz MTX. </w:t>
      </w:r>
      <w:r>
        <w:rPr>
          <w:szCs w:val="22"/>
          <w:lang w:val="lv-LV"/>
        </w:rPr>
        <w:t>Tocilizumaba</w:t>
      </w:r>
      <w:r w:rsidDel="001D4271">
        <w:rPr>
          <w:szCs w:val="22"/>
          <w:lang w:val="lv-LV"/>
        </w:rPr>
        <w:t xml:space="preserve"> </w:t>
      </w:r>
      <w:r>
        <w:rPr>
          <w:szCs w:val="22"/>
          <w:lang w:val="lv-LV"/>
        </w:rPr>
        <w:t>4 vai 8 mg/kg devas vai placebo ievadīja ik pēc četrām nedēļām kombinācijā ar stabilu MTX devu (10 mg līdz 25 mg nedēļā).</w:t>
      </w:r>
    </w:p>
    <w:p w14:paraId="0B98527A" w14:textId="77777777" w:rsidR="00A453C3" w:rsidRDefault="00A453C3" w:rsidP="00A453C3">
      <w:pPr>
        <w:rPr>
          <w:rFonts w:eastAsia="MS Mincho"/>
          <w:szCs w:val="22"/>
          <w:lang w:val="lv-LV"/>
        </w:rPr>
      </w:pPr>
    </w:p>
    <w:p w14:paraId="6DA0DB26" w14:textId="5BE61A3C" w:rsidR="00A453C3" w:rsidRDefault="00A453C3" w:rsidP="00A453C3">
      <w:pPr>
        <w:rPr>
          <w:rFonts w:eastAsia="MS Mincho"/>
          <w:szCs w:val="22"/>
          <w:lang w:val="lv-LV"/>
        </w:rPr>
      </w:pPr>
      <w:r>
        <w:rPr>
          <w:rFonts w:eastAsia="MS Mincho"/>
          <w:szCs w:val="22"/>
          <w:lang w:val="lv-LV"/>
        </w:rPr>
        <w:t>IV pētījumā vērtēja 1</w:t>
      </w:r>
      <w:ins w:id="1103" w:author="Author">
        <w:r w:rsidR="00BB0320">
          <w:rPr>
            <w:rFonts w:eastAsia="MS Mincho"/>
            <w:szCs w:val="22"/>
            <w:lang w:val="lv-LV"/>
          </w:rPr>
          <w:t> </w:t>
        </w:r>
      </w:ins>
      <w:r>
        <w:rPr>
          <w:rFonts w:eastAsia="MS Mincho"/>
          <w:szCs w:val="22"/>
          <w:lang w:val="lv-LV"/>
        </w:rPr>
        <w:t xml:space="preserve">220 pacientus, kuriem bija nepietiekama atbildes reakcija uz lietoto reimatoloģisko terapiju, tajā skaitā vienu vai vairākiem </w:t>
      </w:r>
      <w:r>
        <w:rPr>
          <w:szCs w:val="22"/>
          <w:lang w:val="lv-LV"/>
        </w:rPr>
        <w:t>DMARD. Tocilizumaba</w:t>
      </w:r>
      <w:r w:rsidDel="001D4271">
        <w:rPr>
          <w:szCs w:val="22"/>
          <w:lang w:val="lv-LV"/>
        </w:rPr>
        <w:t xml:space="preserve"> </w:t>
      </w:r>
      <w:r>
        <w:rPr>
          <w:szCs w:val="22"/>
          <w:lang w:val="lv-LV"/>
        </w:rPr>
        <w:t>8 mg/kg devu vai placebo ievadīja ik pēc četrām nedēļām kombinācijā ar stabilām DMARD devām</w:t>
      </w:r>
      <w:r>
        <w:rPr>
          <w:rFonts w:eastAsia="MS Mincho"/>
          <w:szCs w:val="22"/>
          <w:lang w:val="lv-LV"/>
        </w:rPr>
        <w:t xml:space="preserve">. </w:t>
      </w:r>
    </w:p>
    <w:p w14:paraId="4F042FEC" w14:textId="77777777" w:rsidR="00A453C3" w:rsidRDefault="00A453C3" w:rsidP="00A453C3">
      <w:pPr>
        <w:rPr>
          <w:rFonts w:eastAsia="MS Mincho"/>
          <w:szCs w:val="22"/>
          <w:lang w:val="lv-LV"/>
        </w:rPr>
      </w:pPr>
    </w:p>
    <w:p w14:paraId="6EAF58F5" w14:textId="57E0E314" w:rsidR="00A453C3" w:rsidRDefault="00A453C3" w:rsidP="00A453C3">
      <w:pPr>
        <w:rPr>
          <w:rFonts w:eastAsia="MS Mincho"/>
          <w:szCs w:val="22"/>
          <w:lang w:val="lv-LV"/>
        </w:rPr>
      </w:pPr>
      <w:r>
        <w:rPr>
          <w:rFonts w:eastAsia="MS Mincho"/>
          <w:szCs w:val="22"/>
          <w:lang w:val="lv-LV"/>
        </w:rPr>
        <w:t xml:space="preserve">V pētījumā novērtēja 499 pacientus, kuriem bija nepietiekama klīniskā atbildes reakcija uz vienu vai vairākiem TNF antagonistu terapijas līdzekļiem vai to nepanesamība. TNF antagonistu lietošanu pārtrauca pirms randomizācijas. </w:t>
      </w:r>
      <w:r>
        <w:rPr>
          <w:szCs w:val="22"/>
          <w:lang w:val="lv-LV"/>
        </w:rPr>
        <w:t>Tocilizumaba</w:t>
      </w:r>
      <w:r w:rsidRPr="002607ED">
        <w:rPr>
          <w:szCs w:val="22"/>
          <w:lang w:val="lv-LV"/>
        </w:rPr>
        <w:t xml:space="preserve"> </w:t>
      </w:r>
      <w:r>
        <w:rPr>
          <w:szCs w:val="22"/>
          <w:lang w:val="lv-LV"/>
        </w:rPr>
        <w:t>4 vai 8 mg/kg devas vai placebo ievadīja ik pēc četrām nedēļām kombinācijā ar stabilu MTX devu (10 mg līdz 25 mg nedēļā).</w:t>
      </w:r>
    </w:p>
    <w:p w14:paraId="57F4A23E" w14:textId="77777777" w:rsidR="00A453C3" w:rsidRPr="00DD7A4F" w:rsidRDefault="00A453C3" w:rsidP="00A453C3">
      <w:pPr>
        <w:rPr>
          <w:rFonts w:eastAsia="MS Mincho"/>
          <w:szCs w:val="22"/>
          <w:lang w:val="lv-LV"/>
        </w:rPr>
      </w:pPr>
    </w:p>
    <w:p w14:paraId="5F010C73" w14:textId="77777777" w:rsidR="00A453C3" w:rsidRPr="00707120" w:rsidRDefault="00A453C3" w:rsidP="00707120">
      <w:pPr>
        <w:keepNext/>
        <w:rPr>
          <w:rFonts w:eastAsia="MS Mincho"/>
          <w:i/>
          <w:szCs w:val="22"/>
          <w:u w:val="single"/>
          <w:lang w:val="lv-LV"/>
        </w:rPr>
      </w:pPr>
      <w:r w:rsidRPr="00707120">
        <w:rPr>
          <w:rFonts w:eastAsia="MS Mincho"/>
          <w:i/>
          <w:szCs w:val="22"/>
          <w:u w:val="single"/>
          <w:lang w:val="lv-LV"/>
        </w:rPr>
        <w:t>Klīniskā atbildes reakcija</w:t>
      </w:r>
    </w:p>
    <w:p w14:paraId="46476F25" w14:textId="7A289195" w:rsidR="00A453C3" w:rsidRDefault="00A453C3" w:rsidP="00A453C3">
      <w:pPr>
        <w:rPr>
          <w:rFonts w:eastAsia="MS Mincho"/>
          <w:szCs w:val="22"/>
          <w:lang w:val="lv-LV"/>
        </w:rPr>
      </w:pPr>
      <w:r>
        <w:rPr>
          <w:rFonts w:eastAsia="MS Mincho"/>
          <w:szCs w:val="22"/>
          <w:lang w:val="lv-LV"/>
        </w:rPr>
        <w:t xml:space="preserve">Visos pētījumos ar tocilizumaba </w:t>
      </w:r>
      <w:r>
        <w:rPr>
          <w:szCs w:val="22"/>
          <w:lang w:val="lv-LV"/>
        </w:rPr>
        <w:t>8 mg/kg devām ārstētiem pacientiem bija statistiski nozīmīgi lielāka ACR 20, 50, 70 atbildes reakcijas sastopamība pēc 6 mēnešiem salīdzinājumā ar kontroles grupu (5. tabula). I pētījumā pierādīja tocilizumaba</w:t>
      </w:r>
      <w:r w:rsidDel="001D4271">
        <w:rPr>
          <w:szCs w:val="22"/>
          <w:lang w:val="lv-LV"/>
        </w:rPr>
        <w:t xml:space="preserve"> </w:t>
      </w:r>
      <w:r>
        <w:rPr>
          <w:szCs w:val="22"/>
          <w:lang w:val="lv-LV"/>
        </w:rPr>
        <w:t xml:space="preserve">8 mg/kg devas </w:t>
      </w:r>
      <w:r>
        <w:rPr>
          <w:rFonts w:eastAsia="MS Mincho"/>
          <w:szCs w:val="22"/>
          <w:lang w:val="lv-LV"/>
        </w:rPr>
        <w:t>pārākumu pār aktīvo salīdzināmo līdzekli MTX.</w:t>
      </w:r>
    </w:p>
    <w:p w14:paraId="3D7FB057" w14:textId="77777777" w:rsidR="00A453C3" w:rsidRDefault="00A453C3" w:rsidP="00A453C3">
      <w:pPr>
        <w:rPr>
          <w:rFonts w:eastAsia="MS Mincho"/>
          <w:szCs w:val="22"/>
          <w:lang w:val="lv-LV"/>
        </w:rPr>
      </w:pPr>
    </w:p>
    <w:p w14:paraId="669CC189" w14:textId="7D999D35" w:rsidR="00A453C3" w:rsidRDefault="00A453C3" w:rsidP="00A453C3">
      <w:pPr>
        <w:rPr>
          <w:rFonts w:eastAsia="MS Mincho"/>
          <w:szCs w:val="22"/>
          <w:lang w:val="lv-LV"/>
        </w:rPr>
      </w:pPr>
      <w:r>
        <w:rPr>
          <w:rFonts w:eastAsia="MS Mincho"/>
          <w:szCs w:val="22"/>
          <w:lang w:val="lv-LV"/>
        </w:rPr>
        <w:t>Ārstēšanas ietekme pacientiem bija līdzīga, neatkarīgi no reimatoīdā faktora statusa, vecuma, dzimuma, rases, iepriekš lietoto ārstēšanas līdzekļu skaita vai slimības stāvokļa. Laiks līdz iedarbības sākumam bija neliels (tā sākās jau 2. nedēļā), un atbildes reakcijas apjoms turpināja palielināties līdz ar ārstēšanas ilgumu. Nepārtrauktu ilgstošu atbildes reakciju novēroja vairāk nekā 3 gadus ilgos, atklātos I</w:t>
      </w:r>
      <w:r>
        <w:rPr>
          <w:rFonts w:eastAsia="MS Mincho"/>
          <w:szCs w:val="22"/>
          <w:lang w:val="lv-LV"/>
        </w:rPr>
        <w:noBreakHyphen/>
        <w:t>V pētījuma pagarinājumos.</w:t>
      </w:r>
    </w:p>
    <w:p w14:paraId="26B98CFF" w14:textId="77777777" w:rsidR="00A453C3" w:rsidRDefault="00A453C3" w:rsidP="00A453C3">
      <w:pPr>
        <w:rPr>
          <w:rFonts w:eastAsia="MS Mincho"/>
          <w:szCs w:val="22"/>
          <w:lang w:val="lv-LV"/>
        </w:rPr>
      </w:pPr>
    </w:p>
    <w:p w14:paraId="3762DF84" w14:textId="355D929A" w:rsidR="00A453C3" w:rsidRDefault="00A453C3" w:rsidP="00A453C3">
      <w:pPr>
        <w:rPr>
          <w:rFonts w:eastAsia="MS Mincho"/>
          <w:szCs w:val="22"/>
          <w:lang w:val="lv-LV"/>
        </w:rPr>
      </w:pPr>
      <w:r>
        <w:rPr>
          <w:rFonts w:eastAsia="MS Mincho"/>
          <w:szCs w:val="22"/>
          <w:lang w:val="lv-LV"/>
        </w:rPr>
        <w:t xml:space="preserve">Ar </w:t>
      </w:r>
      <w:r>
        <w:rPr>
          <w:szCs w:val="22"/>
          <w:lang w:val="lv-LV"/>
        </w:rPr>
        <w:t>tocilizumaba</w:t>
      </w:r>
      <w:r w:rsidDel="001D4271">
        <w:rPr>
          <w:szCs w:val="22"/>
          <w:lang w:val="lv-LV"/>
        </w:rPr>
        <w:t xml:space="preserve"> </w:t>
      </w:r>
      <w:r>
        <w:rPr>
          <w:szCs w:val="22"/>
          <w:lang w:val="lv-LV"/>
        </w:rPr>
        <w:t>8 mg/kg devu ārstētiem pacientiem konstatēja nozīmīgu visu atsevišķo ACR atbildes reakcijas komponentu uzlabošanos, kas ietver jutīgo un pietūkušo locītavu skaitu; pacienta un ārsta vispārējo slimības novērtējumu; invaliditātes indeksa punktu skaitu; sāpju novērtēšanu un CRO salīdzinājumā ar pacientiem, kuri saņem placebo un MTX vai citus DMARD visos pētījumos.</w:t>
      </w:r>
    </w:p>
    <w:p w14:paraId="67258C5D" w14:textId="77777777" w:rsidR="00A453C3" w:rsidRDefault="00A453C3" w:rsidP="00A453C3">
      <w:pPr>
        <w:rPr>
          <w:rFonts w:eastAsia="MS Mincho"/>
          <w:szCs w:val="22"/>
          <w:lang w:val="lv-LV"/>
        </w:rPr>
      </w:pPr>
    </w:p>
    <w:p w14:paraId="2686BB94" w14:textId="31B0407E" w:rsidR="00A453C3" w:rsidRDefault="00A453C3" w:rsidP="00A453C3">
      <w:pPr>
        <w:rPr>
          <w:rFonts w:eastAsia="MS Mincho"/>
          <w:szCs w:val="22"/>
          <w:lang w:val="lv-LV"/>
        </w:rPr>
      </w:pPr>
      <w:r>
        <w:rPr>
          <w:rFonts w:eastAsia="MS Mincho"/>
          <w:szCs w:val="22"/>
          <w:lang w:val="lv-LV"/>
        </w:rPr>
        <w:t>I</w:t>
      </w:r>
      <w:r>
        <w:rPr>
          <w:rFonts w:eastAsia="MS Mincho"/>
          <w:szCs w:val="22"/>
          <w:lang w:val="lv-LV"/>
        </w:rPr>
        <w:noBreakHyphen/>
        <w:t>V pētījumā iekļautajiem pacientiem pirms terapijas sākuma vidējais slimības aktivitātes vērtējuma punktu skaits (pēc DAS28 metodes) bija 6,5</w:t>
      </w:r>
      <w:r>
        <w:rPr>
          <w:rFonts w:eastAsia="MS Mincho"/>
          <w:szCs w:val="22"/>
          <w:lang w:val="lv-LV"/>
        </w:rPr>
        <w:noBreakHyphen/>
        <w:t>6,8 salīdzinājumā ar kontroles grupas pacientiem (1,3</w:t>
      </w:r>
      <w:r>
        <w:rPr>
          <w:rFonts w:eastAsia="MS Mincho"/>
          <w:szCs w:val="22"/>
          <w:lang w:val="lv-LV"/>
        </w:rPr>
        <w:noBreakHyphen/>
        <w:t>2,1). Ar tocilizumabu ārstētajiem pacientiem novēroja nozīmīgu pēc DAS28 veiktā vērtējuma punktu skaita samazinājumu (par 3,1</w:t>
      </w:r>
      <w:r>
        <w:rPr>
          <w:rFonts w:eastAsia="MS Mincho"/>
          <w:szCs w:val="22"/>
          <w:lang w:val="lv-LV"/>
        </w:rPr>
        <w:noBreakHyphen/>
        <w:t xml:space="preserve">3,4) salīdzinājumā ar stāvokli pirms terapijas sākuma. Pacientu īpatsvars, kas, vērtējot pēc DAS28, pēc 24 nedēļām sasniedza klīnisku remisiju (pēc DAS28 iegūto punktu skaits &lt; 2,6), bija ievērojami lielāks pacientiem, kuri saņēma </w:t>
      </w:r>
      <w:r>
        <w:rPr>
          <w:szCs w:val="22"/>
          <w:lang w:val="lv-LV"/>
        </w:rPr>
        <w:t>tocilizumabu</w:t>
      </w:r>
      <w:r w:rsidRPr="002607ED">
        <w:rPr>
          <w:szCs w:val="22"/>
          <w:lang w:val="lv-LV"/>
        </w:rPr>
        <w:t xml:space="preserve"> </w:t>
      </w:r>
      <w:r>
        <w:rPr>
          <w:rFonts w:eastAsia="MS Mincho"/>
          <w:szCs w:val="22"/>
          <w:lang w:val="lv-LV"/>
        </w:rPr>
        <w:t>(28</w:t>
      </w:r>
      <w:r>
        <w:rPr>
          <w:rFonts w:eastAsia="MS Mincho"/>
          <w:szCs w:val="22"/>
          <w:lang w:val="lv-LV"/>
        </w:rPr>
        <w:noBreakHyphen/>
        <w:t>34%), nekā kontroles pacientu grupā (1</w:t>
      </w:r>
      <w:r>
        <w:rPr>
          <w:rFonts w:eastAsia="MS Mincho"/>
          <w:szCs w:val="22"/>
          <w:lang w:val="lv-LV"/>
        </w:rPr>
        <w:noBreakHyphen/>
        <w:t xml:space="preserve">12% pacientu). II pētījumā pēc 104 nedēļām DAS28 &lt; 2,6 sasniedza 65% pacientu, salīdzinot ar 48% pacientu pēc 52 nedēļām un 33% pacientu pēc 24 nedēļām. </w:t>
      </w:r>
    </w:p>
    <w:p w14:paraId="19D6F6E8" w14:textId="77777777" w:rsidR="00A453C3" w:rsidRDefault="00A453C3" w:rsidP="00A453C3">
      <w:pPr>
        <w:rPr>
          <w:rFonts w:eastAsia="MS Mincho"/>
          <w:szCs w:val="22"/>
          <w:lang w:val="lv-LV"/>
        </w:rPr>
      </w:pPr>
    </w:p>
    <w:p w14:paraId="66CAE976" w14:textId="54B94BD7" w:rsidR="00A453C3" w:rsidRDefault="00A453C3" w:rsidP="00A453C3">
      <w:pPr>
        <w:rPr>
          <w:rFonts w:eastAsia="MS Mincho"/>
          <w:szCs w:val="22"/>
          <w:lang w:val="lv-LV"/>
        </w:rPr>
      </w:pPr>
      <w:r>
        <w:rPr>
          <w:rFonts w:eastAsia="MS Mincho"/>
          <w:szCs w:val="22"/>
          <w:lang w:val="lv-LV"/>
        </w:rPr>
        <w:t xml:space="preserve">II, III un IV pētījumu apvienotā analīzē pacientu īpatsvars, kas sasniedza ACR 20, 50 un 70 atbildes reakciju bija nozīmīgi lielāks (attiecīgi 59% salīdzinājumā ar 50%, 37% salīdzinājumā ar 27%, 18% salīdzinājumā ar 11%) tocilizumaba 8 mg/kg devas plus DMARD terapijas grupā nekā tocilizumaba 4 mg/kg devas plus DMARD grupā (p &lt; 0,03). Līdzīgi pacientu īpatsvars, kas sasniedza DAS28 remisiju (DAS28 &lt; 2,6) bija nozīmīgi lielāks (attiecīgi 31% salīdzinājumā ar 16%) pacientiem, kuri saņēma </w:t>
      </w:r>
      <w:r>
        <w:rPr>
          <w:szCs w:val="22"/>
          <w:lang w:val="lv-LV"/>
        </w:rPr>
        <w:t>tocilizumaba</w:t>
      </w:r>
      <w:r w:rsidDel="001D4271">
        <w:rPr>
          <w:szCs w:val="22"/>
          <w:lang w:val="lv-LV"/>
        </w:rPr>
        <w:t xml:space="preserve"> </w:t>
      </w:r>
      <w:r>
        <w:rPr>
          <w:rFonts w:eastAsia="MS Mincho"/>
          <w:szCs w:val="22"/>
          <w:lang w:val="lv-LV"/>
        </w:rPr>
        <w:t xml:space="preserve">8 mg/kg devu un DMARD nekā pacientiem, kuri saņēma tocilizumaba 4 mg/kg </w:t>
      </w:r>
      <w:r>
        <w:rPr>
          <w:szCs w:val="22"/>
          <w:lang w:val="lv-LV"/>
        </w:rPr>
        <w:t>devu</w:t>
      </w:r>
      <w:r w:rsidDel="001D4271">
        <w:rPr>
          <w:szCs w:val="22"/>
          <w:lang w:val="lv-LV"/>
        </w:rPr>
        <w:t xml:space="preserve"> </w:t>
      </w:r>
      <w:r>
        <w:rPr>
          <w:rFonts w:eastAsia="MS Mincho"/>
          <w:szCs w:val="22"/>
          <w:lang w:val="lv-LV"/>
        </w:rPr>
        <w:t>un DMARD (p &lt; 0,0001).</w:t>
      </w:r>
    </w:p>
    <w:p w14:paraId="116B4324" w14:textId="77777777" w:rsidR="00A453C3" w:rsidRPr="00DD7A4F" w:rsidRDefault="00A453C3" w:rsidP="00A453C3">
      <w:pPr>
        <w:rPr>
          <w:rFonts w:eastAsia="MS Mincho"/>
          <w:szCs w:val="22"/>
          <w:lang w:val="lv-LV"/>
        </w:rPr>
      </w:pPr>
    </w:p>
    <w:p w14:paraId="5AFB6570" w14:textId="4891AA67" w:rsidR="00A453C3" w:rsidRDefault="00A453C3" w:rsidP="00A453C3">
      <w:pPr>
        <w:keepNext/>
        <w:keepLines/>
        <w:suppressLineNumbers/>
        <w:ind w:left="924" w:hanging="924"/>
        <w:rPr>
          <w:bCs/>
          <w:i/>
          <w:szCs w:val="22"/>
          <w:lang w:val="lv-LV"/>
        </w:rPr>
      </w:pPr>
      <w:r>
        <w:rPr>
          <w:bCs/>
          <w:i/>
          <w:szCs w:val="22"/>
          <w:lang w:val="lv-LV"/>
        </w:rPr>
        <w:t>5</w:t>
      </w:r>
      <w:r w:rsidRPr="00DD7A4F">
        <w:rPr>
          <w:bCs/>
          <w:i/>
          <w:szCs w:val="22"/>
          <w:lang w:val="lv-LV"/>
        </w:rPr>
        <w:t>. tabula. ACR atbildes reakcija placebo / MTX / DMARD kontrolētos pētījumos (% pacientu)</w:t>
      </w:r>
    </w:p>
    <w:p w14:paraId="796F5DB7" w14:textId="77777777" w:rsidR="00A453C3" w:rsidRPr="00DD7A4F" w:rsidRDefault="00A453C3" w:rsidP="00A453C3">
      <w:pPr>
        <w:keepNext/>
        <w:keepLines/>
        <w:suppressLineNumbers/>
        <w:ind w:left="924" w:hanging="924"/>
        <w:rPr>
          <w:szCs w:val="22"/>
          <w:lang w:val="lv-LV"/>
        </w:rPr>
      </w:pPr>
    </w:p>
    <w:tbl>
      <w:tblPr>
        <w:tblW w:w="9317" w:type="dxa"/>
        <w:tblInd w:w="-15" w:type="dxa"/>
        <w:tblLayout w:type="fixed"/>
        <w:tblLook w:val="0000" w:firstRow="0" w:lastRow="0" w:firstColumn="0" w:lastColumn="0" w:noHBand="0" w:noVBand="0"/>
        <w:tblPrChange w:id="1104" w:author="Author">
          <w:tblPr>
            <w:tblW w:w="9317" w:type="dxa"/>
            <w:tblInd w:w="-15" w:type="dxa"/>
            <w:tblLayout w:type="fixed"/>
            <w:tblLook w:val="0000" w:firstRow="0" w:lastRow="0" w:firstColumn="0" w:lastColumn="0" w:noHBand="0" w:noVBand="0"/>
          </w:tblPr>
        </w:tblPrChange>
      </w:tblPr>
      <w:tblGrid>
        <w:gridCol w:w="744"/>
        <w:gridCol w:w="28"/>
        <w:gridCol w:w="922"/>
        <w:gridCol w:w="839"/>
        <w:gridCol w:w="738"/>
        <w:gridCol w:w="782"/>
        <w:gridCol w:w="919"/>
        <w:gridCol w:w="769"/>
        <w:gridCol w:w="929"/>
        <w:gridCol w:w="920"/>
        <w:gridCol w:w="11"/>
        <w:gridCol w:w="914"/>
        <w:gridCol w:w="802"/>
        <w:tblGridChange w:id="1105">
          <w:tblGrid>
            <w:gridCol w:w="165"/>
            <w:gridCol w:w="579"/>
            <w:gridCol w:w="165"/>
            <w:gridCol w:w="28"/>
            <w:gridCol w:w="757"/>
            <w:gridCol w:w="165"/>
            <w:gridCol w:w="671"/>
            <w:gridCol w:w="3"/>
            <w:gridCol w:w="738"/>
            <w:gridCol w:w="165"/>
            <w:gridCol w:w="617"/>
            <w:gridCol w:w="165"/>
            <w:gridCol w:w="754"/>
            <w:gridCol w:w="165"/>
            <w:gridCol w:w="604"/>
            <w:gridCol w:w="165"/>
            <w:gridCol w:w="764"/>
            <w:gridCol w:w="165"/>
            <w:gridCol w:w="766"/>
            <w:gridCol w:w="154"/>
            <w:gridCol w:w="11"/>
            <w:gridCol w:w="749"/>
            <w:gridCol w:w="165"/>
            <w:gridCol w:w="637"/>
            <w:gridCol w:w="165"/>
          </w:tblGrid>
        </w:tblGridChange>
      </w:tblGrid>
      <w:tr w:rsidR="00A453C3" w:rsidRPr="00CA547A" w14:paraId="421688AA" w14:textId="77777777" w:rsidTr="002007A3">
        <w:trPr>
          <w:trHeight w:val="463"/>
          <w:trPrChange w:id="1106" w:author="Author">
            <w:trPr>
              <w:gridBefore w:val="1"/>
              <w:trHeight w:val="463"/>
            </w:trPr>
          </w:trPrChange>
        </w:trPr>
        <w:tc>
          <w:tcPr>
            <w:tcW w:w="744" w:type="dxa"/>
            <w:tcBorders>
              <w:top w:val="single" w:sz="4" w:space="0" w:color="000000"/>
              <w:left w:val="single" w:sz="4" w:space="0" w:color="000000"/>
              <w:bottom w:val="single" w:sz="4" w:space="0" w:color="000000"/>
            </w:tcBorders>
            <w:tcPrChange w:id="1107" w:author="Author">
              <w:tcPr>
                <w:tcW w:w="744" w:type="dxa"/>
                <w:gridSpan w:val="2"/>
                <w:tcBorders>
                  <w:top w:val="single" w:sz="4" w:space="0" w:color="000000"/>
                  <w:left w:val="single" w:sz="4" w:space="0" w:color="000000"/>
                  <w:bottom w:val="single" w:sz="4" w:space="0" w:color="000000"/>
                </w:tcBorders>
              </w:tcPr>
            </w:tcPrChange>
          </w:tcPr>
          <w:p w14:paraId="406B2220" w14:textId="77777777" w:rsidR="00A453C3" w:rsidRPr="00707120" w:rsidRDefault="00A453C3" w:rsidP="0067693D">
            <w:pPr>
              <w:keepNext/>
              <w:keepLines/>
              <w:suppressLineNumbers/>
              <w:snapToGrid w:val="0"/>
              <w:ind w:right="-2"/>
              <w:jc w:val="center"/>
              <w:rPr>
                <w:sz w:val="20"/>
                <w:lang w:val="lv-LV"/>
              </w:rPr>
            </w:pPr>
          </w:p>
        </w:tc>
        <w:tc>
          <w:tcPr>
            <w:tcW w:w="1789" w:type="dxa"/>
            <w:gridSpan w:val="3"/>
            <w:tcBorders>
              <w:top w:val="single" w:sz="4" w:space="0" w:color="000000"/>
              <w:left w:val="single" w:sz="4" w:space="0" w:color="000000"/>
              <w:bottom w:val="single" w:sz="4" w:space="0" w:color="000000"/>
            </w:tcBorders>
            <w:tcPrChange w:id="1108" w:author="Author">
              <w:tcPr>
                <w:tcW w:w="1621" w:type="dxa"/>
                <w:gridSpan w:val="4"/>
                <w:tcBorders>
                  <w:top w:val="single" w:sz="4" w:space="0" w:color="000000"/>
                  <w:left w:val="single" w:sz="4" w:space="0" w:color="000000"/>
                  <w:bottom w:val="single" w:sz="4" w:space="0" w:color="000000"/>
                </w:tcBorders>
              </w:tcPr>
            </w:tcPrChange>
          </w:tcPr>
          <w:p w14:paraId="69090E26" w14:textId="77777777" w:rsidR="00A453C3" w:rsidRPr="00707120" w:rsidRDefault="00A453C3" w:rsidP="0067693D">
            <w:pPr>
              <w:keepNext/>
              <w:keepLines/>
              <w:suppressLineNumbers/>
              <w:ind w:right="-2"/>
              <w:jc w:val="center"/>
              <w:rPr>
                <w:b/>
                <w:bCs/>
                <w:sz w:val="20"/>
                <w:lang w:val="lv-LV"/>
              </w:rPr>
            </w:pPr>
            <w:r w:rsidRPr="00707120">
              <w:rPr>
                <w:b/>
                <w:bCs/>
                <w:sz w:val="20"/>
                <w:lang w:val="lv-LV"/>
              </w:rPr>
              <w:t>I pētījums</w:t>
            </w:r>
          </w:p>
          <w:p w14:paraId="1B70B08F" w14:textId="77777777" w:rsidR="00A453C3" w:rsidRPr="00707120" w:rsidRDefault="00A453C3" w:rsidP="0067693D">
            <w:pPr>
              <w:keepNext/>
              <w:keepLines/>
              <w:suppressLineNumbers/>
              <w:ind w:right="-2"/>
              <w:jc w:val="center"/>
              <w:rPr>
                <w:b/>
                <w:bCs/>
                <w:sz w:val="20"/>
                <w:lang w:val="lv-LV"/>
              </w:rPr>
            </w:pPr>
            <w:r w:rsidRPr="00707120">
              <w:rPr>
                <w:b/>
                <w:bCs/>
                <w:sz w:val="20"/>
                <w:lang w:val="lv-LV"/>
              </w:rPr>
              <w:t>AMBITION</w:t>
            </w:r>
          </w:p>
        </w:tc>
        <w:tc>
          <w:tcPr>
            <w:tcW w:w="1520" w:type="dxa"/>
            <w:gridSpan w:val="2"/>
            <w:tcBorders>
              <w:top w:val="single" w:sz="4" w:space="0" w:color="000000"/>
              <w:left w:val="single" w:sz="4" w:space="0" w:color="000000"/>
              <w:bottom w:val="single" w:sz="4" w:space="0" w:color="000000"/>
            </w:tcBorders>
            <w:tcPrChange w:id="1109" w:author="Author">
              <w:tcPr>
                <w:tcW w:w="1688" w:type="dxa"/>
                <w:gridSpan w:val="5"/>
                <w:tcBorders>
                  <w:top w:val="single" w:sz="4" w:space="0" w:color="000000"/>
                  <w:left w:val="single" w:sz="4" w:space="0" w:color="000000"/>
                  <w:bottom w:val="single" w:sz="4" w:space="0" w:color="000000"/>
                </w:tcBorders>
              </w:tcPr>
            </w:tcPrChange>
          </w:tcPr>
          <w:p w14:paraId="4D320EE0" w14:textId="77777777" w:rsidR="00A453C3" w:rsidRPr="00707120" w:rsidRDefault="00A453C3" w:rsidP="0067693D">
            <w:pPr>
              <w:keepNext/>
              <w:keepLines/>
              <w:suppressLineNumbers/>
              <w:ind w:right="-2"/>
              <w:jc w:val="center"/>
              <w:rPr>
                <w:b/>
                <w:bCs/>
                <w:sz w:val="20"/>
                <w:lang w:val="lv-LV"/>
              </w:rPr>
            </w:pPr>
            <w:r w:rsidRPr="00707120">
              <w:rPr>
                <w:b/>
                <w:bCs/>
                <w:sz w:val="20"/>
                <w:lang w:val="lv-LV"/>
              </w:rPr>
              <w:t>II pētījums</w:t>
            </w:r>
          </w:p>
          <w:p w14:paraId="147198AB" w14:textId="77777777" w:rsidR="00A453C3" w:rsidRPr="00707120" w:rsidRDefault="00A453C3" w:rsidP="0067693D">
            <w:pPr>
              <w:keepNext/>
              <w:keepLines/>
              <w:suppressLineNumbers/>
              <w:ind w:right="-2"/>
              <w:jc w:val="center"/>
              <w:rPr>
                <w:b/>
                <w:bCs/>
                <w:sz w:val="20"/>
                <w:lang w:val="lv-LV"/>
              </w:rPr>
            </w:pPr>
            <w:r w:rsidRPr="00707120">
              <w:rPr>
                <w:b/>
                <w:bCs/>
                <w:sz w:val="20"/>
                <w:lang w:val="lv-LV"/>
              </w:rPr>
              <w:t>LITHE</w:t>
            </w:r>
          </w:p>
        </w:tc>
        <w:tc>
          <w:tcPr>
            <w:tcW w:w="1688" w:type="dxa"/>
            <w:gridSpan w:val="2"/>
            <w:tcBorders>
              <w:top w:val="single" w:sz="4" w:space="0" w:color="000000"/>
              <w:left w:val="single" w:sz="4" w:space="0" w:color="000000"/>
              <w:bottom w:val="single" w:sz="4" w:space="0" w:color="000000"/>
            </w:tcBorders>
            <w:tcPrChange w:id="1110" w:author="Author">
              <w:tcPr>
                <w:tcW w:w="1688" w:type="dxa"/>
                <w:gridSpan w:val="4"/>
                <w:tcBorders>
                  <w:top w:val="single" w:sz="4" w:space="0" w:color="000000"/>
                  <w:left w:val="single" w:sz="4" w:space="0" w:color="000000"/>
                  <w:bottom w:val="single" w:sz="4" w:space="0" w:color="000000"/>
                </w:tcBorders>
              </w:tcPr>
            </w:tcPrChange>
          </w:tcPr>
          <w:p w14:paraId="64FAA42C" w14:textId="77777777" w:rsidR="00A453C3" w:rsidRPr="00707120" w:rsidRDefault="00A453C3" w:rsidP="0067693D">
            <w:pPr>
              <w:keepNext/>
              <w:keepLines/>
              <w:suppressLineNumbers/>
              <w:ind w:right="-2"/>
              <w:jc w:val="center"/>
              <w:rPr>
                <w:b/>
                <w:bCs/>
                <w:sz w:val="20"/>
                <w:lang w:val="lv-LV"/>
              </w:rPr>
            </w:pPr>
            <w:r w:rsidRPr="00707120">
              <w:rPr>
                <w:b/>
                <w:bCs/>
                <w:sz w:val="20"/>
                <w:lang w:val="lv-LV"/>
              </w:rPr>
              <w:t>III pētījums</w:t>
            </w:r>
          </w:p>
          <w:p w14:paraId="7E7913D5" w14:textId="77777777" w:rsidR="00A453C3" w:rsidRPr="00707120" w:rsidRDefault="00A453C3" w:rsidP="0067693D">
            <w:pPr>
              <w:keepNext/>
              <w:keepLines/>
              <w:suppressLineNumbers/>
              <w:ind w:right="-2"/>
              <w:jc w:val="center"/>
              <w:rPr>
                <w:b/>
                <w:bCs/>
                <w:sz w:val="20"/>
                <w:lang w:val="lv-LV"/>
              </w:rPr>
            </w:pPr>
            <w:r w:rsidRPr="00707120">
              <w:rPr>
                <w:b/>
                <w:bCs/>
                <w:sz w:val="20"/>
                <w:lang w:val="lv-LV"/>
              </w:rPr>
              <w:t>OPTION</w:t>
            </w:r>
          </w:p>
        </w:tc>
        <w:tc>
          <w:tcPr>
            <w:tcW w:w="1860" w:type="dxa"/>
            <w:gridSpan w:val="3"/>
            <w:tcBorders>
              <w:top w:val="single" w:sz="4" w:space="0" w:color="000000"/>
              <w:left w:val="single" w:sz="4" w:space="0" w:color="000000"/>
              <w:bottom w:val="single" w:sz="4" w:space="0" w:color="000000"/>
            </w:tcBorders>
            <w:tcPrChange w:id="1111" w:author="Author">
              <w:tcPr>
                <w:tcW w:w="1860" w:type="dxa"/>
                <w:gridSpan w:val="5"/>
                <w:tcBorders>
                  <w:top w:val="single" w:sz="4" w:space="0" w:color="000000"/>
                  <w:left w:val="single" w:sz="4" w:space="0" w:color="000000"/>
                  <w:bottom w:val="single" w:sz="4" w:space="0" w:color="000000"/>
                </w:tcBorders>
              </w:tcPr>
            </w:tcPrChange>
          </w:tcPr>
          <w:p w14:paraId="05FAC925" w14:textId="77777777" w:rsidR="00A453C3" w:rsidRPr="00707120" w:rsidRDefault="00A453C3" w:rsidP="0067693D">
            <w:pPr>
              <w:keepNext/>
              <w:keepLines/>
              <w:suppressLineNumbers/>
              <w:ind w:right="-2"/>
              <w:jc w:val="center"/>
              <w:rPr>
                <w:b/>
                <w:bCs/>
                <w:sz w:val="20"/>
                <w:lang w:val="lv-LV"/>
              </w:rPr>
            </w:pPr>
            <w:r w:rsidRPr="00707120">
              <w:rPr>
                <w:b/>
                <w:bCs/>
                <w:sz w:val="20"/>
                <w:lang w:val="lv-LV"/>
              </w:rPr>
              <w:t>IV pētījums</w:t>
            </w:r>
          </w:p>
          <w:p w14:paraId="0103402D" w14:textId="77777777" w:rsidR="00A453C3" w:rsidRPr="00707120" w:rsidRDefault="00A453C3" w:rsidP="0067693D">
            <w:pPr>
              <w:keepNext/>
              <w:keepLines/>
              <w:suppressLineNumbers/>
              <w:ind w:right="-2"/>
              <w:jc w:val="center"/>
              <w:rPr>
                <w:b/>
                <w:bCs/>
                <w:sz w:val="20"/>
                <w:lang w:val="lv-LV"/>
              </w:rPr>
            </w:pPr>
            <w:r w:rsidRPr="00707120">
              <w:rPr>
                <w:b/>
                <w:bCs/>
                <w:sz w:val="20"/>
                <w:lang w:val="lv-LV"/>
              </w:rPr>
              <w:t>TOWARD</w:t>
            </w:r>
          </w:p>
        </w:tc>
        <w:tc>
          <w:tcPr>
            <w:tcW w:w="1716" w:type="dxa"/>
            <w:gridSpan w:val="2"/>
            <w:tcBorders>
              <w:top w:val="single" w:sz="4" w:space="0" w:color="000000"/>
              <w:left w:val="single" w:sz="4" w:space="0" w:color="000000"/>
              <w:bottom w:val="single" w:sz="4" w:space="0" w:color="000000"/>
              <w:right w:val="single" w:sz="4" w:space="0" w:color="000000"/>
            </w:tcBorders>
            <w:tcPrChange w:id="1112" w:author="Author">
              <w:tcPr>
                <w:tcW w:w="1716" w:type="dxa"/>
                <w:gridSpan w:val="4"/>
                <w:tcBorders>
                  <w:top w:val="single" w:sz="4" w:space="0" w:color="000000"/>
                  <w:left w:val="single" w:sz="4" w:space="0" w:color="000000"/>
                  <w:bottom w:val="single" w:sz="4" w:space="0" w:color="000000"/>
                  <w:right w:val="single" w:sz="4" w:space="0" w:color="000000"/>
                </w:tcBorders>
              </w:tcPr>
            </w:tcPrChange>
          </w:tcPr>
          <w:p w14:paraId="74C1A682" w14:textId="77777777" w:rsidR="00A453C3" w:rsidRPr="00707120" w:rsidRDefault="00A453C3" w:rsidP="0067693D">
            <w:pPr>
              <w:keepNext/>
              <w:keepLines/>
              <w:suppressLineNumbers/>
              <w:ind w:right="-2"/>
              <w:jc w:val="center"/>
              <w:rPr>
                <w:b/>
                <w:bCs/>
                <w:sz w:val="20"/>
                <w:lang w:val="lv-LV"/>
              </w:rPr>
            </w:pPr>
            <w:r w:rsidRPr="00707120">
              <w:rPr>
                <w:b/>
                <w:bCs/>
                <w:sz w:val="20"/>
                <w:lang w:val="lv-LV"/>
              </w:rPr>
              <w:t>V pētījums</w:t>
            </w:r>
          </w:p>
          <w:p w14:paraId="441DB0DB" w14:textId="77777777" w:rsidR="00A453C3" w:rsidRPr="00707120" w:rsidRDefault="00A453C3" w:rsidP="0067693D">
            <w:pPr>
              <w:keepNext/>
              <w:keepLines/>
              <w:suppressLineNumbers/>
              <w:ind w:right="-2"/>
              <w:jc w:val="center"/>
              <w:rPr>
                <w:b/>
                <w:bCs/>
                <w:sz w:val="20"/>
                <w:lang w:val="lv-LV"/>
              </w:rPr>
            </w:pPr>
            <w:r w:rsidRPr="00707120">
              <w:rPr>
                <w:b/>
                <w:bCs/>
                <w:sz w:val="20"/>
                <w:lang w:val="lv-LV"/>
              </w:rPr>
              <w:t>RADIATE</w:t>
            </w:r>
          </w:p>
        </w:tc>
      </w:tr>
      <w:tr w:rsidR="00A453C3" w:rsidRPr="00CA547A" w14:paraId="7ADE0D36" w14:textId="77777777" w:rsidTr="002007A3">
        <w:trPr>
          <w:trHeight w:val="737"/>
          <w:trPrChange w:id="1113" w:author="Author">
            <w:trPr>
              <w:gridBefore w:val="1"/>
              <w:trHeight w:val="737"/>
            </w:trPr>
          </w:trPrChange>
        </w:trPr>
        <w:tc>
          <w:tcPr>
            <w:tcW w:w="744" w:type="dxa"/>
            <w:tcBorders>
              <w:top w:val="single" w:sz="4" w:space="0" w:color="000000"/>
              <w:left w:val="single" w:sz="4" w:space="0" w:color="000000"/>
              <w:bottom w:val="single" w:sz="4" w:space="0" w:color="000000"/>
            </w:tcBorders>
            <w:tcPrChange w:id="1114" w:author="Author">
              <w:tcPr>
                <w:tcW w:w="744" w:type="dxa"/>
                <w:gridSpan w:val="2"/>
                <w:tcBorders>
                  <w:top w:val="single" w:sz="4" w:space="0" w:color="000000"/>
                  <w:left w:val="single" w:sz="4" w:space="0" w:color="000000"/>
                  <w:bottom w:val="single" w:sz="4" w:space="0" w:color="000000"/>
                </w:tcBorders>
              </w:tcPr>
            </w:tcPrChange>
          </w:tcPr>
          <w:p w14:paraId="7585CA0E" w14:textId="77777777" w:rsidR="00A453C3" w:rsidRPr="00707120" w:rsidRDefault="00A453C3" w:rsidP="0067693D">
            <w:pPr>
              <w:keepNext/>
              <w:keepLines/>
              <w:suppressLineNumbers/>
              <w:ind w:right="-2"/>
              <w:jc w:val="center"/>
              <w:rPr>
                <w:bCs/>
                <w:sz w:val="20"/>
                <w:lang w:val="lv-LV"/>
              </w:rPr>
            </w:pPr>
            <w:r w:rsidRPr="00707120">
              <w:rPr>
                <w:bCs/>
                <w:sz w:val="20"/>
                <w:lang w:val="lv-LV"/>
              </w:rPr>
              <w:t>Nedēļa</w:t>
            </w:r>
          </w:p>
        </w:tc>
        <w:tc>
          <w:tcPr>
            <w:tcW w:w="950" w:type="dxa"/>
            <w:gridSpan w:val="2"/>
            <w:tcBorders>
              <w:top w:val="single" w:sz="4" w:space="0" w:color="000000"/>
              <w:left w:val="single" w:sz="4" w:space="0" w:color="000000"/>
              <w:bottom w:val="single" w:sz="4" w:space="0" w:color="000000"/>
            </w:tcBorders>
            <w:tcPrChange w:id="1115" w:author="Author">
              <w:tcPr>
                <w:tcW w:w="950" w:type="dxa"/>
                <w:gridSpan w:val="3"/>
                <w:tcBorders>
                  <w:top w:val="single" w:sz="4" w:space="0" w:color="000000"/>
                  <w:left w:val="single" w:sz="4" w:space="0" w:color="000000"/>
                  <w:bottom w:val="single" w:sz="4" w:space="0" w:color="000000"/>
                </w:tcBorders>
              </w:tcPr>
            </w:tcPrChange>
          </w:tcPr>
          <w:p w14:paraId="28A5754C" w14:textId="77777777" w:rsidR="00A453C3" w:rsidRPr="00707120" w:rsidRDefault="00A453C3" w:rsidP="0067693D">
            <w:pPr>
              <w:keepNext/>
              <w:keepLines/>
              <w:suppressLineNumbers/>
              <w:ind w:right="-2"/>
              <w:jc w:val="center"/>
              <w:rPr>
                <w:b/>
                <w:bCs/>
                <w:sz w:val="20"/>
                <w:lang w:val="lv-LV"/>
              </w:rPr>
            </w:pPr>
            <w:r w:rsidRPr="00707120">
              <w:rPr>
                <w:b/>
                <w:bCs/>
                <w:sz w:val="20"/>
                <w:lang w:val="lv-LV"/>
              </w:rPr>
              <w:t>TCZ</w:t>
            </w:r>
          </w:p>
          <w:p w14:paraId="6E91A1F9" w14:textId="77777777" w:rsidR="00A453C3" w:rsidRPr="00707120" w:rsidRDefault="00A453C3" w:rsidP="0067693D">
            <w:pPr>
              <w:keepNext/>
              <w:keepLines/>
              <w:suppressLineNumbers/>
              <w:ind w:right="-2"/>
              <w:jc w:val="center"/>
              <w:rPr>
                <w:b/>
                <w:bCs/>
                <w:sz w:val="20"/>
                <w:lang w:val="lv-LV"/>
              </w:rPr>
            </w:pPr>
            <w:r w:rsidRPr="00707120">
              <w:rPr>
                <w:b/>
                <w:bCs/>
                <w:sz w:val="20"/>
                <w:lang w:val="lv-LV"/>
              </w:rPr>
              <w:t>8 mg/kg</w:t>
            </w:r>
          </w:p>
        </w:tc>
        <w:tc>
          <w:tcPr>
            <w:tcW w:w="839" w:type="dxa"/>
            <w:tcBorders>
              <w:top w:val="single" w:sz="4" w:space="0" w:color="000000"/>
              <w:left w:val="single" w:sz="4" w:space="0" w:color="000000"/>
              <w:bottom w:val="single" w:sz="4" w:space="0" w:color="000000"/>
            </w:tcBorders>
            <w:tcPrChange w:id="1116" w:author="Author">
              <w:tcPr>
                <w:tcW w:w="671" w:type="dxa"/>
                <w:tcBorders>
                  <w:top w:val="single" w:sz="4" w:space="0" w:color="000000"/>
                  <w:left w:val="single" w:sz="4" w:space="0" w:color="000000"/>
                  <w:bottom w:val="single" w:sz="4" w:space="0" w:color="000000"/>
                </w:tcBorders>
              </w:tcPr>
            </w:tcPrChange>
          </w:tcPr>
          <w:p w14:paraId="63FFC497" w14:textId="77777777" w:rsidR="00A453C3" w:rsidRPr="00707120" w:rsidRDefault="00A453C3" w:rsidP="0067693D">
            <w:pPr>
              <w:keepNext/>
              <w:keepLines/>
              <w:suppressLineNumbers/>
              <w:ind w:right="-2"/>
              <w:jc w:val="center"/>
              <w:rPr>
                <w:b/>
                <w:bCs/>
                <w:sz w:val="20"/>
                <w:lang w:val="lv-LV"/>
              </w:rPr>
            </w:pPr>
            <w:r w:rsidRPr="00707120">
              <w:rPr>
                <w:b/>
                <w:bCs/>
                <w:sz w:val="20"/>
                <w:lang w:val="lv-LV"/>
              </w:rPr>
              <w:t>MTX</w:t>
            </w:r>
          </w:p>
        </w:tc>
        <w:tc>
          <w:tcPr>
            <w:tcW w:w="738" w:type="dxa"/>
            <w:tcBorders>
              <w:top w:val="single" w:sz="4" w:space="0" w:color="000000"/>
              <w:left w:val="single" w:sz="4" w:space="0" w:color="000000"/>
              <w:bottom w:val="single" w:sz="4" w:space="0" w:color="000000"/>
            </w:tcBorders>
            <w:tcPrChange w:id="1117" w:author="Author">
              <w:tcPr>
                <w:tcW w:w="906" w:type="dxa"/>
                <w:gridSpan w:val="3"/>
                <w:tcBorders>
                  <w:top w:val="single" w:sz="4" w:space="0" w:color="000000"/>
                  <w:left w:val="single" w:sz="4" w:space="0" w:color="000000"/>
                  <w:bottom w:val="single" w:sz="4" w:space="0" w:color="000000"/>
                </w:tcBorders>
              </w:tcPr>
            </w:tcPrChange>
          </w:tcPr>
          <w:p w14:paraId="6625CDDD" w14:textId="77777777" w:rsidR="00A453C3" w:rsidRPr="00707120" w:rsidRDefault="00A453C3" w:rsidP="0067693D">
            <w:pPr>
              <w:keepNext/>
              <w:keepLines/>
              <w:suppressLineNumbers/>
              <w:ind w:right="-2"/>
              <w:jc w:val="center"/>
              <w:rPr>
                <w:b/>
                <w:bCs/>
                <w:sz w:val="20"/>
                <w:lang w:val="lv-LV"/>
              </w:rPr>
            </w:pPr>
            <w:r w:rsidRPr="00707120">
              <w:rPr>
                <w:b/>
                <w:bCs/>
                <w:sz w:val="20"/>
                <w:lang w:val="lv-LV"/>
              </w:rPr>
              <w:t>TCZ</w:t>
            </w:r>
          </w:p>
          <w:p w14:paraId="53577E89" w14:textId="77777777" w:rsidR="00A453C3" w:rsidRPr="00707120" w:rsidRDefault="00A453C3" w:rsidP="0067693D">
            <w:pPr>
              <w:keepNext/>
              <w:keepLines/>
              <w:suppressLineNumbers/>
              <w:ind w:right="-2"/>
              <w:jc w:val="center"/>
              <w:rPr>
                <w:b/>
                <w:bCs/>
                <w:sz w:val="20"/>
                <w:lang w:val="lv-LV"/>
              </w:rPr>
            </w:pPr>
            <w:r w:rsidRPr="00707120">
              <w:rPr>
                <w:b/>
                <w:bCs/>
                <w:sz w:val="20"/>
                <w:lang w:val="lv-LV"/>
              </w:rPr>
              <w:t>8 mg/kg + MTX</w:t>
            </w:r>
          </w:p>
        </w:tc>
        <w:tc>
          <w:tcPr>
            <w:tcW w:w="782" w:type="dxa"/>
            <w:tcBorders>
              <w:top w:val="single" w:sz="4" w:space="0" w:color="000000"/>
              <w:left w:val="single" w:sz="4" w:space="0" w:color="000000"/>
              <w:bottom w:val="single" w:sz="4" w:space="0" w:color="000000"/>
            </w:tcBorders>
            <w:tcPrChange w:id="1118" w:author="Author">
              <w:tcPr>
                <w:tcW w:w="782" w:type="dxa"/>
                <w:gridSpan w:val="2"/>
                <w:tcBorders>
                  <w:top w:val="single" w:sz="4" w:space="0" w:color="000000"/>
                  <w:left w:val="single" w:sz="4" w:space="0" w:color="000000"/>
                  <w:bottom w:val="single" w:sz="4" w:space="0" w:color="000000"/>
                </w:tcBorders>
              </w:tcPr>
            </w:tcPrChange>
          </w:tcPr>
          <w:p w14:paraId="5E9E3325" w14:textId="77777777" w:rsidR="00A453C3" w:rsidRPr="00707120" w:rsidRDefault="00A453C3" w:rsidP="0067693D">
            <w:pPr>
              <w:keepNext/>
              <w:keepLines/>
              <w:suppressLineNumbers/>
              <w:ind w:right="-2"/>
              <w:jc w:val="center"/>
              <w:rPr>
                <w:b/>
                <w:bCs/>
                <w:sz w:val="20"/>
                <w:lang w:val="lv-LV"/>
              </w:rPr>
            </w:pPr>
            <w:r w:rsidRPr="00707120">
              <w:rPr>
                <w:b/>
                <w:bCs/>
                <w:sz w:val="20"/>
                <w:lang w:val="lv-LV"/>
              </w:rPr>
              <w:t>PBO + MTX</w:t>
            </w:r>
          </w:p>
        </w:tc>
        <w:tc>
          <w:tcPr>
            <w:tcW w:w="919" w:type="dxa"/>
            <w:tcBorders>
              <w:top w:val="single" w:sz="4" w:space="0" w:color="000000"/>
              <w:left w:val="single" w:sz="4" w:space="0" w:color="000000"/>
              <w:bottom w:val="single" w:sz="4" w:space="0" w:color="000000"/>
            </w:tcBorders>
            <w:tcPrChange w:id="1119" w:author="Author">
              <w:tcPr>
                <w:tcW w:w="919" w:type="dxa"/>
                <w:gridSpan w:val="2"/>
                <w:tcBorders>
                  <w:top w:val="single" w:sz="4" w:space="0" w:color="000000"/>
                  <w:left w:val="single" w:sz="4" w:space="0" w:color="000000"/>
                  <w:bottom w:val="single" w:sz="4" w:space="0" w:color="000000"/>
                </w:tcBorders>
              </w:tcPr>
            </w:tcPrChange>
          </w:tcPr>
          <w:p w14:paraId="761D096D" w14:textId="77777777" w:rsidR="00A453C3" w:rsidRPr="00707120" w:rsidRDefault="00A453C3" w:rsidP="0067693D">
            <w:pPr>
              <w:keepNext/>
              <w:keepLines/>
              <w:suppressLineNumbers/>
              <w:ind w:right="-2"/>
              <w:jc w:val="center"/>
              <w:rPr>
                <w:b/>
                <w:bCs/>
                <w:sz w:val="20"/>
                <w:lang w:val="lv-LV"/>
              </w:rPr>
            </w:pPr>
            <w:r w:rsidRPr="00707120">
              <w:rPr>
                <w:b/>
                <w:bCs/>
                <w:sz w:val="20"/>
                <w:lang w:val="lv-LV"/>
              </w:rPr>
              <w:t>TCZ</w:t>
            </w:r>
          </w:p>
          <w:p w14:paraId="52FF8585" w14:textId="77777777" w:rsidR="00A453C3" w:rsidRPr="00707120" w:rsidRDefault="00A453C3" w:rsidP="0067693D">
            <w:pPr>
              <w:keepNext/>
              <w:keepLines/>
              <w:suppressLineNumbers/>
              <w:ind w:right="-2"/>
              <w:jc w:val="center"/>
              <w:rPr>
                <w:b/>
                <w:bCs/>
                <w:sz w:val="20"/>
                <w:lang w:val="lv-LV"/>
              </w:rPr>
            </w:pPr>
            <w:r w:rsidRPr="00707120">
              <w:rPr>
                <w:b/>
                <w:bCs/>
                <w:sz w:val="20"/>
                <w:lang w:val="lv-LV"/>
              </w:rPr>
              <w:t>8 mg/kg + MTX</w:t>
            </w:r>
          </w:p>
        </w:tc>
        <w:tc>
          <w:tcPr>
            <w:tcW w:w="769" w:type="dxa"/>
            <w:tcBorders>
              <w:top w:val="single" w:sz="4" w:space="0" w:color="000000"/>
              <w:left w:val="single" w:sz="4" w:space="0" w:color="000000"/>
              <w:bottom w:val="single" w:sz="4" w:space="0" w:color="000000"/>
            </w:tcBorders>
            <w:tcPrChange w:id="1120" w:author="Author">
              <w:tcPr>
                <w:tcW w:w="769" w:type="dxa"/>
                <w:gridSpan w:val="2"/>
                <w:tcBorders>
                  <w:top w:val="single" w:sz="4" w:space="0" w:color="000000"/>
                  <w:left w:val="single" w:sz="4" w:space="0" w:color="000000"/>
                  <w:bottom w:val="single" w:sz="4" w:space="0" w:color="000000"/>
                </w:tcBorders>
              </w:tcPr>
            </w:tcPrChange>
          </w:tcPr>
          <w:p w14:paraId="2FB220F3" w14:textId="77777777" w:rsidR="00A453C3" w:rsidRPr="00707120" w:rsidRDefault="00A453C3" w:rsidP="0067693D">
            <w:pPr>
              <w:keepNext/>
              <w:keepLines/>
              <w:suppressLineNumbers/>
              <w:ind w:right="-2"/>
              <w:jc w:val="center"/>
              <w:rPr>
                <w:b/>
                <w:bCs/>
                <w:sz w:val="20"/>
                <w:lang w:val="lv-LV"/>
              </w:rPr>
            </w:pPr>
            <w:r w:rsidRPr="00707120">
              <w:rPr>
                <w:b/>
                <w:bCs/>
                <w:sz w:val="20"/>
                <w:lang w:val="lv-LV"/>
              </w:rPr>
              <w:t>PBO + MTX</w:t>
            </w:r>
          </w:p>
        </w:tc>
        <w:tc>
          <w:tcPr>
            <w:tcW w:w="929" w:type="dxa"/>
            <w:tcBorders>
              <w:top w:val="single" w:sz="4" w:space="0" w:color="000000"/>
              <w:left w:val="single" w:sz="4" w:space="0" w:color="000000"/>
              <w:bottom w:val="single" w:sz="4" w:space="0" w:color="000000"/>
            </w:tcBorders>
            <w:tcPrChange w:id="1121" w:author="Author">
              <w:tcPr>
                <w:tcW w:w="929" w:type="dxa"/>
                <w:gridSpan w:val="2"/>
                <w:tcBorders>
                  <w:top w:val="single" w:sz="4" w:space="0" w:color="000000"/>
                  <w:left w:val="single" w:sz="4" w:space="0" w:color="000000"/>
                  <w:bottom w:val="single" w:sz="4" w:space="0" w:color="000000"/>
                </w:tcBorders>
              </w:tcPr>
            </w:tcPrChange>
          </w:tcPr>
          <w:p w14:paraId="5FA6D7C0" w14:textId="77777777" w:rsidR="00A453C3" w:rsidRPr="00707120" w:rsidRDefault="00A453C3" w:rsidP="0067693D">
            <w:pPr>
              <w:keepNext/>
              <w:keepLines/>
              <w:suppressLineNumbers/>
              <w:ind w:right="-2"/>
              <w:jc w:val="center"/>
              <w:rPr>
                <w:b/>
                <w:bCs/>
                <w:sz w:val="20"/>
                <w:lang w:val="lv-LV"/>
              </w:rPr>
            </w:pPr>
            <w:r w:rsidRPr="00707120">
              <w:rPr>
                <w:b/>
                <w:bCs/>
                <w:sz w:val="20"/>
                <w:lang w:val="lv-LV"/>
              </w:rPr>
              <w:t>TCZ</w:t>
            </w:r>
          </w:p>
          <w:p w14:paraId="1EAFD9E9" w14:textId="77777777" w:rsidR="00A453C3" w:rsidRPr="00707120" w:rsidRDefault="00A453C3" w:rsidP="0067693D">
            <w:pPr>
              <w:keepNext/>
              <w:keepLines/>
              <w:suppressLineNumbers/>
              <w:ind w:right="-2"/>
              <w:jc w:val="center"/>
              <w:rPr>
                <w:b/>
                <w:bCs/>
                <w:sz w:val="20"/>
                <w:lang w:val="lv-LV"/>
              </w:rPr>
            </w:pPr>
            <w:r w:rsidRPr="00707120">
              <w:rPr>
                <w:b/>
                <w:bCs/>
                <w:sz w:val="20"/>
                <w:lang w:val="lv-LV"/>
              </w:rPr>
              <w:t>8 mg/kg + DMARD</w:t>
            </w:r>
          </w:p>
        </w:tc>
        <w:tc>
          <w:tcPr>
            <w:tcW w:w="931" w:type="dxa"/>
            <w:gridSpan w:val="2"/>
            <w:tcBorders>
              <w:top w:val="single" w:sz="4" w:space="0" w:color="000000"/>
              <w:left w:val="single" w:sz="4" w:space="0" w:color="000000"/>
              <w:bottom w:val="single" w:sz="4" w:space="0" w:color="000000"/>
            </w:tcBorders>
            <w:tcPrChange w:id="1122" w:author="Author">
              <w:tcPr>
                <w:tcW w:w="931" w:type="dxa"/>
                <w:gridSpan w:val="3"/>
                <w:tcBorders>
                  <w:top w:val="single" w:sz="4" w:space="0" w:color="000000"/>
                  <w:left w:val="single" w:sz="4" w:space="0" w:color="000000"/>
                  <w:bottom w:val="single" w:sz="4" w:space="0" w:color="000000"/>
                </w:tcBorders>
              </w:tcPr>
            </w:tcPrChange>
          </w:tcPr>
          <w:p w14:paraId="5B478E78" w14:textId="77777777" w:rsidR="00A453C3" w:rsidRPr="00707120" w:rsidRDefault="00A453C3" w:rsidP="0067693D">
            <w:pPr>
              <w:keepNext/>
              <w:keepLines/>
              <w:suppressLineNumbers/>
              <w:ind w:right="-2"/>
              <w:jc w:val="center"/>
              <w:rPr>
                <w:b/>
                <w:bCs/>
                <w:sz w:val="20"/>
                <w:lang w:val="lv-LV"/>
              </w:rPr>
            </w:pPr>
            <w:r w:rsidRPr="00707120">
              <w:rPr>
                <w:b/>
                <w:bCs/>
                <w:sz w:val="20"/>
                <w:lang w:val="lv-LV"/>
              </w:rPr>
              <w:t>PBO + DMARD</w:t>
            </w:r>
          </w:p>
        </w:tc>
        <w:tc>
          <w:tcPr>
            <w:tcW w:w="914" w:type="dxa"/>
            <w:tcBorders>
              <w:top w:val="single" w:sz="4" w:space="0" w:color="000000"/>
              <w:left w:val="single" w:sz="4" w:space="0" w:color="000000"/>
              <w:bottom w:val="single" w:sz="4" w:space="0" w:color="000000"/>
            </w:tcBorders>
            <w:tcPrChange w:id="1123" w:author="Author">
              <w:tcPr>
                <w:tcW w:w="914" w:type="dxa"/>
                <w:gridSpan w:val="2"/>
                <w:tcBorders>
                  <w:top w:val="single" w:sz="4" w:space="0" w:color="000000"/>
                  <w:left w:val="single" w:sz="4" w:space="0" w:color="000000"/>
                  <w:bottom w:val="single" w:sz="4" w:space="0" w:color="000000"/>
                </w:tcBorders>
              </w:tcPr>
            </w:tcPrChange>
          </w:tcPr>
          <w:p w14:paraId="63316EBA" w14:textId="77777777" w:rsidR="00A453C3" w:rsidRPr="00707120" w:rsidRDefault="00A453C3" w:rsidP="0067693D">
            <w:pPr>
              <w:keepNext/>
              <w:keepLines/>
              <w:suppressLineNumbers/>
              <w:ind w:right="-2"/>
              <w:jc w:val="center"/>
              <w:rPr>
                <w:b/>
                <w:bCs/>
                <w:sz w:val="20"/>
                <w:lang w:val="lv-LV"/>
              </w:rPr>
            </w:pPr>
            <w:r w:rsidRPr="00707120">
              <w:rPr>
                <w:b/>
                <w:bCs/>
                <w:sz w:val="20"/>
                <w:lang w:val="lv-LV"/>
              </w:rPr>
              <w:t>TCZ 8 mg/kg + MTX</w:t>
            </w:r>
          </w:p>
        </w:tc>
        <w:tc>
          <w:tcPr>
            <w:tcW w:w="802" w:type="dxa"/>
            <w:tcBorders>
              <w:top w:val="single" w:sz="4" w:space="0" w:color="000000"/>
              <w:left w:val="single" w:sz="4" w:space="0" w:color="000000"/>
              <w:bottom w:val="single" w:sz="4" w:space="0" w:color="000000"/>
              <w:right w:val="single" w:sz="4" w:space="0" w:color="000000"/>
            </w:tcBorders>
            <w:tcPrChange w:id="1124" w:author="Author">
              <w:tcPr>
                <w:tcW w:w="802" w:type="dxa"/>
                <w:gridSpan w:val="2"/>
                <w:tcBorders>
                  <w:top w:val="single" w:sz="4" w:space="0" w:color="000000"/>
                  <w:left w:val="single" w:sz="4" w:space="0" w:color="000000"/>
                  <w:bottom w:val="single" w:sz="4" w:space="0" w:color="000000"/>
                  <w:right w:val="single" w:sz="4" w:space="0" w:color="000000"/>
                </w:tcBorders>
              </w:tcPr>
            </w:tcPrChange>
          </w:tcPr>
          <w:p w14:paraId="7A71CD4D" w14:textId="77777777" w:rsidR="00A453C3" w:rsidRPr="00707120" w:rsidRDefault="00A453C3" w:rsidP="0067693D">
            <w:pPr>
              <w:keepNext/>
              <w:keepLines/>
              <w:suppressLineNumbers/>
              <w:ind w:right="-2"/>
              <w:jc w:val="center"/>
              <w:rPr>
                <w:b/>
                <w:bCs/>
                <w:sz w:val="20"/>
                <w:lang w:val="lv-LV"/>
              </w:rPr>
            </w:pPr>
            <w:r w:rsidRPr="00707120">
              <w:rPr>
                <w:b/>
                <w:bCs/>
                <w:sz w:val="20"/>
                <w:lang w:val="lv-LV"/>
              </w:rPr>
              <w:t>PBO + MTX</w:t>
            </w:r>
            <w:r w:rsidRPr="00707120">
              <w:rPr>
                <w:b/>
                <w:bCs/>
                <w:sz w:val="20"/>
                <w:lang w:val="lv-LV"/>
              </w:rPr>
              <w:br/>
            </w:r>
          </w:p>
        </w:tc>
      </w:tr>
      <w:tr w:rsidR="00A453C3" w:rsidRPr="00CA547A" w14:paraId="6D9B29F1" w14:textId="77777777" w:rsidTr="00BE24DF">
        <w:trPr>
          <w:trHeight w:val="521"/>
        </w:trPr>
        <w:tc>
          <w:tcPr>
            <w:tcW w:w="744" w:type="dxa"/>
            <w:tcBorders>
              <w:top w:val="single" w:sz="4" w:space="0" w:color="000000"/>
              <w:left w:val="single" w:sz="4" w:space="0" w:color="000000"/>
              <w:bottom w:val="single" w:sz="4" w:space="0" w:color="000000"/>
            </w:tcBorders>
          </w:tcPr>
          <w:p w14:paraId="33ADD5C4" w14:textId="77777777" w:rsidR="00A453C3" w:rsidRPr="00707120" w:rsidRDefault="00A453C3" w:rsidP="0067693D">
            <w:pPr>
              <w:keepNext/>
              <w:keepLines/>
              <w:suppressLineNumbers/>
              <w:snapToGrid w:val="0"/>
              <w:ind w:right="-2"/>
              <w:jc w:val="center"/>
              <w:rPr>
                <w:b/>
                <w:bCs/>
                <w:sz w:val="20"/>
                <w:lang w:val="lv-LV"/>
              </w:rPr>
            </w:pPr>
          </w:p>
        </w:tc>
        <w:tc>
          <w:tcPr>
            <w:tcW w:w="950" w:type="dxa"/>
            <w:gridSpan w:val="2"/>
            <w:tcBorders>
              <w:top w:val="single" w:sz="4" w:space="0" w:color="000000"/>
              <w:left w:val="single" w:sz="4" w:space="0" w:color="000000"/>
              <w:bottom w:val="single" w:sz="4" w:space="0" w:color="000000"/>
            </w:tcBorders>
          </w:tcPr>
          <w:p w14:paraId="2EEE9180" w14:textId="41015A89" w:rsidR="00A453C3" w:rsidRPr="00707120" w:rsidDel="00BB0320" w:rsidRDefault="00A453C3" w:rsidP="00BB0320">
            <w:pPr>
              <w:keepNext/>
              <w:keepLines/>
              <w:suppressLineNumbers/>
              <w:ind w:right="-2"/>
              <w:jc w:val="center"/>
              <w:rPr>
                <w:del w:id="1125" w:author="Author"/>
                <w:b/>
                <w:bCs/>
                <w:sz w:val="20"/>
                <w:lang w:val="lv-LV"/>
              </w:rPr>
            </w:pPr>
            <w:del w:id="1126" w:author="Author">
              <w:r w:rsidRPr="00707120" w:rsidDel="00BD5E36">
                <w:rPr>
                  <w:b/>
                  <w:bCs/>
                  <w:sz w:val="20"/>
                  <w:lang w:val="lv-LV"/>
                </w:rPr>
                <w:delText>N</w:delText>
              </w:r>
            </w:del>
            <w:ins w:id="1127" w:author="Author">
              <w:r w:rsidR="00BD5E36">
                <w:rPr>
                  <w:b/>
                  <w:bCs/>
                  <w:sz w:val="20"/>
                  <w:lang w:val="lv-LV"/>
                </w:rPr>
                <w:t>n</w:t>
              </w:r>
            </w:ins>
            <w:del w:id="1128" w:author="Author">
              <w:r w:rsidRPr="00707120" w:rsidDel="00BB0320">
                <w:rPr>
                  <w:b/>
                  <w:bCs/>
                  <w:sz w:val="20"/>
                  <w:lang w:val="lv-LV"/>
                </w:rPr>
                <w:delText xml:space="preserve"> </w:delText>
              </w:r>
            </w:del>
            <w:r w:rsidRPr="00707120">
              <w:rPr>
                <w:b/>
                <w:bCs/>
                <w:sz w:val="20"/>
                <w:lang w:val="lv-LV"/>
              </w:rPr>
              <w:t>=</w:t>
            </w:r>
          </w:p>
          <w:p w14:paraId="1150B86A" w14:textId="77777777" w:rsidR="00A453C3" w:rsidRPr="00707120" w:rsidRDefault="00A453C3" w:rsidP="0067693D">
            <w:pPr>
              <w:keepNext/>
              <w:keepLines/>
              <w:suppressLineNumbers/>
              <w:ind w:right="-2"/>
              <w:jc w:val="center"/>
              <w:rPr>
                <w:b/>
                <w:bCs/>
                <w:sz w:val="20"/>
                <w:lang w:val="lv-LV"/>
              </w:rPr>
            </w:pPr>
            <w:r w:rsidRPr="00707120">
              <w:rPr>
                <w:b/>
                <w:bCs/>
                <w:sz w:val="20"/>
                <w:lang w:val="lv-LV"/>
              </w:rPr>
              <w:t>286</w:t>
            </w:r>
          </w:p>
        </w:tc>
        <w:tc>
          <w:tcPr>
            <w:tcW w:w="839" w:type="dxa"/>
            <w:tcBorders>
              <w:top w:val="single" w:sz="4" w:space="0" w:color="000000"/>
              <w:left w:val="single" w:sz="4" w:space="0" w:color="000000"/>
              <w:bottom w:val="single" w:sz="4" w:space="0" w:color="000000"/>
            </w:tcBorders>
          </w:tcPr>
          <w:p w14:paraId="60BF76F9" w14:textId="3E84082B" w:rsidR="00A453C3" w:rsidRPr="00707120" w:rsidDel="00BB0320" w:rsidRDefault="00A453C3" w:rsidP="00BB0320">
            <w:pPr>
              <w:keepNext/>
              <w:keepLines/>
              <w:suppressLineNumbers/>
              <w:ind w:right="-2"/>
              <w:jc w:val="center"/>
              <w:rPr>
                <w:del w:id="1129" w:author="Author"/>
                <w:b/>
                <w:bCs/>
                <w:sz w:val="20"/>
                <w:lang w:val="lv-LV"/>
              </w:rPr>
            </w:pPr>
            <w:del w:id="1130" w:author="Author">
              <w:r w:rsidRPr="00707120" w:rsidDel="00BD5E36">
                <w:rPr>
                  <w:b/>
                  <w:bCs/>
                  <w:sz w:val="20"/>
                  <w:lang w:val="lv-LV"/>
                </w:rPr>
                <w:delText>N</w:delText>
              </w:r>
            </w:del>
            <w:ins w:id="1131" w:author="Author">
              <w:r w:rsidR="00BD5E36">
                <w:rPr>
                  <w:b/>
                  <w:bCs/>
                  <w:sz w:val="20"/>
                  <w:lang w:val="lv-LV"/>
                </w:rPr>
                <w:t>n</w:t>
              </w:r>
            </w:ins>
            <w:del w:id="1132" w:author="Author">
              <w:r w:rsidRPr="00707120" w:rsidDel="00BB0320">
                <w:rPr>
                  <w:b/>
                  <w:bCs/>
                  <w:sz w:val="20"/>
                  <w:lang w:val="lv-LV"/>
                </w:rPr>
                <w:delText xml:space="preserve"> </w:delText>
              </w:r>
            </w:del>
            <w:r w:rsidRPr="00707120">
              <w:rPr>
                <w:b/>
                <w:bCs/>
                <w:sz w:val="20"/>
                <w:lang w:val="lv-LV"/>
              </w:rPr>
              <w:t>=</w:t>
            </w:r>
          </w:p>
          <w:p w14:paraId="2C441EB3" w14:textId="77777777" w:rsidR="00A453C3" w:rsidRPr="00707120" w:rsidRDefault="00A453C3" w:rsidP="0067693D">
            <w:pPr>
              <w:keepNext/>
              <w:keepLines/>
              <w:suppressLineNumbers/>
              <w:ind w:right="-2"/>
              <w:jc w:val="center"/>
              <w:rPr>
                <w:b/>
                <w:bCs/>
                <w:sz w:val="20"/>
                <w:lang w:val="lv-LV"/>
              </w:rPr>
            </w:pPr>
            <w:r w:rsidRPr="00707120">
              <w:rPr>
                <w:b/>
                <w:bCs/>
                <w:sz w:val="20"/>
                <w:lang w:val="lv-LV"/>
              </w:rPr>
              <w:t>284</w:t>
            </w:r>
          </w:p>
        </w:tc>
        <w:tc>
          <w:tcPr>
            <w:tcW w:w="738" w:type="dxa"/>
            <w:tcBorders>
              <w:top w:val="single" w:sz="4" w:space="0" w:color="000000"/>
              <w:left w:val="single" w:sz="4" w:space="0" w:color="000000"/>
              <w:bottom w:val="single" w:sz="4" w:space="0" w:color="000000"/>
            </w:tcBorders>
          </w:tcPr>
          <w:p w14:paraId="4C5A969D" w14:textId="26BAFCB8" w:rsidR="00A453C3" w:rsidRPr="00707120" w:rsidDel="00BB0320" w:rsidRDefault="00A453C3" w:rsidP="00BB0320">
            <w:pPr>
              <w:keepNext/>
              <w:keepLines/>
              <w:suppressLineNumbers/>
              <w:ind w:right="-2"/>
              <w:jc w:val="center"/>
              <w:rPr>
                <w:del w:id="1133" w:author="Author"/>
                <w:b/>
                <w:bCs/>
                <w:sz w:val="20"/>
                <w:lang w:val="lv-LV"/>
              </w:rPr>
            </w:pPr>
            <w:del w:id="1134" w:author="Author">
              <w:r w:rsidRPr="00707120" w:rsidDel="00BD5E36">
                <w:rPr>
                  <w:b/>
                  <w:bCs/>
                  <w:sz w:val="20"/>
                  <w:lang w:val="lv-LV"/>
                </w:rPr>
                <w:delText>N</w:delText>
              </w:r>
            </w:del>
            <w:ins w:id="1135" w:author="Author">
              <w:r w:rsidR="00BD5E36">
                <w:rPr>
                  <w:b/>
                  <w:bCs/>
                  <w:sz w:val="20"/>
                  <w:lang w:val="lv-LV"/>
                </w:rPr>
                <w:t>n</w:t>
              </w:r>
            </w:ins>
            <w:del w:id="1136" w:author="Author">
              <w:r w:rsidRPr="00707120" w:rsidDel="00BB0320">
                <w:rPr>
                  <w:b/>
                  <w:bCs/>
                  <w:sz w:val="20"/>
                  <w:lang w:val="lv-LV"/>
                </w:rPr>
                <w:delText xml:space="preserve"> </w:delText>
              </w:r>
            </w:del>
            <w:r w:rsidRPr="00707120">
              <w:rPr>
                <w:b/>
                <w:bCs/>
                <w:sz w:val="20"/>
                <w:lang w:val="lv-LV"/>
              </w:rPr>
              <w:t>=</w:t>
            </w:r>
          </w:p>
          <w:p w14:paraId="4A50D9DB" w14:textId="77777777" w:rsidR="00A453C3" w:rsidRPr="00707120" w:rsidRDefault="00A453C3" w:rsidP="0067693D">
            <w:pPr>
              <w:keepNext/>
              <w:keepLines/>
              <w:suppressLineNumbers/>
              <w:ind w:right="-2"/>
              <w:jc w:val="center"/>
              <w:rPr>
                <w:b/>
                <w:bCs/>
                <w:sz w:val="20"/>
                <w:lang w:val="lv-LV"/>
              </w:rPr>
            </w:pPr>
            <w:r w:rsidRPr="00707120">
              <w:rPr>
                <w:b/>
                <w:bCs/>
                <w:sz w:val="20"/>
                <w:lang w:val="lv-LV"/>
              </w:rPr>
              <w:t>398</w:t>
            </w:r>
          </w:p>
        </w:tc>
        <w:tc>
          <w:tcPr>
            <w:tcW w:w="782" w:type="dxa"/>
            <w:tcBorders>
              <w:top w:val="single" w:sz="4" w:space="0" w:color="000000"/>
              <w:left w:val="single" w:sz="4" w:space="0" w:color="000000"/>
              <w:bottom w:val="single" w:sz="4" w:space="0" w:color="000000"/>
            </w:tcBorders>
          </w:tcPr>
          <w:p w14:paraId="1AC271B7" w14:textId="641C3669" w:rsidR="00A453C3" w:rsidRPr="00707120" w:rsidDel="00BB0320" w:rsidRDefault="00A453C3" w:rsidP="00BB0320">
            <w:pPr>
              <w:keepNext/>
              <w:keepLines/>
              <w:suppressLineNumbers/>
              <w:ind w:right="-2"/>
              <w:jc w:val="center"/>
              <w:rPr>
                <w:del w:id="1137" w:author="Author"/>
                <w:b/>
                <w:bCs/>
                <w:sz w:val="20"/>
                <w:lang w:val="lv-LV"/>
              </w:rPr>
            </w:pPr>
            <w:del w:id="1138" w:author="Author">
              <w:r w:rsidRPr="00707120" w:rsidDel="00BD5E36">
                <w:rPr>
                  <w:b/>
                  <w:bCs/>
                  <w:sz w:val="20"/>
                  <w:lang w:val="lv-LV"/>
                </w:rPr>
                <w:delText>N</w:delText>
              </w:r>
            </w:del>
            <w:ins w:id="1139" w:author="Author">
              <w:r w:rsidR="00BD5E36">
                <w:rPr>
                  <w:b/>
                  <w:bCs/>
                  <w:sz w:val="20"/>
                  <w:lang w:val="lv-LV"/>
                </w:rPr>
                <w:t>n</w:t>
              </w:r>
            </w:ins>
            <w:del w:id="1140" w:author="Author">
              <w:r w:rsidRPr="00707120" w:rsidDel="00BB0320">
                <w:rPr>
                  <w:b/>
                  <w:bCs/>
                  <w:sz w:val="20"/>
                  <w:lang w:val="lv-LV"/>
                </w:rPr>
                <w:delText xml:space="preserve"> </w:delText>
              </w:r>
            </w:del>
            <w:r w:rsidRPr="00707120">
              <w:rPr>
                <w:b/>
                <w:bCs/>
                <w:sz w:val="20"/>
                <w:lang w:val="lv-LV"/>
              </w:rPr>
              <w:t>=</w:t>
            </w:r>
          </w:p>
          <w:p w14:paraId="30913413" w14:textId="77777777" w:rsidR="00A453C3" w:rsidRPr="00707120" w:rsidRDefault="00A453C3" w:rsidP="0067693D">
            <w:pPr>
              <w:keepNext/>
              <w:keepLines/>
              <w:suppressLineNumbers/>
              <w:ind w:right="-2"/>
              <w:jc w:val="center"/>
              <w:rPr>
                <w:b/>
                <w:bCs/>
                <w:sz w:val="20"/>
                <w:lang w:val="lv-LV"/>
              </w:rPr>
            </w:pPr>
            <w:r w:rsidRPr="00707120">
              <w:rPr>
                <w:b/>
                <w:bCs/>
                <w:sz w:val="20"/>
                <w:lang w:val="lv-LV"/>
              </w:rPr>
              <w:t>393</w:t>
            </w:r>
          </w:p>
        </w:tc>
        <w:tc>
          <w:tcPr>
            <w:tcW w:w="919" w:type="dxa"/>
            <w:tcBorders>
              <w:top w:val="single" w:sz="4" w:space="0" w:color="000000"/>
              <w:left w:val="single" w:sz="4" w:space="0" w:color="000000"/>
              <w:bottom w:val="single" w:sz="4" w:space="0" w:color="000000"/>
            </w:tcBorders>
          </w:tcPr>
          <w:p w14:paraId="4D879864" w14:textId="6E7C943B" w:rsidR="00A453C3" w:rsidRPr="00707120" w:rsidDel="00BB0320" w:rsidRDefault="00A453C3" w:rsidP="00BB0320">
            <w:pPr>
              <w:keepNext/>
              <w:keepLines/>
              <w:suppressLineNumbers/>
              <w:ind w:right="-2"/>
              <w:jc w:val="center"/>
              <w:rPr>
                <w:del w:id="1141" w:author="Author"/>
                <w:b/>
                <w:bCs/>
                <w:sz w:val="20"/>
                <w:lang w:val="lv-LV"/>
              </w:rPr>
            </w:pPr>
            <w:del w:id="1142" w:author="Author">
              <w:r w:rsidRPr="00707120" w:rsidDel="00BD5E36">
                <w:rPr>
                  <w:b/>
                  <w:bCs/>
                  <w:sz w:val="20"/>
                  <w:lang w:val="lv-LV"/>
                </w:rPr>
                <w:delText>N</w:delText>
              </w:r>
            </w:del>
            <w:ins w:id="1143" w:author="Author">
              <w:r w:rsidR="00BD5E36">
                <w:rPr>
                  <w:b/>
                  <w:bCs/>
                  <w:sz w:val="20"/>
                  <w:lang w:val="lv-LV"/>
                </w:rPr>
                <w:t>n</w:t>
              </w:r>
            </w:ins>
            <w:del w:id="1144" w:author="Author">
              <w:r w:rsidRPr="00707120" w:rsidDel="00BB0320">
                <w:rPr>
                  <w:b/>
                  <w:bCs/>
                  <w:sz w:val="20"/>
                  <w:lang w:val="lv-LV"/>
                </w:rPr>
                <w:delText xml:space="preserve"> </w:delText>
              </w:r>
            </w:del>
            <w:r w:rsidRPr="00707120">
              <w:rPr>
                <w:b/>
                <w:bCs/>
                <w:sz w:val="20"/>
                <w:lang w:val="lv-LV"/>
              </w:rPr>
              <w:t>=</w:t>
            </w:r>
          </w:p>
          <w:p w14:paraId="65EE05D9" w14:textId="77777777" w:rsidR="00A453C3" w:rsidRPr="00707120" w:rsidRDefault="00A453C3" w:rsidP="0067693D">
            <w:pPr>
              <w:keepNext/>
              <w:keepLines/>
              <w:suppressLineNumbers/>
              <w:ind w:right="-2"/>
              <w:jc w:val="center"/>
              <w:rPr>
                <w:b/>
                <w:bCs/>
                <w:sz w:val="20"/>
                <w:lang w:val="lv-LV"/>
              </w:rPr>
            </w:pPr>
            <w:r w:rsidRPr="00707120">
              <w:rPr>
                <w:b/>
                <w:bCs/>
                <w:sz w:val="20"/>
                <w:lang w:val="lv-LV"/>
              </w:rPr>
              <w:t>205</w:t>
            </w:r>
          </w:p>
        </w:tc>
        <w:tc>
          <w:tcPr>
            <w:tcW w:w="769" w:type="dxa"/>
            <w:tcBorders>
              <w:top w:val="single" w:sz="4" w:space="0" w:color="000000"/>
              <w:left w:val="single" w:sz="4" w:space="0" w:color="000000"/>
              <w:bottom w:val="single" w:sz="4" w:space="0" w:color="000000"/>
            </w:tcBorders>
          </w:tcPr>
          <w:p w14:paraId="776347A5" w14:textId="7A012E5F" w:rsidR="00A453C3" w:rsidRPr="00707120" w:rsidDel="00BB0320" w:rsidRDefault="00A453C3" w:rsidP="00BB0320">
            <w:pPr>
              <w:keepNext/>
              <w:keepLines/>
              <w:suppressLineNumbers/>
              <w:ind w:right="-2"/>
              <w:jc w:val="center"/>
              <w:rPr>
                <w:del w:id="1145" w:author="Author"/>
                <w:b/>
                <w:bCs/>
                <w:sz w:val="20"/>
                <w:lang w:val="lv-LV"/>
              </w:rPr>
            </w:pPr>
            <w:del w:id="1146" w:author="Author">
              <w:r w:rsidRPr="00707120" w:rsidDel="00BD5E36">
                <w:rPr>
                  <w:b/>
                  <w:bCs/>
                  <w:sz w:val="20"/>
                  <w:lang w:val="lv-LV"/>
                </w:rPr>
                <w:delText>N</w:delText>
              </w:r>
            </w:del>
            <w:ins w:id="1147" w:author="Author">
              <w:r w:rsidR="00BD5E36">
                <w:rPr>
                  <w:b/>
                  <w:bCs/>
                  <w:sz w:val="20"/>
                  <w:lang w:val="lv-LV"/>
                </w:rPr>
                <w:t>n</w:t>
              </w:r>
            </w:ins>
            <w:del w:id="1148" w:author="Author">
              <w:r w:rsidRPr="00707120" w:rsidDel="00BB0320">
                <w:rPr>
                  <w:b/>
                  <w:bCs/>
                  <w:sz w:val="20"/>
                  <w:lang w:val="lv-LV"/>
                </w:rPr>
                <w:delText xml:space="preserve"> </w:delText>
              </w:r>
            </w:del>
            <w:r w:rsidRPr="00707120">
              <w:rPr>
                <w:b/>
                <w:bCs/>
                <w:sz w:val="20"/>
                <w:lang w:val="lv-LV"/>
              </w:rPr>
              <w:t>=</w:t>
            </w:r>
          </w:p>
          <w:p w14:paraId="36C081C6" w14:textId="77777777" w:rsidR="00A453C3" w:rsidRPr="00707120" w:rsidRDefault="00A453C3" w:rsidP="0067693D">
            <w:pPr>
              <w:keepNext/>
              <w:keepLines/>
              <w:suppressLineNumbers/>
              <w:ind w:right="-2"/>
              <w:jc w:val="center"/>
              <w:rPr>
                <w:b/>
                <w:bCs/>
                <w:sz w:val="20"/>
                <w:lang w:val="lv-LV"/>
              </w:rPr>
            </w:pPr>
            <w:r w:rsidRPr="00707120">
              <w:rPr>
                <w:b/>
                <w:bCs/>
                <w:sz w:val="20"/>
                <w:lang w:val="lv-LV"/>
              </w:rPr>
              <w:t>204</w:t>
            </w:r>
          </w:p>
        </w:tc>
        <w:tc>
          <w:tcPr>
            <w:tcW w:w="929" w:type="dxa"/>
            <w:tcBorders>
              <w:top w:val="single" w:sz="4" w:space="0" w:color="000000"/>
              <w:left w:val="single" w:sz="4" w:space="0" w:color="000000"/>
              <w:bottom w:val="single" w:sz="4" w:space="0" w:color="000000"/>
            </w:tcBorders>
          </w:tcPr>
          <w:p w14:paraId="123F5416" w14:textId="16E2A4DF" w:rsidR="00A453C3" w:rsidRPr="00707120" w:rsidDel="00BB0320" w:rsidRDefault="00A453C3" w:rsidP="00BB0320">
            <w:pPr>
              <w:keepNext/>
              <w:keepLines/>
              <w:suppressLineNumbers/>
              <w:ind w:right="-2"/>
              <w:jc w:val="center"/>
              <w:rPr>
                <w:del w:id="1149" w:author="Author"/>
                <w:b/>
                <w:bCs/>
                <w:sz w:val="20"/>
                <w:lang w:val="lv-LV"/>
              </w:rPr>
            </w:pPr>
            <w:del w:id="1150" w:author="Author">
              <w:r w:rsidRPr="00707120" w:rsidDel="00BD5E36">
                <w:rPr>
                  <w:b/>
                  <w:bCs/>
                  <w:sz w:val="20"/>
                  <w:lang w:val="lv-LV"/>
                </w:rPr>
                <w:delText>N</w:delText>
              </w:r>
            </w:del>
            <w:ins w:id="1151" w:author="Author">
              <w:r w:rsidR="00BD5E36">
                <w:rPr>
                  <w:b/>
                  <w:bCs/>
                  <w:sz w:val="20"/>
                  <w:lang w:val="lv-LV"/>
                </w:rPr>
                <w:t>n</w:t>
              </w:r>
            </w:ins>
            <w:del w:id="1152" w:author="Author">
              <w:r w:rsidRPr="00707120" w:rsidDel="00BB0320">
                <w:rPr>
                  <w:b/>
                  <w:bCs/>
                  <w:sz w:val="20"/>
                  <w:lang w:val="lv-LV"/>
                </w:rPr>
                <w:delText xml:space="preserve"> </w:delText>
              </w:r>
            </w:del>
            <w:r w:rsidRPr="00707120">
              <w:rPr>
                <w:b/>
                <w:bCs/>
                <w:sz w:val="20"/>
                <w:lang w:val="lv-LV"/>
              </w:rPr>
              <w:t>=</w:t>
            </w:r>
          </w:p>
          <w:p w14:paraId="22898A97" w14:textId="77777777" w:rsidR="00A453C3" w:rsidRPr="00707120" w:rsidRDefault="00A453C3" w:rsidP="0067693D">
            <w:pPr>
              <w:keepNext/>
              <w:keepLines/>
              <w:suppressLineNumbers/>
              <w:ind w:right="-2"/>
              <w:jc w:val="center"/>
              <w:rPr>
                <w:b/>
                <w:bCs/>
                <w:sz w:val="20"/>
                <w:lang w:val="lv-LV"/>
              </w:rPr>
            </w:pPr>
            <w:r w:rsidRPr="00707120">
              <w:rPr>
                <w:b/>
                <w:bCs/>
                <w:sz w:val="20"/>
                <w:lang w:val="lv-LV"/>
              </w:rPr>
              <w:t>803</w:t>
            </w:r>
          </w:p>
        </w:tc>
        <w:tc>
          <w:tcPr>
            <w:tcW w:w="931" w:type="dxa"/>
            <w:gridSpan w:val="2"/>
            <w:tcBorders>
              <w:top w:val="single" w:sz="4" w:space="0" w:color="000000"/>
              <w:left w:val="single" w:sz="4" w:space="0" w:color="000000"/>
              <w:bottom w:val="single" w:sz="4" w:space="0" w:color="000000"/>
            </w:tcBorders>
          </w:tcPr>
          <w:p w14:paraId="119677FC" w14:textId="7AF11FC4" w:rsidR="00A453C3" w:rsidRPr="00707120" w:rsidDel="00BB0320" w:rsidRDefault="00A453C3" w:rsidP="00BB0320">
            <w:pPr>
              <w:keepNext/>
              <w:keepLines/>
              <w:suppressLineNumbers/>
              <w:ind w:right="-2"/>
              <w:jc w:val="center"/>
              <w:rPr>
                <w:del w:id="1153" w:author="Author"/>
                <w:b/>
                <w:bCs/>
                <w:sz w:val="20"/>
                <w:lang w:val="lv-LV"/>
              </w:rPr>
            </w:pPr>
            <w:del w:id="1154" w:author="Author">
              <w:r w:rsidRPr="00707120" w:rsidDel="00BD5E36">
                <w:rPr>
                  <w:b/>
                  <w:bCs/>
                  <w:sz w:val="20"/>
                  <w:lang w:val="lv-LV"/>
                </w:rPr>
                <w:delText>N</w:delText>
              </w:r>
            </w:del>
            <w:ins w:id="1155" w:author="Author">
              <w:r w:rsidR="00BD5E36">
                <w:rPr>
                  <w:b/>
                  <w:bCs/>
                  <w:sz w:val="20"/>
                  <w:lang w:val="lv-LV"/>
                </w:rPr>
                <w:t>n</w:t>
              </w:r>
            </w:ins>
            <w:del w:id="1156" w:author="Author">
              <w:r w:rsidRPr="00707120" w:rsidDel="00BB0320">
                <w:rPr>
                  <w:b/>
                  <w:bCs/>
                  <w:sz w:val="20"/>
                  <w:lang w:val="lv-LV"/>
                </w:rPr>
                <w:delText xml:space="preserve"> </w:delText>
              </w:r>
            </w:del>
            <w:r w:rsidRPr="00707120">
              <w:rPr>
                <w:b/>
                <w:bCs/>
                <w:sz w:val="20"/>
                <w:lang w:val="lv-LV"/>
              </w:rPr>
              <w:t>=</w:t>
            </w:r>
          </w:p>
          <w:p w14:paraId="5485A9B4" w14:textId="77777777" w:rsidR="00A453C3" w:rsidRPr="00707120" w:rsidRDefault="00A453C3" w:rsidP="0067693D">
            <w:pPr>
              <w:keepNext/>
              <w:keepLines/>
              <w:suppressLineNumbers/>
              <w:ind w:right="-2"/>
              <w:jc w:val="center"/>
              <w:rPr>
                <w:b/>
                <w:bCs/>
                <w:sz w:val="20"/>
                <w:lang w:val="lv-LV"/>
              </w:rPr>
            </w:pPr>
            <w:r w:rsidRPr="00707120">
              <w:rPr>
                <w:b/>
                <w:bCs/>
                <w:sz w:val="20"/>
                <w:lang w:val="lv-LV"/>
              </w:rPr>
              <w:t>413</w:t>
            </w:r>
          </w:p>
        </w:tc>
        <w:tc>
          <w:tcPr>
            <w:tcW w:w="914" w:type="dxa"/>
            <w:tcBorders>
              <w:top w:val="single" w:sz="4" w:space="0" w:color="000000"/>
              <w:left w:val="single" w:sz="4" w:space="0" w:color="000000"/>
              <w:bottom w:val="single" w:sz="4" w:space="0" w:color="000000"/>
            </w:tcBorders>
          </w:tcPr>
          <w:p w14:paraId="26CC5035" w14:textId="7669C4B5" w:rsidR="00A453C3" w:rsidRPr="00707120" w:rsidDel="00BB0320" w:rsidRDefault="00A453C3" w:rsidP="00BB0320">
            <w:pPr>
              <w:keepNext/>
              <w:keepLines/>
              <w:suppressLineNumbers/>
              <w:ind w:right="-2"/>
              <w:jc w:val="center"/>
              <w:rPr>
                <w:del w:id="1157" w:author="Author"/>
                <w:b/>
                <w:bCs/>
                <w:sz w:val="20"/>
                <w:lang w:val="lv-LV"/>
              </w:rPr>
            </w:pPr>
            <w:del w:id="1158" w:author="Author">
              <w:r w:rsidRPr="00707120" w:rsidDel="00BD5E36">
                <w:rPr>
                  <w:b/>
                  <w:bCs/>
                  <w:sz w:val="20"/>
                  <w:lang w:val="lv-LV"/>
                </w:rPr>
                <w:delText>N</w:delText>
              </w:r>
            </w:del>
            <w:ins w:id="1159" w:author="Author">
              <w:r w:rsidR="00BD5E36">
                <w:rPr>
                  <w:b/>
                  <w:bCs/>
                  <w:sz w:val="20"/>
                  <w:lang w:val="lv-LV"/>
                </w:rPr>
                <w:t>n</w:t>
              </w:r>
            </w:ins>
            <w:del w:id="1160" w:author="Author">
              <w:r w:rsidRPr="00707120" w:rsidDel="00BB0320">
                <w:rPr>
                  <w:b/>
                  <w:bCs/>
                  <w:sz w:val="20"/>
                  <w:lang w:val="lv-LV"/>
                </w:rPr>
                <w:delText xml:space="preserve"> </w:delText>
              </w:r>
            </w:del>
            <w:r w:rsidRPr="00707120">
              <w:rPr>
                <w:b/>
                <w:bCs/>
                <w:sz w:val="20"/>
                <w:lang w:val="lv-LV"/>
              </w:rPr>
              <w:t>=</w:t>
            </w:r>
          </w:p>
          <w:p w14:paraId="072DD7BA" w14:textId="77777777" w:rsidR="00A453C3" w:rsidRPr="00707120" w:rsidRDefault="00A453C3" w:rsidP="0067693D">
            <w:pPr>
              <w:keepNext/>
              <w:keepLines/>
              <w:suppressLineNumbers/>
              <w:ind w:right="-2"/>
              <w:jc w:val="center"/>
              <w:rPr>
                <w:b/>
                <w:bCs/>
                <w:sz w:val="20"/>
                <w:lang w:val="lv-LV"/>
              </w:rPr>
            </w:pPr>
            <w:r w:rsidRPr="00707120">
              <w:rPr>
                <w:b/>
                <w:bCs/>
                <w:sz w:val="20"/>
                <w:lang w:val="lv-LV"/>
              </w:rPr>
              <w:t>170</w:t>
            </w:r>
          </w:p>
        </w:tc>
        <w:tc>
          <w:tcPr>
            <w:tcW w:w="802" w:type="dxa"/>
            <w:tcBorders>
              <w:top w:val="single" w:sz="4" w:space="0" w:color="000000"/>
              <w:left w:val="single" w:sz="4" w:space="0" w:color="000000"/>
              <w:bottom w:val="single" w:sz="4" w:space="0" w:color="000000"/>
              <w:right w:val="single" w:sz="4" w:space="0" w:color="000000"/>
            </w:tcBorders>
          </w:tcPr>
          <w:p w14:paraId="04B99F37" w14:textId="4D69B6DE" w:rsidR="00A453C3" w:rsidRPr="00707120" w:rsidDel="00BB0320" w:rsidRDefault="00A453C3" w:rsidP="00BB0320">
            <w:pPr>
              <w:keepNext/>
              <w:keepLines/>
              <w:suppressLineNumbers/>
              <w:ind w:right="-2"/>
              <w:jc w:val="center"/>
              <w:rPr>
                <w:del w:id="1161" w:author="Author"/>
                <w:b/>
                <w:bCs/>
                <w:sz w:val="20"/>
                <w:lang w:val="lv-LV"/>
              </w:rPr>
            </w:pPr>
            <w:del w:id="1162" w:author="Author">
              <w:r w:rsidRPr="00707120" w:rsidDel="00BD5E36">
                <w:rPr>
                  <w:b/>
                  <w:bCs/>
                  <w:sz w:val="20"/>
                  <w:lang w:val="lv-LV"/>
                </w:rPr>
                <w:delText>N</w:delText>
              </w:r>
            </w:del>
            <w:ins w:id="1163" w:author="Author">
              <w:r w:rsidR="00BD5E36">
                <w:rPr>
                  <w:b/>
                  <w:bCs/>
                  <w:sz w:val="20"/>
                  <w:lang w:val="lv-LV"/>
                </w:rPr>
                <w:t>n</w:t>
              </w:r>
            </w:ins>
            <w:del w:id="1164" w:author="Author">
              <w:r w:rsidRPr="00707120" w:rsidDel="00BB0320">
                <w:rPr>
                  <w:b/>
                  <w:bCs/>
                  <w:sz w:val="20"/>
                  <w:lang w:val="lv-LV"/>
                </w:rPr>
                <w:delText xml:space="preserve"> </w:delText>
              </w:r>
            </w:del>
            <w:r w:rsidRPr="00707120">
              <w:rPr>
                <w:b/>
                <w:bCs/>
                <w:sz w:val="20"/>
                <w:lang w:val="lv-LV"/>
              </w:rPr>
              <w:t>=</w:t>
            </w:r>
          </w:p>
          <w:p w14:paraId="601DADA3" w14:textId="77777777" w:rsidR="00A453C3" w:rsidRPr="00707120" w:rsidRDefault="00A453C3" w:rsidP="0067693D">
            <w:pPr>
              <w:keepNext/>
              <w:keepLines/>
              <w:suppressLineNumbers/>
              <w:ind w:right="-2"/>
              <w:jc w:val="center"/>
              <w:rPr>
                <w:b/>
                <w:sz w:val="20"/>
                <w:lang w:val="lv-LV"/>
              </w:rPr>
            </w:pPr>
            <w:r w:rsidRPr="00707120">
              <w:rPr>
                <w:b/>
                <w:bCs/>
                <w:sz w:val="20"/>
                <w:lang w:val="lv-LV"/>
              </w:rPr>
              <w:t>158</w:t>
            </w:r>
          </w:p>
        </w:tc>
      </w:tr>
      <w:tr w:rsidR="00A453C3" w:rsidRPr="00CA547A" w14:paraId="780BA795" w14:textId="77777777" w:rsidTr="0067693D">
        <w:tc>
          <w:tcPr>
            <w:tcW w:w="9317" w:type="dxa"/>
            <w:gridSpan w:val="13"/>
            <w:tcBorders>
              <w:top w:val="single" w:sz="4" w:space="0" w:color="000000"/>
              <w:left w:val="single" w:sz="4" w:space="0" w:color="000000"/>
              <w:bottom w:val="single" w:sz="4" w:space="0" w:color="000000"/>
              <w:right w:val="single" w:sz="4" w:space="0" w:color="000000"/>
            </w:tcBorders>
          </w:tcPr>
          <w:p w14:paraId="74A4F9AF" w14:textId="09275FA3" w:rsidR="00A453C3" w:rsidRPr="00707120" w:rsidRDefault="00A453C3" w:rsidP="0067693D">
            <w:pPr>
              <w:keepNext/>
              <w:keepLines/>
              <w:suppressLineNumbers/>
              <w:ind w:right="-2"/>
              <w:jc w:val="center"/>
              <w:rPr>
                <w:sz w:val="20"/>
                <w:lang w:val="lv-LV"/>
              </w:rPr>
            </w:pPr>
            <w:r w:rsidRPr="00707120">
              <w:rPr>
                <w:b/>
                <w:sz w:val="20"/>
                <w:lang w:val="lv-LV"/>
              </w:rPr>
              <w:t>ACR 20</w:t>
            </w:r>
          </w:p>
        </w:tc>
      </w:tr>
      <w:tr w:rsidR="00A453C3" w:rsidRPr="00CA547A" w14:paraId="43D74127" w14:textId="77777777" w:rsidTr="002007A3">
        <w:trPr>
          <w:trPrChange w:id="1165" w:author="Author">
            <w:trPr>
              <w:gridBefore w:val="1"/>
            </w:trPr>
          </w:trPrChange>
        </w:trPr>
        <w:tc>
          <w:tcPr>
            <w:tcW w:w="772" w:type="dxa"/>
            <w:gridSpan w:val="2"/>
            <w:tcBorders>
              <w:top w:val="single" w:sz="4" w:space="0" w:color="000000"/>
              <w:left w:val="single" w:sz="4" w:space="0" w:color="000000"/>
              <w:bottom w:val="single" w:sz="4" w:space="0" w:color="000000"/>
            </w:tcBorders>
            <w:tcPrChange w:id="1166" w:author="Author">
              <w:tcPr>
                <w:tcW w:w="772" w:type="dxa"/>
                <w:gridSpan w:val="3"/>
                <w:tcBorders>
                  <w:top w:val="single" w:sz="4" w:space="0" w:color="000000"/>
                  <w:left w:val="single" w:sz="4" w:space="0" w:color="000000"/>
                  <w:bottom w:val="single" w:sz="4" w:space="0" w:color="000000"/>
                </w:tcBorders>
              </w:tcPr>
            </w:tcPrChange>
          </w:tcPr>
          <w:p w14:paraId="7228E674" w14:textId="77777777" w:rsidR="00A453C3" w:rsidRPr="00707120" w:rsidRDefault="00A453C3" w:rsidP="0067693D">
            <w:pPr>
              <w:keepNext/>
              <w:keepLines/>
              <w:suppressLineNumbers/>
              <w:ind w:right="-2"/>
              <w:jc w:val="center"/>
              <w:rPr>
                <w:sz w:val="20"/>
                <w:lang w:val="lv-LV"/>
              </w:rPr>
            </w:pPr>
            <w:r w:rsidRPr="00707120">
              <w:rPr>
                <w:sz w:val="20"/>
                <w:lang w:val="lv-LV"/>
              </w:rPr>
              <w:t>24.</w:t>
            </w:r>
          </w:p>
        </w:tc>
        <w:tc>
          <w:tcPr>
            <w:tcW w:w="922" w:type="dxa"/>
            <w:tcBorders>
              <w:top w:val="single" w:sz="4" w:space="0" w:color="000000"/>
              <w:left w:val="single" w:sz="4" w:space="0" w:color="000000"/>
              <w:bottom w:val="single" w:sz="4" w:space="0" w:color="000000"/>
            </w:tcBorders>
            <w:tcPrChange w:id="1167" w:author="Author">
              <w:tcPr>
                <w:tcW w:w="922" w:type="dxa"/>
                <w:gridSpan w:val="2"/>
                <w:tcBorders>
                  <w:top w:val="single" w:sz="4" w:space="0" w:color="000000"/>
                  <w:left w:val="single" w:sz="4" w:space="0" w:color="000000"/>
                  <w:bottom w:val="single" w:sz="4" w:space="0" w:color="000000"/>
                </w:tcBorders>
              </w:tcPr>
            </w:tcPrChange>
          </w:tcPr>
          <w:p w14:paraId="261DDC90" w14:textId="77777777" w:rsidR="00A453C3" w:rsidRPr="00707120" w:rsidRDefault="00A453C3" w:rsidP="0067693D">
            <w:pPr>
              <w:keepNext/>
              <w:keepLines/>
              <w:suppressLineNumbers/>
              <w:ind w:right="-2"/>
              <w:jc w:val="center"/>
              <w:rPr>
                <w:sz w:val="20"/>
                <w:lang w:val="lv-LV"/>
              </w:rPr>
            </w:pPr>
            <w:r w:rsidRPr="00707120">
              <w:rPr>
                <w:sz w:val="20"/>
                <w:lang w:val="lv-LV"/>
              </w:rPr>
              <w:t>70%***</w:t>
            </w:r>
          </w:p>
        </w:tc>
        <w:tc>
          <w:tcPr>
            <w:tcW w:w="839" w:type="dxa"/>
            <w:tcBorders>
              <w:top w:val="single" w:sz="4" w:space="0" w:color="000000"/>
              <w:left w:val="single" w:sz="4" w:space="0" w:color="000000"/>
              <w:bottom w:val="single" w:sz="4" w:space="0" w:color="000000"/>
            </w:tcBorders>
            <w:tcPrChange w:id="1168" w:author="Author">
              <w:tcPr>
                <w:tcW w:w="671" w:type="dxa"/>
                <w:tcBorders>
                  <w:top w:val="single" w:sz="4" w:space="0" w:color="000000"/>
                  <w:left w:val="single" w:sz="4" w:space="0" w:color="000000"/>
                  <w:bottom w:val="single" w:sz="4" w:space="0" w:color="000000"/>
                </w:tcBorders>
              </w:tcPr>
            </w:tcPrChange>
          </w:tcPr>
          <w:p w14:paraId="62A353DB" w14:textId="77777777" w:rsidR="00A453C3" w:rsidRPr="00707120" w:rsidRDefault="00A453C3" w:rsidP="0067693D">
            <w:pPr>
              <w:keepNext/>
              <w:keepLines/>
              <w:suppressLineNumbers/>
              <w:ind w:right="-2"/>
              <w:jc w:val="center"/>
              <w:rPr>
                <w:sz w:val="20"/>
                <w:lang w:val="lv-LV"/>
              </w:rPr>
            </w:pPr>
            <w:r w:rsidRPr="00707120">
              <w:rPr>
                <w:sz w:val="20"/>
                <w:lang w:val="lv-LV"/>
              </w:rPr>
              <w:t>52%</w:t>
            </w:r>
          </w:p>
        </w:tc>
        <w:tc>
          <w:tcPr>
            <w:tcW w:w="738" w:type="dxa"/>
            <w:tcBorders>
              <w:top w:val="single" w:sz="4" w:space="0" w:color="000000"/>
              <w:left w:val="single" w:sz="4" w:space="0" w:color="000000"/>
              <w:bottom w:val="single" w:sz="4" w:space="0" w:color="000000"/>
            </w:tcBorders>
            <w:tcPrChange w:id="1169" w:author="Author">
              <w:tcPr>
                <w:tcW w:w="906" w:type="dxa"/>
                <w:gridSpan w:val="3"/>
                <w:tcBorders>
                  <w:top w:val="single" w:sz="4" w:space="0" w:color="000000"/>
                  <w:left w:val="single" w:sz="4" w:space="0" w:color="000000"/>
                  <w:bottom w:val="single" w:sz="4" w:space="0" w:color="000000"/>
                </w:tcBorders>
              </w:tcPr>
            </w:tcPrChange>
          </w:tcPr>
          <w:p w14:paraId="2ED4E6B4" w14:textId="77777777" w:rsidR="00A453C3" w:rsidRPr="00707120" w:rsidRDefault="00A453C3" w:rsidP="0067693D">
            <w:pPr>
              <w:keepNext/>
              <w:keepLines/>
              <w:suppressLineNumbers/>
              <w:ind w:right="-2"/>
              <w:jc w:val="center"/>
              <w:rPr>
                <w:sz w:val="20"/>
                <w:lang w:val="lv-LV"/>
              </w:rPr>
            </w:pPr>
            <w:r w:rsidRPr="00707120">
              <w:rPr>
                <w:sz w:val="20"/>
                <w:lang w:val="lv-LV"/>
              </w:rPr>
              <w:t>56%***</w:t>
            </w:r>
          </w:p>
        </w:tc>
        <w:tc>
          <w:tcPr>
            <w:tcW w:w="782" w:type="dxa"/>
            <w:tcBorders>
              <w:top w:val="single" w:sz="4" w:space="0" w:color="000000"/>
              <w:left w:val="single" w:sz="4" w:space="0" w:color="000000"/>
              <w:bottom w:val="single" w:sz="4" w:space="0" w:color="000000"/>
            </w:tcBorders>
            <w:tcPrChange w:id="1170" w:author="Author">
              <w:tcPr>
                <w:tcW w:w="782" w:type="dxa"/>
                <w:gridSpan w:val="2"/>
                <w:tcBorders>
                  <w:top w:val="single" w:sz="4" w:space="0" w:color="000000"/>
                  <w:left w:val="single" w:sz="4" w:space="0" w:color="000000"/>
                  <w:bottom w:val="single" w:sz="4" w:space="0" w:color="000000"/>
                </w:tcBorders>
              </w:tcPr>
            </w:tcPrChange>
          </w:tcPr>
          <w:p w14:paraId="38A361AE" w14:textId="77777777" w:rsidR="00A453C3" w:rsidRPr="00707120" w:rsidRDefault="00A453C3" w:rsidP="0067693D">
            <w:pPr>
              <w:keepNext/>
              <w:keepLines/>
              <w:suppressLineNumbers/>
              <w:ind w:right="-2"/>
              <w:jc w:val="center"/>
              <w:rPr>
                <w:sz w:val="20"/>
                <w:lang w:val="lv-LV"/>
              </w:rPr>
            </w:pPr>
            <w:r w:rsidRPr="00707120">
              <w:rPr>
                <w:sz w:val="20"/>
                <w:lang w:val="lv-LV"/>
              </w:rPr>
              <w:t>27%</w:t>
            </w:r>
          </w:p>
        </w:tc>
        <w:tc>
          <w:tcPr>
            <w:tcW w:w="919" w:type="dxa"/>
            <w:tcBorders>
              <w:top w:val="single" w:sz="4" w:space="0" w:color="000000"/>
              <w:left w:val="single" w:sz="4" w:space="0" w:color="000000"/>
              <w:bottom w:val="single" w:sz="4" w:space="0" w:color="000000"/>
            </w:tcBorders>
            <w:tcPrChange w:id="1171" w:author="Author">
              <w:tcPr>
                <w:tcW w:w="919" w:type="dxa"/>
                <w:gridSpan w:val="2"/>
                <w:tcBorders>
                  <w:top w:val="single" w:sz="4" w:space="0" w:color="000000"/>
                  <w:left w:val="single" w:sz="4" w:space="0" w:color="000000"/>
                  <w:bottom w:val="single" w:sz="4" w:space="0" w:color="000000"/>
                </w:tcBorders>
              </w:tcPr>
            </w:tcPrChange>
          </w:tcPr>
          <w:p w14:paraId="6EE72554" w14:textId="77777777" w:rsidR="00A453C3" w:rsidRPr="00707120" w:rsidRDefault="00A453C3" w:rsidP="0067693D">
            <w:pPr>
              <w:keepNext/>
              <w:keepLines/>
              <w:suppressLineNumbers/>
              <w:ind w:right="-2"/>
              <w:jc w:val="center"/>
              <w:rPr>
                <w:sz w:val="20"/>
                <w:lang w:val="lv-LV"/>
              </w:rPr>
            </w:pPr>
            <w:r w:rsidRPr="00707120">
              <w:rPr>
                <w:sz w:val="20"/>
                <w:lang w:val="lv-LV"/>
              </w:rPr>
              <w:t>59%***</w:t>
            </w:r>
          </w:p>
        </w:tc>
        <w:tc>
          <w:tcPr>
            <w:tcW w:w="769" w:type="dxa"/>
            <w:tcBorders>
              <w:top w:val="single" w:sz="4" w:space="0" w:color="000000"/>
              <w:left w:val="single" w:sz="4" w:space="0" w:color="000000"/>
              <w:bottom w:val="single" w:sz="4" w:space="0" w:color="000000"/>
            </w:tcBorders>
            <w:tcPrChange w:id="1172" w:author="Author">
              <w:tcPr>
                <w:tcW w:w="769" w:type="dxa"/>
                <w:gridSpan w:val="2"/>
                <w:tcBorders>
                  <w:top w:val="single" w:sz="4" w:space="0" w:color="000000"/>
                  <w:left w:val="single" w:sz="4" w:space="0" w:color="000000"/>
                  <w:bottom w:val="single" w:sz="4" w:space="0" w:color="000000"/>
                </w:tcBorders>
              </w:tcPr>
            </w:tcPrChange>
          </w:tcPr>
          <w:p w14:paraId="348FEE8B" w14:textId="77777777" w:rsidR="00A453C3" w:rsidRPr="00707120" w:rsidRDefault="00A453C3" w:rsidP="0067693D">
            <w:pPr>
              <w:keepNext/>
              <w:keepLines/>
              <w:suppressLineNumbers/>
              <w:ind w:right="-2"/>
              <w:jc w:val="center"/>
              <w:rPr>
                <w:sz w:val="20"/>
                <w:lang w:val="lv-LV"/>
              </w:rPr>
            </w:pPr>
            <w:r w:rsidRPr="00707120">
              <w:rPr>
                <w:sz w:val="20"/>
                <w:lang w:val="lv-LV"/>
              </w:rPr>
              <w:t>26%</w:t>
            </w:r>
          </w:p>
        </w:tc>
        <w:tc>
          <w:tcPr>
            <w:tcW w:w="929" w:type="dxa"/>
            <w:tcBorders>
              <w:top w:val="single" w:sz="4" w:space="0" w:color="000000"/>
              <w:left w:val="single" w:sz="4" w:space="0" w:color="000000"/>
              <w:bottom w:val="single" w:sz="4" w:space="0" w:color="000000"/>
            </w:tcBorders>
            <w:tcPrChange w:id="1173" w:author="Author">
              <w:tcPr>
                <w:tcW w:w="929" w:type="dxa"/>
                <w:gridSpan w:val="2"/>
                <w:tcBorders>
                  <w:top w:val="single" w:sz="4" w:space="0" w:color="000000"/>
                  <w:left w:val="single" w:sz="4" w:space="0" w:color="000000"/>
                  <w:bottom w:val="single" w:sz="4" w:space="0" w:color="000000"/>
                </w:tcBorders>
              </w:tcPr>
            </w:tcPrChange>
          </w:tcPr>
          <w:p w14:paraId="10BF1B0C" w14:textId="77777777" w:rsidR="00A453C3" w:rsidRPr="00707120" w:rsidRDefault="00A453C3" w:rsidP="0067693D">
            <w:pPr>
              <w:keepNext/>
              <w:keepLines/>
              <w:suppressLineNumbers/>
              <w:ind w:right="-2"/>
              <w:jc w:val="center"/>
              <w:rPr>
                <w:sz w:val="20"/>
                <w:lang w:val="lv-LV"/>
              </w:rPr>
            </w:pPr>
            <w:r w:rsidRPr="00707120">
              <w:rPr>
                <w:sz w:val="20"/>
                <w:lang w:val="lv-LV"/>
              </w:rPr>
              <w:t>61%***</w:t>
            </w:r>
          </w:p>
        </w:tc>
        <w:tc>
          <w:tcPr>
            <w:tcW w:w="931" w:type="dxa"/>
            <w:gridSpan w:val="2"/>
            <w:tcBorders>
              <w:top w:val="single" w:sz="4" w:space="0" w:color="000000"/>
              <w:left w:val="single" w:sz="4" w:space="0" w:color="000000"/>
              <w:bottom w:val="single" w:sz="4" w:space="0" w:color="000000"/>
            </w:tcBorders>
            <w:tcPrChange w:id="1174" w:author="Author">
              <w:tcPr>
                <w:tcW w:w="931" w:type="dxa"/>
                <w:gridSpan w:val="3"/>
                <w:tcBorders>
                  <w:top w:val="single" w:sz="4" w:space="0" w:color="000000"/>
                  <w:left w:val="single" w:sz="4" w:space="0" w:color="000000"/>
                  <w:bottom w:val="single" w:sz="4" w:space="0" w:color="000000"/>
                </w:tcBorders>
              </w:tcPr>
            </w:tcPrChange>
          </w:tcPr>
          <w:p w14:paraId="0E7D58F4" w14:textId="77777777" w:rsidR="00A453C3" w:rsidRPr="00707120" w:rsidRDefault="00A453C3" w:rsidP="0067693D">
            <w:pPr>
              <w:keepNext/>
              <w:keepLines/>
              <w:suppressLineNumbers/>
              <w:ind w:right="-2"/>
              <w:jc w:val="center"/>
              <w:rPr>
                <w:sz w:val="20"/>
                <w:lang w:val="lv-LV"/>
              </w:rPr>
            </w:pPr>
            <w:r w:rsidRPr="00707120">
              <w:rPr>
                <w:sz w:val="20"/>
                <w:lang w:val="lv-LV"/>
              </w:rPr>
              <w:t>24%</w:t>
            </w:r>
          </w:p>
        </w:tc>
        <w:tc>
          <w:tcPr>
            <w:tcW w:w="914" w:type="dxa"/>
            <w:tcBorders>
              <w:top w:val="single" w:sz="4" w:space="0" w:color="000000"/>
              <w:left w:val="single" w:sz="4" w:space="0" w:color="000000"/>
              <w:bottom w:val="single" w:sz="4" w:space="0" w:color="000000"/>
            </w:tcBorders>
            <w:tcPrChange w:id="1175" w:author="Author">
              <w:tcPr>
                <w:tcW w:w="914" w:type="dxa"/>
                <w:gridSpan w:val="2"/>
                <w:tcBorders>
                  <w:top w:val="single" w:sz="4" w:space="0" w:color="000000"/>
                  <w:left w:val="single" w:sz="4" w:space="0" w:color="000000"/>
                  <w:bottom w:val="single" w:sz="4" w:space="0" w:color="000000"/>
                </w:tcBorders>
              </w:tcPr>
            </w:tcPrChange>
          </w:tcPr>
          <w:p w14:paraId="79CA47F4" w14:textId="77777777" w:rsidR="00A453C3" w:rsidRPr="00707120" w:rsidRDefault="00A453C3" w:rsidP="0067693D">
            <w:pPr>
              <w:keepNext/>
              <w:keepLines/>
              <w:suppressLineNumbers/>
              <w:ind w:right="-2"/>
              <w:jc w:val="center"/>
              <w:rPr>
                <w:sz w:val="20"/>
                <w:lang w:val="lv-LV"/>
              </w:rPr>
            </w:pPr>
            <w:r w:rsidRPr="00707120">
              <w:rPr>
                <w:sz w:val="20"/>
                <w:lang w:val="lv-LV"/>
              </w:rPr>
              <w:t>50%***</w:t>
            </w:r>
          </w:p>
        </w:tc>
        <w:tc>
          <w:tcPr>
            <w:tcW w:w="802" w:type="dxa"/>
            <w:tcBorders>
              <w:top w:val="single" w:sz="4" w:space="0" w:color="000000"/>
              <w:left w:val="single" w:sz="4" w:space="0" w:color="000000"/>
              <w:bottom w:val="single" w:sz="4" w:space="0" w:color="000000"/>
              <w:right w:val="single" w:sz="4" w:space="0" w:color="000000"/>
            </w:tcBorders>
            <w:tcPrChange w:id="1176" w:author="Author">
              <w:tcPr>
                <w:tcW w:w="802" w:type="dxa"/>
                <w:gridSpan w:val="2"/>
                <w:tcBorders>
                  <w:top w:val="single" w:sz="4" w:space="0" w:color="000000"/>
                  <w:left w:val="single" w:sz="4" w:space="0" w:color="000000"/>
                  <w:bottom w:val="single" w:sz="4" w:space="0" w:color="000000"/>
                  <w:right w:val="single" w:sz="4" w:space="0" w:color="000000"/>
                </w:tcBorders>
              </w:tcPr>
            </w:tcPrChange>
          </w:tcPr>
          <w:p w14:paraId="60374823" w14:textId="77777777" w:rsidR="00A453C3" w:rsidRPr="00707120" w:rsidRDefault="00A453C3" w:rsidP="0067693D">
            <w:pPr>
              <w:keepNext/>
              <w:keepLines/>
              <w:suppressLineNumbers/>
              <w:ind w:right="-2"/>
              <w:jc w:val="center"/>
              <w:rPr>
                <w:sz w:val="20"/>
                <w:lang w:val="lv-LV"/>
              </w:rPr>
            </w:pPr>
            <w:r w:rsidRPr="00707120">
              <w:rPr>
                <w:sz w:val="20"/>
                <w:lang w:val="lv-LV"/>
              </w:rPr>
              <w:t>10%</w:t>
            </w:r>
          </w:p>
        </w:tc>
      </w:tr>
      <w:tr w:rsidR="00A453C3" w:rsidRPr="00CA547A" w14:paraId="491C23A4" w14:textId="77777777" w:rsidTr="002007A3">
        <w:trPr>
          <w:trPrChange w:id="1177" w:author="Author">
            <w:trPr>
              <w:gridBefore w:val="1"/>
            </w:trPr>
          </w:trPrChange>
        </w:trPr>
        <w:tc>
          <w:tcPr>
            <w:tcW w:w="772" w:type="dxa"/>
            <w:gridSpan w:val="2"/>
            <w:tcBorders>
              <w:top w:val="single" w:sz="4" w:space="0" w:color="000000"/>
              <w:left w:val="single" w:sz="4" w:space="0" w:color="000000"/>
              <w:bottom w:val="single" w:sz="4" w:space="0" w:color="000000"/>
            </w:tcBorders>
            <w:tcPrChange w:id="1178" w:author="Author">
              <w:tcPr>
                <w:tcW w:w="772" w:type="dxa"/>
                <w:gridSpan w:val="3"/>
                <w:tcBorders>
                  <w:top w:val="single" w:sz="4" w:space="0" w:color="000000"/>
                  <w:left w:val="single" w:sz="4" w:space="0" w:color="000000"/>
                  <w:bottom w:val="single" w:sz="4" w:space="0" w:color="000000"/>
                </w:tcBorders>
              </w:tcPr>
            </w:tcPrChange>
          </w:tcPr>
          <w:p w14:paraId="33EB5839" w14:textId="77777777" w:rsidR="00A453C3" w:rsidRPr="00707120" w:rsidRDefault="00A453C3" w:rsidP="0067693D">
            <w:pPr>
              <w:keepNext/>
              <w:keepLines/>
              <w:suppressLineNumbers/>
              <w:ind w:right="-2"/>
              <w:jc w:val="center"/>
              <w:rPr>
                <w:sz w:val="20"/>
                <w:lang w:val="lv-LV"/>
              </w:rPr>
            </w:pPr>
            <w:r w:rsidRPr="00707120">
              <w:rPr>
                <w:sz w:val="20"/>
                <w:lang w:val="lv-LV"/>
              </w:rPr>
              <w:t>52.</w:t>
            </w:r>
          </w:p>
        </w:tc>
        <w:tc>
          <w:tcPr>
            <w:tcW w:w="922" w:type="dxa"/>
            <w:tcBorders>
              <w:top w:val="single" w:sz="4" w:space="0" w:color="000000"/>
              <w:left w:val="single" w:sz="4" w:space="0" w:color="000000"/>
              <w:bottom w:val="single" w:sz="4" w:space="0" w:color="000000"/>
            </w:tcBorders>
            <w:tcPrChange w:id="1179" w:author="Author">
              <w:tcPr>
                <w:tcW w:w="922" w:type="dxa"/>
                <w:gridSpan w:val="2"/>
                <w:tcBorders>
                  <w:top w:val="single" w:sz="4" w:space="0" w:color="000000"/>
                  <w:left w:val="single" w:sz="4" w:space="0" w:color="000000"/>
                  <w:bottom w:val="single" w:sz="4" w:space="0" w:color="000000"/>
                </w:tcBorders>
              </w:tcPr>
            </w:tcPrChange>
          </w:tcPr>
          <w:p w14:paraId="66A4617D" w14:textId="77777777" w:rsidR="00A453C3" w:rsidRPr="00707120" w:rsidRDefault="00A453C3" w:rsidP="0067693D">
            <w:pPr>
              <w:keepNext/>
              <w:keepLines/>
              <w:suppressLineNumbers/>
              <w:snapToGrid w:val="0"/>
              <w:ind w:right="-2"/>
              <w:jc w:val="center"/>
              <w:rPr>
                <w:sz w:val="20"/>
                <w:lang w:val="lv-LV"/>
              </w:rPr>
            </w:pPr>
          </w:p>
        </w:tc>
        <w:tc>
          <w:tcPr>
            <w:tcW w:w="839" w:type="dxa"/>
            <w:tcBorders>
              <w:top w:val="single" w:sz="4" w:space="0" w:color="000000"/>
              <w:left w:val="single" w:sz="4" w:space="0" w:color="000000"/>
              <w:bottom w:val="single" w:sz="4" w:space="0" w:color="000000"/>
            </w:tcBorders>
            <w:tcPrChange w:id="1180" w:author="Author">
              <w:tcPr>
                <w:tcW w:w="671" w:type="dxa"/>
                <w:tcBorders>
                  <w:top w:val="single" w:sz="4" w:space="0" w:color="000000"/>
                  <w:left w:val="single" w:sz="4" w:space="0" w:color="000000"/>
                  <w:bottom w:val="single" w:sz="4" w:space="0" w:color="000000"/>
                </w:tcBorders>
              </w:tcPr>
            </w:tcPrChange>
          </w:tcPr>
          <w:p w14:paraId="4B3CEFFF" w14:textId="77777777" w:rsidR="00A453C3" w:rsidRPr="00707120" w:rsidRDefault="00A453C3" w:rsidP="0067693D">
            <w:pPr>
              <w:keepNext/>
              <w:keepLines/>
              <w:suppressLineNumbers/>
              <w:snapToGrid w:val="0"/>
              <w:ind w:right="-2"/>
              <w:jc w:val="center"/>
              <w:rPr>
                <w:sz w:val="20"/>
                <w:lang w:val="lv-LV"/>
              </w:rPr>
            </w:pPr>
          </w:p>
        </w:tc>
        <w:tc>
          <w:tcPr>
            <w:tcW w:w="738" w:type="dxa"/>
            <w:tcBorders>
              <w:top w:val="single" w:sz="4" w:space="0" w:color="000000"/>
              <w:left w:val="single" w:sz="4" w:space="0" w:color="000000"/>
              <w:bottom w:val="single" w:sz="4" w:space="0" w:color="000000"/>
            </w:tcBorders>
            <w:tcPrChange w:id="1181" w:author="Author">
              <w:tcPr>
                <w:tcW w:w="906" w:type="dxa"/>
                <w:gridSpan w:val="3"/>
                <w:tcBorders>
                  <w:top w:val="single" w:sz="4" w:space="0" w:color="000000"/>
                  <w:left w:val="single" w:sz="4" w:space="0" w:color="000000"/>
                  <w:bottom w:val="single" w:sz="4" w:space="0" w:color="000000"/>
                </w:tcBorders>
              </w:tcPr>
            </w:tcPrChange>
          </w:tcPr>
          <w:p w14:paraId="7BCFDF93" w14:textId="77777777" w:rsidR="00A453C3" w:rsidRPr="00707120" w:rsidRDefault="00A453C3" w:rsidP="0067693D">
            <w:pPr>
              <w:keepNext/>
              <w:keepLines/>
              <w:suppressLineNumbers/>
              <w:ind w:right="-2"/>
              <w:jc w:val="center"/>
              <w:rPr>
                <w:sz w:val="20"/>
                <w:lang w:val="lv-LV"/>
              </w:rPr>
            </w:pPr>
            <w:r w:rsidRPr="00707120">
              <w:rPr>
                <w:sz w:val="20"/>
                <w:lang w:val="lv-LV"/>
              </w:rPr>
              <w:t>56%***</w:t>
            </w:r>
          </w:p>
        </w:tc>
        <w:tc>
          <w:tcPr>
            <w:tcW w:w="782" w:type="dxa"/>
            <w:tcBorders>
              <w:top w:val="single" w:sz="4" w:space="0" w:color="000000"/>
              <w:left w:val="single" w:sz="4" w:space="0" w:color="000000"/>
              <w:bottom w:val="single" w:sz="4" w:space="0" w:color="000000"/>
            </w:tcBorders>
            <w:tcPrChange w:id="1182" w:author="Author">
              <w:tcPr>
                <w:tcW w:w="782" w:type="dxa"/>
                <w:gridSpan w:val="2"/>
                <w:tcBorders>
                  <w:top w:val="single" w:sz="4" w:space="0" w:color="000000"/>
                  <w:left w:val="single" w:sz="4" w:space="0" w:color="000000"/>
                  <w:bottom w:val="single" w:sz="4" w:space="0" w:color="000000"/>
                </w:tcBorders>
              </w:tcPr>
            </w:tcPrChange>
          </w:tcPr>
          <w:p w14:paraId="70C117B7" w14:textId="77777777" w:rsidR="00A453C3" w:rsidRPr="00707120" w:rsidRDefault="00A453C3" w:rsidP="0067693D">
            <w:pPr>
              <w:keepNext/>
              <w:keepLines/>
              <w:suppressLineNumbers/>
              <w:ind w:right="-2"/>
              <w:jc w:val="center"/>
              <w:rPr>
                <w:sz w:val="20"/>
                <w:lang w:val="lv-LV"/>
              </w:rPr>
            </w:pPr>
            <w:r w:rsidRPr="00707120">
              <w:rPr>
                <w:sz w:val="20"/>
                <w:lang w:val="lv-LV"/>
              </w:rPr>
              <w:t>25%</w:t>
            </w:r>
          </w:p>
        </w:tc>
        <w:tc>
          <w:tcPr>
            <w:tcW w:w="919" w:type="dxa"/>
            <w:tcBorders>
              <w:top w:val="single" w:sz="4" w:space="0" w:color="000000"/>
              <w:left w:val="single" w:sz="4" w:space="0" w:color="000000"/>
              <w:bottom w:val="single" w:sz="4" w:space="0" w:color="000000"/>
            </w:tcBorders>
            <w:tcPrChange w:id="1183" w:author="Author">
              <w:tcPr>
                <w:tcW w:w="919" w:type="dxa"/>
                <w:gridSpan w:val="2"/>
                <w:tcBorders>
                  <w:top w:val="single" w:sz="4" w:space="0" w:color="000000"/>
                  <w:left w:val="single" w:sz="4" w:space="0" w:color="000000"/>
                  <w:bottom w:val="single" w:sz="4" w:space="0" w:color="000000"/>
                </w:tcBorders>
              </w:tcPr>
            </w:tcPrChange>
          </w:tcPr>
          <w:p w14:paraId="3AB7B780" w14:textId="77777777" w:rsidR="00A453C3" w:rsidRPr="00707120" w:rsidRDefault="00A453C3" w:rsidP="0067693D">
            <w:pPr>
              <w:keepNext/>
              <w:keepLines/>
              <w:suppressLineNumbers/>
              <w:snapToGrid w:val="0"/>
              <w:ind w:right="-2"/>
              <w:jc w:val="center"/>
              <w:rPr>
                <w:sz w:val="20"/>
                <w:lang w:val="lv-LV"/>
              </w:rPr>
            </w:pPr>
          </w:p>
        </w:tc>
        <w:tc>
          <w:tcPr>
            <w:tcW w:w="769" w:type="dxa"/>
            <w:tcBorders>
              <w:top w:val="single" w:sz="4" w:space="0" w:color="000000"/>
              <w:left w:val="single" w:sz="4" w:space="0" w:color="000000"/>
              <w:bottom w:val="single" w:sz="4" w:space="0" w:color="000000"/>
            </w:tcBorders>
            <w:tcPrChange w:id="1184" w:author="Author">
              <w:tcPr>
                <w:tcW w:w="769" w:type="dxa"/>
                <w:gridSpan w:val="2"/>
                <w:tcBorders>
                  <w:top w:val="single" w:sz="4" w:space="0" w:color="000000"/>
                  <w:left w:val="single" w:sz="4" w:space="0" w:color="000000"/>
                  <w:bottom w:val="single" w:sz="4" w:space="0" w:color="000000"/>
                </w:tcBorders>
              </w:tcPr>
            </w:tcPrChange>
          </w:tcPr>
          <w:p w14:paraId="35077242" w14:textId="77777777" w:rsidR="00A453C3" w:rsidRPr="00707120" w:rsidRDefault="00A453C3" w:rsidP="0067693D">
            <w:pPr>
              <w:keepNext/>
              <w:keepLines/>
              <w:suppressLineNumbers/>
              <w:snapToGrid w:val="0"/>
              <w:ind w:right="-2"/>
              <w:jc w:val="center"/>
              <w:rPr>
                <w:sz w:val="20"/>
                <w:lang w:val="lv-LV"/>
              </w:rPr>
            </w:pPr>
          </w:p>
        </w:tc>
        <w:tc>
          <w:tcPr>
            <w:tcW w:w="929" w:type="dxa"/>
            <w:tcBorders>
              <w:top w:val="single" w:sz="4" w:space="0" w:color="000000"/>
              <w:left w:val="single" w:sz="4" w:space="0" w:color="000000"/>
              <w:bottom w:val="single" w:sz="4" w:space="0" w:color="000000"/>
            </w:tcBorders>
            <w:tcPrChange w:id="1185" w:author="Author">
              <w:tcPr>
                <w:tcW w:w="929" w:type="dxa"/>
                <w:gridSpan w:val="2"/>
                <w:tcBorders>
                  <w:top w:val="single" w:sz="4" w:space="0" w:color="000000"/>
                  <w:left w:val="single" w:sz="4" w:space="0" w:color="000000"/>
                  <w:bottom w:val="single" w:sz="4" w:space="0" w:color="000000"/>
                </w:tcBorders>
              </w:tcPr>
            </w:tcPrChange>
          </w:tcPr>
          <w:p w14:paraId="79B70FC3" w14:textId="77777777" w:rsidR="00A453C3" w:rsidRPr="00707120" w:rsidRDefault="00A453C3" w:rsidP="0067693D">
            <w:pPr>
              <w:keepNext/>
              <w:keepLines/>
              <w:suppressLineNumbers/>
              <w:snapToGrid w:val="0"/>
              <w:ind w:right="-2"/>
              <w:jc w:val="center"/>
              <w:rPr>
                <w:sz w:val="20"/>
                <w:lang w:val="lv-LV"/>
              </w:rPr>
            </w:pPr>
          </w:p>
        </w:tc>
        <w:tc>
          <w:tcPr>
            <w:tcW w:w="931" w:type="dxa"/>
            <w:gridSpan w:val="2"/>
            <w:tcBorders>
              <w:top w:val="single" w:sz="4" w:space="0" w:color="000000"/>
              <w:left w:val="single" w:sz="4" w:space="0" w:color="000000"/>
              <w:bottom w:val="single" w:sz="4" w:space="0" w:color="000000"/>
            </w:tcBorders>
            <w:tcPrChange w:id="1186" w:author="Author">
              <w:tcPr>
                <w:tcW w:w="931" w:type="dxa"/>
                <w:gridSpan w:val="3"/>
                <w:tcBorders>
                  <w:top w:val="single" w:sz="4" w:space="0" w:color="000000"/>
                  <w:left w:val="single" w:sz="4" w:space="0" w:color="000000"/>
                  <w:bottom w:val="single" w:sz="4" w:space="0" w:color="000000"/>
                </w:tcBorders>
              </w:tcPr>
            </w:tcPrChange>
          </w:tcPr>
          <w:p w14:paraId="7EE4981C" w14:textId="77777777" w:rsidR="00A453C3" w:rsidRPr="00707120" w:rsidRDefault="00A453C3" w:rsidP="0067693D">
            <w:pPr>
              <w:keepNext/>
              <w:keepLines/>
              <w:suppressLineNumbers/>
              <w:snapToGrid w:val="0"/>
              <w:ind w:right="-2"/>
              <w:jc w:val="center"/>
              <w:rPr>
                <w:sz w:val="20"/>
                <w:lang w:val="lv-LV"/>
              </w:rPr>
            </w:pPr>
          </w:p>
        </w:tc>
        <w:tc>
          <w:tcPr>
            <w:tcW w:w="914" w:type="dxa"/>
            <w:tcBorders>
              <w:top w:val="single" w:sz="4" w:space="0" w:color="000000"/>
              <w:left w:val="single" w:sz="4" w:space="0" w:color="000000"/>
              <w:bottom w:val="single" w:sz="4" w:space="0" w:color="000000"/>
            </w:tcBorders>
            <w:tcPrChange w:id="1187" w:author="Author">
              <w:tcPr>
                <w:tcW w:w="914" w:type="dxa"/>
                <w:gridSpan w:val="2"/>
                <w:tcBorders>
                  <w:top w:val="single" w:sz="4" w:space="0" w:color="000000"/>
                  <w:left w:val="single" w:sz="4" w:space="0" w:color="000000"/>
                  <w:bottom w:val="single" w:sz="4" w:space="0" w:color="000000"/>
                </w:tcBorders>
              </w:tcPr>
            </w:tcPrChange>
          </w:tcPr>
          <w:p w14:paraId="22AC5625" w14:textId="77777777" w:rsidR="00A453C3" w:rsidRPr="00707120" w:rsidRDefault="00A453C3" w:rsidP="0067693D">
            <w:pPr>
              <w:keepNext/>
              <w:keepLines/>
              <w:suppressLineNumbers/>
              <w:snapToGrid w:val="0"/>
              <w:ind w:right="-2"/>
              <w:jc w:val="center"/>
              <w:rPr>
                <w:sz w:val="20"/>
                <w:lang w:val="lv-LV"/>
              </w:rPr>
            </w:pPr>
          </w:p>
        </w:tc>
        <w:tc>
          <w:tcPr>
            <w:tcW w:w="802" w:type="dxa"/>
            <w:tcBorders>
              <w:top w:val="single" w:sz="4" w:space="0" w:color="000000"/>
              <w:left w:val="single" w:sz="4" w:space="0" w:color="000000"/>
              <w:bottom w:val="single" w:sz="4" w:space="0" w:color="000000"/>
              <w:right w:val="single" w:sz="4" w:space="0" w:color="000000"/>
            </w:tcBorders>
            <w:tcPrChange w:id="1188" w:author="Author">
              <w:tcPr>
                <w:tcW w:w="802" w:type="dxa"/>
                <w:gridSpan w:val="2"/>
                <w:tcBorders>
                  <w:top w:val="single" w:sz="4" w:space="0" w:color="000000"/>
                  <w:left w:val="single" w:sz="4" w:space="0" w:color="000000"/>
                  <w:bottom w:val="single" w:sz="4" w:space="0" w:color="000000"/>
                  <w:right w:val="single" w:sz="4" w:space="0" w:color="000000"/>
                </w:tcBorders>
              </w:tcPr>
            </w:tcPrChange>
          </w:tcPr>
          <w:p w14:paraId="4871998A" w14:textId="77777777" w:rsidR="00A453C3" w:rsidRPr="00707120" w:rsidRDefault="00A453C3" w:rsidP="0067693D">
            <w:pPr>
              <w:keepNext/>
              <w:keepLines/>
              <w:suppressLineNumbers/>
              <w:snapToGrid w:val="0"/>
              <w:ind w:right="-2"/>
              <w:jc w:val="center"/>
              <w:rPr>
                <w:sz w:val="20"/>
                <w:lang w:val="lv-LV"/>
              </w:rPr>
            </w:pPr>
          </w:p>
        </w:tc>
      </w:tr>
      <w:tr w:rsidR="00A453C3" w:rsidRPr="00CA547A" w14:paraId="4F8CF1A5" w14:textId="77777777" w:rsidTr="0067693D">
        <w:tc>
          <w:tcPr>
            <w:tcW w:w="9317" w:type="dxa"/>
            <w:gridSpan w:val="13"/>
            <w:tcBorders>
              <w:top w:val="single" w:sz="4" w:space="0" w:color="000000"/>
              <w:left w:val="single" w:sz="4" w:space="0" w:color="000000"/>
              <w:bottom w:val="single" w:sz="4" w:space="0" w:color="000000"/>
              <w:right w:val="single" w:sz="4" w:space="0" w:color="000000"/>
            </w:tcBorders>
          </w:tcPr>
          <w:p w14:paraId="5790229E" w14:textId="468CAD48" w:rsidR="00A453C3" w:rsidRPr="00707120" w:rsidRDefault="00A453C3" w:rsidP="0067693D">
            <w:pPr>
              <w:keepNext/>
              <w:keepLines/>
              <w:suppressLineNumbers/>
              <w:ind w:right="-2"/>
              <w:jc w:val="center"/>
              <w:rPr>
                <w:sz w:val="20"/>
                <w:lang w:val="lv-LV"/>
              </w:rPr>
            </w:pPr>
            <w:r w:rsidRPr="00707120">
              <w:rPr>
                <w:b/>
                <w:sz w:val="20"/>
                <w:lang w:val="lv-LV"/>
              </w:rPr>
              <w:t>ACR 50</w:t>
            </w:r>
          </w:p>
        </w:tc>
      </w:tr>
      <w:tr w:rsidR="00A453C3" w:rsidRPr="00CA547A" w14:paraId="570426AB" w14:textId="77777777" w:rsidTr="002007A3">
        <w:trPr>
          <w:trPrChange w:id="1189" w:author="Author">
            <w:trPr>
              <w:gridBefore w:val="1"/>
            </w:trPr>
          </w:trPrChange>
        </w:trPr>
        <w:tc>
          <w:tcPr>
            <w:tcW w:w="772" w:type="dxa"/>
            <w:gridSpan w:val="2"/>
            <w:tcBorders>
              <w:top w:val="single" w:sz="4" w:space="0" w:color="000000"/>
              <w:left w:val="single" w:sz="4" w:space="0" w:color="000000"/>
              <w:bottom w:val="single" w:sz="4" w:space="0" w:color="000000"/>
            </w:tcBorders>
            <w:tcPrChange w:id="1190" w:author="Author">
              <w:tcPr>
                <w:tcW w:w="772" w:type="dxa"/>
                <w:gridSpan w:val="3"/>
                <w:tcBorders>
                  <w:top w:val="single" w:sz="4" w:space="0" w:color="000000"/>
                  <w:left w:val="single" w:sz="4" w:space="0" w:color="000000"/>
                  <w:bottom w:val="single" w:sz="4" w:space="0" w:color="000000"/>
                </w:tcBorders>
              </w:tcPr>
            </w:tcPrChange>
          </w:tcPr>
          <w:p w14:paraId="6D1F3682" w14:textId="77777777" w:rsidR="00A453C3" w:rsidRPr="00707120" w:rsidRDefault="00A453C3" w:rsidP="0067693D">
            <w:pPr>
              <w:keepNext/>
              <w:keepLines/>
              <w:suppressLineNumbers/>
              <w:ind w:right="-2"/>
              <w:jc w:val="center"/>
              <w:rPr>
                <w:sz w:val="20"/>
                <w:lang w:val="lv-LV"/>
              </w:rPr>
            </w:pPr>
            <w:r w:rsidRPr="00707120">
              <w:rPr>
                <w:sz w:val="20"/>
                <w:lang w:val="lv-LV"/>
              </w:rPr>
              <w:t>24.</w:t>
            </w:r>
          </w:p>
        </w:tc>
        <w:tc>
          <w:tcPr>
            <w:tcW w:w="922" w:type="dxa"/>
            <w:tcBorders>
              <w:top w:val="single" w:sz="4" w:space="0" w:color="000000"/>
              <w:left w:val="single" w:sz="4" w:space="0" w:color="000000"/>
              <w:bottom w:val="single" w:sz="4" w:space="0" w:color="000000"/>
            </w:tcBorders>
            <w:tcPrChange w:id="1191" w:author="Author">
              <w:tcPr>
                <w:tcW w:w="922" w:type="dxa"/>
                <w:gridSpan w:val="2"/>
                <w:tcBorders>
                  <w:top w:val="single" w:sz="4" w:space="0" w:color="000000"/>
                  <w:left w:val="single" w:sz="4" w:space="0" w:color="000000"/>
                  <w:bottom w:val="single" w:sz="4" w:space="0" w:color="000000"/>
                </w:tcBorders>
              </w:tcPr>
            </w:tcPrChange>
          </w:tcPr>
          <w:p w14:paraId="617B04D2" w14:textId="77777777" w:rsidR="00A453C3" w:rsidRPr="00707120" w:rsidRDefault="00A453C3" w:rsidP="0067693D">
            <w:pPr>
              <w:keepNext/>
              <w:keepLines/>
              <w:suppressLineNumbers/>
              <w:ind w:right="-2"/>
              <w:jc w:val="center"/>
              <w:rPr>
                <w:sz w:val="20"/>
                <w:lang w:val="lv-LV"/>
              </w:rPr>
            </w:pPr>
            <w:r w:rsidRPr="00707120">
              <w:rPr>
                <w:sz w:val="20"/>
                <w:lang w:val="lv-LV"/>
              </w:rPr>
              <w:t>44%**</w:t>
            </w:r>
          </w:p>
        </w:tc>
        <w:tc>
          <w:tcPr>
            <w:tcW w:w="839" w:type="dxa"/>
            <w:tcBorders>
              <w:top w:val="single" w:sz="4" w:space="0" w:color="000000"/>
              <w:left w:val="single" w:sz="4" w:space="0" w:color="000000"/>
              <w:bottom w:val="single" w:sz="4" w:space="0" w:color="000000"/>
            </w:tcBorders>
            <w:tcPrChange w:id="1192" w:author="Author">
              <w:tcPr>
                <w:tcW w:w="671" w:type="dxa"/>
                <w:tcBorders>
                  <w:top w:val="single" w:sz="4" w:space="0" w:color="000000"/>
                  <w:left w:val="single" w:sz="4" w:space="0" w:color="000000"/>
                  <w:bottom w:val="single" w:sz="4" w:space="0" w:color="000000"/>
                </w:tcBorders>
              </w:tcPr>
            </w:tcPrChange>
          </w:tcPr>
          <w:p w14:paraId="4774E632" w14:textId="77777777" w:rsidR="00A453C3" w:rsidRPr="00707120" w:rsidRDefault="00A453C3" w:rsidP="0067693D">
            <w:pPr>
              <w:keepNext/>
              <w:keepLines/>
              <w:suppressLineNumbers/>
              <w:ind w:right="-2"/>
              <w:jc w:val="center"/>
              <w:rPr>
                <w:sz w:val="20"/>
                <w:lang w:val="lv-LV"/>
              </w:rPr>
            </w:pPr>
            <w:r w:rsidRPr="00707120">
              <w:rPr>
                <w:sz w:val="20"/>
                <w:lang w:val="lv-LV"/>
              </w:rPr>
              <w:t>33%</w:t>
            </w:r>
          </w:p>
        </w:tc>
        <w:tc>
          <w:tcPr>
            <w:tcW w:w="738" w:type="dxa"/>
            <w:tcBorders>
              <w:top w:val="single" w:sz="4" w:space="0" w:color="000000"/>
              <w:left w:val="single" w:sz="4" w:space="0" w:color="000000"/>
              <w:bottom w:val="single" w:sz="4" w:space="0" w:color="000000"/>
            </w:tcBorders>
            <w:tcPrChange w:id="1193" w:author="Author">
              <w:tcPr>
                <w:tcW w:w="906" w:type="dxa"/>
                <w:gridSpan w:val="3"/>
                <w:tcBorders>
                  <w:top w:val="single" w:sz="4" w:space="0" w:color="000000"/>
                  <w:left w:val="single" w:sz="4" w:space="0" w:color="000000"/>
                  <w:bottom w:val="single" w:sz="4" w:space="0" w:color="000000"/>
                </w:tcBorders>
              </w:tcPr>
            </w:tcPrChange>
          </w:tcPr>
          <w:p w14:paraId="6AAFFA4E" w14:textId="77777777" w:rsidR="00A453C3" w:rsidRPr="00707120" w:rsidRDefault="00A453C3" w:rsidP="0067693D">
            <w:pPr>
              <w:keepNext/>
              <w:keepLines/>
              <w:suppressLineNumbers/>
              <w:ind w:right="-2"/>
              <w:jc w:val="center"/>
              <w:rPr>
                <w:sz w:val="20"/>
                <w:lang w:val="lv-LV"/>
              </w:rPr>
            </w:pPr>
            <w:r w:rsidRPr="00707120">
              <w:rPr>
                <w:sz w:val="20"/>
                <w:lang w:val="lv-LV"/>
              </w:rPr>
              <w:t>32%***</w:t>
            </w:r>
          </w:p>
        </w:tc>
        <w:tc>
          <w:tcPr>
            <w:tcW w:w="782" w:type="dxa"/>
            <w:tcBorders>
              <w:top w:val="single" w:sz="4" w:space="0" w:color="000000"/>
              <w:left w:val="single" w:sz="4" w:space="0" w:color="000000"/>
              <w:bottom w:val="single" w:sz="4" w:space="0" w:color="000000"/>
            </w:tcBorders>
            <w:tcPrChange w:id="1194" w:author="Author">
              <w:tcPr>
                <w:tcW w:w="782" w:type="dxa"/>
                <w:gridSpan w:val="2"/>
                <w:tcBorders>
                  <w:top w:val="single" w:sz="4" w:space="0" w:color="000000"/>
                  <w:left w:val="single" w:sz="4" w:space="0" w:color="000000"/>
                  <w:bottom w:val="single" w:sz="4" w:space="0" w:color="000000"/>
                </w:tcBorders>
              </w:tcPr>
            </w:tcPrChange>
          </w:tcPr>
          <w:p w14:paraId="7C2282FC" w14:textId="77777777" w:rsidR="00A453C3" w:rsidRPr="00707120" w:rsidRDefault="00A453C3" w:rsidP="0067693D">
            <w:pPr>
              <w:keepNext/>
              <w:keepLines/>
              <w:suppressLineNumbers/>
              <w:ind w:right="-2"/>
              <w:jc w:val="center"/>
              <w:rPr>
                <w:sz w:val="20"/>
                <w:lang w:val="lv-LV"/>
              </w:rPr>
            </w:pPr>
            <w:r w:rsidRPr="00707120">
              <w:rPr>
                <w:sz w:val="20"/>
                <w:lang w:val="lv-LV"/>
              </w:rPr>
              <w:t>10%</w:t>
            </w:r>
          </w:p>
        </w:tc>
        <w:tc>
          <w:tcPr>
            <w:tcW w:w="919" w:type="dxa"/>
            <w:tcBorders>
              <w:top w:val="single" w:sz="4" w:space="0" w:color="000000"/>
              <w:left w:val="single" w:sz="4" w:space="0" w:color="000000"/>
              <w:bottom w:val="single" w:sz="4" w:space="0" w:color="000000"/>
            </w:tcBorders>
            <w:tcPrChange w:id="1195" w:author="Author">
              <w:tcPr>
                <w:tcW w:w="919" w:type="dxa"/>
                <w:gridSpan w:val="2"/>
                <w:tcBorders>
                  <w:top w:val="single" w:sz="4" w:space="0" w:color="000000"/>
                  <w:left w:val="single" w:sz="4" w:space="0" w:color="000000"/>
                  <w:bottom w:val="single" w:sz="4" w:space="0" w:color="000000"/>
                </w:tcBorders>
              </w:tcPr>
            </w:tcPrChange>
          </w:tcPr>
          <w:p w14:paraId="5307F907" w14:textId="77777777" w:rsidR="00A453C3" w:rsidRPr="00707120" w:rsidRDefault="00A453C3" w:rsidP="0067693D">
            <w:pPr>
              <w:keepNext/>
              <w:keepLines/>
              <w:suppressLineNumbers/>
              <w:ind w:right="-2"/>
              <w:jc w:val="center"/>
              <w:rPr>
                <w:sz w:val="20"/>
                <w:lang w:val="lv-LV"/>
              </w:rPr>
            </w:pPr>
            <w:r w:rsidRPr="00707120">
              <w:rPr>
                <w:sz w:val="20"/>
                <w:lang w:val="lv-LV"/>
              </w:rPr>
              <w:t>44%***</w:t>
            </w:r>
          </w:p>
        </w:tc>
        <w:tc>
          <w:tcPr>
            <w:tcW w:w="769" w:type="dxa"/>
            <w:tcBorders>
              <w:top w:val="single" w:sz="4" w:space="0" w:color="000000"/>
              <w:left w:val="single" w:sz="4" w:space="0" w:color="000000"/>
              <w:bottom w:val="single" w:sz="4" w:space="0" w:color="000000"/>
            </w:tcBorders>
            <w:tcPrChange w:id="1196" w:author="Author">
              <w:tcPr>
                <w:tcW w:w="769" w:type="dxa"/>
                <w:gridSpan w:val="2"/>
                <w:tcBorders>
                  <w:top w:val="single" w:sz="4" w:space="0" w:color="000000"/>
                  <w:left w:val="single" w:sz="4" w:space="0" w:color="000000"/>
                  <w:bottom w:val="single" w:sz="4" w:space="0" w:color="000000"/>
                </w:tcBorders>
              </w:tcPr>
            </w:tcPrChange>
          </w:tcPr>
          <w:p w14:paraId="73E96891" w14:textId="77777777" w:rsidR="00A453C3" w:rsidRPr="00707120" w:rsidRDefault="00A453C3" w:rsidP="0067693D">
            <w:pPr>
              <w:keepNext/>
              <w:keepLines/>
              <w:suppressLineNumbers/>
              <w:ind w:right="-2"/>
              <w:jc w:val="center"/>
              <w:rPr>
                <w:sz w:val="20"/>
                <w:lang w:val="lv-LV"/>
              </w:rPr>
            </w:pPr>
            <w:r w:rsidRPr="00707120">
              <w:rPr>
                <w:sz w:val="20"/>
                <w:lang w:val="lv-LV"/>
              </w:rPr>
              <w:t>11%</w:t>
            </w:r>
          </w:p>
        </w:tc>
        <w:tc>
          <w:tcPr>
            <w:tcW w:w="929" w:type="dxa"/>
            <w:tcBorders>
              <w:top w:val="single" w:sz="4" w:space="0" w:color="000000"/>
              <w:left w:val="single" w:sz="4" w:space="0" w:color="000000"/>
              <w:bottom w:val="single" w:sz="4" w:space="0" w:color="000000"/>
            </w:tcBorders>
            <w:tcPrChange w:id="1197" w:author="Author">
              <w:tcPr>
                <w:tcW w:w="929" w:type="dxa"/>
                <w:gridSpan w:val="2"/>
                <w:tcBorders>
                  <w:top w:val="single" w:sz="4" w:space="0" w:color="000000"/>
                  <w:left w:val="single" w:sz="4" w:space="0" w:color="000000"/>
                  <w:bottom w:val="single" w:sz="4" w:space="0" w:color="000000"/>
                </w:tcBorders>
              </w:tcPr>
            </w:tcPrChange>
          </w:tcPr>
          <w:p w14:paraId="5C5D7983" w14:textId="77777777" w:rsidR="00A453C3" w:rsidRPr="00707120" w:rsidRDefault="00A453C3" w:rsidP="0067693D">
            <w:pPr>
              <w:keepNext/>
              <w:keepLines/>
              <w:suppressLineNumbers/>
              <w:ind w:right="-2"/>
              <w:jc w:val="center"/>
              <w:rPr>
                <w:sz w:val="20"/>
                <w:lang w:val="lv-LV"/>
              </w:rPr>
            </w:pPr>
            <w:r w:rsidRPr="00707120">
              <w:rPr>
                <w:sz w:val="20"/>
                <w:lang w:val="lv-LV"/>
              </w:rPr>
              <w:t>38%***</w:t>
            </w:r>
          </w:p>
        </w:tc>
        <w:tc>
          <w:tcPr>
            <w:tcW w:w="920" w:type="dxa"/>
            <w:tcBorders>
              <w:top w:val="single" w:sz="4" w:space="0" w:color="000000"/>
              <w:left w:val="single" w:sz="4" w:space="0" w:color="000000"/>
              <w:bottom w:val="single" w:sz="4" w:space="0" w:color="000000"/>
            </w:tcBorders>
            <w:tcPrChange w:id="1198" w:author="Author">
              <w:tcPr>
                <w:tcW w:w="920" w:type="dxa"/>
                <w:gridSpan w:val="2"/>
                <w:tcBorders>
                  <w:top w:val="single" w:sz="4" w:space="0" w:color="000000"/>
                  <w:left w:val="single" w:sz="4" w:space="0" w:color="000000"/>
                  <w:bottom w:val="single" w:sz="4" w:space="0" w:color="000000"/>
                </w:tcBorders>
              </w:tcPr>
            </w:tcPrChange>
          </w:tcPr>
          <w:p w14:paraId="090B73BB" w14:textId="77777777" w:rsidR="00A453C3" w:rsidRPr="00707120" w:rsidRDefault="00A453C3" w:rsidP="0067693D">
            <w:pPr>
              <w:keepNext/>
              <w:keepLines/>
              <w:suppressLineNumbers/>
              <w:ind w:right="-2"/>
              <w:jc w:val="center"/>
              <w:rPr>
                <w:sz w:val="20"/>
                <w:lang w:val="lv-LV"/>
              </w:rPr>
            </w:pPr>
            <w:r w:rsidRPr="00707120">
              <w:rPr>
                <w:sz w:val="20"/>
                <w:lang w:val="lv-LV"/>
              </w:rPr>
              <w:t>9%</w:t>
            </w:r>
          </w:p>
        </w:tc>
        <w:tc>
          <w:tcPr>
            <w:tcW w:w="925" w:type="dxa"/>
            <w:gridSpan w:val="2"/>
            <w:tcBorders>
              <w:top w:val="single" w:sz="4" w:space="0" w:color="000000"/>
              <w:left w:val="single" w:sz="4" w:space="0" w:color="000000"/>
              <w:bottom w:val="single" w:sz="4" w:space="0" w:color="000000"/>
            </w:tcBorders>
            <w:tcPrChange w:id="1199" w:author="Author">
              <w:tcPr>
                <w:tcW w:w="925" w:type="dxa"/>
                <w:gridSpan w:val="3"/>
                <w:tcBorders>
                  <w:top w:val="single" w:sz="4" w:space="0" w:color="000000"/>
                  <w:left w:val="single" w:sz="4" w:space="0" w:color="000000"/>
                  <w:bottom w:val="single" w:sz="4" w:space="0" w:color="000000"/>
                </w:tcBorders>
              </w:tcPr>
            </w:tcPrChange>
          </w:tcPr>
          <w:p w14:paraId="176377F2" w14:textId="77777777" w:rsidR="00A453C3" w:rsidRPr="00707120" w:rsidRDefault="00A453C3" w:rsidP="0067693D">
            <w:pPr>
              <w:keepNext/>
              <w:keepLines/>
              <w:suppressLineNumbers/>
              <w:ind w:right="-2"/>
              <w:jc w:val="center"/>
              <w:rPr>
                <w:sz w:val="20"/>
                <w:lang w:val="lv-LV"/>
              </w:rPr>
            </w:pPr>
            <w:r w:rsidRPr="00707120">
              <w:rPr>
                <w:sz w:val="20"/>
                <w:lang w:val="lv-LV"/>
              </w:rPr>
              <w:t>29%***</w:t>
            </w:r>
          </w:p>
        </w:tc>
        <w:tc>
          <w:tcPr>
            <w:tcW w:w="802" w:type="dxa"/>
            <w:tcBorders>
              <w:top w:val="single" w:sz="4" w:space="0" w:color="000000"/>
              <w:left w:val="single" w:sz="4" w:space="0" w:color="000000"/>
              <w:bottom w:val="single" w:sz="4" w:space="0" w:color="000000"/>
              <w:right w:val="single" w:sz="4" w:space="0" w:color="000000"/>
            </w:tcBorders>
            <w:tcPrChange w:id="1200" w:author="Author">
              <w:tcPr>
                <w:tcW w:w="802" w:type="dxa"/>
                <w:gridSpan w:val="2"/>
                <w:tcBorders>
                  <w:top w:val="single" w:sz="4" w:space="0" w:color="000000"/>
                  <w:left w:val="single" w:sz="4" w:space="0" w:color="000000"/>
                  <w:bottom w:val="single" w:sz="4" w:space="0" w:color="000000"/>
                  <w:right w:val="single" w:sz="4" w:space="0" w:color="000000"/>
                </w:tcBorders>
              </w:tcPr>
            </w:tcPrChange>
          </w:tcPr>
          <w:p w14:paraId="5DFD3C6E" w14:textId="77777777" w:rsidR="00A453C3" w:rsidRPr="00707120" w:rsidRDefault="00A453C3" w:rsidP="0067693D">
            <w:pPr>
              <w:keepNext/>
              <w:keepLines/>
              <w:suppressLineNumbers/>
              <w:ind w:right="-2"/>
              <w:jc w:val="center"/>
              <w:rPr>
                <w:sz w:val="20"/>
                <w:lang w:val="lv-LV"/>
              </w:rPr>
            </w:pPr>
            <w:r w:rsidRPr="00707120">
              <w:rPr>
                <w:sz w:val="20"/>
                <w:lang w:val="lv-LV"/>
              </w:rPr>
              <w:t>4%</w:t>
            </w:r>
          </w:p>
        </w:tc>
      </w:tr>
      <w:tr w:rsidR="00A453C3" w:rsidRPr="00CA547A" w14:paraId="24E17207" w14:textId="77777777" w:rsidTr="002007A3">
        <w:trPr>
          <w:trPrChange w:id="1201" w:author="Author">
            <w:trPr>
              <w:gridBefore w:val="1"/>
            </w:trPr>
          </w:trPrChange>
        </w:trPr>
        <w:tc>
          <w:tcPr>
            <w:tcW w:w="772" w:type="dxa"/>
            <w:gridSpan w:val="2"/>
            <w:tcBorders>
              <w:top w:val="single" w:sz="4" w:space="0" w:color="000000"/>
              <w:left w:val="single" w:sz="4" w:space="0" w:color="000000"/>
              <w:bottom w:val="single" w:sz="4" w:space="0" w:color="000000"/>
            </w:tcBorders>
            <w:tcPrChange w:id="1202" w:author="Author">
              <w:tcPr>
                <w:tcW w:w="772" w:type="dxa"/>
                <w:gridSpan w:val="3"/>
                <w:tcBorders>
                  <w:top w:val="single" w:sz="4" w:space="0" w:color="000000"/>
                  <w:left w:val="single" w:sz="4" w:space="0" w:color="000000"/>
                  <w:bottom w:val="single" w:sz="4" w:space="0" w:color="000000"/>
                </w:tcBorders>
              </w:tcPr>
            </w:tcPrChange>
          </w:tcPr>
          <w:p w14:paraId="554C5EBD" w14:textId="77777777" w:rsidR="00A453C3" w:rsidRPr="00707120" w:rsidRDefault="00A453C3" w:rsidP="0067693D">
            <w:pPr>
              <w:keepNext/>
              <w:keepLines/>
              <w:suppressLineNumbers/>
              <w:jc w:val="center"/>
              <w:rPr>
                <w:sz w:val="20"/>
                <w:lang w:val="lv-LV"/>
              </w:rPr>
            </w:pPr>
            <w:r w:rsidRPr="00707120">
              <w:rPr>
                <w:sz w:val="20"/>
                <w:lang w:val="lv-LV"/>
              </w:rPr>
              <w:t>52.</w:t>
            </w:r>
          </w:p>
        </w:tc>
        <w:tc>
          <w:tcPr>
            <w:tcW w:w="922" w:type="dxa"/>
            <w:tcBorders>
              <w:top w:val="single" w:sz="4" w:space="0" w:color="000000"/>
              <w:left w:val="single" w:sz="4" w:space="0" w:color="000000"/>
              <w:bottom w:val="single" w:sz="4" w:space="0" w:color="000000"/>
            </w:tcBorders>
            <w:tcPrChange w:id="1203" w:author="Author">
              <w:tcPr>
                <w:tcW w:w="922" w:type="dxa"/>
                <w:gridSpan w:val="2"/>
                <w:tcBorders>
                  <w:top w:val="single" w:sz="4" w:space="0" w:color="000000"/>
                  <w:left w:val="single" w:sz="4" w:space="0" w:color="000000"/>
                  <w:bottom w:val="single" w:sz="4" w:space="0" w:color="000000"/>
                </w:tcBorders>
              </w:tcPr>
            </w:tcPrChange>
          </w:tcPr>
          <w:p w14:paraId="6DDB52B9" w14:textId="77777777" w:rsidR="00A453C3" w:rsidRPr="00707120" w:rsidRDefault="00A453C3" w:rsidP="0067693D">
            <w:pPr>
              <w:keepNext/>
              <w:keepLines/>
              <w:suppressLineNumbers/>
              <w:snapToGrid w:val="0"/>
              <w:jc w:val="center"/>
              <w:rPr>
                <w:sz w:val="20"/>
                <w:lang w:val="lv-LV"/>
              </w:rPr>
            </w:pPr>
          </w:p>
        </w:tc>
        <w:tc>
          <w:tcPr>
            <w:tcW w:w="839" w:type="dxa"/>
            <w:tcBorders>
              <w:top w:val="single" w:sz="4" w:space="0" w:color="000000"/>
              <w:left w:val="single" w:sz="4" w:space="0" w:color="000000"/>
              <w:bottom w:val="single" w:sz="4" w:space="0" w:color="000000"/>
            </w:tcBorders>
            <w:tcPrChange w:id="1204" w:author="Author">
              <w:tcPr>
                <w:tcW w:w="671" w:type="dxa"/>
                <w:tcBorders>
                  <w:top w:val="single" w:sz="4" w:space="0" w:color="000000"/>
                  <w:left w:val="single" w:sz="4" w:space="0" w:color="000000"/>
                  <w:bottom w:val="single" w:sz="4" w:space="0" w:color="000000"/>
                </w:tcBorders>
              </w:tcPr>
            </w:tcPrChange>
          </w:tcPr>
          <w:p w14:paraId="120169C9" w14:textId="77777777" w:rsidR="00A453C3" w:rsidRPr="00707120" w:rsidRDefault="00A453C3" w:rsidP="0067693D">
            <w:pPr>
              <w:keepNext/>
              <w:keepLines/>
              <w:suppressLineNumbers/>
              <w:snapToGrid w:val="0"/>
              <w:jc w:val="center"/>
              <w:rPr>
                <w:sz w:val="20"/>
                <w:lang w:val="lv-LV"/>
              </w:rPr>
            </w:pPr>
          </w:p>
        </w:tc>
        <w:tc>
          <w:tcPr>
            <w:tcW w:w="738" w:type="dxa"/>
            <w:tcBorders>
              <w:top w:val="single" w:sz="4" w:space="0" w:color="000000"/>
              <w:left w:val="single" w:sz="4" w:space="0" w:color="000000"/>
              <w:bottom w:val="single" w:sz="4" w:space="0" w:color="000000"/>
            </w:tcBorders>
            <w:tcPrChange w:id="1205" w:author="Author">
              <w:tcPr>
                <w:tcW w:w="906" w:type="dxa"/>
                <w:gridSpan w:val="3"/>
                <w:tcBorders>
                  <w:top w:val="single" w:sz="4" w:space="0" w:color="000000"/>
                  <w:left w:val="single" w:sz="4" w:space="0" w:color="000000"/>
                  <w:bottom w:val="single" w:sz="4" w:space="0" w:color="000000"/>
                </w:tcBorders>
              </w:tcPr>
            </w:tcPrChange>
          </w:tcPr>
          <w:p w14:paraId="5B44111F" w14:textId="77777777" w:rsidR="00A453C3" w:rsidRPr="00707120" w:rsidRDefault="00A453C3" w:rsidP="0067693D">
            <w:pPr>
              <w:keepNext/>
              <w:keepLines/>
              <w:suppressLineNumbers/>
              <w:jc w:val="center"/>
              <w:rPr>
                <w:sz w:val="20"/>
                <w:lang w:val="lv-LV"/>
              </w:rPr>
            </w:pPr>
            <w:r w:rsidRPr="00707120">
              <w:rPr>
                <w:sz w:val="20"/>
                <w:lang w:val="lv-LV"/>
              </w:rPr>
              <w:t>36%***</w:t>
            </w:r>
          </w:p>
        </w:tc>
        <w:tc>
          <w:tcPr>
            <w:tcW w:w="782" w:type="dxa"/>
            <w:tcBorders>
              <w:top w:val="single" w:sz="4" w:space="0" w:color="000000"/>
              <w:left w:val="single" w:sz="4" w:space="0" w:color="000000"/>
              <w:bottom w:val="single" w:sz="4" w:space="0" w:color="000000"/>
            </w:tcBorders>
            <w:tcPrChange w:id="1206" w:author="Author">
              <w:tcPr>
                <w:tcW w:w="782" w:type="dxa"/>
                <w:gridSpan w:val="2"/>
                <w:tcBorders>
                  <w:top w:val="single" w:sz="4" w:space="0" w:color="000000"/>
                  <w:left w:val="single" w:sz="4" w:space="0" w:color="000000"/>
                  <w:bottom w:val="single" w:sz="4" w:space="0" w:color="000000"/>
                </w:tcBorders>
              </w:tcPr>
            </w:tcPrChange>
          </w:tcPr>
          <w:p w14:paraId="5D51A894" w14:textId="77777777" w:rsidR="00A453C3" w:rsidRPr="00707120" w:rsidRDefault="00A453C3" w:rsidP="0067693D">
            <w:pPr>
              <w:keepNext/>
              <w:keepLines/>
              <w:suppressLineNumbers/>
              <w:jc w:val="center"/>
              <w:rPr>
                <w:sz w:val="20"/>
                <w:lang w:val="lv-LV"/>
              </w:rPr>
            </w:pPr>
            <w:r w:rsidRPr="00707120">
              <w:rPr>
                <w:sz w:val="20"/>
                <w:lang w:val="lv-LV"/>
              </w:rPr>
              <w:t>10%</w:t>
            </w:r>
          </w:p>
        </w:tc>
        <w:tc>
          <w:tcPr>
            <w:tcW w:w="919" w:type="dxa"/>
            <w:tcBorders>
              <w:top w:val="single" w:sz="4" w:space="0" w:color="000000"/>
              <w:left w:val="single" w:sz="4" w:space="0" w:color="000000"/>
              <w:bottom w:val="single" w:sz="4" w:space="0" w:color="000000"/>
            </w:tcBorders>
            <w:tcPrChange w:id="1207" w:author="Author">
              <w:tcPr>
                <w:tcW w:w="919" w:type="dxa"/>
                <w:gridSpan w:val="2"/>
                <w:tcBorders>
                  <w:top w:val="single" w:sz="4" w:space="0" w:color="000000"/>
                  <w:left w:val="single" w:sz="4" w:space="0" w:color="000000"/>
                  <w:bottom w:val="single" w:sz="4" w:space="0" w:color="000000"/>
                </w:tcBorders>
              </w:tcPr>
            </w:tcPrChange>
          </w:tcPr>
          <w:p w14:paraId="20BD1933" w14:textId="77777777" w:rsidR="00A453C3" w:rsidRPr="00707120" w:rsidRDefault="00A453C3" w:rsidP="0067693D">
            <w:pPr>
              <w:keepNext/>
              <w:keepLines/>
              <w:suppressLineNumbers/>
              <w:snapToGrid w:val="0"/>
              <w:jc w:val="center"/>
              <w:rPr>
                <w:sz w:val="20"/>
                <w:lang w:val="lv-LV"/>
              </w:rPr>
            </w:pPr>
          </w:p>
        </w:tc>
        <w:tc>
          <w:tcPr>
            <w:tcW w:w="769" w:type="dxa"/>
            <w:tcBorders>
              <w:top w:val="single" w:sz="4" w:space="0" w:color="000000"/>
              <w:left w:val="single" w:sz="4" w:space="0" w:color="000000"/>
              <w:bottom w:val="single" w:sz="4" w:space="0" w:color="000000"/>
            </w:tcBorders>
            <w:tcPrChange w:id="1208" w:author="Author">
              <w:tcPr>
                <w:tcW w:w="769" w:type="dxa"/>
                <w:gridSpan w:val="2"/>
                <w:tcBorders>
                  <w:top w:val="single" w:sz="4" w:space="0" w:color="000000"/>
                  <w:left w:val="single" w:sz="4" w:space="0" w:color="000000"/>
                  <w:bottom w:val="single" w:sz="4" w:space="0" w:color="000000"/>
                </w:tcBorders>
              </w:tcPr>
            </w:tcPrChange>
          </w:tcPr>
          <w:p w14:paraId="117C6E6E" w14:textId="77777777" w:rsidR="00A453C3" w:rsidRPr="00707120" w:rsidRDefault="00A453C3" w:rsidP="0067693D">
            <w:pPr>
              <w:keepNext/>
              <w:keepLines/>
              <w:suppressLineNumbers/>
              <w:snapToGrid w:val="0"/>
              <w:jc w:val="center"/>
              <w:rPr>
                <w:sz w:val="20"/>
                <w:lang w:val="lv-LV"/>
              </w:rPr>
            </w:pPr>
          </w:p>
        </w:tc>
        <w:tc>
          <w:tcPr>
            <w:tcW w:w="929" w:type="dxa"/>
            <w:tcBorders>
              <w:top w:val="single" w:sz="4" w:space="0" w:color="000000"/>
              <w:left w:val="single" w:sz="4" w:space="0" w:color="000000"/>
              <w:bottom w:val="single" w:sz="4" w:space="0" w:color="000000"/>
            </w:tcBorders>
            <w:tcPrChange w:id="1209" w:author="Author">
              <w:tcPr>
                <w:tcW w:w="929" w:type="dxa"/>
                <w:gridSpan w:val="2"/>
                <w:tcBorders>
                  <w:top w:val="single" w:sz="4" w:space="0" w:color="000000"/>
                  <w:left w:val="single" w:sz="4" w:space="0" w:color="000000"/>
                  <w:bottom w:val="single" w:sz="4" w:space="0" w:color="000000"/>
                </w:tcBorders>
              </w:tcPr>
            </w:tcPrChange>
          </w:tcPr>
          <w:p w14:paraId="6DA52E93" w14:textId="77777777" w:rsidR="00A453C3" w:rsidRPr="00707120" w:rsidRDefault="00A453C3" w:rsidP="0067693D">
            <w:pPr>
              <w:keepNext/>
              <w:keepLines/>
              <w:suppressLineNumbers/>
              <w:snapToGrid w:val="0"/>
              <w:jc w:val="center"/>
              <w:rPr>
                <w:sz w:val="20"/>
                <w:lang w:val="lv-LV"/>
              </w:rPr>
            </w:pPr>
          </w:p>
        </w:tc>
        <w:tc>
          <w:tcPr>
            <w:tcW w:w="920" w:type="dxa"/>
            <w:tcBorders>
              <w:top w:val="single" w:sz="4" w:space="0" w:color="000000"/>
              <w:left w:val="single" w:sz="4" w:space="0" w:color="000000"/>
              <w:bottom w:val="single" w:sz="4" w:space="0" w:color="000000"/>
            </w:tcBorders>
            <w:tcPrChange w:id="1210" w:author="Author">
              <w:tcPr>
                <w:tcW w:w="920" w:type="dxa"/>
                <w:gridSpan w:val="2"/>
                <w:tcBorders>
                  <w:top w:val="single" w:sz="4" w:space="0" w:color="000000"/>
                  <w:left w:val="single" w:sz="4" w:space="0" w:color="000000"/>
                  <w:bottom w:val="single" w:sz="4" w:space="0" w:color="000000"/>
                </w:tcBorders>
              </w:tcPr>
            </w:tcPrChange>
          </w:tcPr>
          <w:p w14:paraId="74F8BB94" w14:textId="77777777" w:rsidR="00A453C3" w:rsidRPr="00707120" w:rsidRDefault="00A453C3" w:rsidP="0067693D">
            <w:pPr>
              <w:keepNext/>
              <w:keepLines/>
              <w:suppressLineNumbers/>
              <w:snapToGrid w:val="0"/>
              <w:jc w:val="center"/>
              <w:rPr>
                <w:sz w:val="20"/>
                <w:lang w:val="lv-LV"/>
              </w:rPr>
            </w:pPr>
          </w:p>
        </w:tc>
        <w:tc>
          <w:tcPr>
            <w:tcW w:w="925" w:type="dxa"/>
            <w:gridSpan w:val="2"/>
            <w:tcBorders>
              <w:top w:val="single" w:sz="4" w:space="0" w:color="000000"/>
              <w:left w:val="single" w:sz="4" w:space="0" w:color="000000"/>
              <w:bottom w:val="single" w:sz="4" w:space="0" w:color="000000"/>
            </w:tcBorders>
            <w:tcPrChange w:id="1211" w:author="Author">
              <w:tcPr>
                <w:tcW w:w="925" w:type="dxa"/>
                <w:gridSpan w:val="3"/>
                <w:tcBorders>
                  <w:top w:val="single" w:sz="4" w:space="0" w:color="000000"/>
                  <w:left w:val="single" w:sz="4" w:space="0" w:color="000000"/>
                  <w:bottom w:val="single" w:sz="4" w:space="0" w:color="000000"/>
                </w:tcBorders>
              </w:tcPr>
            </w:tcPrChange>
          </w:tcPr>
          <w:p w14:paraId="0541187A" w14:textId="77777777" w:rsidR="00A453C3" w:rsidRPr="00707120" w:rsidRDefault="00A453C3" w:rsidP="0067693D">
            <w:pPr>
              <w:keepNext/>
              <w:keepLines/>
              <w:suppressLineNumbers/>
              <w:snapToGrid w:val="0"/>
              <w:jc w:val="center"/>
              <w:rPr>
                <w:sz w:val="20"/>
                <w:lang w:val="lv-LV"/>
              </w:rPr>
            </w:pPr>
          </w:p>
        </w:tc>
        <w:tc>
          <w:tcPr>
            <w:tcW w:w="802" w:type="dxa"/>
            <w:tcBorders>
              <w:top w:val="single" w:sz="4" w:space="0" w:color="000000"/>
              <w:left w:val="single" w:sz="4" w:space="0" w:color="000000"/>
              <w:bottom w:val="single" w:sz="4" w:space="0" w:color="000000"/>
              <w:right w:val="single" w:sz="4" w:space="0" w:color="000000"/>
            </w:tcBorders>
            <w:tcPrChange w:id="1212" w:author="Author">
              <w:tcPr>
                <w:tcW w:w="802" w:type="dxa"/>
                <w:gridSpan w:val="2"/>
                <w:tcBorders>
                  <w:top w:val="single" w:sz="4" w:space="0" w:color="000000"/>
                  <w:left w:val="single" w:sz="4" w:space="0" w:color="000000"/>
                  <w:bottom w:val="single" w:sz="4" w:space="0" w:color="000000"/>
                  <w:right w:val="single" w:sz="4" w:space="0" w:color="000000"/>
                </w:tcBorders>
              </w:tcPr>
            </w:tcPrChange>
          </w:tcPr>
          <w:p w14:paraId="2D54AF9A" w14:textId="77777777" w:rsidR="00A453C3" w:rsidRPr="00707120" w:rsidRDefault="00A453C3" w:rsidP="0067693D">
            <w:pPr>
              <w:keepNext/>
              <w:keepLines/>
              <w:suppressLineNumbers/>
              <w:snapToGrid w:val="0"/>
              <w:jc w:val="center"/>
              <w:rPr>
                <w:sz w:val="20"/>
                <w:lang w:val="lv-LV"/>
              </w:rPr>
            </w:pPr>
          </w:p>
        </w:tc>
      </w:tr>
      <w:tr w:rsidR="00A453C3" w:rsidRPr="00CA547A" w14:paraId="6DBE933A" w14:textId="77777777" w:rsidTr="0067693D">
        <w:tc>
          <w:tcPr>
            <w:tcW w:w="9317" w:type="dxa"/>
            <w:gridSpan w:val="13"/>
            <w:tcBorders>
              <w:top w:val="single" w:sz="4" w:space="0" w:color="000000"/>
              <w:left w:val="single" w:sz="4" w:space="0" w:color="000000"/>
              <w:bottom w:val="single" w:sz="4" w:space="0" w:color="000000"/>
              <w:right w:val="single" w:sz="4" w:space="0" w:color="000000"/>
            </w:tcBorders>
          </w:tcPr>
          <w:p w14:paraId="77E02A2A" w14:textId="1DE07E6C" w:rsidR="00A453C3" w:rsidRPr="00707120" w:rsidRDefault="00A453C3" w:rsidP="0067693D">
            <w:pPr>
              <w:keepNext/>
              <w:keepLines/>
              <w:suppressLineNumbers/>
              <w:jc w:val="center"/>
              <w:rPr>
                <w:sz w:val="20"/>
                <w:lang w:val="lv-LV"/>
              </w:rPr>
            </w:pPr>
            <w:r w:rsidRPr="00707120">
              <w:rPr>
                <w:b/>
                <w:sz w:val="20"/>
                <w:lang w:val="lv-LV"/>
              </w:rPr>
              <w:t>ACR 70</w:t>
            </w:r>
          </w:p>
        </w:tc>
      </w:tr>
      <w:tr w:rsidR="00A453C3" w:rsidRPr="00CA547A" w14:paraId="3F5F5498" w14:textId="77777777" w:rsidTr="002007A3">
        <w:trPr>
          <w:trPrChange w:id="1213" w:author="Author">
            <w:trPr>
              <w:gridBefore w:val="1"/>
            </w:trPr>
          </w:trPrChange>
        </w:trPr>
        <w:tc>
          <w:tcPr>
            <w:tcW w:w="772" w:type="dxa"/>
            <w:gridSpan w:val="2"/>
            <w:tcBorders>
              <w:top w:val="single" w:sz="4" w:space="0" w:color="000000"/>
              <w:left w:val="single" w:sz="4" w:space="0" w:color="000000"/>
              <w:bottom w:val="single" w:sz="4" w:space="0" w:color="000000"/>
            </w:tcBorders>
            <w:tcPrChange w:id="1214" w:author="Author">
              <w:tcPr>
                <w:tcW w:w="772" w:type="dxa"/>
                <w:gridSpan w:val="3"/>
                <w:tcBorders>
                  <w:top w:val="single" w:sz="4" w:space="0" w:color="000000"/>
                  <w:left w:val="single" w:sz="4" w:space="0" w:color="000000"/>
                  <w:bottom w:val="single" w:sz="4" w:space="0" w:color="000000"/>
                </w:tcBorders>
              </w:tcPr>
            </w:tcPrChange>
          </w:tcPr>
          <w:p w14:paraId="43230F95" w14:textId="77777777" w:rsidR="00A453C3" w:rsidRPr="00707120" w:rsidRDefault="00A453C3" w:rsidP="0067693D">
            <w:pPr>
              <w:keepNext/>
              <w:keepLines/>
              <w:suppressLineNumbers/>
              <w:jc w:val="center"/>
              <w:rPr>
                <w:sz w:val="20"/>
                <w:lang w:val="lv-LV"/>
              </w:rPr>
            </w:pPr>
            <w:r w:rsidRPr="00707120">
              <w:rPr>
                <w:sz w:val="20"/>
                <w:lang w:val="lv-LV"/>
              </w:rPr>
              <w:t>24.</w:t>
            </w:r>
          </w:p>
        </w:tc>
        <w:tc>
          <w:tcPr>
            <w:tcW w:w="922" w:type="dxa"/>
            <w:tcBorders>
              <w:top w:val="single" w:sz="4" w:space="0" w:color="000000"/>
              <w:left w:val="single" w:sz="4" w:space="0" w:color="000000"/>
              <w:bottom w:val="single" w:sz="4" w:space="0" w:color="000000"/>
            </w:tcBorders>
            <w:tcPrChange w:id="1215" w:author="Author">
              <w:tcPr>
                <w:tcW w:w="922" w:type="dxa"/>
                <w:gridSpan w:val="2"/>
                <w:tcBorders>
                  <w:top w:val="single" w:sz="4" w:space="0" w:color="000000"/>
                  <w:left w:val="single" w:sz="4" w:space="0" w:color="000000"/>
                  <w:bottom w:val="single" w:sz="4" w:space="0" w:color="000000"/>
                </w:tcBorders>
              </w:tcPr>
            </w:tcPrChange>
          </w:tcPr>
          <w:p w14:paraId="3319962E" w14:textId="77777777" w:rsidR="00A453C3" w:rsidRPr="00707120" w:rsidRDefault="00A453C3" w:rsidP="0067693D">
            <w:pPr>
              <w:keepNext/>
              <w:keepLines/>
              <w:suppressLineNumbers/>
              <w:jc w:val="center"/>
              <w:rPr>
                <w:sz w:val="20"/>
                <w:lang w:val="lv-LV"/>
              </w:rPr>
            </w:pPr>
            <w:r w:rsidRPr="00707120">
              <w:rPr>
                <w:sz w:val="20"/>
                <w:lang w:val="lv-LV"/>
              </w:rPr>
              <w:t>28%**</w:t>
            </w:r>
          </w:p>
        </w:tc>
        <w:tc>
          <w:tcPr>
            <w:tcW w:w="839" w:type="dxa"/>
            <w:tcBorders>
              <w:top w:val="single" w:sz="4" w:space="0" w:color="000000"/>
              <w:left w:val="single" w:sz="4" w:space="0" w:color="000000"/>
              <w:bottom w:val="single" w:sz="4" w:space="0" w:color="000000"/>
            </w:tcBorders>
            <w:tcPrChange w:id="1216" w:author="Author">
              <w:tcPr>
                <w:tcW w:w="671" w:type="dxa"/>
                <w:tcBorders>
                  <w:top w:val="single" w:sz="4" w:space="0" w:color="000000"/>
                  <w:left w:val="single" w:sz="4" w:space="0" w:color="000000"/>
                  <w:bottom w:val="single" w:sz="4" w:space="0" w:color="000000"/>
                </w:tcBorders>
              </w:tcPr>
            </w:tcPrChange>
          </w:tcPr>
          <w:p w14:paraId="77A32E63" w14:textId="77777777" w:rsidR="00A453C3" w:rsidRPr="00707120" w:rsidRDefault="00A453C3" w:rsidP="0067693D">
            <w:pPr>
              <w:keepNext/>
              <w:keepLines/>
              <w:suppressLineNumbers/>
              <w:jc w:val="center"/>
              <w:rPr>
                <w:sz w:val="20"/>
                <w:lang w:val="lv-LV"/>
              </w:rPr>
            </w:pPr>
            <w:r w:rsidRPr="00707120">
              <w:rPr>
                <w:sz w:val="20"/>
                <w:lang w:val="lv-LV"/>
              </w:rPr>
              <w:t>15%</w:t>
            </w:r>
          </w:p>
        </w:tc>
        <w:tc>
          <w:tcPr>
            <w:tcW w:w="738" w:type="dxa"/>
            <w:tcBorders>
              <w:top w:val="single" w:sz="4" w:space="0" w:color="000000"/>
              <w:left w:val="single" w:sz="4" w:space="0" w:color="000000"/>
              <w:bottom w:val="single" w:sz="4" w:space="0" w:color="000000"/>
            </w:tcBorders>
            <w:tcPrChange w:id="1217" w:author="Author">
              <w:tcPr>
                <w:tcW w:w="906" w:type="dxa"/>
                <w:gridSpan w:val="3"/>
                <w:tcBorders>
                  <w:top w:val="single" w:sz="4" w:space="0" w:color="000000"/>
                  <w:left w:val="single" w:sz="4" w:space="0" w:color="000000"/>
                  <w:bottom w:val="single" w:sz="4" w:space="0" w:color="000000"/>
                </w:tcBorders>
              </w:tcPr>
            </w:tcPrChange>
          </w:tcPr>
          <w:p w14:paraId="4A377756" w14:textId="77777777" w:rsidR="00A453C3" w:rsidRPr="00707120" w:rsidRDefault="00A453C3" w:rsidP="0067693D">
            <w:pPr>
              <w:keepNext/>
              <w:keepLines/>
              <w:suppressLineNumbers/>
              <w:jc w:val="center"/>
              <w:rPr>
                <w:sz w:val="20"/>
                <w:lang w:val="lv-LV"/>
              </w:rPr>
            </w:pPr>
            <w:r w:rsidRPr="00707120">
              <w:rPr>
                <w:sz w:val="20"/>
                <w:lang w:val="lv-LV"/>
              </w:rPr>
              <w:t>13%***</w:t>
            </w:r>
          </w:p>
        </w:tc>
        <w:tc>
          <w:tcPr>
            <w:tcW w:w="782" w:type="dxa"/>
            <w:tcBorders>
              <w:top w:val="single" w:sz="4" w:space="0" w:color="000000"/>
              <w:left w:val="single" w:sz="4" w:space="0" w:color="000000"/>
              <w:bottom w:val="single" w:sz="4" w:space="0" w:color="000000"/>
            </w:tcBorders>
            <w:tcPrChange w:id="1218" w:author="Author">
              <w:tcPr>
                <w:tcW w:w="782" w:type="dxa"/>
                <w:gridSpan w:val="2"/>
                <w:tcBorders>
                  <w:top w:val="single" w:sz="4" w:space="0" w:color="000000"/>
                  <w:left w:val="single" w:sz="4" w:space="0" w:color="000000"/>
                  <w:bottom w:val="single" w:sz="4" w:space="0" w:color="000000"/>
                </w:tcBorders>
              </w:tcPr>
            </w:tcPrChange>
          </w:tcPr>
          <w:p w14:paraId="4CEA0352" w14:textId="77777777" w:rsidR="00A453C3" w:rsidRPr="00707120" w:rsidRDefault="00A453C3" w:rsidP="0067693D">
            <w:pPr>
              <w:keepNext/>
              <w:keepLines/>
              <w:suppressLineNumbers/>
              <w:jc w:val="center"/>
              <w:rPr>
                <w:sz w:val="20"/>
                <w:lang w:val="lv-LV"/>
              </w:rPr>
            </w:pPr>
            <w:r w:rsidRPr="00707120">
              <w:rPr>
                <w:sz w:val="20"/>
                <w:lang w:val="lv-LV"/>
              </w:rPr>
              <w:t>2%</w:t>
            </w:r>
          </w:p>
        </w:tc>
        <w:tc>
          <w:tcPr>
            <w:tcW w:w="919" w:type="dxa"/>
            <w:tcBorders>
              <w:top w:val="single" w:sz="4" w:space="0" w:color="000000"/>
              <w:left w:val="single" w:sz="4" w:space="0" w:color="000000"/>
              <w:bottom w:val="single" w:sz="4" w:space="0" w:color="000000"/>
            </w:tcBorders>
            <w:tcPrChange w:id="1219" w:author="Author">
              <w:tcPr>
                <w:tcW w:w="919" w:type="dxa"/>
                <w:gridSpan w:val="2"/>
                <w:tcBorders>
                  <w:top w:val="single" w:sz="4" w:space="0" w:color="000000"/>
                  <w:left w:val="single" w:sz="4" w:space="0" w:color="000000"/>
                  <w:bottom w:val="single" w:sz="4" w:space="0" w:color="000000"/>
                </w:tcBorders>
              </w:tcPr>
            </w:tcPrChange>
          </w:tcPr>
          <w:p w14:paraId="488E3BE7" w14:textId="77777777" w:rsidR="00A453C3" w:rsidRPr="00707120" w:rsidRDefault="00A453C3" w:rsidP="0067693D">
            <w:pPr>
              <w:keepNext/>
              <w:keepLines/>
              <w:suppressLineNumbers/>
              <w:jc w:val="center"/>
              <w:rPr>
                <w:sz w:val="20"/>
                <w:lang w:val="lv-LV"/>
              </w:rPr>
            </w:pPr>
            <w:r w:rsidRPr="00707120">
              <w:rPr>
                <w:sz w:val="20"/>
                <w:lang w:val="lv-LV"/>
              </w:rPr>
              <w:t>22%***</w:t>
            </w:r>
          </w:p>
        </w:tc>
        <w:tc>
          <w:tcPr>
            <w:tcW w:w="769" w:type="dxa"/>
            <w:tcBorders>
              <w:top w:val="single" w:sz="4" w:space="0" w:color="000000"/>
              <w:left w:val="single" w:sz="4" w:space="0" w:color="000000"/>
              <w:bottom w:val="single" w:sz="4" w:space="0" w:color="000000"/>
            </w:tcBorders>
            <w:tcPrChange w:id="1220" w:author="Author">
              <w:tcPr>
                <w:tcW w:w="769" w:type="dxa"/>
                <w:gridSpan w:val="2"/>
                <w:tcBorders>
                  <w:top w:val="single" w:sz="4" w:space="0" w:color="000000"/>
                  <w:left w:val="single" w:sz="4" w:space="0" w:color="000000"/>
                  <w:bottom w:val="single" w:sz="4" w:space="0" w:color="000000"/>
                </w:tcBorders>
              </w:tcPr>
            </w:tcPrChange>
          </w:tcPr>
          <w:p w14:paraId="139CE1F7" w14:textId="77777777" w:rsidR="00A453C3" w:rsidRPr="00707120" w:rsidRDefault="00A453C3" w:rsidP="0067693D">
            <w:pPr>
              <w:keepNext/>
              <w:keepLines/>
              <w:suppressLineNumbers/>
              <w:jc w:val="center"/>
              <w:rPr>
                <w:sz w:val="20"/>
                <w:lang w:val="lv-LV"/>
              </w:rPr>
            </w:pPr>
            <w:r w:rsidRPr="00707120">
              <w:rPr>
                <w:sz w:val="20"/>
                <w:lang w:val="lv-LV"/>
              </w:rPr>
              <w:t>2%</w:t>
            </w:r>
          </w:p>
        </w:tc>
        <w:tc>
          <w:tcPr>
            <w:tcW w:w="929" w:type="dxa"/>
            <w:tcBorders>
              <w:top w:val="single" w:sz="4" w:space="0" w:color="000000"/>
              <w:left w:val="single" w:sz="4" w:space="0" w:color="000000"/>
              <w:bottom w:val="single" w:sz="4" w:space="0" w:color="000000"/>
            </w:tcBorders>
            <w:tcPrChange w:id="1221" w:author="Author">
              <w:tcPr>
                <w:tcW w:w="929" w:type="dxa"/>
                <w:gridSpan w:val="2"/>
                <w:tcBorders>
                  <w:top w:val="single" w:sz="4" w:space="0" w:color="000000"/>
                  <w:left w:val="single" w:sz="4" w:space="0" w:color="000000"/>
                  <w:bottom w:val="single" w:sz="4" w:space="0" w:color="000000"/>
                </w:tcBorders>
              </w:tcPr>
            </w:tcPrChange>
          </w:tcPr>
          <w:p w14:paraId="04957A6E" w14:textId="77777777" w:rsidR="00A453C3" w:rsidRPr="00707120" w:rsidRDefault="00A453C3" w:rsidP="0067693D">
            <w:pPr>
              <w:keepNext/>
              <w:keepLines/>
              <w:suppressLineNumbers/>
              <w:jc w:val="center"/>
              <w:rPr>
                <w:sz w:val="20"/>
                <w:lang w:val="lv-LV"/>
              </w:rPr>
            </w:pPr>
            <w:r w:rsidRPr="00707120">
              <w:rPr>
                <w:sz w:val="20"/>
                <w:lang w:val="lv-LV"/>
              </w:rPr>
              <w:t>21%***</w:t>
            </w:r>
          </w:p>
        </w:tc>
        <w:tc>
          <w:tcPr>
            <w:tcW w:w="931" w:type="dxa"/>
            <w:gridSpan w:val="2"/>
            <w:tcBorders>
              <w:top w:val="single" w:sz="4" w:space="0" w:color="000000"/>
              <w:left w:val="single" w:sz="4" w:space="0" w:color="000000"/>
              <w:bottom w:val="single" w:sz="4" w:space="0" w:color="000000"/>
            </w:tcBorders>
            <w:tcPrChange w:id="1222" w:author="Author">
              <w:tcPr>
                <w:tcW w:w="931" w:type="dxa"/>
                <w:gridSpan w:val="3"/>
                <w:tcBorders>
                  <w:top w:val="single" w:sz="4" w:space="0" w:color="000000"/>
                  <w:left w:val="single" w:sz="4" w:space="0" w:color="000000"/>
                  <w:bottom w:val="single" w:sz="4" w:space="0" w:color="000000"/>
                </w:tcBorders>
              </w:tcPr>
            </w:tcPrChange>
          </w:tcPr>
          <w:p w14:paraId="75867C30" w14:textId="77777777" w:rsidR="00A453C3" w:rsidRPr="00707120" w:rsidRDefault="00A453C3" w:rsidP="0067693D">
            <w:pPr>
              <w:keepNext/>
              <w:keepLines/>
              <w:suppressLineNumbers/>
              <w:jc w:val="center"/>
              <w:rPr>
                <w:sz w:val="20"/>
                <w:lang w:val="lv-LV"/>
              </w:rPr>
            </w:pPr>
            <w:r w:rsidRPr="00707120">
              <w:rPr>
                <w:sz w:val="20"/>
                <w:lang w:val="lv-LV"/>
              </w:rPr>
              <w:t>3%</w:t>
            </w:r>
          </w:p>
        </w:tc>
        <w:tc>
          <w:tcPr>
            <w:tcW w:w="914" w:type="dxa"/>
            <w:tcBorders>
              <w:top w:val="single" w:sz="4" w:space="0" w:color="000000"/>
              <w:left w:val="single" w:sz="4" w:space="0" w:color="000000"/>
              <w:bottom w:val="single" w:sz="4" w:space="0" w:color="000000"/>
            </w:tcBorders>
            <w:tcPrChange w:id="1223" w:author="Author">
              <w:tcPr>
                <w:tcW w:w="914" w:type="dxa"/>
                <w:gridSpan w:val="2"/>
                <w:tcBorders>
                  <w:top w:val="single" w:sz="4" w:space="0" w:color="000000"/>
                  <w:left w:val="single" w:sz="4" w:space="0" w:color="000000"/>
                  <w:bottom w:val="single" w:sz="4" w:space="0" w:color="000000"/>
                </w:tcBorders>
              </w:tcPr>
            </w:tcPrChange>
          </w:tcPr>
          <w:p w14:paraId="4357406A" w14:textId="77777777" w:rsidR="00A453C3" w:rsidRPr="00707120" w:rsidRDefault="00A453C3" w:rsidP="0067693D">
            <w:pPr>
              <w:keepNext/>
              <w:keepLines/>
              <w:suppressLineNumbers/>
              <w:jc w:val="center"/>
              <w:rPr>
                <w:sz w:val="20"/>
                <w:lang w:val="lv-LV"/>
              </w:rPr>
            </w:pPr>
            <w:r w:rsidRPr="00707120">
              <w:rPr>
                <w:sz w:val="20"/>
                <w:lang w:val="lv-LV"/>
              </w:rPr>
              <w:t>12%**</w:t>
            </w:r>
          </w:p>
        </w:tc>
        <w:tc>
          <w:tcPr>
            <w:tcW w:w="802" w:type="dxa"/>
            <w:tcBorders>
              <w:top w:val="single" w:sz="4" w:space="0" w:color="000000"/>
              <w:left w:val="single" w:sz="4" w:space="0" w:color="000000"/>
              <w:bottom w:val="single" w:sz="4" w:space="0" w:color="000000"/>
              <w:right w:val="single" w:sz="4" w:space="0" w:color="000000"/>
            </w:tcBorders>
            <w:tcPrChange w:id="1224" w:author="Author">
              <w:tcPr>
                <w:tcW w:w="802" w:type="dxa"/>
                <w:gridSpan w:val="2"/>
                <w:tcBorders>
                  <w:top w:val="single" w:sz="4" w:space="0" w:color="000000"/>
                  <w:left w:val="single" w:sz="4" w:space="0" w:color="000000"/>
                  <w:bottom w:val="single" w:sz="4" w:space="0" w:color="000000"/>
                  <w:right w:val="single" w:sz="4" w:space="0" w:color="000000"/>
                </w:tcBorders>
              </w:tcPr>
            </w:tcPrChange>
          </w:tcPr>
          <w:p w14:paraId="054EE978" w14:textId="77777777" w:rsidR="00A453C3" w:rsidRPr="00707120" w:rsidRDefault="00A453C3" w:rsidP="0067693D">
            <w:pPr>
              <w:keepNext/>
              <w:keepLines/>
              <w:suppressLineNumbers/>
              <w:jc w:val="center"/>
              <w:rPr>
                <w:sz w:val="20"/>
                <w:lang w:val="lv-LV"/>
              </w:rPr>
            </w:pPr>
            <w:r w:rsidRPr="00707120">
              <w:rPr>
                <w:sz w:val="20"/>
                <w:lang w:val="lv-LV"/>
              </w:rPr>
              <w:t>1%</w:t>
            </w:r>
          </w:p>
        </w:tc>
      </w:tr>
      <w:tr w:rsidR="00A453C3" w:rsidRPr="00CA547A" w14:paraId="29BE0372" w14:textId="77777777" w:rsidTr="002007A3">
        <w:trPr>
          <w:trPrChange w:id="1225" w:author="Author">
            <w:trPr>
              <w:gridBefore w:val="1"/>
            </w:trPr>
          </w:trPrChange>
        </w:trPr>
        <w:tc>
          <w:tcPr>
            <w:tcW w:w="772" w:type="dxa"/>
            <w:gridSpan w:val="2"/>
            <w:tcBorders>
              <w:top w:val="single" w:sz="4" w:space="0" w:color="000000"/>
              <w:left w:val="single" w:sz="4" w:space="0" w:color="000000"/>
              <w:bottom w:val="single" w:sz="4" w:space="0" w:color="000000"/>
            </w:tcBorders>
            <w:tcPrChange w:id="1226" w:author="Author">
              <w:tcPr>
                <w:tcW w:w="772" w:type="dxa"/>
                <w:gridSpan w:val="3"/>
                <w:tcBorders>
                  <w:top w:val="single" w:sz="4" w:space="0" w:color="000000"/>
                  <w:left w:val="single" w:sz="4" w:space="0" w:color="000000"/>
                  <w:bottom w:val="single" w:sz="4" w:space="0" w:color="000000"/>
                </w:tcBorders>
              </w:tcPr>
            </w:tcPrChange>
          </w:tcPr>
          <w:p w14:paraId="473D274E" w14:textId="77777777" w:rsidR="00A453C3" w:rsidRPr="00707120" w:rsidRDefault="00A453C3" w:rsidP="0067693D">
            <w:pPr>
              <w:keepNext/>
              <w:keepLines/>
              <w:suppressLineNumbers/>
              <w:jc w:val="center"/>
              <w:rPr>
                <w:sz w:val="20"/>
                <w:lang w:val="lv-LV"/>
              </w:rPr>
            </w:pPr>
            <w:r w:rsidRPr="00707120">
              <w:rPr>
                <w:sz w:val="20"/>
                <w:lang w:val="lv-LV"/>
              </w:rPr>
              <w:t>52.</w:t>
            </w:r>
          </w:p>
        </w:tc>
        <w:tc>
          <w:tcPr>
            <w:tcW w:w="922" w:type="dxa"/>
            <w:tcBorders>
              <w:top w:val="single" w:sz="4" w:space="0" w:color="000000"/>
              <w:left w:val="single" w:sz="4" w:space="0" w:color="000000"/>
              <w:bottom w:val="single" w:sz="4" w:space="0" w:color="000000"/>
            </w:tcBorders>
            <w:tcPrChange w:id="1227" w:author="Author">
              <w:tcPr>
                <w:tcW w:w="922" w:type="dxa"/>
                <w:gridSpan w:val="2"/>
                <w:tcBorders>
                  <w:top w:val="single" w:sz="4" w:space="0" w:color="000000"/>
                  <w:left w:val="single" w:sz="4" w:space="0" w:color="000000"/>
                  <w:bottom w:val="single" w:sz="4" w:space="0" w:color="000000"/>
                </w:tcBorders>
              </w:tcPr>
            </w:tcPrChange>
          </w:tcPr>
          <w:p w14:paraId="1019BE3F" w14:textId="77777777" w:rsidR="00A453C3" w:rsidRPr="00707120" w:rsidRDefault="00A453C3" w:rsidP="0067693D">
            <w:pPr>
              <w:keepNext/>
              <w:keepLines/>
              <w:suppressLineNumbers/>
              <w:snapToGrid w:val="0"/>
              <w:jc w:val="center"/>
              <w:rPr>
                <w:sz w:val="20"/>
                <w:lang w:val="lv-LV"/>
              </w:rPr>
            </w:pPr>
          </w:p>
        </w:tc>
        <w:tc>
          <w:tcPr>
            <w:tcW w:w="839" w:type="dxa"/>
            <w:tcBorders>
              <w:top w:val="single" w:sz="4" w:space="0" w:color="000000"/>
              <w:bottom w:val="single" w:sz="4" w:space="0" w:color="000000"/>
            </w:tcBorders>
            <w:tcPrChange w:id="1228" w:author="Author">
              <w:tcPr>
                <w:tcW w:w="671" w:type="dxa"/>
                <w:tcBorders>
                  <w:top w:val="single" w:sz="4" w:space="0" w:color="000000"/>
                  <w:bottom w:val="single" w:sz="4" w:space="0" w:color="000000"/>
                </w:tcBorders>
              </w:tcPr>
            </w:tcPrChange>
          </w:tcPr>
          <w:p w14:paraId="46A4215F" w14:textId="77777777" w:rsidR="00A453C3" w:rsidRPr="00707120" w:rsidRDefault="00A453C3" w:rsidP="0067693D">
            <w:pPr>
              <w:keepNext/>
              <w:keepLines/>
              <w:suppressLineNumbers/>
              <w:snapToGrid w:val="0"/>
              <w:jc w:val="center"/>
              <w:rPr>
                <w:sz w:val="20"/>
                <w:lang w:val="lv-LV"/>
              </w:rPr>
            </w:pPr>
          </w:p>
        </w:tc>
        <w:tc>
          <w:tcPr>
            <w:tcW w:w="738" w:type="dxa"/>
            <w:tcBorders>
              <w:top w:val="single" w:sz="4" w:space="0" w:color="000000"/>
              <w:left w:val="single" w:sz="4" w:space="0" w:color="000000"/>
              <w:bottom w:val="single" w:sz="4" w:space="0" w:color="000000"/>
            </w:tcBorders>
            <w:tcPrChange w:id="1229" w:author="Author">
              <w:tcPr>
                <w:tcW w:w="906" w:type="dxa"/>
                <w:gridSpan w:val="3"/>
                <w:tcBorders>
                  <w:top w:val="single" w:sz="4" w:space="0" w:color="000000"/>
                  <w:left w:val="single" w:sz="4" w:space="0" w:color="000000"/>
                  <w:bottom w:val="single" w:sz="4" w:space="0" w:color="000000"/>
                </w:tcBorders>
              </w:tcPr>
            </w:tcPrChange>
          </w:tcPr>
          <w:p w14:paraId="21A112FA" w14:textId="77777777" w:rsidR="00A453C3" w:rsidRPr="00707120" w:rsidRDefault="00A453C3" w:rsidP="0067693D">
            <w:pPr>
              <w:keepNext/>
              <w:keepLines/>
              <w:suppressLineNumbers/>
              <w:jc w:val="center"/>
              <w:rPr>
                <w:sz w:val="20"/>
                <w:lang w:val="lv-LV"/>
              </w:rPr>
            </w:pPr>
            <w:r w:rsidRPr="00707120">
              <w:rPr>
                <w:sz w:val="20"/>
                <w:lang w:val="lv-LV"/>
              </w:rPr>
              <w:t>20%***</w:t>
            </w:r>
          </w:p>
        </w:tc>
        <w:tc>
          <w:tcPr>
            <w:tcW w:w="782" w:type="dxa"/>
            <w:tcBorders>
              <w:top w:val="single" w:sz="4" w:space="0" w:color="000000"/>
              <w:left w:val="single" w:sz="4" w:space="0" w:color="000000"/>
              <w:bottom w:val="single" w:sz="4" w:space="0" w:color="000000"/>
            </w:tcBorders>
            <w:tcPrChange w:id="1230" w:author="Author">
              <w:tcPr>
                <w:tcW w:w="782" w:type="dxa"/>
                <w:gridSpan w:val="2"/>
                <w:tcBorders>
                  <w:top w:val="single" w:sz="4" w:space="0" w:color="000000"/>
                  <w:left w:val="single" w:sz="4" w:space="0" w:color="000000"/>
                  <w:bottom w:val="single" w:sz="4" w:space="0" w:color="000000"/>
                </w:tcBorders>
              </w:tcPr>
            </w:tcPrChange>
          </w:tcPr>
          <w:p w14:paraId="3B61D604" w14:textId="77777777" w:rsidR="00A453C3" w:rsidRPr="00707120" w:rsidRDefault="00A453C3" w:rsidP="0067693D">
            <w:pPr>
              <w:keepNext/>
              <w:keepLines/>
              <w:suppressLineNumbers/>
              <w:jc w:val="center"/>
              <w:rPr>
                <w:sz w:val="20"/>
                <w:lang w:val="lv-LV"/>
              </w:rPr>
            </w:pPr>
            <w:r w:rsidRPr="00707120">
              <w:rPr>
                <w:sz w:val="20"/>
                <w:lang w:val="lv-LV"/>
              </w:rPr>
              <w:t>4%</w:t>
            </w:r>
          </w:p>
        </w:tc>
        <w:tc>
          <w:tcPr>
            <w:tcW w:w="919" w:type="dxa"/>
            <w:tcBorders>
              <w:top w:val="single" w:sz="4" w:space="0" w:color="000000"/>
              <w:left w:val="single" w:sz="4" w:space="0" w:color="000000"/>
              <w:bottom w:val="single" w:sz="4" w:space="0" w:color="000000"/>
            </w:tcBorders>
            <w:tcPrChange w:id="1231" w:author="Author">
              <w:tcPr>
                <w:tcW w:w="919" w:type="dxa"/>
                <w:gridSpan w:val="2"/>
                <w:tcBorders>
                  <w:top w:val="single" w:sz="4" w:space="0" w:color="000000"/>
                  <w:left w:val="single" w:sz="4" w:space="0" w:color="000000"/>
                  <w:bottom w:val="single" w:sz="4" w:space="0" w:color="000000"/>
                </w:tcBorders>
              </w:tcPr>
            </w:tcPrChange>
          </w:tcPr>
          <w:p w14:paraId="335C1F16" w14:textId="77777777" w:rsidR="00A453C3" w:rsidRPr="00707120" w:rsidRDefault="00A453C3" w:rsidP="0067693D">
            <w:pPr>
              <w:keepNext/>
              <w:keepLines/>
              <w:suppressLineNumbers/>
              <w:snapToGrid w:val="0"/>
              <w:jc w:val="center"/>
              <w:rPr>
                <w:sz w:val="20"/>
                <w:lang w:val="lv-LV"/>
              </w:rPr>
            </w:pPr>
          </w:p>
        </w:tc>
        <w:tc>
          <w:tcPr>
            <w:tcW w:w="769" w:type="dxa"/>
            <w:tcBorders>
              <w:top w:val="single" w:sz="4" w:space="0" w:color="000000"/>
              <w:bottom w:val="single" w:sz="4" w:space="0" w:color="000000"/>
            </w:tcBorders>
            <w:tcPrChange w:id="1232" w:author="Author">
              <w:tcPr>
                <w:tcW w:w="769" w:type="dxa"/>
                <w:gridSpan w:val="2"/>
                <w:tcBorders>
                  <w:top w:val="single" w:sz="4" w:space="0" w:color="000000"/>
                  <w:bottom w:val="single" w:sz="4" w:space="0" w:color="000000"/>
                </w:tcBorders>
              </w:tcPr>
            </w:tcPrChange>
          </w:tcPr>
          <w:p w14:paraId="70215B57" w14:textId="77777777" w:rsidR="00A453C3" w:rsidRPr="00707120" w:rsidRDefault="00A453C3" w:rsidP="0067693D">
            <w:pPr>
              <w:keepNext/>
              <w:keepLines/>
              <w:suppressLineNumbers/>
              <w:snapToGrid w:val="0"/>
              <w:jc w:val="center"/>
              <w:rPr>
                <w:sz w:val="20"/>
                <w:lang w:val="lv-LV"/>
              </w:rPr>
            </w:pPr>
          </w:p>
        </w:tc>
        <w:tc>
          <w:tcPr>
            <w:tcW w:w="929" w:type="dxa"/>
            <w:tcBorders>
              <w:top w:val="single" w:sz="4" w:space="0" w:color="000000"/>
              <w:left w:val="single" w:sz="4" w:space="0" w:color="000000"/>
              <w:bottom w:val="single" w:sz="4" w:space="0" w:color="000000"/>
            </w:tcBorders>
            <w:tcPrChange w:id="1233" w:author="Author">
              <w:tcPr>
                <w:tcW w:w="929" w:type="dxa"/>
                <w:gridSpan w:val="2"/>
                <w:tcBorders>
                  <w:top w:val="single" w:sz="4" w:space="0" w:color="000000"/>
                  <w:left w:val="single" w:sz="4" w:space="0" w:color="000000"/>
                  <w:bottom w:val="single" w:sz="4" w:space="0" w:color="000000"/>
                </w:tcBorders>
              </w:tcPr>
            </w:tcPrChange>
          </w:tcPr>
          <w:p w14:paraId="4ABA1C54" w14:textId="77777777" w:rsidR="00A453C3" w:rsidRPr="00707120" w:rsidRDefault="00A453C3" w:rsidP="0067693D">
            <w:pPr>
              <w:keepNext/>
              <w:keepLines/>
              <w:suppressLineNumbers/>
              <w:snapToGrid w:val="0"/>
              <w:jc w:val="center"/>
              <w:rPr>
                <w:sz w:val="20"/>
                <w:lang w:val="lv-LV"/>
              </w:rPr>
            </w:pPr>
          </w:p>
        </w:tc>
        <w:tc>
          <w:tcPr>
            <w:tcW w:w="931" w:type="dxa"/>
            <w:gridSpan w:val="2"/>
            <w:tcBorders>
              <w:top w:val="single" w:sz="4" w:space="0" w:color="000000"/>
              <w:left w:val="single" w:sz="4" w:space="0" w:color="000000"/>
              <w:bottom w:val="single" w:sz="4" w:space="0" w:color="000000"/>
            </w:tcBorders>
            <w:tcPrChange w:id="1234" w:author="Author">
              <w:tcPr>
                <w:tcW w:w="931" w:type="dxa"/>
                <w:gridSpan w:val="3"/>
                <w:tcBorders>
                  <w:top w:val="single" w:sz="4" w:space="0" w:color="000000"/>
                  <w:left w:val="single" w:sz="4" w:space="0" w:color="000000"/>
                  <w:bottom w:val="single" w:sz="4" w:space="0" w:color="000000"/>
                </w:tcBorders>
              </w:tcPr>
            </w:tcPrChange>
          </w:tcPr>
          <w:p w14:paraId="60DDA8F1" w14:textId="77777777" w:rsidR="00A453C3" w:rsidRPr="00707120" w:rsidRDefault="00A453C3" w:rsidP="0067693D">
            <w:pPr>
              <w:keepNext/>
              <w:keepLines/>
              <w:suppressLineNumbers/>
              <w:snapToGrid w:val="0"/>
              <w:jc w:val="center"/>
              <w:rPr>
                <w:sz w:val="20"/>
                <w:lang w:val="lv-LV"/>
              </w:rPr>
            </w:pPr>
          </w:p>
        </w:tc>
        <w:tc>
          <w:tcPr>
            <w:tcW w:w="914" w:type="dxa"/>
            <w:tcBorders>
              <w:top w:val="single" w:sz="4" w:space="0" w:color="000000"/>
              <w:left w:val="single" w:sz="4" w:space="0" w:color="000000"/>
              <w:bottom w:val="single" w:sz="4" w:space="0" w:color="000000"/>
            </w:tcBorders>
            <w:tcPrChange w:id="1235" w:author="Author">
              <w:tcPr>
                <w:tcW w:w="914" w:type="dxa"/>
                <w:gridSpan w:val="2"/>
                <w:tcBorders>
                  <w:top w:val="single" w:sz="4" w:space="0" w:color="000000"/>
                  <w:left w:val="single" w:sz="4" w:space="0" w:color="000000"/>
                  <w:bottom w:val="single" w:sz="4" w:space="0" w:color="000000"/>
                </w:tcBorders>
              </w:tcPr>
            </w:tcPrChange>
          </w:tcPr>
          <w:p w14:paraId="32A70B01" w14:textId="77777777" w:rsidR="00A453C3" w:rsidRPr="00707120" w:rsidRDefault="00A453C3" w:rsidP="0067693D">
            <w:pPr>
              <w:keepNext/>
              <w:keepLines/>
              <w:suppressLineNumbers/>
              <w:snapToGrid w:val="0"/>
              <w:jc w:val="center"/>
              <w:rPr>
                <w:sz w:val="20"/>
                <w:lang w:val="lv-LV"/>
              </w:rPr>
            </w:pPr>
          </w:p>
        </w:tc>
        <w:tc>
          <w:tcPr>
            <w:tcW w:w="802" w:type="dxa"/>
            <w:tcBorders>
              <w:top w:val="single" w:sz="4" w:space="0" w:color="000000"/>
              <w:left w:val="single" w:sz="4" w:space="0" w:color="000000"/>
              <w:bottom w:val="single" w:sz="4" w:space="0" w:color="000000"/>
              <w:right w:val="single" w:sz="4" w:space="0" w:color="000000"/>
            </w:tcBorders>
            <w:tcPrChange w:id="1236" w:author="Author">
              <w:tcPr>
                <w:tcW w:w="802" w:type="dxa"/>
                <w:gridSpan w:val="2"/>
                <w:tcBorders>
                  <w:top w:val="single" w:sz="4" w:space="0" w:color="000000"/>
                  <w:left w:val="single" w:sz="4" w:space="0" w:color="000000"/>
                  <w:bottom w:val="single" w:sz="4" w:space="0" w:color="000000"/>
                  <w:right w:val="single" w:sz="4" w:space="0" w:color="000000"/>
                </w:tcBorders>
              </w:tcPr>
            </w:tcPrChange>
          </w:tcPr>
          <w:p w14:paraId="4D5DFCF4" w14:textId="77777777" w:rsidR="00A453C3" w:rsidRPr="00707120" w:rsidRDefault="00A453C3" w:rsidP="0067693D">
            <w:pPr>
              <w:keepNext/>
              <w:keepLines/>
              <w:suppressLineNumbers/>
              <w:snapToGrid w:val="0"/>
              <w:jc w:val="center"/>
              <w:rPr>
                <w:sz w:val="20"/>
                <w:lang w:val="lv-LV"/>
              </w:rPr>
            </w:pPr>
          </w:p>
        </w:tc>
      </w:tr>
    </w:tbl>
    <w:p w14:paraId="7996E7FB" w14:textId="77777777" w:rsidR="00A453C3" w:rsidRPr="00976261" w:rsidRDefault="00A453C3" w:rsidP="00A453C3">
      <w:pPr>
        <w:keepNext/>
        <w:keepLines/>
        <w:suppressLineNumbers/>
        <w:rPr>
          <w:rFonts w:eastAsia="MS Mincho"/>
          <w:sz w:val="18"/>
          <w:szCs w:val="18"/>
          <w:lang w:val="lv-LV"/>
        </w:rPr>
      </w:pPr>
      <w:r w:rsidRPr="00976261">
        <w:rPr>
          <w:rFonts w:eastAsia="MS Mincho"/>
          <w:sz w:val="18"/>
          <w:szCs w:val="18"/>
          <w:lang w:val="lv-LV"/>
        </w:rPr>
        <w:t>ACR</w:t>
      </w:r>
      <w:r w:rsidRPr="00976261">
        <w:rPr>
          <w:rFonts w:eastAsia="MS Mincho"/>
          <w:sz w:val="18"/>
          <w:szCs w:val="18"/>
          <w:lang w:val="lv-LV"/>
        </w:rPr>
        <w:tab/>
      </w:r>
      <w:r w:rsidRPr="00976261">
        <w:rPr>
          <w:rFonts w:eastAsia="MS Mincho"/>
          <w:sz w:val="18"/>
          <w:szCs w:val="18"/>
          <w:lang w:val="lv-LV"/>
        </w:rPr>
        <w:tab/>
      </w:r>
      <w:r w:rsidRPr="00B47B7D">
        <w:rPr>
          <w:rFonts w:eastAsia="MS Mincho"/>
          <w:sz w:val="18"/>
          <w:szCs w:val="18"/>
          <w:lang w:val="lv-LV"/>
        </w:rPr>
        <w:t xml:space="preserve">- </w:t>
      </w:r>
      <w:r w:rsidRPr="00976261">
        <w:rPr>
          <w:rFonts w:eastAsia="MS Mincho"/>
          <w:sz w:val="18"/>
          <w:szCs w:val="18"/>
          <w:lang w:val="lv-LV"/>
        </w:rPr>
        <w:t>Amerikas Reimatoloģijas kolēģijas (ACR) kritēriji</w:t>
      </w:r>
      <w:r w:rsidRPr="00B47B7D">
        <w:rPr>
          <w:rFonts w:eastAsia="MS Mincho"/>
          <w:sz w:val="18"/>
          <w:szCs w:val="18"/>
          <w:lang w:val="lv-LV"/>
        </w:rPr>
        <w:t>.</w:t>
      </w:r>
    </w:p>
    <w:p w14:paraId="2D4E7189" w14:textId="77777777" w:rsidR="00A453C3" w:rsidRPr="00DD7A4F" w:rsidRDefault="00A453C3" w:rsidP="00A453C3">
      <w:pPr>
        <w:keepNext/>
        <w:suppressLineNumbers/>
        <w:rPr>
          <w:rFonts w:eastAsia="MS Mincho"/>
          <w:i/>
          <w:iCs/>
          <w:sz w:val="18"/>
          <w:szCs w:val="18"/>
          <w:lang w:val="lv-LV"/>
        </w:rPr>
      </w:pPr>
      <w:r w:rsidRPr="00DD7A4F">
        <w:rPr>
          <w:rFonts w:eastAsia="MS Mincho"/>
          <w:i/>
          <w:iCs/>
          <w:sz w:val="18"/>
          <w:szCs w:val="18"/>
          <w:lang w:val="lv-LV"/>
        </w:rPr>
        <w:t xml:space="preserve">TCZ </w:t>
      </w:r>
      <w:r w:rsidRPr="00DD7A4F">
        <w:rPr>
          <w:rFonts w:eastAsia="MS Mincho"/>
          <w:i/>
          <w:iCs/>
          <w:sz w:val="18"/>
          <w:szCs w:val="18"/>
          <w:lang w:val="lv-LV"/>
        </w:rPr>
        <w:tab/>
      </w:r>
      <w:r w:rsidRPr="00DD7A4F">
        <w:rPr>
          <w:rFonts w:eastAsia="MS Mincho"/>
          <w:i/>
          <w:iCs/>
          <w:sz w:val="18"/>
          <w:szCs w:val="18"/>
          <w:lang w:val="lv-LV"/>
        </w:rPr>
        <w:tab/>
        <w:t>- Tocilizumabs.</w:t>
      </w:r>
    </w:p>
    <w:p w14:paraId="3566573B" w14:textId="77777777" w:rsidR="00A453C3" w:rsidRPr="00DD7A4F" w:rsidRDefault="00A453C3" w:rsidP="00A453C3">
      <w:pPr>
        <w:keepNext/>
        <w:suppressLineNumbers/>
        <w:rPr>
          <w:rFonts w:eastAsia="MS Mincho"/>
          <w:i/>
          <w:iCs/>
          <w:sz w:val="18"/>
          <w:szCs w:val="18"/>
          <w:lang w:val="lv-LV"/>
        </w:rPr>
      </w:pPr>
      <w:r w:rsidRPr="00DD7A4F">
        <w:rPr>
          <w:rFonts w:eastAsia="MS Mincho"/>
          <w:i/>
          <w:iCs/>
          <w:sz w:val="18"/>
          <w:szCs w:val="18"/>
          <w:lang w:val="lv-LV"/>
        </w:rPr>
        <w:t>MTX</w:t>
      </w:r>
      <w:r w:rsidRPr="00DD7A4F">
        <w:rPr>
          <w:rFonts w:eastAsia="MS Mincho"/>
          <w:i/>
          <w:iCs/>
          <w:sz w:val="18"/>
          <w:szCs w:val="18"/>
          <w:lang w:val="lv-LV"/>
        </w:rPr>
        <w:tab/>
      </w:r>
      <w:r w:rsidRPr="00DD7A4F">
        <w:rPr>
          <w:rFonts w:eastAsia="MS Mincho"/>
          <w:i/>
          <w:iCs/>
          <w:sz w:val="18"/>
          <w:szCs w:val="18"/>
          <w:lang w:val="lv-LV"/>
        </w:rPr>
        <w:tab/>
        <w:t>- Metotreksāts.</w:t>
      </w:r>
    </w:p>
    <w:p w14:paraId="322D50B2" w14:textId="77777777" w:rsidR="00A453C3" w:rsidRPr="00DD7A4F" w:rsidRDefault="00A453C3" w:rsidP="00A453C3">
      <w:pPr>
        <w:keepNext/>
        <w:suppressLineNumbers/>
        <w:rPr>
          <w:rFonts w:eastAsia="MS Mincho"/>
          <w:i/>
          <w:iCs/>
          <w:sz w:val="18"/>
          <w:szCs w:val="18"/>
          <w:lang w:val="lv-LV"/>
        </w:rPr>
      </w:pPr>
      <w:r w:rsidRPr="00DD7A4F">
        <w:rPr>
          <w:rFonts w:eastAsia="MS Mincho"/>
          <w:i/>
          <w:iCs/>
          <w:sz w:val="18"/>
          <w:szCs w:val="18"/>
          <w:lang w:val="lv-LV"/>
        </w:rPr>
        <w:t>PBO</w:t>
      </w:r>
      <w:r w:rsidRPr="00DD7A4F">
        <w:rPr>
          <w:rFonts w:eastAsia="MS Mincho"/>
          <w:i/>
          <w:iCs/>
          <w:sz w:val="18"/>
          <w:szCs w:val="18"/>
          <w:lang w:val="lv-LV"/>
        </w:rPr>
        <w:tab/>
      </w:r>
      <w:r w:rsidRPr="00DD7A4F">
        <w:rPr>
          <w:rFonts w:eastAsia="MS Mincho"/>
          <w:i/>
          <w:iCs/>
          <w:sz w:val="18"/>
          <w:szCs w:val="18"/>
          <w:lang w:val="lv-LV"/>
        </w:rPr>
        <w:tab/>
        <w:t>- Placebo.</w:t>
      </w:r>
    </w:p>
    <w:p w14:paraId="0F7D8379" w14:textId="77777777" w:rsidR="00A453C3" w:rsidRPr="00DD7A4F" w:rsidRDefault="00A453C3" w:rsidP="00A453C3">
      <w:pPr>
        <w:keepNext/>
        <w:suppressLineNumbers/>
        <w:rPr>
          <w:rFonts w:eastAsia="MS Mincho"/>
          <w:i/>
          <w:iCs/>
          <w:sz w:val="18"/>
          <w:szCs w:val="18"/>
          <w:lang w:val="lv-LV"/>
        </w:rPr>
      </w:pPr>
      <w:r w:rsidRPr="00DD7A4F">
        <w:rPr>
          <w:rFonts w:eastAsia="MS Mincho"/>
          <w:i/>
          <w:iCs/>
          <w:sz w:val="18"/>
          <w:szCs w:val="18"/>
          <w:lang w:val="lv-LV"/>
        </w:rPr>
        <w:t xml:space="preserve">DMARD </w:t>
      </w:r>
      <w:r w:rsidRPr="00DD7A4F">
        <w:rPr>
          <w:rFonts w:eastAsia="MS Mincho"/>
          <w:i/>
          <w:iCs/>
          <w:sz w:val="18"/>
          <w:szCs w:val="18"/>
          <w:lang w:val="lv-LV"/>
        </w:rPr>
        <w:tab/>
        <w:t>- Slimības gaitu modificējošie pretreimatisma līdzekļi.</w:t>
      </w:r>
    </w:p>
    <w:p w14:paraId="5D298562" w14:textId="4FD348F4" w:rsidR="00A453C3" w:rsidRPr="00DD7A4F" w:rsidRDefault="00A453C3" w:rsidP="00A453C3">
      <w:pPr>
        <w:keepNext/>
        <w:suppressLineNumbers/>
        <w:rPr>
          <w:rFonts w:eastAsia="MS Mincho"/>
          <w:i/>
          <w:iCs/>
          <w:sz w:val="18"/>
          <w:szCs w:val="18"/>
          <w:lang w:val="lv-LV"/>
        </w:rPr>
      </w:pPr>
      <w:r w:rsidRPr="00DD7A4F">
        <w:rPr>
          <w:rFonts w:eastAsia="MS Mincho"/>
          <w:i/>
          <w:iCs/>
          <w:sz w:val="18"/>
          <w:szCs w:val="18"/>
          <w:lang w:val="lv-LV"/>
        </w:rPr>
        <w:t xml:space="preserve">** </w:t>
      </w:r>
      <w:r w:rsidRPr="00DD7A4F">
        <w:rPr>
          <w:rFonts w:eastAsia="MS Mincho"/>
          <w:i/>
          <w:iCs/>
          <w:sz w:val="18"/>
          <w:szCs w:val="18"/>
          <w:lang w:val="lv-LV"/>
        </w:rPr>
        <w:tab/>
      </w:r>
      <w:r w:rsidRPr="00DD7A4F">
        <w:rPr>
          <w:rFonts w:eastAsia="MS Mincho"/>
          <w:i/>
          <w:iCs/>
          <w:sz w:val="18"/>
          <w:szCs w:val="18"/>
          <w:lang w:val="lv-LV"/>
        </w:rPr>
        <w:tab/>
        <w:t>- p</w:t>
      </w:r>
      <w:r w:rsidR="00714A3E">
        <w:rPr>
          <w:rFonts w:eastAsia="MS Mincho"/>
          <w:i/>
          <w:iCs/>
          <w:sz w:val="18"/>
          <w:szCs w:val="18"/>
          <w:lang w:val="lv-LV"/>
        </w:rPr>
        <w:t> </w:t>
      </w:r>
      <w:r w:rsidRPr="00DD7A4F">
        <w:rPr>
          <w:rFonts w:eastAsia="MS Mincho"/>
          <w:i/>
          <w:iCs/>
          <w:sz w:val="18"/>
          <w:szCs w:val="18"/>
          <w:lang w:val="lv-LV"/>
        </w:rPr>
        <w:t>&lt;</w:t>
      </w:r>
      <w:r w:rsidR="00714A3E">
        <w:rPr>
          <w:rFonts w:eastAsia="MS Mincho"/>
          <w:i/>
          <w:iCs/>
          <w:sz w:val="18"/>
          <w:szCs w:val="18"/>
          <w:lang w:val="lv-LV"/>
        </w:rPr>
        <w:t> </w:t>
      </w:r>
      <w:r w:rsidRPr="00DD7A4F">
        <w:rPr>
          <w:rFonts w:eastAsia="MS Mincho"/>
          <w:i/>
          <w:iCs/>
          <w:sz w:val="18"/>
          <w:szCs w:val="18"/>
          <w:lang w:val="lv-LV"/>
        </w:rPr>
        <w:t>0,01, TCZ salīdzinājumā ar PBO</w:t>
      </w:r>
      <w:ins w:id="1237" w:author="Author">
        <w:r w:rsidR="00136871">
          <w:rPr>
            <w:rFonts w:eastAsia="MS Mincho"/>
            <w:i/>
            <w:iCs/>
            <w:sz w:val="18"/>
            <w:szCs w:val="18"/>
            <w:lang w:val="lv-LV"/>
          </w:rPr>
          <w:t> </w:t>
        </w:r>
      </w:ins>
      <w:del w:id="1238" w:author="Author">
        <w:r w:rsidRPr="00DD7A4F" w:rsidDel="00136871">
          <w:rPr>
            <w:rFonts w:eastAsia="MS Mincho"/>
            <w:i/>
            <w:iCs/>
            <w:sz w:val="18"/>
            <w:szCs w:val="18"/>
            <w:lang w:val="lv-LV"/>
          </w:rPr>
          <w:delText xml:space="preserve"> </w:delText>
        </w:r>
      </w:del>
      <w:r w:rsidRPr="00DD7A4F">
        <w:rPr>
          <w:rFonts w:eastAsia="MS Mincho"/>
          <w:i/>
          <w:iCs/>
          <w:sz w:val="18"/>
          <w:szCs w:val="18"/>
          <w:lang w:val="lv-LV"/>
        </w:rPr>
        <w:t>+</w:t>
      </w:r>
      <w:ins w:id="1239" w:author="Author">
        <w:r w:rsidR="00136871">
          <w:rPr>
            <w:rFonts w:eastAsia="MS Mincho"/>
            <w:i/>
            <w:iCs/>
            <w:sz w:val="18"/>
            <w:szCs w:val="18"/>
            <w:lang w:val="lv-LV"/>
          </w:rPr>
          <w:t> </w:t>
        </w:r>
      </w:ins>
      <w:del w:id="1240" w:author="Author">
        <w:r w:rsidRPr="00DD7A4F" w:rsidDel="00136871">
          <w:rPr>
            <w:rFonts w:eastAsia="MS Mincho"/>
            <w:i/>
            <w:iCs/>
            <w:sz w:val="18"/>
            <w:szCs w:val="18"/>
            <w:lang w:val="lv-LV"/>
          </w:rPr>
          <w:delText xml:space="preserve"> </w:delText>
        </w:r>
      </w:del>
      <w:r w:rsidRPr="00DD7A4F">
        <w:rPr>
          <w:rFonts w:eastAsia="MS Mincho"/>
          <w:i/>
          <w:iCs/>
          <w:sz w:val="18"/>
          <w:szCs w:val="18"/>
          <w:lang w:val="lv-LV"/>
        </w:rPr>
        <w:t>MTX/DMARD.</w:t>
      </w:r>
    </w:p>
    <w:p w14:paraId="1CEEE4EF" w14:textId="4171D1DB" w:rsidR="00A453C3" w:rsidRPr="00DD7A4F" w:rsidRDefault="00A453C3" w:rsidP="00A453C3">
      <w:pPr>
        <w:keepNext/>
        <w:suppressLineNumbers/>
        <w:rPr>
          <w:rFonts w:eastAsia="MS Mincho"/>
          <w:i/>
          <w:iCs/>
          <w:sz w:val="18"/>
          <w:szCs w:val="18"/>
          <w:lang w:val="lv-LV"/>
        </w:rPr>
      </w:pPr>
      <w:r w:rsidRPr="00DD7A4F">
        <w:rPr>
          <w:rFonts w:eastAsia="MS Mincho"/>
          <w:i/>
          <w:iCs/>
          <w:sz w:val="18"/>
          <w:szCs w:val="18"/>
          <w:lang w:val="lv-LV"/>
        </w:rPr>
        <w:t xml:space="preserve">*** </w:t>
      </w:r>
      <w:r w:rsidRPr="00DD7A4F">
        <w:rPr>
          <w:rFonts w:eastAsia="MS Mincho"/>
          <w:i/>
          <w:iCs/>
          <w:sz w:val="18"/>
          <w:szCs w:val="18"/>
          <w:lang w:val="lv-LV"/>
        </w:rPr>
        <w:tab/>
      </w:r>
      <w:r w:rsidRPr="00DD7A4F">
        <w:rPr>
          <w:rFonts w:eastAsia="MS Mincho"/>
          <w:i/>
          <w:iCs/>
          <w:sz w:val="18"/>
          <w:szCs w:val="18"/>
          <w:lang w:val="lv-LV"/>
        </w:rPr>
        <w:tab/>
        <w:t>- p</w:t>
      </w:r>
      <w:r w:rsidR="00714A3E">
        <w:rPr>
          <w:rFonts w:eastAsia="MS Mincho"/>
          <w:i/>
          <w:iCs/>
          <w:sz w:val="18"/>
          <w:szCs w:val="18"/>
          <w:lang w:val="lv-LV"/>
        </w:rPr>
        <w:t> </w:t>
      </w:r>
      <w:r w:rsidRPr="00DD7A4F">
        <w:rPr>
          <w:rFonts w:eastAsia="MS Mincho"/>
          <w:i/>
          <w:iCs/>
          <w:sz w:val="18"/>
          <w:szCs w:val="18"/>
          <w:lang w:val="lv-LV"/>
        </w:rPr>
        <w:t>&lt;</w:t>
      </w:r>
      <w:r w:rsidR="00714A3E">
        <w:rPr>
          <w:rFonts w:eastAsia="MS Mincho"/>
          <w:i/>
          <w:iCs/>
          <w:sz w:val="18"/>
          <w:szCs w:val="18"/>
          <w:lang w:val="lv-LV"/>
        </w:rPr>
        <w:t> </w:t>
      </w:r>
      <w:r w:rsidRPr="00DD7A4F">
        <w:rPr>
          <w:rFonts w:eastAsia="MS Mincho"/>
          <w:i/>
          <w:iCs/>
          <w:sz w:val="18"/>
          <w:szCs w:val="18"/>
          <w:lang w:val="lv-LV"/>
        </w:rPr>
        <w:t>0,0001, TCZ salīdzinājumā ar PBO</w:t>
      </w:r>
      <w:ins w:id="1241" w:author="Author">
        <w:r w:rsidR="00136871">
          <w:rPr>
            <w:rFonts w:eastAsia="MS Mincho"/>
            <w:i/>
            <w:iCs/>
            <w:sz w:val="18"/>
            <w:szCs w:val="18"/>
            <w:lang w:val="lv-LV"/>
          </w:rPr>
          <w:t> </w:t>
        </w:r>
      </w:ins>
      <w:del w:id="1242" w:author="Author">
        <w:r w:rsidRPr="00DD7A4F" w:rsidDel="00136871">
          <w:rPr>
            <w:rFonts w:eastAsia="MS Mincho"/>
            <w:i/>
            <w:iCs/>
            <w:sz w:val="18"/>
            <w:szCs w:val="18"/>
            <w:lang w:val="lv-LV"/>
          </w:rPr>
          <w:delText xml:space="preserve"> </w:delText>
        </w:r>
      </w:del>
      <w:r w:rsidRPr="00DD7A4F">
        <w:rPr>
          <w:rFonts w:eastAsia="MS Mincho"/>
          <w:i/>
          <w:iCs/>
          <w:sz w:val="18"/>
          <w:szCs w:val="18"/>
          <w:lang w:val="lv-LV"/>
        </w:rPr>
        <w:t>+</w:t>
      </w:r>
      <w:ins w:id="1243" w:author="Author">
        <w:r w:rsidR="00136871">
          <w:rPr>
            <w:rFonts w:eastAsia="MS Mincho"/>
            <w:i/>
            <w:iCs/>
            <w:sz w:val="18"/>
            <w:szCs w:val="18"/>
            <w:lang w:val="lv-LV"/>
          </w:rPr>
          <w:t> </w:t>
        </w:r>
      </w:ins>
      <w:del w:id="1244" w:author="Author">
        <w:r w:rsidRPr="00DD7A4F" w:rsidDel="00136871">
          <w:rPr>
            <w:rFonts w:eastAsia="MS Mincho"/>
            <w:i/>
            <w:iCs/>
            <w:sz w:val="18"/>
            <w:szCs w:val="18"/>
            <w:lang w:val="lv-LV"/>
          </w:rPr>
          <w:delText xml:space="preserve"> </w:delText>
        </w:r>
      </w:del>
      <w:r w:rsidRPr="00DD7A4F">
        <w:rPr>
          <w:rFonts w:eastAsia="MS Mincho"/>
          <w:i/>
          <w:iCs/>
          <w:sz w:val="18"/>
          <w:szCs w:val="18"/>
          <w:lang w:val="lv-LV"/>
        </w:rPr>
        <w:t>MTX/DMARD.</w:t>
      </w:r>
    </w:p>
    <w:p w14:paraId="13D1609F" w14:textId="77777777" w:rsidR="00A453C3" w:rsidRPr="002007A3" w:rsidRDefault="00A453C3">
      <w:pPr>
        <w:rPr>
          <w:rFonts w:eastAsia="SimSun"/>
          <w:iCs/>
          <w:szCs w:val="22"/>
          <w:lang w:val="lv-LV"/>
          <w:rPrChange w:id="1245" w:author="Author">
            <w:rPr>
              <w:rFonts w:eastAsia="SimSun"/>
              <w:i/>
              <w:szCs w:val="22"/>
              <w:lang w:val="lv-LV"/>
            </w:rPr>
          </w:rPrChange>
        </w:rPr>
        <w:pPrChange w:id="1246" w:author="Author">
          <w:pPr>
            <w:ind w:left="357"/>
          </w:pPr>
        </w:pPrChange>
      </w:pPr>
    </w:p>
    <w:p w14:paraId="6274654A" w14:textId="77777777" w:rsidR="00A453C3" w:rsidRPr="00707120" w:rsidRDefault="00A453C3" w:rsidP="00A453C3">
      <w:pPr>
        <w:keepNext/>
        <w:keepLines/>
        <w:rPr>
          <w:szCs w:val="22"/>
          <w:u w:val="single"/>
          <w:lang w:val="lv-LV"/>
        </w:rPr>
      </w:pPr>
      <w:r w:rsidRPr="00707120">
        <w:rPr>
          <w:i/>
          <w:u w:val="single"/>
          <w:lang w:val="lv-LV"/>
        </w:rPr>
        <w:t>Nozīmīga klīniska atbildes reakcija</w:t>
      </w:r>
    </w:p>
    <w:p w14:paraId="265EA432" w14:textId="73D9D002" w:rsidR="00A453C3" w:rsidRPr="00DD7A4F" w:rsidRDefault="00A453C3" w:rsidP="00A453C3">
      <w:pPr>
        <w:keepNext/>
        <w:keepLines/>
        <w:rPr>
          <w:rFonts w:eastAsia="SimSun"/>
          <w:i/>
          <w:szCs w:val="22"/>
          <w:lang w:val="lv-LV"/>
        </w:rPr>
      </w:pPr>
      <w:r w:rsidRPr="00DD7A4F">
        <w:rPr>
          <w:szCs w:val="22"/>
          <w:lang w:val="lv-LV"/>
        </w:rPr>
        <w:t xml:space="preserve">Pēc 2 gadus ilgas ārstēšanas ar </w:t>
      </w:r>
      <w:r>
        <w:rPr>
          <w:szCs w:val="22"/>
          <w:lang w:val="lv-LV"/>
        </w:rPr>
        <w:t>tocilizumabu</w:t>
      </w:r>
      <w:r w:rsidRPr="00DD7A4F">
        <w:rPr>
          <w:szCs w:val="22"/>
          <w:lang w:val="lv-LV"/>
        </w:rPr>
        <w:t xml:space="preserve"> un MTX 14% pacientu sasniedza nozīmīgu klīnisku atbildes reakciju (ACR</w:t>
      </w:r>
      <w:r>
        <w:rPr>
          <w:szCs w:val="22"/>
          <w:lang w:val="lv-LV"/>
        </w:rPr>
        <w:t> </w:t>
      </w:r>
      <w:r w:rsidRPr="00DD7A4F">
        <w:rPr>
          <w:szCs w:val="22"/>
          <w:lang w:val="lv-LV"/>
        </w:rPr>
        <w:t xml:space="preserve">70 </w:t>
      </w:r>
      <w:r>
        <w:rPr>
          <w:szCs w:val="22"/>
          <w:lang w:val="lv-LV"/>
        </w:rPr>
        <w:t xml:space="preserve">atbildes reakcija </w:t>
      </w:r>
      <w:r w:rsidRPr="00DD7A4F">
        <w:rPr>
          <w:szCs w:val="22"/>
          <w:lang w:val="lv-LV"/>
        </w:rPr>
        <w:t>saglabājās 24 nedēļas vai ilgāk).</w:t>
      </w:r>
    </w:p>
    <w:p w14:paraId="17CDE39D" w14:textId="77777777" w:rsidR="00A453C3" w:rsidRPr="00DD7A4F" w:rsidRDefault="00A453C3" w:rsidP="00A453C3">
      <w:pPr>
        <w:ind w:left="357"/>
        <w:rPr>
          <w:rFonts w:eastAsia="SimSun"/>
          <w:i/>
          <w:szCs w:val="22"/>
          <w:lang w:val="lv-LV"/>
        </w:rPr>
      </w:pPr>
    </w:p>
    <w:p w14:paraId="50A1C285" w14:textId="57537B3D" w:rsidR="00A453C3" w:rsidRPr="00707120" w:rsidRDefault="00A453C3" w:rsidP="00707120">
      <w:pPr>
        <w:keepNext/>
        <w:rPr>
          <w:rFonts w:eastAsia="MS Mincho"/>
          <w:szCs w:val="22"/>
          <w:u w:val="single"/>
          <w:lang w:val="lv-LV"/>
        </w:rPr>
      </w:pPr>
      <w:r w:rsidRPr="00707120">
        <w:rPr>
          <w:rFonts w:eastAsia="MS Mincho"/>
          <w:i/>
          <w:iCs/>
          <w:szCs w:val="22"/>
          <w:u w:val="single"/>
          <w:lang w:val="lv-LV"/>
        </w:rPr>
        <w:t>Rentgenogrāfiskā atbildes reakcija</w:t>
      </w:r>
    </w:p>
    <w:p w14:paraId="68B042E7" w14:textId="319A19F9" w:rsidR="00A453C3" w:rsidRDefault="00A453C3" w:rsidP="00A453C3">
      <w:pPr>
        <w:rPr>
          <w:rFonts w:eastAsia="MS Mincho"/>
          <w:szCs w:val="22"/>
          <w:lang w:val="lv-LV"/>
        </w:rPr>
      </w:pPr>
      <w:r>
        <w:rPr>
          <w:rFonts w:eastAsia="MS Mincho"/>
          <w:szCs w:val="22"/>
          <w:lang w:val="lv-LV"/>
        </w:rPr>
        <w:t xml:space="preserve">II pētījumā pacientiem ar nepietiekamu atbildes reakciju uz MTX strukturālā locītavu bojājuma nomākšana tika novērtēta rentgenogrāfiski un izteikta kā modificētā </w:t>
      </w:r>
      <w:r>
        <w:rPr>
          <w:rFonts w:eastAsia="MS Mincho"/>
          <w:i/>
          <w:szCs w:val="22"/>
          <w:lang w:val="lv-LV"/>
        </w:rPr>
        <w:t>Sharp</w:t>
      </w:r>
      <w:r>
        <w:rPr>
          <w:rFonts w:eastAsia="MS Mincho"/>
          <w:szCs w:val="22"/>
          <w:lang w:val="lv-LV"/>
        </w:rPr>
        <w:t xml:space="preserve"> vērtējuma un tā komponentu – erozijas vērtējuma un locītavu spraugas sašaurinājuma vērtējuma – izmaiņas. Pacientiem, kuri saņem </w:t>
      </w:r>
      <w:r>
        <w:rPr>
          <w:szCs w:val="22"/>
          <w:lang w:val="lv-LV"/>
        </w:rPr>
        <w:t>tocilizumabu</w:t>
      </w:r>
      <w:r>
        <w:rPr>
          <w:rFonts w:eastAsia="MS Mincho"/>
          <w:szCs w:val="22"/>
          <w:lang w:val="lv-LV"/>
        </w:rPr>
        <w:t>, salīdzinājumā ar kontroles grupu pierādīja locītavu strukturālā bojājuma nomākumu ar nozīmīgi mazāku rentgenoloģisko progresēšanu (6. tabula).</w:t>
      </w:r>
    </w:p>
    <w:p w14:paraId="4D0388E9" w14:textId="77777777" w:rsidR="00A453C3" w:rsidRDefault="00A453C3" w:rsidP="00A453C3">
      <w:pPr>
        <w:rPr>
          <w:rFonts w:eastAsia="MS Mincho"/>
          <w:szCs w:val="22"/>
          <w:lang w:val="lv-LV"/>
        </w:rPr>
      </w:pPr>
    </w:p>
    <w:p w14:paraId="1BA82930" w14:textId="4CE04E31" w:rsidR="00A453C3" w:rsidRDefault="00A453C3" w:rsidP="00A453C3">
      <w:pPr>
        <w:rPr>
          <w:rFonts w:eastAsia="MS Mincho"/>
          <w:szCs w:val="22"/>
          <w:lang w:val="lv-LV"/>
        </w:rPr>
      </w:pPr>
      <w:r>
        <w:rPr>
          <w:szCs w:val="22"/>
          <w:lang w:val="lv-LV"/>
        </w:rPr>
        <w:t>II pētījuma nemaskētā pagarinājuma laikā ar tocilizumabu</w:t>
      </w:r>
      <w:r w:rsidRPr="002607ED">
        <w:rPr>
          <w:szCs w:val="22"/>
          <w:lang w:val="lv-LV"/>
        </w:rPr>
        <w:t xml:space="preserve"> </w:t>
      </w:r>
      <w:r>
        <w:rPr>
          <w:szCs w:val="22"/>
          <w:lang w:val="lv-LV"/>
        </w:rPr>
        <w:t xml:space="preserve">un MTX ārstēto pacientu strukturālā locītavu bojājumu progresēšanas ātruma samazināšanās saglabājās arī terapijas otrajā gadā. Tocilizumaba 8 mg/kg devu un MTX saņemšanai randomizētajiem pacientiem, salīdzinot ar placebo un MTX saņemšanai randomizētajiem pacientiem, 104. nedēļā vidējais novērtējuma punktu skaits pēc </w:t>
      </w:r>
      <w:r>
        <w:rPr>
          <w:i/>
          <w:iCs/>
          <w:szCs w:val="22"/>
          <w:lang w:val="lv-LV"/>
        </w:rPr>
        <w:t>Sharp-Genant</w:t>
      </w:r>
      <w:r>
        <w:rPr>
          <w:szCs w:val="22"/>
          <w:lang w:val="lv-LV"/>
        </w:rPr>
        <w:t xml:space="preserve"> bija ievērojami mazāks (p &lt; 0,0001).</w:t>
      </w:r>
    </w:p>
    <w:p w14:paraId="1D40E869" w14:textId="77777777" w:rsidR="00A453C3" w:rsidRPr="00DD7A4F" w:rsidRDefault="00A453C3" w:rsidP="00A453C3">
      <w:pPr>
        <w:rPr>
          <w:rFonts w:eastAsia="MS Mincho"/>
          <w:szCs w:val="22"/>
          <w:lang w:val="lv-LV"/>
        </w:rPr>
      </w:pPr>
    </w:p>
    <w:p w14:paraId="5E20D30B" w14:textId="1BF547E7" w:rsidR="00A453C3" w:rsidRDefault="00A453C3" w:rsidP="00A453C3">
      <w:pPr>
        <w:keepNext/>
        <w:rPr>
          <w:rFonts w:eastAsia="MS Mincho"/>
          <w:bCs/>
          <w:i/>
          <w:szCs w:val="22"/>
          <w:lang w:val="lv-LV"/>
        </w:rPr>
      </w:pPr>
      <w:r>
        <w:rPr>
          <w:rFonts w:eastAsia="MS Mincho"/>
          <w:bCs/>
          <w:i/>
          <w:szCs w:val="22"/>
          <w:lang w:val="lv-LV"/>
        </w:rPr>
        <w:t>6</w:t>
      </w:r>
      <w:r w:rsidRPr="00DD7A4F">
        <w:rPr>
          <w:rFonts w:eastAsia="MS Mincho"/>
          <w:bCs/>
          <w:i/>
          <w:szCs w:val="22"/>
          <w:lang w:val="lv-LV"/>
        </w:rPr>
        <w:t>. tabula. Vidējās rentgenoloģiskās pārmaiņas 52</w:t>
      </w:r>
      <w:r>
        <w:rPr>
          <w:rFonts w:eastAsia="MS Mincho"/>
          <w:bCs/>
          <w:i/>
          <w:szCs w:val="22"/>
          <w:lang w:val="lv-LV"/>
        </w:rPr>
        <w:t> </w:t>
      </w:r>
      <w:r w:rsidRPr="00DD7A4F">
        <w:rPr>
          <w:rFonts w:eastAsia="MS Mincho"/>
          <w:bCs/>
          <w:i/>
          <w:szCs w:val="22"/>
          <w:lang w:val="lv-LV"/>
        </w:rPr>
        <w:t>nedēļu laikā II</w:t>
      </w:r>
      <w:r>
        <w:rPr>
          <w:rFonts w:eastAsia="MS Mincho"/>
          <w:bCs/>
          <w:i/>
          <w:szCs w:val="22"/>
          <w:lang w:val="lv-LV"/>
        </w:rPr>
        <w:t> </w:t>
      </w:r>
      <w:r w:rsidRPr="00DD7A4F">
        <w:rPr>
          <w:rFonts w:eastAsia="MS Mincho"/>
          <w:bCs/>
          <w:i/>
          <w:szCs w:val="22"/>
          <w:lang w:val="lv-LV"/>
        </w:rPr>
        <w:t>pētījumā</w:t>
      </w:r>
    </w:p>
    <w:p w14:paraId="2C4D311A" w14:textId="77777777" w:rsidR="00A453C3" w:rsidRPr="00DD7A4F" w:rsidRDefault="00A453C3" w:rsidP="00A453C3">
      <w:pPr>
        <w:keepNext/>
        <w:rPr>
          <w:bCs/>
          <w:lang w:val="lv-LV"/>
        </w:rPr>
      </w:pPr>
    </w:p>
    <w:tbl>
      <w:tblPr>
        <w:tblW w:w="9082" w:type="dxa"/>
        <w:tblInd w:w="-15" w:type="dxa"/>
        <w:tblLayout w:type="fixed"/>
        <w:tblLook w:val="0000" w:firstRow="0" w:lastRow="0" w:firstColumn="0" w:lastColumn="0" w:noHBand="0" w:noVBand="0"/>
      </w:tblPr>
      <w:tblGrid>
        <w:gridCol w:w="3554"/>
        <w:gridCol w:w="2764"/>
        <w:gridCol w:w="2764"/>
      </w:tblGrid>
      <w:tr w:rsidR="00A453C3" w:rsidRPr="00707120" w14:paraId="27A3F16D" w14:textId="77777777" w:rsidTr="00707120">
        <w:tc>
          <w:tcPr>
            <w:tcW w:w="3554" w:type="dxa"/>
            <w:tcBorders>
              <w:top w:val="single" w:sz="4" w:space="0" w:color="000000"/>
              <w:left w:val="single" w:sz="4" w:space="0" w:color="000000"/>
              <w:bottom w:val="single" w:sz="4" w:space="0" w:color="000000"/>
            </w:tcBorders>
          </w:tcPr>
          <w:p w14:paraId="28617FB3" w14:textId="77777777" w:rsidR="00A453C3" w:rsidRPr="00DD7A4F" w:rsidRDefault="00A453C3" w:rsidP="0067693D">
            <w:pPr>
              <w:keepNext/>
              <w:snapToGrid w:val="0"/>
              <w:rPr>
                <w:lang w:val="lv-LV"/>
              </w:rPr>
            </w:pPr>
          </w:p>
        </w:tc>
        <w:tc>
          <w:tcPr>
            <w:tcW w:w="2764" w:type="dxa"/>
            <w:tcBorders>
              <w:top w:val="single" w:sz="4" w:space="0" w:color="000000"/>
              <w:left w:val="single" w:sz="4" w:space="0" w:color="000000"/>
              <w:bottom w:val="single" w:sz="4" w:space="0" w:color="000000"/>
            </w:tcBorders>
          </w:tcPr>
          <w:p w14:paraId="3F6CB3EB" w14:textId="77777777" w:rsidR="00A453C3" w:rsidRPr="00DD7A4F" w:rsidRDefault="00A453C3" w:rsidP="0067693D">
            <w:pPr>
              <w:keepNext/>
              <w:jc w:val="center"/>
              <w:rPr>
                <w:b/>
                <w:szCs w:val="22"/>
                <w:lang w:val="lv-LV"/>
              </w:rPr>
            </w:pPr>
            <w:r w:rsidRPr="00DD7A4F">
              <w:rPr>
                <w:b/>
                <w:szCs w:val="22"/>
                <w:lang w:val="lv-LV"/>
              </w:rPr>
              <w:t>PBO + MTX</w:t>
            </w:r>
          </w:p>
          <w:p w14:paraId="483F198F" w14:textId="2BD42E87" w:rsidR="00A453C3" w:rsidRPr="00DD7A4F" w:rsidRDefault="00A453C3" w:rsidP="0067693D">
            <w:pPr>
              <w:keepNext/>
              <w:jc w:val="center"/>
              <w:rPr>
                <w:b/>
                <w:szCs w:val="22"/>
                <w:lang w:val="lv-LV"/>
              </w:rPr>
            </w:pPr>
            <w:r w:rsidRPr="00DD7A4F">
              <w:rPr>
                <w:b/>
                <w:szCs w:val="22"/>
                <w:lang w:val="lv-LV"/>
              </w:rPr>
              <w:t>(+TCZ no 24.</w:t>
            </w:r>
            <w:r>
              <w:rPr>
                <w:b/>
                <w:szCs w:val="22"/>
                <w:lang w:val="lv-LV"/>
              </w:rPr>
              <w:t> </w:t>
            </w:r>
            <w:r w:rsidRPr="00DD7A4F">
              <w:rPr>
                <w:b/>
                <w:szCs w:val="22"/>
                <w:lang w:val="lv-LV"/>
              </w:rPr>
              <w:t>nedēļas)</w:t>
            </w:r>
          </w:p>
          <w:p w14:paraId="37C45EF6" w14:textId="6A83D382" w:rsidR="00A453C3" w:rsidRPr="00DD7A4F" w:rsidRDefault="00A453C3" w:rsidP="0067693D">
            <w:pPr>
              <w:keepNext/>
              <w:jc w:val="center"/>
              <w:rPr>
                <w:b/>
                <w:szCs w:val="22"/>
                <w:lang w:val="lv-LV"/>
              </w:rPr>
            </w:pPr>
            <w:del w:id="1247" w:author="Author">
              <w:r w:rsidRPr="00DD7A4F" w:rsidDel="00BD5E36">
                <w:rPr>
                  <w:b/>
                  <w:szCs w:val="22"/>
                  <w:lang w:val="lv-LV"/>
                </w:rPr>
                <w:delText xml:space="preserve">N </w:delText>
              </w:r>
            </w:del>
            <w:ins w:id="1248" w:author="Author">
              <w:r w:rsidR="00BD5E36">
                <w:rPr>
                  <w:b/>
                  <w:szCs w:val="22"/>
                  <w:lang w:val="lv-LV"/>
                </w:rPr>
                <w:t>n</w:t>
              </w:r>
              <w:del w:id="1249" w:author="Author">
                <w:r w:rsidR="00BD5E36" w:rsidRPr="00DD7A4F" w:rsidDel="00BB0320">
                  <w:rPr>
                    <w:b/>
                    <w:szCs w:val="22"/>
                    <w:lang w:val="lv-LV"/>
                  </w:rPr>
                  <w:delText xml:space="preserve"> </w:delText>
                </w:r>
              </w:del>
            </w:ins>
            <w:r w:rsidRPr="00DD7A4F">
              <w:rPr>
                <w:b/>
                <w:szCs w:val="22"/>
                <w:lang w:val="lv-LV"/>
              </w:rPr>
              <w:t>=</w:t>
            </w:r>
            <w:del w:id="1250" w:author="Author">
              <w:r w:rsidRPr="00DD7A4F" w:rsidDel="00BB0320">
                <w:rPr>
                  <w:b/>
                  <w:szCs w:val="22"/>
                  <w:lang w:val="lv-LV"/>
                </w:rPr>
                <w:delText xml:space="preserve"> </w:delText>
              </w:r>
            </w:del>
            <w:r w:rsidRPr="00DD7A4F">
              <w:rPr>
                <w:b/>
                <w:szCs w:val="22"/>
                <w:lang w:val="lv-LV"/>
              </w:rPr>
              <w:t>393</w:t>
            </w:r>
          </w:p>
        </w:tc>
        <w:tc>
          <w:tcPr>
            <w:tcW w:w="2764" w:type="dxa"/>
            <w:tcBorders>
              <w:top w:val="single" w:sz="4" w:space="0" w:color="000000"/>
              <w:left w:val="single" w:sz="4" w:space="0" w:color="000000"/>
              <w:bottom w:val="single" w:sz="4" w:space="0" w:color="000000"/>
              <w:right w:val="single" w:sz="4" w:space="0" w:color="000000"/>
            </w:tcBorders>
          </w:tcPr>
          <w:p w14:paraId="037BDF4F" w14:textId="77777777" w:rsidR="00A453C3" w:rsidRPr="00DD7A4F" w:rsidRDefault="00A453C3" w:rsidP="0067693D">
            <w:pPr>
              <w:keepNext/>
              <w:jc w:val="center"/>
              <w:rPr>
                <w:b/>
                <w:szCs w:val="22"/>
                <w:lang w:val="lv-LV"/>
              </w:rPr>
            </w:pPr>
            <w:r w:rsidRPr="00DD7A4F">
              <w:rPr>
                <w:b/>
                <w:szCs w:val="22"/>
                <w:lang w:val="lv-LV"/>
              </w:rPr>
              <w:t>TCZ 8 mg/kg + MTX</w:t>
            </w:r>
          </w:p>
          <w:p w14:paraId="4232884E" w14:textId="2921D09E" w:rsidR="00A453C3" w:rsidRPr="00DD7A4F" w:rsidRDefault="00A453C3" w:rsidP="0067693D">
            <w:pPr>
              <w:keepNext/>
              <w:jc w:val="center"/>
              <w:rPr>
                <w:bCs/>
                <w:szCs w:val="22"/>
                <w:lang w:val="lv-LV"/>
              </w:rPr>
            </w:pPr>
            <w:del w:id="1251" w:author="Author">
              <w:r w:rsidRPr="00DD7A4F" w:rsidDel="00BD5E36">
                <w:rPr>
                  <w:b/>
                  <w:szCs w:val="22"/>
                  <w:lang w:val="lv-LV"/>
                </w:rPr>
                <w:delText>N</w:delText>
              </w:r>
            </w:del>
            <w:ins w:id="1252" w:author="Author">
              <w:r w:rsidR="00BD5E36">
                <w:rPr>
                  <w:b/>
                  <w:szCs w:val="22"/>
                  <w:lang w:val="lv-LV"/>
                </w:rPr>
                <w:t>n</w:t>
              </w:r>
            </w:ins>
            <w:del w:id="1253" w:author="Author">
              <w:r w:rsidRPr="00DD7A4F" w:rsidDel="00BB0320">
                <w:rPr>
                  <w:b/>
                  <w:szCs w:val="22"/>
                  <w:lang w:val="lv-LV"/>
                </w:rPr>
                <w:delText xml:space="preserve"> </w:delText>
              </w:r>
            </w:del>
            <w:r w:rsidRPr="00DD7A4F">
              <w:rPr>
                <w:b/>
                <w:szCs w:val="22"/>
                <w:lang w:val="lv-LV"/>
              </w:rPr>
              <w:t>=</w:t>
            </w:r>
            <w:del w:id="1254" w:author="Author">
              <w:r w:rsidRPr="00DD7A4F" w:rsidDel="00BB0320">
                <w:rPr>
                  <w:b/>
                  <w:szCs w:val="22"/>
                  <w:lang w:val="lv-LV"/>
                </w:rPr>
                <w:delText xml:space="preserve"> </w:delText>
              </w:r>
            </w:del>
            <w:r w:rsidRPr="00DD7A4F">
              <w:rPr>
                <w:b/>
                <w:szCs w:val="22"/>
                <w:lang w:val="lv-LV"/>
              </w:rPr>
              <w:t>398</w:t>
            </w:r>
          </w:p>
        </w:tc>
      </w:tr>
      <w:tr w:rsidR="00A453C3" w:rsidRPr="00DD7A4F" w14:paraId="4574B6BF" w14:textId="77777777" w:rsidTr="00707120">
        <w:tc>
          <w:tcPr>
            <w:tcW w:w="3554" w:type="dxa"/>
            <w:tcBorders>
              <w:top w:val="single" w:sz="4" w:space="0" w:color="000000"/>
              <w:left w:val="single" w:sz="4" w:space="0" w:color="000000"/>
              <w:bottom w:val="single" w:sz="4" w:space="0" w:color="000000"/>
            </w:tcBorders>
          </w:tcPr>
          <w:p w14:paraId="5771BB50" w14:textId="77777777" w:rsidR="00A453C3" w:rsidRPr="00DD7A4F" w:rsidRDefault="00A453C3" w:rsidP="0067693D">
            <w:pPr>
              <w:keepNext/>
              <w:rPr>
                <w:bCs/>
                <w:szCs w:val="22"/>
                <w:lang w:val="lv-LV"/>
              </w:rPr>
            </w:pPr>
            <w:r w:rsidRPr="00DD7A4F">
              <w:rPr>
                <w:bCs/>
                <w:szCs w:val="22"/>
                <w:lang w:val="lv-LV"/>
              </w:rPr>
              <w:t xml:space="preserve">Kopējais </w:t>
            </w:r>
            <w:r w:rsidRPr="00DD7A4F">
              <w:rPr>
                <w:bCs/>
                <w:i/>
                <w:szCs w:val="22"/>
                <w:lang w:val="lv-LV"/>
              </w:rPr>
              <w:t>Sharp-Genant</w:t>
            </w:r>
            <w:r w:rsidRPr="00DD7A4F">
              <w:rPr>
                <w:bCs/>
                <w:szCs w:val="22"/>
                <w:lang w:val="lv-LV"/>
              </w:rPr>
              <w:t xml:space="preserve"> vērtējums</w:t>
            </w:r>
          </w:p>
        </w:tc>
        <w:tc>
          <w:tcPr>
            <w:tcW w:w="2764" w:type="dxa"/>
            <w:tcBorders>
              <w:top w:val="single" w:sz="4" w:space="0" w:color="000000"/>
              <w:left w:val="single" w:sz="4" w:space="0" w:color="000000"/>
              <w:bottom w:val="single" w:sz="4" w:space="0" w:color="000000"/>
            </w:tcBorders>
          </w:tcPr>
          <w:p w14:paraId="412BC84D" w14:textId="77777777" w:rsidR="00A453C3" w:rsidRPr="00DD7A4F" w:rsidRDefault="00A453C3" w:rsidP="0067693D">
            <w:pPr>
              <w:keepNext/>
              <w:jc w:val="center"/>
              <w:rPr>
                <w:bCs/>
                <w:szCs w:val="22"/>
                <w:lang w:val="lv-LV"/>
              </w:rPr>
            </w:pPr>
            <w:r w:rsidRPr="00DD7A4F">
              <w:rPr>
                <w:bCs/>
                <w:szCs w:val="22"/>
                <w:lang w:val="lv-LV"/>
              </w:rPr>
              <w:t>1,13</w:t>
            </w:r>
          </w:p>
        </w:tc>
        <w:tc>
          <w:tcPr>
            <w:tcW w:w="2764" w:type="dxa"/>
            <w:tcBorders>
              <w:top w:val="single" w:sz="4" w:space="0" w:color="000000"/>
              <w:left w:val="single" w:sz="4" w:space="0" w:color="000000"/>
              <w:bottom w:val="single" w:sz="4" w:space="0" w:color="000000"/>
              <w:right w:val="single" w:sz="4" w:space="0" w:color="000000"/>
            </w:tcBorders>
          </w:tcPr>
          <w:p w14:paraId="47AFFC74" w14:textId="77777777" w:rsidR="00A453C3" w:rsidRPr="00DD7A4F" w:rsidRDefault="00A453C3" w:rsidP="0067693D">
            <w:pPr>
              <w:keepNext/>
              <w:jc w:val="center"/>
              <w:rPr>
                <w:bCs/>
                <w:szCs w:val="22"/>
                <w:lang w:val="lv-LV"/>
              </w:rPr>
            </w:pPr>
            <w:r w:rsidRPr="00DD7A4F">
              <w:rPr>
                <w:bCs/>
                <w:szCs w:val="22"/>
                <w:lang w:val="lv-LV"/>
              </w:rPr>
              <w:t>0,29*</w:t>
            </w:r>
          </w:p>
        </w:tc>
      </w:tr>
      <w:tr w:rsidR="00A453C3" w:rsidRPr="00DD7A4F" w14:paraId="618010BF" w14:textId="77777777" w:rsidTr="00707120">
        <w:tc>
          <w:tcPr>
            <w:tcW w:w="3554" w:type="dxa"/>
            <w:tcBorders>
              <w:top w:val="single" w:sz="4" w:space="0" w:color="000000"/>
              <w:left w:val="single" w:sz="4" w:space="0" w:color="000000"/>
              <w:bottom w:val="single" w:sz="4" w:space="0" w:color="000000"/>
            </w:tcBorders>
          </w:tcPr>
          <w:p w14:paraId="2993979A" w14:textId="77777777" w:rsidR="00A453C3" w:rsidRPr="00DD7A4F" w:rsidRDefault="00A453C3" w:rsidP="0067693D">
            <w:pPr>
              <w:keepNext/>
              <w:rPr>
                <w:bCs/>
                <w:szCs w:val="22"/>
                <w:lang w:val="lv-LV"/>
              </w:rPr>
            </w:pPr>
            <w:r w:rsidRPr="00DD7A4F">
              <w:rPr>
                <w:bCs/>
                <w:szCs w:val="22"/>
                <w:lang w:val="lv-LV"/>
              </w:rPr>
              <w:t>Erozijas vērtējums</w:t>
            </w:r>
          </w:p>
        </w:tc>
        <w:tc>
          <w:tcPr>
            <w:tcW w:w="2764" w:type="dxa"/>
            <w:tcBorders>
              <w:top w:val="single" w:sz="4" w:space="0" w:color="000000"/>
              <w:left w:val="single" w:sz="4" w:space="0" w:color="000000"/>
              <w:bottom w:val="single" w:sz="4" w:space="0" w:color="000000"/>
            </w:tcBorders>
          </w:tcPr>
          <w:p w14:paraId="1E2BBD19" w14:textId="77777777" w:rsidR="00A453C3" w:rsidRPr="00DD7A4F" w:rsidRDefault="00A453C3" w:rsidP="0067693D">
            <w:pPr>
              <w:keepNext/>
              <w:jc w:val="center"/>
              <w:rPr>
                <w:bCs/>
                <w:szCs w:val="22"/>
                <w:lang w:val="lv-LV"/>
              </w:rPr>
            </w:pPr>
            <w:r w:rsidRPr="00DD7A4F">
              <w:rPr>
                <w:bCs/>
                <w:szCs w:val="22"/>
                <w:lang w:val="lv-LV"/>
              </w:rPr>
              <w:t>0,71</w:t>
            </w:r>
          </w:p>
        </w:tc>
        <w:tc>
          <w:tcPr>
            <w:tcW w:w="2764" w:type="dxa"/>
            <w:tcBorders>
              <w:top w:val="single" w:sz="4" w:space="0" w:color="000000"/>
              <w:left w:val="single" w:sz="4" w:space="0" w:color="000000"/>
              <w:bottom w:val="single" w:sz="4" w:space="0" w:color="000000"/>
              <w:right w:val="single" w:sz="4" w:space="0" w:color="000000"/>
            </w:tcBorders>
          </w:tcPr>
          <w:p w14:paraId="0F022CDF" w14:textId="77777777" w:rsidR="00A453C3" w:rsidRPr="00DD7A4F" w:rsidRDefault="00A453C3" w:rsidP="0067693D">
            <w:pPr>
              <w:keepNext/>
              <w:jc w:val="center"/>
              <w:rPr>
                <w:bCs/>
                <w:szCs w:val="22"/>
                <w:lang w:val="lv-LV"/>
              </w:rPr>
            </w:pPr>
            <w:r w:rsidRPr="00DD7A4F">
              <w:rPr>
                <w:bCs/>
                <w:szCs w:val="22"/>
                <w:lang w:val="lv-LV"/>
              </w:rPr>
              <w:t>0,17*</w:t>
            </w:r>
          </w:p>
        </w:tc>
      </w:tr>
      <w:tr w:rsidR="00A453C3" w:rsidRPr="00DD7A4F" w14:paraId="2D04DBC8" w14:textId="77777777" w:rsidTr="00707120">
        <w:tc>
          <w:tcPr>
            <w:tcW w:w="3554" w:type="dxa"/>
            <w:tcBorders>
              <w:top w:val="single" w:sz="4" w:space="0" w:color="000000"/>
              <w:left w:val="single" w:sz="4" w:space="0" w:color="000000"/>
              <w:bottom w:val="single" w:sz="4" w:space="0" w:color="000000"/>
            </w:tcBorders>
          </w:tcPr>
          <w:p w14:paraId="090F4FE6" w14:textId="77777777" w:rsidR="00A453C3" w:rsidRPr="00DD7A4F" w:rsidRDefault="00A453C3" w:rsidP="0067693D">
            <w:pPr>
              <w:keepNext/>
              <w:rPr>
                <w:bCs/>
                <w:szCs w:val="22"/>
                <w:lang w:val="lv-LV"/>
              </w:rPr>
            </w:pPr>
            <w:r w:rsidRPr="00DD7A4F">
              <w:rPr>
                <w:bCs/>
                <w:szCs w:val="22"/>
                <w:lang w:val="lv-LV"/>
              </w:rPr>
              <w:t>LSS vērtējums</w:t>
            </w:r>
          </w:p>
        </w:tc>
        <w:tc>
          <w:tcPr>
            <w:tcW w:w="2764" w:type="dxa"/>
            <w:tcBorders>
              <w:top w:val="single" w:sz="4" w:space="0" w:color="000000"/>
              <w:left w:val="single" w:sz="4" w:space="0" w:color="000000"/>
              <w:bottom w:val="single" w:sz="4" w:space="0" w:color="000000"/>
            </w:tcBorders>
          </w:tcPr>
          <w:p w14:paraId="2B78DC3C" w14:textId="77777777" w:rsidR="00A453C3" w:rsidRPr="00DD7A4F" w:rsidRDefault="00A453C3" w:rsidP="0067693D">
            <w:pPr>
              <w:keepNext/>
              <w:jc w:val="center"/>
              <w:rPr>
                <w:bCs/>
                <w:szCs w:val="22"/>
                <w:lang w:val="lv-LV"/>
              </w:rPr>
            </w:pPr>
            <w:r w:rsidRPr="00DD7A4F">
              <w:rPr>
                <w:bCs/>
                <w:szCs w:val="22"/>
                <w:lang w:val="lv-LV"/>
              </w:rPr>
              <w:t>0,42</w:t>
            </w:r>
          </w:p>
        </w:tc>
        <w:tc>
          <w:tcPr>
            <w:tcW w:w="2764" w:type="dxa"/>
            <w:tcBorders>
              <w:top w:val="single" w:sz="4" w:space="0" w:color="000000"/>
              <w:left w:val="single" w:sz="4" w:space="0" w:color="000000"/>
              <w:bottom w:val="single" w:sz="4" w:space="0" w:color="000000"/>
              <w:right w:val="single" w:sz="4" w:space="0" w:color="000000"/>
            </w:tcBorders>
          </w:tcPr>
          <w:p w14:paraId="56A5ADAE" w14:textId="77777777" w:rsidR="00A453C3" w:rsidRPr="00DD7A4F" w:rsidRDefault="00A453C3" w:rsidP="0067693D">
            <w:pPr>
              <w:keepNext/>
              <w:jc w:val="center"/>
              <w:rPr>
                <w:bCs/>
                <w:i/>
                <w:iCs/>
                <w:sz w:val="18"/>
                <w:szCs w:val="18"/>
                <w:lang w:val="lv-LV"/>
              </w:rPr>
            </w:pPr>
            <w:r w:rsidRPr="00DD7A4F">
              <w:rPr>
                <w:bCs/>
                <w:szCs w:val="22"/>
                <w:lang w:val="lv-LV"/>
              </w:rPr>
              <w:t>0,12**</w:t>
            </w:r>
          </w:p>
        </w:tc>
      </w:tr>
    </w:tbl>
    <w:p w14:paraId="2E704CE4" w14:textId="77777777" w:rsidR="00A453C3" w:rsidRPr="00707120" w:rsidRDefault="00A453C3" w:rsidP="00A453C3">
      <w:pPr>
        <w:keepNext/>
        <w:rPr>
          <w:bCs/>
          <w:sz w:val="18"/>
          <w:szCs w:val="18"/>
          <w:lang w:val="lv-LV"/>
        </w:rPr>
      </w:pPr>
      <w:r w:rsidRPr="00707120">
        <w:rPr>
          <w:bCs/>
          <w:sz w:val="18"/>
          <w:szCs w:val="18"/>
          <w:lang w:val="lv-LV"/>
        </w:rPr>
        <w:t>PBO</w:t>
      </w:r>
      <w:r w:rsidRPr="00707120">
        <w:rPr>
          <w:bCs/>
          <w:sz w:val="18"/>
          <w:szCs w:val="18"/>
          <w:lang w:val="lv-LV"/>
        </w:rPr>
        <w:tab/>
      </w:r>
      <w:r w:rsidRPr="00707120">
        <w:rPr>
          <w:bCs/>
          <w:sz w:val="18"/>
          <w:szCs w:val="18"/>
          <w:lang w:val="lv-LV"/>
        </w:rPr>
        <w:tab/>
        <w:t>- placebo.</w:t>
      </w:r>
    </w:p>
    <w:p w14:paraId="25429A60" w14:textId="77777777" w:rsidR="00A453C3" w:rsidRPr="00707120" w:rsidRDefault="00A453C3" w:rsidP="00A453C3">
      <w:pPr>
        <w:keepNext/>
        <w:rPr>
          <w:bCs/>
          <w:sz w:val="18"/>
          <w:szCs w:val="18"/>
          <w:lang w:val="lv-LV"/>
        </w:rPr>
      </w:pPr>
      <w:r w:rsidRPr="00707120">
        <w:rPr>
          <w:bCs/>
          <w:sz w:val="18"/>
          <w:szCs w:val="18"/>
          <w:lang w:val="lv-LV"/>
        </w:rPr>
        <w:t>MTX</w:t>
      </w:r>
      <w:r w:rsidRPr="00707120">
        <w:rPr>
          <w:bCs/>
          <w:sz w:val="18"/>
          <w:szCs w:val="18"/>
          <w:lang w:val="lv-LV"/>
        </w:rPr>
        <w:tab/>
        <w:t xml:space="preserve"> </w:t>
      </w:r>
      <w:r w:rsidRPr="00707120">
        <w:rPr>
          <w:bCs/>
          <w:sz w:val="18"/>
          <w:szCs w:val="18"/>
          <w:lang w:val="lv-LV"/>
        </w:rPr>
        <w:tab/>
        <w:t>- metotreksāts.</w:t>
      </w:r>
    </w:p>
    <w:p w14:paraId="07291CA9" w14:textId="77777777" w:rsidR="00A453C3" w:rsidRPr="00707120" w:rsidRDefault="00A453C3" w:rsidP="00A453C3">
      <w:pPr>
        <w:keepNext/>
        <w:rPr>
          <w:bCs/>
          <w:sz w:val="18"/>
          <w:szCs w:val="18"/>
          <w:lang w:val="lv-LV"/>
        </w:rPr>
      </w:pPr>
      <w:r w:rsidRPr="00707120">
        <w:rPr>
          <w:bCs/>
          <w:sz w:val="18"/>
          <w:szCs w:val="18"/>
          <w:lang w:val="lv-LV"/>
        </w:rPr>
        <w:t xml:space="preserve">TCZ </w:t>
      </w:r>
      <w:r w:rsidRPr="00707120">
        <w:rPr>
          <w:bCs/>
          <w:sz w:val="18"/>
          <w:szCs w:val="18"/>
          <w:lang w:val="lv-LV"/>
        </w:rPr>
        <w:tab/>
      </w:r>
      <w:r w:rsidRPr="00707120">
        <w:rPr>
          <w:bCs/>
          <w:sz w:val="18"/>
          <w:szCs w:val="18"/>
          <w:lang w:val="lv-LV"/>
        </w:rPr>
        <w:tab/>
        <w:t>- tocilizumabs.</w:t>
      </w:r>
    </w:p>
    <w:p w14:paraId="4F3D3352" w14:textId="77777777" w:rsidR="00A453C3" w:rsidRPr="00707120" w:rsidRDefault="00A453C3" w:rsidP="00A453C3">
      <w:pPr>
        <w:keepNext/>
        <w:rPr>
          <w:bCs/>
          <w:sz w:val="18"/>
          <w:szCs w:val="18"/>
          <w:lang w:val="lv-LV"/>
        </w:rPr>
      </w:pPr>
      <w:r w:rsidRPr="00707120">
        <w:rPr>
          <w:bCs/>
          <w:sz w:val="18"/>
          <w:szCs w:val="18"/>
          <w:lang w:val="lv-LV"/>
        </w:rPr>
        <w:t>LSS</w:t>
      </w:r>
      <w:r w:rsidRPr="00707120">
        <w:rPr>
          <w:bCs/>
          <w:sz w:val="18"/>
          <w:szCs w:val="18"/>
          <w:lang w:val="lv-LV"/>
        </w:rPr>
        <w:tab/>
      </w:r>
      <w:r w:rsidRPr="00707120">
        <w:rPr>
          <w:bCs/>
          <w:sz w:val="18"/>
          <w:szCs w:val="18"/>
          <w:lang w:val="lv-LV"/>
        </w:rPr>
        <w:tab/>
        <w:t>- locītavas spraugas sašaurināšanās.</w:t>
      </w:r>
    </w:p>
    <w:p w14:paraId="79E6A5E8" w14:textId="3F4082B7" w:rsidR="00A453C3" w:rsidRPr="00707120" w:rsidRDefault="00A453C3" w:rsidP="00A453C3">
      <w:pPr>
        <w:rPr>
          <w:bCs/>
          <w:sz w:val="18"/>
          <w:szCs w:val="18"/>
          <w:lang w:val="lv-LV"/>
        </w:rPr>
      </w:pPr>
      <w:r w:rsidRPr="00707120">
        <w:rPr>
          <w:bCs/>
          <w:sz w:val="18"/>
          <w:szCs w:val="18"/>
          <w:lang w:val="lv-LV"/>
        </w:rPr>
        <w:t>*</w:t>
      </w:r>
      <w:r w:rsidRPr="00707120">
        <w:rPr>
          <w:bCs/>
          <w:sz w:val="18"/>
          <w:szCs w:val="18"/>
          <w:lang w:val="lv-LV"/>
        </w:rPr>
        <w:tab/>
      </w:r>
      <w:r w:rsidRPr="00707120">
        <w:rPr>
          <w:bCs/>
          <w:sz w:val="18"/>
          <w:szCs w:val="18"/>
          <w:lang w:val="lv-LV"/>
        </w:rPr>
        <w:tab/>
        <w:t>- p ≤ 0,0001, TCZ salīdzinājumā ar PBO + MTX.</w:t>
      </w:r>
    </w:p>
    <w:p w14:paraId="20779C4F" w14:textId="77777777" w:rsidR="00A453C3" w:rsidRPr="00707120" w:rsidRDefault="00A453C3" w:rsidP="00A453C3">
      <w:pPr>
        <w:rPr>
          <w:b/>
          <w:szCs w:val="22"/>
          <w:lang w:val="lv-LV"/>
        </w:rPr>
      </w:pPr>
      <w:r w:rsidRPr="00707120">
        <w:rPr>
          <w:bCs/>
          <w:sz w:val="18"/>
          <w:szCs w:val="18"/>
          <w:lang w:val="lv-LV"/>
        </w:rPr>
        <w:t>**</w:t>
      </w:r>
      <w:r w:rsidRPr="00707120">
        <w:rPr>
          <w:bCs/>
          <w:sz w:val="18"/>
          <w:szCs w:val="18"/>
          <w:lang w:val="lv-LV"/>
        </w:rPr>
        <w:tab/>
      </w:r>
      <w:r w:rsidRPr="00707120">
        <w:rPr>
          <w:bCs/>
          <w:sz w:val="18"/>
          <w:szCs w:val="18"/>
          <w:lang w:val="lv-LV"/>
        </w:rPr>
        <w:tab/>
        <w:t>- p &lt; 0,005, TCZ salīdzinājumā ar PBO + MTX.</w:t>
      </w:r>
    </w:p>
    <w:p w14:paraId="27B45340" w14:textId="77777777" w:rsidR="00A453C3" w:rsidRPr="002007A3" w:rsidRDefault="00A453C3" w:rsidP="00A453C3">
      <w:pPr>
        <w:rPr>
          <w:bCs/>
          <w:iCs/>
          <w:szCs w:val="22"/>
          <w:lang w:val="lv-LV"/>
          <w:rPrChange w:id="1255" w:author="Author">
            <w:rPr>
              <w:b/>
              <w:i/>
              <w:szCs w:val="22"/>
              <w:lang w:val="lv-LV"/>
            </w:rPr>
          </w:rPrChange>
        </w:rPr>
      </w:pPr>
    </w:p>
    <w:p w14:paraId="4BEA7BD7" w14:textId="10EEF38E" w:rsidR="00A453C3" w:rsidRPr="00DD7A4F" w:rsidRDefault="00A453C3" w:rsidP="00A453C3">
      <w:pPr>
        <w:rPr>
          <w:b/>
          <w:i/>
          <w:szCs w:val="22"/>
          <w:lang w:val="lv-LV"/>
        </w:rPr>
      </w:pPr>
      <w:r w:rsidRPr="00DD7A4F">
        <w:rPr>
          <w:szCs w:val="22"/>
          <w:lang w:val="lv-LV"/>
        </w:rPr>
        <w:t xml:space="preserve">Salīdzinot ar 67% pacientu (n=290), kurus ārstēja ar placebo un MTX, pēc 1 gadu ilgas ārstēšanas ar </w:t>
      </w:r>
      <w:r>
        <w:rPr>
          <w:szCs w:val="22"/>
          <w:lang w:val="lv-LV"/>
        </w:rPr>
        <w:t>tocilizumabu</w:t>
      </w:r>
      <w:r w:rsidRPr="00DD7A4F">
        <w:rPr>
          <w:szCs w:val="22"/>
          <w:lang w:val="lv-LV"/>
        </w:rPr>
        <w:t xml:space="preserve"> un MTX locītavu struktūras bojājumi neprogresēja 85% pacientu (n=348), kas definēts kā izmaiņas kopējā </w:t>
      </w:r>
      <w:r w:rsidRPr="00DD7A4F">
        <w:rPr>
          <w:i/>
          <w:iCs/>
          <w:szCs w:val="22"/>
          <w:lang w:val="lv-LV"/>
        </w:rPr>
        <w:t>Sharp</w:t>
      </w:r>
      <w:r w:rsidRPr="00DD7A4F">
        <w:rPr>
          <w:szCs w:val="22"/>
          <w:lang w:val="lv-LV"/>
        </w:rPr>
        <w:t xml:space="preserve"> novērtējuma punktu skaitā par 0 vai mazāk (p </w:t>
      </w:r>
      <w:r>
        <w:rPr>
          <w:szCs w:val="22"/>
          <w:lang w:val="lv-LV"/>
        </w:rPr>
        <w:t>≤ </w:t>
      </w:r>
      <w:r w:rsidRPr="00DD7A4F">
        <w:rPr>
          <w:szCs w:val="22"/>
          <w:lang w:val="lv-LV"/>
        </w:rPr>
        <w:t>0,001). Šie rezultāti saglabājās nemainīgi arī pēc 2 gadus ilgas ārstēšanas (83%; n=353). Deviņdesmit trīs procentiem (93%, n=271) pacientu laikā starp 52. un 104. nedēļu slimība neprogresēja.</w:t>
      </w:r>
    </w:p>
    <w:p w14:paraId="7D9DCCC8" w14:textId="77777777" w:rsidR="00A453C3" w:rsidRPr="002007A3" w:rsidRDefault="00A453C3" w:rsidP="00A453C3">
      <w:pPr>
        <w:rPr>
          <w:bCs/>
          <w:iCs/>
          <w:szCs w:val="22"/>
          <w:lang w:val="lv-LV"/>
          <w:rPrChange w:id="1256" w:author="Author">
            <w:rPr>
              <w:b/>
              <w:i/>
              <w:szCs w:val="22"/>
              <w:lang w:val="lv-LV"/>
            </w:rPr>
          </w:rPrChange>
        </w:rPr>
      </w:pPr>
    </w:p>
    <w:p w14:paraId="29C60127" w14:textId="77777777" w:rsidR="00A453C3" w:rsidRPr="00707120" w:rsidRDefault="00A453C3" w:rsidP="00707120">
      <w:pPr>
        <w:keepNext/>
        <w:rPr>
          <w:bCs/>
          <w:iCs/>
          <w:szCs w:val="22"/>
          <w:u w:val="single"/>
          <w:lang w:val="lv-LV"/>
        </w:rPr>
      </w:pPr>
      <w:r w:rsidRPr="00707120">
        <w:rPr>
          <w:i/>
          <w:u w:val="single"/>
          <w:lang w:val="lv-LV"/>
        </w:rPr>
        <w:t>Ar veselību un dzīves kvalitāti saistītie iznākumi</w:t>
      </w:r>
    </w:p>
    <w:p w14:paraId="2C270F9C" w14:textId="3B5CFBF3" w:rsidR="00A453C3" w:rsidRDefault="00A453C3" w:rsidP="00A453C3">
      <w:pPr>
        <w:rPr>
          <w:lang w:val="lv-LV"/>
        </w:rPr>
      </w:pPr>
      <w:r>
        <w:rPr>
          <w:bCs/>
          <w:iCs/>
          <w:szCs w:val="22"/>
          <w:lang w:val="lv-LV"/>
        </w:rPr>
        <w:t xml:space="preserve">Ar </w:t>
      </w:r>
      <w:r>
        <w:rPr>
          <w:szCs w:val="22"/>
          <w:lang w:val="lv-LV"/>
        </w:rPr>
        <w:t>tocilizumabu</w:t>
      </w:r>
      <w:r w:rsidDel="001D4271">
        <w:rPr>
          <w:szCs w:val="22"/>
          <w:lang w:val="lv-LV"/>
        </w:rPr>
        <w:t xml:space="preserve"> </w:t>
      </w:r>
      <w:r>
        <w:rPr>
          <w:bCs/>
          <w:iCs/>
          <w:szCs w:val="22"/>
          <w:lang w:val="lv-LV"/>
        </w:rPr>
        <w:t xml:space="preserve">ārstētie pacienti ziņoja par visu pacienta novērtēto iznākumu (Veselības novērtēšanas anketas-invaliditātes indeksa – </w:t>
      </w:r>
      <w:r>
        <w:rPr>
          <w:bCs/>
          <w:i/>
          <w:szCs w:val="22"/>
          <w:lang w:val="lv-LV"/>
        </w:rPr>
        <w:t>Health Assessment Questionnaire-Disability Index;</w:t>
      </w:r>
      <w:r>
        <w:rPr>
          <w:bCs/>
          <w:iCs/>
          <w:szCs w:val="22"/>
          <w:lang w:val="lv-LV"/>
        </w:rPr>
        <w:t xml:space="preserve"> HAQ</w:t>
      </w:r>
      <w:r>
        <w:rPr>
          <w:bCs/>
          <w:iCs/>
          <w:szCs w:val="22"/>
          <w:lang w:val="lv-LV"/>
        </w:rPr>
        <w:noBreakHyphen/>
        <w:t>DI), īso formu-36 un funkcionālo vērtējumu hroniskas slimības terapijas laikā) vērtējuma uzlabošanos. Ar tocilizumabu ārstētiem pacientiem novēroja statistiski nozīmīgu pēc HAQ</w:t>
      </w:r>
      <w:r>
        <w:rPr>
          <w:bCs/>
          <w:iCs/>
          <w:szCs w:val="22"/>
          <w:lang w:val="lv-LV"/>
        </w:rPr>
        <w:noBreakHyphen/>
        <w:t xml:space="preserve">DI iegūtā rezultāta uzlabošanos salīdzinājumā ar DMARD ārstētiem pacientiem. </w:t>
      </w:r>
      <w:r>
        <w:rPr>
          <w:szCs w:val="22"/>
          <w:lang w:val="lv-LV"/>
        </w:rPr>
        <w:t>II pētījuma nemaskētā perioda laikā fizisko funkciju uzlabošanās saglabājās līdz 2 gadiem. Pēc 52 nedēļām grupā, kas saņēma tocilizumaba 8 mg/kg devas un MTX, vidējās HAQ</w:t>
      </w:r>
      <w:r>
        <w:rPr>
          <w:szCs w:val="22"/>
          <w:lang w:val="lv-LV"/>
        </w:rPr>
        <w:noBreakHyphen/>
        <w:t>DI novērtējuma izmaiņas bija </w:t>
      </w:r>
      <w:r>
        <w:rPr>
          <w:szCs w:val="22"/>
          <w:lang w:val="lv-LV"/>
        </w:rPr>
        <w:noBreakHyphen/>
        <w:t xml:space="preserve">0,58, salīdzinot ar </w:t>
      </w:r>
      <w:r>
        <w:rPr>
          <w:szCs w:val="22"/>
          <w:lang w:val="lv-LV"/>
        </w:rPr>
        <w:noBreakHyphen/>
        <w:t>0,39 grupā, kas saņēma placebo un MTX. Grupā, kas saņēma tocilizumaba 8 mg/kg devas un MTX, vidējās HAQ</w:t>
      </w:r>
      <w:r>
        <w:rPr>
          <w:szCs w:val="22"/>
          <w:lang w:val="lv-LV"/>
        </w:rPr>
        <w:noBreakHyphen/>
        <w:t>DI novērtējuma izmaiņas (</w:t>
      </w:r>
      <w:r>
        <w:rPr>
          <w:szCs w:val="22"/>
          <w:lang w:val="lv-LV"/>
        </w:rPr>
        <w:noBreakHyphen/>
        <w:t>0,61) saglabājās pēc 104 nedēļām.</w:t>
      </w:r>
    </w:p>
    <w:p w14:paraId="718E905C" w14:textId="77777777" w:rsidR="00A453C3" w:rsidRPr="00DD7A4F" w:rsidRDefault="00A453C3" w:rsidP="00A453C3">
      <w:pPr>
        <w:rPr>
          <w:lang w:val="lv-LV"/>
        </w:rPr>
      </w:pPr>
    </w:p>
    <w:p w14:paraId="05451E93" w14:textId="77777777" w:rsidR="00A453C3" w:rsidRPr="00707120" w:rsidRDefault="00A453C3" w:rsidP="00A453C3">
      <w:pPr>
        <w:keepNext/>
        <w:rPr>
          <w:szCs w:val="22"/>
          <w:u w:val="single"/>
          <w:lang w:val="lv-LV"/>
        </w:rPr>
      </w:pPr>
      <w:r w:rsidRPr="00707120">
        <w:rPr>
          <w:i/>
          <w:u w:val="single"/>
          <w:lang w:val="lv-LV"/>
        </w:rPr>
        <w:t>Hemoglobīna līmenis</w:t>
      </w:r>
    </w:p>
    <w:p w14:paraId="47B29856" w14:textId="370FB398" w:rsidR="00A453C3" w:rsidRDefault="00A453C3" w:rsidP="00707120">
      <w:pPr>
        <w:rPr>
          <w:szCs w:val="22"/>
          <w:lang w:val="lv-LV"/>
        </w:rPr>
      </w:pPr>
      <w:r>
        <w:rPr>
          <w:szCs w:val="22"/>
          <w:lang w:val="lv-LV"/>
        </w:rPr>
        <w:t>24. nedēļā, lietojot tocilizumabu, novērota statistiski nozīmīga (p &lt; 0,0001) hemoglobīna līmeņa uzlabošanās</w:t>
      </w:r>
      <w:r>
        <w:rPr>
          <w:lang w:val="lv-LV"/>
        </w:rPr>
        <w:t xml:space="preserve"> </w:t>
      </w:r>
      <w:r>
        <w:rPr>
          <w:szCs w:val="22"/>
          <w:lang w:val="lv-LV"/>
        </w:rPr>
        <w:t xml:space="preserve">salīdzinājumā ar DMARD. Vidējais hemoglobīna līmenis palielinājās 2. nedēļā un saglabājās normas robežās līdz 24. nedēļai. </w:t>
      </w:r>
    </w:p>
    <w:p w14:paraId="298AF828" w14:textId="77777777" w:rsidR="00A453C3" w:rsidRPr="00DD7A4F" w:rsidRDefault="00A453C3" w:rsidP="00A453C3">
      <w:pPr>
        <w:rPr>
          <w:szCs w:val="22"/>
          <w:lang w:val="lv-LV"/>
        </w:rPr>
      </w:pPr>
    </w:p>
    <w:p w14:paraId="535ED2FF" w14:textId="77777777" w:rsidR="00A453C3" w:rsidRPr="00707120" w:rsidRDefault="00A453C3" w:rsidP="00707120">
      <w:pPr>
        <w:keepNext/>
        <w:ind w:right="-2"/>
        <w:rPr>
          <w:u w:val="single"/>
          <w:lang w:val="lv-LV"/>
        </w:rPr>
      </w:pPr>
      <w:r w:rsidRPr="00707120">
        <w:rPr>
          <w:i/>
          <w:u w:val="single"/>
          <w:lang w:val="lv-LV"/>
        </w:rPr>
        <w:t>Tocilizumabs salīdzinājumā ar adalimumabu monoterapijā</w:t>
      </w:r>
    </w:p>
    <w:p w14:paraId="77D170E0" w14:textId="594E86F4" w:rsidR="00A453C3" w:rsidRDefault="00A453C3" w:rsidP="00A453C3">
      <w:pPr>
        <w:rPr>
          <w:lang w:val="lv-LV"/>
        </w:rPr>
      </w:pPr>
      <w:r>
        <w:rPr>
          <w:lang w:val="lv-LV"/>
        </w:rPr>
        <w:t xml:space="preserve">VI pētījumā (WA19924), kas bija 24 nedēļas ilgs dubultmaskēts pētījums, kurā </w:t>
      </w:r>
      <w:r>
        <w:rPr>
          <w:szCs w:val="22"/>
          <w:lang w:val="lv-LV"/>
        </w:rPr>
        <w:t>tocilizumaba</w:t>
      </w:r>
      <w:r w:rsidDel="001D4271">
        <w:rPr>
          <w:szCs w:val="22"/>
          <w:lang w:val="lv-LV"/>
        </w:rPr>
        <w:t xml:space="preserve"> </w:t>
      </w:r>
      <w:r>
        <w:rPr>
          <w:lang w:val="lv-LV"/>
        </w:rPr>
        <w:t xml:space="preserve">monoterapiju salīdzināja ar adalimumaba monoterapiju, novērtēja 326 pacientus ar RA, kuri nepanesa MTX vai kuriem turpmāka ārstēšana ar MTX bija uzskatāma par nepiemērotu (tajā skaitā personas, kurām bija neatbilstoša atbildes reakcija uz MTX). </w:t>
      </w:r>
      <w:r>
        <w:rPr>
          <w:szCs w:val="22"/>
          <w:lang w:val="lv-LV"/>
        </w:rPr>
        <w:t>Tocilizumaba</w:t>
      </w:r>
      <w:r w:rsidDel="001D4271">
        <w:rPr>
          <w:szCs w:val="22"/>
          <w:lang w:val="lv-LV"/>
        </w:rPr>
        <w:t xml:space="preserve"> </w:t>
      </w:r>
      <w:r>
        <w:rPr>
          <w:lang w:val="lv-LV"/>
        </w:rPr>
        <w:t xml:space="preserve">grupas pacientiem lietoja </w:t>
      </w:r>
      <w:r>
        <w:rPr>
          <w:szCs w:val="22"/>
          <w:lang w:val="lv-LV"/>
        </w:rPr>
        <w:t>tocilizumabu</w:t>
      </w:r>
      <w:r w:rsidDel="001D4271">
        <w:rPr>
          <w:szCs w:val="22"/>
          <w:lang w:val="lv-LV"/>
        </w:rPr>
        <w:t xml:space="preserve"> </w:t>
      </w:r>
      <w:r>
        <w:rPr>
          <w:lang w:val="lv-LV"/>
        </w:rPr>
        <w:t>(8 mg/kg) intravenozas 1infūzijas veidā reizi četrās nedēļās (q4w) un subkutānas placebo injekcijas reizi divās nedēļās (q2w). Adalimumaba grupas pacientiem lietoja adalimumabu (40 mg) subkutānu injekciju veidā reizi divās nedēļās un placebo intravenozas infūzijas veidā reizi četrās nedēļās.</w:t>
      </w:r>
    </w:p>
    <w:p w14:paraId="38E44553" w14:textId="77777777" w:rsidR="00A453C3" w:rsidRPr="00DD7A4F" w:rsidRDefault="00A453C3" w:rsidP="00A453C3">
      <w:pPr>
        <w:rPr>
          <w:lang w:val="lv-LV"/>
        </w:rPr>
      </w:pPr>
    </w:p>
    <w:p w14:paraId="2844560C" w14:textId="349C3255" w:rsidR="00A453C3" w:rsidRPr="00DD7A4F" w:rsidRDefault="00A453C3" w:rsidP="00A453C3">
      <w:pPr>
        <w:rPr>
          <w:lang w:val="lv-LV"/>
        </w:rPr>
      </w:pPr>
      <w:r w:rsidRPr="00DD7A4F">
        <w:rPr>
          <w:lang w:val="lv-LV"/>
        </w:rPr>
        <w:t xml:space="preserve">Vērtējot slimības aktivitātes kontrolēšanu no pētījuma sākumam līdz 24. nedēļai, proti, DAS28 izmaiņas kā primāro mērķa kritēriju un visus sekundāros mērķa kritērijus, salīdzinot ar adalimumabu, </w:t>
      </w:r>
      <w:r>
        <w:rPr>
          <w:szCs w:val="22"/>
          <w:lang w:val="lv-LV"/>
        </w:rPr>
        <w:t>tocilizumabam</w:t>
      </w:r>
      <w:r w:rsidRPr="00DD7A4F" w:rsidDel="001D4271">
        <w:rPr>
          <w:szCs w:val="22"/>
          <w:lang w:val="lv-LV"/>
        </w:rPr>
        <w:t xml:space="preserve"> </w:t>
      </w:r>
      <w:r w:rsidRPr="00DD7A4F">
        <w:rPr>
          <w:lang w:val="lv-LV"/>
        </w:rPr>
        <w:t>konstatēja labāku iedarbību, kas bija statistiski nozīmīga (</w:t>
      </w:r>
      <w:r>
        <w:rPr>
          <w:lang w:val="lv-LV"/>
        </w:rPr>
        <w:t>7</w:t>
      </w:r>
      <w:r w:rsidRPr="00DD7A4F">
        <w:rPr>
          <w:lang w:val="lv-LV"/>
        </w:rPr>
        <w:t>. tabula).</w:t>
      </w:r>
    </w:p>
    <w:p w14:paraId="60A5DC7B" w14:textId="77777777" w:rsidR="00A453C3" w:rsidRPr="00DD7A4F" w:rsidRDefault="00A453C3" w:rsidP="00A453C3">
      <w:pPr>
        <w:rPr>
          <w:lang w:val="lv-LV"/>
        </w:rPr>
      </w:pPr>
    </w:p>
    <w:p w14:paraId="56083785" w14:textId="2A2048BA" w:rsidR="00A453C3" w:rsidRDefault="00A453C3" w:rsidP="00A453C3">
      <w:pPr>
        <w:keepNext/>
        <w:keepLines/>
        <w:rPr>
          <w:i/>
          <w:szCs w:val="22"/>
          <w:lang w:val="lv-LV"/>
        </w:rPr>
      </w:pPr>
      <w:r>
        <w:rPr>
          <w:i/>
          <w:szCs w:val="22"/>
          <w:lang w:val="lv-LV"/>
        </w:rPr>
        <w:t>7</w:t>
      </w:r>
      <w:r w:rsidRPr="00DD7A4F">
        <w:rPr>
          <w:i/>
          <w:szCs w:val="22"/>
          <w:lang w:val="lv-LV"/>
        </w:rPr>
        <w:t xml:space="preserve">. tabula. </w:t>
      </w:r>
      <w:r>
        <w:rPr>
          <w:i/>
          <w:szCs w:val="22"/>
          <w:lang w:val="lv-LV"/>
        </w:rPr>
        <w:t>VI p</w:t>
      </w:r>
      <w:r w:rsidRPr="00DD7A4F">
        <w:rPr>
          <w:i/>
          <w:szCs w:val="22"/>
          <w:lang w:val="lv-LV"/>
        </w:rPr>
        <w:t>ētījuma (WA19924) efektivitāti raksturojošie rezultāti</w:t>
      </w:r>
    </w:p>
    <w:p w14:paraId="1446C52E" w14:textId="77777777" w:rsidR="00A453C3" w:rsidRDefault="00A453C3" w:rsidP="00A453C3">
      <w:pPr>
        <w:keepNext/>
        <w:keepLines/>
        <w:rPr>
          <w:szCs w:val="22"/>
          <w:lang w:val="lv-LV"/>
        </w:rPr>
      </w:pPr>
    </w:p>
    <w:tbl>
      <w:tblPr>
        <w:tblW w:w="9076" w:type="dxa"/>
        <w:tblInd w:w="-9" w:type="dxa"/>
        <w:tblLayout w:type="fixed"/>
        <w:tblCellMar>
          <w:left w:w="0" w:type="dxa"/>
          <w:right w:w="0" w:type="dxa"/>
        </w:tblCellMar>
        <w:tblLook w:val="0000" w:firstRow="0" w:lastRow="0" w:firstColumn="0" w:lastColumn="0" w:noHBand="0" w:noVBand="0"/>
      </w:tblPr>
      <w:tblGrid>
        <w:gridCol w:w="3690"/>
        <w:gridCol w:w="1984"/>
        <w:gridCol w:w="2127"/>
        <w:gridCol w:w="1275"/>
      </w:tblGrid>
      <w:tr w:rsidR="00A453C3" w:rsidRPr="0049044B" w14:paraId="409EC49C" w14:textId="77777777" w:rsidTr="00707120">
        <w:trPr>
          <w:cantSplit/>
        </w:trPr>
        <w:tc>
          <w:tcPr>
            <w:tcW w:w="3690" w:type="dxa"/>
            <w:tcBorders>
              <w:top w:val="single" w:sz="8" w:space="0" w:color="000000"/>
              <w:left w:val="single" w:sz="4" w:space="0" w:color="000000"/>
              <w:bottom w:val="single" w:sz="8" w:space="0" w:color="000000"/>
            </w:tcBorders>
            <w:vAlign w:val="bottom"/>
          </w:tcPr>
          <w:p w14:paraId="7A0743B5" w14:textId="77777777" w:rsidR="00A453C3" w:rsidRPr="0049044B" w:rsidRDefault="00A453C3" w:rsidP="0067693D">
            <w:pPr>
              <w:keepNext/>
              <w:keepLines/>
              <w:snapToGrid w:val="0"/>
              <w:rPr>
                <w:szCs w:val="22"/>
                <w:lang w:val="lv-LV"/>
              </w:rPr>
            </w:pPr>
          </w:p>
        </w:tc>
        <w:tc>
          <w:tcPr>
            <w:tcW w:w="1984" w:type="dxa"/>
            <w:tcBorders>
              <w:top w:val="single" w:sz="8" w:space="0" w:color="000000"/>
              <w:bottom w:val="single" w:sz="8" w:space="0" w:color="000000"/>
            </w:tcBorders>
            <w:vAlign w:val="bottom"/>
          </w:tcPr>
          <w:p w14:paraId="03BD7A55" w14:textId="77777777" w:rsidR="00A453C3" w:rsidRPr="00707120" w:rsidRDefault="00A453C3" w:rsidP="0067693D">
            <w:pPr>
              <w:keepNext/>
              <w:keepLines/>
              <w:spacing w:before="40" w:after="40" w:line="240" w:lineRule="exact"/>
              <w:jc w:val="center"/>
              <w:rPr>
                <w:b/>
                <w:szCs w:val="22"/>
                <w:lang w:val="lv-LV"/>
              </w:rPr>
            </w:pPr>
            <w:r w:rsidRPr="00707120">
              <w:rPr>
                <w:b/>
                <w:szCs w:val="22"/>
                <w:lang w:val="lv-LV"/>
              </w:rPr>
              <w:t>ADA + placebo (i.v.)</w:t>
            </w:r>
          </w:p>
          <w:p w14:paraId="170AC0DC" w14:textId="3B1FCDD7" w:rsidR="00A453C3" w:rsidRPr="00707120" w:rsidRDefault="00A453C3" w:rsidP="0067693D">
            <w:pPr>
              <w:keepNext/>
              <w:keepLines/>
              <w:spacing w:before="40" w:after="40" w:line="240" w:lineRule="exact"/>
              <w:jc w:val="center"/>
              <w:rPr>
                <w:b/>
                <w:szCs w:val="22"/>
                <w:lang w:val="lv-LV"/>
              </w:rPr>
            </w:pPr>
            <w:del w:id="1257" w:author="Author">
              <w:r w:rsidRPr="00707120" w:rsidDel="00BD5E36">
                <w:rPr>
                  <w:b/>
                  <w:szCs w:val="22"/>
                  <w:lang w:val="lv-LV"/>
                </w:rPr>
                <w:delText>N</w:delText>
              </w:r>
            </w:del>
            <w:ins w:id="1258" w:author="Author">
              <w:r w:rsidR="00BD5E36">
                <w:rPr>
                  <w:b/>
                  <w:szCs w:val="22"/>
                  <w:lang w:val="lv-LV"/>
                </w:rPr>
                <w:t>n</w:t>
              </w:r>
            </w:ins>
            <w:del w:id="1259" w:author="Author">
              <w:r w:rsidRPr="00707120" w:rsidDel="00BB0320">
                <w:rPr>
                  <w:b/>
                  <w:szCs w:val="22"/>
                  <w:lang w:val="lv-LV"/>
                </w:rPr>
                <w:delText xml:space="preserve"> </w:delText>
              </w:r>
            </w:del>
            <w:r w:rsidRPr="00707120">
              <w:rPr>
                <w:b/>
                <w:szCs w:val="22"/>
                <w:lang w:val="lv-LV"/>
              </w:rPr>
              <w:t>=</w:t>
            </w:r>
            <w:del w:id="1260" w:author="Author">
              <w:r w:rsidRPr="00707120" w:rsidDel="00BB0320">
                <w:rPr>
                  <w:b/>
                  <w:szCs w:val="22"/>
                  <w:lang w:val="lv-LV"/>
                </w:rPr>
                <w:delText xml:space="preserve"> </w:delText>
              </w:r>
            </w:del>
            <w:r w:rsidRPr="00707120">
              <w:rPr>
                <w:b/>
                <w:szCs w:val="22"/>
                <w:lang w:val="lv-LV"/>
              </w:rPr>
              <w:t>162</w:t>
            </w:r>
          </w:p>
        </w:tc>
        <w:tc>
          <w:tcPr>
            <w:tcW w:w="2127" w:type="dxa"/>
            <w:tcBorders>
              <w:top w:val="single" w:sz="8" w:space="0" w:color="000000"/>
              <w:bottom w:val="single" w:sz="8" w:space="0" w:color="000000"/>
            </w:tcBorders>
            <w:vAlign w:val="bottom"/>
          </w:tcPr>
          <w:p w14:paraId="12957152" w14:textId="77777777" w:rsidR="00A453C3" w:rsidRPr="00707120" w:rsidRDefault="00A453C3" w:rsidP="0067693D">
            <w:pPr>
              <w:keepNext/>
              <w:keepLines/>
              <w:spacing w:before="40" w:after="40" w:line="240" w:lineRule="exact"/>
              <w:jc w:val="center"/>
              <w:rPr>
                <w:b/>
                <w:szCs w:val="22"/>
                <w:lang w:val="lv-LV"/>
              </w:rPr>
            </w:pPr>
            <w:r w:rsidRPr="00707120">
              <w:rPr>
                <w:b/>
                <w:szCs w:val="22"/>
                <w:lang w:val="lv-LV"/>
              </w:rPr>
              <w:t>TCZ + placebo (s.c.)</w:t>
            </w:r>
          </w:p>
          <w:p w14:paraId="0A290F83" w14:textId="4837D5E4" w:rsidR="00A453C3" w:rsidRPr="00707120" w:rsidRDefault="00A453C3" w:rsidP="0067693D">
            <w:pPr>
              <w:keepNext/>
              <w:keepLines/>
              <w:spacing w:before="40" w:after="40" w:line="240" w:lineRule="exact"/>
              <w:jc w:val="center"/>
              <w:rPr>
                <w:szCs w:val="22"/>
                <w:lang w:val="lv-LV"/>
              </w:rPr>
            </w:pPr>
            <w:del w:id="1261" w:author="Author">
              <w:r w:rsidRPr="00707120" w:rsidDel="00BD5E36">
                <w:rPr>
                  <w:b/>
                  <w:szCs w:val="22"/>
                  <w:lang w:val="lv-LV"/>
                </w:rPr>
                <w:delText>N</w:delText>
              </w:r>
            </w:del>
            <w:ins w:id="1262" w:author="Author">
              <w:r w:rsidR="00BD5E36">
                <w:rPr>
                  <w:b/>
                  <w:szCs w:val="22"/>
                  <w:lang w:val="lv-LV"/>
                </w:rPr>
                <w:t>n</w:t>
              </w:r>
            </w:ins>
            <w:del w:id="1263" w:author="Author">
              <w:r w:rsidRPr="00707120" w:rsidDel="00BB0320">
                <w:rPr>
                  <w:b/>
                  <w:szCs w:val="22"/>
                  <w:lang w:val="lv-LV"/>
                </w:rPr>
                <w:delText xml:space="preserve"> </w:delText>
              </w:r>
            </w:del>
            <w:r w:rsidRPr="00707120">
              <w:rPr>
                <w:b/>
                <w:szCs w:val="22"/>
                <w:lang w:val="lv-LV"/>
              </w:rPr>
              <w:t>=</w:t>
            </w:r>
            <w:del w:id="1264" w:author="Author">
              <w:r w:rsidRPr="00707120" w:rsidDel="00BB0320">
                <w:rPr>
                  <w:b/>
                  <w:szCs w:val="22"/>
                  <w:lang w:val="lv-LV"/>
                </w:rPr>
                <w:delText xml:space="preserve"> </w:delText>
              </w:r>
            </w:del>
            <w:r w:rsidRPr="00707120">
              <w:rPr>
                <w:b/>
                <w:szCs w:val="22"/>
                <w:lang w:val="lv-LV"/>
              </w:rPr>
              <w:t>163</w:t>
            </w:r>
          </w:p>
        </w:tc>
        <w:tc>
          <w:tcPr>
            <w:tcW w:w="1275" w:type="dxa"/>
            <w:tcBorders>
              <w:top w:val="single" w:sz="8" w:space="0" w:color="000000"/>
              <w:bottom w:val="single" w:sz="8" w:space="0" w:color="000000"/>
              <w:right w:val="single" w:sz="8" w:space="0" w:color="000000"/>
            </w:tcBorders>
            <w:vAlign w:val="bottom"/>
          </w:tcPr>
          <w:p w14:paraId="6444DB52" w14:textId="77777777" w:rsidR="00A453C3" w:rsidRPr="00707120" w:rsidRDefault="00A453C3" w:rsidP="0067693D">
            <w:pPr>
              <w:keepNext/>
              <w:keepLines/>
              <w:spacing w:before="40" w:after="40" w:line="240" w:lineRule="exact"/>
              <w:jc w:val="center"/>
              <w:rPr>
                <w:b/>
                <w:szCs w:val="22"/>
                <w:lang w:val="lv-LV"/>
              </w:rPr>
            </w:pPr>
            <w:r w:rsidRPr="00707120">
              <w:rPr>
                <w:b/>
                <w:szCs w:val="22"/>
                <w:lang w:val="lv-LV"/>
              </w:rPr>
              <w:t>p vērtība</w:t>
            </w:r>
            <w:r w:rsidRPr="00707120">
              <w:rPr>
                <w:b/>
                <w:szCs w:val="22"/>
                <w:vertAlign w:val="superscript"/>
                <w:lang w:val="lv-LV"/>
              </w:rPr>
              <w:t>(a)</w:t>
            </w:r>
          </w:p>
        </w:tc>
      </w:tr>
      <w:tr w:rsidR="00A453C3" w:rsidRPr="0049044B" w14:paraId="0971F00C" w14:textId="77777777" w:rsidTr="00707120">
        <w:tblPrEx>
          <w:tblCellMar>
            <w:left w:w="57" w:type="dxa"/>
            <w:right w:w="57" w:type="dxa"/>
          </w:tblCellMar>
        </w:tblPrEx>
        <w:trPr>
          <w:cantSplit/>
        </w:trPr>
        <w:tc>
          <w:tcPr>
            <w:tcW w:w="9076" w:type="dxa"/>
            <w:gridSpan w:val="4"/>
            <w:tcBorders>
              <w:left w:val="single" w:sz="4" w:space="0" w:color="000000"/>
              <w:right w:val="single" w:sz="8" w:space="0" w:color="000000"/>
            </w:tcBorders>
          </w:tcPr>
          <w:p w14:paraId="25E97D20" w14:textId="3392E3F5" w:rsidR="00A453C3" w:rsidRPr="00707120" w:rsidRDefault="00A453C3" w:rsidP="0067693D">
            <w:pPr>
              <w:keepNext/>
              <w:keepLines/>
              <w:spacing w:before="40" w:after="40" w:line="240" w:lineRule="exact"/>
              <w:rPr>
                <w:b/>
                <w:szCs w:val="22"/>
                <w:lang w:val="lv-LV"/>
              </w:rPr>
            </w:pPr>
            <w:r w:rsidRPr="00707120">
              <w:rPr>
                <w:b/>
                <w:szCs w:val="22"/>
                <w:lang w:val="lv-LV"/>
              </w:rPr>
              <w:t xml:space="preserve">Primārais mērķa kritērijs – vidējās izmaiņas 24. nedēļā salīdzinājumā ar pētījuma sākumu </w:t>
            </w:r>
          </w:p>
        </w:tc>
      </w:tr>
      <w:tr w:rsidR="00A453C3" w:rsidRPr="0049044B" w14:paraId="068D0B0D" w14:textId="77777777" w:rsidTr="00707120">
        <w:trPr>
          <w:cantSplit/>
        </w:trPr>
        <w:tc>
          <w:tcPr>
            <w:tcW w:w="3690" w:type="dxa"/>
            <w:tcBorders>
              <w:top w:val="single" w:sz="4" w:space="0" w:color="000000"/>
              <w:left w:val="single" w:sz="4" w:space="0" w:color="000000"/>
            </w:tcBorders>
          </w:tcPr>
          <w:p w14:paraId="7312B168" w14:textId="77777777" w:rsidR="00A453C3" w:rsidRPr="00707120" w:rsidRDefault="00A453C3" w:rsidP="0067693D">
            <w:pPr>
              <w:keepNext/>
              <w:keepLines/>
              <w:spacing w:before="40" w:after="40" w:line="240" w:lineRule="exact"/>
              <w:jc w:val="right"/>
              <w:rPr>
                <w:bCs/>
                <w:szCs w:val="22"/>
                <w:lang w:val="lv-LV"/>
              </w:rPr>
            </w:pPr>
            <w:r w:rsidRPr="00707120">
              <w:rPr>
                <w:bCs/>
                <w:szCs w:val="22"/>
                <w:lang w:val="lv-LV"/>
              </w:rPr>
              <w:t xml:space="preserve">DAS28 (koriģēta vidējā vērtība) </w:t>
            </w:r>
          </w:p>
        </w:tc>
        <w:tc>
          <w:tcPr>
            <w:tcW w:w="1984" w:type="dxa"/>
            <w:tcBorders>
              <w:top w:val="single" w:sz="4" w:space="0" w:color="000000"/>
            </w:tcBorders>
          </w:tcPr>
          <w:p w14:paraId="2F2CD3B3" w14:textId="77777777" w:rsidR="00A453C3" w:rsidRPr="00707120" w:rsidRDefault="00A453C3" w:rsidP="0067693D">
            <w:pPr>
              <w:keepNext/>
              <w:keepLines/>
              <w:spacing w:before="50" w:after="50" w:line="240" w:lineRule="exact"/>
              <w:jc w:val="center"/>
              <w:rPr>
                <w:bCs/>
                <w:szCs w:val="22"/>
                <w:lang w:val="lv-LV"/>
              </w:rPr>
            </w:pPr>
            <w:r w:rsidRPr="00707120">
              <w:rPr>
                <w:bCs/>
                <w:szCs w:val="22"/>
                <w:lang w:val="lv-LV"/>
              </w:rPr>
              <w:t>-1,8</w:t>
            </w:r>
          </w:p>
        </w:tc>
        <w:tc>
          <w:tcPr>
            <w:tcW w:w="2127" w:type="dxa"/>
            <w:tcBorders>
              <w:top w:val="single" w:sz="4" w:space="0" w:color="000000"/>
            </w:tcBorders>
          </w:tcPr>
          <w:p w14:paraId="65C249AD" w14:textId="77777777" w:rsidR="00A453C3" w:rsidRPr="00707120" w:rsidRDefault="00A453C3" w:rsidP="0067693D">
            <w:pPr>
              <w:keepNext/>
              <w:keepLines/>
              <w:spacing w:before="50" w:after="50" w:line="240" w:lineRule="exact"/>
              <w:jc w:val="center"/>
              <w:rPr>
                <w:bCs/>
                <w:szCs w:val="22"/>
                <w:lang w:val="lv-LV"/>
              </w:rPr>
            </w:pPr>
            <w:r w:rsidRPr="00707120">
              <w:rPr>
                <w:bCs/>
                <w:szCs w:val="22"/>
                <w:lang w:val="lv-LV"/>
              </w:rPr>
              <w:t xml:space="preserve">-3,3 </w:t>
            </w:r>
          </w:p>
        </w:tc>
        <w:tc>
          <w:tcPr>
            <w:tcW w:w="1275" w:type="dxa"/>
            <w:tcBorders>
              <w:top w:val="single" w:sz="4" w:space="0" w:color="000000"/>
              <w:right w:val="single" w:sz="8" w:space="0" w:color="000000"/>
            </w:tcBorders>
          </w:tcPr>
          <w:p w14:paraId="69914EE8" w14:textId="77777777" w:rsidR="00A453C3" w:rsidRPr="00707120" w:rsidRDefault="00A453C3" w:rsidP="0067693D">
            <w:pPr>
              <w:keepNext/>
              <w:keepLines/>
              <w:snapToGrid w:val="0"/>
              <w:spacing w:before="50" w:after="50" w:line="240" w:lineRule="exact"/>
              <w:jc w:val="center"/>
              <w:rPr>
                <w:bCs/>
                <w:szCs w:val="22"/>
                <w:lang w:val="lv-LV"/>
              </w:rPr>
            </w:pPr>
          </w:p>
        </w:tc>
      </w:tr>
      <w:tr w:rsidR="00A453C3" w:rsidRPr="0049044B" w14:paraId="174463CB" w14:textId="77777777" w:rsidTr="00707120">
        <w:trPr>
          <w:cantSplit/>
        </w:trPr>
        <w:tc>
          <w:tcPr>
            <w:tcW w:w="3690" w:type="dxa"/>
            <w:tcBorders>
              <w:left w:val="single" w:sz="4" w:space="0" w:color="000000"/>
              <w:bottom w:val="single" w:sz="4" w:space="0" w:color="000000"/>
            </w:tcBorders>
          </w:tcPr>
          <w:p w14:paraId="6BEDB35C" w14:textId="77777777" w:rsidR="00A453C3" w:rsidRPr="00707120" w:rsidRDefault="00A453C3" w:rsidP="0067693D">
            <w:pPr>
              <w:keepNext/>
              <w:keepLines/>
              <w:spacing w:before="40" w:after="40" w:line="240" w:lineRule="exact"/>
              <w:jc w:val="right"/>
              <w:rPr>
                <w:bCs/>
                <w:szCs w:val="22"/>
                <w:lang w:val="lv-LV"/>
              </w:rPr>
            </w:pPr>
            <w:r w:rsidRPr="00707120">
              <w:rPr>
                <w:bCs/>
                <w:szCs w:val="22"/>
                <w:lang w:val="lv-LV"/>
              </w:rPr>
              <w:t>Koriģētās vidējās vērtības atšķirība (95% TI)</w:t>
            </w:r>
          </w:p>
        </w:tc>
        <w:tc>
          <w:tcPr>
            <w:tcW w:w="4111" w:type="dxa"/>
            <w:gridSpan w:val="2"/>
            <w:tcBorders>
              <w:bottom w:val="single" w:sz="4" w:space="0" w:color="000000"/>
            </w:tcBorders>
          </w:tcPr>
          <w:p w14:paraId="1906AEC2" w14:textId="2540066C" w:rsidR="00A453C3" w:rsidRPr="00707120" w:rsidRDefault="00A453C3" w:rsidP="0067693D">
            <w:pPr>
              <w:keepNext/>
              <w:keepLines/>
              <w:spacing w:before="50" w:after="50" w:line="240" w:lineRule="exact"/>
              <w:jc w:val="center"/>
              <w:rPr>
                <w:bCs/>
                <w:szCs w:val="22"/>
                <w:lang w:val="lv-LV"/>
              </w:rPr>
            </w:pPr>
            <w:r w:rsidRPr="00707120">
              <w:rPr>
                <w:bCs/>
                <w:szCs w:val="22"/>
                <w:lang w:val="lv-LV"/>
              </w:rPr>
              <w:t>-1,5 (-1,8; -1,1)</w:t>
            </w:r>
          </w:p>
        </w:tc>
        <w:tc>
          <w:tcPr>
            <w:tcW w:w="1275" w:type="dxa"/>
            <w:tcBorders>
              <w:bottom w:val="single" w:sz="4" w:space="0" w:color="000000"/>
              <w:right w:val="single" w:sz="8" w:space="0" w:color="000000"/>
            </w:tcBorders>
          </w:tcPr>
          <w:p w14:paraId="306B1654" w14:textId="77777777" w:rsidR="00A453C3" w:rsidRPr="00707120" w:rsidRDefault="00A453C3" w:rsidP="0067693D">
            <w:pPr>
              <w:keepNext/>
              <w:keepLines/>
              <w:spacing w:before="50" w:after="50" w:line="240" w:lineRule="exact"/>
              <w:jc w:val="center"/>
              <w:rPr>
                <w:bCs/>
                <w:szCs w:val="22"/>
                <w:lang w:val="lv-LV"/>
              </w:rPr>
            </w:pPr>
            <w:r w:rsidRPr="00707120">
              <w:rPr>
                <w:bCs/>
                <w:szCs w:val="22"/>
                <w:lang w:val="lv-LV"/>
              </w:rPr>
              <w:t>&lt; 0,0001</w:t>
            </w:r>
          </w:p>
        </w:tc>
      </w:tr>
      <w:tr w:rsidR="00A453C3" w:rsidRPr="0049044B" w14:paraId="00250EBE" w14:textId="77777777" w:rsidTr="00707120">
        <w:tblPrEx>
          <w:tblCellMar>
            <w:left w:w="57" w:type="dxa"/>
            <w:right w:w="57" w:type="dxa"/>
          </w:tblCellMar>
        </w:tblPrEx>
        <w:trPr>
          <w:cantSplit/>
        </w:trPr>
        <w:tc>
          <w:tcPr>
            <w:tcW w:w="9076" w:type="dxa"/>
            <w:gridSpan w:val="4"/>
            <w:tcBorders>
              <w:left w:val="single" w:sz="4" w:space="0" w:color="000000"/>
              <w:bottom w:val="single" w:sz="4" w:space="0" w:color="auto"/>
              <w:right w:val="single" w:sz="8" w:space="0" w:color="000000"/>
            </w:tcBorders>
          </w:tcPr>
          <w:p w14:paraId="35B51CF7" w14:textId="3DD3518C" w:rsidR="00A453C3" w:rsidRPr="00707120" w:rsidRDefault="00A453C3" w:rsidP="0067693D">
            <w:pPr>
              <w:keepNext/>
              <w:keepLines/>
              <w:spacing w:before="40" w:after="40" w:line="240" w:lineRule="exact"/>
              <w:rPr>
                <w:szCs w:val="22"/>
                <w:lang w:val="lv-LV"/>
              </w:rPr>
            </w:pPr>
            <w:r w:rsidRPr="00707120">
              <w:rPr>
                <w:b/>
                <w:szCs w:val="22"/>
                <w:lang w:val="lv-LV"/>
              </w:rPr>
              <w:t>Sekundārie mērķa kritēriji –</w:t>
            </w:r>
            <w:r w:rsidRPr="00707120">
              <w:rPr>
                <w:szCs w:val="22"/>
              </w:rPr>
              <w:t xml:space="preserve"> </w:t>
            </w:r>
            <w:r w:rsidRPr="00707120">
              <w:rPr>
                <w:b/>
                <w:szCs w:val="22"/>
                <w:lang w:val="lv-LV"/>
              </w:rPr>
              <w:t>pacientu procentuālais daudzums 24. nedēļā, kuriem bija atbildes reakcija</w:t>
            </w:r>
            <w:r w:rsidRPr="00707120">
              <w:rPr>
                <w:b/>
                <w:szCs w:val="22"/>
                <w:vertAlign w:val="superscript"/>
                <w:lang w:val="lv-LV"/>
              </w:rPr>
              <w:t>(b)</w:t>
            </w:r>
          </w:p>
        </w:tc>
      </w:tr>
      <w:tr w:rsidR="00A453C3" w:rsidRPr="0049044B" w14:paraId="7E4893B8" w14:textId="77777777" w:rsidTr="00707120">
        <w:trPr>
          <w:cantSplit/>
        </w:trPr>
        <w:tc>
          <w:tcPr>
            <w:tcW w:w="3690" w:type="dxa"/>
            <w:tcBorders>
              <w:top w:val="single" w:sz="4" w:space="0" w:color="auto"/>
              <w:left w:val="single" w:sz="4" w:space="0" w:color="auto"/>
              <w:bottom w:val="single" w:sz="4" w:space="0" w:color="auto"/>
              <w:right w:val="single" w:sz="4" w:space="0" w:color="auto"/>
            </w:tcBorders>
          </w:tcPr>
          <w:p w14:paraId="28B34ECA" w14:textId="5FAFDFD5" w:rsidR="00A453C3" w:rsidRPr="00707120" w:rsidRDefault="00A453C3" w:rsidP="0067693D">
            <w:pPr>
              <w:keepNext/>
              <w:keepLines/>
              <w:spacing w:before="40" w:after="40" w:line="240" w:lineRule="exact"/>
              <w:jc w:val="right"/>
              <w:rPr>
                <w:szCs w:val="22"/>
                <w:lang w:val="lv-LV"/>
              </w:rPr>
            </w:pPr>
            <w:r w:rsidRPr="00707120">
              <w:rPr>
                <w:szCs w:val="22"/>
                <w:lang w:val="lv-LV"/>
              </w:rPr>
              <w:t>DAS28</w:t>
            </w:r>
            <w:ins w:id="1265" w:author="Author">
              <w:r w:rsidR="00BB0320">
                <w:rPr>
                  <w:szCs w:val="22"/>
                  <w:lang w:val="lv-LV"/>
                </w:rPr>
                <w:t> </w:t>
              </w:r>
            </w:ins>
            <w:del w:id="1266" w:author="Author">
              <w:r w:rsidRPr="00707120" w:rsidDel="00BB0320">
                <w:rPr>
                  <w:szCs w:val="22"/>
                  <w:lang w:val="lv-LV"/>
                </w:rPr>
                <w:delText xml:space="preserve"> </w:delText>
              </w:r>
            </w:del>
            <w:r w:rsidRPr="00707120">
              <w:rPr>
                <w:szCs w:val="22"/>
                <w:lang w:val="lv-LV"/>
              </w:rPr>
              <w:t>&lt; 2,6, n (%)</w:t>
            </w:r>
          </w:p>
        </w:tc>
        <w:tc>
          <w:tcPr>
            <w:tcW w:w="1984" w:type="dxa"/>
            <w:tcBorders>
              <w:top w:val="single" w:sz="4" w:space="0" w:color="auto"/>
              <w:left w:val="single" w:sz="4" w:space="0" w:color="auto"/>
              <w:bottom w:val="single" w:sz="4" w:space="0" w:color="auto"/>
              <w:right w:val="single" w:sz="4" w:space="0" w:color="auto"/>
            </w:tcBorders>
          </w:tcPr>
          <w:p w14:paraId="01E264F8" w14:textId="77777777" w:rsidR="00A453C3" w:rsidRPr="00707120" w:rsidRDefault="00A453C3" w:rsidP="0067693D">
            <w:pPr>
              <w:keepNext/>
              <w:keepLines/>
              <w:spacing w:before="50" w:after="50" w:line="240" w:lineRule="exact"/>
              <w:jc w:val="center"/>
              <w:rPr>
                <w:szCs w:val="22"/>
                <w:lang w:val="lv-LV"/>
              </w:rPr>
            </w:pPr>
            <w:r w:rsidRPr="00707120">
              <w:rPr>
                <w:szCs w:val="22"/>
                <w:lang w:val="lv-LV"/>
              </w:rPr>
              <w:t>17 (10,5)</w:t>
            </w:r>
          </w:p>
        </w:tc>
        <w:tc>
          <w:tcPr>
            <w:tcW w:w="2127" w:type="dxa"/>
            <w:tcBorders>
              <w:top w:val="single" w:sz="4" w:space="0" w:color="auto"/>
              <w:left w:val="single" w:sz="4" w:space="0" w:color="auto"/>
              <w:bottom w:val="single" w:sz="4" w:space="0" w:color="auto"/>
              <w:right w:val="single" w:sz="4" w:space="0" w:color="auto"/>
            </w:tcBorders>
          </w:tcPr>
          <w:p w14:paraId="654827D4" w14:textId="77777777" w:rsidR="00A453C3" w:rsidRPr="00707120" w:rsidRDefault="00A453C3" w:rsidP="0067693D">
            <w:pPr>
              <w:keepNext/>
              <w:keepLines/>
              <w:spacing w:before="50" w:after="50" w:line="240" w:lineRule="exact"/>
              <w:jc w:val="center"/>
              <w:rPr>
                <w:szCs w:val="22"/>
                <w:lang w:val="lv-LV"/>
              </w:rPr>
            </w:pPr>
            <w:r w:rsidRPr="00707120">
              <w:rPr>
                <w:szCs w:val="22"/>
                <w:lang w:val="lv-LV"/>
              </w:rPr>
              <w:t>65 (39,9)</w:t>
            </w:r>
          </w:p>
        </w:tc>
        <w:tc>
          <w:tcPr>
            <w:tcW w:w="1275" w:type="dxa"/>
            <w:tcBorders>
              <w:top w:val="single" w:sz="4" w:space="0" w:color="auto"/>
              <w:left w:val="single" w:sz="4" w:space="0" w:color="auto"/>
              <w:bottom w:val="single" w:sz="4" w:space="0" w:color="auto"/>
              <w:right w:val="single" w:sz="4" w:space="0" w:color="auto"/>
            </w:tcBorders>
          </w:tcPr>
          <w:p w14:paraId="1C2CD087" w14:textId="77777777" w:rsidR="00A453C3" w:rsidRPr="00707120" w:rsidRDefault="00A453C3" w:rsidP="0067693D">
            <w:pPr>
              <w:keepNext/>
              <w:keepLines/>
              <w:spacing w:before="50" w:after="50" w:line="240" w:lineRule="exact"/>
              <w:jc w:val="center"/>
              <w:rPr>
                <w:szCs w:val="22"/>
                <w:lang w:val="lv-LV"/>
              </w:rPr>
            </w:pPr>
            <w:r w:rsidRPr="00707120">
              <w:rPr>
                <w:szCs w:val="22"/>
                <w:lang w:val="lv-LV"/>
              </w:rPr>
              <w:t>&lt; 0,0001</w:t>
            </w:r>
          </w:p>
        </w:tc>
      </w:tr>
      <w:tr w:rsidR="00A453C3" w:rsidRPr="0049044B" w14:paraId="532108DC" w14:textId="77777777" w:rsidTr="00707120">
        <w:trPr>
          <w:cantSplit/>
        </w:trPr>
        <w:tc>
          <w:tcPr>
            <w:tcW w:w="3690" w:type="dxa"/>
            <w:tcBorders>
              <w:top w:val="single" w:sz="4" w:space="0" w:color="auto"/>
              <w:left w:val="single" w:sz="4" w:space="0" w:color="auto"/>
              <w:bottom w:val="single" w:sz="4" w:space="0" w:color="auto"/>
              <w:right w:val="single" w:sz="4" w:space="0" w:color="auto"/>
            </w:tcBorders>
          </w:tcPr>
          <w:p w14:paraId="41580164" w14:textId="1B94610D" w:rsidR="00A453C3" w:rsidRPr="00707120" w:rsidRDefault="00A453C3" w:rsidP="0067693D">
            <w:pPr>
              <w:keepNext/>
              <w:keepLines/>
              <w:spacing w:before="40" w:after="40" w:line="240" w:lineRule="exact"/>
              <w:jc w:val="right"/>
              <w:rPr>
                <w:szCs w:val="22"/>
                <w:lang w:val="lv-LV"/>
              </w:rPr>
            </w:pPr>
            <w:r w:rsidRPr="00707120">
              <w:rPr>
                <w:szCs w:val="22"/>
                <w:lang w:val="lv-LV"/>
              </w:rPr>
              <w:t>DAS28</w:t>
            </w:r>
            <w:ins w:id="1267" w:author="Author">
              <w:r w:rsidR="00BB0320">
                <w:rPr>
                  <w:szCs w:val="22"/>
                  <w:lang w:val="lv-LV"/>
                </w:rPr>
                <w:t> </w:t>
              </w:r>
            </w:ins>
            <w:del w:id="1268" w:author="Author">
              <w:r w:rsidRPr="00707120" w:rsidDel="00BB0320">
                <w:rPr>
                  <w:szCs w:val="22"/>
                  <w:lang w:val="lv-LV"/>
                </w:rPr>
                <w:delText xml:space="preserve"> </w:delText>
              </w:r>
            </w:del>
            <w:r w:rsidRPr="00707120">
              <w:rPr>
                <w:szCs w:val="22"/>
                <w:lang w:val="lv-LV"/>
              </w:rPr>
              <w:t xml:space="preserve">≤ 3,2, n (%) </w:t>
            </w:r>
          </w:p>
        </w:tc>
        <w:tc>
          <w:tcPr>
            <w:tcW w:w="1984" w:type="dxa"/>
            <w:tcBorders>
              <w:top w:val="single" w:sz="4" w:space="0" w:color="auto"/>
              <w:left w:val="single" w:sz="4" w:space="0" w:color="auto"/>
              <w:bottom w:val="single" w:sz="4" w:space="0" w:color="auto"/>
              <w:right w:val="single" w:sz="4" w:space="0" w:color="auto"/>
            </w:tcBorders>
          </w:tcPr>
          <w:p w14:paraId="683A236E" w14:textId="77777777" w:rsidR="00A453C3" w:rsidRPr="00707120" w:rsidRDefault="00A453C3" w:rsidP="0067693D">
            <w:pPr>
              <w:keepNext/>
              <w:keepLines/>
              <w:spacing w:before="50" w:after="50" w:line="240" w:lineRule="exact"/>
              <w:jc w:val="center"/>
              <w:rPr>
                <w:szCs w:val="22"/>
                <w:lang w:val="lv-LV"/>
              </w:rPr>
            </w:pPr>
            <w:r w:rsidRPr="00707120">
              <w:rPr>
                <w:szCs w:val="22"/>
                <w:lang w:val="lv-LV"/>
              </w:rPr>
              <w:t xml:space="preserve">32 (19,8) </w:t>
            </w:r>
          </w:p>
        </w:tc>
        <w:tc>
          <w:tcPr>
            <w:tcW w:w="2127" w:type="dxa"/>
            <w:tcBorders>
              <w:top w:val="single" w:sz="4" w:space="0" w:color="auto"/>
              <w:left w:val="single" w:sz="4" w:space="0" w:color="auto"/>
              <w:bottom w:val="single" w:sz="4" w:space="0" w:color="auto"/>
              <w:right w:val="single" w:sz="4" w:space="0" w:color="auto"/>
            </w:tcBorders>
          </w:tcPr>
          <w:p w14:paraId="196E2574" w14:textId="77777777" w:rsidR="00A453C3" w:rsidRPr="00707120" w:rsidRDefault="00A453C3" w:rsidP="0067693D">
            <w:pPr>
              <w:keepNext/>
              <w:keepLines/>
              <w:spacing w:before="50" w:after="50" w:line="240" w:lineRule="exact"/>
              <w:jc w:val="center"/>
              <w:rPr>
                <w:szCs w:val="22"/>
                <w:lang w:val="lv-LV"/>
              </w:rPr>
            </w:pPr>
            <w:r w:rsidRPr="00707120">
              <w:rPr>
                <w:szCs w:val="22"/>
                <w:lang w:val="lv-LV"/>
              </w:rPr>
              <w:t>84 (51,5)</w:t>
            </w:r>
          </w:p>
        </w:tc>
        <w:tc>
          <w:tcPr>
            <w:tcW w:w="1275" w:type="dxa"/>
            <w:tcBorders>
              <w:top w:val="single" w:sz="4" w:space="0" w:color="auto"/>
              <w:left w:val="single" w:sz="4" w:space="0" w:color="auto"/>
              <w:bottom w:val="single" w:sz="4" w:space="0" w:color="auto"/>
              <w:right w:val="single" w:sz="4" w:space="0" w:color="auto"/>
            </w:tcBorders>
          </w:tcPr>
          <w:p w14:paraId="319F9B99" w14:textId="77777777" w:rsidR="00A453C3" w:rsidRPr="00707120" w:rsidRDefault="00A453C3" w:rsidP="0067693D">
            <w:pPr>
              <w:keepNext/>
              <w:keepLines/>
              <w:spacing w:before="50" w:after="50" w:line="240" w:lineRule="exact"/>
              <w:jc w:val="center"/>
              <w:rPr>
                <w:szCs w:val="22"/>
                <w:lang w:val="lv-LV"/>
              </w:rPr>
            </w:pPr>
            <w:r w:rsidRPr="00707120">
              <w:rPr>
                <w:szCs w:val="22"/>
                <w:lang w:val="lv-LV"/>
              </w:rPr>
              <w:t>&lt; 0,0001</w:t>
            </w:r>
          </w:p>
        </w:tc>
      </w:tr>
      <w:tr w:rsidR="00A453C3" w:rsidRPr="0049044B" w14:paraId="188FB8ED" w14:textId="77777777" w:rsidTr="00707120">
        <w:trPr>
          <w:cantSplit/>
        </w:trPr>
        <w:tc>
          <w:tcPr>
            <w:tcW w:w="3690" w:type="dxa"/>
            <w:tcBorders>
              <w:top w:val="single" w:sz="4" w:space="0" w:color="auto"/>
              <w:left w:val="single" w:sz="4" w:space="0" w:color="auto"/>
              <w:bottom w:val="single" w:sz="4" w:space="0" w:color="auto"/>
              <w:right w:val="single" w:sz="4" w:space="0" w:color="auto"/>
            </w:tcBorders>
          </w:tcPr>
          <w:p w14:paraId="355DB651" w14:textId="77777777" w:rsidR="00A453C3" w:rsidRPr="00707120" w:rsidRDefault="00A453C3" w:rsidP="0067693D">
            <w:pPr>
              <w:keepNext/>
              <w:keepLines/>
              <w:spacing w:before="40" w:after="40" w:line="240" w:lineRule="exact"/>
              <w:jc w:val="right"/>
              <w:rPr>
                <w:szCs w:val="22"/>
                <w:lang w:val="lv-LV"/>
              </w:rPr>
            </w:pPr>
            <w:r w:rsidRPr="00707120">
              <w:rPr>
                <w:szCs w:val="22"/>
                <w:lang w:val="lv-LV"/>
              </w:rPr>
              <w:t>ACR 20 atbildes reakcija, n (%)</w:t>
            </w:r>
          </w:p>
        </w:tc>
        <w:tc>
          <w:tcPr>
            <w:tcW w:w="1984" w:type="dxa"/>
            <w:tcBorders>
              <w:top w:val="single" w:sz="4" w:space="0" w:color="auto"/>
              <w:left w:val="single" w:sz="4" w:space="0" w:color="auto"/>
              <w:bottom w:val="single" w:sz="4" w:space="0" w:color="auto"/>
              <w:right w:val="single" w:sz="4" w:space="0" w:color="auto"/>
            </w:tcBorders>
          </w:tcPr>
          <w:p w14:paraId="67280575" w14:textId="77777777" w:rsidR="00A453C3" w:rsidRPr="00707120" w:rsidRDefault="00A453C3" w:rsidP="0067693D">
            <w:pPr>
              <w:keepNext/>
              <w:keepLines/>
              <w:spacing w:before="50" w:after="50" w:line="240" w:lineRule="exact"/>
              <w:jc w:val="center"/>
              <w:rPr>
                <w:szCs w:val="22"/>
                <w:lang w:val="lv-LV"/>
              </w:rPr>
            </w:pPr>
            <w:r w:rsidRPr="00707120">
              <w:rPr>
                <w:szCs w:val="22"/>
                <w:lang w:val="lv-LV"/>
              </w:rPr>
              <w:t>80 (49,4)</w:t>
            </w:r>
          </w:p>
        </w:tc>
        <w:tc>
          <w:tcPr>
            <w:tcW w:w="2127" w:type="dxa"/>
            <w:tcBorders>
              <w:top w:val="single" w:sz="4" w:space="0" w:color="auto"/>
              <w:left w:val="single" w:sz="4" w:space="0" w:color="auto"/>
              <w:bottom w:val="single" w:sz="4" w:space="0" w:color="auto"/>
              <w:right w:val="single" w:sz="4" w:space="0" w:color="auto"/>
            </w:tcBorders>
          </w:tcPr>
          <w:p w14:paraId="05665703" w14:textId="77777777" w:rsidR="00A453C3" w:rsidRPr="00707120" w:rsidRDefault="00A453C3" w:rsidP="0067693D">
            <w:pPr>
              <w:keepNext/>
              <w:keepLines/>
              <w:spacing w:before="50" w:after="50" w:line="240" w:lineRule="exact"/>
              <w:jc w:val="center"/>
              <w:rPr>
                <w:szCs w:val="22"/>
                <w:lang w:val="lv-LV"/>
              </w:rPr>
            </w:pPr>
            <w:r w:rsidRPr="00707120">
              <w:rPr>
                <w:szCs w:val="22"/>
                <w:lang w:val="lv-LV"/>
              </w:rPr>
              <w:t>106 (65,0)</w:t>
            </w:r>
          </w:p>
        </w:tc>
        <w:tc>
          <w:tcPr>
            <w:tcW w:w="1275" w:type="dxa"/>
            <w:tcBorders>
              <w:top w:val="single" w:sz="4" w:space="0" w:color="auto"/>
              <w:left w:val="single" w:sz="4" w:space="0" w:color="auto"/>
              <w:bottom w:val="single" w:sz="4" w:space="0" w:color="auto"/>
              <w:right w:val="single" w:sz="4" w:space="0" w:color="auto"/>
            </w:tcBorders>
          </w:tcPr>
          <w:p w14:paraId="4224CB15" w14:textId="77777777" w:rsidR="00A453C3" w:rsidRPr="00707120" w:rsidRDefault="00A453C3" w:rsidP="0067693D">
            <w:pPr>
              <w:keepNext/>
              <w:keepLines/>
              <w:spacing w:before="50" w:after="50" w:line="240" w:lineRule="exact"/>
              <w:jc w:val="center"/>
              <w:rPr>
                <w:szCs w:val="22"/>
                <w:lang w:val="lv-LV"/>
              </w:rPr>
            </w:pPr>
            <w:r w:rsidRPr="00707120">
              <w:rPr>
                <w:szCs w:val="22"/>
                <w:lang w:val="lv-LV"/>
              </w:rPr>
              <w:t>0,0038</w:t>
            </w:r>
          </w:p>
        </w:tc>
      </w:tr>
      <w:tr w:rsidR="00A453C3" w:rsidRPr="0049044B" w14:paraId="2A501306" w14:textId="77777777" w:rsidTr="00707120">
        <w:trPr>
          <w:cantSplit/>
        </w:trPr>
        <w:tc>
          <w:tcPr>
            <w:tcW w:w="3690" w:type="dxa"/>
            <w:tcBorders>
              <w:top w:val="single" w:sz="4" w:space="0" w:color="auto"/>
              <w:left w:val="single" w:sz="4" w:space="0" w:color="auto"/>
              <w:bottom w:val="single" w:sz="4" w:space="0" w:color="auto"/>
              <w:right w:val="single" w:sz="4" w:space="0" w:color="auto"/>
            </w:tcBorders>
          </w:tcPr>
          <w:p w14:paraId="5CB61CD6" w14:textId="77777777" w:rsidR="00A453C3" w:rsidRPr="00707120" w:rsidRDefault="00A453C3" w:rsidP="0067693D">
            <w:pPr>
              <w:keepNext/>
              <w:keepLines/>
              <w:spacing w:before="40" w:after="40" w:line="240" w:lineRule="exact"/>
              <w:jc w:val="right"/>
              <w:rPr>
                <w:szCs w:val="22"/>
                <w:lang w:val="lv-LV"/>
              </w:rPr>
            </w:pPr>
            <w:r w:rsidRPr="00707120">
              <w:rPr>
                <w:szCs w:val="22"/>
                <w:lang w:val="lv-LV"/>
              </w:rPr>
              <w:t>ACR 50 atbildes reakcija, n (%)</w:t>
            </w:r>
          </w:p>
        </w:tc>
        <w:tc>
          <w:tcPr>
            <w:tcW w:w="1984" w:type="dxa"/>
            <w:tcBorders>
              <w:top w:val="single" w:sz="4" w:space="0" w:color="auto"/>
              <w:left w:val="single" w:sz="4" w:space="0" w:color="auto"/>
              <w:bottom w:val="single" w:sz="4" w:space="0" w:color="auto"/>
              <w:right w:val="single" w:sz="4" w:space="0" w:color="auto"/>
            </w:tcBorders>
          </w:tcPr>
          <w:p w14:paraId="517D152F" w14:textId="77777777" w:rsidR="00A453C3" w:rsidRPr="00707120" w:rsidRDefault="00A453C3" w:rsidP="0067693D">
            <w:pPr>
              <w:keepNext/>
              <w:keepLines/>
              <w:spacing w:before="50" w:after="50" w:line="240" w:lineRule="exact"/>
              <w:jc w:val="center"/>
              <w:rPr>
                <w:szCs w:val="22"/>
                <w:lang w:val="lv-LV"/>
              </w:rPr>
            </w:pPr>
            <w:r w:rsidRPr="00707120">
              <w:rPr>
                <w:szCs w:val="22"/>
                <w:lang w:val="lv-LV"/>
              </w:rPr>
              <w:t>45 (27,8)</w:t>
            </w:r>
          </w:p>
        </w:tc>
        <w:tc>
          <w:tcPr>
            <w:tcW w:w="2127" w:type="dxa"/>
            <w:tcBorders>
              <w:top w:val="single" w:sz="4" w:space="0" w:color="auto"/>
              <w:left w:val="single" w:sz="4" w:space="0" w:color="auto"/>
              <w:bottom w:val="single" w:sz="4" w:space="0" w:color="auto"/>
              <w:right w:val="single" w:sz="4" w:space="0" w:color="auto"/>
            </w:tcBorders>
          </w:tcPr>
          <w:p w14:paraId="46A284F0" w14:textId="77777777" w:rsidR="00A453C3" w:rsidRPr="00707120" w:rsidRDefault="00A453C3" w:rsidP="0067693D">
            <w:pPr>
              <w:keepNext/>
              <w:keepLines/>
              <w:spacing w:before="50" w:after="50" w:line="240" w:lineRule="exact"/>
              <w:jc w:val="center"/>
              <w:rPr>
                <w:szCs w:val="22"/>
                <w:lang w:val="lv-LV"/>
              </w:rPr>
            </w:pPr>
            <w:r w:rsidRPr="00707120">
              <w:rPr>
                <w:szCs w:val="22"/>
                <w:lang w:val="lv-LV"/>
              </w:rPr>
              <w:t>77 (47,2)</w:t>
            </w:r>
          </w:p>
        </w:tc>
        <w:tc>
          <w:tcPr>
            <w:tcW w:w="1275" w:type="dxa"/>
            <w:tcBorders>
              <w:top w:val="single" w:sz="4" w:space="0" w:color="auto"/>
              <w:left w:val="single" w:sz="4" w:space="0" w:color="auto"/>
              <w:bottom w:val="single" w:sz="4" w:space="0" w:color="auto"/>
              <w:right w:val="single" w:sz="4" w:space="0" w:color="auto"/>
            </w:tcBorders>
          </w:tcPr>
          <w:p w14:paraId="63D2D55C" w14:textId="77777777" w:rsidR="00A453C3" w:rsidRPr="00707120" w:rsidRDefault="00A453C3" w:rsidP="0067693D">
            <w:pPr>
              <w:keepNext/>
              <w:keepLines/>
              <w:spacing w:before="50" w:after="50" w:line="240" w:lineRule="exact"/>
              <w:jc w:val="center"/>
              <w:rPr>
                <w:szCs w:val="22"/>
                <w:lang w:val="lv-LV"/>
              </w:rPr>
            </w:pPr>
            <w:r w:rsidRPr="00707120">
              <w:rPr>
                <w:szCs w:val="22"/>
                <w:lang w:val="lv-LV"/>
              </w:rPr>
              <w:t>0,0002</w:t>
            </w:r>
          </w:p>
        </w:tc>
      </w:tr>
      <w:tr w:rsidR="00A453C3" w:rsidRPr="0049044B" w14:paraId="6BCF7778" w14:textId="77777777" w:rsidTr="00707120">
        <w:trPr>
          <w:cantSplit/>
        </w:trPr>
        <w:tc>
          <w:tcPr>
            <w:tcW w:w="3690" w:type="dxa"/>
            <w:tcBorders>
              <w:top w:val="single" w:sz="4" w:space="0" w:color="auto"/>
              <w:left w:val="single" w:sz="4" w:space="0" w:color="auto"/>
              <w:bottom w:val="single" w:sz="4" w:space="0" w:color="auto"/>
              <w:right w:val="single" w:sz="4" w:space="0" w:color="auto"/>
            </w:tcBorders>
          </w:tcPr>
          <w:p w14:paraId="5CF69688" w14:textId="77777777" w:rsidR="00A453C3" w:rsidRPr="00707120" w:rsidRDefault="00A453C3" w:rsidP="0067693D">
            <w:pPr>
              <w:keepNext/>
              <w:keepLines/>
              <w:spacing w:before="40" w:after="40" w:line="240" w:lineRule="exact"/>
              <w:jc w:val="right"/>
              <w:rPr>
                <w:szCs w:val="22"/>
                <w:lang w:val="lv-LV"/>
              </w:rPr>
            </w:pPr>
            <w:r w:rsidRPr="00707120">
              <w:rPr>
                <w:szCs w:val="22"/>
                <w:lang w:val="lv-LV"/>
              </w:rPr>
              <w:t>ACR 70 atbildes reakcija, n (%)</w:t>
            </w:r>
          </w:p>
        </w:tc>
        <w:tc>
          <w:tcPr>
            <w:tcW w:w="1984" w:type="dxa"/>
            <w:tcBorders>
              <w:top w:val="single" w:sz="4" w:space="0" w:color="auto"/>
              <w:left w:val="single" w:sz="4" w:space="0" w:color="auto"/>
              <w:bottom w:val="single" w:sz="4" w:space="0" w:color="auto"/>
              <w:right w:val="single" w:sz="4" w:space="0" w:color="auto"/>
            </w:tcBorders>
          </w:tcPr>
          <w:p w14:paraId="7AF9D8F0" w14:textId="77777777" w:rsidR="00A453C3" w:rsidRPr="00707120" w:rsidRDefault="00A453C3" w:rsidP="0067693D">
            <w:pPr>
              <w:keepNext/>
              <w:keepLines/>
              <w:spacing w:before="50" w:after="50" w:line="240" w:lineRule="exact"/>
              <w:jc w:val="center"/>
              <w:rPr>
                <w:szCs w:val="22"/>
                <w:lang w:val="lv-LV"/>
              </w:rPr>
            </w:pPr>
            <w:r w:rsidRPr="00707120">
              <w:rPr>
                <w:szCs w:val="22"/>
                <w:lang w:val="lv-LV"/>
              </w:rPr>
              <w:t>29 (17,9)</w:t>
            </w:r>
          </w:p>
        </w:tc>
        <w:tc>
          <w:tcPr>
            <w:tcW w:w="2127" w:type="dxa"/>
            <w:tcBorders>
              <w:top w:val="single" w:sz="4" w:space="0" w:color="auto"/>
              <w:left w:val="single" w:sz="4" w:space="0" w:color="auto"/>
              <w:bottom w:val="single" w:sz="4" w:space="0" w:color="auto"/>
              <w:right w:val="single" w:sz="4" w:space="0" w:color="auto"/>
            </w:tcBorders>
          </w:tcPr>
          <w:p w14:paraId="5E0460DA" w14:textId="77777777" w:rsidR="00A453C3" w:rsidRPr="00707120" w:rsidRDefault="00A453C3" w:rsidP="0067693D">
            <w:pPr>
              <w:keepNext/>
              <w:keepLines/>
              <w:spacing w:before="50" w:after="50" w:line="240" w:lineRule="exact"/>
              <w:jc w:val="center"/>
              <w:rPr>
                <w:szCs w:val="22"/>
                <w:lang w:val="lv-LV"/>
              </w:rPr>
            </w:pPr>
            <w:r w:rsidRPr="00707120">
              <w:rPr>
                <w:szCs w:val="22"/>
                <w:lang w:val="lv-LV"/>
              </w:rPr>
              <w:t>53 (32,5)</w:t>
            </w:r>
          </w:p>
        </w:tc>
        <w:tc>
          <w:tcPr>
            <w:tcW w:w="1275" w:type="dxa"/>
            <w:tcBorders>
              <w:top w:val="single" w:sz="4" w:space="0" w:color="auto"/>
              <w:left w:val="single" w:sz="4" w:space="0" w:color="auto"/>
              <w:bottom w:val="single" w:sz="4" w:space="0" w:color="auto"/>
              <w:right w:val="single" w:sz="4" w:space="0" w:color="auto"/>
            </w:tcBorders>
          </w:tcPr>
          <w:p w14:paraId="69047A29" w14:textId="77777777" w:rsidR="00A453C3" w:rsidRPr="00707120" w:rsidRDefault="00A453C3" w:rsidP="0067693D">
            <w:pPr>
              <w:keepNext/>
              <w:keepLines/>
              <w:spacing w:before="50" w:after="50" w:line="240" w:lineRule="exact"/>
              <w:jc w:val="center"/>
              <w:rPr>
                <w:i/>
                <w:szCs w:val="22"/>
                <w:vertAlign w:val="superscript"/>
                <w:lang w:val="lv-LV"/>
              </w:rPr>
            </w:pPr>
            <w:r w:rsidRPr="00707120">
              <w:rPr>
                <w:szCs w:val="22"/>
                <w:lang w:val="lv-LV"/>
              </w:rPr>
              <w:t>0,0023</w:t>
            </w:r>
          </w:p>
        </w:tc>
      </w:tr>
    </w:tbl>
    <w:p w14:paraId="11272B1C" w14:textId="75D2A207" w:rsidR="00A453C3" w:rsidRPr="00C33956" w:rsidRDefault="00A453C3" w:rsidP="00A453C3">
      <w:pPr>
        <w:keepNext/>
        <w:keepLines/>
        <w:rPr>
          <w:iCs/>
          <w:lang w:val="lv-LV"/>
        </w:rPr>
      </w:pPr>
      <w:r w:rsidRPr="00707120">
        <w:rPr>
          <w:iCs/>
          <w:sz w:val="18"/>
          <w:vertAlign w:val="superscript"/>
          <w:lang w:val="lv-LV"/>
        </w:rPr>
        <w:t>a</w:t>
      </w:r>
      <w:r w:rsidRPr="00707120">
        <w:rPr>
          <w:iCs/>
          <w:sz w:val="18"/>
          <w:lang w:val="lv-LV"/>
        </w:rPr>
        <w:t xml:space="preserve">p vērtība visiem mērķa kritērijiem ir koriģēta </w:t>
      </w:r>
      <w:r w:rsidRPr="00B36D56">
        <w:rPr>
          <w:i/>
          <w:sz w:val="18"/>
          <w:lang w:val="lv-LV"/>
        </w:rPr>
        <w:t xml:space="preserve">pēc reģiona </w:t>
      </w:r>
      <w:r w:rsidRPr="00707120">
        <w:rPr>
          <w:iCs/>
          <w:sz w:val="18"/>
          <w:lang w:val="lv-LV"/>
        </w:rPr>
        <w:t>un RA ilguma, un visiem pastāvīgajiem kritērijiem</w:t>
      </w:r>
      <w:r>
        <w:rPr>
          <w:iCs/>
          <w:sz w:val="18"/>
          <w:lang w:val="lv-LV"/>
        </w:rPr>
        <w:t xml:space="preserve"> </w:t>
      </w:r>
      <w:r>
        <w:rPr>
          <w:iCs/>
          <w:sz w:val="18"/>
          <w:lang w:val="lv-LV"/>
        </w:rPr>
        <w:noBreakHyphen/>
        <w:t xml:space="preserve"> </w:t>
      </w:r>
      <w:r w:rsidRPr="00707120">
        <w:rPr>
          <w:iCs/>
          <w:sz w:val="18"/>
          <w:lang w:val="lv-LV"/>
        </w:rPr>
        <w:t>papildus pēc sākotnējās vērtības.</w:t>
      </w:r>
      <w:r w:rsidRPr="00707120">
        <w:rPr>
          <w:iCs/>
          <w:sz w:val="18"/>
          <w:lang w:val="lv-LV"/>
        </w:rPr>
        <w:br/>
      </w:r>
      <w:r w:rsidRPr="00707120">
        <w:rPr>
          <w:iCs/>
          <w:sz w:val="18"/>
          <w:vertAlign w:val="superscript"/>
          <w:lang w:val="lv-LV"/>
        </w:rPr>
        <w:t>b</w:t>
      </w:r>
      <w:r w:rsidRPr="00707120">
        <w:rPr>
          <w:iCs/>
          <w:sz w:val="18"/>
          <w:lang w:val="lv-LV"/>
        </w:rPr>
        <w:t xml:space="preserve"> Datu trūkuma gadījumā tika pieņemts, ka atbildes reakcijas nav. Daudzveidība kontrolēta, izmantojot </w:t>
      </w:r>
      <w:r w:rsidRPr="00707120">
        <w:rPr>
          <w:i/>
          <w:sz w:val="18"/>
          <w:lang w:val="lv-LV"/>
        </w:rPr>
        <w:t>Bonferroni-Holm</w:t>
      </w:r>
      <w:r w:rsidRPr="00707120">
        <w:rPr>
          <w:iCs/>
          <w:sz w:val="18"/>
          <w:lang w:val="lv-LV"/>
        </w:rPr>
        <w:t xml:space="preserve"> procedūru.</w:t>
      </w:r>
    </w:p>
    <w:p w14:paraId="26AD9608" w14:textId="77777777" w:rsidR="00A453C3" w:rsidRDefault="00A453C3" w:rsidP="00A453C3">
      <w:pPr>
        <w:keepNext/>
        <w:keepLines/>
        <w:rPr>
          <w:iCs/>
          <w:sz w:val="18"/>
          <w:lang w:val="lv-LV"/>
        </w:rPr>
      </w:pPr>
      <w:r>
        <w:rPr>
          <w:iCs/>
          <w:sz w:val="18"/>
          <w:lang w:val="lv-LV"/>
        </w:rPr>
        <w:t>i.v. = intravenozi.</w:t>
      </w:r>
    </w:p>
    <w:p w14:paraId="6C6187F8" w14:textId="77777777" w:rsidR="00A453C3" w:rsidRDefault="00A453C3" w:rsidP="00A453C3">
      <w:pPr>
        <w:keepNext/>
        <w:keepLines/>
        <w:rPr>
          <w:iCs/>
          <w:sz w:val="18"/>
          <w:lang w:val="lv-LV"/>
        </w:rPr>
      </w:pPr>
      <w:r>
        <w:rPr>
          <w:iCs/>
          <w:sz w:val="18"/>
          <w:lang w:val="lv-LV"/>
        </w:rPr>
        <w:t>s.c. = subkutāni.</w:t>
      </w:r>
    </w:p>
    <w:p w14:paraId="06565FFE" w14:textId="77777777" w:rsidR="000C7288" w:rsidRPr="00B47B7D" w:rsidRDefault="000C7288" w:rsidP="000C7288">
      <w:pPr>
        <w:keepNext/>
        <w:keepLines/>
        <w:rPr>
          <w:iCs/>
          <w:lang w:val="lv-LV"/>
        </w:rPr>
      </w:pPr>
      <w:r>
        <w:rPr>
          <w:iCs/>
          <w:sz w:val="18"/>
          <w:lang w:val="lv-LV"/>
        </w:rPr>
        <w:t>ADA = adalimumabs.</w:t>
      </w:r>
    </w:p>
    <w:p w14:paraId="74AA37D7" w14:textId="77777777" w:rsidR="00A453C3" w:rsidRDefault="00A453C3" w:rsidP="00A453C3">
      <w:pPr>
        <w:keepNext/>
        <w:keepLines/>
        <w:rPr>
          <w:iCs/>
          <w:sz w:val="18"/>
          <w:lang w:val="lv-LV"/>
        </w:rPr>
      </w:pPr>
      <w:r>
        <w:rPr>
          <w:iCs/>
          <w:sz w:val="18"/>
          <w:lang w:val="lv-LV"/>
        </w:rPr>
        <w:t xml:space="preserve">TCZ = tocilizumabs. </w:t>
      </w:r>
    </w:p>
    <w:p w14:paraId="7DE271C5" w14:textId="77777777" w:rsidR="00A453C3" w:rsidRDefault="00A453C3" w:rsidP="00A453C3">
      <w:pPr>
        <w:ind w:right="-2"/>
        <w:rPr>
          <w:lang w:val="lv-LV"/>
        </w:rPr>
      </w:pPr>
    </w:p>
    <w:p w14:paraId="733396BD" w14:textId="1FF5E0C1" w:rsidR="00A453C3" w:rsidRDefault="00A453C3" w:rsidP="00A453C3">
      <w:pPr>
        <w:ind w:right="-2"/>
        <w:rPr>
          <w:lang w:val="lv-LV"/>
        </w:rPr>
      </w:pPr>
      <w:r>
        <w:rPr>
          <w:lang w:val="lv-LV"/>
        </w:rPr>
        <w:t xml:space="preserve">Kopējais klīnisko blakusparādību profils </w:t>
      </w:r>
      <w:r>
        <w:rPr>
          <w:szCs w:val="22"/>
          <w:lang w:val="lv-LV"/>
        </w:rPr>
        <w:t>tocilizumabam</w:t>
      </w:r>
      <w:r w:rsidRPr="002607ED">
        <w:rPr>
          <w:szCs w:val="22"/>
          <w:lang w:val="lv-LV"/>
        </w:rPr>
        <w:t xml:space="preserve"> </w:t>
      </w:r>
      <w:r>
        <w:rPr>
          <w:lang w:val="lv-LV"/>
        </w:rPr>
        <w:t>un adalimumabam bija līdzīgs. Abās ārstēšanas grupās bija līdzīgs tādu pacientu īpatsvars, kuriem radās nopietnas blakusparādības (</w:t>
      </w:r>
      <w:r>
        <w:rPr>
          <w:szCs w:val="22"/>
          <w:lang w:val="lv-LV"/>
        </w:rPr>
        <w:t>tocilizumaba grupā</w:t>
      </w:r>
      <w:r w:rsidDel="001D4271">
        <w:rPr>
          <w:szCs w:val="22"/>
          <w:lang w:val="lv-LV"/>
        </w:rPr>
        <w:t xml:space="preserve"> </w:t>
      </w:r>
      <w:r>
        <w:rPr>
          <w:lang w:val="lv-LV"/>
        </w:rPr>
        <w:t xml:space="preserve">11,7%, adalimumaba grupā 9,9%). </w:t>
      </w:r>
      <w:r>
        <w:rPr>
          <w:szCs w:val="22"/>
          <w:lang w:val="lv-LV"/>
        </w:rPr>
        <w:t>Tocilizumaba</w:t>
      </w:r>
      <w:r w:rsidRPr="002607ED">
        <w:rPr>
          <w:szCs w:val="22"/>
          <w:lang w:val="lv-LV"/>
        </w:rPr>
        <w:t xml:space="preserve"> </w:t>
      </w:r>
      <w:r>
        <w:rPr>
          <w:lang w:val="lv-LV"/>
        </w:rPr>
        <w:t xml:space="preserve">grupā nevēlamo blakusparādību veidi atbilda zināmām </w:t>
      </w:r>
      <w:r>
        <w:rPr>
          <w:szCs w:val="22"/>
          <w:lang w:val="lv-LV"/>
        </w:rPr>
        <w:t>tocilizumaba</w:t>
      </w:r>
      <w:r w:rsidDel="001D4271">
        <w:rPr>
          <w:szCs w:val="22"/>
          <w:lang w:val="lv-LV"/>
        </w:rPr>
        <w:t xml:space="preserve"> </w:t>
      </w:r>
      <w:r>
        <w:rPr>
          <w:lang w:val="lv-LV"/>
        </w:rPr>
        <w:t xml:space="preserve">drošuma īpašībām, un tika ziņots, ka nevēlamo blakusparādību biežums bija līdzīgs 1. tabulā minētam biežumam. </w:t>
      </w:r>
      <w:r>
        <w:rPr>
          <w:szCs w:val="22"/>
          <w:lang w:val="lv-LV"/>
        </w:rPr>
        <w:t>Tocilizumaba</w:t>
      </w:r>
      <w:r w:rsidDel="001D4271">
        <w:rPr>
          <w:szCs w:val="22"/>
          <w:lang w:val="lv-LV"/>
        </w:rPr>
        <w:t xml:space="preserve"> </w:t>
      </w:r>
      <w:r>
        <w:rPr>
          <w:lang w:val="lv-LV"/>
        </w:rPr>
        <w:t xml:space="preserve">grupā bija lielāka infekciju un infestāciju sastopamība (48%, salīdzinot ar 42%), bet neatšķīrās nopietnu infekciju sastopamība (3,1%). Abas pētījuma terapijas ietvēra līdzīgas laboratorisko drošuma rādītāju izmaiņas (neitrofilo leikocītu un trombocītu skaita samazināšanās, ALAT, ASAT un lipīdu līmeņa paaugstināšanās), lai gan </w:t>
      </w:r>
      <w:r>
        <w:rPr>
          <w:szCs w:val="22"/>
          <w:lang w:val="lv-LV"/>
        </w:rPr>
        <w:t>tocilizumabs</w:t>
      </w:r>
      <w:r w:rsidDel="001D4271">
        <w:rPr>
          <w:szCs w:val="22"/>
          <w:lang w:val="lv-LV"/>
        </w:rPr>
        <w:t xml:space="preserve"> </w:t>
      </w:r>
      <w:r>
        <w:rPr>
          <w:lang w:val="lv-LV"/>
        </w:rPr>
        <w:t xml:space="preserve">salīdzinājumā ar adalimumabu bija saistīts ar lielāku izmaiņu nozīmīgumu un izteiktāku patoloģiju biežumu. Četriem pacientiem </w:t>
      </w:r>
      <w:r>
        <w:rPr>
          <w:szCs w:val="22"/>
          <w:lang w:val="lv-LV"/>
        </w:rPr>
        <w:t>tocilizumaba</w:t>
      </w:r>
      <w:r w:rsidDel="001D4271">
        <w:rPr>
          <w:szCs w:val="22"/>
          <w:lang w:val="lv-LV"/>
        </w:rPr>
        <w:t xml:space="preserve"> </w:t>
      </w:r>
      <w:r>
        <w:rPr>
          <w:lang w:val="lv-LV"/>
        </w:rPr>
        <w:t xml:space="preserve">grupā (2,5%) un diviem pacientiem adalimumaba grupā (1,2%) radās 3. vai 4. pakāpei pēc CTC klasifikācijas atbilstoša neitrofilo leikocītu skaita samazināšanās. Vienpadsmit pacientiem </w:t>
      </w:r>
      <w:r>
        <w:rPr>
          <w:szCs w:val="22"/>
          <w:lang w:val="lv-LV"/>
        </w:rPr>
        <w:t>tocilizumaba</w:t>
      </w:r>
      <w:r w:rsidDel="001D4271">
        <w:rPr>
          <w:szCs w:val="22"/>
          <w:lang w:val="lv-LV"/>
        </w:rPr>
        <w:t xml:space="preserve"> </w:t>
      </w:r>
      <w:r>
        <w:rPr>
          <w:lang w:val="lv-LV"/>
        </w:rPr>
        <w:t xml:space="preserve">grupā (6,8%) un pieciem pacientiem adalimumaba grupā (3,1%) radās ALAT līmeņa paaugstināšanās, kas atbilda 2. vai augstākai pakāpei pēc CTC klasifikācijas. ZBL līmeņa vidējā paaugstināšanās salīdzinājumā ar sākotnējo vērtību bija 0,64 mmol/l (25 mg/dl) </w:t>
      </w:r>
      <w:r>
        <w:rPr>
          <w:szCs w:val="22"/>
          <w:lang w:val="lv-LV"/>
        </w:rPr>
        <w:t>tocilizumaba</w:t>
      </w:r>
      <w:r w:rsidDel="001D4271">
        <w:rPr>
          <w:szCs w:val="22"/>
          <w:lang w:val="lv-LV"/>
        </w:rPr>
        <w:t xml:space="preserve"> </w:t>
      </w:r>
      <w:r>
        <w:rPr>
          <w:lang w:val="lv-LV"/>
        </w:rPr>
        <w:t xml:space="preserve">grupas pacientiem un 0,19 mmol/l (7 mg/dl) adalimumaba grupas pacientiem. Tocilizumaba grupā novērotais drošums atbilda jau zināmajam </w:t>
      </w:r>
      <w:r>
        <w:rPr>
          <w:szCs w:val="22"/>
          <w:lang w:val="lv-LV"/>
        </w:rPr>
        <w:t>tocilizumaba</w:t>
      </w:r>
      <w:r w:rsidDel="001D4271">
        <w:rPr>
          <w:szCs w:val="22"/>
          <w:lang w:val="lv-LV"/>
        </w:rPr>
        <w:t xml:space="preserve"> </w:t>
      </w:r>
      <w:r>
        <w:rPr>
          <w:lang w:val="lv-LV"/>
        </w:rPr>
        <w:t xml:space="preserve">drošuma profilam, un jaunas vai neparedzētas nevēlamās blakusparādības netika novērotas (skatīt 1. tabulu). </w:t>
      </w:r>
    </w:p>
    <w:p w14:paraId="1D2ABA63" w14:textId="77777777" w:rsidR="00A453C3" w:rsidRPr="00DD7A4F" w:rsidRDefault="00A453C3" w:rsidP="00A453C3">
      <w:pPr>
        <w:ind w:right="-2"/>
        <w:rPr>
          <w:lang w:val="lv-LV"/>
        </w:rPr>
      </w:pPr>
    </w:p>
    <w:p w14:paraId="0B3D26D5" w14:textId="77777777" w:rsidR="00A453C3" w:rsidRPr="00DD7A4F" w:rsidRDefault="00A453C3" w:rsidP="00A453C3">
      <w:pPr>
        <w:keepNext/>
        <w:keepLines/>
        <w:rPr>
          <w:szCs w:val="22"/>
          <w:lang w:val="lv-LV"/>
        </w:rPr>
      </w:pPr>
      <w:r w:rsidRPr="00DD7A4F">
        <w:rPr>
          <w:b/>
          <w:szCs w:val="22"/>
          <w:lang w:val="lv-LV"/>
        </w:rPr>
        <w:t>5.2.</w:t>
      </w:r>
      <w:r w:rsidRPr="00DD7A4F">
        <w:rPr>
          <w:b/>
          <w:szCs w:val="22"/>
          <w:lang w:val="lv-LV"/>
        </w:rPr>
        <w:tab/>
        <w:t xml:space="preserve">Farmakokinētiskās īpašības </w:t>
      </w:r>
    </w:p>
    <w:p w14:paraId="44077C11" w14:textId="77777777" w:rsidR="00A453C3" w:rsidRPr="00DD7A4F" w:rsidRDefault="00A453C3" w:rsidP="00A453C3">
      <w:pPr>
        <w:keepNext/>
        <w:rPr>
          <w:szCs w:val="22"/>
          <w:lang w:val="lv-LV"/>
        </w:rPr>
      </w:pPr>
    </w:p>
    <w:p w14:paraId="6E2F64FA" w14:textId="0D7668AA" w:rsidR="00A453C3" w:rsidRPr="00D30C7D" w:rsidRDefault="00A453C3" w:rsidP="00A453C3">
      <w:pPr>
        <w:rPr>
          <w:color w:val="000000"/>
          <w:lang w:val="lv-LV"/>
        </w:rPr>
      </w:pPr>
      <w:r>
        <w:rPr>
          <w:color w:val="000000"/>
          <w:lang w:val="lv-LV"/>
        </w:rPr>
        <w:t>Tocilizumaba</w:t>
      </w:r>
      <w:r w:rsidRPr="00D30C7D">
        <w:rPr>
          <w:color w:val="000000"/>
          <w:lang w:val="lv-LV"/>
        </w:rPr>
        <w:t xml:space="preserve"> farmakokinētikai raksturīga nelineāra eliminācija, kas ir lineāra klīrensa un </w:t>
      </w:r>
      <w:r>
        <w:rPr>
          <w:color w:val="000000"/>
          <w:lang w:val="lv-LV"/>
        </w:rPr>
        <w:t>Mihaelisa</w:t>
      </w:r>
      <w:r>
        <w:rPr>
          <w:color w:val="000000"/>
          <w:lang w:val="lv-LV"/>
        </w:rPr>
        <w:noBreakHyphen/>
        <w:t>Mentenas (</w:t>
      </w:r>
      <w:r w:rsidRPr="00D30C7D">
        <w:rPr>
          <w:i/>
          <w:color w:val="000000"/>
          <w:lang w:val="lv-LV"/>
        </w:rPr>
        <w:t>Michaelis-Menten</w:t>
      </w:r>
      <w:r>
        <w:rPr>
          <w:iCs/>
          <w:color w:val="000000"/>
          <w:lang w:val="lv-LV"/>
        </w:rPr>
        <w:t>)</w:t>
      </w:r>
      <w:r w:rsidRPr="00D30C7D">
        <w:rPr>
          <w:color w:val="000000"/>
          <w:lang w:val="lv-LV"/>
        </w:rPr>
        <w:t xml:space="preserve"> </w:t>
      </w:r>
      <w:r>
        <w:rPr>
          <w:color w:val="000000"/>
          <w:lang w:val="lv-LV"/>
        </w:rPr>
        <w:t xml:space="preserve">kinētikai atbilstošas </w:t>
      </w:r>
      <w:r w:rsidRPr="00D30C7D">
        <w:rPr>
          <w:color w:val="000000"/>
          <w:lang w:val="lv-LV"/>
        </w:rPr>
        <w:t xml:space="preserve">eliminācijas kombinācija. </w:t>
      </w:r>
      <w:r>
        <w:rPr>
          <w:color w:val="000000"/>
          <w:lang w:val="lv-LV"/>
        </w:rPr>
        <w:t>E</w:t>
      </w:r>
      <w:r w:rsidRPr="00D30C7D">
        <w:rPr>
          <w:color w:val="000000"/>
          <w:lang w:val="lv-LV"/>
        </w:rPr>
        <w:t xml:space="preserve">liminācijas nelineārā daļa izraisa vairāk nekā devai proporcionālu kopējās iedarbības pieaugumu. Laika gaitā </w:t>
      </w:r>
      <w:r>
        <w:rPr>
          <w:color w:val="000000"/>
          <w:lang w:val="lv-LV"/>
        </w:rPr>
        <w:t>tocilizumaba</w:t>
      </w:r>
      <w:r w:rsidRPr="00D30C7D">
        <w:rPr>
          <w:color w:val="000000"/>
          <w:lang w:val="lv-LV"/>
        </w:rPr>
        <w:t xml:space="preserve"> farmakokinētiskie </w:t>
      </w:r>
      <w:r>
        <w:rPr>
          <w:color w:val="000000"/>
          <w:lang w:val="lv-LV"/>
        </w:rPr>
        <w:t>rādītāji</w:t>
      </w:r>
      <w:r w:rsidRPr="00D30C7D">
        <w:rPr>
          <w:color w:val="000000"/>
          <w:lang w:val="lv-LV"/>
        </w:rPr>
        <w:t xml:space="preserve"> nemainās. Tā kā kopējais klīrenss ir atkarīgs no </w:t>
      </w:r>
      <w:r>
        <w:rPr>
          <w:color w:val="000000"/>
          <w:lang w:val="lv-LV"/>
        </w:rPr>
        <w:t>tocilizumaba</w:t>
      </w:r>
      <w:r w:rsidRPr="00D30C7D">
        <w:rPr>
          <w:color w:val="000000"/>
          <w:lang w:val="lv-LV"/>
        </w:rPr>
        <w:t xml:space="preserve"> koncentrācijas serumā, arī </w:t>
      </w:r>
      <w:r>
        <w:rPr>
          <w:color w:val="000000"/>
          <w:lang w:val="lv-LV"/>
        </w:rPr>
        <w:t>tocilizumaba</w:t>
      </w:r>
      <w:r w:rsidRPr="00D30C7D">
        <w:rPr>
          <w:color w:val="000000"/>
          <w:lang w:val="lv-LV"/>
        </w:rPr>
        <w:t xml:space="preserve"> pusperiods ir atkarīgs no koncentrācijas un variē atkarībā no koncentrācijas serumā līmeņa. Populācijas farmakokinētikas analīzes visās līdz šim testētajās pacientu populācijās liecina, ka nepastāv sakarība starp šķietamo klīrensu un antivielu pret zālēm klātbūtni. </w:t>
      </w:r>
    </w:p>
    <w:p w14:paraId="2B41ABA1" w14:textId="77777777" w:rsidR="00A453C3" w:rsidRPr="00DD7A4F" w:rsidRDefault="00A453C3" w:rsidP="00A453C3">
      <w:pPr>
        <w:rPr>
          <w:szCs w:val="22"/>
          <w:lang w:val="lv-LV"/>
        </w:rPr>
      </w:pPr>
    </w:p>
    <w:p w14:paraId="05F0F28A" w14:textId="54F0307D" w:rsidR="00644A53" w:rsidRPr="00DD58C9" w:rsidDel="00BB0320" w:rsidRDefault="00644A53" w:rsidP="00644A53">
      <w:pPr>
        <w:keepNext/>
        <w:keepLines/>
        <w:numPr>
          <w:ilvl w:val="12"/>
          <w:numId w:val="0"/>
        </w:numPr>
        <w:rPr>
          <w:del w:id="1269" w:author="Author"/>
          <w:i/>
          <w:szCs w:val="22"/>
          <w:lang w:val="lv-LV"/>
          <w:rPrChange w:id="1270" w:author="Author">
            <w:rPr>
              <w:del w:id="1271" w:author="Author"/>
              <w:szCs w:val="22"/>
              <w:lang w:val="lv-LV"/>
            </w:rPr>
          </w:rPrChange>
        </w:rPr>
      </w:pPr>
      <w:del w:id="1272" w:author="Author">
        <w:r w:rsidRPr="00C4099C" w:rsidDel="00BB0320">
          <w:rPr>
            <w:i/>
            <w:szCs w:val="22"/>
            <w:lang w:val="lv-LV"/>
          </w:rPr>
          <w:delText>Pacienti ar RA</w:delText>
        </w:r>
      </w:del>
    </w:p>
    <w:p w14:paraId="77354C03" w14:textId="77777777" w:rsidR="00C4099C" w:rsidRPr="00DD58C9" w:rsidRDefault="00C4099C" w:rsidP="00C4099C">
      <w:pPr>
        <w:keepNext/>
        <w:keepLines/>
        <w:rPr>
          <w:bCs/>
          <w:iCs/>
          <w:szCs w:val="22"/>
          <w:u w:val="single"/>
          <w:lang w:val="lv-LV"/>
          <w:rPrChange w:id="1273" w:author="Author">
            <w:rPr>
              <w:bCs/>
              <w:i/>
              <w:iCs/>
              <w:szCs w:val="22"/>
              <w:lang w:val="lv-LV"/>
            </w:rPr>
          </w:rPrChange>
        </w:rPr>
      </w:pPr>
      <w:r w:rsidRPr="00DD58C9">
        <w:rPr>
          <w:bCs/>
          <w:iCs/>
          <w:szCs w:val="22"/>
          <w:u w:val="single"/>
          <w:lang w:val="lv-LV"/>
          <w:rPrChange w:id="1274" w:author="Author">
            <w:rPr>
              <w:bCs/>
              <w:i/>
              <w:iCs/>
              <w:szCs w:val="22"/>
              <w:lang w:val="lv-LV"/>
            </w:rPr>
          </w:rPrChange>
        </w:rPr>
        <w:t>Intravenoza lietošana</w:t>
      </w:r>
    </w:p>
    <w:p w14:paraId="7A20584E" w14:textId="77777777" w:rsidR="00BB0320" w:rsidRPr="00604967" w:rsidRDefault="00BB0320" w:rsidP="00BB0320">
      <w:pPr>
        <w:keepNext/>
        <w:keepLines/>
        <w:numPr>
          <w:ilvl w:val="12"/>
          <w:numId w:val="0"/>
        </w:numPr>
        <w:rPr>
          <w:ins w:id="1275" w:author="Author"/>
          <w:i/>
          <w:szCs w:val="22"/>
          <w:lang w:val="lv-LV"/>
        </w:rPr>
      </w:pPr>
      <w:ins w:id="1276" w:author="Author">
        <w:r w:rsidRPr="00C4099C">
          <w:rPr>
            <w:i/>
            <w:szCs w:val="22"/>
            <w:lang w:val="lv-LV"/>
          </w:rPr>
          <w:t>Pacienti ar RA</w:t>
        </w:r>
      </w:ins>
    </w:p>
    <w:p w14:paraId="52B2100A" w14:textId="79D8982F" w:rsidR="00C4099C" w:rsidRPr="00BB0320" w:rsidRDefault="00C4099C" w:rsidP="00C4099C">
      <w:pPr>
        <w:rPr>
          <w:szCs w:val="22"/>
          <w:lang w:val="lv-LV"/>
        </w:rPr>
      </w:pPr>
    </w:p>
    <w:p w14:paraId="4D1D9DC2" w14:textId="7CD4A0B2" w:rsidR="00A453C3" w:rsidRDefault="00A453C3" w:rsidP="00A453C3">
      <w:pPr>
        <w:rPr>
          <w:szCs w:val="22"/>
          <w:lang w:val="lv-LV"/>
        </w:rPr>
      </w:pPr>
      <w:r>
        <w:rPr>
          <w:szCs w:val="22"/>
          <w:lang w:val="lv-LV"/>
        </w:rPr>
        <w:t xml:space="preserve">Tocilizumaba farmakokinētiku noteica, izmantojot populācijas farmakokinētikas analīzi datu bāzei, kurā iekļauti 3552 RA slimnieki, kuri ārstēti ar vienu stundu ilgu tocilizumaba 4 vai 8 mg/kg devas infūziju ik pēc 4 nedēļām 24 nedēļas vai ar subkutāni ievadītu tocilizumaba 162 mg devu vienu reizi nedēļā vai katru otro nedēļu 24 nedēļas. </w:t>
      </w:r>
    </w:p>
    <w:p w14:paraId="0439F911" w14:textId="77777777" w:rsidR="00A453C3" w:rsidRDefault="00A453C3" w:rsidP="00A453C3">
      <w:pPr>
        <w:rPr>
          <w:szCs w:val="22"/>
          <w:lang w:val="lv-LV"/>
        </w:rPr>
      </w:pPr>
    </w:p>
    <w:p w14:paraId="3F14AFA2" w14:textId="3D5B8E36" w:rsidR="00A453C3" w:rsidRDefault="00A453C3" w:rsidP="00A453C3">
      <w:pPr>
        <w:rPr>
          <w:szCs w:val="22"/>
          <w:lang w:val="lv-LV"/>
        </w:rPr>
      </w:pPr>
      <w:r>
        <w:rPr>
          <w:szCs w:val="22"/>
          <w:lang w:val="lv-LV"/>
        </w:rPr>
        <w:t>Lietojot tocilizumaba 8 mg/kg devu ik pēc 4 nedēļām, iegūti šādi dati: (paredzamais vidējais</w:t>
      </w:r>
      <w:ins w:id="1277" w:author="Author">
        <w:r w:rsidR="00BB0320">
          <w:rPr>
            <w:szCs w:val="22"/>
            <w:lang w:val="lv-LV"/>
          </w:rPr>
          <w:t> </w:t>
        </w:r>
      </w:ins>
      <w:del w:id="1278" w:author="Author">
        <w:r w:rsidDel="00BB0320">
          <w:rPr>
            <w:szCs w:val="22"/>
            <w:lang w:val="lv-LV"/>
          </w:rPr>
          <w:delText xml:space="preserve"> </w:delText>
        </w:r>
      </w:del>
      <w:r w:rsidRPr="00CE558B">
        <w:rPr>
          <w:szCs w:val="22"/>
          <w:lang w:val="lv-LV"/>
        </w:rPr>
        <w:t>± </w:t>
      </w:r>
      <w:r>
        <w:rPr>
          <w:szCs w:val="22"/>
          <w:lang w:val="lv-LV"/>
        </w:rPr>
        <w:t xml:space="preserve">SN): tocilizumaba līdzsvara stāvoklī zemlīknes laukums (AUC) = </w:t>
      </w:r>
      <w:r>
        <w:rPr>
          <w:iCs/>
          <w:lang w:val="lv-LV"/>
        </w:rPr>
        <w:t>38 000 </w:t>
      </w:r>
      <w:r w:rsidRPr="00CE558B">
        <w:rPr>
          <w:iCs/>
          <w:lang w:val="lv-LV"/>
        </w:rPr>
        <w:t>± </w:t>
      </w:r>
      <w:r>
        <w:rPr>
          <w:iCs/>
          <w:lang w:val="lv-LV"/>
        </w:rPr>
        <w:t>13 000 h</w:t>
      </w:r>
      <w:ins w:id="1279" w:author="Author">
        <w:r w:rsidR="00BB0320">
          <w:rPr>
            <w:iCs/>
            <w:lang w:val="lv-LV"/>
          </w:rPr>
          <w:t> </w:t>
        </w:r>
        <w:r w:rsidR="0048564E" w:rsidRPr="00DD58C9">
          <w:rPr>
            <w:szCs w:val="22"/>
            <w:lang w:val="lv-LV"/>
            <w:rPrChange w:id="1280" w:author="Author">
              <w:rPr>
                <w:szCs w:val="22"/>
              </w:rPr>
            </w:rPrChange>
          </w:rPr>
          <w:t>×</w:t>
        </w:r>
        <w:r w:rsidR="00BB0320">
          <w:rPr>
            <w:szCs w:val="22"/>
            <w:lang w:val="lv-LV"/>
          </w:rPr>
          <w:t> </w:t>
        </w:r>
      </w:ins>
      <w:del w:id="1281" w:author="Author">
        <w:r w:rsidDel="0048564E">
          <w:rPr>
            <w:iCs/>
            <w:lang w:val="lv-LV"/>
          </w:rPr>
          <w:delText>·</w:delText>
        </w:r>
      </w:del>
      <w:r>
        <w:rPr>
          <w:iCs/>
          <w:lang w:val="lv-LV"/>
        </w:rPr>
        <w:t>µg/ml</w:t>
      </w:r>
      <w:r>
        <w:rPr>
          <w:szCs w:val="22"/>
          <w:lang w:val="lv-LV"/>
        </w:rPr>
        <w:t>, minimālā koncentrācija (C</w:t>
      </w:r>
      <w:r>
        <w:rPr>
          <w:szCs w:val="22"/>
          <w:vertAlign w:val="subscript"/>
          <w:lang w:val="lv-LV"/>
        </w:rPr>
        <w:t>min</w:t>
      </w:r>
      <w:r>
        <w:rPr>
          <w:szCs w:val="22"/>
          <w:lang w:val="lv-LV"/>
        </w:rPr>
        <w:t xml:space="preserve">) </w:t>
      </w:r>
      <w:r>
        <w:rPr>
          <w:iCs/>
          <w:lang w:val="lv-LV"/>
        </w:rPr>
        <w:t xml:space="preserve">= 15,9 </w:t>
      </w:r>
      <w:r w:rsidRPr="00CE558B">
        <w:rPr>
          <w:iCs/>
          <w:lang w:val="lv-LV"/>
        </w:rPr>
        <w:t>± 1</w:t>
      </w:r>
      <w:r>
        <w:rPr>
          <w:iCs/>
          <w:lang w:val="lv-LV"/>
        </w:rPr>
        <w:t>3,1 </w:t>
      </w:r>
      <w:r w:rsidRPr="00CE558B">
        <w:rPr>
          <w:iCs/>
          <w:lang w:val="lv-LV"/>
        </w:rPr>
        <w:t>μ</w:t>
      </w:r>
      <w:r>
        <w:rPr>
          <w:iCs/>
          <w:lang w:val="lv-LV"/>
        </w:rPr>
        <w:t>g/ml</w:t>
      </w:r>
      <w:r>
        <w:rPr>
          <w:szCs w:val="22"/>
          <w:lang w:val="lv-LV"/>
        </w:rPr>
        <w:t xml:space="preserve"> un maksimālā koncentrācija (C</w:t>
      </w:r>
      <w:r>
        <w:rPr>
          <w:szCs w:val="22"/>
          <w:vertAlign w:val="subscript"/>
          <w:lang w:val="lv-LV"/>
        </w:rPr>
        <w:t>max</w:t>
      </w:r>
      <w:r>
        <w:rPr>
          <w:szCs w:val="22"/>
          <w:lang w:val="lv-LV"/>
        </w:rPr>
        <w:t xml:space="preserve">) </w:t>
      </w:r>
      <w:r>
        <w:rPr>
          <w:iCs/>
          <w:lang w:val="lv-LV"/>
        </w:rPr>
        <w:t xml:space="preserve">= 182 </w:t>
      </w:r>
      <w:r w:rsidRPr="00CE558B">
        <w:rPr>
          <w:iCs/>
          <w:lang w:val="lv-LV"/>
        </w:rPr>
        <w:t>±</w:t>
      </w:r>
      <w:r>
        <w:rPr>
          <w:iCs/>
          <w:lang w:val="lv-LV"/>
        </w:rPr>
        <w:t> 50,4 µg/ml</w:t>
      </w:r>
      <w:r>
        <w:rPr>
          <w:szCs w:val="22"/>
          <w:lang w:val="lv-LV"/>
        </w:rPr>
        <w:t>, un AUC un C</w:t>
      </w:r>
      <w:r>
        <w:rPr>
          <w:szCs w:val="22"/>
          <w:vertAlign w:val="subscript"/>
          <w:lang w:val="lv-LV"/>
        </w:rPr>
        <w:t>max</w:t>
      </w:r>
      <w:r>
        <w:rPr>
          <w:szCs w:val="22"/>
          <w:lang w:val="lv-LV"/>
        </w:rPr>
        <w:t xml:space="preserve"> akumulācijas pakāpe bija neliela, attiecīgi 1,32 un 1,09. Akumulācijas pakāpe bija lielāka C</w:t>
      </w:r>
      <w:r>
        <w:rPr>
          <w:szCs w:val="22"/>
          <w:vertAlign w:val="subscript"/>
          <w:lang w:val="lv-LV"/>
        </w:rPr>
        <w:t>min</w:t>
      </w:r>
      <w:r>
        <w:rPr>
          <w:szCs w:val="22"/>
          <w:lang w:val="lv-LV"/>
        </w:rPr>
        <w:t xml:space="preserve"> (2,49), kas bija paredzams, ņemot vērā nelineārā klīrensa apjomu pie mazākas koncentrācijas. C</w:t>
      </w:r>
      <w:r>
        <w:rPr>
          <w:szCs w:val="22"/>
          <w:vertAlign w:val="subscript"/>
          <w:lang w:val="lv-LV"/>
        </w:rPr>
        <w:t>max</w:t>
      </w:r>
      <w:r>
        <w:rPr>
          <w:szCs w:val="22"/>
          <w:lang w:val="lv-LV"/>
        </w:rPr>
        <w:t>, AUC un C</w:t>
      </w:r>
      <w:r>
        <w:rPr>
          <w:szCs w:val="22"/>
          <w:vertAlign w:val="subscript"/>
          <w:lang w:val="lv-LV"/>
        </w:rPr>
        <w:t>min</w:t>
      </w:r>
      <w:r>
        <w:rPr>
          <w:szCs w:val="22"/>
          <w:lang w:val="lv-LV"/>
        </w:rPr>
        <w:t xml:space="preserve"> līdzsvara koncentrāciju sasniedza attiecīgi pēc pirmās lietošanas, pēc 8 un pēc 20 nedēļām. Tocilizumaba AUC, C</w:t>
      </w:r>
      <w:r>
        <w:rPr>
          <w:szCs w:val="22"/>
          <w:vertAlign w:val="subscript"/>
          <w:lang w:val="lv-LV"/>
        </w:rPr>
        <w:t>min</w:t>
      </w:r>
      <w:r>
        <w:rPr>
          <w:szCs w:val="22"/>
          <w:lang w:val="lv-LV"/>
        </w:rPr>
        <w:t xml:space="preserve"> un C</w:t>
      </w:r>
      <w:r>
        <w:rPr>
          <w:szCs w:val="22"/>
          <w:vertAlign w:val="subscript"/>
          <w:lang w:val="lv-LV"/>
        </w:rPr>
        <w:t>max</w:t>
      </w:r>
      <w:r>
        <w:rPr>
          <w:szCs w:val="22"/>
          <w:lang w:val="lv-LV"/>
        </w:rPr>
        <w:t xml:space="preserve"> vērtības palielinājās, palielinoties pacientu ķermeņa masai. Ja pacienta ķermeņa masa bija </w:t>
      </w:r>
      <w:r w:rsidRPr="00CE558B">
        <w:rPr>
          <w:szCs w:val="22"/>
          <w:lang w:val="lv-LV"/>
        </w:rPr>
        <w:t>≥ </w:t>
      </w:r>
      <w:r>
        <w:rPr>
          <w:szCs w:val="22"/>
          <w:lang w:val="lv-LV"/>
        </w:rPr>
        <w:t>100 kg, paredzētās tocilizumaba AUC, C</w:t>
      </w:r>
      <w:r>
        <w:rPr>
          <w:szCs w:val="22"/>
          <w:vertAlign w:val="subscript"/>
          <w:lang w:val="lv-LV"/>
        </w:rPr>
        <w:t>min</w:t>
      </w:r>
      <w:r>
        <w:rPr>
          <w:szCs w:val="22"/>
          <w:lang w:val="lv-LV"/>
        </w:rPr>
        <w:t xml:space="preserve"> un C</w:t>
      </w:r>
      <w:r>
        <w:rPr>
          <w:szCs w:val="22"/>
          <w:vertAlign w:val="subscript"/>
          <w:lang w:val="lv-LV"/>
        </w:rPr>
        <w:t>max</w:t>
      </w:r>
      <w:r>
        <w:rPr>
          <w:szCs w:val="22"/>
          <w:lang w:val="lv-LV"/>
        </w:rPr>
        <w:t xml:space="preserve"> vidējās vērtības (</w:t>
      </w:r>
      <w:r w:rsidRPr="00CE558B">
        <w:rPr>
          <w:szCs w:val="22"/>
          <w:lang w:val="lv-LV"/>
        </w:rPr>
        <w:t>±</w:t>
      </w:r>
      <w:r>
        <w:rPr>
          <w:szCs w:val="22"/>
          <w:lang w:val="lv-LV"/>
        </w:rPr>
        <w:t> SN) līdzsvara koncentrācijas apstākļos bija attiecīgi 50 000 ± 16 800</w:t>
      </w:r>
      <w:r w:rsidR="00595F16">
        <w:rPr>
          <w:szCs w:val="22"/>
          <w:lang w:val="lv-LV"/>
        </w:rPr>
        <w:t> </w:t>
      </w:r>
      <w:r>
        <w:rPr>
          <w:szCs w:val="22"/>
          <w:lang w:val="lv-LV"/>
        </w:rPr>
        <w:t>μg</w:t>
      </w:r>
      <w:ins w:id="1282" w:author="Author">
        <w:r w:rsidR="00BB0320">
          <w:rPr>
            <w:szCs w:val="22"/>
            <w:lang w:val="lv-LV"/>
          </w:rPr>
          <w:t> </w:t>
        </w:r>
        <w:r w:rsidR="0048564E" w:rsidRPr="00DD58C9">
          <w:rPr>
            <w:szCs w:val="22"/>
            <w:lang w:val="lv-LV"/>
            <w:rPrChange w:id="1283" w:author="Author">
              <w:rPr>
                <w:szCs w:val="22"/>
              </w:rPr>
            </w:rPrChange>
          </w:rPr>
          <w:t>×</w:t>
        </w:r>
        <w:r w:rsidR="00BB0320">
          <w:rPr>
            <w:szCs w:val="22"/>
            <w:lang w:val="lv-LV"/>
          </w:rPr>
          <w:t> </w:t>
        </w:r>
      </w:ins>
      <w:del w:id="1284" w:author="Author">
        <w:r w:rsidDel="0048564E">
          <w:rPr>
            <w:szCs w:val="22"/>
            <w:lang w:val="lv-LV"/>
          </w:rPr>
          <w:delText>·</w:delText>
        </w:r>
      </w:del>
      <w:r>
        <w:rPr>
          <w:szCs w:val="22"/>
          <w:lang w:val="lv-LV"/>
        </w:rPr>
        <w:t>h/ml, 24,4 ± 17,5 μg/ml un 226 ± 50,3 μg/ml, kas bija lielākas par vidējām vērtībām augstākminētā zāļu iedarbībai pakļauto pacientu populācijā (t.i. visām ķermeņa masām). Lielākas iedarbības intensitātes gadījumā devas/atbildes reakcijas attiecības līkne izlīdzinās, kā rezultātā pēc katra tocilizumaba koncentrācijas paaugstināšanās soļa tā efektivitāte palielinās mazāk, tādēļ attiecībā uz pacientiem, kuri ārstēti ar tocilizumaba devām, kas lielākas par 800 mg, klīniski nozīmīga efektivitātes palielināšanās nav pierādīta. Tādēļ vienas infūzijas laikā ievadīt tocilizumaba devas, kas lielākas par 800 mg, nav ieteicams (skatīt 4.2. apakšpunktu).</w:t>
      </w:r>
    </w:p>
    <w:p w14:paraId="17A2A502" w14:textId="77777777" w:rsidR="00A453C3" w:rsidRPr="00DD7A4F" w:rsidRDefault="00A453C3" w:rsidP="00A453C3">
      <w:pPr>
        <w:rPr>
          <w:szCs w:val="22"/>
          <w:lang w:val="lv-LV"/>
        </w:rPr>
      </w:pPr>
    </w:p>
    <w:p w14:paraId="55A0F852" w14:textId="77777777" w:rsidR="00A453C3" w:rsidRPr="00707120" w:rsidRDefault="00A453C3" w:rsidP="00707120">
      <w:pPr>
        <w:keepNext/>
        <w:rPr>
          <w:i/>
          <w:iCs/>
          <w:szCs w:val="22"/>
          <w:lang w:val="lv-LV"/>
        </w:rPr>
      </w:pPr>
      <w:r w:rsidRPr="00707120">
        <w:rPr>
          <w:i/>
          <w:iCs/>
          <w:szCs w:val="22"/>
          <w:u w:val="single"/>
          <w:lang w:val="lv-LV"/>
        </w:rPr>
        <w:t>Izkliede</w:t>
      </w:r>
    </w:p>
    <w:p w14:paraId="1B633D47" w14:textId="77777777" w:rsidR="00A453C3" w:rsidRPr="00DD7A4F" w:rsidRDefault="00A453C3" w:rsidP="00A453C3">
      <w:pPr>
        <w:rPr>
          <w:szCs w:val="22"/>
          <w:lang w:val="lv-LV"/>
        </w:rPr>
      </w:pPr>
      <w:r w:rsidRPr="00DD7A4F">
        <w:rPr>
          <w:szCs w:val="22"/>
          <w:lang w:val="lv-LV"/>
        </w:rPr>
        <w:t>RA slimniekiem centrālais izkliedes tilpums bija 3,72</w:t>
      </w:r>
      <w:r>
        <w:rPr>
          <w:szCs w:val="22"/>
          <w:lang w:val="lv-LV"/>
        </w:rPr>
        <w:t> l</w:t>
      </w:r>
      <w:r w:rsidRPr="00DD7A4F">
        <w:rPr>
          <w:szCs w:val="22"/>
          <w:lang w:val="lv-LV"/>
        </w:rPr>
        <w:t>, perifēriskais izkliedes tilpums bija 3,35</w:t>
      </w:r>
      <w:r>
        <w:rPr>
          <w:szCs w:val="22"/>
          <w:lang w:val="lv-LV"/>
        </w:rPr>
        <w:t> l</w:t>
      </w:r>
      <w:r w:rsidRPr="00DD7A4F">
        <w:rPr>
          <w:szCs w:val="22"/>
          <w:lang w:val="lv-LV"/>
        </w:rPr>
        <w:t>, un kopējais izkliedes tilpums līdzsvara koncentrācijā bija 7,07</w:t>
      </w:r>
      <w:r>
        <w:rPr>
          <w:szCs w:val="22"/>
          <w:lang w:val="lv-LV"/>
        </w:rPr>
        <w:t> l</w:t>
      </w:r>
      <w:r w:rsidRPr="00DD7A4F">
        <w:rPr>
          <w:szCs w:val="22"/>
          <w:lang w:val="lv-LV"/>
        </w:rPr>
        <w:t>.</w:t>
      </w:r>
    </w:p>
    <w:p w14:paraId="49329E51" w14:textId="77777777" w:rsidR="00A453C3" w:rsidRPr="00DD7A4F" w:rsidRDefault="00A453C3" w:rsidP="00A453C3">
      <w:pPr>
        <w:rPr>
          <w:szCs w:val="22"/>
          <w:lang w:val="lv-LV"/>
        </w:rPr>
      </w:pPr>
    </w:p>
    <w:p w14:paraId="35F054E1" w14:textId="77777777" w:rsidR="00A453C3" w:rsidRPr="00707120" w:rsidRDefault="00A453C3" w:rsidP="00707120">
      <w:pPr>
        <w:keepNext/>
        <w:rPr>
          <w:i/>
          <w:iCs/>
          <w:szCs w:val="22"/>
          <w:lang w:val="lv-LV"/>
        </w:rPr>
      </w:pPr>
      <w:r w:rsidRPr="00707120">
        <w:rPr>
          <w:i/>
          <w:iCs/>
          <w:szCs w:val="22"/>
          <w:u w:val="single"/>
          <w:lang w:val="lv-LV"/>
        </w:rPr>
        <w:t>Eliminācija</w:t>
      </w:r>
    </w:p>
    <w:p w14:paraId="5FF51234" w14:textId="5B88EED9" w:rsidR="00A453C3" w:rsidRDefault="00A453C3" w:rsidP="00A453C3">
      <w:pPr>
        <w:rPr>
          <w:szCs w:val="22"/>
          <w:lang w:val="lv-LV"/>
        </w:rPr>
      </w:pPr>
      <w:r>
        <w:rPr>
          <w:szCs w:val="22"/>
          <w:lang w:val="lv-LV"/>
        </w:rPr>
        <w:t xml:space="preserve">Pēc intravenozas ievadīšanas tocilizumabs tiek pakļauts divfāziskai eliminācijai no asinsrites. Tocilizumaba kopējais klīrenss bija atkarīgs no koncentrācijas un ir lineārā un nelineārā klīrensa summa. Lineārais klīrenss tika aprēķināts kā rādītājs populācijas farmakokinētikas analīzē, un tas bija 9,5 ml/h. No koncentrācijas atkarīgajam nelineārajam klīrensam ir liela nozīme mazas tocilizumaba koncentrācijas gadījumā. Kad nelineārā klīrensa izvadceļš ir piesātināts, lielākas tocilizumaba koncentrācijas gadījumā klīrensu nosaka galvenokārt lineārais klīrenss. </w:t>
      </w:r>
    </w:p>
    <w:p w14:paraId="393C24FF" w14:textId="3E3922E2" w:rsidR="00A453C3" w:rsidRDefault="00A453C3" w:rsidP="00A453C3">
      <w:pPr>
        <w:rPr>
          <w:szCs w:val="22"/>
          <w:lang w:val="lv-LV"/>
        </w:rPr>
      </w:pPr>
      <w:r>
        <w:rPr>
          <w:szCs w:val="22"/>
          <w:lang w:val="lv-LV"/>
        </w:rPr>
        <w:t>Tocilizumaba eliminācijas pusperiods (t</w:t>
      </w:r>
      <w:r>
        <w:rPr>
          <w:szCs w:val="22"/>
          <w:vertAlign w:val="subscript"/>
          <w:lang w:val="lv-LV"/>
        </w:rPr>
        <w:t>1/2</w:t>
      </w:r>
      <w:r>
        <w:rPr>
          <w:szCs w:val="22"/>
          <w:lang w:val="lv-LV"/>
        </w:rPr>
        <w:t>) bija atkarīgs no koncentrācijas. Līdzsvara stāvoklī pēc 8 mg/kg devas lietošanas ik pēc 4 nedēļām efektīvais t</w:t>
      </w:r>
      <w:r>
        <w:rPr>
          <w:szCs w:val="22"/>
          <w:vertAlign w:val="subscript"/>
          <w:lang w:val="lv-LV"/>
        </w:rPr>
        <w:t>1/2</w:t>
      </w:r>
      <w:r>
        <w:rPr>
          <w:szCs w:val="22"/>
          <w:lang w:val="lv-LV"/>
        </w:rPr>
        <w:t xml:space="preserve"> samazinājās, samazinoties koncentrācijai, dozēšanas intervālā 18</w:t>
      </w:r>
      <w:r>
        <w:rPr>
          <w:szCs w:val="22"/>
          <w:lang w:val="lv-LV"/>
        </w:rPr>
        <w:noBreakHyphen/>
        <w:t>6 dienas.</w:t>
      </w:r>
    </w:p>
    <w:p w14:paraId="53642E5E" w14:textId="77777777" w:rsidR="00A453C3" w:rsidRPr="00DD7A4F" w:rsidRDefault="00A453C3" w:rsidP="00A453C3">
      <w:pPr>
        <w:rPr>
          <w:szCs w:val="22"/>
          <w:lang w:val="lv-LV"/>
        </w:rPr>
      </w:pPr>
    </w:p>
    <w:p w14:paraId="45539CEC" w14:textId="77777777" w:rsidR="00A453C3" w:rsidRPr="00707120" w:rsidRDefault="00A453C3" w:rsidP="00707120">
      <w:pPr>
        <w:keepNext/>
        <w:rPr>
          <w:i/>
          <w:iCs/>
          <w:szCs w:val="22"/>
          <w:lang w:val="lv-LV"/>
        </w:rPr>
      </w:pPr>
      <w:r w:rsidRPr="00707120">
        <w:rPr>
          <w:i/>
          <w:iCs/>
          <w:szCs w:val="22"/>
          <w:u w:val="single"/>
          <w:lang w:val="lv-LV"/>
        </w:rPr>
        <w:t>Linearitāte</w:t>
      </w:r>
    </w:p>
    <w:p w14:paraId="33B7DC3B" w14:textId="7FC4911A" w:rsidR="00A453C3" w:rsidRPr="00DD7A4F" w:rsidRDefault="00714A3E" w:rsidP="00A453C3">
      <w:pPr>
        <w:rPr>
          <w:szCs w:val="22"/>
          <w:lang w:val="lv-LV"/>
        </w:rPr>
      </w:pPr>
      <w:r>
        <w:rPr>
          <w:szCs w:val="22"/>
          <w:lang w:val="lv-LV"/>
        </w:rPr>
        <w:t>Tocilizumaba</w:t>
      </w:r>
      <w:r w:rsidRPr="00DD7A4F">
        <w:rPr>
          <w:szCs w:val="22"/>
          <w:lang w:val="lv-LV"/>
        </w:rPr>
        <w:t xml:space="preserve"> </w:t>
      </w:r>
      <w:r w:rsidR="00A453C3" w:rsidRPr="00DD7A4F">
        <w:rPr>
          <w:szCs w:val="22"/>
          <w:lang w:val="lv-LV"/>
        </w:rPr>
        <w:t>farmakokinētiskie rādītāji laika gaitā nemainījās. Lietojot 4 un 8 mg/kg devu ik pēc 4</w:t>
      </w:r>
      <w:r w:rsidR="00A453C3">
        <w:rPr>
          <w:szCs w:val="22"/>
          <w:lang w:val="lv-LV"/>
        </w:rPr>
        <w:t> </w:t>
      </w:r>
      <w:r w:rsidR="00A453C3" w:rsidRPr="00DD7A4F">
        <w:rPr>
          <w:szCs w:val="22"/>
          <w:lang w:val="lv-LV"/>
        </w:rPr>
        <w:t>nedēļām, novēroja vairāk nekā devai proporcionālu zemlīknes laukuma (AUC) un C</w:t>
      </w:r>
      <w:r w:rsidR="00A453C3" w:rsidRPr="00DD7A4F">
        <w:rPr>
          <w:szCs w:val="22"/>
          <w:vertAlign w:val="subscript"/>
          <w:lang w:val="lv-LV"/>
        </w:rPr>
        <w:t>min</w:t>
      </w:r>
      <w:r w:rsidR="00A453C3" w:rsidRPr="00DD7A4F">
        <w:rPr>
          <w:szCs w:val="22"/>
          <w:lang w:val="lv-LV"/>
        </w:rPr>
        <w:t xml:space="preserve"> palielināšanos. C</w:t>
      </w:r>
      <w:r w:rsidR="00A453C3" w:rsidRPr="00DD7A4F">
        <w:rPr>
          <w:szCs w:val="22"/>
          <w:vertAlign w:val="subscript"/>
          <w:lang w:val="lv-LV"/>
        </w:rPr>
        <w:t>max</w:t>
      </w:r>
      <w:r w:rsidR="00A453C3" w:rsidRPr="00DD7A4F">
        <w:rPr>
          <w:szCs w:val="22"/>
          <w:lang w:val="lv-LV"/>
        </w:rPr>
        <w:t xml:space="preserve"> palielinājās proporcionāli devai. Līdzsvara apstākļos paredzamais AUC un C</w:t>
      </w:r>
      <w:r w:rsidR="00A453C3" w:rsidRPr="00DD7A4F">
        <w:rPr>
          <w:szCs w:val="22"/>
          <w:vertAlign w:val="subscript"/>
          <w:lang w:val="lv-LV"/>
        </w:rPr>
        <w:t>min</w:t>
      </w:r>
      <w:r w:rsidR="00A453C3" w:rsidRPr="00DD7A4F">
        <w:rPr>
          <w:szCs w:val="22"/>
          <w:lang w:val="lv-LV"/>
        </w:rPr>
        <w:t xml:space="preserve"> 8 mg/kg devai bija attiecīgi 3,2</w:t>
      </w:r>
      <w:r w:rsidR="00A453C3">
        <w:rPr>
          <w:szCs w:val="22"/>
          <w:lang w:val="lv-LV"/>
        </w:rPr>
        <w:t> </w:t>
      </w:r>
      <w:r w:rsidR="00A453C3" w:rsidRPr="00DD7A4F">
        <w:rPr>
          <w:szCs w:val="22"/>
          <w:lang w:val="lv-LV"/>
        </w:rPr>
        <w:t>un 30</w:t>
      </w:r>
      <w:r w:rsidR="00A453C3">
        <w:rPr>
          <w:szCs w:val="22"/>
          <w:lang w:val="lv-LV"/>
        </w:rPr>
        <w:t> </w:t>
      </w:r>
      <w:r w:rsidR="00A453C3" w:rsidRPr="00DD7A4F">
        <w:rPr>
          <w:szCs w:val="22"/>
          <w:lang w:val="lv-LV"/>
        </w:rPr>
        <w:t>reizes lielāks nekā 4 mg/kg devai.</w:t>
      </w:r>
    </w:p>
    <w:p w14:paraId="2F889CC0" w14:textId="77777777" w:rsidR="00A453C3" w:rsidRPr="00DD7A4F" w:rsidRDefault="00A453C3" w:rsidP="00A453C3">
      <w:pPr>
        <w:rPr>
          <w:szCs w:val="22"/>
          <w:lang w:val="lv-LV"/>
        </w:rPr>
      </w:pPr>
    </w:p>
    <w:p w14:paraId="26F23902" w14:textId="77777777" w:rsidR="00A453C3" w:rsidRPr="00707120" w:rsidRDefault="00A453C3">
      <w:pPr>
        <w:keepNext/>
        <w:rPr>
          <w:i/>
          <w:iCs/>
          <w:szCs w:val="22"/>
          <w:lang w:val="lv-LV"/>
        </w:rPr>
        <w:pPrChange w:id="1285" w:author="Author">
          <w:pPr/>
        </w:pPrChange>
      </w:pPr>
      <w:r w:rsidRPr="00707120">
        <w:rPr>
          <w:i/>
          <w:iCs/>
          <w:szCs w:val="22"/>
          <w:u w:val="single"/>
          <w:lang w:val="lv-LV"/>
        </w:rPr>
        <w:t>Subkutāna lietošana</w:t>
      </w:r>
    </w:p>
    <w:p w14:paraId="3581D19A" w14:textId="6824FB31" w:rsidR="00A453C3" w:rsidRDefault="00A453C3" w:rsidP="00A453C3">
      <w:pPr>
        <w:rPr>
          <w:szCs w:val="22"/>
          <w:lang w:val="lv-LV"/>
        </w:rPr>
      </w:pPr>
      <w:r>
        <w:rPr>
          <w:szCs w:val="22"/>
          <w:lang w:val="lv-LV"/>
        </w:rPr>
        <w:t>Tocilizumaba farmakokinētiku noteica ar populācijas farmakokinētikas analīzes palīdzību datu bāzē, kurā iekļauti dati par 3</w:t>
      </w:r>
      <w:ins w:id="1286" w:author="Author">
        <w:r w:rsidR="005A7F0A">
          <w:rPr>
            <w:szCs w:val="22"/>
            <w:lang w:val="lv-LV"/>
          </w:rPr>
          <w:t> </w:t>
        </w:r>
      </w:ins>
      <w:r>
        <w:rPr>
          <w:szCs w:val="22"/>
          <w:lang w:val="lv-LV"/>
        </w:rPr>
        <w:t xml:space="preserve">552 RA slimniekiem, kuri 24 nedēļas lietojuši tocilizumaba 162 mg devu subkutāni reizi nedēļā, 162 mg devu subkutāni katru otro nedēļu un 4 vai 8 mg/kg devu intravenozi ik pēc 4 nedēļām. </w:t>
      </w:r>
    </w:p>
    <w:p w14:paraId="5052CC8C" w14:textId="77777777" w:rsidR="00A453C3" w:rsidRDefault="00A453C3" w:rsidP="00A453C3">
      <w:pPr>
        <w:rPr>
          <w:szCs w:val="22"/>
          <w:lang w:val="lv-LV"/>
        </w:rPr>
      </w:pPr>
    </w:p>
    <w:p w14:paraId="137DFB44" w14:textId="561A5CBE" w:rsidR="00A453C3" w:rsidRDefault="00A453C3" w:rsidP="00A453C3">
      <w:pPr>
        <w:rPr>
          <w:szCs w:val="22"/>
          <w:lang w:val="lv-LV"/>
        </w:rPr>
      </w:pPr>
      <w:r>
        <w:rPr>
          <w:szCs w:val="22"/>
          <w:lang w:val="lv-LV"/>
        </w:rPr>
        <w:t>Laika gaitā tocilizumaba farmakokinētiskie raksturlielumi nemainījās. Tocilizumaba 162 mg devas lietošanai reizi nedēļā prognozētā vidējā (± SN) līdzsvara AUC</w:t>
      </w:r>
      <w:r>
        <w:rPr>
          <w:szCs w:val="22"/>
          <w:vertAlign w:val="subscript"/>
          <w:lang w:val="lv-LV"/>
        </w:rPr>
        <w:t>1nedēļa</w:t>
      </w:r>
      <w:r>
        <w:rPr>
          <w:szCs w:val="22"/>
          <w:lang w:val="lv-LV"/>
        </w:rPr>
        <w:t>, C</w:t>
      </w:r>
      <w:r>
        <w:rPr>
          <w:szCs w:val="22"/>
          <w:vertAlign w:val="subscript"/>
          <w:lang w:val="lv-LV"/>
        </w:rPr>
        <w:t>min</w:t>
      </w:r>
      <w:r>
        <w:rPr>
          <w:szCs w:val="22"/>
          <w:lang w:val="lv-LV"/>
        </w:rPr>
        <w:t xml:space="preserve"> un C</w:t>
      </w:r>
      <w:r>
        <w:rPr>
          <w:szCs w:val="22"/>
          <w:vertAlign w:val="subscript"/>
          <w:lang w:val="lv-LV"/>
        </w:rPr>
        <w:t>max</w:t>
      </w:r>
      <w:r>
        <w:rPr>
          <w:szCs w:val="22"/>
          <w:lang w:val="lv-LV"/>
        </w:rPr>
        <w:t xml:space="preserve"> bija attiecīgi 7970 ± 3432 μg</w:t>
      </w:r>
      <w:ins w:id="1287" w:author="Author">
        <w:r w:rsidR="00BB0320">
          <w:rPr>
            <w:szCs w:val="22"/>
            <w:lang w:val="lv-LV"/>
          </w:rPr>
          <w:t> </w:t>
        </w:r>
        <w:r w:rsidR="0048564E" w:rsidRPr="00DD58C9">
          <w:rPr>
            <w:szCs w:val="22"/>
            <w:lang w:val="lv-LV"/>
            <w:rPrChange w:id="1288" w:author="Author">
              <w:rPr>
                <w:szCs w:val="22"/>
              </w:rPr>
            </w:rPrChange>
          </w:rPr>
          <w:t>×</w:t>
        </w:r>
        <w:r w:rsidR="00BB0320">
          <w:rPr>
            <w:szCs w:val="22"/>
            <w:lang w:val="lv-LV"/>
          </w:rPr>
          <w:t> </w:t>
        </w:r>
      </w:ins>
      <w:del w:id="1289" w:author="Author">
        <w:r w:rsidDel="0048564E">
          <w:rPr>
            <w:szCs w:val="22"/>
            <w:lang w:val="lv-LV"/>
          </w:rPr>
          <w:delText>·</w:delText>
        </w:r>
      </w:del>
      <w:r>
        <w:rPr>
          <w:szCs w:val="22"/>
          <w:lang w:val="lv-LV"/>
        </w:rPr>
        <w:t>h/ml, 43,0 ± 19,8 μg/ml un 49,8 ± 21,0 μg/ml. AUC, C</w:t>
      </w:r>
      <w:r>
        <w:rPr>
          <w:szCs w:val="22"/>
          <w:vertAlign w:val="subscript"/>
          <w:lang w:val="lv-LV"/>
        </w:rPr>
        <w:t>min</w:t>
      </w:r>
      <w:r>
        <w:rPr>
          <w:szCs w:val="22"/>
          <w:lang w:val="lv-LV"/>
        </w:rPr>
        <w:t xml:space="preserve"> un C</w:t>
      </w:r>
      <w:r>
        <w:rPr>
          <w:szCs w:val="22"/>
          <w:vertAlign w:val="subscript"/>
          <w:lang w:val="lv-LV"/>
        </w:rPr>
        <w:t>max</w:t>
      </w:r>
      <w:r>
        <w:rPr>
          <w:szCs w:val="22"/>
          <w:lang w:val="lv-LV"/>
        </w:rPr>
        <w:t xml:space="preserve"> akumulācijas pakāpe bija attiecīgi 6,32, 6,30 un 5,27. AUC, C</w:t>
      </w:r>
      <w:r>
        <w:rPr>
          <w:szCs w:val="22"/>
          <w:vertAlign w:val="subscript"/>
          <w:lang w:val="lv-LV"/>
        </w:rPr>
        <w:t>min</w:t>
      </w:r>
      <w:r>
        <w:rPr>
          <w:szCs w:val="22"/>
          <w:lang w:val="lv-LV"/>
        </w:rPr>
        <w:t xml:space="preserve"> un C</w:t>
      </w:r>
      <w:r>
        <w:rPr>
          <w:szCs w:val="22"/>
          <w:vertAlign w:val="subscript"/>
          <w:lang w:val="lv-LV"/>
        </w:rPr>
        <w:t>max</w:t>
      </w:r>
      <w:r>
        <w:rPr>
          <w:szCs w:val="22"/>
          <w:lang w:val="lv-LV"/>
        </w:rPr>
        <w:t xml:space="preserve"> līdzsvars tika sasniegts pēc 12 nedēļām. </w:t>
      </w:r>
    </w:p>
    <w:p w14:paraId="631D2276" w14:textId="77777777" w:rsidR="00A453C3" w:rsidRDefault="00A453C3" w:rsidP="00A453C3">
      <w:pPr>
        <w:rPr>
          <w:szCs w:val="22"/>
          <w:lang w:val="lv-LV"/>
        </w:rPr>
      </w:pPr>
    </w:p>
    <w:p w14:paraId="6FC002FF" w14:textId="00E162C7" w:rsidR="00A453C3" w:rsidRDefault="00A453C3" w:rsidP="00A453C3">
      <w:pPr>
        <w:rPr>
          <w:szCs w:val="22"/>
          <w:lang w:val="lv-LV"/>
        </w:rPr>
      </w:pPr>
      <w:r>
        <w:rPr>
          <w:szCs w:val="22"/>
          <w:lang w:val="lv-LV"/>
        </w:rPr>
        <w:t>Tocilizumaba 162 mg devas lietošanai katru otro nedēļu prognozētā vidējā (± SN) līdzsvara AUC</w:t>
      </w:r>
      <w:r>
        <w:rPr>
          <w:szCs w:val="22"/>
          <w:vertAlign w:val="subscript"/>
          <w:lang w:val="lv-LV"/>
        </w:rPr>
        <w:t>2nedēļas</w:t>
      </w:r>
      <w:r>
        <w:rPr>
          <w:szCs w:val="22"/>
          <w:lang w:val="lv-LV"/>
        </w:rPr>
        <w:t>, C</w:t>
      </w:r>
      <w:r>
        <w:rPr>
          <w:szCs w:val="22"/>
          <w:vertAlign w:val="subscript"/>
          <w:lang w:val="lv-LV"/>
        </w:rPr>
        <w:t>min</w:t>
      </w:r>
      <w:r>
        <w:rPr>
          <w:szCs w:val="22"/>
          <w:lang w:val="lv-LV"/>
        </w:rPr>
        <w:t xml:space="preserve"> un C</w:t>
      </w:r>
      <w:r>
        <w:rPr>
          <w:szCs w:val="22"/>
          <w:vertAlign w:val="subscript"/>
          <w:lang w:val="lv-LV"/>
        </w:rPr>
        <w:t>max</w:t>
      </w:r>
      <w:r>
        <w:rPr>
          <w:szCs w:val="22"/>
          <w:lang w:val="lv-LV"/>
        </w:rPr>
        <w:t xml:space="preserve"> bija attiecīgi 3430 ± 2660 μg</w:t>
      </w:r>
      <w:ins w:id="1290" w:author="Author">
        <w:r w:rsidR="00BB0320">
          <w:rPr>
            <w:szCs w:val="22"/>
            <w:lang w:val="lv-LV"/>
          </w:rPr>
          <w:t> </w:t>
        </w:r>
        <w:r w:rsidR="0048564E" w:rsidRPr="00DD58C9">
          <w:rPr>
            <w:szCs w:val="22"/>
            <w:lang w:val="lv-LV"/>
            <w:rPrChange w:id="1291" w:author="Author">
              <w:rPr>
                <w:szCs w:val="22"/>
              </w:rPr>
            </w:rPrChange>
          </w:rPr>
          <w:t>×</w:t>
        </w:r>
        <w:r w:rsidR="00BB0320">
          <w:rPr>
            <w:szCs w:val="22"/>
            <w:lang w:val="lv-LV"/>
          </w:rPr>
          <w:t> </w:t>
        </w:r>
      </w:ins>
      <w:del w:id="1292" w:author="Author">
        <w:r w:rsidDel="0048564E">
          <w:rPr>
            <w:szCs w:val="22"/>
            <w:lang w:val="lv-LV"/>
          </w:rPr>
          <w:delText>·</w:delText>
        </w:r>
      </w:del>
      <w:r>
        <w:rPr>
          <w:szCs w:val="22"/>
          <w:lang w:val="lv-LV"/>
        </w:rPr>
        <w:t>h/ml, 5,7 ± 6,8 μg/ml un 13,2 ± 8,8 μg/ml. AUC, C</w:t>
      </w:r>
      <w:r>
        <w:rPr>
          <w:szCs w:val="22"/>
          <w:vertAlign w:val="subscript"/>
          <w:lang w:val="lv-LV"/>
        </w:rPr>
        <w:t>min</w:t>
      </w:r>
      <w:r>
        <w:rPr>
          <w:szCs w:val="22"/>
          <w:lang w:val="lv-LV"/>
        </w:rPr>
        <w:t xml:space="preserve"> un C</w:t>
      </w:r>
      <w:r>
        <w:rPr>
          <w:szCs w:val="22"/>
          <w:vertAlign w:val="subscript"/>
          <w:lang w:val="lv-LV"/>
        </w:rPr>
        <w:t>max</w:t>
      </w:r>
      <w:r>
        <w:rPr>
          <w:szCs w:val="22"/>
          <w:lang w:val="lv-LV"/>
        </w:rPr>
        <w:t xml:space="preserve"> akumulācijas pakāpe bija attiecīgi 2,67, 6,02 un 2,12. AUC un C</w:t>
      </w:r>
      <w:r>
        <w:rPr>
          <w:szCs w:val="22"/>
          <w:vertAlign w:val="subscript"/>
          <w:lang w:val="lv-LV"/>
        </w:rPr>
        <w:t>min</w:t>
      </w:r>
      <w:r>
        <w:rPr>
          <w:szCs w:val="22"/>
          <w:lang w:val="lv-LV"/>
        </w:rPr>
        <w:t xml:space="preserve"> līdzsvars tika sasniegts pēc 12 nedēļām, savukārt C</w:t>
      </w:r>
      <w:r>
        <w:rPr>
          <w:szCs w:val="22"/>
          <w:vertAlign w:val="subscript"/>
          <w:lang w:val="lv-LV"/>
        </w:rPr>
        <w:t>max</w:t>
      </w:r>
      <w:r>
        <w:rPr>
          <w:szCs w:val="22"/>
          <w:lang w:val="lv-LV"/>
        </w:rPr>
        <w:t xml:space="preserve"> līdzsvars – pēc 10 nedēļām. </w:t>
      </w:r>
    </w:p>
    <w:p w14:paraId="343FF3B0" w14:textId="77777777" w:rsidR="00A453C3" w:rsidRPr="00DD7A4F" w:rsidRDefault="00A453C3" w:rsidP="00A453C3">
      <w:pPr>
        <w:rPr>
          <w:szCs w:val="22"/>
          <w:lang w:val="lv-LV"/>
        </w:rPr>
      </w:pPr>
    </w:p>
    <w:p w14:paraId="147474F1" w14:textId="77777777" w:rsidR="00A453C3" w:rsidRPr="00707120" w:rsidRDefault="00A453C3" w:rsidP="00A453C3">
      <w:pPr>
        <w:keepNext/>
        <w:keepLines/>
        <w:rPr>
          <w:i/>
          <w:iCs/>
          <w:szCs w:val="22"/>
          <w:lang w:val="lv-LV"/>
        </w:rPr>
      </w:pPr>
      <w:r w:rsidRPr="00707120">
        <w:rPr>
          <w:i/>
          <w:iCs/>
          <w:szCs w:val="22"/>
          <w:u w:val="single"/>
          <w:lang w:val="lv-LV"/>
        </w:rPr>
        <w:t>Uzsūkšanās</w:t>
      </w:r>
    </w:p>
    <w:p w14:paraId="52B6F866" w14:textId="03520A73" w:rsidR="00A453C3" w:rsidRPr="00DD7A4F" w:rsidRDefault="00A453C3" w:rsidP="00A453C3">
      <w:pPr>
        <w:rPr>
          <w:szCs w:val="22"/>
          <w:lang w:val="lv-LV"/>
        </w:rPr>
      </w:pPr>
      <w:r w:rsidRPr="00DD7A4F">
        <w:rPr>
          <w:szCs w:val="22"/>
          <w:lang w:val="lv-LV"/>
        </w:rPr>
        <w:t xml:space="preserve">Pēc subkutānas lietošanas RA slimniekiem laiks līdz maksimālai </w:t>
      </w:r>
      <w:r>
        <w:rPr>
          <w:szCs w:val="22"/>
          <w:lang w:val="lv-LV"/>
        </w:rPr>
        <w:t>tocilizumaba</w:t>
      </w:r>
      <w:r w:rsidRPr="00DD7A4F">
        <w:rPr>
          <w:szCs w:val="22"/>
          <w:lang w:val="lv-LV"/>
        </w:rPr>
        <w:t xml:space="preserve"> koncentrācijai serumā bija 2,8 dienas. Subkutāni lietojamās zāļu formas biopieejamība bija 79%. </w:t>
      </w:r>
    </w:p>
    <w:p w14:paraId="50643965" w14:textId="77777777" w:rsidR="00A453C3" w:rsidRPr="00DD7A4F" w:rsidRDefault="00A453C3" w:rsidP="00A453C3">
      <w:pPr>
        <w:rPr>
          <w:szCs w:val="22"/>
          <w:lang w:val="lv-LV"/>
        </w:rPr>
      </w:pPr>
    </w:p>
    <w:p w14:paraId="2FFAB773" w14:textId="77777777" w:rsidR="00A453C3" w:rsidRPr="00707120" w:rsidRDefault="00A453C3" w:rsidP="00707120">
      <w:pPr>
        <w:keepNext/>
        <w:rPr>
          <w:i/>
          <w:iCs/>
          <w:szCs w:val="22"/>
          <w:lang w:val="lv-LV"/>
        </w:rPr>
      </w:pPr>
      <w:r w:rsidRPr="00707120">
        <w:rPr>
          <w:i/>
          <w:iCs/>
          <w:szCs w:val="22"/>
          <w:u w:val="single"/>
          <w:lang w:val="lv-LV"/>
        </w:rPr>
        <w:t>Eliminācija</w:t>
      </w:r>
    </w:p>
    <w:p w14:paraId="405C95DD" w14:textId="044860E8" w:rsidR="00A453C3" w:rsidRPr="00DD7A4F" w:rsidRDefault="00A453C3" w:rsidP="00A453C3">
      <w:pPr>
        <w:rPr>
          <w:szCs w:val="22"/>
          <w:lang w:val="lv-LV"/>
        </w:rPr>
      </w:pPr>
      <w:r w:rsidRPr="00DD7A4F">
        <w:rPr>
          <w:szCs w:val="22"/>
          <w:lang w:val="lv-LV"/>
        </w:rPr>
        <w:t>Subkutānas lietošanas gadījumā pacientiem ar RA no koncentrācijas atkarīgais šķietamais līdzsvara t</w:t>
      </w:r>
      <w:r w:rsidRPr="00DD7A4F">
        <w:rPr>
          <w:szCs w:val="22"/>
          <w:vertAlign w:val="subscript"/>
          <w:lang w:val="lv-LV"/>
        </w:rPr>
        <w:t>1/2</w:t>
      </w:r>
      <w:r w:rsidRPr="00DD7A4F">
        <w:rPr>
          <w:szCs w:val="22"/>
          <w:lang w:val="lv-LV"/>
        </w:rPr>
        <w:t xml:space="preserve"> ir līdz 1</w:t>
      </w:r>
      <w:del w:id="1293" w:author="Author">
        <w:r w:rsidRPr="00DD7A4F" w:rsidDel="00E03CB0">
          <w:rPr>
            <w:szCs w:val="22"/>
            <w:lang w:val="lv-LV"/>
          </w:rPr>
          <w:delText>2</w:delText>
        </w:r>
      </w:del>
      <w:ins w:id="1294" w:author="Author">
        <w:r w:rsidR="00E03CB0">
          <w:rPr>
            <w:szCs w:val="22"/>
            <w:lang w:val="lv-LV"/>
          </w:rPr>
          <w:t>3</w:t>
        </w:r>
      </w:ins>
      <w:r w:rsidRPr="00DD7A4F">
        <w:rPr>
          <w:szCs w:val="22"/>
          <w:lang w:val="lv-LV"/>
        </w:rPr>
        <w:t xml:space="preserve"> dienas, lietojot 162 mg devu reizi nedēļā, un 5 dienas, lietojot 162 mg devu katru otro nedēļu. </w:t>
      </w:r>
    </w:p>
    <w:p w14:paraId="3AEE0605" w14:textId="77777777" w:rsidR="00A453C3" w:rsidRPr="00EC7FFE" w:rsidRDefault="00A453C3" w:rsidP="00A453C3">
      <w:pPr>
        <w:pStyle w:val="Standard"/>
        <w:numPr>
          <w:ilvl w:val="12"/>
          <w:numId w:val="0"/>
        </w:numPr>
        <w:ind w:right="-2"/>
        <w:rPr>
          <w:iCs/>
          <w:szCs w:val="22"/>
          <w:lang w:val="lv-LV"/>
        </w:rPr>
      </w:pPr>
    </w:p>
    <w:p w14:paraId="5869B346" w14:textId="20B9B12C" w:rsidR="00A453C3" w:rsidRPr="00EC7FFE" w:rsidDel="00CA5BBD" w:rsidRDefault="00A453C3" w:rsidP="00A453C3">
      <w:pPr>
        <w:pStyle w:val="Standard"/>
        <w:keepNext/>
        <w:keepLines/>
        <w:numPr>
          <w:ilvl w:val="12"/>
          <w:numId w:val="0"/>
        </w:numPr>
        <w:rPr>
          <w:moveFrom w:id="1295" w:author="Author"/>
          <w:iCs/>
          <w:szCs w:val="22"/>
          <w:u w:val="single"/>
          <w:lang w:val="lv-LV"/>
        </w:rPr>
      </w:pPr>
      <w:moveFromRangeStart w:id="1296" w:author="Author" w:name="move205283321"/>
      <w:moveFrom w:id="1297" w:author="Author">
        <w:r w:rsidDel="00CA5BBD">
          <w:rPr>
            <w:iCs/>
            <w:szCs w:val="22"/>
            <w:u w:val="single"/>
            <w:lang w:val="lv-LV"/>
          </w:rPr>
          <w:t xml:space="preserve">Pacienti ar </w:t>
        </w:r>
        <w:r w:rsidRPr="00EC7FFE" w:rsidDel="00CA5BBD">
          <w:rPr>
            <w:iCs/>
            <w:szCs w:val="22"/>
            <w:u w:val="single"/>
            <w:lang w:val="lv-LV"/>
          </w:rPr>
          <w:t>sJIA</w:t>
        </w:r>
      </w:moveFrom>
    </w:p>
    <w:moveFromRangeEnd w:id="1296"/>
    <w:p w14:paraId="6A0F6CE1" w14:textId="4CE67EAB" w:rsidR="00A453C3" w:rsidRPr="00DD58C9" w:rsidRDefault="00A453C3" w:rsidP="00A453C3">
      <w:pPr>
        <w:pStyle w:val="Standard"/>
        <w:keepNext/>
        <w:keepLines/>
        <w:numPr>
          <w:ilvl w:val="12"/>
          <w:numId w:val="0"/>
        </w:numPr>
        <w:rPr>
          <w:ins w:id="1298" w:author="Author"/>
          <w:szCs w:val="22"/>
          <w:u w:val="single"/>
          <w:lang w:val="lv-LV"/>
          <w:rPrChange w:id="1299" w:author="Author">
            <w:rPr>
              <w:ins w:id="1300" w:author="Author"/>
              <w:i/>
              <w:szCs w:val="22"/>
              <w:lang w:val="lv-LV"/>
            </w:rPr>
          </w:rPrChange>
        </w:rPr>
      </w:pPr>
      <w:r w:rsidRPr="00DD58C9">
        <w:rPr>
          <w:szCs w:val="22"/>
          <w:u w:val="single"/>
          <w:lang w:val="lv-LV"/>
          <w:rPrChange w:id="1301" w:author="Author">
            <w:rPr>
              <w:i/>
              <w:szCs w:val="22"/>
              <w:lang w:val="lv-LV"/>
            </w:rPr>
          </w:rPrChange>
        </w:rPr>
        <w:t>Subkutāna lietošana</w:t>
      </w:r>
    </w:p>
    <w:p w14:paraId="48AEF76B" w14:textId="77777777" w:rsidR="00CA5BBD" w:rsidRPr="00F82186" w:rsidRDefault="00CA5BBD" w:rsidP="00CA5BBD">
      <w:pPr>
        <w:pStyle w:val="Standard"/>
        <w:keepNext/>
        <w:keepLines/>
        <w:numPr>
          <w:ilvl w:val="12"/>
          <w:numId w:val="0"/>
        </w:numPr>
        <w:rPr>
          <w:moveTo w:id="1302" w:author="Author"/>
          <w:i/>
          <w:iCs/>
          <w:szCs w:val="22"/>
          <w:lang w:val="lv-LV"/>
          <w:rPrChange w:id="1303" w:author="Author">
            <w:rPr>
              <w:moveTo w:id="1304" w:author="Author"/>
              <w:iCs/>
              <w:szCs w:val="22"/>
              <w:u w:val="single"/>
              <w:lang w:val="lv-LV"/>
            </w:rPr>
          </w:rPrChange>
        </w:rPr>
      </w:pPr>
      <w:moveToRangeStart w:id="1305" w:author="Author" w:name="move205283321"/>
      <w:moveTo w:id="1306" w:author="Author">
        <w:r w:rsidRPr="00F82186">
          <w:rPr>
            <w:i/>
            <w:iCs/>
            <w:szCs w:val="22"/>
            <w:lang w:val="lv-LV"/>
            <w:rPrChange w:id="1307" w:author="Author">
              <w:rPr>
                <w:iCs/>
                <w:szCs w:val="22"/>
                <w:u w:val="single"/>
                <w:lang w:val="lv-LV"/>
              </w:rPr>
            </w:rPrChange>
          </w:rPr>
          <w:t>Pacienti ar sJIA</w:t>
        </w:r>
      </w:moveTo>
    </w:p>
    <w:moveToRangeEnd w:id="1305"/>
    <w:p w14:paraId="41964BE0" w14:textId="77777777" w:rsidR="00CA5BBD" w:rsidRPr="00707120" w:rsidRDefault="00CA5BBD" w:rsidP="00A453C3">
      <w:pPr>
        <w:pStyle w:val="Standard"/>
        <w:keepNext/>
        <w:keepLines/>
        <w:numPr>
          <w:ilvl w:val="12"/>
          <w:numId w:val="0"/>
        </w:numPr>
        <w:rPr>
          <w:i/>
          <w:szCs w:val="22"/>
          <w:lang w:val="lv-LV"/>
        </w:rPr>
      </w:pPr>
    </w:p>
    <w:p w14:paraId="6CD0D584" w14:textId="16087460" w:rsidR="00A453C3" w:rsidRPr="009C5994" w:rsidRDefault="00A453C3" w:rsidP="00A453C3">
      <w:pPr>
        <w:numPr>
          <w:ilvl w:val="12"/>
          <w:numId w:val="0"/>
        </w:numPr>
        <w:ind w:right="-2"/>
        <w:rPr>
          <w:iCs/>
          <w:lang w:val="lv-LV"/>
        </w:rPr>
      </w:pPr>
      <w:r>
        <w:rPr>
          <w:lang w:val="lv-LV"/>
        </w:rPr>
        <w:t>Tocilizumaba</w:t>
      </w:r>
      <w:r w:rsidRPr="009C5994">
        <w:rPr>
          <w:lang w:val="lv-LV"/>
        </w:rPr>
        <w:t xml:space="preserve"> farmakokinētika pacientiem ar sJIA raksturota populācijas farmakokinētikas analīzē, kurā piedalījās 140</w:t>
      </w:r>
      <w:r>
        <w:rPr>
          <w:lang w:val="lv-LV"/>
        </w:rPr>
        <w:t> </w:t>
      </w:r>
      <w:r w:rsidRPr="009C5994">
        <w:rPr>
          <w:lang w:val="lv-LV"/>
        </w:rPr>
        <w:t xml:space="preserve">pacienti, kuri saņēma 8 mg/kg </w:t>
      </w:r>
      <w:r>
        <w:rPr>
          <w:lang w:val="lv-LV"/>
        </w:rPr>
        <w:t>devu intravenozi</w:t>
      </w:r>
      <w:r w:rsidRPr="009C5994">
        <w:rPr>
          <w:lang w:val="lv-LV"/>
        </w:rPr>
        <w:t xml:space="preserve"> ik pēc 2 nedēļām (pacienti ar ķermeņa masu ≥</w:t>
      </w:r>
      <w:r>
        <w:rPr>
          <w:lang w:val="lv-LV"/>
        </w:rPr>
        <w:t> </w:t>
      </w:r>
      <w:r w:rsidRPr="009C5994">
        <w:rPr>
          <w:lang w:val="lv-LV"/>
        </w:rPr>
        <w:t xml:space="preserve">30 kg), 12 mg/kg </w:t>
      </w:r>
      <w:r>
        <w:rPr>
          <w:lang w:val="lv-LV"/>
        </w:rPr>
        <w:t xml:space="preserve">devu intravenozi </w:t>
      </w:r>
      <w:r w:rsidRPr="009C5994">
        <w:rPr>
          <w:lang w:val="lv-LV"/>
        </w:rPr>
        <w:t>ik pēc 2</w:t>
      </w:r>
      <w:r>
        <w:rPr>
          <w:lang w:val="lv-LV"/>
        </w:rPr>
        <w:t> </w:t>
      </w:r>
      <w:r w:rsidRPr="009C5994">
        <w:rPr>
          <w:lang w:val="lv-LV"/>
        </w:rPr>
        <w:t xml:space="preserve">nedēļām (pacienti ar ķermeņa masu zem 30 kg), 162 mg </w:t>
      </w:r>
      <w:r>
        <w:rPr>
          <w:lang w:val="lv-LV"/>
        </w:rPr>
        <w:t>devu subkutāni</w:t>
      </w:r>
      <w:r w:rsidRPr="009C5994">
        <w:rPr>
          <w:lang w:val="lv-LV"/>
        </w:rPr>
        <w:t xml:space="preserve"> katru nedēļu (pacienti ar ķermeņa masu ≥</w:t>
      </w:r>
      <w:r>
        <w:rPr>
          <w:lang w:val="lv-LV"/>
        </w:rPr>
        <w:t> </w:t>
      </w:r>
      <w:r w:rsidRPr="009C5994">
        <w:rPr>
          <w:lang w:val="lv-LV"/>
        </w:rPr>
        <w:t xml:space="preserve">30 kg) vai 162 mg </w:t>
      </w:r>
      <w:r>
        <w:rPr>
          <w:lang w:val="lv-LV"/>
        </w:rPr>
        <w:t xml:space="preserve">devu subkutāni </w:t>
      </w:r>
      <w:r w:rsidRPr="009C5994">
        <w:rPr>
          <w:lang w:val="lv-LV"/>
        </w:rPr>
        <w:t xml:space="preserve">ik pēc </w:t>
      </w:r>
      <w:r>
        <w:rPr>
          <w:lang w:val="lv-LV"/>
        </w:rPr>
        <w:t xml:space="preserve">10 dienām vai ik pēc </w:t>
      </w:r>
      <w:r w:rsidRPr="009C5994">
        <w:rPr>
          <w:lang w:val="lv-LV"/>
        </w:rPr>
        <w:t>2</w:t>
      </w:r>
      <w:r>
        <w:rPr>
          <w:lang w:val="lv-LV"/>
        </w:rPr>
        <w:t> </w:t>
      </w:r>
      <w:r w:rsidRPr="009C5994">
        <w:rPr>
          <w:lang w:val="lv-LV"/>
        </w:rPr>
        <w:t>nedēļām (pacienti ar ķermeņa masu zem 30 kg)</w:t>
      </w:r>
      <w:r>
        <w:rPr>
          <w:lang w:val="lv-LV"/>
        </w:rPr>
        <w:t>.</w:t>
      </w:r>
      <w:r w:rsidRPr="009C5994">
        <w:rPr>
          <w:lang w:val="lv-LV"/>
        </w:rPr>
        <w:t xml:space="preserve"> </w:t>
      </w:r>
    </w:p>
    <w:p w14:paraId="229C2ABB" w14:textId="77777777" w:rsidR="00A453C3" w:rsidRPr="00EC7FFE" w:rsidRDefault="00A453C3" w:rsidP="00A453C3">
      <w:pPr>
        <w:numPr>
          <w:ilvl w:val="12"/>
          <w:numId w:val="0"/>
        </w:numPr>
        <w:ind w:right="-2"/>
        <w:rPr>
          <w:iCs/>
          <w:lang w:val="lv-LV"/>
        </w:rPr>
      </w:pPr>
    </w:p>
    <w:p w14:paraId="5C20127C" w14:textId="138731D0" w:rsidR="00A453C3" w:rsidRDefault="00A453C3" w:rsidP="00A453C3">
      <w:pPr>
        <w:numPr>
          <w:ilvl w:val="12"/>
          <w:numId w:val="0"/>
        </w:numPr>
        <w:ind w:right="-2"/>
        <w:rPr>
          <w:lang w:val="lv-LV"/>
        </w:rPr>
      </w:pPr>
      <w:r w:rsidRPr="00EC7FFE">
        <w:rPr>
          <w:lang w:val="lv-LV"/>
        </w:rPr>
        <w:t xml:space="preserve">Pieejami ierobežoti dati par iedarbību pēc </w:t>
      </w:r>
      <w:r>
        <w:rPr>
          <w:lang w:val="lv-LV"/>
        </w:rPr>
        <w:t>tocilizumaba</w:t>
      </w:r>
      <w:r w:rsidRPr="00EC7FFE">
        <w:rPr>
          <w:lang w:val="lv-LV"/>
        </w:rPr>
        <w:t xml:space="preserve"> subkutānas ievadīšanas pacientiem ar sJIA, kuri bija jaunāki par 2</w:t>
      </w:r>
      <w:r>
        <w:rPr>
          <w:lang w:val="lv-LV"/>
        </w:rPr>
        <w:t> </w:t>
      </w:r>
      <w:r w:rsidRPr="00EC7FFE">
        <w:rPr>
          <w:lang w:val="lv-LV"/>
        </w:rPr>
        <w:t>gadiem un kuru ķermeņa masa bija mazāka par 10 kg.</w:t>
      </w:r>
    </w:p>
    <w:p w14:paraId="557214FC" w14:textId="77777777" w:rsidR="00A453C3" w:rsidRDefault="00A453C3" w:rsidP="00A453C3">
      <w:pPr>
        <w:numPr>
          <w:ilvl w:val="12"/>
          <w:numId w:val="0"/>
        </w:numPr>
        <w:ind w:right="-2"/>
        <w:rPr>
          <w:lang w:val="lv-LV"/>
        </w:rPr>
      </w:pPr>
    </w:p>
    <w:p w14:paraId="149BDDA4" w14:textId="54E20503" w:rsidR="00A453C3" w:rsidRPr="00EC7FFE" w:rsidRDefault="00A453C3" w:rsidP="00A453C3">
      <w:pPr>
        <w:numPr>
          <w:ilvl w:val="12"/>
          <w:numId w:val="0"/>
        </w:numPr>
        <w:ind w:right="-2"/>
        <w:rPr>
          <w:iCs/>
          <w:lang w:val="lv-LV"/>
        </w:rPr>
      </w:pPr>
      <w:r w:rsidRPr="00EC7FFE">
        <w:rPr>
          <w:lang w:val="lv-LV"/>
        </w:rPr>
        <w:t>Pacient</w:t>
      </w:r>
      <w:r>
        <w:rPr>
          <w:lang w:val="lv-LV"/>
        </w:rPr>
        <w:t>u</w:t>
      </w:r>
      <w:r w:rsidRPr="00EC7FFE">
        <w:rPr>
          <w:lang w:val="lv-LV"/>
        </w:rPr>
        <w:t xml:space="preserve"> ar sJIA ķermeņa masai </w:t>
      </w:r>
      <w:r>
        <w:rPr>
          <w:lang w:val="lv-LV"/>
        </w:rPr>
        <w:t>tocilizumaba</w:t>
      </w:r>
      <w:r w:rsidRPr="00EC7FFE">
        <w:rPr>
          <w:lang w:val="lv-LV"/>
        </w:rPr>
        <w:t xml:space="preserve"> lietošanas laikā jābūt vismaz 10 kg (skatīt 4.2.</w:t>
      </w:r>
      <w:r>
        <w:rPr>
          <w:lang w:val="lv-LV"/>
        </w:rPr>
        <w:t> </w:t>
      </w:r>
      <w:r w:rsidRPr="00EC7FFE">
        <w:rPr>
          <w:lang w:val="lv-LV"/>
        </w:rPr>
        <w:t xml:space="preserve">apakšpunktu). </w:t>
      </w:r>
    </w:p>
    <w:p w14:paraId="3A92AB1B" w14:textId="77777777" w:rsidR="00A453C3" w:rsidRPr="00EC7FFE" w:rsidRDefault="00A453C3" w:rsidP="00A453C3">
      <w:pPr>
        <w:pStyle w:val="Standard"/>
        <w:numPr>
          <w:ilvl w:val="12"/>
          <w:numId w:val="0"/>
        </w:numPr>
        <w:ind w:right="-2"/>
        <w:rPr>
          <w:iCs/>
          <w:szCs w:val="22"/>
          <w:lang w:val="lv-LV"/>
        </w:rPr>
      </w:pPr>
    </w:p>
    <w:p w14:paraId="27BAEC13" w14:textId="4893F30B" w:rsidR="00A453C3" w:rsidRDefault="00A453C3" w:rsidP="00A453C3">
      <w:pPr>
        <w:pStyle w:val="Standard"/>
        <w:keepNext/>
        <w:keepLines/>
        <w:numPr>
          <w:ilvl w:val="12"/>
          <w:numId w:val="0"/>
        </w:numPr>
        <w:ind w:right="-2"/>
        <w:rPr>
          <w:bCs/>
          <w:i/>
          <w:szCs w:val="22"/>
          <w:lang w:val="lv-LV"/>
        </w:rPr>
      </w:pPr>
      <w:r w:rsidRPr="00EC7FFE">
        <w:rPr>
          <w:bCs/>
          <w:i/>
          <w:szCs w:val="22"/>
          <w:lang w:val="lv-LV"/>
        </w:rPr>
        <w:t xml:space="preserve">8. tabula. FK </w:t>
      </w:r>
      <w:r>
        <w:rPr>
          <w:bCs/>
          <w:i/>
          <w:szCs w:val="22"/>
          <w:lang w:val="lv-LV"/>
        </w:rPr>
        <w:t>rādītāju</w:t>
      </w:r>
      <w:r w:rsidRPr="00EC7FFE">
        <w:rPr>
          <w:bCs/>
          <w:i/>
          <w:szCs w:val="22"/>
          <w:lang w:val="lv-LV"/>
        </w:rPr>
        <w:t xml:space="preserve"> </w:t>
      </w:r>
      <w:r>
        <w:rPr>
          <w:bCs/>
          <w:i/>
          <w:szCs w:val="22"/>
          <w:lang w:val="lv-LV"/>
        </w:rPr>
        <w:t xml:space="preserve">prognozētās </w:t>
      </w:r>
      <w:r w:rsidRPr="00EC7FFE">
        <w:rPr>
          <w:bCs/>
          <w:i/>
          <w:szCs w:val="22"/>
          <w:lang w:val="lv-LV"/>
        </w:rPr>
        <w:t>vidējās vērtības ±</w:t>
      </w:r>
      <w:r>
        <w:rPr>
          <w:bCs/>
          <w:i/>
          <w:szCs w:val="22"/>
          <w:lang w:val="lv-LV"/>
        </w:rPr>
        <w:t> </w:t>
      </w:r>
      <w:r w:rsidRPr="00EC7FFE">
        <w:rPr>
          <w:bCs/>
          <w:i/>
          <w:szCs w:val="22"/>
          <w:lang w:val="lv-LV"/>
        </w:rPr>
        <w:t xml:space="preserve">SN līdzsvara </w:t>
      </w:r>
      <w:ins w:id="1308" w:author="Regulatory LV" w:date="2026-03-17T11:43:00Z">
        <w:r w:rsidR="00B00D37">
          <w:rPr>
            <w:bCs/>
            <w:i/>
            <w:szCs w:val="22"/>
            <w:lang w:val="lv-LV"/>
          </w:rPr>
          <w:t xml:space="preserve">koncentrācijas </w:t>
        </w:r>
      </w:ins>
      <w:r w:rsidRPr="00EC7FFE">
        <w:rPr>
          <w:bCs/>
          <w:i/>
          <w:szCs w:val="22"/>
          <w:lang w:val="lv-LV"/>
        </w:rPr>
        <w:t xml:space="preserve">stāvoklī pēc </w:t>
      </w:r>
      <w:r>
        <w:rPr>
          <w:bCs/>
          <w:i/>
          <w:szCs w:val="22"/>
          <w:lang w:val="lv-LV"/>
        </w:rPr>
        <w:t>subkutānas</w:t>
      </w:r>
      <w:r w:rsidRPr="00EC7FFE">
        <w:rPr>
          <w:bCs/>
          <w:i/>
          <w:szCs w:val="22"/>
          <w:lang w:val="lv-LV"/>
        </w:rPr>
        <w:t xml:space="preserve"> </w:t>
      </w:r>
      <w:r>
        <w:rPr>
          <w:bCs/>
          <w:i/>
          <w:szCs w:val="22"/>
          <w:lang w:val="lv-LV"/>
        </w:rPr>
        <w:t>ievadīšanas</w:t>
      </w:r>
      <w:r w:rsidRPr="00EC7FFE">
        <w:rPr>
          <w:bCs/>
          <w:i/>
          <w:szCs w:val="22"/>
          <w:lang w:val="lv-LV"/>
        </w:rPr>
        <w:t xml:space="preserve"> pacientiem ar sJIA</w:t>
      </w:r>
    </w:p>
    <w:p w14:paraId="48FF5065" w14:textId="77777777" w:rsidR="00A453C3" w:rsidRPr="00EC7FFE" w:rsidRDefault="00A453C3" w:rsidP="00A453C3">
      <w:pPr>
        <w:pStyle w:val="Standard"/>
        <w:keepNext/>
        <w:keepLines/>
        <w:numPr>
          <w:ilvl w:val="12"/>
          <w:numId w:val="0"/>
        </w:numPr>
        <w:ind w:right="-2"/>
        <w:rPr>
          <w:bCs/>
          <w:i/>
          <w:szCs w:val="22"/>
          <w:lang w:val="lv-LV"/>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977"/>
        <w:gridCol w:w="2977"/>
      </w:tblGrid>
      <w:tr w:rsidR="00A453C3" w:rsidRPr="0049044B" w14:paraId="08B77160" w14:textId="77777777" w:rsidTr="0067693D">
        <w:trPr>
          <w:cantSplit/>
          <w:trHeight w:val="452"/>
        </w:trPr>
        <w:tc>
          <w:tcPr>
            <w:tcW w:w="2835" w:type="dxa"/>
            <w:tcBorders>
              <w:top w:val="single" w:sz="4" w:space="0" w:color="auto"/>
              <w:left w:val="single" w:sz="4" w:space="0" w:color="auto"/>
              <w:bottom w:val="single" w:sz="4" w:space="0" w:color="auto"/>
              <w:right w:val="single" w:sz="4" w:space="0" w:color="auto"/>
            </w:tcBorders>
            <w:hideMark/>
          </w:tcPr>
          <w:p w14:paraId="05BC1513" w14:textId="654AE92E" w:rsidR="00A453C3" w:rsidRPr="00707120" w:rsidRDefault="00A453C3" w:rsidP="0067693D">
            <w:pPr>
              <w:pStyle w:val="TextTi9"/>
              <w:keepNext/>
              <w:spacing w:after="120"/>
              <w:rPr>
                <w:rFonts w:ascii="Times New Roman" w:hAnsi="Times New Roman"/>
                <w:sz w:val="22"/>
              </w:rPr>
            </w:pPr>
            <w:r w:rsidRPr="00707120">
              <w:rPr>
                <w:rFonts w:ascii="Times New Roman" w:hAnsi="Times New Roman"/>
                <w:b/>
                <w:sz w:val="22"/>
              </w:rPr>
              <w:t>Tocilizumaba FK rādītājs</w:t>
            </w:r>
          </w:p>
        </w:tc>
        <w:tc>
          <w:tcPr>
            <w:tcW w:w="2977" w:type="dxa"/>
            <w:tcBorders>
              <w:top w:val="single" w:sz="4" w:space="0" w:color="auto"/>
              <w:left w:val="single" w:sz="4" w:space="0" w:color="auto"/>
              <w:bottom w:val="single" w:sz="4" w:space="0" w:color="auto"/>
              <w:right w:val="single" w:sz="4" w:space="0" w:color="auto"/>
            </w:tcBorders>
            <w:hideMark/>
          </w:tcPr>
          <w:p w14:paraId="1B814056" w14:textId="0DED37AA" w:rsidR="00A453C3" w:rsidRPr="00707120" w:rsidRDefault="00A453C3" w:rsidP="0049044B">
            <w:pPr>
              <w:pStyle w:val="TextTi9"/>
              <w:keepNext/>
              <w:spacing w:after="120"/>
              <w:jc w:val="center"/>
              <w:rPr>
                <w:rFonts w:ascii="Times New Roman" w:hAnsi="Times New Roman"/>
                <w:b/>
                <w:sz w:val="22"/>
              </w:rPr>
            </w:pPr>
            <w:r w:rsidRPr="00707120">
              <w:rPr>
                <w:rFonts w:ascii="Times New Roman" w:hAnsi="Times New Roman"/>
                <w:b/>
                <w:sz w:val="22"/>
              </w:rPr>
              <w:t>162</w:t>
            </w:r>
            <w:r w:rsidR="0049044B">
              <w:rPr>
                <w:rFonts w:ascii="Times New Roman" w:hAnsi="Times New Roman"/>
                <w:b/>
                <w:sz w:val="22"/>
              </w:rPr>
              <w:t> </w:t>
            </w:r>
            <w:r w:rsidRPr="00707120">
              <w:rPr>
                <w:rFonts w:ascii="Times New Roman" w:hAnsi="Times New Roman"/>
                <w:b/>
                <w:sz w:val="22"/>
              </w:rPr>
              <w:t>mg QW ≥</w:t>
            </w:r>
            <w:r w:rsidR="0049044B">
              <w:rPr>
                <w:rFonts w:ascii="Times New Roman" w:hAnsi="Times New Roman"/>
                <w:b/>
                <w:sz w:val="22"/>
              </w:rPr>
              <w:t> </w:t>
            </w:r>
            <w:r w:rsidRPr="00707120">
              <w:rPr>
                <w:rFonts w:ascii="Times New Roman" w:hAnsi="Times New Roman"/>
                <w:b/>
                <w:sz w:val="22"/>
              </w:rPr>
              <w:t>30 kg</w:t>
            </w:r>
          </w:p>
        </w:tc>
        <w:tc>
          <w:tcPr>
            <w:tcW w:w="2977" w:type="dxa"/>
            <w:tcBorders>
              <w:top w:val="single" w:sz="4" w:space="0" w:color="auto"/>
              <w:left w:val="single" w:sz="4" w:space="0" w:color="auto"/>
              <w:bottom w:val="single" w:sz="4" w:space="0" w:color="auto"/>
              <w:right w:val="single" w:sz="4" w:space="0" w:color="auto"/>
            </w:tcBorders>
            <w:hideMark/>
          </w:tcPr>
          <w:p w14:paraId="488DF331" w14:textId="3B9481F2" w:rsidR="00A453C3" w:rsidRPr="00707120" w:rsidRDefault="00A453C3" w:rsidP="0049044B">
            <w:pPr>
              <w:pStyle w:val="TextTi9"/>
              <w:keepNext/>
              <w:spacing w:after="120"/>
              <w:jc w:val="center"/>
              <w:rPr>
                <w:rFonts w:ascii="Times New Roman" w:hAnsi="Times New Roman"/>
                <w:b/>
                <w:sz w:val="22"/>
              </w:rPr>
            </w:pPr>
            <w:r w:rsidRPr="00707120">
              <w:rPr>
                <w:rFonts w:ascii="Times New Roman" w:hAnsi="Times New Roman"/>
                <w:b/>
                <w:sz w:val="22"/>
              </w:rPr>
              <w:t>162</w:t>
            </w:r>
            <w:r w:rsidR="0049044B">
              <w:rPr>
                <w:rFonts w:ascii="Times New Roman" w:hAnsi="Times New Roman"/>
                <w:b/>
                <w:sz w:val="22"/>
              </w:rPr>
              <w:t> </w:t>
            </w:r>
            <w:r w:rsidRPr="00707120">
              <w:rPr>
                <w:rFonts w:ascii="Times New Roman" w:hAnsi="Times New Roman"/>
                <w:b/>
                <w:sz w:val="22"/>
              </w:rPr>
              <w:t>mg Q2W zem 30</w:t>
            </w:r>
            <w:r w:rsidR="0049044B">
              <w:rPr>
                <w:rFonts w:ascii="Times New Roman" w:hAnsi="Times New Roman"/>
                <w:b/>
                <w:sz w:val="22"/>
              </w:rPr>
              <w:t> </w:t>
            </w:r>
            <w:r w:rsidRPr="00707120">
              <w:rPr>
                <w:rFonts w:ascii="Times New Roman" w:hAnsi="Times New Roman"/>
                <w:b/>
                <w:sz w:val="22"/>
              </w:rPr>
              <w:t>kg</w:t>
            </w:r>
          </w:p>
        </w:tc>
      </w:tr>
      <w:tr w:rsidR="00A453C3" w:rsidRPr="0049044B" w14:paraId="5336394C" w14:textId="77777777" w:rsidTr="0067693D">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008529CC" w14:textId="77777777" w:rsidR="00A453C3" w:rsidRPr="00707120" w:rsidRDefault="00A453C3" w:rsidP="0067693D">
            <w:pPr>
              <w:pStyle w:val="TextTi9"/>
              <w:keepNext/>
              <w:spacing w:after="120"/>
              <w:rPr>
                <w:rFonts w:ascii="Times New Roman" w:hAnsi="Times New Roman"/>
                <w:sz w:val="22"/>
              </w:rPr>
            </w:pPr>
            <w:r w:rsidRPr="00707120">
              <w:rPr>
                <w:rFonts w:ascii="Times New Roman" w:hAnsi="Times New Roman"/>
                <w:sz w:val="22"/>
              </w:rPr>
              <w:t>C</w:t>
            </w:r>
            <w:r w:rsidRPr="00707120">
              <w:rPr>
                <w:rFonts w:ascii="Times New Roman" w:hAnsi="Times New Roman"/>
                <w:sz w:val="22"/>
                <w:vertAlign w:val="subscript"/>
              </w:rPr>
              <w:t>max</w:t>
            </w:r>
            <w:r w:rsidRPr="00707120">
              <w:rPr>
                <w:rFonts w:ascii="Times New Roman" w:hAnsi="Times New Roman"/>
                <w:sz w:val="22"/>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0FA13A40" w14:textId="38FDB8A4" w:rsidR="00A453C3" w:rsidRPr="00707120" w:rsidRDefault="00A453C3" w:rsidP="0067693D">
            <w:pPr>
              <w:pStyle w:val="TextTi9"/>
              <w:keepNext/>
              <w:spacing w:after="120"/>
              <w:jc w:val="center"/>
              <w:rPr>
                <w:rFonts w:ascii="Times New Roman" w:hAnsi="Times New Roman"/>
                <w:sz w:val="22"/>
              </w:rPr>
            </w:pPr>
            <w:r w:rsidRPr="00707120">
              <w:rPr>
                <w:rFonts w:ascii="Times New Roman" w:hAnsi="Times New Roman"/>
                <w:sz w:val="22"/>
                <w:lang w:val="en-GB"/>
              </w:rPr>
              <w:t>99,8</w:t>
            </w:r>
            <w:ins w:id="1309" w:author="Author">
              <w:r w:rsidR="00D84CF6">
                <w:rPr>
                  <w:rFonts w:ascii="Times New Roman" w:hAnsi="Times New Roman"/>
                  <w:sz w:val="22"/>
                  <w:lang w:val="en-GB"/>
                </w:rPr>
                <w:t> </w:t>
              </w:r>
            </w:ins>
            <w:del w:id="1310" w:author="Author">
              <w:r w:rsidRPr="00707120" w:rsidDel="00D84CF6">
                <w:rPr>
                  <w:rFonts w:ascii="Times New Roman" w:hAnsi="Times New Roman"/>
                  <w:sz w:val="22"/>
                  <w:lang w:val="en-GB"/>
                </w:rPr>
                <w:delText xml:space="preserve"> </w:delText>
              </w:r>
            </w:del>
            <w:r w:rsidRPr="00707120">
              <w:rPr>
                <w:rFonts w:ascii="Times New Roman" w:hAnsi="Times New Roman"/>
                <w:sz w:val="22"/>
                <w:lang w:val="en-GB"/>
              </w:rPr>
              <w:t>±</w:t>
            </w:r>
            <w:ins w:id="1311" w:author="Author">
              <w:r w:rsidR="00D84CF6">
                <w:rPr>
                  <w:rFonts w:ascii="Times New Roman" w:hAnsi="Times New Roman"/>
                  <w:sz w:val="22"/>
                  <w:lang w:val="en-GB"/>
                </w:rPr>
                <w:t> </w:t>
              </w:r>
            </w:ins>
            <w:del w:id="1312" w:author="Author">
              <w:r w:rsidRPr="00707120" w:rsidDel="00D84CF6">
                <w:rPr>
                  <w:rFonts w:ascii="Times New Roman" w:hAnsi="Times New Roman"/>
                  <w:sz w:val="22"/>
                  <w:lang w:val="en-GB"/>
                </w:rPr>
                <w:delText xml:space="preserve"> </w:delText>
              </w:r>
            </w:del>
            <w:r w:rsidRPr="00707120">
              <w:rPr>
                <w:rFonts w:ascii="Times New Roman" w:hAnsi="Times New Roman"/>
                <w:sz w:val="22"/>
                <w:lang w:val="en-GB"/>
              </w:rPr>
              <w:t>46,2</w:t>
            </w:r>
          </w:p>
        </w:tc>
        <w:tc>
          <w:tcPr>
            <w:tcW w:w="2977" w:type="dxa"/>
            <w:tcBorders>
              <w:top w:val="single" w:sz="4" w:space="0" w:color="auto"/>
              <w:left w:val="single" w:sz="4" w:space="0" w:color="auto"/>
              <w:bottom w:val="single" w:sz="4" w:space="0" w:color="auto"/>
              <w:right w:val="single" w:sz="4" w:space="0" w:color="auto"/>
            </w:tcBorders>
            <w:hideMark/>
          </w:tcPr>
          <w:p w14:paraId="37445323" w14:textId="30794C91" w:rsidR="00A453C3" w:rsidRPr="00707120" w:rsidRDefault="00A453C3" w:rsidP="0067693D">
            <w:pPr>
              <w:pStyle w:val="TextTi9"/>
              <w:keepNext/>
              <w:spacing w:after="120"/>
              <w:jc w:val="center"/>
              <w:rPr>
                <w:rFonts w:ascii="Times New Roman" w:hAnsi="Times New Roman"/>
                <w:sz w:val="22"/>
              </w:rPr>
            </w:pPr>
            <w:r w:rsidRPr="00707120">
              <w:rPr>
                <w:rFonts w:ascii="Times New Roman" w:hAnsi="Times New Roman"/>
                <w:sz w:val="22"/>
                <w:lang w:val="en-GB"/>
              </w:rPr>
              <w:t>134</w:t>
            </w:r>
            <w:ins w:id="1313" w:author="Author">
              <w:r w:rsidR="00D84CF6">
                <w:rPr>
                  <w:rFonts w:ascii="Times New Roman" w:hAnsi="Times New Roman"/>
                  <w:sz w:val="22"/>
                  <w:lang w:val="en-GB"/>
                </w:rPr>
                <w:t> </w:t>
              </w:r>
            </w:ins>
            <w:del w:id="1314" w:author="Author">
              <w:r w:rsidRPr="00707120" w:rsidDel="00D84CF6">
                <w:rPr>
                  <w:rFonts w:ascii="Times New Roman" w:hAnsi="Times New Roman"/>
                  <w:sz w:val="22"/>
                  <w:lang w:val="en-GB"/>
                </w:rPr>
                <w:delText xml:space="preserve"> </w:delText>
              </w:r>
            </w:del>
            <w:r w:rsidRPr="00707120">
              <w:rPr>
                <w:rFonts w:ascii="Times New Roman" w:hAnsi="Times New Roman"/>
                <w:sz w:val="22"/>
                <w:lang w:val="en-GB"/>
              </w:rPr>
              <w:t>±</w:t>
            </w:r>
            <w:ins w:id="1315" w:author="Author">
              <w:r w:rsidR="00D84CF6">
                <w:rPr>
                  <w:rFonts w:ascii="Times New Roman" w:hAnsi="Times New Roman"/>
                  <w:sz w:val="22"/>
                  <w:lang w:val="en-GB"/>
                </w:rPr>
                <w:t> </w:t>
              </w:r>
            </w:ins>
            <w:del w:id="1316" w:author="Author">
              <w:r w:rsidRPr="00707120" w:rsidDel="00D84CF6">
                <w:rPr>
                  <w:rFonts w:ascii="Times New Roman" w:hAnsi="Times New Roman"/>
                  <w:sz w:val="22"/>
                  <w:lang w:val="en-GB"/>
                </w:rPr>
                <w:delText xml:space="preserve"> </w:delText>
              </w:r>
            </w:del>
            <w:r w:rsidRPr="00707120">
              <w:rPr>
                <w:rFonts w:ascii="Times New Roman" w:hAnsi="Times New Roman"/>
                <w:sz w:val="22"/>
                <w:lang w:val="en-GB"/>
              </w:rPr>
              <w:t>58,6</w:t>
            </w:r>
          </w:p>
        </w:tc>
      </w:tr>
      <w:tr w:rsidR="00A453C3" w:rsidRPr="0049044B" w14:paraId="00D3EC5E" w14:textId="77777777" w:rsidTr="0067693D">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6240F704" w14:textId="77777777" w:rsidR="00A453C3" w:rsidRPr="00707120" w:rsidRDefault="00A453C3" w:rsidP="0067693D">
            <w:pPr>
              <w:pStyle w:val="TextTi9"/>
              <w:keepNext/>
              <w:spacing w:after="120"/>
              <w:rPr>
                <w:rFonts w:ascii="Times New Roman" w:hAnsi="Times New Roman"/>
                <w:sz w:val="22"/>
              </w:rPr>
            </w:pPr>
            <w:r w:rsidRPr="00707120">
              <w:rPr>
                <w:rFonts w:ascii="Times New Roman" w:hAnsi="Times New Roman"/>
                <w:sz w:val="22"/>
              </w:rPr>
              <w:t>C</w:t>
            </w:r>
            <w:r w:rsidRPr="00707120">
              <w:rPr>
                <w:rFonts w:ascii="Times New Roman" w:hAnsi="Times New Roman"/>
                <w:sz w:val="22"/>
                <w:vertAlign w:val="subscript"/>
              </w:rPr>
              <w:t>min</w:t>
            </w:r>
            <w:r w:rsidRPr="00707120">
              <w:rPr>
                <w:rFonts w:ascii="Times New Roman" w:hAnsi="Times New Roman"/>
                <w:sz w:val="22"/>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71514F8F" w14:textId="7BA4D9C9" w:rsidR="00A453C3" w:rsidRPr="00707120" w:rsidRDefault="00A453C3" w:rsidP="0067693D">
            <w:pPr>
              <w:pStyle w:val="TextTi9"/>
              <w:keepNext/>
              <w:spacing w:after="120"/>
              <w:jc w:val="center"/>
              <w:rPr>
                <w:rFonts w:ascii="Times New Roman" w:hAnsi="Times New Roman"/>
                <w:sz w:val="22"/>
              </w:rPr>
            </w:pPr>
            <w:r w:rsidRPr="00707120">
              <w:rPr>
                <w:rFonts w:ascii="Times New Roman" w:hAnsi="Times New Roman"/>
                <w:sz w:val="22"/>
                <w:lang w:val="en-GB"/>
              </w:rPr>
              <w:t>79,2</w:t>
            </w:r>
            <w:ins w:id="1317" w:author="Author">
              <w:r w:rsidR="00D84CF6">
                <w:rPr>
                  <w:rFonts w:ascii="Times New Roman" w:hAnsi="Times New Roman"/>
                  <w:sz w:val="22"/>
                  <w:lang w:val="en-GB"/>
                </w:rPr>
                <w:t> </w:t>
              </w:r>
            </w:ins>
            <w:del w:id="1318" w:author="Author">
              <w:r w:rsidRPr="00707120" w:rsidDel="00D84CF6">
                <w:rPr>
                  <w:rFonts w:ascii="Times New Roman" w:hAnsi="Times New Roman"/>
                  <w:sz w:val="22"/>
                  <w:lang w:val="en-GB"/>
                </w:rPr>
                <w:delText xml:space="preserve"> </w:delText>
              </w:r>
            </w:del>
            <w:r w:rsidRPr="00707120">
              <w:rPr>
                <w:rFonts w:ascii="Times New Roman" w:hAnsi="Times New Roman"/>
                <w:sz w:val="22"/>
                <w:lang w:val="en-GB"/>
              </w:rPr>
              <w:t>±</w:t>
            </w:r>
            <w:ins w:id="1319" w:author="Author">
              <w:r w:rsidR="00D84CF6">
                <w:rPr>
                  <w:rFonts w:ascii="Times New Roman" w:hAnsi="Times New Roman"/>
                  <w:sz w:val="22"/>
                  <w:lang w:val="en-GB"/>
                </w:rPr>
                <w:t> </w:t>
              </w:r>
            </w:ins>
            <w:del w:id="1320" w:author="Author">
              <w:r w:rsidRPr="00707120" w:rsidDel="00D84CF6">
                <w:rPr>
                  <w:rFonts w:ascii="Times New Roman" w:hAnsi="Times New Roman"/>
                  <w:sz w:val="22"/>
                  <w:lang w:val="en-GB"/>
                </w:rPr>
                <w:delText xml:space="preserve"> </w:delText>
              </w:r>
            </w:del>
            <w:r w:rsidRPr="00707120">
              <w:rPr>
                <w:rFonts w:ascii="Times New Roman" w:hAnsi="Times New Roman"/>
                <w:sz w:val="22"/>
                <w:lang w:val="en-GB"/>
              </w:rPr>
              <w:t>35,6</w:t>
            </w:r>
          </w:p>
        </w:tc>
        <w:tc>
          <w:tcPr>
            <w:tcW w:w="2977" w:type="dxa"/>
            <w:tcBorders>
              <w:top w:val="single" w:sz="4" w:space="0" w:color="auto"/>
              <w:left w:val="single" w:sz="4" w:space="0" w:color="auto"/>
              <w:bottom w:val="single" w:sz="4" w:space="0" w:color="auto"/>
              <w:right w:val="single" w:sz="4" w:space="0" w:color="auto"/>
            </w:tcBorders>
            <w:hideMark/>
          </w:tcPr>
          <w:p w14:paraId="57660B7F" w14:textId="494EB074" w:rsidR="00A453C3" w:rsidRPr="00707120" w:rsidRDefault="00A453C3" w:rsidP="0067693D">
            <w:pPr>
              <w:pStyle w:val="TextTi9"/>
              <w:keepNext/>
              <w:spacing w:after="120"/>
              <w:jc w:val="center"/>
              <w:rPr>
                <w:rFonts w:ascii="Times New Roman" w:hAnsi="Times New Roman"/>
                <w:sz w:val="22"/>
              </w:rPr>
            </w:pPr>
            <w:r w:rsidRPr="00707120">
              <w:rPr>
                <w:rFonts w:ascii="Times New Roman" w:hAnsi="Times New Roman"/>
                <w:sz w:val="22"/>
                <w:lang w:val="fr-FR"/>
              </w:rPr>
              <w:t>65,9</w:t>
            </w:r>
            <w:ins w:id="1321" w:author="Author">
              <w:r w:rsidR="00D84CF6">
                <w:rPr>
                  <w:rFonts w:ascii="Times New Roman" w:hAnsi="Times New Roman"/>
                  <w:sz w:val="22"/>
                  <w:lang w:val="fr-FR"/>
                </w:rPr>
                <w:t> </w:t>
              </w:r>
            </w:ins>
            <w:del w:id="1322" w:author="Author">
              <w:r w:rsidRPr="00707120" w:rsidDel="00D84CF6">
                <w:rPr>
                  <w:rFonts w:ascii="Times New Roman" w:hAnsi="Times New Roman"/>
                  <w:sz w:val="22"/>
                  <w:lang w:val="fr-FR"/>
                </w:rPr>
                <w:delText xml:space="preserve"> </w:delText>
              </w:r>
            </w:del>
            <w:r w:rsidRPr="00707120">
              <w:rPr>
                <w:rFonts w:ascii="Times New Roman" w:hAnsi="Times New Roman"/>
                <w:sz w:val="22"/>
                <w:lang w:val="fr-FR"/>
              </w:rPr>
              <w:t>±</w:t>
            </w:r>
            <w:ins w:id="1323" w:author="Author">
              <w:r w:rsidR="00D84CF6">
                <w:rPr>
                  <w:rFonts w:ascii="Times New Roman" w:hAnsi="Times New Roman"/>
                  <w:sz w:val="22"/>
                  <w:lang w:val="fr-FR"/>
                </w:rPr>
                <w:t> </w:t>
              </w:r>
            </w:ins>
            <w:del w:id="1324" w:author="Author">
              <w:r w:rsidRPr="00707120" w:rsidDel="00D84CF6">
                <w:rPr>
                  <w:rFonts w:ascii="Times New Roman" w:hAnsi="Times New Roman"/>
                  <w:sz w:val="22"/>
                  <w:lang w:val="fr-FR"/>
                </w:rPr>
                <w:delText xml:space="preserve"> </w:delText>
              </w:r>
            </w:del>
            <w:r w:rsidRPr="00707120">
              <w:rPr>
                <w:rFonts w:ascii="Times New Roman" w:hAnsi="Times New Roman"/>
                <w:sz w:val="22"/>
                <w:lang w:val="fr-FR"/>
              </w:rPr>
              <w:t>31,3</w:t>
            </w:r>
          </w:p>
        </w:tc>
      </w:tr>
      <w:tr w:rsidR="00A453C3" w:rsidRPr="0049044B" w14:paraId="0A4B3D1A" w14:textId="77777777" w:rsidTr="0067693D">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5D1F94D5" w14:textId="460385A4" w:rsidR="00A453C3" w:rsidRPr="00707120" w:rsidRDefault="00A453C3" w:rsidP="0067693D">
            <w:pPr>
              <w:pStyle w:val="TextTi9"/>
              <w:keepNext/>
              <w:spacing w:after="120"/>
              <w:rPr>
                <w:rFonts w:ascii="Times New Roman" w:hAnsi="Times New Roman"/>
                <w:sz w:val="22"/>
              </w:rPr>
            </w:pPr>
            <w:r w:rsidRPr="00707120">
              <w:rPr>
                <w:rFonts w:ascii="Times New Roman" w:hAnsi="Times New Roman"/>
                <w:sz w:val="22"/>
              </w:rPr>
              <w:t>C</w:t>
            </w:r>
            <w:r w:rsidRPr="00707120">
              <w:rPr>
                <w:rFonts w:ascii="Times New Roman" w:hAnsi="Times New Roman"/>
                <w:sz w:val="22"/>
                <w:vertAlign w:val="subscript"/>
              </w:rPr>
              <w:t>vidējā</w:t>
            </w:r>
            <w:r w:rsidRPr="00707120">
              <w:rPr>
                <w:rFonts w:ascii="Times New Roman" w:hAnsi="Times New Roman"/>
                <w:sz w:val="22"/>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1F9DA28C" w14:textId="18BD015D" w:rsidR="00A453C3" w:rsidRPr="00707120" w:rsidRDefault="00A453C3" w:rsidP="0067693D">
            <w:pPr>
              <w:pStyle w:val="TextTi9"/>
              <w:keepNext/>
              <w:spacing w:after="120"/>
              <w:jc w:val="center"/>
              <w:rPr>
                <w:rFonts w:ascii="Times New Roman" w:hAnsi="Times New Roman"/>
                <w:sz w:val="22"/>
              </w:rPr>
            </w:pPr>
            <w:r w:rsidRPr="00707120">
              <w:rPr>
                <w:rFonts w:ascii="Times New Roman" w:hAnsi="Times New Roman"/>
                <w:sz w:val="22"/>
                <w:lang w:val="fr-FR"/>
              </w:rPr>
              <w:t>91,3</w:t>
            </w:r>
            <w:ins w:id="1325" w:author="Author">
              <w:r w:rsidR="00D84CF6">
                <w:rPr>
                  <w:rFonts w:ascii="Times New Roman" w:hAnsi="Times New Roman"/>
                  <w:sz w:val="22"/>
                  <w:lang w:val="fr-FR"/>
                </w:rPr>
                <w:t> </w:t>
              </w:r>
            </w:ins>
            <w:del w:id="1326" w:author="Author">
              <w:r w:rsidRPr="00707120" w:rsidDel="00D84CF6">
                <w:rPr>
                  <w:rFonts w:ascii="Times New Roman" w:hAnsi="Times New Roman"/>
                  <w:sz w:val="22"/>
                  <w:lang w:val="fr-FR"/>
                </w:rPr>
                <w:delText xml:space="preserve"> </w:delText>
              </w:r>
            </w:del>
            <w:r w:rsidRPr="00707120">
              <w:rPr>
                <w:rFonts w:ascii="Times New Roman" w:hAnsi="Times New Roman"/>
                <w:sz w:val="22"/>
                <w:lang w:val="fr-FR"/>
              </w:rPr>
              <w:t>±</w:t>
            </w:r>
            <w:ins w:id="1327" w:author="Author">
              <w:r w:rsidR="00D84CF6">
                <w:rPr>
                  <w:rFonts w:ascii="Times New Roman" w:hAnsi="Times New Roman"/>
                  <w:sz w:val="22"/>
                  <w:lang w:val="fr-FR"/>
                </w:rPr>
                <w:t> </w:t>
              </w:r>
            </w:ins>
            <w:del w:id="1328" w:author="Author">
              <w:r w:rsidRPr="00707120" w:rsidDel="00D84CF6">
                <w:rPr>
                  <w:rFonts w:ascii="Times New Roman" w:hAnsi="Times New Roman"/>
                  <w:sz w:val="22"/>
                  <w:lang w:val="fr-FR"/>
                </w:rPr>
                <w:delText xml:space="preserve"> </w:delText>
              </w:r>
            </w:del>
            <w:r w:rsidRPr="00707120">
              <w:rPr>
                <w:rFonts w:ascii="Times New Roman" w:hAnsi="Times New Roman"/>
                <w:sz w:val="22"/>
                <w:lang w:val="fr-FR"/>
              </w:rPr>
              <w:t>40,4</w:t>
            </w:r>
          </w:p>
        </w:tc>
        <w:tc>
          <w:tcPr>
            <w:tcW w:w="2977" w:type="dxa"/>
            <w:tcBorders>
              <w:top w:val="single" w:sz="4" w:space="0" w:color="auto"/>
              <w:left w:val="single" w:sz="4" w:space="0" w:color="auto"/>
              <w:bottom w:val="single" w:sz="4" w:space="0" w:color="auto"/>
              <w:right w:val="single" w:sz="4" w:space="0" w:color="auto"/>
            </w:tcBorders>
            <w:hideMark/>
          </w:tcPr>
          <w:p w14:paraId="7D719AC4" w14:textId="4A5CAA77" w:rsidR="00A453C3" w:rsidRPr="00707120" w:rsidRDefault="00A453C3" w:rsidP="0067693D">
            <w:pPr>
              <w:pStyle w:val="TextTi9"/>
              <w:keepNext/>
              <w:spacing w:after="120"/>
              <w:jc w:val="center"/>
              <w:rPr>
                <w:rFonts w:ascii="Times New Roman" w:hAnsi="Times New Roman"/>
                <w:sz w:val="22"/>
              </w:rPr>
            </w:pPr>
            <w:r w:rsidRPr="00707120">
              <w:rPr>
                <w:rFonts w:ascii="Times New Roman" w:hAnsi="Times New Roman"/>
                <w:sz w:val="22"/>
                <w:lang w:val="fr-FR"/>
              </w:rPr>
              <w:t>101</w:t>
            </w:r>
            <w:ins w:id="1329" w:author="Author">
              <w:r w:rsidR="00D84CF6">
                <w:rPr>
                  <w:rFonts w:ascii="Times New Roman" w:hAnsi="Times New Roman"/>
                  <w:sz w:val="22"/>
                  <w:lang w:val="fr-FR"/>
                </w:rPr>
                <w:t> </w:t>
              </w:r>
            </w:ins>
            <w:del w:id="1330" w:author="Author">
              <w:r w:rsidRPr="00707120" w:rsidDel="00D84CF6">
                <w:rPr>
                  <w:rFonts w:ascii="Times New Roman" w:hAnsi="Times New Roman"/>
                  <w:sz w:val="22"/>
                  <w:lang w:val="fr-FR"/>
                </w:rPr>
                <w:delText xml:space="preserve"> </w:delText>
              </w:r>
            </w:del>
            <w:r w:rsidRPr="00707120">
              <w:rPr>
                <w:rFonts w:ascii="Times New Roman" w:hAnsi="Times New Roman"/>
                <w:sz w:val="22"/>
                <w:lang w:val="fr-FR"/>
              </w:rPr>
              <w:t>±</w:t>
            </w:r>
            <w:ins w:id="1331" w:author="Author">
              <w:r w:rsidR="00D84CF6">
                <w:rPr>
                  <w:rFonts w:ascii="Times New Roman" w:hAnsi="Times New Roman"/>
                  <w:sz w:val="22"/>
                  <w:lang w:val="fr-FR"/>
                </w:rPr>
                <w:t> </w:t>
              </w:r>
            </w:ins>
            <w:del w:id="1332" w:author="Author">
              <w:r w:rsidRPr="00707120" w:rsidDel="00D84CF6">
                <w:rPr>
                  <w:rFonts w:ascii="Times New Roman" w:hAnsi="Times New Roman"/>
                  <w:sz w:val="22"/>
                  <w:lang w:val="fr-FR"/>
                </w:rPr>
                <w:delText xml:space="preserve"> </w:delText>
              </w:r>
            </w:del>
            <w:r w:rsidRPr="00707120">
              <w:rPr>
                <w:rFonts w:ascii="Times New Roman" w:hAnsi="Times New Roman"/>
                <w:sz w:val="22"/>
                <w:lang w:val="fr-FR"/>
              </w:rPr>
              <w:t>43,2</w:t>
            </w:r>
          </w:p>
        </w:tc>
      </w:tr>
      <w:tr w:rsidR="00A453C3" w:rsidRPr="0049044B" w14:paraId="724E9F9A" w14:textId="77777777" w:rsidTr="0067693D">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0373D781" w14:textId="77777777" w:rsidR="00A453C3" w:rsidRPr="00707120" w:rsidRDefault="00A453C3" w:rsidP="0067693D">
            <w:pPr>
              <w:pStyle w:val="TextTi9"/>
              <w:keepNext/>
              <w:spacing w:after="120"/>
              <w:rPr>
                <w:rFonts w:ascii="Times New Roman" w:hAnsi="Times New Roman"/>
                <w:sz w:val="22"/>
              </w:rPr>
            </w:pPr>
            <w:r w:rsidRPr="00707120">
              <w:rPr>
                <w:rFonts w:ascii="Times New Roman" w:hAnsi="Times New Roman"/>
                <w:sz w:val="22"/>
              </w:rPr>
              <w:t>Akumulācija, C</w:t>
            </w:r>
            <w:r w:rsidRPr="00707120">
              <w:rPr>
                <w:rFonts w:ascii="Times New Roman" w:hAnsi="Times New Roman"/>
                <w:sz w:val="22"/>
                <w:vertAlign w:val="subscript"/>
              </w:rPr>
              <w:t>max</w:t>
            </w:r>
          </w:p>
        </w:tc>
        <w:tc>
          <w:tcPr>
            <w:tcW w:w="2977" w:type="dxa"/>
            <w:tcBorders>
              <w:top w:val="single" w:sz="4" w:space="0" w:color="auto"/>
              <w:left w:val="single" w:sz="4" w:space="0" w:color="auto"/>
              <w:bottom w:val="single" w:sz="4" w:space="0" w:color="auto"/>
              <w:right w:val="single" w:sz="4" w:space="0" w:color="auto"/>
            </w:tcBorders>
            <w:hideMark/>
          </w:tcPr>
          <w:p w14:paraId="0E1F272A" w14:textId="77777777" w:rsidR="00A453C3" w:rsidRPr="00707120" w:rsidRDefault="00A453C3" w:rsidP="0067693D">
            <w:pPr>
              <w:pStyle w:val="TextTi9"/>
              <w:keepNext/>
              <w:spacing w:after="120"/>
              <w:jc w:val="center"/>
              <w:rPr>
                <w:rFonts w:ascii="Times New Roman" w:hAnsi="Times New Roman"/>
                <w:sz w:val="22"/>
              </w:rPr>
            </w:pPr>
            <w:r w:rsidRPr="00707120">
              <w:rPr>
                <w:rFonts w:ascii="Times New Roman" w:hAnsi="Times New Roman"/>
                <w:sz w:val="22"/>
                <w:lang w:val="fr-FR"/>
              </w:rPr>
              <w:t>3,66</w:t>
            </w:r>
          </w:p>
        </w:tc>
        <w:tc>
          <w:tcPr>
            <w:tcW w:w="2977" w:type="dxa"/>
            <w:tcBorders>
              <w:top w:val="single" w:sz="4" w:space="0" w:color="auto"/>
              <w:left w:val="single" w:sz="4" w:space="0" w:color="auto"/>
              <w:bottom w:val="single" w:sz="4" w:space="0" w:color="auto"/>
              <w:right w:val="single" w:sz="4" w:space="0" w:color="auto"/>
            </w:tcBorders>
            <w:hideMark/>
          </w:tcPr>
          <w:p w14:paraId="5C2E2BAE" w14:textId="77777777" w:rsidR="00A453C3" w:rsidRPr="00707120" w:rsidRDefault="00A453C3" w:rsidP="0067693D">
            <w:pPr>
              <w:pStyle w:val="TextTi9"/>
              <w:keepNext/>
              <w:spacing w:after="120"/>
              <w:jc w:val="center"/>
              <w:rPr>
                <w:rFonts w:ascii="Times New Roman" w:hAnsi="Times New Roman"/>
                <w:sz w:val="22"/>
              </w:rPr>
            </w:pPr>
            <w:r w:rsidRPr="00707120">
              <w:rPr>
                <w:rFonts w:ascii="Times New Roman" w:hAnsi="Times New Roman"/>
                <w:sz w:val="22"/>
                <w:lang w:val="fr-FR"/>
              </w:rPr>
              <w:t>1,88</w:t>
            </w:r>
          </w:p>
        </w:tc>
      </w:tr>
      <w:tr w:rsidR="00A453C3" w:rsidRPr="0049044B" w14:paraId="7D2FDD82" w14:textId="77777777" w:rsidTr="0067693D">
        <w:trPr>
          <w:cantSplit/>
          <w:trHeight w:val="331"/>
        </w:trPr>
        <w:tc>
          <w:tcPr>
            <w:tcW w:w="2835" w:type="dxa"/>
            <w:tcBorders>
              <w:top w:val="single" w:sz="4" w:space="0" w:color="auto"/>
              <w:left w:val="single" w:sz="4" w:space="0" w:color="auto"/>
              <w:bottom w:val="single" w:sz="4" w:space="0" w:color="auto"/>
              <w:right w:val="single" w:sz="4" w:space="0" w:color="auto"/>
            </w:tcBorders>
            <w:hideMark/>
          </w:tcPr>
          <w:p w14:paraId="4D4DDEA4" w14:textId="77777777" w:rsidR="00A453C3" w:rsidRPr="00707120" w:rsidRDefault="00A453C3" w:rsidP="0067693D">
            <w:pPr>
              <w:pStyle w:val="TextTi9"/>
              <w:keepNext/>
              <w:spacing w:after="120"/>
              <w:rPr>
                <w:rFonts w:ascii="Times New Roman" w:hAnsi="Times New Roman"/>
                <w:sz w:val="22"/>
              </w:rPr>
            </w:pPr>
            <w:r w:rsidRPr="00707120">
              <w:rPr>
                <w:rFonts w:ascii="Times New Roman" w:hAnsi="Times New Roman"/>
                <w:sz w:val="22"/>
              </w:rPr>
              <w:t>Akumulācija, C</w:t>
            </w:r>
            <w:r w:rsidRPr="00707120">
              <w:rPr>
                <w:rFonts w:ascii="Times New Roman" w:hAnsi="Times New Roman"/>
                <w:sz w:val="22"/>
                <w:vertAlign w:val="subscript"/>
              </w:rPr>
              <w:t>min</w:t>
            </w:r>
          </w:p>
        </w:tc>
        <w:tc>
          <w:tcPr>
            <w:tcW w:w="2977" w:type="dxa"/>
            <w:tcBorders>
              <w:top w:val="single" w:sz="4" w:space="0" w:color="auto"/>
              <w:left w:val="single" w:sz="4" w:space="0" w:color="auto"/>
              <w:bottom w:val="single" w:sz="4" w:space="0" w:color="auto"/>
              <w:right w:val="single" w:sz="4" w:space="0" w:color="auto"/>
            </w:tcBorders>
            <w:hideMark/>
          </w:tcPr>
          <w:p w14:paraId="3F63119F" w14:textId="77777777" w:rsidR="00A453C3" w:rsidRPr="00707120" w:rsidRDefault="00A453C3" w:rsidP="0067693D">
            <w:pPr>
              <w:pStyle w:val="TextTi9"/>
              <w:keepNext/>
              <w:spacing w:after="120"/>
              <w:jc w:val="center"/>
              <w:rPr>
                <w:rFonts w:ascii="Times New Roman" w:hAnsi="Times New Roman"/>
                <w:sz w:val="22"/>
              </w:rPr>
            </w:pPr>
            <w:r w:rsidRPr="00707120">
              <w:rPr>
                <w:rFonts w:ascii="Times New Roman" w:hAnsi="Times New Roman"/>
                <w:sz w:val="22"/>
              </w:rPr>
              <w:t>4,39</w:t>
            </w:r>
          </w:p>
        </w:tc>
        <w:tc>
          <w:tcPr>
            <w:tcW w:w="2977" w:type="dxa"/>
            <w:tcBorders>
              <w:top w:val="single" w:sz="4" w:space="0" w:color="auto"/>
              <w:left w:val="single" w:sz="4" w:space="0" w:color="auto"/>
              <w:bottom w:val="single" w:sz="4" w:space="0" w:color="auto"/>
              <w:right w:val="single" w:sz="4" w:space="0" w:color="auto"/>
            </w:tcBorders>
            <w:hideMark/>
          </w:tcPr>
          <w:p w14:paraId="56A7C4A5" w14:textId="77777777" w:rsidR="00A453C3" w:rsidRPr="00707120" w:rsidRDefault="00A453C3" w:rsidP="0067693D">
            <w:pPr>
              <w:pStyle w:val="TextTi9"/>
              <w:keepNext/>
              <w:spacing w:after="120"/>
              <w:jc w:val="center"/>
              <w:rPr>
                <w:rFonts w:ascii="Times New Roman" w:hAnsi="Times New Roman"/>
                <w:sz w:val="22"/>
              </w:rPr>
            </w:pPr>
            <w:r w:rsidRPr="00707120">
              <w:rPr>
                <w:rFonts w:ascii="Times New Roman" w:hAnsi="Times New Roman"/>
                <w:sz w:val="22"/>
              </w:rPr>
              <w:t>3,21</w:t>
            </w:r>
          </w:p>
        </w:tc>
      </w:tr>
      <w:tr w:rsidR="00A453C3" w:rsidRPr="0049044B" w14:paraId="2CEBD9FD" w14:textId="77777777" w:rsidTr="0067693D">
        <w:trPr>
          <w:cantSplit/>
          <w:trHeight w:val="331"/>
        </w:trPr>
        <w:tc>
          <w:tcPr>
            <w:tcW w:w="2835" w:type="dxa"/>
            <w:tcBorders>
              <w:top w:val="single" w:sz="4" w:space="0" w:color="auto"/>
              <w:left w:val="single" w:sz="4" w:space="0" w:color="auto"/>
              <w:bottom w:val="single" w:sz="4" w:space="0" w:color="auto"/>
              <w:right w:val="single" w:sz="4" w:space="0" w:color="auto"/>
            </w:tcBorders>
            <w:hideMark/>
          </w:tcPr>
          <w:p w14:paraId="3051AFD3" w14:textId="77777777" w:rsidR="00A453C3" w:rsidRPr="00707120" w:rsidRDefault="00A453C3" w:rsidP="0067693D">
            <w:pPr>
              <w:pStyle w:val="TextTi9"/>
              <w:keepNext/>
              <w:spacing w:after="120"/>
              <w:rPr>
                <w:rFonts w:ascii="Times New Roman" w:hAnsi="Times New Roman"/>
                <w:sz w:val="22"/>
              </w:rPr>
            </w:pPr>
            <w:r w:rsidRPr="00707120">
              <w:rPr>
                <w:rFonts w:ascii="Times New Roman" w:hAnsi="Times New Roman"/>
                <w:sz w:val="22"/>
              </w:rPr>
              <w:t>Akumulācija, C</w:t>
            </w:r>
            <w:r w:rsidRPr="00707120">
              <w:rPr>
                <w:rFonts w:ascii="Times New Roman" w:hAnsi="Times New Roman"/>
                <w:sz w:val="22"/>
                <w:vertAlign w:val="subscript"/>
              </w:rPr>
              <w:t>vid.</w:t>
            </w:r>
            <w:r w:rsidRPr="00707120">
              <w:rPr>
                <w:rFonts w:ascii="Times New Roman" w:hAnsi="Times New Roman"/>
                <w:sz w:val="22"/>
              </w:rPr>
              <w:t xml:space="preserve"> vai AUC</w:t>
            </w:r>
            <w:r w:rsidRPr="00707120">
              <w:rPr>
                <w:rFonts w:ascii="Times New Roman" w:hAnsi="Times New Roman"/>
                <w:sz w:val="22"/>
                <w:vertAlign w:val="subscript"/>
              </w:rPr>
              <w:t>τ</w:t>
            </w:r>
            <w:r w:rsidRPr="00707120">
              <w:rPr>
                <w:rFonts w:ascii="Times New Roman" w:hAnsi="Times New Roman"/>
                <w:sz w:val="22"/>
              </w:rPr>
              <w:t>*</w:t>
            </w:r>
          </w:p>
        </w:tc>
        <w:tc>
          <w:tcPr>
            <w:tcW w:w="2977" w:type="dxa"/>
            <w:tcBorders>
              <w:top w:val="single" w:sz="4" w:space="0" w:color="auto"/>
              <w:left w:val="single" w:sz="4" w:space="0" w:color="auto"/>
              <w:bottom w:val="single" w:sz="4" w:space="0" w:color="auto"/>
              <w:right w:val="single" w:sz="4" w:space="0" w:color="auto"/>
            </w:tcBorders>
            <w:hideMark/>
          </w:tcPr>
          <w:p w14:paraId="48D30532" w14:textId="77777777" w:rsidR="00A453C3" w:rsidRPr="00707120" w:rsidRDefault="00A453C3" w:rsidP="0067693D">
            <w:pPr>
              <w:pStyle w:val="TextTi9"/>
              <w:keepNext/>
              <w:spacing w:after="120"/>
              <w:jc w:val="center"/>
              <w:rPr>
                <w:rFonts w:ascii="Times New Roman" w:hAnsi="Times New Roman"/>
                <w:sz w:val="22"/>
                <w:lang w:val="en-GB"/>
              </w:rPr>
            </w:pPr>
            <w:r w:rsidRPr="00707120">
              <w:rPr>
                <w:rFonts w:ascii="Times New Roman" w:hAnsi="Times New Roman"/>
                <w:sz w:val="22"/>
                <w:lang w:val="en-GB"/>
              </w:rPr>
              <w:t>4,28</w:t>
            </w:r>
          </w:p>
        </w:tc>
        <w:tc>
          <w:tcPr>
            <w:tcW w:w="2977" w:type="dxa"/>
            <w:tcBorders>
              <w:top w:val="single" w:sz="4" w:space="0" w:color="auto"/>
              <w:left w:val="single" w:sz="4" w:space="0" w:color="auto"/>
              <w:bottom w:val="single" w:sz="4" w:space="0" w:color="auto"/>
              <w:right w:val="single" w:sz="4" w:space="0" w:color="auto"/>
            </w:tcBorders>
            <w:hideMark/>
          </w:tcPr>
          <w:p w14:paraId="627B3D4F" w14:textId="77777777" w:rsidR="00A453C3" w:rsidRPr="00707120" w:rsidRDefault="00A453C3" w:rsidP="0067693D">
            <w:pPr>
              <w:pStyle w:val="TextTi9"/>
              <w:keepNext/>
              <w:spacing w:after="120"/>
              <w:jc w:val="center"/>
              <w:rPr>
                <w:rFonts w:ascii="Times New Roman" w:hAnsi="Times New Roman"/>
                <w:sz w:val="22"/>
                <w:lang w:val="en-GB"/>
              </w:rPr>
            </w:pPr>
            <w:r w:rsidRPr="00707120">
              <w:rPr>
                <w:rFonts w:ascii="Times New Roman" w:hAnsi="Times New Roman"/>
                <w:sz w:val="22"/>
                <w:lang w:val="en-GB"/>
              </w:rPr>
              <w:t>2,27</w:t>
            </w:r>
          </w:p>
        </w:tc>
      </w:tr>
    </w:tbl>
    <w:p w14:paraId="6F169407" w14:textId="6E4E26CB" w:rsidR="00A453C3" w:rsidRPr="00EC7FFE" w:rsidRDefault="00A453C3" w:rsidP="00A453C3">
      <w:pPr>
        <w:jc w:val="both"/>
        <w:rPr>
          <w:sz w:val="18"/>
          <w:szCs w:val="18"/>
        </w:rPr>
      </w:pPr>
      <w:r w:rsidRPr="00EC7FFE">
        <w:rPr>
          <w:sz w:val="18"/>
        </w:rPr>
        <w:t>*τ = 1</w:t>
      </w:r>
      <w:r>
        <w:rPr>
          <w:sz w:val="18"/>
        </w:rPr>
        <w:t> </w:t>
      </w:r>
      <w:r w:rsidRPr="00EC7FFE">
        <w:rPr>
          <w:sz w:val="18"/>
        </w:rPr>
        <w:t>nedēļa vai 2</w:t>
      </w:r>
      <w:r>
        <w:rPr>
          <w:sz w:val="18"/>
        </w:rPr>
        <w:t> </w:t>
      </w:r>
      <w:r w:rsidRPr="00EC7FFE">
        <w:rPr>
          <w:sz w:val="18"/>
        </w:rPr>
        <w:t xml:space="preserve">nedēļas abām </w:t>
      </w:r>
      <w:r>
        <w:rPr>
          <w:sz w:val="18"/>
        </w:rPr>
        <w:t>subkutānās lietošanas</w:t>
      </w:r>
      <w:r w:rsidRPr="00EC7FFE">
        <w:rPr>
          <w:sz w:val="18"/>
        </w:rPr>
        <w:t xml:space="preserve"> shēmām.</w:t>
      </w:r>
    </w:p>
    <w:p w14:paraId="5039B792" w14:textId="77777777" w:rsidR="00A453C3" w:rsidRPr="002804CB" w:rsidRDefault="00A453C3" w:rsidP="00A453C3">
      <w:pPr>
        <w:pStyle w:val="Standard"/>
        <w:numPr>
          <w:ilvl w:val="12"/>
          <w:numId w:val="0"/>
        </w:numPr>
        <w:ind w:right="-2"/>
        <w:rPr>
          <w:szCs w:val="22"/>
        </w:rPr>
      </w:pPr>
    </w:p>
    <w:p w14:paraId="51442C96" w14:textId="0E5DA96A" w:rsidR="00A453C3" w:rsidRPr="0055452D" w:rsidRDefault="00A453C3" w:rsidP="00A453C3">
      <w:pPr>
        <w:numPr>
          <w:ilvl w:val="12"/>
          <w:numId w:val="0"/>
        </w:numPr>
        <w:ind w:right="-2"/>
        <w:rPr>
          <w:iCs/>
        </w:rPr>
      </w:pPr>
      <w:r w:rsidRPr="0055452D">
        <w:t xml:space="preserve">Pēc </w:t>
      </w:r>
      <w:r>
        <w:t>subkutānas</w:t>
      </w:r>
      <w:r w:rsidRPr="0055452D">
        <w:t xml:space="preserve"> lietošanas gan ar 162 mg </w:t>
      </w:r>
      <w:r>
        <w:t xml:space="preserve">devas </w:t>
      </w:r>
      <w:r w:rsidRPr="0055452D">
        <w:t xml:space="preserve">QW, gan </w:t>
      </w:r>
      <w:r>
        <w:t xml:space="preserve">ar 162 mg devas </w:t>
      </w:r>
      <w:r w:rsidRPr="0055452D">
        <w:t>Q2W shēmu aptuveni 90% no līdzsvara stāvokļa tika sasniegts līdz 12.</w:t>
      </w:r>
      <w:r>
        <w:t> </w:t>
      </w:r>
      <w:r w:rsidRPr="0055452D">
        <w:t xml:space="preserve">nedēļai. </w:t>
      </w:r>
    </w:p>
    <w:p w14:paraId="3F6F5A72" w14:textId="77777777" w:rsidR="00A453C3" w:rsidRPr="0055452D" w:rsidRDefault="00A453C3" w:rsidP="00A453C3">
      <w:pPr>
        <w:numPr>
          <w:ilvl w:val="12"/>
          <w:numId w:val="0"/>
        </w:numPr>
        <w:ind w:right="-2"/>
        <w:rPr>
          <w:iCs/>
        </w:rPr>
      </w:pPr>
    </w:p>
    <w:p w14:paraId="2DEDAD18" w14:textId="77777777" w:rsidR="00A453C3" w:rsidRPr="00707120" w:rsidRDefault="00A453C3" w:rsidP="00707120">
      <w:pPr>
        <w:keepNext/>
        <w:numPr>
          <w:ilvl w:val="12"/>
          <w:numId w:val="0"/>
        </w:numPr>
        <w:ind w:right="-2"/>
        <w:rPr>
          <w:i/>
          <w:iCs/>
          <w:u w:val="single"/>
        </w:rPr>
      </w:pPr>
      <w:r w:rsidRPr="00707120">
        <w:rPr>
          <w:i/>
          <w:iCs/>
          <w:u w:val="single"/>
        </w:rPr>
        <w:t>Uzsūkšanās</w:t>
      </w:r>
    </w:p>
    <w:p w14:paraId="121637DB" w14:textId="16B4E668" w:rsidR="00A453C3" w:rsidRPr="0055452D" w:rsidRDefault="00A453C3" w:rsidP="00A453C3">
      <w:pPr>
        <w:rPr>
          <w:iCs/>
        </w:rPr>
      </w:pPr>
      <w:r w:rsidRPr="0055452D">
        <w:t xml:space="preserve">Pēc </w:t>
      </w:r>
      <w:r>
        <w:t>subkutānas</w:t>
      </w:r>
      <w:r w:rsidRPr="0055452D">
        <w:t xml:space="preserve"> lietošanas pacientiem ar sJIA uzsūkšanās pusperiods bija aptuveni 2</w:t>
      </w:r>
      <w:r>
        <w:t> </w:t>
      </w:r>
      <w:r w:rsidRPr="0055452D">
        <w:t xml:space="preserve">dienas, un </w:t>
      </w:r>
      <w:r>
        <w:t xml:space="preserve">subkutāni lietojamās </w:t>
      </w:r>
      <w:r w:rsidRPr="0055452D">
        <w:t xml:space="preserve">zāļu formas biopieejamība pacientiem ar sJIA bija 95%. </w:t>
      </w:r>
    </w:p>
    <w:p w14:paraId="796980A1" w14:textId="77777777" w:rsidR="00A453C3" w:rsidRPr="0055452D" w:rsidRDefault="00A453C3" w:rsidP="00A453C3">
      <w:pPr>
        <w:numPr>
          <w:ilvl w:val="12"/>
          <w:numId w:val="0"/>
        </w:numPr>
        <w:ind w:right="-2"/>
        <w:rPr>
          <w:iCs/>
        </w:rPr>
      </w:pPr>
    </w:p>
    <w:p w14:paraId="5F78A9E8" w14:textId="77777777" w:rsidR="00A453C3" w:rsidRPr="00707120" w:rsidRDefault="00A453C3" w:rsidP="00707120">
      <w:pPr>
        <w:keepNext/>
        <w:numPr>
          <w:ilvl w:val="12"/>
          <w:numId w:val="0"/>
        </w:numPr>
        <w:ind w:right="-2"/>
        <w:rPr>
          <w:i/>
          <w:iCs/>
          <w:u w:val="single"/>
        </w:rPr>
      </w:pPr>
      <w:r w:rsidRPr="00707120">
        <w:rPr>
          <w:i/>
          <w:iCs/>
          <w:u w:val="single"/>
        </w:rPr>
        <w:t>Izkliede</w:t>
      </w:r>
    </w:p>
    <w:p w14:paraId="331B0837" w14:textId="77777777" w:rsidR="00A453C3" w:rsidRPr="0055452D" w:rsidRDefault="00A453C3" w:rsidP="00A453C3">
      <w:pPr>
        <w:numPr>
          <w:ilvl w:val="12"/>
          <w:numId w:val="0"/>
        </w:numPr>
        <w:ind w:right="-2"/>
        <w:rPr>
          <w:iCs/>
        </w:rPr>
      </w:pPr>
      <w:r w:rsidRPr="0055452D">
        <w:t>Pediatriskajiem pacientiem ar sJIA centrālais izkliedes tilpums bija 1,87 l, bet perifēriskais izkliedes tilpums bija 2,14 l, kā rezultātā izkliedes tilpums līdzsvara stāvoklī bija 4,01 l.</w:t>
      </w:r>
    </w:p>
    <w:p w14:paraId="2F170524" w14:textId="77777777" w:rsidR="00A453C3" w:rsidRPr="0055452D" w:rsidRDefault="00A453C3" w:rsidP="00A453C3">
      <w:pPr>
        <w:numPr>
          <w:ilvl w:val="12"/>
          <w:numId w:val="0"/>
        </w:numPr>
        <w:ind w:right="-2"/>
        <w:rPr>
          <w:iCs/>
        </w:rPr>
      </w:pPr>
    </w:p>
    <w:p w14:paraId="212D03C8" w14:textId="77777777" w:rsidR="00A453C3" w:rsidRPr="00707120" w:rsidRDefault="00A453C3" w:rsidP="00707120">
      <w:pPr>
        <w:keepNext/>
        <w:numPr>
          <w:ilvl w:val="12"/>
          <w:numId w:val="0"/>
        </w:numPr>
        <w:ind w:right="-2"/>
        <w:rPr>
          <w:i/>
          <w:iCs/>
          <w:u w:val="single"/>
        </w:rPr>
      </w:pPr>
      <w:r w:rsidRPr="00707120">
        <w:rPr>
          <w:i/>
          <w:iCs/>
          <w:u w:val="single"/>
        </w:rPr>
        <w:t>Eliminācija</w:t>
      </w:r>
    </w:p>
    <w:p w14:paraId="56F6D0FE" w14:textId="2737208B" w:rsidR="00A453C3" w:rsidRPr="00707120" w:rsidRDefault="00A453C3" w:rsidP="00A453C3">
      <w:pPr>
        <w:numPr>
          <w:ilvl w:val="12"/>
          <w:numId w:val="0"/>
        </w:numPr>
        <w:ind w:right="-2"/>
        <w:rPr>
          <w:rFonts w:eastAsia="SimSun"/>
          <w:lang w:val="es-ES"/>
        </w:rPr>
      </w:pPr>
      <w:r w:rsidRPr="00707120">
        <w:rPr>
          <w:lang w:val="es-ES"/>
        </w:rPr>
        <w:t>Kopējais tocilizumaba klīrenss bija atkarīgs no koncentrācijas, un to veido lineārā klīrensa un nelineārā klīrensa summa. Lineārais klīrenss tika noteikts kā raksturlielums populācijas farmakokinētikas analīzē, un pediatriskajiem pacientiem ar sistēmisku juvenilu idiopātisko artrītu tas bija 5,7 ml/h. Pēc subkutānas ievadīšanas efektīvais tocilizumaba t</w:t>
      </w:r>
      <w:r w:rsidRPr="00707120">
        <w:rPr>
          <w:vertAlign w:val="subscript"/>
          <w:lang w:val="es-ES"/>
        </w:rPr>
        <w:t>1/2</w:t>
      </w:r>
      <w:r w:rsidRPr="00707120">
        <w:rPr>
          <w:lang w:val="es-ES"/>
        </w:rPr>
        <w:t xml:space="preserve"> pacientiem ar sJIA zāļu lietošanas laikā līdzsvara stāvoklī ir līdz 14 dienām, gan lietojot 162 mg QW, gan Q2W shēmu. </w:t>
      </w:r>
    </w:p>
    <w:p w14:paraId="55BC8919" w14:textId="77777777" w:rsidR="00A453C3" w:rsidRPr="00707120" w:rsidRDefault="00A453C3" w:rsidP="00A453C3">
      <w:pPr>
        <w:numPr>
          <w:ilvl w:val="12"/>
          <w:numId w:val="0"/>
        </w:numPr>
        <w:ind w:right="-2"/>
        <w:rPr>
          <w:iCs/>
          <w:lang w:val="es-ES"/>
        </w:rPr>
      </w:pPr>
    </w:p>
    <w:p w14:paraId="3CE46258" w14:textId="78726BD3" w:rsidR="00A453C3" w:rsidRPr="00707120" w:rsidDel="00C84D6B" w:rsidRDefault="00A453C3" w:rsidP="00A453C3">
      <w:pPr>
        <w:keepNext/>
        <w:numPr>
          <w:ilvl w:val="12"/>
          <w:numId w:val="0"/>
        </w:numPr>
        <w:rPr>
          <w:del w:id="1333" w:author="Author"/>
          <w:iCs/>
          <w:u w:val="single"/>
          <w:lang w:val="es-ES"/>
        </w:rPr>
      </w:pPr>
      <w:moveFromRangeStart w:id="1334" w:author="Author" w:name="move205283386"/>
      <w:moveFrom w:id="1335" w:author="Author">
        <w:r w:rsidRPr="00707120" w:rsidDel="00CA5BBD">
          <w:rPr>
            <w:u w:val="single"/>
            <w:lang w:val="es-ES"/>
          </w:rPr>
          <w:t xml:space="preserve">Pacienti ar pJIA </w:t>
        </w:r>
      </w:moveFrom>
      <w:moveFromRangeEnd w:id="1334"/>
    </w:p>
    <w:p w14:paraId="209D90C7" w14:textId="21CE597A" w:rsidR="00A453C3" w:rsidRPr="00DD58C9" w:rsidRDefault="00A453C3" w:rsidP="00A453C3">
      <w:pPr>
        <w:keepNext/>
        <w:numPr>
          <w:ilvl w:val="12"/>
          <w:numId w:val="0"/>
        </w:numPr>
        <w:rPr>
          <w:ins w:id="1336" w:author="Author"/>
          <w:iCs/>
          <w:u w:val="single"/>
          <w:lang w:val="es-ES"/>
          <w:rPrChange w:id="1337" w:author="Author">
            <w:rPr>
              <w:ins w:id="1338" w:author="Author"/>
              <w:i/>
              <w:iCs/>
              <w:lang w:val="es-ES"/>
            </w:rPr>
          </w:rPrChange>
        </w:rPr>
      </w:pPr>
      <w:r w:rsidRPr="00DD58C9">
        <w:rPr>
          <w:iCs/>
          <w:u w:val="single"/>
          <w:lang w:val="es-ES"/>
          <w:rPrChange w:id="1339" w:author="Author">
            <w:rPr>
              <w:i/>
              <w:iCs/>
              <w:lang w:val="es-ES"/>
            </w:rPr>
          </w:rPrChange>
        </w:rPr>
        <w:t>Subkutāna lietošana</w:t>
      </w:r>
    </w:p>
    <w:p w14:paraId="044B5931" w14:textId="6159DF0C" w:rsidR="00CA5BBD" w:rsidRPr="00F82186" w:rsidRDefault="00CA5BBD" w:rsidP="00A453C3">
      <w:pPr>
        <w:keepNext/>
        <w:numPr>
          <w:ilvl w:val="12"/>
          <w:numId w:val="0"/>
        </w:numPr>
        <w:rPr>
          <w:ins w:id="1340" w:author="Author"/>
          <w:i/>
          <w:lang w:val="es-ES"/>
          <w:rPrChange w:id="1341" w:author="Author">
            <w:rPr>
              <w:ins w:id="1342" w:author="Author"/>
              <w:u w:val="single"/>
              <w:lang w:val="es-ES"/>
            </w:rPr>
          </w:rPrChange>
        </w:rPr>
      </w:pPr>
      <w:moveToRangeStart w:id="1343" w:author="Author" w:name="move205283386"/>
      <w:moveTo w:id="1344" w:author="Author">
        <w:r w:rsidRPr="00F82186">
          <w:rPr>
            <w:i/>
            <w:lang w:val="es-ES"/>
            <w:rPrChange w:id="1345" w:author="Author">
              <w:rPr>
                <w:u w:val="single"/>
                <w:lang w:val="es-ES"/>
              </w:rPr>
            </w:rPrChange>
          </w:rPr>
          <w:t>Pacienti ar pJIA</w:t>
        </w:r>
      </w:moveTo>
      <w:moveToRangeEnd w:id="1343"/>
    </w:p>
    <w:p w14:paraId="4FCEC255" w14:textId="77777777" w:rsidR="00CA5BBD" w:rsidRPr="00707120" w:rsidRDefault="00CA5BBD" w:rsidP="00A453C3">
      <w:pPr>
        <w:keepNext/>
        <w:numPr>
          <w:ilvl w:val="12"/>
          <w:numId w:val="0"/>
        </w:numPr>
        <w:rPr>
          <w:i/>
          <w:iCs/>
          <w:lang w:val="es-ES"/>
        </w:rPr>
      </w:pPr>
    </w:p>
    <w:p w14:paraId="57C7EEB8" w14:textId="26B7D4E1" w:rsidR="00A453C3" w:rsidRPr="00707120" w:rsidRDefault="00A453C3" w:rsidP="00A453C3">
      <w:pPr>
        <w:rPr>
          <w:lang w:val="es-ES"/>
        </w:rPr>
      </w:pPr>
      <w:r w:rsidRPr="00707120">
        <w:rPr>
          <w:lang w:val="es-ES"/>
        </w:rPr>
        <w:t>Tocilizumaba farmakokinētika pacientiem ar pJIA raksturota populācijas farmakokinētikas analīzē, kurā piedalījās 237 pacienti, kuri saņēma 8</w:t>
      </w:r>
      <w:ins w:id="1346" w:author="Author">
        <w:r w:rsidR="00996A2D">
          <w:rPr>
            <w:lang w:val="es-ES"/>
          </w:rPr>
          <w:t> </w:t>
        </w:r>
      </w:ins>
      <w:del w:id="1347" w:author="Author">
        <w:r w:rsidRPr="00707120" w:rsidDel="00996A2D">
          <w:rPr>
            <w:lang w:val="es-ES"/>
          </w:rPr>
          <w:delText xml:space="preserve"> </w:delText>
        </w:r>
      </w:del>
      <w:r w:rsidRPr="00707120">
        <w:rPr>
          <w:lang w:val="es-ES"/>
        </w:rPr>
        <w:t>mg/kg devu intravenozi ik pēc 4 nedēļām (pacienti ar ķermeņa masu ≥ 30 kg), 10 mg/kg devu intravenozi ik pēc 4 nedēļām (pacienti ar ķermeņa masu zem 30 kg), 162 mg devu subkutāni ik pēc 2 nedēļām (pacienti ar ķermeņa masu ≥ 30 kg) vai 162 mg devu subkutāni ik pēc 3 nedēļām (pacienti ar ķermeņa masu zem 30 kg).</w:t>
      </w:r>
    </w:p>
    <w:p w14:paraId="2C1DED2D" w14:textId="77777777" w:rsidR="00A453C3" w:rsidRPr="00707120" w:rsidRDefault="00A453C3" w:rsidP="00A453C3">
      <w:pPr>
        <w:pStyle w:val="Standard"/>
        <w:rPr>
          <w:lang w:val="es-ES"/>
        </w:rPr>
      </w:pPr>
    </w:p>
    <w:p w14:paraId="13209325" w14:textId="66AD4E4D" w:rsidR="00A453C3" w:rsidRPr="00707120" w:rsidRDefault="00A453C3" w:rsidP="00A453C3">
      <w:pPr>
        <w:pStyle w:val="Standard"/>
        <w:keepNext/>
        <w:keepLines/>
        <w:numPr>
          <w:ilvl w:val="12"/>
          <w:numId w:val="0"/>
        </w:numPr>
        <w:ind w:right="-2"/>
        <w:rPr>
          <w:bCs/>
          <w:i/>
          <w:szCs w:val="22"/>
          <w:lang w:val="es-ES"/>
        </w:rPr>
      </w:pPr>
      <w:r w:rsidRPr="00707120">
        <w:rPr>
          <w:bCs/>
          <w:i/>
          <w:szCs w:val="22"/>
          <w:lang w:val="es-ES"/>
        </w:rPr>
        <w:t>9. tabula. FK rādītāju progrnozētās vidējās vērtības ± SN līdzsvara stāvoklī pēc subkutānas ievadīšanas pacientiem ar pJIA</w:t>
      </w:r>
    </w:p>
    <w:p w14:paraId="63B9A3F8" w14:textId="77777777" w:rsidR="00A453C3" w:rsidRPr="00707120" w:rsidRDefault="00A453C3" w:rsidP="00A453C3">
      <w:pPr>
        <w:pStyle w:val="Standard"/>
        <w:keepNext/>
        <w:keepLines/>
        <w:numPr>
          <w:ilvl w:val="12"/>
          <w:numId w:val="0"/>
        </w:numPr>
        <w:ind w:right="-2"/>
        <w:rPr>
          <w:bCs/>
          <w:i/>
          <w:szCs w:val="22"/>
          <w:lang w:val="es-ES"/>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2523"/>
        <w:gridCol w:w="2977"/>
      </w:tblGrid>
      <w:tr w:rsidR="00A453C3" w:rsidRPr="0049044B" w14:paraId="4B3070F6" w14:textId="77777777" w:rsidTr="00707120">
        <w:trPr>
          <w:cantSplit/>
          <w:trHeight w:val="452"/>
        </w:trPr>
        <w:tc>
          <w:tcPr>
            <w:tcW w:w="3397" w:type="dxa"/>
            <w:tcBorders>
              <w:top w:val="single" w:sz="4" w:space="0" w:color="auto"/>
              <w:left w:val="single" w:sz="4" w:space="0" w:color="auto"/>
              <w:bottom w:val="single" w:sz="4" w:space="0" w:color="auto"/>
              <w:right w:val="single" w:sz="4" w:space="0" w:color="auto"/>
            </w:tcBorders>
            <w:hideMark/>
          </w:tcPr>
          <w:p w14:paraId="63D43D67" w14:textId="21A1BB9D" w:rsidR="00A453C3" w:rsidRPr="00707120" w:rsidRDefault="00A453C3" w:rsidP="0067693D">
            <w:pPr>
              <w:pStyle w:val="TextTi9"/>
              <w:keepNext/>
              <w:keepLines/>
              <w:spacing w:after="120"/>
              <w:rPr>
                <w:rFonts w:ascii="Times New Roman" w:hAnsi="Times New Roman"/>
                <w:sz w:val="22"/>
              </w:rPr>
            </w:pPr>
            <w:r w:rsidRPr="00707120">
              <w:rPr>
                <w:rFonts w:ascii="Times New Roman" w:hAnsi="Times New Roman"/>
                <w:b/>
                <w:sz w:val="22"/>
              </w:rPr>
              <w:t>Tocilizumaba FK rādītājs</w:t>
            </w:r>
          </w:p>
        </w:tc>
        <w:tc>
          <w:tcPr>
            <w:tcW w:w="2523" w:type="dxa"/>
            <w:tcBorders>
              <w:top w:val="single" w:sz="4" w:space="0" w:color="auto"/>
              <w:left w:val="single" w:sz="4" w:space="0" w:color="auto"/>
              <w:bottom w:val="single" w:sz="4" w:space="0" w:color="auto"/>
              <w:right w:val="single" w:sz="4" w:space="0" w:color="auto"/>
            </w:tcBorders>
            <w:hideMark/>
          </w:tcPr>
          <w:p w14:paraId="6044903A" w14:textId="66191664" w:rsidR="00A453C3" w:rsidRPr="00707120" w:rsidRDefault="00A453C3" w:rsidP="0067693D">
            <w:pPr>
              <w:pStyle w:val="TextTi9"/>
              <w:keepNext/>
              <w:keepLines/>
              <w:spacing w:after="120"/>
              <w:jc w:val="center"/>
              <w:rPr>
                <w:rFonts w:ascii="Times New Roman" w:hAnsi="Times New Roman"/>
                <w:b/>
                <w:sz w:val="22"/>
              </w:rPr>
            </w:pPr>
            <w:r w:rsidRPr="00707120">
              <w:rPr>
                <w:rFonts w:ascii="Times New Roman" w:hAnsi="Times New Roman"/>
                <w:b/>
                <w:sz w:val="22"/>
              </w:rPr>
              <w:t>162 mg Q2W</w:t>
            </w:r>
            <w:del w:id="1348" w:author="Author">
              <w:r w:rsidRPr="00707120" w:rsidDel="0050621C">
                <w:rPr>
                  <w:rFonts w:ascii="Times New Roman" w:hAnsi="Times New Roman"/>
                  <w:b/>
                  <w:sz w:val="22"/>
                </w:rPr>
                <w:delText xml:space="preserve">, </w:delText>
              </w:r>
            </w:del>
            <w:ins w:id="1349" w:author="Author">
              <w:r w:rsidR="0050621C">
                <w:rPr>
                  <w:rFonts w:ascii="Times New Roman" w:hAnsi="Times New Roman"/>
                  <w:b/>
                  <w:sz w:val="22"/>
                </w:rPr>
                <w:t> </w:t>
              </w:r>
            </w:ins>
            <w:r w:rsidRPr="00707120">
              <w:rPr>
                <w:rFonts w:ascii="Times New Roman" w:hAnsi="Times New Roman"/>
                <w:b/>
                <w:sz w:val="22"/>
              </w:rPr>
              <w:t>≥ 30 kg</w:t>
            </w:r>
          </w:p>
        </w:tc>
        <w:tc>
          <w:tcPr>
            <w:tcW w:w="2977" w:type="dxa"/>
            <w:tcBorders>
              <w:top w:val="single" w:sz="4" w:space="0" w:color="auto"/>
              <w:left w:val="single" w:sz="4" w:space="0" w:color="auto"/>
              <w:bottom w:val="single" w:sz="4" w:space="0" w:color="auto"/>
              <w:right w:val="single" w:sz="4" w:space="0" w:color="auto"/>
            </w:tcBorders>
            <w:hideMark/>
          </w:tcPr>
          <w:p w14:paraId="415DEBEB" w14:textId="77777777" w:rsidR="00A453C3" w:rsidRPr="00707120" w:rsidRDefault="00A453C3" w:rsidP="0067693D">
            <w:pPr>
              <w:pStyle w:val="TextTi9"/>
              <w:keepNext/>
              <w:keepLines/>
              <w:spacing w:after="120"/>
              <w:jc w:val="center"/>
              <w:rPr>
                <w:rFonts w:ascii="Times New Roman" w:hAnsi="Times New Roman"/>
                <w:b/>
                <w:sz w:val="22"/>
              </w:rPr>
            </w:pPr>
            <w:r w:rsidRPr="00707120">
              <w:rPr>
                <w:rFonts w:ascii="Times New Roman" w:eastAsia="Times New Roman" w:hAnsi="Times New Roman"/>
                <w:b/>
                <w:sz w:val="22"/>
                <w:lang w:eastAsia="ar-SA"/>
              </w:rPr>
              <w:t>162 mg Q3W zem 30 kg</w:t>
            </w:r>
          </w:p>
        </w:tc>
      </w:tr>
      <w:tr w:rsidR="00A453C3" w:rsidRPr="0049044B" w14:paraId="740E0E79" w14:textId="77777777" w:rsidTr="00707120">
        <w:trPr>
          <w:cantSplit/>
          <w:trHeight w:val="195"/>
        </w:trPr>
        <w:tc>
          <w:tcPr>
            <w:tcW w:w="3397" w:type="dxa"/>
            <w:tcBorders>
              <w:top w:val="single" w:sz="4" w:space="0" w:color="auto"/>
              <w:left w:val="single" w:sz="4" w:space="0" w:color="auto"/>
              <w:bottom w:val="single" w:sz="4" w:space="0" w:color="auto"/>
              <w:right w:val="single" w:sz="4" w:space="0" w:color="auto"/>
            </w:tcBorders>
            <w:hideMark/>
          </w:tcPr>
          <w:p w14:paraId="1C6A5800" w14:textId="77777777" w:rsidR="00A453C3" w:rsidRPr="00707120" w:rsidRDefault="00A453C3" w:rsidP="0067693D">
            <w:pPr>
              <w:pStyle w:val="TextTi9"/>
              <w:keepNext/>
              <w:keepLines/>
              <w:spacing w:after="120"/>
              <w:rPr>
                <w:rFonts w:ascii="Times New Roman" w:hAnsi="Times New Roman"/>
                <w:sz w:val="22"/>
              </w:rPr>
            </w:pPr>
            <w:r w:rsidRPr="00707120">
              <w:rPr>
                <w:rFonts w:ascii="Times New Roman" w:hAnsi="Times New Roman"/>
                <w:sz w:val="22"/>
              </w:rPr>
              <w:t>C</w:t>
            </w:r>
            <w:r w:rsidRPr="00707120">
              <w:rPr>
                <w:rFonts w:ascii="Times New Roman" w:hAnsi="Times New Roman"/>
                <w:sz w:val="22"/>
                <w:vertAlign w:val="subscript"/>
              </w:rPr>
              <w:t>max</w:t>
            </w:r>
            <w:r w:rsidRPr="00707120">
              <w:rPr>
                <w:rFonts w:ascii="Times New Roman" w:hAnsi="Times New Roman"/>
                <w:sz w:val="22"/>
              </w:rPr>
              <w:t xml:space="preserve"> (µg/ml)</w:t>
            </w:r>
          </w:p>
        </w:tc>
        <w:tc>
          <w:tcPr>
            <w:tcW w:w="2523" w:type="dxa"/>
            <w:tcBorders>
              <w:top w:val="single" w:sz="4" w:space="0" w:color="auto"/>
              <w:left w:val="single" w:sz="4" w:space="0" w:color="auto"/>
              <w:bottom w:val="single" w:sz="4" w:space="0" w:color="auto"/>
              <w:right w:val="single" w:sz="4" w:space="0" w:color="auto"/>
            </w:tcBorders>
            <w:hideMark/>
          </w:tcPr>
          <w:p w14:paraId="36BEA82E" w14:textId="68F1C9AD" w:rsidR="00A453C3" w:rsidRPr="00707120" w:rsidRDefault="00A453C3" w:rsidP="0067693D">
            <w:pPr>
              <w:pStyle w:val="TextTi9"/>
              <w:keepNext/>
              <w:keepLines/>
              <w:spacing w:after="120"/>
              <w:jc w:val="center"/>
              <w:rPr>
                <w:rFonts w:ascii="Times New Roman" w:hAnsi="Times New Roman"/>
                <w:sz w:val="22"/>
              </w:rPr>
            </w:pPr>
            <w:r w:rsidRPr="00707120">
              <w:rPr>
                <w:rFonts w:ascii="Times New Roman" w:hAnsi="Times New Roman"/>
                <w:sz w:val="22"/>
                <w:lang w:val="en-GB"/>
              </w:rPr>
              <w:t>29,4</w:t>
            </w:r>
            <w:ins w:id="1350" w:author="Author">
              <w:r w:rsidR="0050621C">
                <w:rPr>
                  <w:rFonts w:ascii="Times New Roman" w:hAnsi="Times New Roman"/>
                  <w:sz w:val="22"/>
                  <w:lang w:val="en-GB"/>
                </w:rPr>
                <w:t> </w:t>
              </w:r>
            </w:ins>
            <w:del w:id="1351" w:author="Author">
              <w:r w:rsidRPr="00707120" w:rsidDel="0050621C">
                <w:rPr>
                  <w:rFonts w:ascii="Times New Roman" w:hAnsi="Times New Roman"/>
                  <w:sz w:val="22"/>
                  <w:lang w:val="en-GB"/>
                </w:rPr>
                <w:delText xml:space="preserve"> </w:delText>
              </w:r>
            </w:del>
            <w:r w:rsidRPr="00707120">
              <w:rPr>
                <w:rFonts w:ascii="Times New Roman" w:hAnsi="Times New Roman"/>
                <w:sz w:val="22"/>
                <w:lang w:val="en-GB"/>
              </w:rPr>
              <w:t>±</w:t>
            </w:r>
            <w:ins w:id="1352" w:author="Author">
              <w:r w:rsidR="0050621C">
                <w:rPr>
                  <w:rFonts w:ascii="Times New Roman" w:hAnsi="Times New Roman"/>
                  <w:sz w:val="22"/>
                  <w:lang w:val="en-GB"/>
                </w:rPr>
                <w:t> </w:t>
              </w:r>
            </w:ins>
            <w:del w:id="1353" w:author="Author">
              <w:r w:rsidRPr="00707120" w:rsidDel="0050621C">
                <w:rPr>
                  <w:rFonts w:ascii="Times New Roman" w:hAnsi="Times New Roman"/>
                  <w:sz w:val="22"/>
                  <w:lang w:val="en-GB"/>
                </w:rPr>
                <w:delText xml:space="preserve"> </w:delText>
              </w:r>
            </w:del>
            <w:r w:rsidRPr="00707120">
              <w:rPr>
                <w:rFonts w:ascii="Times New Roman" w:hAnsi="Times New Roman"/>
                <w:sz w:val="22"/>
                <w:lang w:val="en-GB"/>
              </w:rPr>
              <w:t>13,5</w:t>
            </w:r>
          </w:p>
        </w:tc>
        <w:tc>
          <w:tcPr>
            <w:tcW w:w="2977" w:type="dxa"/>
            <w:tcBorders>
              <w:top w:val="single" w:sz="4" w:space="0" w:color="auto"/>
              <w:left w:val="single" w:sz="4" w:space="0" w:color="auto"/>
              <w:bottom w:val="single" w:sz="4" w:space="0" w:color="auto"/>
              <w:right w:val="single" w:sz="4" w:space="0" w:color="auto"/>
            </w:tcBorders>
            <w:hideMark/>
          </w:tcPr>
          <w:p w14:paraId="4B46BEAF" w14:textId="2EB756F9" w:rsidR="00A453C3" w:rsidRPr="00707120" w:rsidRDefault="00A453C3" w:rsidP="0067693D">
            <w:pPr>
              <w:pStyle w:val="TextTi9"/>
              <w:keepNext/>
              <w:keepLines/>
              <w:spacing w:after="120"/>
              <w:jc w:val="center"/>
              <w:rPr>
                <w:rFonts w:ascii="Times New Roman" w:hAnsi="Times New Roman"/>
                <w:sz w:val="22"/>
              </w:rPr>
            </w:pPr>
            <w:r w:rsidRPr="00707120">
              <w:rPr>
                <w:rFonts w:ascii="Times New Roman" w:hAnsi="Times New Roman"/>
                <w:sz w:val="22"/>
                <w:lang w:val="en-GB"/>
              </w:rPr>
              <w:t>75,5</w:t>
            </w:r>
            <w:ins w:id="1354" w:author="Author">
              <w:r w:rsidR="0050621C">
                <w:rPr>
                  <w:rFonts w:ascii="Times New Roman" w:hAnsi="Times New Roman"/>
                  <w:sz w:val="22"/>
                  <w:lang w:val="en-GB"/>
                </w:rPr>
                <w:t> </w:t>
              </w:r>
            </w:ins>
            <w:del w:id="1355" w:author="Author">
              <w:r w:rsidRPr="00707120" w:rsidDel="0050621C">
                <w:rPr>
                  <w:rFonts w:ascii="Times New Roman" w:hAnsi="Times New Roman"/>
                  <w:sz w:val="22"/>
                  <w:lang w:val="en-GB"/>
                </w:rPr>
                <w:delText xml:space="preserve"> </w:delText>
              </w:r>
            </w:del>
            <w:r w:rsidRPr="00707120">
              <w:rPr>
                <w:rFonts w:ascii="Times New Roman" w:hAnsi="Times New Roman"/>
                <w:sz w:val="22"/>
                <w:lang w:val="en-GB"/>
              </w:rPr>
              <w:t>±</w:t>
            </w:r>
            <w:ins w:id="1356" w:author="Author">
              <w:r w:rsidR="0050621C">
                <w:rPr>
                  <w:rFonts w:ascii="Times New Roman" w:hAnsi="Times New Roman"/>
                  <w:sz w:val="22"/>
                  <w:lang w:val="en-GB"/>
                </w:rPr>
                <w:t> </w:t>
              </w:r>
            </w:ins>
            <w:del w:id="1357" w:author="Author">
              <w:r w:rsidRPr="00707120" w:rsidDel="0050621C">
                <w:rPr>
                  <w:rFonts w:ascii="Times New Roman" w:hAnsi="Times New Roman"/>
                  <w:sz w:val="22"/>
                  <w:lang w:val="en-GB"/>
                </w:rPr>
                <w:delText xml:space="preserve"> </w:delText>
              </w:r>
            </w:del>
            <w:r w:rsidRPr="00707120">
              <w:rPr>
                <w:rFonts w:ascii="Times New Roman" w:hAnsi="Times New Roman"/>
                <w:sz w:val="22"/>
                <w:lang w:val="en-GB"/>
              </w:rPr>
              <w:t>24,1</w:t>
            </w:r>
          </w:p>
        </w:tc>
      </w:tr>
      <w:tr w:rsidR="00A453C3" w:rsidRPr="0049044B" w14:paraId="1695E05E" w14:textId="77777777" w:rsidTr="00707120">
        <w:trPr>
          <w:cantSplit/>
          <w:trHeight w:val="195"/>
        </w:trPr>
        <w:tc>
          <w:tcPr>
            <w:tcW w:w="3397" w:type="dxa"/>
            <w:tcBorders>
              <w:top w:val="single" w:sz="4" w:space="0" w:color="auto"/>
              <w:left w:val="single" w:sz="4" w:space="0" w:color="auto"/>
              <w:bottom w:val="single" w:sz="4" w:space="0" w:color="auto"/>
              <w:right w:val="single" w:sz="4" w:space="0" w:color="auto"/>
            </w:tcBorders>
            <w:hideMark/>
          </w:tcPr>
          <w:p w14:paraId="5A4E1C0F" w14:textId="77777777" w:rsidR="00A453C3" w:rsidRPr="00707120" w:rsidRDefault="00A453C3" w:rsidP="0067693D">
            <w:pPr>
              <w:pStyle w:val="TextTi9"/>
              <w:keepNext/>
              <w:keepLines/>
              <w:spacing w:after="120"/>
              <w:rPr>
                <w:rFonts w:ascii="Times New Roman" w:hAnsi="Times New Roman"/>
                <w:sz w:val="22"/>
              </w:rPr>
            </w:pPr>
            <w:r w:rsidRPr="00707120">
              <w:rPr>
                <w:rFonts w:ascii="Times New Roman" w:hAnsi="Times New Roman"/>
                <w:sz w:val="22"/>
              </w:rPr>
              <w:t>C</w:t>
            </w:r>
            <w:r w:rsidRPr="00707120">
              <w:rPr>
                <w:rFonts w:ascii="Times New Roman" w:hAnsi="Times New Roman"/>
                <w:sz w:val="22"/>
                <w:vertAlign w:val="subscript"/>
              </w:rPr>
              <w:t>min</w:t>
            </w:r>
            <w:r w:rsidRPr="00707120">
              <w:rPr>
                <w:rFonts w:ascii="Times New Roman" w:hAnsi="Times New Roman"/>
                <w:sz w:val="22"/>
              </w:rPr>
              <w:t xml:space="preserve"> (µg/ml)</w:t>
            </w:r>
          </w:p>
        </w:tc>
        <w:tc>
          <w:tcPr>
            <w:tcW w:w="2523" w:type="dxa"/>
            <w:tcBorders>
              <w:top w:val="single" w:sz="4" w:space="0" w:color="auto"/>
              <w:left w:val="single" w:sz="4" w:space="0" w:color="auto"/>
              <w:bottom w:val="single" w:sz="4" w:space="0" w:color="auto"/>
              <w:right w:val="single" w:sz="4" w:space="0" w:color="auto"/>
            </w:tcBorders>
            <w:hideMark/>
          </w:tcPr>
          <w:p w14:paraId="01975F11" w14:textId="5D2D6D5F" w:rsidR="00A453C3" w:rsidRPr="00707120" w:rsidRDefault="00A453C3" w:rsidP="0067693D">
            <w:pPr>
              <w:pStyle w:val="TextTi9"/>
              <w:keepNext/>
              <w:keepLines/>
              <w:spacing w:after="120"/>
              <w:jc w:val="center"/>
              <w:rPr>
                <w:rFonts w:ascii="Times New Roman" w:hAnsi="Times New Roman"/>
                <w:sz w:val="22"/>
              </w:rPr>
            </w:pPr>
            <w:r w:rsidRPr="00707120">
              <w:rPr>
                <w:rFonts w:ascii="Times New Roman" w:hAnsi="Times New Roman"/>
                <w:sz w:val="22"/>
                <w:lang w:val="en-GB"/>
              </w:rPr>
              <w:t>11,8</w:t>
            </w:r>
            <w:ins w:id="1358" w:author="Author">
              <w:r w:rsidR="0050621C">
                <w:rPr>
                  <w:rFonts w:ascii="Times New Roman" w:hAnsi="Times New Roman"/>
                  <w:sz w:val="22"/>
                  <w:lang w:val="en-GB"/>
                </w:rPr>
                <w:t> </w:t>
              </w:r>
            </w:ins>
            <w:del w:id="1359" w:author="Author">
              <w:r w:rsidRPr="00707120" w:rsidDel="0050621C">
                <w:rPr>
                  <w:rFonts w:ascii="Times New Roman" w:hAnsi="Times New Roman"/>
                  <w:sz w:val="22"/>
                  <w:lang w:val="en-GB"/>
                </w:rPr>
                <w:delText xml:space="preserve"> </w:delText>
              </w:r>
            </w:del>
            <w:r w:rsidRPr="00707120">
              <w:rPr>
                <w:rFonts w:ascii="Times New Roman" w:hAnsi="Times New Roman"/>
                <w:sz w:val="22"/>
                <w:lang w:val="en-GB"/>
              </w:rPr>
              <w:t>±</w:t>
            </w:r>
            <w:ins w:id="1360" w:author="Author">
              <w:r w:rsidR="0050621C">
                <w:rPr>
                  <w:rFonts w:ascii="Times New Roman" w:hAnsi="Times New Roman"/>
                  <w:sz w:val="22"/>
                  <w:lang w:val="en-GB"/>
                </w:rPr>
                <w:t> </w:t>
              </w:r>
            </w:ins>
            <w:del w:id="1361" w:author="Author">
              <w:r w:rsidRPr="00707120" w:rsidDel="0050621C">
                <w:rPr>
                  <w:rFonts w:ascii="Times New Roman" w:hAnsi="Times New Roman"/>
                  <w:sz w:val="22"/>
                  <w:lang w:val="en-GB"/>
                </w:rPr>
                <w:delText xml:space="preserve"> </w:delText>
              </w:r>
            </w:del>
            <w:r w:rsidRPr="00707120">
              <w:rPr>
                <w:rFonts w:ascii="Times New Roman" w:hAnsi="Times New Roman"/>
                <w:sz w:val="22"/>
                <w:lang w:val="en-GB"/>
              </w:rPr>
              <w:t>7,08</w:t>
            </w:r>
          </w:p>
        </w:tc>
        <w:tc>
          <w:tcPr>
            <w:tcW w:w="2977" w:type="dxa"/>
            <w:tcBorders>
              <w:top w:val="single" w:sz="4" w:space="0" w:color="auto"/>
              <w:left w:val="single" w:sz="4" w:space="0" w:color="auto"/>
              <w:bottom w:val="single" w:sz="4" w:space="0" w:color="auto"/>
              <w:right w:val="single" w:sz="4" w:space="0" w:color="auto"/>
            </w:tcBorders>
            <w:hideMark/>
          </w:tcPr>
          <w:p w14:paraId="2726CD12" w14:textId="5C65D8C9" w:rsidR="00A453C3" w:rsidRPr="00707120" w:rsidRDefault="00A453C3" w:rsidP="0067693D">
            <w:pPr>
              <w:pStyle w:val="TextTi9"/>
              <w:keepNext/>
              <w:keepLines/>
              <w:spacing w:after="120"/>
              <w:jc w:val="center"/>
              <w:rPr>
                <w:rFonts w:ascii="Times New Roman" w:hAnsi="Times New Roman"/>
                <w:sz w:val="22"/>
              </w:rPr>
            </w:pPr>
            <w:r w:rsidRPr="00707120">
              <w:rPr>
                <w:rFonts w:ascii="Times New Roman" w:hAnsi="Times New Roman"/>
                <w:sz w:val="22"/>
                <w:lang w:val="en-GB"/>
              </w:rPr>
              <w:t>18,4</w:t>
            </w:r>
            <w:ins w:id="1362" w:author="Author">
              <w:r w:rsidR="0050621C">
                <w:rPr>
                  <w:rFonts w:ascii="Times New Roman" w:hAnsi="Times New Roman"/>
                  <w:sz w:val="22"/>
                  <w:lang w:val="en-GB"/>
                </w:rPr>
                <w:t> </w:t>
              </w:r>
            </w:ins>
            <w:del w:id="1363" w:author="Author">
              <w:r w:rsidRPr="00707120" w:rsidDel="0050621C">
                <w:rPr>
                  <w:rFonts w:ascii="Times New Roman" w:hAnsi="Times New Roman"/>
                  <w:sz w:val="22"/>
                  <w:lang w:val="en-GB"/>
                </w:rPr>
                <w:delText xml:space="preserve"> </w:delText>
              </w:r>
            </w:del>
            <w:r w:rsidRPr="00707120">
              <w:rPr>
                <w:rFonts w:ascii="Times New Roman" w:hAnsi="Times New Roman"/>
                <w:sz w:val="22"/>
                <w:lang w:val="en-GB"/>
              </w:rPr>
              <w:t>±</w:t>
            </w:r>
            <w:ins w:id="1364" w:author="Author">
              <w:r w:rsidR="0050621C">
                <w:rPr>
                  <w:rFonts w:ascii="Times New Roman" w:hAnsi="Times New Roman"/>
                  <w:sz w:val="22"/>
                  <w:lang w:val="en-GB"/>
                </w:rPr>
                <w:t> </w:t>
              </w:r>
            </w:ins>
            <w:del w:id="1365" w:author="Author">
              <w:r w:rsidRPr="00707120" w:rsidDel="0050621C">
                <w:rPr>
                  <w:rFonts w:ascii="Times New Roman" w:hAnsi="Times New Roman"/>
                  <w:sz w:val="22"/>
                  <w:lang w:val="en-GB"/>
                </w:rPr>
                <w:delText xml:space="preserve"> </w:delText>
              </w:r>
            </w:del>
            <w:r w:rsidRPr="00707120">
              <w:rPr>
                <w:rFonts w:ascii="Times New Roman" w:hAnsi="Times New Roman"/>
                <w:sz w:val="22"/>
                <w:lang w:val="en-GB"/>
              </w:rPr>
              <w:t>12,9</w:t>
            </w:r>
          </w:p>
        </w:tc>
      </w:tr>
      <w:tr w:rsidR="00A453C3" w:rsidRPr="0049044B" w14:paraId="517B38C4" w14:textId="77777777" w:rsidTr="00707120">
        <w:trPr>
          <w:cantSplit/>
          <w:trHeight w:val="324"/>
        </w:trPr>
        <w:tc>
          <w:tcPr>
            <w:tcW w:w="3397" w:type="dxa"/>
            <w:tcBorders>
              <w:top w:val="single" w:sz="4" w:space="0" w:color="auto"/>
              <w:left w:val="single" w:sz="4" w:space="0" w:color="auto"/>
              <w:bottom w:val="single" w:sz="4" w:space="0" w:color="auto"/>
              <w:right w:val="single" w:sz="4" w:space="0" w:color="auto"/>
            </w:tcBorders>
            <w:hideMark/>
          </w:tcPr>
          <w:p w14:paraId="0ECD374D" w14:textId="77777777" w:rsidR="00A453C3" w:rsidRPr="00707120" w:rsidRDefault="00A453C3" w:rsidP="0067693D">
            <w:pPr>
              <w:pStyle w:val="TextTi9"/>
              <w:keepNext/>
              <w:keepLines/>
              <w:spacing w:after="120"/>
              <w:rPr>
                <w:rFonts w:ascii="Times New Roman" w:hAnsi="Times New Roman"/>
                <w:sz w:val="22"/>
              </w:rPr>
            </w:pPr>
            <w:r w:rsidRPr="00707120">
              <w:rPr>
                <w:rFonts w:ascii="Times New Roman" w:hAnsi="Times New Roman"/>
                <w:sz w:val="22"/>
              </w:rPr>
              <w:t>C</w:t>
            </w:r>
            <w:r w:rsidRPr="00707120">
              <w:rPr>
                <w:rFonts w:ascii="Times New Roman" w:hAnsi="Times New Roman"/>
                <w:sz w:val="22"/>
                <w:vertAlign w:val="subscript"/>
              </w:rPr>
              <w:t>vid</w:t>
            </w:r>
            <w:r w:rsidRPr="00707120">
              <w:rPr>
                <w:rFonts w:ascii="Times New Roman" w:hAnsi="Times New Roman"/>
                <w:sz w:val="22"/>
              </w:rPr>
              <w:t xml:space="preserve"> (µg/ml)</w:t>
            </w:r>
          </w:p>
        </w:tc>
        <w:tc>
          <w:tcPr>
            <w:tcW w:w="2523" w:type="dxa"/>
            <w:tcBorders>
              <w:top w:val="single" w:sz="4" w:space="0" w:color="auto"/>
              <w:left w:val="single" w:sz="4" w:space="0" w:color="auto"/>
              <w:bottom w:val="single" w:sz="4" w:space="0" w:color="auto"/>
              <w:right w:val="single" w:sz="4" w:space="0" w:color="auto"/>
            </w:tcBorders>
            <w:hideMark/>
          </w:tcPr>
          <w:p w14:paraId="71CF4931" w14:textId="14454AA9" w:rsidR="00A453C3" w:rsidRPr="00707120" w:rsidRDefault="00A453C3" w:rsidP="0067693D">
            <w:pPr>
              <w:pStyle w:val="TextTi9"/>
              <w:keepNext/>
              <w:keepLines/>
              <w:spacing w:after="120"/>
              <w:jc w:val="center"/>
              <w:rPr>
                <w:rFonts w:ascii="Times New Roman" w:hAnsi="Times New Roman"/>
                <w:sz w:val="22"/>
              </w:rPr>
            </w:pPr>
            <w:r w:rsidRPr="00707120">
              <w:rPr>
                <w:rFonts w:ascii="Times New Roman" w:hAnsi="Times New Roman"/>
                <w:sz w:val="22"/>
                <w:lang w:val="en-GB"/>
              </w:rPr>
              <w:t>21,7</w:t>
            </w:r>
            <w:ins w:id="1366" w:author="Author">
              <w:r w:rsidR="0050621C">
                <w:rPr>
                  <w:rFonts w:ascii="Times New Roman" w:hAnsi="Times New Roman"/>
                  <w:sz w:val="22"/>
                  <w:lang w:val="en-GB"/>
                </w:rPr>
                <w:t> </w:t>
              </w:r>
            </w:ins>
            <w:del w:id="1367" w:author="Author">
              <w:r w:rsidRPr="00707120" w:rsidDel="0050621C">
                <w:rPr>
                  <w:rFonts w:ascii="Times New Roman" w:hAnsi="Times New Roman"/>
                  <w:sz w:val="22"/>
                  <w:lang w:val="en-GB"/>
                </w:rPr>
                <w:delText xml:space="preserve"> </w:delText>
              </w:r>
            </w:del>
            <w:r w:rsidRPr="00707120">
              <w:rPr>
                <w:rFonts w:ascii="Times New Roman" w:hAnsi="Times New Roman"/>
                <w:sz w:val="22"/>
                <w:lang w:val="en-GB"/>
              </w:rPr>
              <w:t>±</w:t>
            </w:r>
            <w:ins w:id="1368" w:author="Author">
              <w:r w:rsidR="0050621C">
                <w:rPr>
                  <w:rFonts w:ascii="Times New Roman" w:hAnsi="Times New Roman"/>
                  <w:sz w:val="22"/>
                  <w:lang w:val="en-GB"/>
                </w:rPr>
                <w:t> </w:t>
              </w:r>
            </w:ins>
            <w:del w:id="1369" w:author="Author">
              <w:r w:rsidRPr="00707120" w:rsidDel="0050621C">
                <w:rPr>
                  <w:rFonts w:ascii="Times New Roman" w:hAnsi="Times New Roman"/>
                  <w:sz w:val="22"/>
                  <w:lang w:val="en-GB"/>
                </w:rPr>
                <w:delText xml:space="preserve"> </w:delText>
              </w:r>
            </w:del>
            <w:r w:rsidRPr="00707120">
              <w:rPr>
                <w:rFonts w:ascii="Times New Roman" w:hAnsi="Times New Roman"/>
                <w:sz w:val="22"/>
                <w:lang w:val="en-GB"/>
              </w:rPr>
              <w:t>10,4</w:t>
            </w:r>
          </w:p>
        </w:tc>
        <w:tc>
          <w:tcPr>
            <w:tcW w:w="2977" w:type="dxa"/>
            <w:tcBorders>
              <w:top w:val="single" w:sz="4" w:space="0" w:color="auto"/>
              <w:left w:val="single" w:sz="4" w:space="0" w:color="auto"/>
              <w:bottom w:val="single" w:sz="4" w:space="0" w:color="auto"/>
              <w:right w:val="single" w:sz="4" w:space="0" w:color="auto"/>
            </w:tcBorders>
            <w:hideMark/>
          </w:tcPr>
          <w:p w14:paraId="3837D88C" w14:textId="47531FF1" w:rsidR="00A453C3" w:rsidRPr="00707120" w:rsidRDefault="00A453C3" w:rsidP="0067693D">
            <w:pPr>
              <w:pStyle w:val="TextTi9"/>
              <w:keepNext/>
              <w:keepLines/>
              <w:spacing w:after="120"/>
              <w:jc w:val="center"/>
              <w:rPr>
                <w:rFonts w:ascii="Times New Roman" w:hAnsi="Times New Roman"/>
                <w:sz w:val="22"/>
              </w:rPr>
            </w:pPr>
            <w:r w:rsidRPr="00707120">
              <w:rPr>
                <w:rFonts w:ascii="Times New Roman" w:hAnsi="Times New Roman"/>
                <w:sz w:val="22"/>
                <w:lang w:val="en-GB"/>
              </w:rPr>
              <w:t>45,5</w:t>
            </w:r>
            <w:ins w:id="1370" w:author="Author">
              <w:r w:rsidR="0050621C">
                <w:rPr>
                  <w:rFonts w:ascii="Times New Roman" w:hAnsi="Times New Roman"/>
                  <w:sz w:val="22"/>
                  <w:lang w:val="en-GB"/>
                </w:rPr>
                <w:t> </w:t>
              </w:r>
            </w:ins>
            <w:del w:id="1371" w:author="Author">
              <w:r w:rsidRPr="00707120" w:rsidDel="0050621C">
                <w:rPr>
                  <w:rFonts w:ascii="Times New Roman" w:hAnsi="Times New Roman"/>
                  <w:sz w:val="22"/>
                  <w:lang w:val="en-GB"/>
                </w:rPr>
                <w:delText xml:space="preserve"> </w:delText>
              </w:r>
            </w:del>
            <w:r w:rsidRPr="00707120">
              <w:rPr>
                <w:rFonts w:ascii="Times New Roman" w:hAnsi="Times New Roman"/>
                <w:sz w:val="22"/>
                <w:lang w:val="en-GB"/>
              </w:rPr>
              <w:t>±</w:t>
            </w:r>
            <w:ins w:id="1372" w:author="Author">
              <w:r w:rsidR="0050621C">
                <w:rPr>
                  <w:rFonts w:ascii="Times New Roman" w:hAnsi="Times New Roman"/>
                  <w:sz w:val="22"/>
                  <w:lang w:val="en-GB"/>
                </w:rPr>
                <w:t> </w:t>
              </w:r>
            </w:ins>
            <w:del w:id="1373" w:author="Author">
              <w:r w:rsidRPr="00707120" w:rsidDel="0050621C">
                <w:rPr>
                  <w:rFonts w:ascii="Times New Roman" w:hAnsi="Times New Roman"/>
                  <w:sz w:val="22"/>
                  <w:lang w:val="en-GB"/>
                </w:rPr>
                <w:delText xml:space="preserve"> </w:delText>
              </w:r>
            </w:del>
            <w:r w:rsidRPr="00707120">
              <w:rPr>
                <w:rFonts w:ascii="Times New Roman" w:hAnsi="Times New Roman"/>
                <w:sz w:val="22"/>
                <w:lang w:val="en-GB"/>
              </w:rPr>
              <w:t>19,8</w:t>
            </w:r>
          </w:p>
        </w:tc>
      </w:tr>
      <w:tr w:rsidR="00A453C3" w:rsidRPr="0049044B" w14:paraId="169D09A1" w14:textId="77777777" w:rsidTr="00707120">
        <w:trPr>
          <w:cantSplit/>
          <w:trHeight w:val="324"/>
        </w:trPr>
        <w:tc>
          <w:tcPr>
            <w:tcW w:w="3397" w:type="dxa"/>
            <w:tcBorders>
              <w:top w:val="single" w:sz="4" w:space="0" w:color="auto"/>
              <w:left w:val="single" w:sz="4" w:space="0" w:color="auto"/>
              <w:bottom w:val="single" w:sz="4" w:space="0" w:color="auto"/>
              <w:right w:val="single" w:sz="4" w:space="0" w:color="auto"/>
            </w:tcBorders>
            <w:hideMark/>
          </w:tcPr>
          <w:p w14:paraId="7F3DA319" w14:textId="77777777" w:rsidR="00A453C3" w:rsidRPr="00707120" w:rsidRDefault="00A453C3" w:rsidP="0067693D">
            <w:pPr>
              <w:pStyle w:val="TextTi9"/>
              <w:keepNext/>
              <w:keepLines/>
              <w:spacing w:after="120"/>
              <w:rPr>
                <w:rFonts w:ascii="Times New Roman" w:hAnsi="Times New Roman"/>
                <w:sz w:val="22"/>
              </w:rPr>
            </w:pPr>
            <w:r w:rsidRPr="00707120">
              <w:rPr>
                <w:rFonts w:ascii="Times New Roman" w:hAnsi="Times New Roman"/>
                <w:sz w:val="22"/>
              </w:rPr>
              <w:t>Akumulācija, C</w:t>
            </w:r>
            <w:r w:rsidRPr="00707120">
              <w:rPr>
                <w:rFonts w:ascii="Times New Roman" w:hAnsi="Times New Roman"/>
                <w:sz w:val="22"/>
                <w:vertAlign w:val="subscript"/>
              </w:rPr>
              <w:t>max</w:t>
            </w:r>
          </w:p>
        </w:tc>
        <w:tc>
          <w:tcPr>
            <w:tcW w:w="2523" w:type="dxa"/>
            <w:tcBorders>
              <w:top w:val="single" w:sz="4" w:space="0" w:color="auto"/>
              <w:left w:val="single" w:sz="4" w:space="0" w:color="auto"/>
              <w:bottom w:val="single" w:sz="4" w:space="0" w:color="auto"/>
              <w:right w:val="single" w:sz="4" w:space="0" w:color="auto"/>
            </w:tcBorders>
            <w:hideMark/>
          </w:tcPr>
          <w:p w14:paraId="7AA6E57F" w14:textId="77777777" w:rsidR="00A453C3" w:rsidRPr="00707120" w:rsidRDefault="00A453C3" w:rsidP="0067693D">
            <w:pPr>
              <w:pStyle w:val="TextTi9"/>
              <w:keepNext/>
              <w:keepLines/>
              <w:spacing w:after="120"/>
              <w:jc w:val="center"/>
              <w:rPr>
                <w:rFonts w:ascii="Times New Roman" w:hAnsi="Times New Roman"/>
                <w:sz w:val="22"/>
              </w:rPr>
            </w:pPr>
            <w:r w:rsidRPr="00707120">
              <w:rPr>
                <w:rFonts w:ascii="Times New Roman" w:hAnsi="Times New Roman"/>
                <w:sz w:val="22"/>
              </w:rPr>
              <w:t>1,72</w:t>
            </w:r>
          </w:p>
        </w:tc>
        <w:tc>
          <w:tcPr>
            <w:tcW w:w="2977" w:type="dxa"/>
            <w:tcBorders>
              <w:top w:val="single" w:sz="4" w:space="0" w:color="auto"/>
              <w:left w:val="single" w:sz="4" w:space="0" w:color="auto"/>
              <w:bottom w:val="single" w:sz="4" w:space="0" w:color="auto"/>
              <w:right w:val="single" w:sz="4" w:space="0" w:color="auto"/>
            </w:tcBorders>
            <w:hideMark/>
          </w:tcPr>
          <w:p w14:paraId="6FBF3D3C" w14:textId="77777777" w:rsidR="00A453C3" w:rsidRPr="00707120" w:rsidRDefault="00A453C3" w:rsidP="0067693D">
            <w:pPr>
              <w:pStyle w:val="TextTi9"/>
              <w:keepNext/>
              <w:keepLines/>
              <w:spacing w:after="120"/>
              <w:jc w:val="center"/>
              <w:rPr>
                <w:rFonts w:ascii="Times New Roman" w:hAnsi="Times New Roman"/>
                <w:sz w:val="22"/>
              </w:rPr>
            </w:pPr>
            <w:r w:rsidRPr="00707120">
              <w:rPr>
                <w:rFonts w:ascii="Times New Roman" w:hAnsi="Times New Roman"/>
                <w:sz w:val="22"/>
              </w:rPr>
              <w:t>1,32</w:t>
            </w:r>
          </w:p>
        </w:tc>
      </w:tr>
      <w:tr w:rsidR="00A453C3" w:rsidRPr="0049044B" w14:paraId="0E54AD42" w14:textId="77777777" w:rsidTr="00707120">
        <w:trPr>
          <w:cantSplit/>
          <w:trHeight w:val="331"/>
        </w:trPr>
        <w:tc>
          <w:tcPr>
            <w:tcW w:w="3397" w:type="dxa"/>
            <w:tcBorders>
              <w:top w:val="single" w:sz="4" w:space="0" w:color="auto"/>
              <w:left w:val="single" w:sz="4" w:space="0" w:color="auto"/>
              <w:bottom w:val="single" w:sz="4" w:space="0" w:color="auto"/>
              <w:right w:val="single" w:sz="4" w:space="0" w:color="auto"/>
            </w:tcBorders>
            <w:hideMark/>
          </w:tcPr>
          <w:p w14:paraId="21872F72" w14:textId="77777777" w:rsidR="00A453C3" w:rsidRPr="00707120" w:rsidRDefault="00A453C3" w:rsidP="0067693D">
            <w:pPr>
              <w:pStyle w:val="TextTi9"/>
              <w:keepNext/>
              <w:keepLines/>
              <w:spacing w:after="120"/>
              <w:rPr>
                <w:rFonts w:ascii="Times New Roman" w:hAnsi="Times New Roman"/>
                <w:sz w:val="22"/>
              </w:rPr>
            </w:pPr>
            <w:r w:rsidRPr="00707120">
              <w:rPr>
                <w:rFonts w:ascii="Times New Roman" w:hAnsi="Times New Roman"/>
                <w:sz w:val="22"/>
              </w:rPr>
              <w:t>Akumulācija, C</w:t>
            </w:r>
            <w:r w:rsidRPr="00707120">
              <w:rPr>
                <w:rFonts w:ascii="Times New Roman" w:hAnsi="Times New Roman"/>
                <w:sz w:val="22"/>
                <w:vertAlign w:val="subscript"/>
              </w:rPr>
              <w:t>min.</w:t>
            </w:r>
          </w:p>
        </w:tc>
        <w:tc>
          <w:tcPr>
            <w:tcW w:w="2523" w:type="dxa"/>
            <w:tcBorders>
              <w:top w:val="single" w:sz="4" w:space="0" w:color="auto"/>
              <w:left w:val="single" w:sz="4" w:space="0" w:color="auto"/>
              <w:bottom w:val="single" w:sz="4" w:space="0" w:color="auto"/>
              <w:right w:val="single" w:sz="4" w:space="0" w:color="auto"/>
            </w:tcBorders>
            <w:hideMark/>
          </w:tcPr>
          <w:p w14:paraId="5A33E69A" w14:textId="77777777" w:rsidR="00A453C3" w:rsidRPr="00707120" w:rsidRDefault="00A453C3" w:rsidP="0067693D">
            <w:pPr>
              <w:pStyle w:val="TextTi9"/>
              <w:keepNext/>
              <w:keepLines/>
              <w:spacing w:after="120"/>
              <w:jc w:val="center"/>
              <w:rPr>
                <w:rFonts w:ascii="Times New Roman" w:hAnsi="Times New Roman"/>
                <w:sz w:val="22"/>
              </w:rPr>
            </w:pPr>
            <w:r w:rsidRPr="00707120">
              <w:rPr>
                <w:rFonts w:ascii="Times New Roman" w:hAnsi="Times New Roman"/>
                <w:sz w:val="22"/>
              </w:rPr>
              <w:t>3,58</w:t>
            </w:r>
          </w:p>
        </w:tc>
        <w:tc>
          <w:tcPr>
            <w:tcW w:w="2977" w:type="dxa"/>
            <w:tcBorders>
              <w:top w:val="single" w:sz="4" w:space="0" w:color="auto"/>
              <w:left w:val="single" w:sz="4" w:space="0" w:color="auto"/>
              <w:bottom w:val="single" w:sz="4" w:space="0" w:color="auto"/>
              <w:right w:val="single" w:sz="4" w:space="0" w:color="auto"/>
            </w:tcBorders>
            <w:hideMark/>
          </w:tcPr>
          <w:p w14:paraId="14229902" w14:textId="77777777" w:rsidR="00A453C3" w:rsidRPr="00707120" w:rsidRDefault="00A453C3" w:rsidP="0067693D">
            <w:pPr>
              <w:pStyle w:val="TextTi9"/>
              <w:keepNext/>
              <w:keepLines/>
              <w:spacing w:after="120"/>
              <w:jc w:val="center"/>
              <w:rPr>
                <w:rFonts w:ascii="Times New Roman" w:hAnsi="Times New Roman"/>
                <w:sz w:val="22"/>
              </w:rPr>
            </w:pPr>
            <w:r w:rsidRPr="00707120">
              <w:rPr>
                <w:rFonts w:ascii="Times New Roman" w:hAnsi="Times New Roman"/>
                <w:sz w:val="22"/>
              </w:rPr>
              <w:t>2,08</w:t>
            </w:r>
          </w:p>
        </w:tc>
      </w:tr>
      <w:tr w:rsidR="00A453C3" w:rsidRPr="0049044B" w14:paraId="4B981799" w14:textId="77777777" w:rsidTr="00707120">
        <w:trPr>
          <w:cantSplit/>
          <w:trHeight w:val="331"/>
        </w:trPr>
        <w:tc>
          <w:tcPr>
            <w:tcW w:w="3397" w:type="dxa"/>
            <w:tcBorders>
              <w:top w:val="single" w:sz="4" w:space="0" w:color="auto"/>
              <w:left w:val="single" w:sz="4" w:space="0" w:color="auto"/>
              <w:bottom w:val="single" w:sz="4" w:space="0" w:color="auto"/>
              <w:right w:val="single" w:sz="4" w:space="0" w:color="auto"/>
            </w:tcBorders>
            <w:hideMark/>
          </w:tcPr>
          <w:p w14:paraId="6187740C" w14:textId="77777777" w:rsidR="00A453C3" w:rsidRPr="00707120" w:rsidRDefault="00A453C3" w:rsidP="0067693D">
            <w:pPr>
              <w:pStyle w:val="TextTi9"/>
              <w:keepNext/>
              <w:keepLines/>
              <w:spacing w:after="120"/>
              <w:rPr>
                <w:rFonts w:ascii="Times New Roman" w:hAnsi="Times New Roman"/>
                <w:sz w:val="22"/>
              </w:rPr>
            </w:pPr>
            <w:r w:rsidRPr="00707120">
              <w:rPr>
                <w:rFonts w:ascii="Times New Roman" w:hAnsi="Times New Roman"/>
                <w:sz w:val="22"/>
              </w:rPr>
              <w:t>Akumulācija, C</w:t>
            </w:r>
            <w:r w:rsidRPr="00707120">
              <w:rPr>
                <w:rFonts w:ascii="Times New Roman" w:hAnsi="Times New Roman"/>
                <w:sz w:val="22"/>
                <w:vertAlign w:val="subscript"/>
              </w:rPr>
              <w:t>vid.</w:t>
            </w:r>
            <w:r w:rsidRPr="00707120">
              <w:rPr>
                <w:rFonts w:ascii="Times New Roman" w:hAnsi="Times New Roman"/>
                <w:sz w:val="22"/>
              </w:rPr>
              <w:t xml:space="preserve"> vai AUC</w:t>
            </w:r>
            <w:r w:rsidRPr="00707120">
              <w:rPr>
                <w:rFonts w:ascii="Times New Roman" w:hAnsi="Times New Roman"/>
                <w:sz w:val="22"/>
                <w:vertAlign w:val="subscript"/>
              </w:rPr>
              <w:t>τ</w:t>
            </w:r>
            <w:r w:rsidRPr="00707120">
              <w:rPr>
                <w:rFonts w:ascii="Times New Roman" w:hAnsi="Times New Roman"/>
                <w:sz w:val="22"/>
              </w:rPr>
              <w:t>*</w:t>
            </w:r>
          </w:p>
        </w:tc>
        <w:tc>
          <w:tcPr>
            <w:tcW w:w="2523" w:type="dxa"/>
            <w:tcBorders>
              <w:top w:val="single" w:sz="4" w:space="0" w:color="auto"/>
              <w:left w:val="single" w:sz="4" w:space="0" w:color="auto"/>
              <w:bottom w:val="single" w:sz="4" w:space="0" w:color="auto"/>
              <w:right w:val="single" w:sz="4" w:space="0" w:color="auto"/>
            </w:tcBorders>
            <w:hideMark/>
          </w:tcPr>
          <w:p w14:paraId="247BDD9B" w14:textId="77777777" w:rsidR="00A453C3" w:rsidRPr="00707120" w:rsidRDefault="00A453C3" w:rsidP="0067693D">
            <w:pPr>
              <w:pStyle w:val="TextTi9"/>
              <w:keepNext/>
              <w:keepLines/>
              <w:spacing w:after="120"/>
              <w:jc w:val="center"/>
              <w:rPr>
                <w:rFonts w:ascii="Times New Roman" w:hAnsi="Times New Roman"/>
                <w:sz w:val="22"/>
                <w:lang w:val="en-GB"/>
              </w:rPr>
            </w:pPr>
            <w:r w:rsidRPr="00707120">
              <w:rPr>
                <w:rFonts w:ascii="Times New Roman" w:hAnsi="Times New Roman"/>
                <w:sz w:val="22"/>
                <w:lang w:val="en-GB"/>
              </w:rPr>
              <w:t>2,04</w:t>
            </w:r>
          </w:p>
        </w:tc>
        <w:tc>
          <w:tcPr>
            <w:tcW w:w="2977" w:type="dxa"/>
            <w:tcBorders>
              <w:top w:val="single" w:sz="4" w:space="0" w:color="auto"/>
              <w:left w:val="single" w:sz="4" w:space="0" w:color="auto"/>
              <w:bottom w:val="single" w:sz="4" w:space="0" w:color="auto"/>
              <w:right w:val="single" w:sz="4" w:space="0" w:color="auto"/>
            </w:tcBorders>
            <w:hideMark/>
          </w:tcPr>
          <w:p w14:paraId="3EF156B4" w14:textId="77777777" w:rsidR="00A453C3" w:rsidRPr="00707120" w:rsidRDefault="00A453C3" w:rsidP="0067693D">
            <w:pPr>
              <w:pStyle w:val="TextTi9"/>
              <w:keepNext/>
              <w:keepLines/>
              <w:spacing w:after="120"/>
              <w:jc w:val="center"/>
              <w:rPr>
                <w:rFonts w:ascii="Times New Roman" w:hAnsi="Times New Roman"/>
                <w:sz w:val="22"/>
                <w:lang w:val="en-GB"/>
              </w:rPr>
            </w:pPr>
            <w:r w:rsidRPr="00707120">
              <w:rPr>
                <w:rFonts w:ascii="Times New Roman" w:hAnsi="Times New Roman"/>
                <w:sz w:val="22"/>
                <w:lang w:val="en-GB"/>
              </w:rPr>
              <w:t>1,46</w:t>
            </w:r>
          </w:p>
        </w:tc>
      </w:tr>
    </w:tbl>
    <w:p w14:paraId="24CE2B1D" w14:textId="54A72F21" w:rsidR="00A453C3" w:rsidRPr="002804CB" w:rsidRDefault="00A453C3" w:rsidP="00A453C3">
      <w:pPr>
        <w:pStyle w:val="Standard"/>
        <w:jc w:val="both"/>
        <w:rPr>
          <w:sz w:val="18"/>
          <w:szCs w:val="18"/>
          <w:lang w:val="en-GB" w:eastAsia="en-US"/>
        </w:rPr>
      </w:pPr>
      <w:r w:rsidRPr="002804CB">
        <w:rPr>
          <w:sz w:val="18"/>
          <w:szCs w:val="18"/>
          <w:lang w:val="en-GB" w:eastAsia="en-US"/>
        </w:rPr>
        <w:t xml:space="preserve">*τ = </w:t>
      </w:r>
      <w:r>
        <w:rPr>
          <w:sz w:val="18"/>
          <w:szCs w:val="18"/>
          <w:lang w:val="en-GB" w:eastAsia="en-US"/>
        </w:rPr>
        <w:t xml:space="preserve">2 nedēļas vai 3 nedēļas </w:t>
      </w:r>
      <w:r w:rsidRPr="0055452D">
        <w:rPr>
          <w:sz w:val="18"/>
          <w:lang w:eastAsia="ar-SA"/>
        </w:rPr>
        <w:t xml:space="preserve">abām </w:t>
      </w:r>
      <w:r>
        <w:rPr>
          <w:sz w:val="18"/>
          <w:lang w:eastAsia="ar-SA"/>
        </w:rPr>
        <w:t>subkutānas lietošanas</w:t>
      </w:r>
      <w:r w:rsidRPr="0055452D">
        <w:rPr>
          <w:sz w:val="18"/>
          <w:lang w:eastAsia="ar-SA"/>
        </w:rPr>
        <w:t xml:space="preserve"> shēmām</w:t>
      </w:r>
      <w:r>
        <w:rPr>
          <w:sz w:val="18"/>
          <w:szCs w:val="18"/>
          <w:lang w:val="en-GB" w:eastAsia="en-US"/>
        </w:rPr>
        <w:t>.</w:t>
      </w:r>
    </w:p>
    <w:p w14:paraId="1458CBE8" w14:textId="77777777" w:rsidR="00A453C3" w:rsidRPr="002804CB" w:rsidRDefault="00A453C3" w:rsidP="00A453C3">
      <w:pPr>
        <w:pStyle w:val="Standard"/>
        <w:rPr>
          <w:lang w:val="en-GB"/>
        </w:rPr>
      </w:pPr>
    </w:p>
    <w:p w14:paraId="2D934AFD" w14:textId="266E6409" w:rsidR="00A453C3" w:rsidRPr="00707120" w:rsidRDefault="00A453C3" w:rsidP="00A453C3">
      <w:pPr>
        <w:numPr>
          <w:ilvl w:val="12"/>
          <w:numId w:val="0"/>
        </w:numPr>
        <w:ind w:right="-2"/>
        <w:rPr>
          <w:iCs/>
          <w:lang w:val="es-ES"/>
        </w:rPr>
      </w:pPr>
      <w:r w:rsidRPr="00707120">
        <w:rPr>
          <w:lang w:val="es-ES"/>
        </w:rPr>
        <w:t>Pēc intravenozas lietošanas aptuveni 90% no līdzsvara stāvokļa tika sasniegts līdz 12. nedēļai, lietojot devu 10 mg/kg (ķermeņa masa &lt; 30 kg), vai līdz 16. nedēļai, lietojot devu 8 mg/kg (ķermeņa masa</w:t>
      </w:r>
      <w:r w:rsidR="00C4507B" w:rsidRPr="00707120">
        <w:rPr>
          <w:lang w:val="es-ES"/>
        </w:rPr>
        <w:t> </w:t>
      </w:r>
      <w:r w:rsidRPr="00707120">
        <w:rPr>
          <w:lang w:val="es-ES"/>
        </w:rPr>
        <w:t xml:space="preserve">≥ 30 kg). Pēc 162 mg devas subkutānas lietošanas gan ar </w:t>
      </w:r>
      <w:del w:id="1374" w:author="Author">
        <w:r w:rsidRPr="00707120" w:rsidDel="00CE6B8D">
          <w:rPr>
            <w:lang w:val="es-ES"/>
          </w:rPr>
          <w:delText xml:space="preserve"> </w:delText>
        </w:r>
      </w:del>
      <w:r w:rsidRPr="00707120">
        <w:rPr>
          <w:lang w:val="es-ES"/>
        </w:rPr>
        <w:t>Q2W, gan Q3W shēmu aptuveni 90% no līdzsvara stāvokļa tika sasniegts līdz 12. nedēļai.</w:t>
      </w:r>
    </w:p>
    <w:p w14:paraId="06B09F3C" w14:textId="77777777" w:rsidR="00A453C3" w:rsidRPr="00707120" w:rsidRDefault="00A453C3" w:rsidP="00A453C3">
      <w:pPr>
        <w:numPr>
          <w:ilvl w:val="12"/>
          <w:numId w:val="0"/>
        </w:numPr>
        <w:ind w:right="-2"/>
        <w:rPr>
          <w:iCs/>
          <w:lang w:val="es-ES"/>
        </w:rPr>
      </w:pPr>
    </w:p>
    <w:p w14:paraId="40D973AC" w14:textId="77777777" w:rsidR="00A453C3" w:rsidRPr="00707120" w:rsidRDefault="00A453C3" w:rsidP="00707120">
      <w:pPr>
        <w:keepNext/>
        <w:numPr>
          <w:ilvl w:val="12"/>
          <w:numId w:val="0"/>
        </w:numPr>
        <w:ind w:right="-2"/>
        <w:rPr>
          <w:i/>
          <w:iCs/>
          <w:u w:val="single"/>
          <w:lang w:val="es-ES"/>
        </w:rPr>
      </w:pPr>
      <w:r w:rsidRPr="00707120">
        <w:rPr>
          <w:i/>
          <w:iCs/>
          <w:u w:val="single"/>
          <w:lang w:val="es-ES"/>
        </w:rPr>
        <w:t>Uzsūkšanās</w:t>
      </w:r>
    </w:p>
    <w:p w14:paraId="71377422" w14:textId="7F17CCD7" w:rsidR="00A453C3" w:rsidRPr="00707120" w:rsidRDefault="00A453C3" w:rsidP="00A453C3">
      <w:pPr>
        <w:numPr>
          <w:ilvl w:val="12"/>
          <w:numId w:val="0"/>
        </w:numPr>
        <w:ind w:right="-2"/>
        <w:rPr>
          <w:iCs/>
          <w:lang w:val="es-ES"/>
        </w:rPr>
      </w:pPr>
      <w:r w:rsidRPr="00707120">
        <w:rPr>
          <w:lang w:val="es-ES"/>
        </w:rPr>
        <w:t>Pēc subkutānas lietošanas pacientiem ar pJIA uzsūkšanās pusperiods bija aptuveni 2 dienas, un subkutāni lietojamās zāļu formas biopieejamība pacientiem ar pJIA bija 96%.</w:t>
      </w:r>
    </w:p>
    <w:p w14:paraId="776F36B5" w14:textId="77777777" w:rsidR="00A453C3" w:rsidRPr="00707120" w:rsidRDefault="00A453C3" w:rsidP="00A453C3">
      <w:pPr>
        <w:rPr>
          <w:iCs/>
          <w:lang w:val="es-ES"/>
        </w:rPr>
      </w:pPr>
    </w:p>
    <w:p w14:paraId="0092AF6D" w14:textId="77777777" w:rsidR="00A453C3" w:rsidRPr="00707120" w:rsidRDefault="00A453C3" w:rsidP="00707120">
      <w:pPr>
        <w:keepNext/>
        <w:numPr>
          <w:ilvl w:val="12"/>
          <w:numId w:val="0"/>
        </w:numPr>
        <w:ind w:right="-2"/>
        <w:rPr>
          <w:i/>
          <w:iCs/>
          <w:u w:val="single"/>
          <w:lang w:val="es-ES"/>
        </w:rPr>
      </w:pPr>
      <w:r w:rsidRPr="00707120">
        <w:rPr>
          <w:i/>
          <w:iCs/>
          <w:u w:val="single"/>
          <w:lang w:val="es-ES"/>
        </w:rPr>
        <w:t>Izkliede</w:t>
      </w:r>
    </w:p>
    <w:p w14:paraId="16608AD8" w14:textId="77777777" w:rsidR="00A453C3" w:rsidRPr="00707120" w:rsidRDefault="00A453C3" w:rsidP="00A453C3">
      <w:pPr>
        <w:numPr>
          <w:ilvl w:val="12"/>
          <w:numId w:val="0"/>
        </w:numPr>
        <w:ind w:right="-2"/>
        <w:rPr>
          <w:iCs/>
          <w:lang w:val="es-ES"/>
        </w:rPr>
      </w:pPr>
      <w:r w:rsidRPr="00707120">
        <w:rPr>
          <w:lang w:val="es-ES"/>
        </w:rPr>
        <w:t>Pediatriskajiem pacientiem ar pJIA centrālais izkliedes tilpums bija 1,97 l, bet perifēriskais izkliedes tilpums bija 2,03 l, kā rezultātā izkliedes tilpums līdzsvara stāvoklī bija 4,0 l.</w:t>
      </w:r>
    </w:p>
    <w:p w14:paraId="10BB3453" w14:textId="77777777" w:rsidR="00A453C3" w:rsidRPr="00707120" w:rsidRDefault="00A453C3" w:rsidP="00A453C3">
      <w:pPr>
        <w:numPr>
          <w:ilvl w:val="12"/>
          <w:numId w:val="0"/>
        </w:numPr>
        <w:ind w:right="-2"/>
        <w:rPr>
          <w:iCs/>
          <w:lang w:val="es-ES"/>
        </w:rPr>
      </w:pPr>
    </w:p>
    <w:p w14:paraId="78D30770" w14:textId="77777777" w:rsidR="00A453C3" w:rsidRPr="00707120" w:rsidRDefault="00A453C3" w:rsidP="00A453C3">
      <w:pPr>
        <w:keepNext/>
        <w:keepLines/>
        <w:numPr>
          <w:ilvl w:val="12"/>
          <w:numId w:val="0"/>
        </w:numPr>
        <w:rPr>
          <w:i/>
          <w:iCs/>
          <w:u w:val="single"/>
          <w:lang w:val="es-ES"/>
        </w:rPr>
      </w:pPr>
      <w:r w:rsidRPr="00707120">
        <w:rPr>
          <w:i/>
          <w:iCs/>
          <w:u w:val="single"/>
          <w:lang w:val="es-ES"/>
        </w:rPr>
        <w:t>Eliminācija</w:t>
      </w:r>
    </w:p>
    <w:p w14:paraId="52D14D7C" w14:textId="79293F4A" w:rsidR="00A453C3" w:rsidRPr="00707120" w:rsidRDefault="00A453C3" w:rsidP="00707120">
      <w:pPr>
        <w:keepLines/>
        <w:numPr>
          <w:ilvl w:val="12"/>
          <w:numId w:val="0"/>
        </w:numPr>
        <w:rPr>
          <w:lang w:val="es-ES"/>
        </w:rPr>
      </w:pPr>
      <w:r w:rsidRPr="00707120">
        <w:rPr>
          <w:lang w:val="es-ES"/>
        </w:rPr>
        <w:t xml:space="preserve">Populācijas farmakokinētikas analīzē pacientiem, kuriem bija pJIA, konstatēta ar ķermeņa izmēru saistīta ietekme uz lineāro klīrensu, tāpēc jāņem vērā lietošana, pamatojoties uz ķermeņa masu (skatīt 9. tabulu). </w:t>
      </w:r>
    </w:p>
    <w:p w14:paraId="42965E98" w14:textId="77777777" w:rsidR="00A453C3" w:rsidRPr="00707120" w:rsidRDefault="00A453C3" w:rsidP="00A453C3">
      <w:pPr>
        <w:numPr>
          <w:ilvl w:val="12"/>
          <w:numId w:val="0"/>
        </w:numPr>
        <w:ind w:right="-2"/>
        <w:rPr>
          <w:lang w:val="es-ES"/>
        </w:rPr>
      </w:pPr>
    </w:p>
    <w:p w14:paraId="1DB7D12D" w14:textId="5275E76B" w:rsidR="00A453C3" w:rsidRDefault="00A453C3" w:rsidP="00A453C3">
      <w:pPr>
        <w:numPr>
          <w:ilvl w:val="12"/>
          <w:numId w:val="0"/>
        </w:numPr>
        <w:ind w:right="-2"/>
        <w:rPr>
          <w:szCs w:val="22"/>
          <w:lang w:val="lv-LV"/>
        </w:rPr>
      </w:pPr>
      <w:r w:rsidRPr="00707120">
        <w:rPr>
          <w:lang w:val="es-ES"/>
        </w:rPr>
        <w:t>Pēc subkutānas ievadīšanas tocilizumaba efektīvais t</w:t>
      </w:r>
      <w:r w:rsidRPr="00707120">
        <w:rPr>
          <w:vertAlign w:val="subscript"/>
          <w:lang w:val="es-ES"/>
        </w:rPr>
        <w:t>1/2</w:t>
      </w:r>
      <w:r w:rsidRPr="00707120">
        <w:rPr>
          <w:lang w:val="es-ES"/>
        </w:rPr>
        <w:t xml:space="preserve"> pacientiem ar pJIA zāļu lietošanas laikā līdzsvara stāvoklī ir līdz 10 dienām </w:t>
      </w:r>
      <w:r w:rsidRPr="00707120">
        <w:rPr>
          <w:color w:val="000000"/>
          <w:shd w:val="clear" w:color="auto" w:fill="FFFFFF"/>
          <w:lang w:val="es-ES"/>
        </w:rPr>
        <w:t>pacientiem, kuru ķermeņa masa ir &lt; 30 kg (162 mg deva subkutāni Q3W), un līdz 7 dienām pacientiem, kuru ķermeņa masa ir ≥ 30 kg (162 mg deva subkutāni Q2W)</w:t>
      </w:r>
      <w:r w:rsidRPr="00707120">
        <w:rPr>
          <w:lang w:val="es-ES"/>
        </w:rPr>
        <w:t>. Pēc intravenozas ievadīšanas tocilizumaba eliminācija no asinsrites notiek divās fāzēs. Kopējais tocilizumaba klīrenss bija atkarīgs no koncentrācijas, un to veido lineārā klīrensa un nelineārā klīrensa summa. Lineārais klīrenss tika noteikts kā raksturlielums populācijas farmakokinētikas analīzē, un tas bija 6,25 ml/h. No koncentrācijas atkarīgajam nelineārajam klīrensam ir svarīga nozīme, ja ir zema tocilizumaba koncentrācija. Tiklīdz nelineārais ceļš ir piesātinājies, pie augstākas tocilizumaba koncentrācijas klīrensu galvenokārt nosaka lineārais klīrenss.</w:t>
      </w:r>
    </w:p>
    <w:p w14:paraId="2FE06AAA" w14:textId="77777777" w:rsidR="00A453C3" w:rsidRPr="00DD7A4F" w:rsidRDefault="00A453C3" w:rsidP="00A453C3">
      <w:pPr>
        <w:rPr>
          <w:szCs w:val="22"/>
          <w:lang w:val="lv-LV"/>
        </w:rPr>
      </w:pPr>
    </w:p>
    <w:p w14:paraId="4F68C1E4" w14:textId="09D3EEDC" w:rsidR="00A453C3" w:rsidRPr="00DD7A4F" w:rsidDel="00CA5BBD" w:rsidRDefault="00A453C3" w:rsidP="00A453C3">
      <w:pPr>
        <w:keepNext/>
        <w:keepLines/>
        <w:numPr>
          <w:ilvl w:val="12"/>
          <w:numId w:val="0"/>
        </w:numPr>
        <w:ind w:right="-2"/>
        <w:rPr>
          <w:moveFrom w:id="1375" w:author="Author"/>
          <w:iCs/>
          <w:szCs w:val="22"/>
          <w:u w:val="single"/>
          <w:lang w:val="lv-LV"/>
        </w:rPr>
      </w:pPr>
      <w:moveFromRangeStart w:id="1376" w:author="Author" w:name="move205283426"/>
      <w:moveFrom w:id="1377" w:author="Author">
        <w:r w:rsidDel="00CA5BBD">
          <w:rPr>
            <w:u w:val="single"/>
            <w:lang w:val="lv-LV"/>
          </w:rPr>
          <w:t xml:space="preserve">Pacienti ar </w:t>
        </w:r>
        <w:r w:rsidRPr="00DD7A4F" w:rsidDel="00CA5BBD">
          <w:rPr>
            <w:u w:val="single"/>
            <w:lang w:val="lv-LV"/>
          </w:rPr>
          <w:t>GCA</w:t>
        </w:r>
      </w:moveFrom>
    </w:p>
    <w:moveFromRangeEnd w:id="1376"/>
    <w:p w14:paraId="00E32245" w14:textId="74F0A891" w:rsidR="00A453C3" w:rsidRPr="00DD58C9" w:rsidRDefault="00A453C3" w:rsidP="00A453C3">
      <w:pPr>
        <w:keepNext/>
        <w:keepLines/>
        <w:numPr>
          <w:ilvl w:val="12"/>
          <w:numId w:val="0"/>
        </w:numPr>
        <w:ind w:right="-2"/>
        <w:rPr>
          <w:ins w:id="1378" w:author="Author"/>
          <w:iCs/>
          <w:u w:val="single"/>
          <w:lang w:val="lv-LV"/>
          <w:rPrChange w:id="1379" w:author="Author">
            <w:rPr>
              <w:ins w:id="1380" w:author="Author"/>
              <w:i/>
              <w:iCs/>
              <w:lang w:val="lv-LV"/>
            </w:rPr>
          </w:rPrChange>
        </w:rPr>
      </w:pPr>
      <w:r w:rsidRPr="00DD58C9">
        <w:rPr>
          <w:iCs/>
          <w:u w:val="single"/>
          <w:lang w:val="lv-LV"/>
          <w:rPrChange w:id="1381" w:author="Author">
            <w:rPr>
              <w:i/>
              <w:iCs/>
              <w:lang w:val="lv-LV"/>
            </w:rPr>
          </w:rPrChange>
        </w:rPr>
        <w:t>Subkutāna lietošana</w:t>
      </w:r>
    </w:p>
    <w:p w14:paraId="05BF2E00" w14:textId="77777777" w:rsidR="00CA5BBD" w:rsidRPr="00F82186" w:rsidRDefault="00CA5BBD" w:rsidP="00CA5BBD">
      <w:pPr>
        <w:keepNext/>
        <w:keepLines/>
        <w:numPr>
          <w:ilvl w:val="12"/>
          <w:numId w:val="0"/>
        </w:numPr>
        <w:ind w:right="-2"/>
        <w:rPr>
          <w:moveTo w:id="1382" w:author="Author"/>
          <w:i/>
          <w:iCs/>
          <w:szCs w:val="22"/>
          <w:lang w:val="lv-LV"/>
          <w:rPrChange w:id="1383" w:author="Author">
            <w:rPr>
              <w:moveTo w:id="1384" w:author="Author"/>
              <w:iCs/>
              <w:szCs w:val="22"/>
              <w:u w:val="single"/>
              <w:lang w:val="lv-LV"/>
            </w:rPr>
          </w:rPrChange>
        </w:rPr>
      </w:pPr>
      <w:moveToRangeStart w:id="1385" w:author="Author" w:name="move205283426"/>
      <w:moveTo w:id="1386" w:author="Author">
        <w:r w:rsidRPr="00F82186">
          <w:rPr>
            <w:i/>
            <w:lang w:val="lv-LV"/>
            <w:rPrChange w:id="1387" w:author="Author">
              <w:rPr>
                <w:u w:val="single"/>
                <w:lang w:val="lv-LV"/>
              </w:rPr>
            </w:rPrChange>
          </w:rPr>
          <w:t>Pacienti ar GCA</w:t>
        </w:r>
      </w:moveTo>
    </w:p>
    <w:moveToRangeEnd w:id="1385"/>
    <w:p w14:paraId="4F7FA9ED" w14:textId="77777777" w:rsidR="00CA5BBD" w:rsidRPr="00707120" w:rsidRDefault="00CA5BBD" w:rsidP="00A453C3">
      <w:pPr>
        <w:keepNext/>
        <w:keepLines/>
        <w:numPr>
          <w:ilvl w:val="12"/>
          <w:numId w:val="0"/>
        </w:numPr>
        <w:ind w:right="-2"/>
        <w:rPr>
          <w:i/>
          <w:iCs/>
          <w:szCs w:val="22"/>
          <w:lang w:val="lv-LV"/>
        </w:rPr>
      </w:pPr>
    </w:p>
    <w:p w14:paraId="24A66DC3" w14:textId="57F3CBD6" w:rsidR="00A453C3" w:rsidRDefault="00A453C3" w:rsidP="00A453C3">
      <w:pPr>
        <w:rPr>
          <w:lang w:val="lv-LV"/>
        </w:rPr>
      </w:pPr>
      <w:r>
        <w:rPr>
          <w:lang w:val="lv-LV"/>
        </w:rPr>
        <w:t>Tocilizumaba</w:t>
      </w:r>
      <w:r w:rsidRPr="00D30C7D">
        <w:rPr>
          <w:lang w:val="lv-LV"/>
        </w:rPr>
        <w:t xml:space="preserve"> FK pacientiem</w:t>
      </w:r>
      <w:r>
        <w:rPr>
          <w:lang w:val="lv-LV"/>
        </w:rPr>
        <w:t xml:space="preserve"> ar</w:t>
      </w:r>
      <w:r w:rsidRPr="00D30C7D">
        <w:rPr>
          <w:lang w:val="lv-LV"/>
        </w:rPr>
        <w:t xml:space="preserve"> GCA noteikta, izmantojot popul</w:t>
      </w:r>
      <w:r>
        <w:rPr>
          <w:lang w:val="lv-LV"/>
        </w:rPr>
        <w:t>ā</w:t>
      </w:r>
      <w:r w:rsidRPr="00D30C7D">
        <w:rPr>
          <w:lang w:val="lv-LV"/>
        </w:rPr>
        <w:t>cijas FK modeli no analīzes datu kopas, kurā bija ietveri dati par 149</w:t>
      </w:r>
      <w:r>
        <w:rPr>
          <w:lang w:val="lv-LV"/>
        </w:rPr>
        <w:t> </w:t>
      </w:r>
      <w:r w:rsidRPr="00D30C7D">
        <w:rPr>
          <w:lang w:val="lv-LV"/>
        </w:rPr>
        <w:t>pacientiem ar GCA, kuriem šīs zāles lietoja devā 162</w:t>
      </w:r>
      <w:r>
        <w:rPr>
          <w:lang w:val="lv-LV"/>
        </w:rPr>
        <w:t> </w:t>
      </w:r>
      <w:r w:rsidRPr="00D30C7D">
        <w:rPr>
          <w:lang w:val="lv-LV"/>
        </w:rPr>
        <w:t>mg reizi nedēļā subkutāni vai devā 162</w:t>
      </w:r>
      <w:r>
        <w:rPr>
          <w:lang w:val="lv-LV"/>
        </w:rPr>
        <w:t> </w:t>
      </w:r>
      <w:r w:rsidRPr="00D30C7D">
        <w:rPr>
          <w:lang w:val="lv-LV"/>
        </w:rPr>
        <w:t xml:space="preserve">mg subkutāni katru otro nedēļu. Izveidotā modeļa struktūra bija identiska kā iepriekš izveidotam populācijas FK modelim, pamatojoties uz datiem par pacientiem ar RA (skatīt </w:t>
      </w:r>
      <w:r>
        <w:rPr>
          <w:lang w:val="lv-LV"/>
        </w:rPr>
        <w:t>10</w:t>
      </w:r>
      <w:r w:rsidRPr="00D30C7D">
        <w:rPr>
          <w:lang w:val="lv-LV"/>
        </w:rPr>
        <w:t>.</w:t>
      </w:r>
      <w:r>
        <w:rPr>
          <w:lang w:val="lv-LV"/>
        </w:rPr>
        <w:t> </w:t>
      </w:r>
      <w:r w:rsidRPr="00D30C7D">
        <w:rPr>
          <w:lang w:val="lv-LV"/>
        </w:rPr>
        <w:t>tabulu).</w:t>
      </w:r>
    </w:p>
    <w:p w14:paraId="1FCD8A44" w14:textId="77777777" w:rsidR="00A453C3" w:rsidRPr="00DD7A4F" w:rsidRDefault="00A453C3" w:rsidP="00A453C3">
      <w:pPr>
        <w:keepNext/>
        <w:keepLines/>
        <w:rPr>
          <w:i/>
          <w:szCs w:val="22"/>
          <w:lang w:val="lv-LV"/>
        </w:rPr>
      </w:pPr>
    </w:p>
    <w:p w14:paraId="2B3E0911" w14:textId="54770E77" w:rsidR="00A453C3" w:rsidRDefault="00A453C3" w:rsidP="00A453C3">
      <w:pPr>
        <w:keepNext/>
        <w:keepLines/>
        <w:rPr>
          <w:i/>
          <w:lang w:val="lv-LV"/>
        </w:rPr>
      </w:pPr>
      <w:r>
        <w:rPr>
          <w:i/>
          <w:lang w:val="lv-LV"/>
        </w:rPr>
        <w:t>10</w:t>
      </w:r>
      <w:r w:rsidRPr="00DD7A4F">
        <w:rPr>
          <w:i/>
          <w:lang w:val="lv-LV"/>
        </w:rPr>
        <w:t>.</w:t>
      </w:r>
      <w:r w:rsidR="0049044B">
        <w:rPr>
          <w:i/>
          <w:lang w:val="lv-LV"/>
        </w:rPr>
        <w:t> </w:t>
      </w:r>
      <w:r w:rsidRPr="00DD7A4F">
        <w:rPr>
          <w:i/>
          <w:lang w:val="lv-LV"/>
        </w:rPr>
        <w:t xml:space="preserve">tabula. </w:t>
      </w:r>
      <w:r w:rsidR="00F82FAE" w:rsidRPr="00F82FAE">
        <w:rPr>
          <w:i/>
          <w:lang w:val="lv-LV"/>
        </w:rPr>
        <w:t xml:space="preserve">FK rādītāju </w:t>
      </w:r>
      <w:r w:rsidR="00F82FAE">
        <w:rPr>
          <w:i/>
          <w:lang w:val="lv-LV"/>
        </w:rPr>
        <w:t>p</w:t>
      </w:r>
      <w:r w:rsidRPr="00DD7A4F">
        <w:rPr>
          <w:i/>
          <w:lang w:val="lv-LV"/>
        </w:rPr>
        <w:t>rognozētā vidējā vērtība ±</w:t>
      </w:r>
      <w:r w:rsidR="00F82FAE">
        <w:rPr>
          <w:i/>
          <w:lang w:val="lv-LV"/>
        </w:rPr>
        <w:t> SN</w:t>
      </w:r>
      <w:r w:rsidRPr="00DD7A4F">
        <w:rPr>
          <w:i/>
          <w:lang w:val="lv-LV"/>
        </w:rPr>
        <w:t xml:space="preserve"> līdzsvara stāvoklī pēc subkutānas ievadīšanas pacientiem ar GCA</w:t>
      </w:r>
    </w:p>
    <w:p w14:paraId="05EE8F68" w14:textId="77777777" w:rsidR="00A453C3" w:rsidRPr="00DD7A4F" w:rsidRDefault="00A453C3" w:rsidP="00A453C3">
      <w:pPr>
        <w:keepNext/>
        <w:keepLines/>
        <w:rPr>
          <w:i/>
          <w:color w:val="000000"/>
          <w:szCs w:val="22"/>
          <w:lang w:val="lv-LV"/>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388" w:author="Author">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3047"/>
        <w:gridCol w:w="3171"/>
        <w:gridCol w:w="2708"/>
        <w:tblGridChange w:id="1389">
          <w:tblGrid>
            <w:gridCol w:w="2972"/>
            <w:gridCol w:w="1763"/>
            <w:gridCol w:w="1483"/>
            <w:gridCol w:w="2708"/>
          </w:tblGrid>
        </w:tblGridChange>
      </w:tblGrid>
      <w:tr w:rsidR="00A453C3" w:rsidRPr="0049044B" w14:paraId="0E643FF6" w14:textId="77777777" w:rsidTr="002007A3">
        <w:trPr>
          <w:cantSplit/>
          <w:trHeight w:val="128"/>
          <w:jc w:val="center"/>
          <w:trPrChange w:id="1390" w:author="Author">
            <w:trPr>
              <w:cantSplit/>
              <w:trHeight w:val="128"/>
              <w:jc w:val="center"/>
            </w:trPr>
          </w:trPrChange>
        </w:trPr>
        <w:tc>
          <w:tcPr>
            <w:tcW w:w="3047" w:type="dxa"/>
            <w:tcBorders>
              <w:top w:val="single" w:sz="4" w:space="0" w:color="auto"/>
              <w:left w:val="single" w:sz="4" w:space="0" w:color="auto"/>
              <w:bottom w:val="single" w:sz="4" w:space="0" w:color="auto"/>
              <w:right w:val="single" w:sz="4" w:space="0" w:color="auto"/>
            </w:tcBorders>
            <w:tcPrChange w:id="1391" w:author="Author">
              <w:tcPr>
                <w:tcW w:w="2972" w:type="dxa"/>
                <w:tcBorders>
                  <w:top w:val="single" w:sz="4" w:space="0" w:color="auto"/>
                  <w:left w:val="single" w:sz="4" w:space="0" w:color="auto"/>
                  <w:bottom w:val="single" w:sz="4" w:space="0" w:color="auto"/>
                  <w:right w:val="single" w:sz="4" w:space="0" w:color="auto"/>
                </w:tcBorders>
              </w:tcPr>
            </w:tcPrChange>
          </w:tcPr>
          <w:p w14:paraId="2C0049C8" w14:textId="77777777" w:rsidR="00A453C3" w:rsidRPr="00707120" w:rsidRDefault="00A453C3" w:rsidP="0067693D">
            <w:pPr>
              <w:keepNext/>
              <w:keepLines/>
              <w:spacing w:before="113" w:after="57"/>
              <w:ind w:left="1701" w:hanging="1701"/>
              <w:outlineLvl w:val="6"/>
              <w:rPr>
                <w:rFonts w:eastAsia="MS Mincho"/>
                <w:b/>
                <w:szCs w:val="22"/>
                <w:lang w:val="lv-LV"/>
              </w:rPr>
            </w:pPr>
          </w:p>
        </w:tc>
        <w:tc>
          <w:tcPr>
            <w:tcW w:w="5879" w:type="dxa"/>
            <w:gridSpan w:val="2"/>
            <w:tcBorders>
              <w:top w:val="single" w:sz="4" w:space="0" w:color="auto"/>
              <w:left w:val="single" w:sz="4" w:space="0" w:color="auto"/>
              <w:bottom w:val="single" w:sz="4" w:space="0" w:color="auto"/>
              <w:right w:val="single" w:sz="4" w:space="0" w:color="auto"/>
            </w:tcBorders>
            <w:tcPrChange w:id="1392" w:author="Author">
              <w:tcPr>
                <w:tcW w:w="5954" w:type="dxa"/>
                <w:gridSpan w:val="3"/>
                <w:tcBorders>
                  <w:top w:val="single" w:sz="4" w:space="0" w:color="auto"/>
                  <w:left w:val="single" w:sz="4" w:space="0" w:color="auto"/>
                  <w:bottom w:val="single" w:sz="4" w:space="0" w:color="auto"/>
                  <w:right w:val="single" w:sz="4" w:space="0" w:color="auto"/>
                </w:tcBorders>
              </w:tcPr>
            </w:tcPrChange>
          </w:tcPr>
          <w:p w14:paraId="221B5A4F" w14:textId="7672C3A5" w:rsidR="00A453C3" w:rsidRPr="00707120" w:rsidRDefault="00A453C3" w:rsidP="0067693D">
            <w:pPr>
              <w:keepNext/>
              <w:keepLines/>
              <w:spacing w:after="200"/>
              <w:jc w:val="center"/>
              <w:rPr>
                <w:rFonts w:eastAsia="PMingLiU"/>
                <w:b/>
                <w:szCs w:val="22"/>
              </w:rPr>
            </w:pPr>
            <w:r w:rsidRPr="00707120">
              <w:rPr>
                <w:b/>
                <w:szCs w:val="22"/>
              </w:rPr>
              <w:t>Subkutāni</w:t>
            </w:r>
          </w:p>
        </w:tc>
      </w:tr>
      <w:tr w:rsidR="00A453C3" w:rsidRPr="0049044B" w14:paraId="573896A2" w14:textId="77777777" w:rsidTr="002007A3">
        <w:trPr>
          <w:cantSplit/>
          <w:trHeight w:val="452"/>
          <w:jc w:val="center"/>
          <w:trPrChange w:id="1393" w:author="Author">
            <w:trPr>
              <w:cantSplit/>
              <w:trHeight w:val="452"/>
              <w:jc w:val="center"/>
            </w:trPr>
          </w:trPrChange>
        </w:trPr>
        <w:tc>
          <w:tcPr>
            <w:tcW w:w="3047" w:type="dxa"/>
            <w:tcBorders>
              <w:top w:val="single" w:sz="4" w:space="0" w:color="auto"/>
              <w:left w:val="single" w:sz="4" w:space="0" w:color="auto"/>
              <w:bottom w:val="single" w:sz="4" w:space="0" w:color="auto"/>
              <w:right w:val="single" w:sz="4" w:space="0" w:color="auto"/>
            </w:tcBorders>
            <w:tcPrChange w:id="1394" w:author="Author">
              <w:tcPr>
                <w:tcW w:w="2972" w:type="dxa"/>
                <w:tcBorders>
                  <w:top w:val="single" w:sz="4" w:space="0" w:color="auto"/>
                  <w:left w:val="single" w:sz="4" w:space="0" w:color="auto"/>
                  <w:bottom w:val="single" w:sz="4" w:space="0" w:color="auto"/>
                  <w:right w:val="single" w:sz="4" w:space="0" w:color="auto"/>
                </w:tcBorders>
              </w:tcPr>
            </w:tcPrChange>
          </w:tcPr>
          <w:p w14:paraId="36F6857D" w14:textId="2BC877AB" w:rsidR="00A453C3" w:rsidRPr="00707120" w:rsidRDefault="00A453C3" w:rsidP="00F82FAE">
            <w:pPr>
              <w:keepNext/>
              <w:keepLines/>
              <w:spacing w:after="120"/>
              <w:rPr>
                <w:rFonts w:eastAsia="PMingLiU"/>
                <w:szCs w:val="22"/>
              </w:rPr>
            </w:pPr>
            <w:r w:rsidRPr="00707120">
              <w:rPr>
                <w:b/>
                <w:szCs w:val="22"/>
              </w:rPr>
              <w:t>Tocilizumaba FK rādītāj</w:t>
            </w:r>
            <w:r w:rsidR="00F82FAE">
              <w:rPr>
                <w:b/>
                <w:szCs w:val="22"/>
              </w:rPr>
              <w:t>s</w:t>
            </w:r>
          </w:p>
        </w:tc>
        <w:tc>
          <w:tcPr>
            <w:tcW w:w="3171" w:type="dxa"/>
            <w:tcBorders>
              <w:top w:val="single" w:sz="4" w:space="0" w:color="auto"/>
              <w:left w:val="single" w:sz="4" w:space="0" w:color="auto"/>
              <w:bottom w:val="single" w:sz="4" w:space="0" w:color="auto"/>
              <w:right w:val="single" w:sz="4" w:space="0" w:color="auto"/>
            </w:tcBorders>
            <w:tcPrChange w:id="1395" w:author="Author">
              <w:tcPr>
                <w:tcW w:w="3246" w:type="dxa"/>
                <w:gridSpan w:val="2"/>
                <w:tcBorders>
                  <w:top w:val="single" w:sz="4" w:space="0" w:color="auto"/>
                  <w:left w:val="single" w:sz="4" w:space="0" w:color="auto"/>
                  <w:bottom w:val="single" w:sz="4" w:space="0" w:color="auto"/>
                  <w:right w:val="single" w:sz="4" w:space="0" w:color="auto"/>
                </w:tcBorders>
              </w:tcPr>
            </w:tcPrChange>
          </w:tcPr>
          <w:p w14:paraId="2A6BE8B0" w14:textId="44A3B629" w:rsidR="00A453C3" w:rsidRPr="00707120" w:rsidRDefault="00A453C3" w:rsidP="0049044B">
            <w:pPr>
              <w:keepNext/>
              <w:keepLines/>
              <w:spacing w:after="120"/>
              <w:jc w:val="center"/>
              <w:rPr>
                <w:rFonts w:eastAsia="PMingLiU"/>
                <w:b/>
                <w:szCs w:val="22"/>
              </w:rPr>
            </w:pPr>
            <w:r w:rsidRPr="00707120">
              <w:rPr>
                <w:b/>
                <w:szCs w:val="22"/>
              </w:rPr>
              <w:t>162</w:t>
            </w:r>
            <w:r w:rsidR="0049044B">
              <w:rPr>
                <w:b/>
                <w:szCs w:val="22"/>
              </w:rPr>
              <w:t> </w:t>
            </w:r>
            <w:r w:rsidRPr="00707120">
              <w:rPr>
                <w:b/>
                <w:szCs w:val="22"/>
              </w:rPr>
              <w:t>mg katru otro nedēļu</w:t>
            </w:r>
          </w:p>
        </w:tc>
        <w:tc>
          <w:tcPr>
            <w:tcW w:w="2708" w:type="dxa"/>
            <w:tcBorders>
              <w:top w:val="single" w:sz="4" w:space="0" w:color="auto"/>
              <w:left w:val="single" w:sz="4" w:space="0" w:color="auto"/>
              <w:bottom w:val="single" w:sz="4" w:space="0" w:color="auto"/>
              <w:right w:val="single" w:sz="4" w:space="0" w:color="auto"/>
            </w:tcBorders>
            <w:tcPrChange w:id="1396" w:author="Author">
              <w:tcPr>
                <w:tcW w:w="2708" w:type="dxa"/>
                <w:tcBorders>
                  <w:top w:val="single" w:sz="4" w:space="0" w:color="auto"/>
                  <w:left w:val="single" w:sz="4" w:space="0" w:color="auto"/>
                  <w:bottom w:val="single" w:sz="4" w:space="0" w:color="auto"/>
                  <w:right w:val="single" w:sz="4" w:space="0" w:color="auto"/>
                </w:tcBorders>
              </w:tcPr>
            </w:tcPrChange>
          </w:tcPr>
          <w:p w14:paraId="08CA62AF" w14:textId="579010F8" w:rsidR="00A453C3" w:rsidRPr="00707120" w:rsidRDefault="00A453C3" w:rsidP="0049044B">
            <w:pPr>
              <w:keepNext/>
              <w:keepLines/>
              <w:spacing w:after="120"/>
              <w:jc w:val="center"/>
              <w:rPr>
                <w:rFonts w:eastAsia="PMingLiU"/>
                <w:b/>
                <w:szCs w:val="22"/>
              </w:rPr>
            </w:pPr>
            <w:r w:rsidRPr="00707120">
              <w:rPr>
                <w:b/>
                <w:szCs w:val="22"/>
              </w:rPr>
              <w:t>162</w:t>
            </w:r>
            <w:r w:rsidR="0049044B">
              <w:rPr>
                <w:b/>
                <w:szCs w:val="22"/>
              </w:rPr>
              <w:t> </w:t>
            </w:r>
            <w:r w:rsidRPr="00707120">
              <w:rPr>
                <w:b/>
                <w:szCs w:val="22"/>
              </w:rPr>
              <w:t>mg reizi nedēļā</w:t>
            </w:r>
          </w:p>
        </w:tc>
      </w:tr>
      <w:tr w:rsidR="00A453C3" w:rsidRPr="0049044B" w14:paraId="169FC811" w14:textId="77777777" w:rsidTr="002007A3">
        <w:trPr>
          <w:cantSplit/>
          <w:trHeight w:val="195"/>
          <w:jc w:val="center"/>
          <w:trPrChange w:id="1397" w:author="Author">
            <w:trPr>
              <w:cantSplit/>
              <w:trHeight w:val="195"/>
              <w:jc w:val="center"/>
            </w:trPr>
          </w:trPrChange>
        </w:trPr>
        <w:tc>
          <w:tcPr>
            <w:tcW w:w="3047" w:type="dxa"/>
            <w:tcBorders>
              <w:top w:val="single" w:sz="4" w:space="0" w:color="auto"/>
              <w:left w:val="single" w:sz="4" w:space="0" w:color="auto"/>
              <w:bottom w:val="single" w:sz="4" w:space="0" w:color="auto"/>
              <w:right w:val="single" w:sz="4" w:space="0" w:color="auto"/>
            </w:tcBorders>
            <w:tcPrChange w:id="1398" w:author="Author">
              <w:tcPr>
                <w:tcW w:w="2972" w:type="dxa"/>
                <w:tcBorders>
                  <w:top w:val="single" w:sz="4" w:space="0" w:color="auto"/>
                  <w:left w:val="single" w:sz="4" w:space="0" w:color="auto"/>
                  <w:bottom w:val="single" w:sz="4" w:space="0" w:color="auto"/>
                  <w:right w:val="single" w:sz="4" w:space="0" w:color="auto"/>
                </w:tcBorders>
              </w:tcPr>
            </w:tcPrChange>
          </w:tcPr>
          <w:p w14:paraId="30F7B47F" w14:textId="77777777" w:rsidR="00A453C3" w:rsidRPr="00707120" w:rsidRDefault="00A453C3" w:rsidP="0067693D">
            <w:pPr>
              <w:keepNext/>
              <w:keepLines/>
              <w:spacing w:after="120"/>
              <w:rPr>
                <w:rFonts w:eastAsia="PMingLiU"/>
                <w:szCs w:val="22"/>
              </w:rPr>
            </w:pPr>
            <w:r w:rsidRPr="00707120">
              <w:rPr>
                <w:szCs w:val="22"/>
              </w:rPr>
              <w:t>C</w:t>
            </w:r>
            <w:r w:rsidRPr="00707120">
              <w:rPr>
                <w:szCs w:val="22"/>
                <w:vertAlign w:val="subscript"/>
              </w:rPr>
              <w:t>max.</w:t>
            </w:r>
            <w:r w:rsidRPr="00707120">
              <w:rPr>
                <w:szCs w:val="22"/>
              </w:rPr>
              <w:t xml:space="preserve"> (µg/ml)</w:t>
            </w:r>
          </w:p>
        </w:tc>
        <w:tc>
          <w:tcPr>
            <w:tcW w:w="3171" w:type="dxa"/>
            <w:tcBorders>
              <w:top w:val="single" w:sz="4" w:space="0" w:color="auto"/>
              <w:left w:val="single" w:sz="4" w:space="0" w:color="auto"/>
              <w:bottom w:val="single" w:sz="4" w:space="0" w:color="auto"/>
              <w:right w:val="single" w:sz="4" w:space="0" w:color="auto"/>
            </w:tcBorders>
            <w:tcPrChange w:id="1399" w:author="Author">
              <w:tcPr>
                <w:tcW w:w="3246" w:type="dxa"/>
                <w:gridSpan w:val="2"/>
                <w:tcBorders>
                  <w:top w:val="single" w:sz="4" w:space="0" w:color="auto"/>
                  <w:left w:val="single" w:sz="4" w:space="0" w:color="auto"/>
                  <w:bottom w:val="single" w:sz="4" w:space="0" w:color="auto"/>
                  <w:right w:val="single" w:sz="4" w:space="0" w:color="auto"/>
                </w:tcBorders>
              </w:tcPr>
            </w:tcPrChange>
          </w:tcPr>
          <w:p w14:paraId="29D43857" w14:textId="6BFB9559" w:rsidR="00A453C3" w:rsidRPr="00707120" w:rsidRDefault="00A453C3" w:rsidP="0067693D">
            <w:pPr>
              <w:keepNext/>
              <w:keepLines/>
              <w:spacing w:after="120"/>
              <w:jc w:val="center"/>
              <w:rPr>
                <w:rFonts w:eastAsia="PMingLiU"/>
                <w:szCs w:val="22"/>
              </w:rPr>
            </w:pPr>
            <w:r w:rsidRPr="00707120">
              <w:rPr>
                <w:szCs w:val="22"/>
              </w:rPr>
              <w:t>19,3</w:t>
            </w:r>
            <w:ins w:id="1400" w:author="Author">
              <w:r w:rsidR="0050621C">
                <w:rPr>
                  <w:szCs w:val="22"/>
                </w:rPr>
                <w:t> </w:t>
              </w:r>
            </w:ins>
            <w:r w:rsidRPr="00707120">
              <w:rPr>
                <w:szCs w:val="22"/>
              </w:rPr>
              <w:t xml:space="preserve"> ±</w:t>
            </w:r>
            <w:ins w:id="1401" w:author="Author">
              <w:r w:rsidR="0050621C">
                <w:rPr>
                  <w:szCs w:val="22"/>
                </w:rPr>
                <w:t> </w:t>
              </w:r>
            </w:ins>
            <w:del w:id="1402" w:author="Author">
              <w:r w:rsidRPr="00707120" w:rsidDel="0050621C">
                <w:rPr>
                  <w:szCs w:val="22"/>
                </w:rPr>
                <w:delText xml:space="preserve"> </w:delText>
              </w:r>
            </w:del>
            <w:r w:rsidRPr="00707120">
              <w:rPr>
                <w:szCs w:val="22"/>
              </w:rPr>
              <w:t>12,8</w:t>
            </w:r>
          </w:p>
        </w:tc>
        <w:tc>
          <w:tcPr>
            <w:tcW w:w="2708" w:type="dxa"/>
            <w:tcBorders>
              <w:top w:val="single" w:sz="4" w:space="0" w:color="auto"/>
              <w:left w:val="single" w:sz="4" w:space="0" w:color="auto"/>
              <w:bottom w:val="single" w:sz="4" w:space="0" w:color="auto"/>
              <w:right w:val="single" w:sz="4" w:space="0" w:color="auto"/>
            </w:tcBorders>
            <w:tcPrChange w:id="1403" w:author="Author">
              <w:tcPr>
                <w:tcW w:w="2708" w:type="dxa"/>
                <w:tcBorders>
                  <w:top w:val="single" w:sz="4" w:space="0" w:color="auto"/>
                  <w:left w:val="single" w:sz="4" w:space="0" w:color="auto"/>
                  <w:bottom w:val="single" w:sz="4" w:space="0" w:color="auto"/>
                  <w:right w:val="single" w:sz="4" w:space="0" w:color="auto"/>
                </w:tcBorders>
              </w:tcPr>
            </w:tcPrChange>
          </w:tcPr>
          <w:p w14:paraId="4D823107" w14:textId="76770BE3" w:rsidR="00A453C3" w:rsidRPr="00707120" w:rsidRDefault="00A453C3" w:rsidP="0067693D">
            <w:pPr>
              <w:keepNext/>
              <w:keepLines/>
              <w:spacing w:after="120"/>
              <w:jc w:val="center"/>
              <w:rPr>
                <w:rFonts w:eastAsia="PMingLiU"/>
                <w:szCs w:val="22"/>
              </w:rPr>
            </w:pPr>
            <w:r w:rsidRPr="00707120">
              <w:rPr>
                <w:szCs w:val="22"/>
              </w:rPr>
              <w:t>73</w:t>
            </w:r>
            <w:ins w:id="1404" w:author="Author">
              <w:r w:rsidR="0050621C">
                <w:rPr>
                  <w:szCs w:val="22"/>
                </w:rPr>
                <w:t> </w:t>
              </w:r>
            </w:ins>
            <w:del w:id="1405" w:author="Author">
              <w:r w:rsidRPr="00707120" w:rsidDel="0050621C">
                <w:rPr>
                  <w:szCs w:val="22"/>
                </w:rPr>
                <w:delText xml:space="preserve"> </w:delText>
              </w:r>
            </w:del>
            <w:r w:rsidRPr="00707120">
              <w:rPr>
                <w:szCs w:val="22"/>
              </w:rPr>
              <w:t>±</w:t>
            </w:r>
            <w:ins w:id="1406" w:author="Author">
              <w:r w:rsidR="0050621C">
                <w:rPr>
                  <w:szCs w:val="22"/>
                </w:rPr>
                <w:t> </w:t>
              </w:r>
            </w:ins>
            <w:del w:id="1407" w:author="Author">
              <w:r w:rsidRPr="00707120" w:rsidDel="0050621C">
                <w:rPr>
                  <w:szCs w:val="22"/>
                </w:rPr>
                <w:delText xml:space="preserve"> </w:delText>
              </w:r>
            </w:del>
            <w:r w:rsidRPr="00707120">
              <w:rPr>
                <w:szCs w:val="22"/>
              </w:rPr>
              <w:t>30,4</w:t>
            </w:r>
          </w:p>
        </w:tc>
      </w:tr>
      <w:tr w:rsidR="00A453C3" w:rsidRPr="0049044B" w14:paraId="4C8A618C" w14:textId="77777777" w:rsidTr="002007A3">
        <w:trPr>
          <w:cantSplit/>
          <w:trHeight w:val="195"/>
          <w:jc w:val="center"/>
          <w:trPrChange w:id="1408" w:author="Author">
            <w:trPr>
              <w:cantSplit/>
              <w:trHeight w:val="195"/>
              <w:jc w:val="center"/>
            </w:trPr>
          </w:trPrChange>
        </w:trPr>
        <w:tc>
          <w:tcPr>
            <w:tcW w:w="3047" w:type="dxa"/>
            <w:tcBorders>
              <w:top w:val="single" w:sz="4" w:space="0" w:color="auto"/>
              <w:left w:val="single" w:sz="4" w:space="0" w:color="auto"/>
              <w:bottom w:val="single" w:sz="4" w:space="0" w:color="auto"/>
              <w:right w:val="single" w:sz="4" w:space="0" w:color="auto"/>
            </w:tcBorders>
            <w:tcPrChange w:id="1409" w:author="Author">
              <w:tcPr>
                <w:tcW w:w="4735" w:type="dxa"/>
                <w:gridSpan w:val="2"/>
                <w:tcBorders>
                  <w:top w:val="single" w:sz="4" w:space="0" w:color="auto"/>
                  <w:left w:val="single" w:sz="4" w:space="0" w:color="auto"/>
                  <w:bottom w:val="single" w:sz="4" w:space="0" w:color="auto"/>
                  <w:right w:val="single" w:sz="4" w:space="0" w:color="auto"/>
                </w:tcBorders>
              </w:tcPr>
            </w:tcPrChange>
          </w:tcPr>
          <w:p w14:paraId="0ACAE495" w14:textId="5E7EF223" w:rsidR="00A453C3" w:rsidRPr="00707120" w:rsidRDefault="00A453C3" w:rsidP="0067693D">
            <w:pPr>
              <w:keepNext/>
              <w:keepLines/>
              <w:spacing w:after="120"/>
              <w:rPr>
                <w:rFonts w:eastAsia="PMingLiU"/>
                <w:szCs w:val="22"/>
              </w:rPr>
            </w:pPr>
            <w:r w:rsidRPr="00707120">
              <w:rPr>
                <w:szCs w:val="22"/>
              </w:rPr>
              <w:t>C</w:t>
            </w:r>
            <w:r w:rsidRPr="00707120">
              <w:rPr>
                <w:szCs w:val="22"/>
                <w:vertAlign w:val="subscript"/>
              </w:rPr>
              <w:t>zemākā</w:t>
            </w:r>
            <w:r w:rsidRPr="00707120">
              <w:rPr>
                <w:szCs w:val="22"/>
              </w:rPr>
              <w:t xml:space="preserve"> (µg/ml)</w:t>
            </w:r>
          </w:p>
        </w:tc>
        <w:tc>
          <w:tcPr>
            <w:tcW w:w="3171" w:type="dxa"/>
            <w:tcBorders>
              <w:top w:val="single" w:sz="4" w:space="0" w:color="auto"/>
              <w:left w:val="single" w:sz="4" w:space="0" w:color="auto"/>
              <w:bottom w:val="single" w:sz="4" w:space="0" w:color="auto"/>
              <w:right w:val="single" w:sz="4" w:space="0" w:color="auto"/>
            </w:tcBorders>
            <w:tcPrChange w:id="1410" w:author="Author">
              <w:tcPr>
                <w:tcW w:w="1483" w:type="dxa"/>
                <w:tcBorders>
                  <w:top w:val="single" w:sz="4" w:space="0" w:color="auto"/>
                  <w:left w:val="single" w:sz="4" w:space="0" w:color="auto"/>
                  <w:bottom w:val="single" w:sz="4" w:space="0" w:color="auto"/>
                  <w:right w:val="single" w:sz="4" w:space="0" w:color="auto"/>
                </w:tcBorders>
              </w:tcPr>
            </w:tcPrChange>
          </w:tcPr>
          <w:p w14:paraId="24AFE8A5" w14:textId="5EDE9C00" w:rsidR="00A453C3" w:rsidRPr="00707120" w:rsidRDefault="00A453C3" w:rsidP="0067693D">
            <w:pPr>
              <w:keepNext/>
              <w:keepLines/>
              <w:spacing w:after="120"/>
              <w:jc w:val="center"/>
              <w:rPr>
                <w:rFonts w:eastAsia="PMingLiU"/>
                <w:szCs w:val="22"/>
              </w:rPr>
            </w:pPr>
            <w:r w:rsidRPr="00707120">
              <w:rPr>
                <w:szCs w:val="22"/>
              </w:rPr>
              <w:t>11,1</w:t>
            </w:r>
            <w:ins w:id="1411" w:author="Author">
              <w:r w:rsidR="0050621C">
                <w:rPr>
                  <w:szCs w:val="22"/>
                </w:rPr>
                <w:t> </w:t>
              </w:r>
            </w:ins>
            <w:del w:id="1412" w:author="Author">
              <w:r w:rsidRPr="00707120" w:rsidDel="0050621C">
                <w:rPr>
                  <w:szCs w:val="22"/>
                </w:rPr>
                <w:delText xml:space="preserve"> </w:delText>
              </w:r>
            </w:del>
            <w:r w:rsidRPr="00707120">
              <w:rPr>
                <w:szCs w:val="22"/>
              </w:rPr>
              <w:t>±</w:t>
            </w:r>
            <w:ins w:id="1413" w:author="Author">
              <w:r w:rsidR="0050621C">
                <w:rPr>
                  <w:szCs w:val="22"/>
                </w:rPr>
                <w:t> </w:t>
              </w:r>
            </w:ins>
            <w:del w:id="1414" w:author="Author">
              <w:r w:rsidRPr="00707120" w:rsidDel="0050621C">
                <w:rPr>
                  <w:szCs w:val="22"/>
                </w:rPr>
                <w:delText xml:space="preserve"> </w:delText>
              </w:r>
            </w:del>
            <w:r w:rsidRPr="00707120">
              <w:rPr>
                <w:szCs w:val="22"/>
              </w:rPr>
              <w:t>10,3</w:t>
            </w:r>
          </w:p>
        </w:tc>
        <w:tc>
          <w:tcPr>
            <w:tcW w:w="2708" w:type="dxa"/>
            <w:tcBorders>
              <w:top w:val="single" w:sz="4" w:space="0" w:color="auto"/>
              <w:left w:val="single" w:sz="4" w:space="0" w:color="auto"/>
              <w:bottom w:val="single" w:sz="4" w:space="0" w:color="auto"/>
              <w:right w:val="single" w:sz="4" w:space="0" w:color="auto"/>
            </w:tcBorders>
            <w:tcPrChange w:id="1415" w:author="Author">
              <w:tcPr>
                <w:tcW w:w="2708" w:type="dxa"/>
                <w:tcBorders>
                  <w:top w:val="single" w:sz="4" w:space="0" w:color="auto"/>
                  <w:left w:val="single" w:sz="4" w:space="0" w:color="auto"/>
                  <w:bottom w:val="single" w:sz="4" w:space="0" w:color="auto"/>
                  <w:right w:val="single" w:sz="4" w:space="0" w:color="auto"/>
                </w:tcBorders>
              </w:tcPr>
            </w:tcPrChange>
          </w:tcPr>
          <w:p w14:paraId="0B7CC47B" w14:textId="056D67E3" w:rsidR="00A453C3" w:rsidRPr="00707120" w:rsidRDefault="00A453C3" w:rsidP="0067693D">
            <w:pPr>
              <w:keepNext/>
              <w:keepLines/>
              <w:spacing w:after="120"/>
              <w:jc w:val="center"/>
              <w:rPr>
                <w:rFonts w:eastAsia="PMingLiU"/>
                <w:szCs w:val="22"/>
              </w:rPr>
            </w:pPr>
            <w:r w:rsidRPr="00707120">
              <w:rPr>
                <w:szCs w:val="22"/>
              </w:rPr>
              <w:t>68,1</w:t>
            </w:r>
            <w:ins w:id="1416" w:author="Author">
              <w:r w:rsidR="0050621C">
                <w:rPr>
                  <w:szCs w:val="22"/>
                </w:rPr>
                <w:t> </w:t>
              </w:r>
            </w:ins>
            <w:del w:id="1417" w:author="Author">
              <w:r w:rsidRPr="00707120" w:rsidDel="0050621C">
                <w:rPr>
                  <w:szCs w:val="22"/>
                </w:rPr>
                <w:delText xml:space="preserve"> </w:delText>
              </w:r>
            </w:del>
            <w:r w:rsidRPr="00707120">
              <w:rPr>
                <w:szCs w:val="22"/>
              </w:rPr>
              <w:t>±</w:t>
            </w:r>
            <w:ins w:id="1418" w:author="Author">
              <w:r w:rsidR="0050621C">
                <w:rPr>
                  <w:szCs w:val="22"/>
                </w:rPr>
                <w:t> </w:t>
              </w:r>
            </w:ins>
            <w:del w:id="1419" w:author="Author">
              <w:r w:rsidRPr="00707120" w:rsidDel="0050621C">
                <w:rPr>
                  <w:szCs w:val="22"/>
                </w:rPr>
                <w:delText xml:space="preserve"> </w:delText>
              </w:r>
            </w:del>
            <w:r w:rsidRPr="00707120">
              <w:rPr>
                <w:szCs w:val="22"/>
              </w:rPr>
              <w:t>29,5</w:t>
            </w:r>
          </w:p>
        </w:tc>
      </w:tr>
      <w:tr w:rsidR="00A453C3" w:rsidRPr="0049044B" w14:paraId="6711E520" w14:textId="77777777" w:rsidTr="002007A3">
        <w:trPr>
          <w:cantSplit/>
          <w:trHeight w:val="324"/>
          <w:jc w:val="center"/>
          <w:trPrChange w:id="1420" w:author="Author">
            <w:trPr>
              <w:cantSplit/>
              <w:trHeight w:val="324"/>
              <w:jc w:val="center"/>
            </w:trPr>
          </w:trPrChange>
        </w:trPr>
        <w:tc>
          <w:tcPr>
            <w:tcW w:w="3047" w:type="dxa"/>
            <w:tcBorders>
              <w:top w:val="single" w:sz="4" w:space="0" w:color="auto"/>
              <w:left w:val="single" w:sz="4" w:space="0" w:color="auto"/>
              <w:bottom w:val="single" w:sz="4" w:space="0" w:color="auto"/>
              <w:right w:val="single" w:sz="4" w:space="0" w:color="auto"/>
            </w:tcBorders>
            <w:tcPrChange w:id="1421" w:author="Author">
              <w:tcPr>
                <w:tcW w:w="2972" w:type="dxa"/>
                <w:tcBorders>
                  <w:top w:val="single" w:sz="4" w:space="0" w:color="auto"/>
                  <w:left w:val="single" w:sz="4" w:space="0" w:color="auto"/>
                  <w:bottom w:val="single" w:sz="4" w:space="0" w:color="auto"/>
                  <w:right w:val="single" w:sz="4" w:space="0" w:color="auto"/>
                </w:tcBorders>
              </w:tcPr>
            </w:tcPrChange>
          </w:tcPr>
          <w:p w14:paraId="73CD20E8" w14:textId="77777777" w:rsidR="00A453C3" w:rsidRPr="00707120" w:rsidRDefault="00A453C3" w:rsidP="0067693D">
            <w:pPr>
              <w:keepNext/>
              <w:keepLines/>
              <w:spacing w:after="120"/>
              <w:rPr>
                <w:rFonts w:eastAsia="PMingLiU"/>
                <w:szCs w:val="22"/>
              </w:rPr>
            </w:pPr>
            <w:r w:rsidRPr="00707120">
              <w:rPr>
                <w:szCs w:val="22"/>
              </w:rPr>
              <w:t>C</w:t>
            </w:r>
            <w:r w:rsidRPr="00707120">
              <w:rPr>
                <w:szCs w:val="22"/>
                <w:vertAlign w:val="subscript"/>
              </w:rPr>
              <w:t>vid.</w:t>
            </w:r>
            <w:r w:rsidRPr="00707120">
              <w:rPr>
                <w:szCs w:val="22"/>
              </w:rPr>
              <w:t xml:space="preserve"> (µg/ml)</w:t>
            </w:r>
          </w:p>
        </w:tc>
        <w:tc>
          <w:tcPr>
            <w:tcW w:w="3171" w:type="dxa"/>
            <w:tcBorders>
              <w:top w:val="single" w:sz="4" w:space="0" w:color="auto"/>
              <w:left w:val="single" w:sz="4" w:space="0" w:color="auto"/>
              <w:bottom w:val="single" w:sz="4" w:space="0" w:color="auto"/>
              <w:right w:val="single" w:sz="4" w:space="0" w:color="auto"/>
            </w:tcBorders>
            <w:tcPrChange w:id="1422" w:author="Author">
              <w:tcPr>
                <w:tcW w:w="3246" w:type="dxa"/>
                <w:gridSpan w:val="2"/>
                <w:tcBorders>
                  <w:top w:val="single" w:sz="4" w:space="0" w:color="auto"/>
                  <w:left w:val="single" w:sz="4" w:space="0" w:color="auto"/>
                  <w:bottom w:val="single" w:sz="4" w:space="0" w:color="auto"/>
                  <w:right w:val="single" w:sz="4" w:space="0" w:color="auto"/>
                </w:tcBorders>
              </w:tcPr>
            </w:tcPrChange>
          </w:tcPr>
          <w:p w14:paraId="1F745773" w14:textId="45A7960D" w:rsidR="00A453C3" w:rsidRPr="00707120" w:rsidRDefault="00A453C3" w:rsidP="0067693D">
            <w:pPr>
              <w:keepNext/>
              <w:keepLines/>
              <w:spacing w:after="120"/>
              <w:jc w:val="center"/>
              <w:rPr>
                <w:rFonts w:eastAsia="PMingLiU"/>
                <w:szCs w:val="22"/>
              </w:rPr>
            </w:pPr>
            <w:del w:id="1423" w:author="Author">
              <w:r w:rsidRPr="00707120" w:rsidDel="0050621C">
                <w:rPr>
                  <w:szCs w:val="22"/>
                </w:rPr>
                <w:delText xml:space="preserve"> </w:delText>
              </w:r>
            </w:del>
            <w:r w:rsidRPr="00707120">
              <w:rPr>
                <w:szCs w:val="22"/>
              </w:rPr>
              <w:t>16,2</w:t>
            </w:r>
            <w:ins w:id="1424" w:author="Author">
              <w:r w:rsidR="0050621C">
                <w:rPr>
                  <w:szCs w:val="22"/>
                </w:rPr>
                <w:t> </w:t>
              </w:r>
            </w:ins>
            <w:del w:id="1425" w:author="Author">
              <w:r w:rsidRPr="00707120" w:rsidDel="0050621C">
                <w:rPr>
                  <w:szCs w:val="22"/>
                </w:rPr>
                <w:delText xml:space="preserve"> </w:delText>
              </w:r>
            </w:del>
            <w:r w:rsidRPr="00707120">
              <w:rPr>
                <w:szCs w:val="22"/>
              </w:rPr>
              <w:t>±</w:t>
            </w:r>
            <w:ins w:id="1426" w:author="Author">
              <w:r w:rsidR="0050621C">
                <w:rPr>
                  <w:szCs w:val="22"/>
                </w:rPr>
                <w:t> </w:t>
              </w:r>
            </w:ins>
            <w:del w:id="1427" w:author="Author">
              <w:r w:rsidRPr="00707120" w:rsidDel="0050621C">
                <w:rPr>
                  <w:szCs w:val="22"/>
                </w:rPr>
                <w:delText xml:space="preserve"> </w:delText>
              </w:r>
            </w:del>
            <w:r w:rsidRPr="00707120">
              <w:rPr>
                <w:szCs w:val="22"/>
              </w:rPr>
              <w:t>11,8</w:t>
            </w:r>
          </w:p>
        </w:tc>
        <w:tc>
          <w:tcPr>
            <w:tcW w:w="2708" w:type="dxa"/>
            <w:tcBorders>
              <w:top w:val="single" w:sz="4" w:space="0" w:color="auto"/>
              <w:left w:val="single" w:sz="4" w:space="0" w:color="auto"/>
              <w:bottom w:val="single" w:sz="4" w:space="0" w:color="auto"/>
              <w:right w:val="single" w:sz="4" w:space="0" w:color="auto"/>
            </w:tcBorders>
            <w:tcPrChange w:id="1428" w:author="Author">
              <w:tcPr>
                <w:tcW w:w="2708" w:type="dxa"/>
                <w:tcBorders>
                  <w:top w:val="single" w:sz="4" w:space="0" w:color="auto"/>
                  <w:left w:val="single" w:sz="4" w:space="0" w:color="auto"/>
                  <w:bottom w:val="single" w:sz="4" w:space="0" w:color="auto"/>
                  <w:right w:val="single" w:sz="4" w:space="0" w:color="auto"/>
                </w:tcBorders>
              </w:tcPr>
            </w:tcPrChange>
          </w:tcPr>
          <w:p w14:paraId="4D4B914C" w14:textId="096DC1B2" w:rsidR="00A453C3" w:rsidRPr="00707120" w:rsidRDefault="00A453C3" w:rsidP="0067693D">
            <w:pPr>
              <w:keepNext/>
              <w:keepLines/>
              <w:spacing w:after="120"/>
              <w:jc w:val="center"/>
              <w:rPr>
                <w:rFonts w:eastAsia="PMingLiU"/>
                <w:szCs w:val="22"/>
              </w:rPr>
            </w:pPr>
            <w:r w:rsidRPr="00707120">
              <w:rPr>
                <w:szCs w:val="22"/>
              </w:rPr>
              <w:t>71,3</w:t>
            </w:r>
            <w:ins w:id="1429" w:author="Author">
              <w:r w:rsidR="0050621C">
                <w:rPr>
                  <w:szCs w:val="22"/>
                </w:rPr>
                <w:t> </w:t>
              </w:r>
            </w:ins>
            <w:del w:id="1430" w:author="Author">
              <w:r w:rsidRPr="00707120" w:rsidDel="0050621C">
                <w:rPr>
                  <w:szCs w:val="22"/>
                </w:rPr>
                <w:delText xml:space="preserve"> </w:delText>
              </w:r>
            </w:del>
            <w:r w:rsidRPr="00707120">
              <w:rPr>
                <w:szCs w:val="22"/>
              </w:rPr>
              <w:t>±</w:t>
            </w:r>
            <w:ins w:id="1431" w:author="Author">
              <w:r w:rsidR="0050621C">
                <w:rPr>
                  <w:szCs w:val="22"/>
                </w:rPr>
                <w:t> </w:t>
              </w:r>
            </w:ins>
            <w:del w:id="1432" w:author="Author">
              <w:r w:rsidRPr="00707120" w:rsidDel="0050621C">
                <w:rPr>
                  <w:szCs w:val="22"/>
                </w:rPr>
                <w:delText xml:space="preserve"> </w:delText>
              </w:r>
            </w:del>
            <w:r w:rsidRPr="00707120">
              <w:rPr>
                <w:szCs w:val="22"/>
              </w:rPr>
              <w:t>30,1</w:t>
            </w:r>
          </w:p>
        </w:tc>
      </w:tr>
      <w:tr w:rsidR="00A453C3" w:rsidRPr="0049044B" w14:paraId="748D4062" w14:textId="77777777" w:rsidTr="002007A3">
        <w:trPr>
          <w:cantSplit/>
          <w:trHeight w:val="324"/>
          <w:jc w:val="center"/>
          <w:trPrChange w:id="1433" w:author="Author">
            <w:trPr>
              <w:cantSplit/>
              <w:trHeight w:val="324"/>
              <w:jc w:val="center"/>
            </w:trPr>
          </w:trPrChange>
        </w:trPr>
        <w:tc>
          <w:tcPr>
            <w:tcW w:w="3047" w:type="dxa"/>
            <w:tcBorders>
              <w:top w:val="single" w:sz="4" w:space="0" w:color="auto"/>
              <w:left w:val="single" w:sz="4" w:space="0" w:color="auto"/>
              <w:bottom w:val="single" w:sz="4" w:space="0" w:color="auto"/>
              <w:right w:val="single" w:sz="4" w:space="0" w:color="auto"/>
            </w:tcBorders>
            <w:tcPrChange w:id="1434" w:author="Author">
              <w:tcPr>
                <w:tcW w:w="2972" w:type="dxa"/>
                <w:tcBorders>
                  <w:top w:val="single" w:sz="4" w:space="0" w:color="auto"/>
                  <w:left w:val="single" w:sz="4" w:space="0" w:color="auto"/>
                  <w:bottom w:val="single" w:sz="4" w:space="0" w:color="auto"/>
                  <w:right w:val="single" w:sz="4" w:space="0" w:color="auto"/>
                </w:tcBorders>
              </w:tcPr>
            </w:tcPrChange>
          </w:tcPr>
          <w:p w14:paraId="348FF8A2" w14:textId="77777777" w:rsidR="00A453C3" w:rsidRPr="00707120" w:rsidRDefault="00A453C3" w:rsidP="0067693D">
            <w:pPr>
              <w:keepNext/>
              <w:keepLines/>
              <w:spacing w:after="120"/>
              <w:rPr>
                <w:rFonts w:eastAsia="PMingLiU"/>
                <w:szCs w:val="22"/>
              </w:rPr>
            </w:pPr>
            <w:r w:rsidRPr="00707120">
              <w:rPr>
                <w:szCs w:val="22"/>
              </w:rPr>
              <w:t>Akumulācija, C</w:t>
            </w:r>
            <w:r w:rsidRPr="00707120">
              <w:rPr>
                <w:szCs w:val="22"/>
                <w:vertAlign w:val="subscript"/>
              </w:rPr>
              <w:t>max.</w:t>
            </w:r>
          </w:p>
        </w:tc>
        <w:tc>
          <w:tcPr>
            <w:tcW w:w="3171" w:type="dxa"/>
            <w:tcBorders>
              <w:top w:val="single" w:sz="4" w:space="0" w:color="auto"/>
              <w:left w:val="single" w:sz="4" w:space="0" w:color="auto"/>
              <w:bottom w:val="single" w:sz="4" w:space="0" w:color="auto"/>
              <w:right w:val="single" w:sz="4" w:space="0" w:color="auto"/>
            </w:tcBorders>
            <w:tcPrChange w:id="1435" w:author="Author">
              <w:tcPr>
                <w:tcW w:w="3246" w:type="dxa"/>
                <w:gridSpan w:val="2"/>
                <w:tcBorders>
                  <w:top w:val="single" w:sz="4" w:space="0" w:color="auto"/>
                  <w:left w:val="single" w:sz="4" w:space="0" w:color="auto"/>
                  <w:bottom w:val="single" w:sz="4" w:space="0" w:color="auto"/>
                  <w:right w:val="single" w:sz="4" w:space="0" w:color="auto"/>
                </w:tcBorders>
              </w:tcPr>
            </w:tcPrChange>
          </w:tcPr>
          <w:p w14:paraId="124229EF" w14:textId="77777777" w:rsidR="00A453C3" w:rsidRPr="00707120" w:rsidRDefault="00A453C3" w:rsidP="0067693D">
            <w:pPr>
              <w:keepNext/>
              <w:keepLines/>
              <w:spacing w:after="120"/>
              <w:jc w:val="center"/>
              <w:rPr>
                <w:rFonts w:eastAsia="PMingLiU"/>
                <w:szCs w:val="22"/>
              </w:rPr>
            </w:pPr>
            <w:r w:rsidRPr="00707120">
              <w:rPr>
                <w:szCs w:val="22"/>
              </w:rPr>
              <w:t>2,18</w:t>
            </w:r>
          </w:p>
        </w:tc>
        <w:tc>
          <w:tcPr>
            <w:tcW w:w="2708" w:type="dxa"/>
            <w:tcBorders>
              <w:top w:val="single" w:sz="4" w:space="0" w:color="auto"/>
              <w:left w:val="single" w:sz="4" w:space="0" w:color="auto"/>
              <w:bottom w:val="single" w:sz="4" w:space="0" w:color="auto"/>
              <w:right w:val="single" w:sz="4" w:space="0" w:color="auto"/>
            </w:tcBorders>
            <w:tcPrChange w:id="1436" w:author="Author">
              <w:tcPr>
                <w:tcW w:w="2708" w:type="dxa"/>
                <w:tcBorders>
                  <w:top w:val="single" w:sz="4" w:space="0" w:color="auto"/>
                  <w:left w:val="single" w:sz="4" w:space="0" w:color="auto"/>
                  <w:bottom w:val="single" w:sz="4" w:space="0" w:color="auto"/>
                  <w:right w:val="single" w:sz="4" w:space="0" w:color="auto"/>
                </w:tcBorders>
              </w:tcPr>
            </w:tcPrChange>
          </w:tcPr>
          <w:p w14:paraId="0F4F6974" w14:textId="171A8DBE" w:rsidR="00A453C3" w:rsidRPr="00707120" w:rsidRDefault="00A453C3" w:rsidP="0067693D">
            <w:pPr>
              <w:keepNext/>
              <w:keepLines/>
              <w:spacing w:after="120"/>
              <w:jc w:val="center"/>
              <w:rPr>
                <w:rFonts w:eastAsia="PMingLiU"/>
                <w:szCs w:val="22"/>
              </w:rPr>
            </w:pPr>
            <w:del w:id="1437" w:author="Author">
              <w:r w:rsidRPr="00707120" w:rsidDel="0050621C">
                <w:rPr>
                  <w:szCs w:val="22"/>
                </w:rPr>
                <w:delText xml:space="preserve"> </w:delText>
              </w:r>
            </w:del>
            <w:r w:rsidRPr="00707120">
              <w:rPr>
                <w:szCs w:val="22"/>
              </w:rPr>
              <w:t>8,88</w:t>
            </w:r>
          </w:p>
        </w:tc>
      </w:tr>
      <w:tr w:rsidR="00A453C3" w:rsidRPr="0049044B" w14:paraId="799DECFD" w14:textId="77777777" w:rsidTr="002007A3">
        <w:trPr>
          <w:cantSplit/>
          <w:trHeight w:val="331"/>
          <w:jc w:val="center"/>
          <w:trPrChange w:id="1438" w:author="Author">
            <w:trPr>
              <w:cantSplit/>
              <w:trHeight w:val="331"/>
              <w:jc w:val="center"/>
            </w:trPr>
          </w:trPrChange>
        </w:trPr>
        <w:tc>
          <w:tcPr>
            <w:tcW w:w="3047" w:type="dxa"/>
            <w:tcBorders>
              <w:top w:val="single" w:sz="4" w:space="0" w:color="auto"/>
              <w:left w:val="single" w:sz="4" w:space="0" w:color="auto"/>
              <w:bottom w:val="single" w:sz="4" w:space="0" w:color="auto"/>
              <w:right w:val="single" w:sz="4" w:space="0" w:color="auto"/>
            </w:tcBorders>
            <w:tcPrChange w:id="1439" w:author="Author">
              <w:tcPr>
                <w:tcW w:w="4735" w:type="dxa"/>
                <w:gridSpan w:val="2"/>
                <w:tcBorders>
                  <w:top w:val="single" w:sz="4" w:space="0" w:color="auto"/>
                  <w:left w:val="single" w:sz="4" w:space="0" w:color="auto"/>
                  <w:bottom w:val="single" w:sz="4" w:space="0" w:color="auto"/>
                  <w:right w:val="single" w:sz="4" w:space="0" w:color="auto"/>
                </w:tcBorders>
              </w:tcPr>
            </w:tcPrChange>
          </w:tcPr>
          <w:p w14:paraId="69EBE71C" w14:textId="3743E492" w:rsidR="00A453C3" w:rsidRPr="00707120" w:rsidRDefault="00A453C3" w:rsidP="0067693D">
            <w:pPr>
              <w:keepNext/>
              <w:keepLines/>
              <w:spacing w:after="120"/>
              <w:rPr>
                <w:rFonts w:eastAsia="PMingLiU"/>
                <w:szCs w:val="22"/>
              </w:rPr>
            </w:pPr>
            <w:r w:rsidRPr="00707120">
              <w:rPr>
                <w:szCs w:val="22"/>
              </w:rPr>
              <w:t>Akumulācija, C</w:t>
            </w:r>
            <w:r w:rsidRPr="00707120">
              <w:rPr>
                <w:szCs w:val="22"/>
                <w:vertAlign w:val="subscript"/>
              </w:rPr>
              <w:t>zemākā</w:t>
            </w:r>
          </w:p>
        </w:tc>
        <w:tc>
          <w:tcPr>
            <w:tcW w:w="3171" w:type="dxa"/>
            <w:tcBorders>
              <w:top w:val="single" w:sz="4" w:space="0" w:color="auto"/>
              <w:left w:val="single" w:sz="4" w:space="0" w:color="auto"/>
              <w:bottom w:val="single" w:sz="4" w:space="0" w:color="auto"/>
              <w:right w:val="single" w:sz="4" w:space="0" w:color="auto"/>
            </w:tcBorders>
            <w:tcPrChange w:id="1440" w:author="Author">
              <w:tcPr>
                <w:tcW w:w="1483" w:type="dxa"/>
                <w:tcBorders>
                  <w:top w:val="single" w:sz="4" w:space="0" w:color="auto"/>
                  <w:left w:val="single" w:sz="4" w:space="0" w:color="auto"/>
                  <w:bottom w:val="single" w:sz="4" w:space="0" w:color="auto"/>
                  <w:right w:val="single" w:sz="4" w:space="0" w:color="auto"/>
                </w:tcBorders>
              </w:tcPr>
            </w:tcPrChange>
          </w:tcPr>
          <w:p w14:paraId="1A0E1296" w14:textId="77777777" w:rsidR="00A453C3" w:rsidRPr="00707120" w:rsidRDefault="00A453C3" w:rsidP="0067693D">
            <w:pPr>
              <w:keepNext/>
              <w:keepLines/>
              <w:spacing w:after="120"/>
              <w:jc w:val="center"/>
              <w:rPr>
                <w:rFonts w:eastAsia="PMingLiU"/>
                <w:szCs w:val="22"/>
              </w:rPr>
            </w:pPr>
            <w:r w:rsidRPr="00707120">
              <w:rPr>
                <w:szCs w:val="22"/>
              </w:rPr>
              <w:t>5,61</w:t>
            </w:r>
          </w:p>
        </w:tc>
        <w:tc>
          <w:tcPr>
            <w:tcW w:w="2708" w:type="dxa"/>
            <w:tcBorders>
              <w:top w:val="single" w:sz="4" w:space="0" w:color="auto"/>
              <w:left w:val="single" w:sz="4" w:space="0" w:color="auto"/>
              <w:bottom w:val="single" w:sz="4" w:space="0" w:color="auto"/>
              <w:right w:val="single" w:sz="4" w:space="0" w:color="auto"/>
            </w:tcBorders>
            <w:tcPrChange w:id="1441" w:author="Author">
              <w:tcPr>
                <w:tcW w:w="2708" w:type="dxa"/>
                <w:tcBorders>
                  <w:top w:val="single" w:sz="4" w:space="0" w:color="auto"/>
                  <w:left w:val="single" w:sz="4" w:space="0" w:color="auto"/>
                  <w:bottom w:val="single" w:sz="4" w:space="0" w:color="auto"/>
                  <w:right w:val="single" w:sz="4" w:space="0" w:color="auto"/>
                </w:tcBorders>
              </w:tcPr>
            </w:tcPrChange>
          </w:tcPr>
          <w:p w14:paraId="28EBD02C" w14:textId="77777777" w:rsidR="00A453C3" w:rsidRPr="00707120" w:rsidRDefault="00A453C3" w:rsidP="0067693D">
            <w:pPr>
              <w:keepNext/>
              <w:keepLines/>
              <w:spacing w:after="120"/>
              <w:jc w:val="center"/>
              <w:rPr>
                <w:rFonts w:eastAsia="PMingLiU"/>
                <w:szCs w:val="22"/>
              </w:rPr>
            </w:pPr>
            <w:r w:rsidRPr="00707120">
              <w:rPr>
                <w:szCs w:val="22"/>
              </w:rPr>
              <w:t>9,59</w:t>
            </w:r>
          </w:p>
        </w:tc>
      </w:tr>
      <w:tr w:rsidR="00A453C3" w:rsidRPr="0049044B" w14:paraId="3645D061" w14:textId="77777777" w:rsidTr="002007A3">
        <w:trPr>
          <w:cantSplit/>
          <w:trHeight w:val="331"/>
          <w:jc w:val="center"/>
          <w:trPrChange w:id="1442" w:author="Author">
            <w:trPr>
              <w:cantSplit/>
              <w:trHeight w:val="331"/>
              <w:jc w:val="center"/>
            </w:trPr>
          </w:trPrChange>
        </w:trPr>
        <w:tc>
          <w:tcPr>
            <w:tcW w:w="3047" w:type="dxa"/>
            <w:tcBorders>
              <w:top w:val="single" w:sz="4" w:space="0" w:color="auto"/>
              <w:left w:val="single" w:sz="4" w:space="0" w:color="auto"/>
              <w:bottom w:val="single" w:sz="4" w:space="0" w:color="auto"/>
              <w:right w:val="single" w:sz="4" w:space="0" w:color="auto"/>
            </w:tcBorders>
            <w:tcPrChange w:id="1443" w:author="Author">
              <w:tcPr>
                <w:tcW w:w="2972" w:type="dxa"/>
                <w:tcBorders>
                  <w:top w:val="single" w:sz="4" w:space="0" w:color="auto"/>
                  <w:left w:val="single" w:sz="4" w:space="0" w:color="auto"/>
                  <w:bottom w:val="single" w:sz="4" w:space="0" w:color="auto"/>
                  <w:right w:val="single" w:sz="4" w:space="0" w:color="auto"/>
                </w:tcBorders>
              </w:tcPr>
            </w:tcPrChange>
          </w:tcPr>
          <w:p w14:paraId="3A99B147" w14:textId="77777777" w:rsidR="00A453C3" w:rsidRPr="00707120" w:rsidRDefault="00A453C3" w:rsidP="0067693D">
            <w:pPr>
              <w:keepNext/>
              <w:keepLines/>
              <w:spacing w:after="120"/>
              <w:rPr>
                <w:rFonts w:eastAsia="PMingLiU"/>
                <w:szCs w:val="22"/>
              </w:rPr>
            </w:pPr>
            <w:r w:rsidRPr="00707120">
              <w:rPr>
                <w:szCs w:val="22"/>
              </w:rPr>
              <w:t>Akumulācija, C</w:t>
            </w:r>
            <w:r w:rsidRPr="00707120">
              <w:rPr>
                <w:szCs w:val="22"/>
                <w:vertAlign w:val="subscript"/>
              </w:rPr>
              <w:t>vid.</w:t>
            </w:r>
            <w:r w:rsidRPr="00707120">
              <w:rPr>
                <w:szCs w:val="22"/>
              </w:rPr>
              <w:t xml:space="preserve"> vai AUC</w:t>
            </w:r>
            <w:r w:rsidRPr="00707120">
              <w:rPr>
                <w:szCs w:val="22"/>
                <w:vertAlign w:val="subscript"/>
              </w:rPr>
              <w:t>τ</w:t>
            </w:r>
            <w:r w:rsidRPr="00707120">
              <w:rPr>
                <w:szCs w:val="22"/>
                <w:lang w:eastAsia="en-US"/>
              </w:rPr>
              <w:t>*</w:t>
            </w:r>
            <w:r w:rsidRPr="00707120">
              <w:rPr>
                <w:szCs w:val="22"/>
              </w:rPr>
              <w:t xml:space="preserve"> </w:t>
            </w:r>
          </w:p>
        </w:tc>
        <w:tc>
          <w:tcPr>
            <w:tcW w:w="3171" w:type="dxa"/>
            <w:tcBorders>
              <w:top w:val="single" w:sz="4" w:space="0" w:color="auto"/>
              <w:left w:val="single" w:sz="4" w:space="0" w:color="auto"/>
              <w:bottom w:val="single" w:sz="4" w:space="0" w:color="auto"/>
              <w:right w:val="single" w:sz="4" w:space="0" w:color="auto"/>
            </w:tcBorders>
            <w:tcPrChange w:id="1444" w:author="Author">
              <w:tcPr>
                <w:tcW w:w="3246" w:type="dxa"/>
                <w:gridSpan w:val="2"/>
                <w:tcBorders>
                  <w:top w:val="single" w:sz="4" w:space="0" w:color="auto"/>
                  <w:left w:val="single" w:sz="4" w:space="0" w:color="auto"/>
                  <w:bottom w:val="single" w:sz="4" w:space="0" w:color="auto"/>
                  <w:right w:val="single" w:sz="4" w:space="0" w:color="auto"/>
                </w:tcBorders>
              </w:tcPr>
            </w:tcPrChange>
          </w:tcPr>
          <w:p w14:paraId="3532C4F0" w14:textId="77777777" w:rsidR="00A453C3" w:rsidRPr="00707120" w:rsidRDefault="00A453C3" w:rsidP="0067693D">
            <w:pPr>
              <w:keepNext/>
              <w:keepLines/>
              <w:spacing w:after="120"/>
              <w:jc w:val="center"/>
              <w:rPr>
                <w:rFonts w:eastAsia="PMingLiU"/>
                <w:szCs w:val="22"/>
              </w:rPr>
            </w:pPr>
            <w:r w:rsidRPr="00707120">
              <w:rPr>
                <w:szCs w:val="22"/>
              </w:rPr>
              <w:t>2,81</w:t>
            </w:r>
          </w:p>
        </w:tc>
        <w:tc>
          <w:tcPr>
            <w:tcW w:w="2708" w:type="dxa"/>
            <w:tcBorders>
              <w:top w:val="single" w:sz="4" w:space="0" w:color="auto"/>
              <w:left w:val="single" w:sz="4" w:space="0" w:color="auto"/>
              <w:bottom w:val="single" w:sz="4" w:space="0" w:color="auto"/>
              <w:right w:val="single" w:sz="4" w:space="0" w:color="auto"/>
            </w:tcBorders>
            <w:tcPrChange w:id="1445" w:author="Author">
              <w:tcPr>
                <w:tcW w:w="2708" w:type="dxa"/>
                <w:tcBorders>
                  <w:top w:val="single" w:sz="4" w:space="0" w:color="auto"/>
                  <w:left w:val="single" w:sz="4" w:space="0" w:color="auto"/>
                  <w:bottom w:val="single" w:sz="4" w:space="0" w:color="auto"/>
                  <w:right w:val="single" w:sz="4" w:space="0" w:color="auto"/>
                </w:tcBorders>
              </w:tcPr>
            </w:tcPrChange>
          </w:tcPr>
          <w:p w14:paraId="77BA0459" w14:textId="77777777" w:rsidR="00A453C3" w:rsidRPr="00707120" w:rsidRDefault="00A453C3" w:rsidP="0067693D">
            <w:pPr>
              <w:keepNext/>
              <w:keepLines/>
              <w:spacing w:after="120"/>
              <w:jc w:val="center"/>
              <w:rPr>
                <w:rFonts w:eastAsia="PMingLiU"/>
                <w:szCs w:val="22"/>
              </w:rPr>
            </w:pPr>
            <w:r w:rsidRPr="00707120">
              <w:rPr>
                <w:szCs w:val="22"/>
              </w:rPr>
              <w:t>10,91</w:t>
            </w:r>
          </w:p>
        </w:tc>
      </w:tr>
    </w:tbl>
    <w:p w14:paraId="2F57F16E" w14:textId="1B977B71" w:rsidR="00A453C3" w:rsidRPr="00290EF7" w:rsidRDefault="00A453C3" w:rsidP="00A453C3">
      <w:pPr>
        <w:rPr>
          <w:sz w:val="18"/>
          <w:szCs w:val="18"/>
        </w:rPr>
      </w:pPr>
      <w:r>
        <w:rPr>
          <w:sz w:val="18"/>
        </w:rPr>
        <w:t>*τ = attiecīgi 2 nedēļas vai 1 nedēļa abām subkutānas lietošanas shēmām.</w:t>
      </w:r>
    </w:p>
    <w:p w14:paraId="5BD5DAC8" w14:textId="77777777" w:rsidR="00A453C3" w:rsidRPr="00DD7A4F" w:rsidRDefault="00A453C3" w:rsidP="00A453C3">
      <w:pPr>
        <w:keepNext/>
        <w:keepLines/>
      </w:pPr>
    </w:p>
    <w:p w14:paraId="363711FC" w14:textId="764FD01A" w:rsidR="00A453C3" w:rsidRPr="00D6314F" w:rsidRDefault="00A453C3" w:rsidP="00A453C3">
      <w:r w:rsidRPr="00D6314F">
        <w:t xml:space="preserve">Līdzsvara stāvokļa līkne pēc </w:t>
      </w:r>
      <w:r>
        <w:t>tocilizumaba</w:t>
      </w:r>
      <w:r w:rsidRPr="00D6314F">
        <w:t xml:space="preserve"> lietošanas reizi nedēļā bija tikpat kā nemainīga, ar pavisam nelielām svārstībām starp zemākajām un maksimālajām vērtībām, turpretī, lietojot </w:t>
      </w:r>
      <w:r>
        <w:t>tocilizumabu</w:t>
      </w:r>
      <w:r w:rsidRPr="00D6314F">
        <w:t xml:space="preserve"> katru otro nedēļu, bija ievērojamas svārstības. Aptuveni 90% no līdzsvara stāvokļa</w:t>
      </w:r>
      <w:r w:rsidRPr="00D6314F">
        <w:rPr>
          <w:sz w:val="20"/>
        </w:rPr>
        <w:t xml:space="preserve"> (AUC</w:t>
      </w:r>
      <w:r w:rsidRPr="00D6314F">
        <w:rPr>
          <w:sz w:val="20"/>
          <w:vertAlign w:val="subscript"/>
        </w:rPr>
        <w:t>τ</w:t>
      </w:r>
      <w:r w:rsidRPr="00D6314F">
        <w:t>) bija sasniegti līdz 14.</w:t>
      </w:r>
      <w:r>
        <w:t> </w:t>
      </w:r>
      <w:r w:rsidRPr="00D6314F">
        <w:t>nedēļai grupā, kurā zāles lietoja katru otro nedēļu, un līdz 17.</w:t>
      </w:r>
      <w:r>
        <w:t> </w:t>
      </w:r>
      <w:r w:rsidRPr="00D6314F">
        <w:t>nedēļai grupā, kurā zāles lietoja katru nedēļu.</w:t>
      </w:r>
    </w:p>
    <w:p w14:paraId="79B9B687" w14:textId="77777777" w:rsidR="00A453C3" w:rsidRPr="00D6314F" w:rsidRDefault="00A453C3" w:rsidP="00A453C3"/>
    <w:p w14:paraId="649C4BE8" w14:textId="6EEF5FC4" w:rsidR="00A453C3" w:rsidRDefault="00A453C3" w:rsidP="00A453C3">
      <w:r w:rsidRPr="00D6314F">
        <w:t xml:space="preserve">Pamatojoties uz pašreizējo FK raksturojumu, šajā populācijā ir vērojama </w:t>
      </w:r>
      <w:r>
        <w:t>par 50%</w:t>
      </w:r>
      <w:r w:rsidRPr="00D6314F">
        <w:t xml:space="preserve"> </w:t>
      </w:r>
      <w:r>
        <w:t>augstāka</w:t>
      </w:r>
      <w:r w:rsidRPr="00D6314F">
        <w:t xml:space="preserve"> </w:t>
      </w:r>
      <w:r>
        <w:t>tocilizumaba</w:t>
      </w:r>
      <w:r w:rsidRPr="00D6314F">
        <w:t xml:space="preserve"> </w:t>
      </w:r>
      <w:r>
        <w:t xml:space="preserve">zemākā </w:t>
      </w:r>
      <w:r w:rsidRPr="00D6314F">
        <w:t xml:space="preserve">koncentrācija attiecībā pret vidējām koncentrācijām </w:t>
      </w:r>
      <w:r>
        <w:t>lielā</w:t>
      </w:r>
      <w:r w:rsidRPr="00D6314F">
        <w:t xml:space="preserve"> RA populācijas datu kopā. Šādu atšķirību iemesls nav zināms. FK atšķirības nav saistītas ar iz</w:t>
      </w:r>
      <w:r>
        <w:t>t</w:t>
      </w:r>
      <w:r w:rsidRPr="00D6314F">
        <w:t>eiktām FD raksturlielumu atšķirībām, un tāpēc to klīniskais nozīmīgums nav zināms.</w:t>
      </w:r>
    </w:p>
    <w:p w14:paraId="5B18EEA7" w14:textId="77777777" w:rsidR="00A453C3" w:rsidRDefault="00A453C3" w:rsidP="00A453C3"/>
    <w:p w14:paraId="668861AB" w14:textId="562FB9A2" w:rsidR="00A453C3" w:rsidRPr="00C74D1A" w:rsidRDefault="00A453C3" w:rsidP="00A453C3">
      <w:pPr>
        <w:rPr>
          <w:lang w:val="pt-BR"/>
        </w:rPr>
      </w:pPr>
      <w:r w:rsidRPr="00707120">
        <w:rPr>
          <w:lang w:val="es-ES"/>
        </w:rPr>
        <w:t xml:space="preserve">Pacientiem ar GCA augstāka iedarbība novērota tiem pacientiem, kuriem ir mazāka ķermeņa masa. Grupā, kurā </w:t>
      </w:r>
      <w:r w:rsidRPr="00D30C7D">
        <w:rPr>
          <w:lang w:val="lv-LV"/>
        </w:rPr>
        <w:t>zāles lietoja devā 162</w:t>
      </w:r>
      <w:r>
        <w:rPr>
          <w:lang w:val="lv-LV"/>
        </w:rPr>
        <w:t> </w:t>
      </w:r>
      <w:r w:rsidRPr="00D30C7D">
        <w:rPr>
          <w:lang w:val="lv-LV"/>
        </w:rPr>
        <w:t>mg reizi nedēļā</w:t>
      </w:r>
      <w:r>
        <w:rPr>
          <w:lang w:val="lv-LV"/>
        </w:rPr>
        <w:t>,</w:t>
      </w:r>
      <w:r w:rsidRPr="00707120">
        <w:rPr>
          <w:lang w:val="es-ES"/>
        </w:rPr>
        <w:t xml:space="preserve"> pacientiem ar ķermeņa masu zem 60 kg līdzsvara koncentrācija </w:t>
      </w:r>
      <w:r w:rsidRPr="00707120">
        <w:rPr>
          <w:iCs/>
          <w:shd w:val="clear" w:color="auto" w:fill="FFFFFF"/>
          <w:lang w:val="es-ES"/>
        </w:rPr>
        <w:t>C</w:t>
      </w:r>
      <w:r w:rsidRPr="00707120">
        <w:rPr>
          <w:iCs/>
          <w:shd w:val="clear" w:color="auto" w:fill="FFFFFF"/>
          <w:vertAlign w:val="subscript"/>
          <w:lang w:val="es-ES"/>
        </w:rPr>
        <w:t>avg</w:t>
      </w:r>
      <w:r w:rsidRPr="00707120">
        <w:rPr>
          <w:lang w:val="es-ES"/>
        </w:rPr>
        <w:t xml:space="preserve"> bija par 51% augstāks, salīdzinot ar pacientiem ar ķermeņa masu no 60 līdz 100 kg. Lietojot zāles </w:t>
      </w:r>
      <w:r w:rsidRPr="002514F0">
        <w:rPr>
          <w:lang w:val="lv-LV"/>
        </w:rPr>
        <w:t>devā 162 mg subkutāni katru otro nedēļu,</w:t>
      </w:r>
      <w:r w:rsidRPr="00707120">
        <w:rPr>
          <w:lang w:val="es-ES"/>
        </w:rPr>
        <w:t xml:space="preserve"> </w:t>
      </w:r>
      <w:r w:rsidRPr="00707120">
        <w:rPr>
          <w:iCs/>
          <w:shd w:val="clear" w:color="auto" w:fill="FFFFFF"/>
          <w:lang w:val="es-ES"/>
        </w:rPr>
        <w:t>pacientiem ar ķermeņa masu zem 60</w:t>
      </w:r>
      <w:r w:rsidR="00595F16" w:rsidRPr="00707120">
        <w:rPr>
          <w:iCs/>
          <w:shd w:val="clear" w:color="auto" w:fill="FFFFFF"/>
          <w:lang w:val="es-ES"/>
        </w:rPr>
        <w:t> </w:t>
      </w:r>
      <w:r w:rsidRPr="00707120">
        <w:rPr>
          <w:iCs/>
          <w:shd w:val="clear" w:color="auto" w:fill="FFFFFF"/>
          <w:lang w:val="es-ES"/>
        </w:rPr>
        <w:t>kg</w:t>
      </w:r>
      <w:r w:rsidRPr="00707120">
        <w:rPr>
          <w:lang w:val="es-ES"/>
        </w:rPr>
        <w:t xml:space="preserve"> līdzsvara koncentrācija </w:t>
      </w:r>
      <w:r w:rsidRPr="00707120">
        <w:rPr>
          <w:iCs/>
          <w:shd w:val="clear" w:color="auto" w:fill="FFFFFF"/>
          <w:lang w:val="es-ES"/>
        </w:rPr>
        <w:t xml:space="preserve">Cavg bija par 129% augstāks, salīdzinot ar pacientiem ar ķermeņa masu no 60 līdz 100 kg. </w:t>
      </w:r>
      <w:r w:rsidRPr="00C74D1A">
        <w:rPr>
          <w:iCs/>
          <w:shd w:val="clear" w:color="auto" w:fill="FFFFFF"/>
          <w:lang w:val="pt-BR"/>
        </w:rPr>
        <w:t>Ir ierobežoti dati par pacientiem ar ķermeņa masu virs 100</w:t>
      </w:r>
      <w:r>
        <w:rPr>
          <w:iCs/>
          <w:shd w:val="clear" w:color="auto" w:fill="FFFFFF"/>
          <w:lang w:val="pt-BR"/>
        </w:rPr>
        <w:t> </w:t>
      </w:r>
      <w:r w:rsidRPr="00C74D1A">
        <w:rPr>
          <w:iCs/>
          <w:shd w:val="clear" w:color="auto" w:fill="FFFFFF"/>
          <w:lang w:val="pt-BR"/>
        </w:rPr>
        <w:t>kg (n=7).</w:t>
      </w:r>
    </w:p>
    <w:p w14:paraId="1917D7A2" w14:textId="77777777" w:rsidR="00A453C3" w:rsidRPr="00DD7A4F" w:rsidRDefault="00A453C3" w:rsidP="00A453C3">
      <w:pPr>
        <w:rPr>
          <w:rFonts w:eastAsia="SimSun"/>
          <w:szCs w:val="24"/>
          <w:lang w:val="pt-BR"/>
        </w:rPr>
      </w:pPr>
    </w:p>
    <w:p w14:paraId="42B814A7" w14:textId="77777777" w:rsidR="00A453C3" w:rsidRPr="00707120" w:rsidRDefault="00A453C3" w:rsidP="00A453C3">
      <w:pPr>
        <w:keepNext/>
        <w:keepLines/>
        <w:rPr>
          <w:i/>
          <w:iCs/>
          <w:u w:val="single"/>
          <w:lang w:val="pt-BR"/>
        </w:rPr>
      </w:pPr>
      <w:r w:rsidRPr="00707120">
        <w:rPr>
          <w:i/>
          <w:iCs/>
          <w:u w:val="single"/>
          <w:lang w:val="pt-BR"/>
        </w:rPr>
        <w:t>Uzsūkšanās</w:t>
      </w:r>
    </w:p>
    <w:p w14:paraId="4D4E96CF" w14:textId="7BE592E4" w:rsidR="00A453C3" w:rsidRPr="00DD7A4F" w:rsidRDefault="00A453C3" w:rsidP="00A453C3">
      <w:pPr>
        <w:keepNext/>
        <w:keepLines/>
        <w:rPr>
          <w:iCs/>
          <w:lang w:val="pt-BR"/>
        </w:rPr>
      </w:pPr>
      <w:r w:rsidRPr="00DD7A4F">
        <w:rPr>
          <w:lang w:val="pt-BR"/>
        </w:rPr>
        <w:t>Pēc subkutānas ievadīšanas pacientiem ar GCA uzsūkšanās t½ bija aptuveni 4</w:t>
      </w:r>
      <w:r>
        <w:rPr>
          <w:lang w:val="pt-BR"/>
        </w:rPr>
        <w:t> </w:t>
      </w:r>
      <w:r w:rsidRPr="00DD7A4F">
        <w:rPr>
          <w:lang w:val="pt-BR"/>
        </w:rPr>
        <w:t>dienas. Subkutānās zāļu formas biopieejamība bija 0,8. T</w:t>
      </w:r>
      <w:r w:rsidRPr="00DD7A4F">
        <w:rPr>
          <w:vertAlign w:val="subscript"/>
          <w:lang w:val="pt-BR"/>
        </w:rPr>
        <w:t>max</w:t>
      </w:r>
      <w:r w:rsidRPr="00DD7A4F">
        <w:rPr>
          <w:lang w:val="pt-BR"/>
        </w:rPr>
        <w:t xml:space="preserve"> mediāna bija 3</w:t>
      </w:r>
      <w:r>
        <w:rPr>
          <w:lang w:val="pt-BR"/>
        </w:rPr>
        <w:t> </w:t>
      </w:r>
      <w:r w:rsidRPr="00DD7A4F">
        <w:rPr>
          <w:lang w:val="pt-BR"/>
        </w:rPr>
        <w:t xml:space="preserve">dienas pēc </w:t>
      </w:r>
      <w:r>
        <w:rPr>
          <w:lang w:val="pt-BR"/>
        </w:rPr>
        <w:t>tocilizumaba</w:t>
      </w:r>
      <w:r w:rsidRPr="00DD7A4F">
        <w:rPr>
          <w:lang w:val="pt-BR"/>
        </w:rPr>
        <w:t xml:space="preserve"> lietošanas reizi nedēļā un 4,5</w:t>
      </w:r>
      <w:r>
        <w:rPr>
          <w:lang w:val="pt-BR"/>
        </w:rPr>
        <w:t> </w:t>
      </w:r>
      <w:r w:rsidRPr="00DD7A4F">
        <w:rPr>
          <w:lang w:val="pt-BR"/>
        </w:rPr>
        <w:t>dienas pēc tocilizumaba lietošanas katru otro nedēļu.</w:t>
      </w:r>
      <w:del w:id="1446" w:author="Author">
        <w:r w:rsidRPr="00DD7A4F" w:rsidDel="00CE6B8D">
          <w:rPr>
            <w:lang w:val="pt-BR"/>
          </w:rPr>
          <w:delText xml:space="preserve">  </w:delText>
        </w:r>
      </w:del>
    </w:p>
    <w:p w14:paraId="5AFC746A" w14:textId="77777777" w:rsidR="00A453C3" w:rsidRPr="00DD7A4F" w:rsidRDefault="00A453C3" w:rsidP="00A453C3">
      <w:pPr>
        <w:rPr>
          <w:iCs/>
          <w:lang w:val="pt-BR"/>
        </w:rPr>
      </w:pPr>
    </w:p>
    <w:p w14:paraId="220AF1F5" w14:textId="77777777" w:rsidR="00A453C3" w:rsidRPr="00707120" w:rsidRDefault="00A453C3" w:rsidP="00707120">
      <w:pPr>
        <w:keepNext/>
        <w:rPr>
          <w:i/>
          <w:iCs/>
          <w:u w:val="single"/>
          <w:lang w:val="pt-BR"/>
        </w:rPr>
      </w:pPr>
      <w:r w:rsidRPr="00707120">
        <w:rPr>
          <w:i/>
          <w:iCs/>
          <w:u w:val="single"/>
          <w:lang w:val="pt-BR"/>
        </w:rPr>
        <w:t>Izkliede</w:t>
      </w:r>
    </w:p>
    <w:p w14:paraId="720A9C0E" w14:textId="77777777" w:rsidR="00A453C3" w:rsidRPr="00DD7A4F" w:rsidRDefault="00A453C3" w:rsidP="00A453C3">
      <w:pPr>
        <w:rPr>
          <w:lang w:val="pt-BR"/>
        </w:rPr>
      </w:pPr>
      <w:r w:rsidRPr="00DD7A4F">
        <w:rPr>
          <w:lang w:val="pt-BR"/>
        </w:rPr>
        <w:t>Pacientiem ar GCA centrālais izkliedes tilpums bija 4,09 l, bet perifēriskais izkliedes tilpums bija 3,37 l, kā rezultātā izkliedes tilpums līdzsvara stāvoklī bija 7,46 l.</w:t>
      </w:r>
    </w:p>
    <w:p w14:paraId="1C11C4FE" w14:textId="77777777" w:rsidR="00A453C3" w:rsidRPr="00DD7A4F" w:rsidRDefault="00A453C3" w:rsidP="00A453C3">
      <w:pPr>
        <w:rPr>
          <w:lang w:val="pt-BR"/>
        </w:rPr>
      </w:pPr>
    </w:p>
    <w:p w14:paraId="70BEFA25" w14:textId="77777777" w:rsidR="00A453C3" w:rsidRPr="00707120" w:rsidRDefault="00A453C3" w:rsidP="00A453C3">
      <w:pPr>
        <w:keepNext/>
        <w:keepLines/>
        <w:rPr>
          <w:i/>
          <w:iCs/>
          <w:u w:val="single"/>
          <w:lang w:val="pt-BR"/>
        </w:rPr>
      </w:pPr>
      <w:r w:rsidRPr="00707120">
        <w:rPr>
          <w:i/>
          <w:iCs/>
          <w:u w:val="single"/>
          <w:lang w:val="pt-BR"/>
        </w:rPr>
        <w:t>Eliminācija</w:t>
      </w:r>
    </w:p>
    <w:p w14:paraId="39BB0F47" w14:textId="2F9BEEA2" w:rsidR="00A453C3" w:rsidRPr="00DD7A4F" w:rsidRDefault="00A453C3" w:rsidP="00A453C3">
      <w:pPr>
        <w:keepNext/>
        <w:keepLines/>
        <w:rPr>
          <w:lang w:val="pt-BR"/>
        </w:rPr>
      </w:pPr>
      <w:r w:rsidRPr="00DD7A4F">
        <w:rPr>
          <w:lang w:val="pt-BR"/>
        </w:rPr>
        <w:t xml:space="preserve">Kopējais </w:t>
      </w:r>
      <w:r>
        <w:rPr>
          <w:lang w:val="pt-BR"/>
        </w:rPr>
        <w:t>tocilizumaba</w:t>
      </w:r>
      <w:r w:rsidRPr="00DD7A4F">
        <w:rPr>
          <w:lang w:val="pt-BR"/>
        </w:rPr>
        <w:t xml:space="preserve"> klīrenss bija atkarīgs no koncentrācijas, un to veido lineārā klīrensa un nelineārā klīrensa summa. Lineārais klīrenss tika noteikts kā rādītājs populācijas farmakokinētikas analīzē, un pacientiem ar GCA tas bija 6,7</w:t>
      </w:r>
      <w:r>
        <w:rPr>
          <w:lang w:val="pt-BR"/>
        </w:rPr>
        <w:t> </w:t>
      </w:r>
      <w:r w:rsidRPr="00DD7A4F">
        <w:rPr>
          <w:lang w:val="pt-BR"/>
        </w:rPr>
        <w:t>ml/h.</w:t>
      </w:r>
    </w:p>
    <w:p w14:paraId="5845D894" w14:textId="77777777" w:rsidR="00A453C3" w:rsidRPr="00DD7A4F" w:rsidRDefault="00A453C3" w:rsidP="00A453C3">
      <w:pPr>
        <w:keepNext/>
        <w:keepLines/>
        <w:rPr>
          <w:lang w:val="pt-BR"/>
        </w:rPr>
      </w:pPr>
    </w:p>
    <w:p w14:paraId="0A92920A" w14:textId="100E126E" w:rsidR="00A453C3" w:rsidRPr="00DD7A4F" w:rsidRDefault="00A453C3" w:rsidP="00A453C3">
      <w:pPr>
        <w:keepNext/>
        <w:keepLines/>
        <w:rPr>
          <w:lang w:val="pt-BR"/>
        </w:rPr>
      </w:pPr>
      <w:r w:rsidRPr="00DD7A4F">
        <w:rPr>
          <w:lang w:val="pt-BR"/>
        </w:rPr>
        <w:t xml:space="preserve">Pacientiem ar GCA </w:t>
      </w:r>
      <w:r>
        <w:rPr>
          <w:lang w:val="pt-BR"/>
        </w:rPr>
        <w:t>tocilizumaba</w:t>
      </w:r>
      <w:r w:rsidRPr="00DD7A4F">
        <w:rPr>
          <w:lang w:val="pt-BR"/>
        </w:rPr>
        <w:t xml:space="preserve"> efektīvais t</w:t>
      </w:r>
      <w:r w:rsidRPr="00707120">
        <w:rPr>
          <w:vertAlign w:val="subscript"/>
          <w:lang w:val="pt-BR"/>
        </w:rPr>
        <w:t>½</w:t>
      </w:r>
      <w:r w:rsidRPr="00DD7A4F">
        <w:rPr>
          <w:lang w:val="pt-BR"/>
        </w:rPr>
        <w:t xml:space="preserve"> līdzsvara fāzē bija no 18,3</w:t>
      </w:r>
      <w:r>
        <w:rPr>
          <w:lang w:val="pt-BR"/>
        </w:rPr>
        <w:t> </w:t>
      </w:r>
      <w:r w:rsidRPr="00DD7A4F">
        <w:rPr>
          <w:lang w:val="pt-BR"/>
        </w:rPr>
        <w:t>līdz 18,9</w:t>
      </w:r>
      <w:r>
        <w:rPr>
          <w:lang w:val="pt-BR"/>
        </w:rPr>
        <w:t> </w:t>
      </w:r>
      <w:r w:rsidRPr="00DD7A4F">
        <w:rPr>
          <w:lang w:val="pt-BR"/>
        </w:rPr>
        <w:t xml:space="preserve">dienām, ja 162 mg </w:t>
      </w:r>
      <w:r>
        <w:rPr>
          <w:lang w:val="pt-BR"/>
        </w:rPr>
        <w:t xml:space="preserve">devu </w:t>
      </w:r>
      <w:r w:rsidRPr="00DD7A4F">
        <w:rPr>
          <w:lang w:val="pt-BR"/>
        </w:rPr>
        <w:t>lietoja reizi nedēļā, un no 4,2</w:t>
      </w:r>
      <w:r>
        <w:rPr>
          <w:lang w:val="pt-BR"/>
        </w:rPr>
        <w:t> </w:t>
      </w:r>
      <w:r w:rsidRPr="00DD7A4F">
        <w:rPr>
          <w:lang w:val="pt-BR"/>
        </w:rPr>
        <w:t>līdz 7,9</w:t>
      </w:r>
      <w:r>
        <w:rPr>
          <w:lang w:val="pt-BR"/>
        </w:rPr>
        <w:t> </w:t>
      </w:r>
      <w:r w:rsidRPr="00DD7A4F">
        <w:rPr>
          <w:lang w:val="pt-BR"/>
        </w:rPr>
        <w:t xml:space="preserve">dienām, ja 162 mg </w:t>
      </w:r>
      <w:r>
        <w:rPr>
          <w:lang w:val="pt-BR"/>
        </w:rPr>
        <w:t xml:space="preserve">devu </w:t>
      </w:r>
      <w:r w:rsidRPr="00DD7A4F">
        <w:rPr>
          <w:lang w:val="pt-BR"/>
        </w:rPr>
        <w:t xml:space="preserve">lietoja katru otro nedēļu. Ja bija augsta koncentrācija serumā, kad kopējā </w:t>
      </w:r>
      <w:r>
        <w:rPr>
          <w:lang w:val="pt-BR"/>
        </w:rPr>
        <w:t>tocilizumaba</w:t>
      </w:r>
      <w:r w:rsidRPr="00DD7A4F">
        <w:rPr>
          <w:lang w:val="pt-BR"/>
        </w:rPr>
        <w:t xml:space="preserve"> klīrensā dominē lineārais klīrenss, pēc prognozējamiem populācijas rādītājiem noteiktais efektīvais t</w:t>
      </w:r>
      <w:r w:rsidRPr="00707120">
        <w:rPr>
          <w:vertAlign w:val="subscript"/>
          <w:lang w:val="pt-BR"/>
        </w:rPr>
        <w:t>½</w:t>
      </w:r>
      <w:r w:rsidRPr="00DD7A4F">
        <w:rPr>
          <w:lang w:val="pt-BR"/>
        </w:rPr>
        <w:t xml:space="preserve"> bija aptuveni 32</w:t>
      </w:r>
      <w:r>
        <w:rPr>
          <w:lang w:val="pt-BR"/>
        </w:rPr>
        <w:t> </w:t>
      </w:r>
      <w:r w:rsidRPr="00DD7A4F">
        <w:rPr>
          <w:lang w:val="pt-BR"/>
        </w:rPr>
        <w:t>dienas.</w:t>
      </w:r>
    </w:p>
    <w:p w14:paraId="33F94F2B" w14:textId="77777777" w:rsidR="00A453C3" w:rsidRPr="00707120" w:rsidRDefault="00A453C3" w:rsidP="00A453C3">
      <w:pPr>
        <w:rPr>
          <w:szCs w:val="22"/>
          <w:lang w:val="pt-BR"/>
        </w:rPr>
      </w:pPr>
    </w:p>
    <w:p w14:paraId="7E5EEDAC" w14:textId="77777777" w:rsidR="00A453C3" w:rsidRPr="00DD7A4F" w:rsidRDefault="00A453C3">
      <w:pPr>
        <w:keepNext/>
        <w:rPr>
          <w:i/>
          <w:iCs/>
          <w:lang w:val="lv-LV"/>
        </w:rPr>
        <w:pPrChange w:id="1447" w:author="Author">
          <w:pPr/>
        </w:pPrChange>
      </w:pPr>
      <w:r w:rsidRPr="00DD7A4F">
        <w:rPr>
          <w:u w:val="single"/>
          <w:lang w:val="lv-LV"/>
        </w:rPr>
        <w:t>Īpašas pacientu grupas</w:t>
      </w:r>
    </w:p>
    <w:p w14:paraId="1AD0E383" w14:textId="38ED6DFE" w:rsidR="00A453C3" w:rsidRDefault="00A453C3">
      <w:pPr>
        <w:keepNext/>
        <w:rPr>
          <w:lang w:val="lv-LV"/>
        </w:rPr>
        <w:pPrChange w:id="1448" w:author="Author">
          <w:pPr/>
        </w:pPrChange>
      </w:pPr>
      <w:r w:rsidRPr="00DD7A4F">
        <w:rPr>
          <w:i/>
          <w:iCs/>
          <w:lang w:val="lv-LV"/>
        </w:rPr>
        <w:t>Nieru darbības traucējumi</w:t>
      </w:r>
    </w:p>
    <w:p w14:paraId="5AB4CE2A" w14:textId="4395D056" w:rsidR="00A453C3" w:rsidRPr="00DD7A4F" w:rsidRDefault="00A453C3" w:rsidP="00A453C3">
      <w:pPr>
        <w:rPr>
          <w:szCs w:val="22"/>
          <w:lang w:val="lv-LV"/>
        </w:rPr>
      </w:pPr>
      <w:r>
        <w:rPr>
          <w:lang w:val="lv-LV"/>
        </w:rPr>
        <w:t>F</w:t>
      </w:r>
      <w:r w:rsidRPr="00DD7A4F">
        <w:rPr>
          <w:lang w:val="lv-LV"/>
        </w:rPr>
        <w:t xml:space="preserve">ormāli pētījumi par nieru darbības traucējumu ietekmi uz </w:t>
      </w:r>
      <w:r>
        <w:rPr>
          <w:szCs w:val="22"/>
          <w:lang w:val="lv-LV"/>
        </w:rPr>
        <w:t>tocilizumaba</w:t>
      </w:r>
      <w:r w:rsidRPr="00DD7A4F">
        <w:rPr>
          <w:szCs w:val="22"/>
          <w:lang w:val="lv-LV"/>
        </w:rPr>
        <w:t xml:space="preserve"> farmakokinētiku nav veikti.</w:t>
      </w:r>
      <w:r w:rsidRPr="00DD7A4F">
        <w:rPr>
          <w:rFonts w:eastAsia="PMingLiU"/>
          <w:iCs/>
          <w:szCs w:val="22"/>
          <w:lang w:val="lv-LV"/>
        </w:rPr>
        <w:t xml:space="preserve"> Lielākai daļai pacientu RA un GCA populācijas farmakokinētikas analīzē bija normāla nieru darbība vai viegli nieru darbības traucējumi. Viegli nieru darbības traucējumi (prognozējamais kreatinīna klīrenss </w:t>
      </w:r>
      <w:r w:rsidRPr="00A71126">
        <w:rPr>
          <w:rFonts w:eastAsia="PMingLiU"/>
          <w:iCs/>
          <w:szCs w:val="22"/>
          <w:lang w:val="lv-LV"/>
        </w:rPr>
        <w:t xml:space="preserve">pēc </w:t>
      </w:r>
      <w:r w:rsidRPr="00A71126">
        <w:rPr>
          <w:rFonts w:eastAsia="PMingLiU"/>
          <w:i/>
          <w:szCs w:val="22"/>
          <w:lang w:val="lv-LV"/>
        </w:rPr>
        <w:t>Cockcroft-Gault</w:t>
      </w:r>
      <w:r w:rsidRPr="00A71126">
        <w:rPr>
          <w:rFonts w:eastAsia="PMingLiU"/>
          <w:iCs/>
          <w:szCs w:val="22"/>
          <w:lang w:val="lv-LV"/>
        </w:rPr>
        <w:t xml:space="preserve"> formulas) neietekmēja </w:t>
      </w:r>
      <w:r w:rsidRPr="00A71126">
        <w:rPr>
          <w:szCs w:val="22"/>
          <w:lang w:val="lv-LV"/>
        </w:rPr>
        <w:t xml:space="preserve">tocilizumaba </w:t>
      </w:r>
      <w:r w:rsidRPr="00A71126">
        <w:rPr>
          <w:rFonts w:eastAsia="PMingLiU"/>
          <w:iCs/>
          <w:szCs w:val="22"/>
          <w:lang w:val="lv-LV"/>
        </w:rPr>
        <w:t>farmakokinētiku.</w:t>
      </w:r>
    </w:p>
    <w:p w14:paraId="6555F639" w14:textId="77777777" w:rsidR="00A453C3" w:rsidRPr="00DD7A4F" w:rsidRDefault="00A453C3" w:rsidP="00A453C3">
      <w:pPr>
        <w:rPr>
          <w:szCs w:val="22"/>
          <w:lang w:val="lv-LV"/>
        </w:rPr>
      </w:pPr>
    </w:p>
    <w:p w14:paraId="2DD3E829" w14:textId="2106CC09" w:rsidR="00A453C3" w:rsidRPr="00DD7A4F" w:rsidRDefault="00A453C3" w:rsidP="00707120">
      <w:pPr>
        <w:rPr>
          <w:lang w:val="lv-LV"/>
        </w:rPr>
      </w:pPr>
      <w:r w:rsidRPr="00DD7A4F">
        <w:rPr>
          <w:lang w:val="lv-LV"/>
        </w:rPr>
        <w:t>Aptuveni trešdaļai pacientu GCA pētījuma sākumā bija vidēji smagi nieru darbības traucējumi (aprēķinātais kreatinīna klīrenss 30</w:t>
      </w:r>
      <w:r>
        <w:rPr>
          <w:lang w:val="lv-LV"/>
        </w:rPr>
        <w:noBreakHyphen/>
      </w:r>
      <w:r w:rsidRPr="00DD7A4F">
        <w:rPr>
          <w:lang w:val="lv-LV"/>
        </w:rPr>
        <w:t xml:space="preserve">59 ml/min). Šiem pacientiem nekonstatēja ietekmi uz </w:t>
      </w:r>
      <w:r>
        <w:rPr>
          <w:lang w:val="lv-LV"/>
        </w:rPr>
        <w:t xml:space="preserve">tocilizumaba </w:t>
      </w:r>
      <w:r w:rsidRPr="00DD7A4F">
        <w:rPr>
          <w:lang w:val="lv-LV"/>
        </w:rPr>
        <w:t>kopējo iedarbību.</w:t>
      </w:r>
    </w:p>
    <w:p w14:paraId="357E459C" w14:textId="77777777" w:rsidR="00A453C3" w:rsidRPr="00DD7A4F" w:rsidRDefault="00A453C3" w:rsidP="00707120">
      <w:pPr>
        <w:rPr>
          <w:szCs w:val="22"/>
          <w:lang w:val="lv-LV"/>
        </w:rPr>
      </w:pPr>
    </w:p>
    <w:p w14:paraId="48414DE9" w14:textId="77777777" w:rsidR="00A453C3" w:rsidRPr="00DD7A4F" w:rsidRDefault="00A453C3" w:rsidP="00707120">
      <w:pPr>
        <w:rPr>
          <w:szCs w:val="22"/>
          <w:lang w:val="lv-LV"/>
        </w:rPr>
      </w:pPr>
      <w:r w:rsidRPr="00DD7A4F">
        <w:rPr>
          <w:lang w:val="lv-LV"/>
        </w:rPr>
        <w:t>Pacientiem ar viegliem vai vidēji smagiem nieru darbības traucējumiem deva nav jāpielāgo.</w:t>
      </w:r>
    </w:p>
    <w:p w14:paraId="0C56AE20" w14:textId="77777777" w:rsidR="00A453C3" w:rsidRPr="00DD7A4F" w:rsidRDefault="00A453C3" w:rsidP="00A453C3">
      <w:pPr>
        <w:rPr>
          <w:szCs w:val="22"/>
          <w:lang w:val="lv-LV"/>
        </w:rPr>
      </w:pPr>
    </w:p>
    <w:p w14:paraId="7462CA3A" w14:textId="2E8A7BB4" w:rsidR="00A453C3" w:rsidRDefault="00A453C3">
      <w:pPr>
        <w:keepNext/>
        <w:rPr>
          <w:szCs w:val="22"/>
          <w:lang w:val="lv-LV"/>
        </w:rPr>
        <w:pPrChange w:id="1449" w:author="Author">
          <w:pPr/>
        </w:pPrChange>
      </w:pPr>
      <w:r w:rsidRPr="00DD7A4F">
        <w:rPr>
          <w:bCs/>
          <w:i/>
          <w:iCs/>
          <w:szCs w:val="22"/>
          <w:lang w:val="lv-LV"/>
        </w:rPr>
        <w:t>Aknu darbības traucējumi</w:t>
      </w:r>
    </w:p>
    <w:p w14:paraId="0CF513A7" w14:textId="6C215D5B" w:rsidR="00A453C3" w:rsidRPr="00DD7A4F" w:rsidRDefault="00A453C3" w:rsidP="00A453C3">
      <w:pPr>
        <w:rPr>
          <w:szCs w:val="22"/>
          <w:lang w:val="lv-LV"/>
        </w:rPr>
      </w:pPr>
      <w:r>
        <w:rPr>
          <w:szCs w:val="22"/>
          <w:lang w:val="lv-LV"/>
        </w:rPr>
        <w:t>F</w:t>
      </w:r>
      <w:r w:rsidRPr="00DD7A4F">
        <w:rPr>
          <w:szCs w:val="22"/>
          <w:lang w:val="lv-LV"/>
        </w:rPr>
        <w:t xml:space="preserve">ormāli pētījumi par aknu darbības traucējumu ietekmi uz </w:t>
      </w:r>
      <w:r>
        <w:rPr>
          <w:szCs w:val="22"/>
          <w:lang w:val="lv-LV"/>
        </w:rPr>
        <w:t>tocilizumaba</w:t>
      </w:r>
      <w:r w:rsidRPr="00DD7A4F">
        <w:rPr>
          <w:szCs w:val="22"/>
          <w:lang w:val="lv-LV"/>
        </w:rPr>
        <w:t xml:space="preserve"> farmakokinētiku nav veikti. </w:t>
      </w:r>
    </w:p>
    <w:p w14:paraId="30FF9575" w14:textId="77777777" w:rsidR="00A453C3" w:rsidRPr="00DD7A4F" w:rsidRDefault="00A453C3" w:rsidP="00A453C3">
      <w:pPr>
        <w:rPr>
          <w:szCs w:val="22"/>
          <w:lang w:val="lv-LV"/>
        </w:rPr>
      </w:pPr>
    </w:p>
    <w:p w14:paraId="58156E49" w14:textId="57076464" w:rsidR="00A453C3" w:rsidRDefault="00A453C3">
      <w:pPr>
        <w:keepNext/>
        <w:rPr>
          <w:rFonts w:eastAsia="PMingLiU"/>
          <w:iCs/>
          <w:szCs w:val="22"/>
          <w:lang w:val="lv-LV"/>
        </w:rPr>
        <w:pPrChange w:id="1450" w:author="Author">
          <w:pPr/>
        </w:pPrChange>
      </w:pPr>
      <w:r w:rsidRPr="00DD7A4F">
        <w:rPr>
          <w:rFonts w:eastAsia="PMingLiU"/>
          <w:i/>
          <w:iCs/>
          <w:szCs w:val="22"/>
          <w:lang w:val="lv-LV"/>
        </w:rPr>
        <w:t>Vecums, dzimums un etniskā piederība</w:t>
      </w:r>
    </w:p>
    <w:p w14:paraId="4934DCFB" w14:textId="7FB755B3" w:rsidR="00A453C3" w:rsidRDefault="00A453C3" w:rsidP="00A453C3">
      <w:pPr>
        <w:rPr>
          <w:rFonts w:eastAsia="PMingLiU"/>
          <w:lang w:val="lv-LV"/>
        </w:rPr>
      </w:pPr>
      <w:r>
        <w:rPr>
          <w:rFonts w:eastAsia="PMingLiU"/>
          <w:lang w:val="lv-LV"/>
        </w:rPr>
        <w:t>P</w:t>
      </w:r>
      <w:r w:rsidRPr="00DD7A4F">
        <w:rPr>
          <w:rFonts w:eastAsia="PMingLiU"/>
          <w:lang w:val="lv-LV"/>
        </w:rPr>
        <w:t xml:space="preserve">opulācijas farmakokinētikas analīze RA un GCA slimniekiem liecināja, ka vecums, dzimums un rase neietekmē </w:t>
      </w:r>
      <w:r>
        <w:rPr>
          <w:szCs w:val="22"/>
          <w:lang w:val="lv-LV"/>
        </w:rPr>
        <w:t>tocilizumaba</w:t>
      </w:r>
      <w:r w:rsidRPr="00DD7A4F">
        <w:rPr>
          <w:szCs w:val="22"/>
          <w:lang w:val="lv-LV"/>
        </w:rPr>
        <w:t xml:space="preserve"> </w:t>
      </w:r>
      <w:r w:rsidRPr="00DD7A4F">
        <w:rPr>
          <w:lang w:val="lv-LV"/>
        </w:rPr>
        <w:t>farmakokinētiku</w:t>
      </w:r>
      <w:r w:rsidRPr="00DD7A4F">
        <w:rPr>
          <w:rFonts w:eastAsia="PMingLiU"/>
          <w:lang w:val="lv-LV"/>
        </w:rPr>
        <w:t xml:space="preserve">. </w:t>
      </w:r>
    </w:p>
    <w:p w14:paraId="0C0E69B2" w14:textId="77777777" w:rsidR="00A453C3" w:rsidRDefault="00A453C3" w:rsidP="00A453C3">
      <w:pPr>
        <w:rPr>
          <w:rFonts w:eastAsia="PMingLiU"/>
          <w:lang w:val="lv-LV"/>
        </w:rPr>
      </w:pPr>
    </w:p>
    <w:p w14:paraId="1FF98358" w14:textId="6A72F121" w:rsidR="00A453C3" w:rsidRDefault="00A453C3" w:rsidP="00A453C3">
      <w:pPr>
        <w:rPr>
          <w:szCs w:val="22"/>
          <w:lang w:val="lv-LV"/>
        </w:rPr>
      </w:pPr>
      <w:r w:rsidRPr="0064212A">
        <w:rPr>
          <w:szCs w:val="22"/>
          <w:lang w:val="lv-LV"/>
        </w:rPr>
        <w:t xml:space="preserve">Rezultāti, kas iegūti, analizējot tocilizumaba FK sJIA vai pJIA slimnieku populācijā, apstiprina, ka ķermeņa lielums ir vienīgais līdzvērtīgais mainīgais, kam raksturīga jūtama ietekme uz </w:t>
      </w:r>
      <w:r>
        <w:rPr>
          <w:szCs w:val="22"/>
          <w:lang w:val="lv-LV"/>
        </w:rPr>
        <w:t>tocilizumaba</w:t>
      </w:r>
      <w:r w:rsidRPr="0064212A">
        <w:rPr>
          <w:szCs w:val="22"/>
          <w:lang w:val="lv-LV"/>
        </w:rPr>
        <w:t xml:space="preserve"> farmakokinētiku, ieskaitot elimināciju un uzsūkšan</w:t>
      </w:r>
      <w:r>
        <w:rPr>
          <w:szCs w:val="22"/>
          <w:lang w:val="lv-LV"/>
        </w:rPr>
        <w:t>o</w:t>
      </w:r>
      <w:r w:rsidRPr="0064212A">
        <w:rPr>
          <w:szCs w:val="22"/>
          <w:lang w:val="lv-LV"/>
        </w:rPr>
        <w:t>s, tāpēc jāapsver zāļu dozēšana pēc ķermeņa masas lieluma (skatīt 8.</w:t>
      </w:r>
      <w:r>
        <w:rPr>
          <w:szCs w:val="22"/>
          <w:lang w:val="lv-LV"/>
        </w:rPr>
        <w:t> </w:t>
      </w:r>
      <w:r w:rsidRPr="0064212A">
        <w:rPr>
          <w:szCs w:val="22"/>
          <w:lang w:val="lv-LV"/>
        </w:rPr>
        <w:t>un 9. tabulu).</w:t>
      </w:r>
    </w:p>
    <w:p w14:paraId="42308ADB" w14:textId="77777777" w:rsidR="00A453C3" w:rsidRPr="0064212A" w:rsidRDefault="00A453C3" w:rsidP="00A453C3">
      <w:pPr>
        <w:rPr>
          <w:szCs w:val="22"/>
          <w:lang w:val="lv-LV"/>
        </w:rPr>
      </w:pPr>
    </w:p>
    <w:p w14:paraId="5B4BBCC3" w14:textId="77777777" w:rsidR="00A453C3" w:rsidRPr="00DD7A4F" w:rsidRDefault="00A453C3" w:rsidP="00A453C3">
      <w:pPr>
        <w:keepNext/>
        <w:keepLines/>
        <w:rPr>
          <w:szCs w:val="22"/>
          <w:lang w:val="lv-LV"/>
        </w:rPr>
      </w:pPr>
      <w:r w:rsidRPr="00DD7A4F">
        <w:rPr>
          <w:b/>
          <w:szCs w:val="22"/>
          <w:lang w:val="lv-LV"/>
        </w:rPr>
        <w:t>5.3.</w:t>
      </w:r>
      <w:r w:rsidRPr="00DD7A4F">
        <w:rPr>
          <w:b/>
          <w:szCs w:val="22"/>
          <w:lang w:val="lv-LV"/>
        </w:rPr>
        <w:tab/>
        <w:t>Preklīniskie dati par drošumu</w:t>
      </w:r>
    </w:p>
    <w:p w14:paraId="03957071" w14:textId="77777777" w:rsidR="00A453C3" w:rsidRPr="00DD7A4F" w:rsidRDefault="00A453C3" w:rsidP="00A453C3">
      <w:pPr>
        <w:keepNext/>
        <w:keepLines/>
        <w:rPr>
          <w:szCs w:val="22"/>
          <w:lang w:val="lv-LV"/>
        </w:rPr>
      </w:pPr>
    </w:p>
    <w:p w14:paraId="17074C3C" w14:textId="211C2E1D" w:rsidR="00A453C3" w:rsidRDefault="00A453C3" w:rsidP="00A453C3">
      <w:pPr>
        <w:rPr>
          <w:rFonts w:eastAsia="PMingLiU"/>
          <w:bCs/>
          <w:szCs w:val="22"/>
          <w:lang w:val="lv-LV"/>
        </w:rPr>
      </w:pPr>
      <w:r>
        <w:rPr>
          <w:lang w:val="lv-LV"/>
        </w:rPr>
        <w:t>Neklīniskajos standartpētījumos iegūtie dati par farmakoloģisko drošumu, atkārtotu devu toksicitāti, genotoksicitāti un toksisku ietekmi uz reproduktivitāti un attīstību neliecina par īpašu risku cilvēkam</w:t>
      </w:r>
      <w:r>
        <w:rPr>
          <w:szCs w:val="22"/>
          <w:lang w:val="lv-LV"/>
        </w:rPr>
        <w:t>.</w:t>
      </w:r>
      <w:r>
        <w:rPr>
          <w:rFonts w:eastAsia="PMingLiU"/>
          <w:bCs/>
          <w:szCs w:val="22"/>
          <w:lang w:val="lv-LV"/>
        </w:rPr>
        <w:t xml:space="preserve"> </w:t>
      </w:r>
    </w:p>
    <w:p w14:paraId="0E046195" w14:textId="77777777" w:rsidR="00A453C3" w:rsidRDefault="00A453C3" w:rsidP="00A453C3">
      <w:pPr>
        <w:rPr>
          <w:rFonts w:eastAsia="PMingLiU"/>
          <w:bCs/>
          <w:szCs w:val="22"/>
          <w:lang w:val="lv-LV"/>
        </w:rPr>
      </w:pPr>
    </w:p>
    <w:p w14:paraId="5920450E" w14:textId="77777777" w:rsidR="00A453C3" w:rsidRDefault="00A453C3" w:rsidP="00A453C3">
      <w:pPr>
        <w:rPr>
          <w:rFonts w:eastAsia="PMingLiU"/>
          <w:szCs w:val="22"/>
          <w:lang w:val="lv-LV"/>
        </w:rPr>
      </w:pPr>
      <w:r>
        <w:rPr>
          <w:rFonts w:eastAsia="PMingLiU"/>
          <w:bCs/>
          <w:szCs w:val="22"/>
          <w:lang w:val="lv-LV"/>
        </w:rPr>
        <w:t xml:space="preserve">Kancerogenitātes pētījumi </w:t>
      </w:r>
      <w:r>
        <w:rPr>
          <w:szCs w:val="22"/>
          <w:lang w:val="lv-LV"/>
        </w:rPr>
        <w:t xml:space="preserve">netika veikti, jo netiek uzskatīts, ka </w:t>
      </w:r>
      <w:r>
        <w:rPr>
          <w:bCs/>
          <w:lang w:val="lv-LV"/>
        </w:rPr>
        <w:t>IgG1 monoklonālām antivielām piemīt kancerogēnas iedarbības potenciāls.</w:t>
      </w:r>
    </w:p>
    <w:p w14:paraId="4605FF34" w14:textId="77777777" w:rsidR="00A453C3" w:rsidRDefault="00A453C3" w:rsidP="00A453C3">
      <w:pPr>
        <w:rPr>
          <w:rFonts w:eastAsia="PMingLiU"/>
          <w:szCs w:val="22"/>
          <w:lang w:val="lv-LV"/>
        </w:rPr>
      </w:pPr>
    </w:p>
    <w:p w14:paraId="6F1C54EA" w14:textId="4BFF5301" w:rsidR="00A453C3" w:rsidRDefault="00A453C3" w:rsidP="00A453C3">
      <w:pPr>
        <w:rPr>
          <w:szCs w:val="22"/>
          <w:lang w:val="lv-LV"/>
        </w:rPr>
      </w:pPr>
      <w:r>
        <w:rPr>
          <w:szCs w:val="22"/>
          <w:lang w:val="lv-LV"/>
        </w:rPr>
        <w:t>Pieejamie neklīniskie dati liecināja par IL</w:t>
      </w:r>
      <w:r>
        <w:rPr>
          <w:szCs w:val="22"/>
          <w:lang w:val="lv-LV"/>
        </w:rPr>
        <w:noBreakHyphen/>
        <w:t>6 veicinošo ietekmi uz ļaundabīgo audzēju progresēšanu un apoptozes rezistenci dažādiem vēža veidiem. Šie dati neliecina par nozīmīgu vēža attīstības sākšanās un progresēšanas risku tocilizumaba terapijas laikā. Turklāt 6 mēnešus ilgā hroniskas toksicitātes pētījumā makaka sugas pērtiķiem vai pelēm ar IL</w:t>
      </w:r>
      <w:r>
        <w:rPr>
          <w:szCs w:val="22"/>
          <w:lang w:val="lv-LV"/>
        </w:rPr>
        <w:noBreakHyphen/>
        <w:t xml:space="preserve">6 trūkumu proliferatīvus bojājumus nekonstatēja. </w:t>
      </w:r>
    </w:p>
    <w:p w14:paraId="2CF28BD8" w14:textId="77777777" w:rsidR="00A453C3" w:rsidRDefault="00A453C3" w:rsidP="00A453C3">
      <w:pPr>
        <w:rPr>
          <w:szCs w:val="22"/>
          <w:lang w:val="lv-LV"/>
        </w:rPr>
      </w:pPr>
    </w:p>
    <w:p w14:paraId="6FEBBA9A" w14:textId="640601A6" w:rsidR="00A453C3" w:rsidRDefault="00A453C3" w:rsidP="00A453C3">
      <w:pPr>
        <w:rPr>
          <w:szCs w:val="22"/>
          <w:lang w:val="lv-LV"/>
        </w:rPr>
      </w:pPr>
      <w:r>
        <w:rPr>
          <w:szCs w:val="22"/>
          <w:lang w:val="lv-LV"/>
        </w:rPr>
        <w:t xml:space="preserve">Pieejamie neklīniskie dati neliecina par ietekmi uz </w:t>
      </w:r>
      <w:del w:id="1451" w:author="Regulatory LV" w:date="2026-03-17T11:44:00Z">
        <w:r w:rsidDel="00B00D37">
          <w:rPr>
            <w:szCs w:val="22"/>
            <w:lang w:val="lv-LV"/>
          </w:rPr>
          <w:delText>auglību</w:delText>
        </w:r>
      </w:del>
      <w:ins w:id="1452" w:author="Regulatory LV" w:date="2026-03-17T11:44:00Z">
        <w:r w:rsidR="00B00D37">
          <w:rPr>
            <w:szCs w:val="22"/>
            <w:lang w:val="lv-LV"/>
          </w:rPr>
          <w:t>fertilitāt</w:t>
        </w:r>
      </w:ins>
      <w:ins w:id="1453" w:author="Regulatory LV" w:date="2026-03-17T11:45:00Z">
        <w:r w:rsidR="00B00D37">
          <w:rPr>
            <w:szCs w:val="22"/>
            <w:lang w:val="lv-LV"/>
          </w:rPr>
          <w:t>i</w:t>
        </w:r>
      </w:ins>
      <w:r>
        <w:rPr>
          <w:szCs w:val="22"/>
          <w:lang w:val="lv-LV"/>
        </w:rPr>
        <w:t>, lietojot tocilizumabu. Hroniskas toksicitātes pētījumā ar makaka sugas pērtiķiem nenovēroja ietekmi uz endokrīni aktīviem un reproduktīvās sistēmas orgāniem, un pelēm ar IL</w:t>
      </w:r>
      <w:r>
        <w:rPr>
          <w:szCs w:val="22"/>
          <w:lang w:val="lv-LV"/>
        </w:rPr>
        <w:noBreakHyphen/>
        <w:t>6 trūkumu reproduktīvā veiktspēja netika ietekmēta. Lietojot tocilizumabu makaka sugas pērtiķiem agrīnā grūsnības laikā, nekonstatēja tiešu vai netiešu nelabvēlīgu ietekmi uz grūsnību vai embrija</w:t>
      </w:r>
      <w:r>
        <w:rPr>
          <w:szCs w:val="22"/>
          <w:lang w:val="lv-LV"/>
        </w:rPr>
        <w:noBreakHyphen/>
        <w:t>augļa attīstību. Tomēr lielas sistēmiskas iedarbības gadījumā (&gt; 100 ×</w:t>
      </w:r>
      <w:r w:rsidR="00C4507B">
        <w:rPr>
          <w:szCs w:val="22"/>
          <w:lang w:val="lv-LV"/>
        </w:rPr>
        <w:t> </w:t>
      </w:r>
      <w:r>
        <w:rPr>
          <w:szCs w:val="22"/>
          <w:lang w:val="lv-LV"/>
        </w:rPr>
        <w:t>lielāka iedarbība par iedarbību cilvēkam) 50 mg/kg dienas devas grupā novēroja nelielu aborta/embrija</w:t>
      </w:r>
      <w:r>
        <w:rPr>
          <w:szCs w:val="22"/>
          <w:lang w:val="lv-LV"/>
        </w:rPr>
        <w:noBreakHyphen/>
        <w:t>augļa nāves gadījumu skaita palielināšanos, salīdzinot ar placebo un citām mazas devas grupām. Lai gan šķiet, ka IL</w:t>
      </w:r>
      <w:r>
        <w:rPr>
          <w:szCs w:val="22"/>
          <w:lang w:val="lv-LV"/>
        </w:rPr>
        <w:noBreakHyphen/>
        <w:t>6 nav kritiski nozīmīgs citokīns augļa augšanai vai mātes/augļa mijiedarbības imunoloģiskai kontrolei, šīs atrades saistību ar tocilizumabu nevar izslēgt.</w:t>
      </w:r>
    </w:p>
    <w:p w14:paraId="41629DAE" w14:textId="77777777" w:rsidR="00A453C3" w:rsidRDefault="00A453C3" w:rsidP="00A453C3">
      <w:pPr>
        <w:rPr>
          <w:szCs w:val="22"/>
          <w:lang w:val="lv-LV"/>
        </w:rPr>
      </w:pPr>
    </w:p>
    <w:p w14:paraId="7F48003D" w14:textId="77777777" w:rsidR="00A453C3" w:rsidRDefault="00A453C3" w:rsidP="00A453C3">
      <w:pPr>
        <w:rPr>
          <w:szCs w:val="22"/>
          <w:lang w:val="lv-LV"/>
        </w:rPr>
      </w:pPr>
      <w:r>
        <w:rPr>
          <w:szCs w:val="22"/>
          <w:lang w:val="lv-LV"/>
        </w:rPr>
        <w:t>Peļu analoga lietošana peļu mazuļiem toksicitāti neizraisīja. Īpaši jāatzīmē, ka nenovēroja ietekmi uz skeleta augšanu, imūnās sistēmas darbību un dzimumnobriešanu.</w:t>
      </w:r>
    </w:p>
    <w:p w14:paraId="083E10CF" w14:textId="77777777" w:rsidR="00A453C3" w:rsidRDefault="00A453C3" w:rsidP="00A453C3">
      <w:pPr>
        <w:rPr>
          <w:szCs w:val="22"/>
          <w:lang w:val="lv-LV"/>
        </w:rPr>
      </w:pPr>
    </w:p>
    <w:p w14:paraId="5017975C" w14:textId="077AB1FC" w:rsidR="00A453C3" w:rsidRDefault="00A453C3" w:rsidP="00A453C3">
      <w:pPr>
        <w:rPr>
          <w:szCs w:val="22"/>
          <w:lang w:val="lv-LV"/>
        </w:rPr>
      </w:pPr>
      <w:r>
        <w:rPr>
          <w:szCs w:val="22"/>
          <w:lang w:val="lv-LV"/>
        </w:rPr>
        <w:t xml:space="preserve">Tocilizumaba neklīniskās drošuma īpašības makakiem neliecina par intravenozas un subkutānas ievadīšanas atšķirībām. </w:t>
      </w:r>
    </w:p>
    <w:p w14:paraId="34168D2C" w14:textId="77777777" w:rsidR="00A453C3" w:rsidRPr="00DD7A4F" w:rsidRDefault="00A453C3" w:rsidP="00A453C3">
      <w:pPr>
        <w:rPr>
          <w:szCs w:val="22"/>
          <w:lang w:val="lv-LV"/>
        </w:rPr>
      </w:pPr>
    </w:p>
    <w:p w14:paraId="6032A846" w14:textId="77777777" w:rsidR="00A453C3" w:rsidRPr="00DD7A4F" w:rsidRDefault="00A453C3" w:rsidP="00A453C3">
      <w:pPr>
        <w:rPr>
          <w:szCs w:val="22"/>
          <w:lang w:val="lv-LV"/>
        </w:rPr>
      </w:pPr>
    </w:p>
    <w:p w14:paraId="126E76B9" w14:textId="77777777" w:rsidR="00A453C3" w:rsidRPr="00DD7A4F" w:rsidRDefault="00A453C3" w:rsidP="00A453C3">
      <w:pPr>
        <w:keepNext/>
        <w:keepLines/>
        <w:ind w:left="567" w:hanging="567"/>
        <w:rPr>
          <w:szCs w:val="22"/>
          <w:lang w:val="lv-LV"/>
        </w:rPr>
      </w:pPr>
      <w:r w:rsidRPr="00DD7A4F">
        <w:rPr>
          <w:b/>
          <w:szCs w:val="22"/>
          <w:lang w:val="lv-LV"/>
        </w:rPr>
        <w:t>6.</w:t>
      </w:r>
      <w:r w:rsidRPr="00DD7A4F">
        <w:rPr>
          <w:b/>
          <w:szCs w:val="22"/>
          <w:lang w:val="lv-LV"/>
        </w:rPr>
        <w:tab/>
        <w:t>FARMACEITISKĀ INFORMĀCIJA</w:t>
      </w:r>
    </w:p>
    <w:p w14:paraId="32CD6343" w14:textId="77777777" w:rsidR="00A453C3" w:rsidRPr="00DD7A4F" w:rsidRDefault="00A453C3" w:rsidP="00A453C3">
      <w:pPr>
        <w:keepNext/>
        <w:rPr>
          <w:szCs w:val="22"/>
          <w:lang w:val="lv-LV"/>
        </w:rPr>
      </w:pPr>
    </w:p>
    <w:p w14:paraId="0C65C2D5" w14:textId="77777777" w:rsidR="00A453C3" w:rsidRPr="00DD7A4F" w:rsidRDefault="00A453C3" w:rsidP="00A453C3">
      <w:pPr>
        <w:keepNext/>
        <w:ind w:left="567" w:hanging="567"/>
        <w:rPr>
          <w:rFonts w:eastAsia="PMingLiU"/>
          <w:bCs/>
          <w:szCs w:val="22"/>
          <w:lang w:val="lv-LV"/>
        </w:rPr>
      </w:pPr>
      <w:r w:rsidRPr="00DD7A4F">
        <w:rPr>
          <w:b/>
          <w:szCs w:val="22"/>
          <w:lang w:val="lv-LV"/>
        </w:rPr>
        <w:t>6.1.</w:t>
      </w:r>
      <w:r w:rsidRPr="00DD7A4F">
        <w:rPr>
          <w:b/>
          <w:szCs w:val="22"/>
          <w:lang w:val="lv-LV"/>
        </w:rPr>
        <w:tab/>
        <w:t>Palīgvielu saraksts</w:t>
      </w:r>
    </w:p>
    <w:p w14:paraId="36F00F6A" w14:textId="77777777" w:rsidR="00A453C3" w:rsidRPr="00DD7A4F" w:rsidRDefault="00A453C3" w:rsidP="00A453C3">
      <w:pPr>
        <w:keepNext/>
        <w:rPr>
          <w:rFonts w:eastAsia="PMingLiU"/>
          <w:bCs/>
          <w:szCs w:val="22"/>
          <w:lang w:val="lv-LV"/>
        </w:rPr>
      </w:pPr>
    </w:p>
    <w:p w14:paraId="328C2B87" w14:textId="77777777" w:rsidR="00A453C3" w:rsidRPr="00DD7A4F" w:rsidRDefault="00A453C3" w:rsidP="00A453C3">
      <w:pPr>
        <w:keepNext/>
        <w:rPr>
          <w:rFonts w:eastAsia="PMingLiU"/>
          <w:bCs/>
          <w:szCs w:val="22"/>
          <w:lang w:val="lv-LV"/>
        </w:rPr>
      </w:pPr>
      <w:r w:rsidRPr="00DD7A4F">
        <w:rPr>
          <w:rFonts w:eastAsia="PMingLiU"/>
          <w:bCs/>
          <w:szCs w:val="22"/>
          <w:lang w:val="lv-LV"/>
        </w:rPr>
        <w:t>L</w:t>
      </w:r>
      <w:r w:rsidRPr="00DD7A4F">
        <w:rPr>
          <w:rFonts w:eastAsia="PMingLiU"/>
          <w:bCs/>
          <w:szCs w:val="22"/>
          <w:lang w:val="lv-LV"/>
        </w:rPr>
        <w:noBreakHyphen/>
        <w:t>histidīns</w:t>
      </w:r>
      <w:r>
        <w:rPr>
          <w:rFonts w:eastAsia="PMingLiU"/>
          <w:bCs/>
          <w:szCs w:val="22"/>
          <w:lang w:val="lv-LV"/>
        </w:rPr>
        <w:t xml:space="preserve"> (pH pielāgošanai)</w:t>
      </w:r>
    </w:p>
    <w:p w14:paraId="466EA199" w14:textId="77777777" w:rsidR="00A453C3" w:rsidRDefault="00A453C3" w:rsidP="00A453C3">
      <w:pPr>
        <w:keepNext/>
        <w:rPr>
          <w:rFonts w:eastAsia="PMingLiU"/>
          <w:bCs/>
          <w:szCs w:val="22"/>
          <w:lang w:val="lv-LV"/>
        </w:rPr>
      </w:pPr>
      <w:r w:rsidRPr="00DD7A4F">
        <w:rPr>
          <w:rFonts w:eastAsia="PMingLiU"/>
          <w:bCs/>
          <w:szCs w:val="22"/>
          <w:lang w:val="lv-LV"/>
        </w:rPr>
        <w:t>L</w:t>
      </w:r>
      <w:r w:rsidRPr="00DD7A4F">
        <w:rPr>
          <w:rFonts w:eastAsia="PMingLiU"/>
          <w:bCs/>
          <w:szCs w:val="22"/>
          <w:lang w:val="lv-LV"/>
        </w:rPr>
        <w:noBreakHyphen/>
        <w:t>histidīna monohidrohlorīda monohidrāts</w:t>
      </w:r>
      <w:r>
        <w:rPr>
          <w:rFonts w:eastAsia="PMingLiU"/>
          <w:bCs/>
          <w:szCs w:val="22"/>
          <w:lang w:val="lv-LV"/>
        </w:rPr>
        <w:t xml:space="preserve"> (pH pielāgošanai)</w:t>
      </w:r>
    </w:p>
    <w:p w14:paraId="1D3A5655" w14:textId="77777777" w:rsidR="00A453C3" w:rsidRPr="00DD7A4F" w:rsidRDefault="00A453C3" w:rsidP="00A453C3">
      <w:pPr>
        <w:keepNext/>
        <w:rPr>
          <w:rFonts w:eastAsia="PMingLiU"/>
          <w:bCs/>
          <w:szCs w:val="22"/>
          <w:lang w:val="lv-LV"/>
        </w:rPr>
      </w:pPr>
      <w:r>
        <w:rPr>
          <w:rFonts w:eastAsia="PMingLiU"/>
          <w:bCs/>
          <w:szCs w:val="22"/>
          <w:lang w:val="lv-LV"/>
        </w:rPr>
        <w:t>L-arginīns/</w:t>
      </w:r>
      <w:r w:rsidRPr="00DD7A4F">
        <w:rPr>
          <w:rFonts w:eastAsia="PMingLiU"/>
          <w:bCs/>
          <w:szCs w:val="22"/>
          <w:lang w:val="lv-LV"/>
        </w:rPr>
        <w:t>L</w:t>
      </w:r>
      <w:r w:rsidRPr="00DD7A4F">
        <w:rPr>
          <w:rFonts w:eastAsia="PMingLiU"/>
          <w:bCs/>
          <w:szCs w:val="22"/>
          <w:lang w:val="lv-LV"/>
        </w:rPr>
        <w:noBreakHyphen/>
        <w:t>arginīna hidrohlorīds</w:t>
      </w:r>
    </w:p>
    <w:p w14:paraId="620EB5FF" w14:textId="77777777" w:rsidR="00A453C3" w:rsidRPr="00DD7A4F" w:rsidRDefault="00A453C3" w:rsidP="00A453C3">
      <w:pPr>
        <w:keepNext/>
        <w:rPr>
          <w:rFonts w:eastAsia="PMingLiU"/>
          <w:bCs/>
          <w:szCs w:val="22"/>
          <w:lang w:val="lv-LV"/>
        </w:rPr>
      </w:pPr>
      <w:r w:rsidRPr="00DD7A4F">
        <w:rPr>
          <w:rFonts w:eastAsia="PMingLiU"/>
          <w:bCs/>
          <w:szCs w:val="22"/>
          <w:lang w:val="lv-LV"/>
        </w:rPr>
        <w:t>L</w:t>
      </w:r>
      <w:r w:rsidRPr="00DD7A4F">
        <w:rPr>
          <w:rFonts w:eastAsia="PMingLiU"/>
          <w:bCs/>
          <w:szCs w:val="22"/>
          <w:lang w:val="lv-LV"/>
        </w:rPr>
        <w:noBreakHyphen/>
        <w:t>metionīns</w:t>
      </w:r>
    </w:p>
    <w:p w14:paraId="6968DD89" w14:textId="54670285" w:rsidR="00A453C3" w:rsidRPr="00DD7A4F" w:rsidRDefault="00A453C3" w:rsidP="00A453C3">
      <w:pPr>
        <w:keepNext/>
        <w:rPr>
          <w:rFonts w:eastAsia="PMingLiU"/>
          <w:bCs/>
          <w:szCs w:val="22"/>
          <w:lang w:val="lv-LV"/>
        </w:rPr>
      </w:pPr>
      <w:r w:rsidRPr="00DD7A4F">
        <w:rPr>
          <w:rFonts w:eastAsia="PMingLiU"/>
          <w:bCs/>
          <w:szCs w:val="22"/>
          <w:lang w:val="lv-LV"/>
        </w:rPr>
        <w:t>Polisorbāts</w:t>
      </w:r>
      <w:ins w:id="1454" w:author="Author">
        <w:r w:rsidR="005A7F0A">
          <w:rPr>
            <w:rFonts w:eastAsia="PMingLiU"/>
            <w:bCs/>
            <w:szCs w:val="22"/>
            <w:lang w:val="lv-LV"/>
          </w:rPr>
          <w:t> </w:t>
        </w:r>
      </w:ins>
      <w:del w:id="1455" w:author="Author">
        <w:r w:rsidRPr="00DD7A4F" w:rsidDel="005A7F0A">
          <w:rPr>
            <w:rFonts w:eastAsia="PMingLiU"/>
            <w:bCs/>
            <w:szCs w:val="22"/>
            <w:lang w:val="lv-LV"/>
          </w:rPr>
          <w:delText xml:space="preserve"> </w:delText>
        </w:r>
      </w:del>
      <w:r w:rsidRPr="00DD7A4F">
        <w:rPr>
          <w:rFonts w:eastAsia="PMingLiU"/>
          <w:bCs/>
          <w:szCs w:val="22"/>
          <w:lang w:val="lv-LV"/>
        </w:rPr>
        <w:t>80</w:t>
      </w:r>
      <w:r>
        <w:rPr>
          <w:rFonts w:eastAsia="PMingLiU"/>
          <w:bCs/>
          <w:szCs w:val="22"/>
          <w:lang w:val="lv-LV"/>
        </w:rPr>
        <w:t xml:space="preserve"> (E 433)</w:t>
      </w:r>
    </w:p>
    <w:p w14:paraId="7707D22B" w14:textId="77777777" w:rsidR="00A453C3" w:rsidRPr="00DD7A4F" w:rsidRDefault="00A453C3" w:rsidP="00A453C3">
      <w:pPr>
        <w:rPr>
          <w:iCs/>
          <w:szCs w:val="22"/>
          <w:lang w:val="lv-LV"/>
        </w:rPr>
      </w:pPr>
      <w:r w:rsidRPr="00DD7A4F">
        <w:rPr>
          <w:rFonts w:eastAsia="PMingLiU"/>
          <w:bCs/>
          <w:szCs w:val="22"/>
          <w:lang w:val="lv-LV"/>
        </w:rPr>
        <w:t>Ūdens injekcijām</w:t>
      </w:r>
    </w:p>
    <w:p w14:paraId="0216B010" w14:textId="77777777" w:rsidR="00A453C3" w:rsidRPr="00DD7A4F" w:rsidRDefault="00A453C3" w:rsidP="00A453C3">
      <w:pPr>
        <w:rPr>
          <w:iCs/>
          <w:szCs w:val="22"/>
          <w:lang w:val="lv-LV"/>
        </w:rPr>
      </w:pPr>
    </w:p>
    <w:p w14:paraId="3B6D13C7" w14:textId="77777777" w:rsidR="00A453C3" w:rsidRPr="00DD7A4F" w:rsidRDefault="00A453C3" w:rsidP="00A453C3">
      <w:pPr>
        <w:keepNext/>
        <w:ind w:left="567" w:hanging="567"/>
        <w:rPr>
          <w:rFonts w:eastAsia="PMingLiU"/>
          <w:bCs/>
          <w:szCs w:val="22"/>
          <w:lang w:val="lv-LV"/>
        </w:rPr>
      </w:pPr>
      <w:r w:rsidRPr="00DD7A4F">
        <w:rPr>
          <w:b/>
          <w:szCs w:val="22"/>
          <w:lang w:val="lv-LV"/>
        </w:rPr>
        <w:t>6.2.</w:t>
      </w:r>
      <w:r w:rsidRPr="00DD7A4F">
        <w:rPr>
          <w:b/>
          <w:szCs w:val="22"/>
          <w:lang w:val="lv-LV"/>
        </w:rPr>
        <w:tab/>
        <w:t>Nesaderība</w:t>
      </w:r>
    </w:p>
    <w:p w14:paraId="629C9B73" w14:textId="77777777" w:rsidR="00A453C3" w:rsidRPr="00DD7A4F" w:rsidRDefault="00A453C3" w:rsidP="00A453C3">
      <w:pPr>
        <w:keepNext/>
        <w:rPr>
          <w:rFonts w:eastAsia="PMingLiU"/>
          <w:bCs/>
          <w:szCs w:val="22"/>
          <w:lang w:val="lv-LV"/>
        </w:rPr>
      </w:pPr>
    </w:p>
    <w:p w14:paraId="2D0479AC" w14:textId="77777777" w:rsidR="00A453C3" w:rsidRPr="00DD7A4F" w:rsidRDefault="00A453C3" w:rsidP="00A453C3">
      <w:pPr>
        <w:rPr>
          <w:szCs w:val="22"/>
          <w:lang w:val="lv-LV"/>
        </w:rPr>
      </w:pPr>
      <w:r w:rsidRPr="00DD7A4F">
        <w:rPr>
          <w:szCs w:val="22"/>
          <w:lang w:val="lv-LV"/>
        </w:rPr>
        <w:t>Saderības pētījumu trūkuma dēļ šīs zāles nedrīkst sajaukt (lietot maisījumā) ar citām zālēm.</w:t>
      </w:r>
    </w:p>
    <w:p w14:paraId="1FBC8EBB" w14:textId="77777777" w:rsidR="00A453C3" w:rsidRPr="00DD7A4F" w:rsidRDefault="00A453C3" w:rsidP="00A453C3">
      <w:pPr>
        <w:rPr>
          <w:szCs w:val="22"/>
          <w:lang w:val="lv-LV"/>
        </w:rPr>
      </w:pPr>
    </w:p>
    <w:p w14:paraId="1FBC6E35" w14:textId="77777777" w:rsidR="00A453C3" w:rsidRPr="00DD7A4F" w:rsidRDefault="00A453C3" w:rsidP="00A453C3">
      <w:pPr>
        <w:ind w:left="567" w:hanging="567"/>
        <w:rPr>
          <w:szCs w:val="22"/>
          <w:lang w:val="lv-LV"/>
        </w:rPr>
      </w:pPr>
      <w:r w:rsidRPr="00DD7A4F">
        <w:rPr>
          <w:b/>
          <w:szCs w:val="22"/>
          <w:lang w:val="lv-LV"/>
        </w:rPr>
        <w:t>6.3.</w:t>
      </w:r>
      <w:r w:rsidRPr="00DD7A4F">
        <w:rPr>
          <w:b/>
          <w:szCs w:val="22"/>
          <w:lang w:val="lv-LV"/>
        </w:rPr>
        <w:tab/>
        <w:t xml:space="preserve">Uzglabāšanas laiks </w:t>
      </w:r>
    </w:p>
    <w:p w14:paraId="1ADCABAB" w14:textId="77777777" w:rsidR="00A453C3" w:rsidRPr="00DD7A4F" w:rsidRDefault="00A453C3" w:rsidP="00A453C3">
      <w:pPr>
        <w:rPr>
          <w:szCs w:val="22"/>
          <w:lang w:val="lv-LV"/>
        </w:rPr>
      </w:pPr>
    </w:p>
    <w:p w14:paraId="1EB26C61" w14:textId="079F763D" w:rsidR="00A453C3" w:rsidRPr="00DD7A4F" w:rsidRDefault="00A453C3" w:rsidP="00A453C3">
      <w:pPr>
        <w:rPr>
          <w:szCs w:val="22"/>
          <w:lang w:val="lv-LV"/>
        </w:rPr>
      </w:pPr>
      <w:r>
        <w:rPr>
          <w:szCs w:val="22"/>
          <w:lang w:val="lv-LV"/>
        </w:rPr>
        <w:t>3 gadi</w:t>
      </w:r>
    </w:p>
    <w:p w14:paraId="3DF493FD" w14:textId="77777777" w:rsidR="00A453C3" w:rsidRPr="00DD7A4F" w:rsidRDefault="00A453C3" w:rsidP="00A453C3">
      <w:pPr>
        <w:rPr>
          <w:szCs w:val="22"/>
          <w:lang w:val="lv-LV"/>
        </w:rPr>
      </w:pPr>
    </w:p>
    <w:p w14:paraId="6ADE2713" w14:textId="77777777" w:rsidR="00A453C3" w:rsidRPr="00DD7A4F" w:rsidRDefault="00A453C3" w:rsidP="00A453C3">
      <w:pPr>
        <w:keepNext/>
        <w:keepLines/>
        <w:rPr>
          <w:szCs w:val="22"/>
          <w:lang w:val="lv-LV"/>
        </w:rPr>
      </w:pPr>
      <w:r w:rsidRPr="00DD7A4F">
        <w:rPr>
          <w:b/>
          <w:szCs w:val="22"/>
          <w:lang w:val="lv-LV"/>
        </w:rPr>
        <w:t>6.4.</w:t>
      </w:r>
      <w:r w:rsidRPr="00DD7A4F">
        <w:rPr>
          <w:b/>
          <w:szCs w:val="22"/>
          <w:lang w:val="lv-LV"/>
        </w:rPr>
        <w:tab/>
        <w:t>Īpaši uzglabāšanas nosacījumi</w:t>
      </w:r>
    </w:p>
    <w:p w14:paraId="678DFFC2" w14:textId="77777777" w:rsidR="00A453C3" w:rsidRPr="00DD7A4F" w:rsidRDefault="00A453C3" w:rsidP="00A453C3">
      <w:pPr>
        <w:rPr>
          <w:szCs w:val="22"/>
          <w:lang w:val="lv-LV"/>
        </w:rPr>
      </w:pPr>
    </w:p>
    <w:p w14:paraId="4D99990E" w14:textId="728EE605" w:rsidR="00A453C3" w:rsidRPr="00D92A7A" w:rsidRDefault="00A453C3" w:rsidP="00A453C3">
      <w:pPr>
        <w:rPr>
          <w:szCs w:val="22"/>
          <w:lang w:val="lv-LV"/>
        </w:rPr>
      </w:pPr>
      <w:r w:rsidRPr="00DD7A4F">
        <w:rPr>
          <w:szCs w:val="22"/>
          <w:lang w:val="lv-LV"/>
        </w:rPr>
        <w:t>Uzglabāt ledusskapī (2</w:t>
      </w:r>
      <w:r>
        <w:rPr>
          <w:szCs w:val="22"/>
          <w:lang w:val="lv-LV"/>
        </w:rPr>
        <w:t> </w:t>
      </w:r>
      <w:r w:rsidRPr="00DD7A4F">
        <w:rPr>
          <w:szCs w:val="22"/>
          <w:lang w:val="lv-LV"/>
        </w:rPr>
        <w:t>°C–8</w:t>
      </w:r>
      <w:r>
        <w:rPr>
          <w:szCs w:val="22"/>
          <w:lang w:val="lv-LV"/>
        </w:rPr>
        <w:t> </w:t>
      </w:r>
      <w:r w:rsidRPr="00DD7A4F">
        <w:rPr>
          <w:szCs w:val="22"/>
          <w:lang w:val="lv-LV"/>
        </w:rPr>
        <w:t xml:space="preserve">°C). Nesasaldēt. </w:t>
      </w:r>
      <w:r w:rsidRPr="00D92A7A">
        <w:rPr>
          <w:szCs w:val="22"/>
          <w:lang w:val="lv-LV"/>
        </w:rPr>
        <w:t>Pēc izņemšanas no ledusskapja</w:t>
      </w:r>
      <w:r>
        <w:rPr>
          <w:szCs w:val="22"/>
          <w:lang w:val="lv-LV"/>
        </w:rPr>
        <w:t xml:space="preserve"> pildspalvveida</w:t>
      </w:r>
      <w:r w:rsidRPr="00D92A7A">
        <w:rPr>
          <w:szCs w:val="22"/>
          <w:lang w:val="lv-LV"/>
        </w:rPr>
        <w:t xml:space="preserve"> pilnšļirci var uzglabāt līdz 2 nedēļām temperatūrā līdz 30</w:t>
      </w:r>
      <w:r>
        <w:rPr>
          <w:szCs w:val="22"/>
          <w:lang w:val="lv-LV"/>
        </w:rPr>
        <w:t> </w:t>
      </w:r>
      <w:r w:rsidRPr="00D92A7A">
        <w:rPr>
          <w:szCs w:val="22"/>
          <w:lang w:val="lv-LV"/>
        </w:rPr>
        <w:t>°C.</w:t>
      </w:r>
    </w:p>
    <w:p w14:paraId="1891974A" w14:textId="77777777" w:rsidR="00A453C3" w:rsidRPr="00DD7A4F" w:rsidRDefault="00A453C3" w:rsidP="00A453C3">
      <w:pPr>
        <w:rPr>
          <w:szCs w:val="22"/>
          <w:lang w:val="lv-LV"/>
        </w:rPr>
      </w:pPr>
    </w:p>
    <w:p w14:paraId="2465A642" w14:textId="2AB9D16F" w:rsidR="00A453C3" w:rsidRDefault="00A453C3" w:rsidP="00A453C3">
      <w:pPr>
        <w:rPr>
          <w:ins w:id="1456" w:author="Author"/>
          <w:szCs w:val="22"/>
          <w:lang w:val="lv-LV"/>
        </w:rPr>
      </w:pPr>
      <w:r w:rsidRPr="00DD7A4F">
        <w:rPr>
          <w:szCs w:val="22"/>
          <w:lang w:val="lv-LV"/>
        </w:rPr>
        <w:t xml:space="preserve">Uzglabāt pildspalvveida pilnšļirces ārējā kartona kastītē, lai pasargātu no gaismas un mitruma. </w:t>
      </w:r>
    </w:p>
    <w:p w14:paraId="35A451F0" w14:textId="31D1F71A" w:rsidR="00CA5BBD" w:rsidRDefault="00CA5BBD" w:rsidP="00A453C3">
      <w:pPr>
        <w:rPr>
          <w:ins w:id="1457" w:author="Author"/>
          <w:szCs w:val="22"/>
          <w:lang w:val="lv-LV"/>
        </w:rPr>
      </w:pPr>
    </w:p>
    <w:p w14:paraId="5F01690D" w14:textId="40D66B30" w:rsidR="00CA5BBD" w:rsidRPr="00DD7A4F" w:rsidDel="00CA5BBD" w:rsidRDefault="00CA5BBD" w:rsidP="00A453C3">
      <w:pPr>
        <w:rPr>
          <w:del w:id="1458" w:author="Author"/>
          <w:szCs w:val="22"/>
          <w:lang w:val="lv-LV"/>
        </w:rPr>
      </w:pPr>
      <w:ins w:id="1459" w:author="Author">
        <w:r w:rsidRPr="00C52275">
          <w:rPr>
            <w:szCs w:val="22"/>
            <w:lang w:val="lv-LV"/>
          </w:rPr>
          <w:t xml:space="preserve">Iepakojuma izņemšanas no ledusskapja datums un laiks jāpieraksta uz kastītes. Izmetiet šļirci, ja tā </w:t>
        </w:r>
        <w:r w:rsidR="00CD6042">
          <w:rPr>
            <w:szCs w:val="22"/>
            <w:lang w:val="lv-LV"/>
          </w:rPr>
          <w:t>uzglabāta</w:t>
        </w:r>
        <w:r>
          <w:rPr>
            <w:szCs w:val="22"/>
            <w:lang w:val="lv-LV"/>
          </w:rPr>
          <w:t xml:space="preserve"> </w:t>
        </w:r>
        <w:r w:rsidR="00946AF3">
          <w:rPr>
            <w:szCs w:val="22"/>
            <w:lang w:val="lv-LV"/>
          </w:rPr>
          <w:t xml:space="preserve">ārpus </w:t>
        </w:r>
        <w:r w:rsidRPr="00C52275">
          <w:rPr>
            <w:szCs w:val="22"/>
            <w:lang w:val="lv-LV"/>
          </w:rPr>
          <w:t>ledusskap</w:t>
        </w:r>
        <w:r w:rsidR="00946AF3">
          <w:rPr>
            <w:szCs w:val="22"/>
            <w:lang w:val="lv-LV"/>
          </w:rPr>
          <w:t>ja</w:t>
        </w:r>
        <w:r w:rsidRPr="00C52275">
          <w:rPr>
            <w:szCs w:val="22"/>
            <w:lang w:val="lv-LV"/>
          </w:rPr>
          <w:t xml:space="preserve"> ilgāk par 2</w:t>
        </w:r>
        <w:r w:rsidR="00CD6042">
          <w:rPr>
            <w:szCs w:val="22"/>
            <w:lang w:val="lv-LV"/>
          </w:rPr>
          <w:t> </w:t>
        </w:r>
        <w:r w:rsidRPr="00C52275">
          <w:rPr>
            <w:szCs w:val="22"/>
            <w:lang w:val="lv-LV"/>
          </w:rPr>
          <w:t>nedēļām. Neizmantojiet ārējus siltuma avotus, piemēram, karstu ūdeni, lai uzsildītu pilnšļirci.</w:t>
        </w:r>
      </w:ins>
    </w:p>
    <w:p w14:paraId="6AA80A8A" w14:textId="77777777" w:rsidR="00A453C3" w:rsidRPr="00DD7A4F" w:rsidRDefault="00A453C3" w:rsidP="00A453C3">
      <w:pPr>
        <w:rPr>
          <w:szCs w:val="22"/>
          <w:lang w:val="lv-LV"/>
        </w:rPr>
      </w:pPr>
    </w:p>
    <w:p w14:paraId="4BA944CC" w14:textId="77777777" w:rsidR="00A453C3" w:rsidRPr="00DD7A4F" w:rsidRDefault="00A453C3" w:rsidP="00A453C3">
      <w:pPr>
        <w:keepNext/>
        <w:rPr>
          <w:szCs w:val="22"/>
          <w:lang w:val="lv-LV"/>
        </w:rPr>
      </w:pPr>
      <w:r w:rsidRPr="00DD7A4F">
        <w:rPr>
          <w:b/>
          <w:szCs w:val="22"/>
          <w:lang w:val="lv-LV"/>
        </w:rPr>
        <w:t>6.5.</w:t>
      </w:r>
      <w:r w:rsidRPr="00DD7A4F">
        <w:rPr>
          <w:b/>
          <w:szCs w:val="22"/>
          <w:lang w:val="lv-LV"/>
        </w:rPr>
        <w:tab/>
        <w:t>Iepakojuma veids un saturs</w:t>
      </w:r>
    </w:p>
    <w:p w14:paraId="37C118D5" w14:textId="77777777" w:rsidR="00A453C3" w:rsidRPr="00DD7A4F" w:rsidRDefault="00A453C3" w:rsidP="00A453C3">
      <w:pPr>
        <w:keepNext/>
        <w:rPr>
          <w:szCs w:val="22"/>
          <w:lang w:val="lv-LV"/>
        </w:rPr>
      </w:pPr>
    </w:p>
    <w:p w14:paraId="05E26B3D" w14:textId="6F1B3AFC" w:rsidR="00A453C3" w:rsidRPr="00DD7A4F" w:rsidRDefault="00A453C3" w:rsidP="00A453C3">
      <w:pPr>
        <w:rPr>
          <w:szCs w:val="22"/>
          <w:lang w:val="lv-LV"/>
        </w:rPr>
      </w:pPr>
      <w:r w:rsidRPr="00DD7A4F">
        <w:rPr>
          <w:szCs w:val="22"/>
          <w:lang w:val="lv-LV"/>
        </w:rPr>
        <w:t xml:space="preserve">0,9 ml šķīduma </w:t>
      </w:r>
      <w:r>
        <w:rPr>
          <w:szCs w:val="22"/>
          <w:lang w:val="lv-LV"/>
        </w:rPr>
        <w:t xml:space="preserve">pildspalvveida </w:t>
      </w:r>
      <w:r w:rsidRPr="00DD7A4F">
        <w:rPr>
          <w:szCs w:val="22"/>
          <w:lang w:val="lv-LV"/>
        </w:rPr>
        <w:t>pilnšļircē (no I hidrolītiskās klases stikla) ar iemontētu adatu, kas satur 162</w:t>
      </w:r>
      <w:r>
        <w:rPr>
          <w:szCs w:val="22"/>
          <w:lang w:val="lv-LV"/>
        </w:rPr>
        <w:t> </w:t>
      </w:r>
      <w:r w:rsidRPr="00DD7A4F">
        <w:rPr>
          <w:szCs w:val="22"/>
          <w:lang w:val="lv-LV"/>
        </w:rPr>
        <w:t xml:space="preserve">mg RoActemra, pildspalvveida pilnšļircē. Šļirce ir noslēgta ar stingru adatas aizsargapvalku (elastomēra slēgums ar polipropilēna apvalku) un virzuļa cilindru (butilgumija ar fluorsveķu apvalku). </w:t>
      </w:r>
    </w:p>
    <w:p w14:paraId="5A38BE0D" w14:textId="77777777" w:rsidR="00A453C3" w:rsidRPr="00DD7A4F" w:rsidRDefault="00A453C3" w:rsidP="00A453C3">
      <w:pPr>
        <w:rPr>
          <w:szCs w:val="22"/>
          <w:lang w:val="lv-LV"/>
        </w:rPr>
      </w:pPr>
    </w:p>
    <w:p w14:paraId="4DDFF015" w14:textId="095A5FF6" w:rsidR="00A453C3" w:rsidRPr="00CB073A" w:rsidRDefault="00A453C3" w:rsidP="00A453C3">
      <w:pPr>
        <w:rPr>
          <w:szCs w:val="22"/>
          <w:lang w:val="lv-LV"/>
        </w:rPr>
      </w:pPr>
      <w:r w:rsidRPr="00CB073A">
        <w:rPr>
          <w:szCs w:val="22"/>
          <w:lang w:val="lv-LV"/>
        </w:rPr>
        <w:t>Iepakojumā 4 pildspalvveida pilnšļirces</w:t>
      </w:r>
      <w:r w:rsidRPr="00CB073A">
        <w:rPr>
          <w:iCs/>
          <w:szCs w:val="22"/>
          <w:lang w:val="lv-LV"/>
        </w:rPr>
        <w:t xml:space="preserve"> </w:t>
      </w:r>
      <w:r w:rsidRPr="00707120">
        <w:rPr>
          <w:iCs/>
          <w:szCs w:val="22"/>
          <w:lang w:val="lv-LV"/>
        </w:rPr>
        <w:t xml:space="preserve">un daudzdevu iepakojums </w:t>
      </w:r>
      <w:r>
        <w:rPr>
          <w:iCs/>
          <w:szCs w:val="22"/>
          <w:lang w:val="lv-LV"/>
        </w:rPr>
        <w:t>–</w:t>
      </w:r>
      <w:r w:rsidRPr="00707120">
        <w:rPr>
          <w:iCs/>
          <w:szCs w:val="22"/>
          <w:lang w:val="lv-LV"/>
        </w:rPr>
        <w:t xml:space="preserve"> 12</w:t>
      </w:r>
      <w:r>
        <w:rPr>
          <w:iCs/>
          <w:szCs w:val="22"/>
          <w:lang w:val="lv-LV"/>
        </w:rPr>
        <w:t> </w:t>
      </w:r>
      <w:r w:rsidRPr="00707120">
        <w:rPr>
          <w:iCs/>
          <w:szCs w:val="22"/>
          <w:lang w:val="lv-LV"/>
        </w:rPr>
        <w:t>pildspalvveida pilnšļirces (3</w:t>
      </w:r>
      <w:r>
        <w:rPr>
          <w:iCs/>
          <w:szCs w:val="22"/>
          <w:lang w:val="lv-LV"/>
        </w:rPr>
        <w:t> </w:t>
      </w:r>
      <w:r w:rsidRPr="00707120">
        <w:rPr>
          <w:iCs/>
          <w:szCs w:val="22"/>
          <w:lang w:val="lv-LV"/>
        </w:rPr>
        <w:t xml:space="preserve">kārbiņas katrā pa 4). </w:t>
      </w:r>
      <w:r w:rsidRPr="00707120">
        <w:rPr>
          <w:lang w:val="lv-LV"/>
        </w:rPr>
        <w:t>Visi iepakojuma lielumi tirgū var nebūt pieejami</w:t>
      </w:r>
      <w:r w:rsidRPr="00707120">
        <w:rPr>
          <w:szCs w:val="22"/>
          <w:lang w:val="lv-LV"/>
        </w:rPr>
        <w:t>.</w:t>
      </w:r>
      <w:r w:rsidRPr="00CB073A">
        <w:rPr>
          <w:szCs w:val="22"/>
          <w:lang w:val="lv-LV"/>
        </w:rPr>
        <w:t xml:space="preserve"> </w:t>
      </w:r>
    </w:p>
    <w:p w14:paraId="230A3D08" w14:textId="77777777" w:rsidR="00A453C3" w:rsidRPr="00CB073A" w:rsidRDefault="00A453C3" w:rsidP="00A453C3">
      <w:pPr>
        <w:rPr>
          <w:rFonts w:eastAsia="PMingLiU"/>
          <w:szCs w:val="22"/>
          <w:lang w:val="lv-LV"/>
        </w:rPr>
      </w:pPr>
    </w:p>
    <w:p w14:paraId="5AD428DB" w14:textId="77777777" w:rsidR="00A453C3" w:rsidRPr="00DD7A4F" w:rsidRDefault="00A453C3" w:rsidP="00A453C3">
      <w:pPr>
        <w:keepNext/>
        <w:keepLines/>
        <w:rPr>
          <w:szCs w:val="22"/>
          <w:lang w:val="lv-LV"/>
        </w:rPr>
      </w:pPr>
      <w:r w:rsidRPr="00DD7A4F">
        <w:rPr>
          <w:b/>
          <w:szCs w:val="22"/>
          <w:lang w:val="lv-LV"/>
        </w:rPr>
        <w:t>6.6.</w:t>
      </w:r>
      <w:r w:rsidRPr="00DD7A4F">
        <w:rPr>
          <w:b/>
          <w:szCs w:val="22"/>
          <w:lang w:val="lv-LV"/>
        </w:rPr>
        <w:tab/>
        <w:t xml:space="preserve">Īpaši norādījumi atkritumu likvidēšanai un citi norādījumi par rīkošanos </w:t>
      </w:r>
    </w:p>
    <w:p w14:paraId="1830484E" w14:textId="77777777" w:rsidR="00A453C3" w:rsidRPr="00DD7A4F" w:rsidRDefault="00A453C3" w:rsidP="00A453C3">
      <w:pPr>
        <w:keepNext/>
        <w:rPr>
          <w:szCs w:val="22"/>
          <w:lang w:val="lv-LV"/>
        </w:rPr>
      </w:pPr>
    </w:p>
    <w:p w14:paraId="0F529DA6" w14:textId="6B202526" w:rsidR="00A453C3" w:rsidRPr="00DD7A4F" w:rsidRDefault="00A453C3" w:rsidP="00A453C3">
      <w:pPr>
        <w:rPr>
          <w:kern w:val="1"/>
          <w:szCs w:val="22"/>
          <w:lang w:val="lv-LV"/>
        </w:rPr>
      </w:pPr>
      <w:r w:rsidRPr="00DD7A4F">
        <w:rPr>
          <w:lang w:val="lv-LV"/>
        </w:rPr>
        <w:t>RoActemra pieejams vienreizējai lietošanai paredzētā pildspalvveida pilnšļircē. Pēc pildspalvveida pilnšļirces izņemšanas no ledusskapja tai jāļauj sasilt līdz istabas temperatūrai (18</w:t>
      </w:r>
      <w:r>
        <w:rPr>
          <w:lang w:val="lv-LV"/>
        </w:rPr>
        <w:t> </w:t>
      </w:r>
      <w:r w:rsidRPr="00DD7A4F">
        <w:rPr>
          <w:lang w:val="lv-LV"/>
        </w:rPr>
        <w:t>°C līdz 28</w:t>
      </w:r>
      <w:r>
        <w:rPr>
          <w:lang w:val="lv-LV"/>
        </w:rPr>
        <w:t> </w:t>
      </w:r>
      <w:r w:rsidRPr="00382C63">
        <w:rPr>
          <w:sz w:val="21"/>
          <w:lang w:val="lv-LV"/>
        </w:rPr>
        <w:t>°</w:t>
      </w:r>
      <w:r w:rsidRPr="00DD7A4F">
        <w:rPr>
          <w:lang w:val="lv-LV"/>
        </w:rPr>
        <w:t>C), pirms injekcijas nogaidot 45 minūtes. Pildspalvveida pilnšļirci nedrīkst sakratīt. Pēc vāciņa noņemšanas injekcija jāsāk 3 minūšu laikā</w:t>
      </w:r>
      <w:r w:rsidRPr="00DD7A4F">
        <w:rPr>
          <w:kern w:val="1"/>
          <w:szCs w:val="22"/>
          <w:lang w:val="lv-LV"/>
        </w:rPr>
        <w:t>, lai nepieļautu zāļu izžūšanu un adatas aizsprostošanu. Ja pildspalvveida pilnšļirce netiek lietota 3 minūšu laikā pēc vāciņa noņemšanas, tā ir jāizmet necaurduramā tvertnē un jālieto jauna pildspalvveida pilnšļirce.</w:t>
      </w:r>
    </w:p>
    <w:p w14:paraId="6F769D74" w14:textId="77777777" w:rsidR="00A453C3" w:rsidRPr="00DD7A4F" w:rsidRDefault="00A453C3" w:rsidP="00A453C3">
      <w:pPr>
        <w:spacing w:line="100" w:lineRule="atLeast"/>
        <w:rPr>
          <w:bCs/>
          <w:kern w:val="1"/>
          <w:szCs w:val="22"/>
          <w:lang w:val="lv-LV"/>
        </w:rPr>
      </w:pPr>
    </w:p>
    <w:p w14:paraId="3483552A" w14:textId="77777777" w:rsidR="00A453C3" w:rsidRPr="00DD7A4F" w:rsidRDefault="00A453C3" w:rsidP="00A453C3">
      <w:pPr>
        <w:spacing w:line="100" w:lineRule="atLeast"/>
        <w:rPr>
          <w:kern w:val="1"/>
          <w:lang w:val="lv-LV"/>
        </w:rPr>
      </w:pPr>
      <w:r w:rsidRPr="00DD7A4F">
        <w:rPr>
          <w:bCs/>
          <w:kern w:val="1"/>
          <w:szCs w:val="22"/>
          <w:lang w:val="lv-LV"/>
        </w:rPr>
        <w:t xml:space="preserve">Ja pēc aktivēšanas pogas piespiešanas violetais indikators neiekustas, pildspalvveida pilnšļirce ir jāizmet necaurduramā tvertnē. </w:t>
      </w:r>
      <w:r w:rsidRPr="00DD7A4F">
        <w:rPr>
          <w:b/>
          <w:bCs/>
          <w:kern w:val="1"/>
          <w:szCs w:val="22"/>
          <w:lang w:val="lv-LV"/>
        </w:rPr>
        <w:t>Nemēģiniet</w:t>
      </w:r>
      <w:r w:rsidRPr="00DD7A4F">
        <w:rPr>
          <w:bCs/>
          <w:kern w:val="1"/>
          <w:szCs w:val="22"/>
          <w:lang w:val="lv-LV"/>
        </w:rPr>
        <w:t xml:space="preserve"> atkārtoti lietot pildspalvveida pilnšļirci. Neatkārtojiet injekciju ar citu pildspalvveida pilnšļirci. Konsultējieties ar veselības aprūpes speciālistu.</w:t>
      </w:r>
    </w:p>
    <w:p w14:paraId="2D6706FF" w14:textId="77777777" w:rsidR="00A453C3" w:rsidRPr="00DD7A4F" w:rsidRDefault="00A453C3" w:rsidP="00A453C3">
      <w:pPr>
        <w:rPr>
          <w:lang w:val="lv-LV"/>
        </w:rPr>
      </w:pPr>
    </w:p>
    <w:p w14:paraId="64843D33" w14:textId="77777777" w:rsidR="00A453C3" w:rsidRPr="00DD7A4F" w:rsidRDefault="00A453C3" w:rsidP="00A453C3">
      <w:pPr>
        <w:rPr>
          <w:lang w:val="lv-LV"/>
        </w:rPr>
      </w:pPr>
      <w:r w:rsidRPr="00DD7A4F">
        <w:rPr>
          <w:lang w:val="lv-LV"/>
        </w:rPr>
        <w:t xml:space="preserve">Nelietojiet </w:t>
      </w:r>
      <w:r>
        <w:rPr>
          <w:lang w:val="lv-LV"/>
        </w:rPr>
        <w:t xml:space="preserve">šīs </w:t>
      </w:r>
      <w:r w:rsidRPr="00DD7A4F">
        <w:rPr>
          <w:lang w:val="lv-LV"/>
        </w:rPr>
        <w:t xml:space="preserve">zāles, ja šķīdums ir duļķains vai satur daļiņas, tā krāsa nav bezkrāsaina līdz nedaudz dzeltenīga vai jebkura pildspalvveida pilnšļirces daļa šķiet bojāta. </w:t>
      </w:r>
    </w:p>
    <w:p w14:paraId="402CC231" w14:textId="77777777" w:rsidR="00A453C3" w:rsidRPr="00DD7A4F" w:rsidRDefault="00A453C3" w:rsidP="00A453C3">
      <w:pPr>
        <w:rPr>
          <w:lang w:val="lv-LV"/>
        </w:rPr>
      </w:pPr>
    </w:p>
    <w:p w14:paraId="1022A486" w14:textId="77777777" w:rsidR="00A453C3" w:rsidRPr="00DD7A4F" w:rsidRDefault="00A453C3" w:rsidP="00A453C3">
      <w:pPr>
        <w:rPr>
          <w:lang w:val="lv-LV"/>
        </w:rPr>
      </w:pPr>
      <w:r w:rsidRPr="00DD7A4F">
        <w:rPr>
          <w:lang w:val="lv-LV"/>
        </w:rPr>
        <w:t xml:space="preserve">Sīkāki norādījumi par RoActemra pildspalvveida pilnšļirču lietošanu ir sniegti lietošanas instrukcijā. </w:t>
      </w:r>
    </w:p>
    <w:p w14:paraId="1C0E708A" w14:textId="77777777" w:rsidR="00A453C3" w:rsidRPr="00DD7A4F" w:rsidRDefault="00A453C3" w:rsidP="00A453C3">
      <w:pPr>
        <w:rPr>
          <w:lang w:val="lv-LV"/>
        </w:rPr>
      </w:pPr>
    </w:p>
    <w:p w14:paraId="71001906" w14:textId="77777777" w:rsidR="00A453C3" w:rsidRPr="00DD7A4F" w:rsidRDefault="00A453C3" w:rsidP="00A453C3">
      <w:pPr>
        <w:rPr>
          <w:szCs w:val="22"/>
          <w:lang w:val="lv-LV"/>
        </w:rPr>
      </w:pPr>
      <w:r w:rsidRPr="00DD7A4F">
        <w:rPr>
          <w:szCs w:val="22"/>
          <w:lang w:val="lv-LV"/>
        </w:rPr>
        <w:t>Neizlietotās zāles vai izlietotie materiāli jāiznīcina atbilstoši vietējām prasībām.</w:t>
      </w:r>
    </w:p>
    <w:p w14:paraId="2BCCF28B" w14:textId="77777777" w:rsidR="00A453C3" w:rsidRPr="00DD7A4F" w:rsidRDefault="00A453C3" w:rsidP="00A453C3">
      <w:pPr>
        <w:rPr>
          <w:szCs w:val="22"/>
          <w:lang w:val="lv-LV"/>
        </w:rPr>
      </w:pPr>
    </w:p>
    <w:p w14:paraId="70817F9B" w14:textId="77777777" w:rsidR="00A453C3" w:rsidRPr="00DD7A4F" w:rsidRDefault="00A453C3" w:rsidP="00A453C3">
      <w:pPr>
        <w:rPr>
          <w:szCs w:val="22"/>
          <w:lang w:val="lv-LV"/>
        </w:rPr>
      </w:pPr>
    </w:p>
    <w:p w14:paraId="33095798" w14:textId="77777777" w:rsidR="00A453C3" w:rsidRPr="00DD7A4F" w:rsidRDefault="00A453C3" w:rsidP="00A453C3">
      <w:pPr>
        <w:keepNext/>
        <w:rPr>
          <w:szCs w:val="22"/>
          <w:lang w:val="lv-LV"/>
        </w:rPr>
      </w:pPr>
      <w:r w:rsidRPr="00DD7A4F">
        <w:rPr>
          <w:b/>
          <w:szCs w:val="22"/>
          <w:lang w:val="lv-LV"/>
        </w:rPr>
        <w:t>7.</w:t>
      </w:r>
      <w:r w:rsidRPr="00DD7A4F">
        <w:rPr>
          <w:b/>
          <w:szCs w:val="22"/>
          <w:lang w:val="lv-LV"/>
        </w:rPr>
        <w:tab/>
        <w:t>REĢISTRĀCIJAS APLIECĪBAS ĪPAŠNIEKS</w:t>
      </w:r>
    </w:p>
    <w:p w14:paraId="0872267B" w14:textId="77777777" w:rsidR="00A453C3" w:rsidRPr="00DD7A4F" w:rsidRDefault="00A453C3" w:rsidP="00A453C3">
      <w:pPr>
        <w:keepNext/>
        <w:rPr>
          <w:szCs w:val="22"/>
          <w:lang w:val="lv-LV"/>
        </w:rPr>
      </w:pPr>
    </w:p>
    <w:p w14:paraId="1E3B025F" w14:textId="77777777" w:rsidR="00A453C3" w:rsidRPr="00F1131A" w:rsidRDefault="00A453C3" w:rsidP="00A453C3">
      <w:pPr>
        <w:rPr>
          <w:szCs w:val="22"/>
          <w:lang w:val="lv-LV"/>
        </w:rPr>
      </w:pPr>
      <w:r w:rsidRPr="00F1131A">
        <w:rPr>
          <w:szCs w:val="22"/>
          <w:lang w:val="lv-LV"/>
        </w:rPr>
        <w:t xml:space="preserve">Roche Registration GmbH </w:t>
      </w:r>
    </w:p>
    <w:p w14:paraId="58D6A724" w14:textId="77777777" w:rsidR="00A453C3" w:rsidRPr="00F1131A" w:rsidRDefault="00A453C3" w:rsidP="00A453C3">
      <w:pPr>
        <w:rPr>
          <w:szCs w:val="22"/>
          <w:lang w:val="lv-LV"/>
        </w:rPr>
      </w:pPr>
      <w:r w:rsidRPr="00F1131A">
        <w:rPr>
          <w:szCs w:val="22"/>
          <w:lang w:val="lv-LV"/>
        </w:rPr>
        <w:t>Emil-Barell-Strasse 1</w:t>
      </w:r>
    </w:p>
    <w:p w14:paraId="3DD6E57F" w14:textId="77777777" w:rsidR="00A453C3" w:rsidRPr="00F1131A" w:rsidRDefault="00A453C3" w:rsidP="00A453C3">
      <w:pPr>
        <w:rPr>
          <w:szCs w:val="22"/>
          <w:lang w:val="lv-LV"/>
        </w:rPr>
      </w:pPr>
      <w:r w:rsidRPr="00F1131A">
        <w:rPr>
          <w:szCs w:val="22"/>
          <w:lang w:val="lv-LV"/>
        </w:rPr>
        <w:t>79639 Grenzach-Wyhlen</w:t>
      </w:r>
    </w:p>
    <w:p w14:paraId="782F15AC" w14:textId="77777777" w:rsidR="00A453C3" w:rsidRPr="00DD7A4F" w:rsidRDefault="00A453C3" w:rsidP="00A453C3">
      <w:pPr>
        <w:rPr>
          <w:szCs w:val="22"/>
          <w:lang w:val="lv-LV"/>
        </w:rPr>
      </w:pPr>
      <w:r>
        <w:rPr>
          <w:szCs w:val="22"/>
          <w:lang w:val="lv-LV"/>
        </w:rPr>
        <w:t>Vācija</w:t>
      </w:r>
    </w:p>
    <w:p w14:paraId="415F4DD6" w14:textId="77777777" w:rsidR="00A453C3" w:rsidRPr="00DD7A4F" w:rsidRDefault="00A453C3" w:rsidP="00A453C3">
      <w:pPr>
        <w:rPr>
          <w:szCs w:val="22"/>
          <w:lang w:val="lv-LV"/>
        </w:rPr>
      </w:pPr>
    </w:p>
    <w:p w14:paraId="0039E961" w14:textId="77777777" w:rsidR="00A453C3" w:rsidRPr="00DD7A4F" w:rsidRDefault="00A453C3" w:rsidP="00A453C3">
      <w:pPr>
        <w:rPr>
          <w:szCs w:val="22"/>
          <w:lang w:val="lv-LV"/>
        </w:rPr>
      </w:pPr>
    </w:p>
    <w:p w14:paraId="48BAF186" w14:textId="7D9ADAAD" w:rsidR="00A453C3" w:rsidRPr="00DD7A4F" w:rsidRDefault="00A453C3" w:rsidP="00A453C3">
      <w:pPr>
        <w:keepNext/>
        <w:keepLines/>
        <w:ind w:left="567" w:hanging="567"/>
        <w:rPr>
          <w:szCs w:val="22"/>
          <w:lang w:val="lv-LV"/>
        </w:rPr>
      </w:pPr>
      <w:r w:rsidRPr="00DD7A4F">
        <w:rPr>
          <w:b/>
          <w:szCs w:val="22"/>
          <w:lang w:val="lv-LV"/>
        </w:rPr>
        <w:t>8.</w:t>
      </w:r>
      <w:r w:rsidRPr="00DD7A4F">
        <w:rPr>
          <w:b/>
          <w:szCs w:val="22"/>
          <w:lang w:val="lv-LV"/>
        </w:rPr>
        <w:tab/>
        <w:t>REĢISTRĀCIJAS APLIECĪBAS NUMUR</w:t>
      </w:r>
      <w:del w:id="1460" w:author="Author">
        <w:r w:rsidRPr="00DD7A4F" w:rsidDel="0050621C">
          <w:rPr>
            <w:b/>
            <w:szCs w:val="22"/>
            <w:lang w:val="lv-LV"/>
          </w:rPr>
          <w:delText>S(-</w:delText>
        </w:r>
      </w:del>
      <w:r w:rsidRPr="00DD7A4F">
        <w:rPr>
          <w:b/>
          <w:szCs w:val="22"/>
          <w:lang w:val="lv-LV"/>
        </w:rPr>
        <w:t>I</w:t>
      </w:r>
      <w:del w:id="1461" w:author="Author">
        <w:r w:rsidRPr="00DD7A4F" w:rsidDel="0050621C">
          <w:rPr>
            <w:b/>
            <w:szCs w:val="22"/>
            <w:lang w:val="lv-LV"/>
          </w:rPr>
          <w:delText>)</w:delText>
        </w:r>
      </w:del>
    </w:p>
    <w:p w14:paraId="46D07FDE" w14:textId="77777777" w:rsidR="00A453C3" w:rsidRPr="00DD7A4F" w:rsidRDefault="00A453C3" w:rsidP="00A453C3">
      <w:pPr>
        <w:keepNext/>
        <w:rPr>
          <w:szCs w:val="22"/>
          <w:lang w:val="lv-LV"/>
        </w:rPr>
      </w:pPr>
    </w:p>
    <w:p w14:paraId="47C635E0" w14:textId="77777777" w:rsidR="00A453C3" w:rsidRPr="00DD7A4F" w:rsidRDefault="00A453C3" w:rsidP="00A453C3">
      <w:pPr>
        <w:rPr>
          <w:lang w:val="pt-BR"/>
        </w:rPr>
      </w:pPr>
      <w:r w:rsidRPr="00DD7A4F">
        <w:rPr>
          <w:lang w:val="lv-LV"/>
        </w:rPr>
        <w:t>EU/1/08/492/009</w:t>
      </w:r>
    </w:p>
    <w:p w14:paraId="1A0D9E21" w14:textId="77777777" w:rsidR="00A453C3" w:rsidRPr="00DD7A4F" w:rsidRDefault="00A453C3" w:rsidP="00A453C3">
      <w:pPr>
        <w:rPr>
          <w:szCs w:val="22"/>
          <w:lang w:val="lv-LV"/>
        </w:rPr>
      </w:pPr>
      <w:r w:rsidRPr="00DD7A4F">
        <w:rPr>
          <w:szCs w:val="22"/>
          <w:lang w:val="pt-BR" w:eastAsia="ja-JP"/>
        </w:rPr>
        <w:t>EU/1/08/492/010</w:t>
      </w:r>
    </w:p>
    <w:p w14:paraId="177823F8" w14:textId="77777777" w:rsidR="00A453C3" w:rsidRPr="00DD7A4F" w:rsidRDefault="00A453C3" w:rsidP="00A453C3">
      <w:pPr>
        <w:rPr>
          <w:szCs w:val="22"/>
          <w:lang w:val="lv-LV"/>
        </w:rPr>
      </w:pPr>
    </w:p>
    <w:p w14:paraId="77089B9C" w14:textId="77777777" w:rsidR="00A453C3" w:rsidRPr="00DD7A4F" w:rsidRDefault="00A453C3" w:rsidP="00A453C3">
      <w:pPr>
        <w:rPr>
          <w:szCs w:val="22"/>
          <w:lang w:val="lv-LV"/>
        </w:rPr>
      </w:pPr>
    </w:p>
    <w:p w14:paraId="2046AA8E" w14:textId="77777777" w:rsidR="00A453C3" w:rsidRPr="00DD7A4F" w:rsidRDefault="00A453C3" w:rsidP="00A453C3">
      <w:pPr>
        <w:ind w:left="567" w:hanging="567"/>
        <w:rPr>
          <w:szCs w:val="22"/>
          <w:lang w:val="lv-LV"/>
        </w:rPr>
      </w:pPr>
      <w:r w:rsidRPr="00DD7A4F">
        <w:rPr>
          <w:b/>
          <w:szCs w:val="22"/>
          <w:lang w:val="lv-LV"/>
        </w:rPr>
        <w:t>9.</w:t>
      </w:r>
      <w:r w:rsidRPr="00DD7A4F">
        <w:rPr>
          <w:b/>
          <w:szCs w:val="22"/>
          <w:lang w:val="lv-LV"/>
        </w:rPr>
        <w:tab/>
        <w:t>PIRMĀS REĢISTRĀCIJAS / PĀRREĢISTRĀCIJAS DATUMS</w:t>
      </w:r>
    </w:p>
    <w:p w14:paraId="5209DF3A" w14:textId="77777777" w:rsidR="00A453C3" w:rsidRPr="00DD7A4F" w:rsidRDefault="00A453C3" w:rsidP="00A453C3">
      <w:pPr>
        <w:rPr>
          <w:szCs w:val="22"/>
          <w:lang w:val="lv-LV"/>
        </w:rPr>
      </w:pPr>
    </w:p>
    <w:p w14:paraId="5FC5A583" w14:textId="0DCEBCE5" w:rsidR="00A453C3" w:rsidRPr="00DD7A4F" w:rsidRDefault="00A453C3" w:rsidP="00A453C3">
      <w:pPr>
        <w:rPr>
          <w:szCs w:val="22"/>
          <w:lang w:val="lv-LV"/>
        </w:rPr>
      </w:pPr>
      <w:r w:rsidRPr="00707120">
        <w:rPr>
          <w:color w:val="222222"/>
          <w:szCs w:val="22"/>
          <w:shd w:val="clear" w:color="auto" w:fill="FFFFFF"/>
          <w:lang w:val="lv-LV"/>
        </w:rPr>
        <w:t xml:space="preserve">Reģistrācijas datums: </w:t>
      </w:r>
      <w:r w:rsidRPr="00DD7A4F">
        <w:rPr>
          <w:szCs w:val="22"/>
          <w:lang w:val="lv-LV"/>
        </w:rPr>
        <w:t>2009.</w:t>
      </w:r>
      <w:ins w:id="1462" w:author="Author">
        <w:r w:rsidR="001E636D">
          <w:rPr>
            <w:szCs w:val="22"/>
            <w:lang w:val="lv-LV"/>
          </w:rPr>
          <w:t> </w:t>
        </w:r>
      </w:ins>
      <w:del w:id="1463" w:author="Author">
        <w:r w:rsidRPr="00DD7A4F" w:rsidDel="001E636D">
          <w:rPr>
            <w:szCs w:val="22"/>
            <w:lang w:val="lv-LV"/>
          </w:rPr>
          <w:delText xml:space="preserve"> </w:delText>
        </w:r>
      </w:del>
      <w:r w:rsidRPr="00DD7A4F">
        <w:rPr>
          <w:szCs w:val="22"/>
          <w:lang w:val="lv-LV"/>
        </w:rPr>
        <w:t>gada 16.</w:t>
      </w:r>
      <w:r w:rsidR="00595F16">
        <w:rPr>
          <w:szCs w:val="22"/>
          <w:lang w:val="lv-LV"/>
        </w:rPr>
        <w:t> </w:t>
      </w:r>
      <w:r w:rsidRPr="00DD7A4F">
        <w:rPr>
          <w:szCs w:val="22"/>
          <w:lang w:val="lv-LV"/>
        </w:rPr>
        <w:t xml:space="preserve">janvāris </w:t>
      </w:r>
    </w:p>
    <w:p w14:paraId="3C6B6C94" w14:textId="0FFCFF50" w:rsidR="00A453C3" w:rsidRPr="00DD7A4F" w:rsidRDefault="00A453C3" w:rsidP="00A453C3">
      <w:pPr>
        <w:rPr>
          <w:szCs w:val="22"/>
          <w:lang w:val="lv-LV"/>
        </w:rPr>
      </w:pPr>
      <w:r w:rsidRPr="00385B1F">
        <w:rPr>
          <w:color w:val="222222"/>
          <w:szCs w:val="22"/>
          <w:shd w:val="clear" w:color="auto" w:fill="FFFFFF"/>
          <w:lang w:val="lv-LV"/>
        </w:rPr>
        <w:t>Pēdējās pārreģistrācijas datums: 2013.</w:t>
      </w:r>
      <w:ins w:id="1464" w:author="Author">
        <w:r w:rsidR="001E636D">
          <w:rPr>
            <w:color w:val="222222"/>
            <w:szCs w:val="22"/>
            <w:shd w:val="clear" w:color="auto" w:fill="FFFFFF"/>
            <w:lang w:val="lv-LV"/>
          </w:rPr>
          <w:t> </w:t>
        </w:r>
      </w:ins>
      <w:del w:id="1465" w:author="Author">
        <w:r w:rsidRPr="00385B1F" w:rsidDel="001E636D">
          <w:rPr>
            <w:color w:val="222222"/>
            <w:szCs w:val="22"/>
            <w:shd w:val="clear" w:color="auto" w:fill="FFFFFF"/>
            <w:lang w:val="lv-LV"/>
          </w:rPr>
          <w:delText xml:space="preserve"> </w:delText>
        </w:r>
      </w:del>
      <w:r w:rsidRPr="00385B1F">
        <w:rPr>
          <w:color w:val="222222"/>
          <w:szCs w:val="22"/>
          <w:shd w:val="clear" w:color="auto" w:fill="FFFFFF"/>
          <w:lang w:val="lv-LV"/>
        </w:rPr>
        <w:t>gada 25.</w:t>
      </w:r>
      <w:r w:rsidR="00595F16">
        <w:rPr>
          <w:color w:val="222222"/>
          <w:szCs w:val="22"/>
          <w:shd w:val="clear" w:color="auto" w:fill="FFFFFF"/>
          <w:lang w:val="lv-LV"/>
        </w:rPr>
        <w:t> </w:t>
      </w:r>
      <w:r w:rsidRPr="00385B1F">
        <w:rPr>
          <w:color w:val="222222"/>
          <w:szCs w:val="22"/>
          <w:shd w:val="clear" w:color="auto" w:fill="FFFFFF"/>
          <w:lang w:val="lv-LV"/>
        </w:rPr>
        <w:t>septembris</w:t>
      </w:r>
    </w:p>
    <w:p w14:paraId="00314961" w14:textId="77777777" w:rsidR="00A453C3" w:rsidRDefault="00A453C3" w:rsidP="00A453C3">
      <w:pPr>
        <w:rPr>
          <w:szCs w:val="22"/>
          <w:lang w:val="lv-LV"/>
        </w:rPr>
      </w:pPr>
    </w:p>
    <w:p w14:paraId="7DD8B905" w14:textId="77777777" w:rsidR="00A453C3" w:rsidRPr="00DD7A4F" w:rsidRDefault="00A453C3" w:rsidP="00A453C3">
      <w:pPr>
        <w:rPr>
          <w:szCs w:val="22"/>
          <w:lang w:val="lv-LV"/>
        </w:rPr>
      </w:pPr>
    </w:p>
    <w:p w14:paraId="7E3EEA27" w14:textId="77777777" w:rsidR="00A453C3" w:rsidRPr="00DD7A4F" w:rsidRDefault="00A453C3" w:rsidP="00A453C3">
      <w:pPr>
        <w:ind w:left="567" w:hanging="567"/>
        <w:rPr>
          <w:szCs w:val="22"/>
          <w:lang w:val="lv-LV"/>
        </w:rPr>
      </w:pPr>
      <w:r w:rsidRPr="00DD7A4F">
        <w:rPr>
          <w:b/>
          <w:szCs w:val="22"/>
          <w:lang w:val="lv-LV"/>
        </w:rPr>
        <w:t>10.</w:t>
      </w:r>
      <w:r w:rsidRPr="00DD7A4F">
        <w:rPr>
          <w:b/>
          <w:szCs w:val="22"/>
          <w:lang w:val="lv-LV"/>
        </w:rPr>
        <w:tab/>
        <w:t>TEKSTA PĀRSKATĪŠANAS DATUMS</w:t>
      </w:r>
    </w:p>
    <w:p w14:paraId="4EA9D3A0" w14:textId="77777777" w:rsidR="00A453C3" w:rsidRPr="00DD7A4F" w:rsidRDefault="00A453C3" w:rsidP="00A453C3">
      <w:pPr>
        <w:ind w:right="-2"/>
        <w:rPr>
          <w:szCs w:val="22"/>
          <w:lang w:val="lv-LV"/>
        </w:rPr>
      </w:pPr>
    </w:p>
    <w:p w14:paraId="64288BE5" w14:textId="4503A3A4" w:rsidR="00A453C3" w:rsidRPr="00DD7A4F" w:rsidRDefault="00A453C3" w:rsidP="00A453C3">
      <w:pPr>
        <w:ind w:right="-2"/>
        <w:rPr>
          <w:lang w:val="lv-LV"/>
        </w:rPr>
      </w:pPr>
      <w:r w:rsidRPr="00DD7A4F">
        <w:rPr>
          <w:szCs w:val="22"/>
          <w:lang w:val="lv-LV"/>
        </w:rPr>
        <w:t>Sīkāka informācija par šīm zālēm ir pieejama Eiropas Zāļu aģentūras tīmekļa vietnē</w:t>
      </w:r>
      <w:r>
        <w:rPr>
          <w:szCs w:val="22"/>
          <w:lang w:val="lv-LV"/>
        </w:rPr>
        <w:t xml:space="preserve"> </w:t>
      </w:r>
      <w:r w:rsidR="007E17F8">
        <w:fldChar w:fldCharType="begin"/>
      </w:r>
      <w:r w:rsidR="007E17F8" w:rsidRPr="00DD58C9">
        <w:rPr>
          <w:lang w:val="lv-LV"/>
          <w:rPrChange w:id="1466" w:author="Author">
            <w:rPr/>
          </w:rPrChange>
        </w:rPr>
        <w:instrText xml:space="preserve"> HYPERLINK "https://www.ema.europa.eu/" </w:instrText>
      </w:r>
      <w:r w:rsidR="007E17F8">
        <w:fldChar w:fldCharType="separate"/>
      </w:r>
      <w:r w:rsidRPr="00707120">
        <w:rPr>
          <w:rStyle w:val="Hyperlink"/>
          <w:noProof/>
          <w:szCs w:val="22"/>
        </w:rPr>
        <w:t>https://www.ema.europa.eu</w:t>
      </w:r>
      <w:r w:rsidR="007E17F8">
        <w:rPr>
          <w:rStyle w:val="Hyperlink"/>
          <w:noProof/>
          <w:szCs w:val="22"/>
        </w:rPr>
        <w:fldChar w:fldCharType="end"/>
      </w:r>
    </w:p>
    <w:p w14:paraId="028BCA2E" w14:textId="77777777" w:rsidR="00A453C3" w:rsidRDefault="00A453C3" w:rsidP="00A453C3">
      <w:pPr>
        <w:ind w:right="-2"/>
        <w:rPr>
          <w:szCs w:val="22"/>
          <w:lang w:val="lv-LV"/>
        </w:rPr>
      </w:pPr>
      <w:r w:rsidRPr="00DD7A4F">
        <w:rPr>
          <w:szCs w:val="22"/>
          <w:lang w:val="lv-LV"/>
        </w:rPr>
        <w:br w:type="page"/>
      </w:r>
    </w:p>
    <w:p w14:paraId="1149697D" w14:textId="77777777" w:rsidR="00F47ADA" w:rsidRDefault="00F47ADA" w:rsidP="00F47ADA">
      <w:pPr>
        <w:rPr>
          <w:lang w:val="lv-LV"/>
        </w:rPr>
      </w:pPr>
    </w:p>
    <w:p w14:paraId="4860989B" w14:textId="77777777" w:rsidR="00F47ADA" w:rsidRDefault="00F47ADA" w:rsidP="00F47ADA">
      <w:pPr>
        <w:rPr>
          <w:lang w:val="lv-LV"/>
        </w:rPr>
      </w:pPr>
    </w:p>
    <w:p w14:paraId="3CCB54FD" w14:textId="77777777" w:rsidR="00F47ADA" w:rsidRDefault="00F47ADA" w:rsidP="00F47ADA">
      <w:pPr>
        <w:rPr>
          <w:lang w:val="lv-LV"/>
        </w:rPr>
      </w:pPr>
    </w:p>
    <w:p w14:paraId="5F885037" w14:textId="77777777" w:rsidR="00F47ADA" w:rsidRDefault="00F47ADA" w:rsidP="00F47ADA">
      <w:pPr>
        <w:rPr>
          <w:lang w:val="lv-LV"/>
        </w:rPr>
      </w:pPr>
    </w:p>
    <w:p w14:paraId="0B7A33D0" w14:textId="77777777" w:rsidR="00F47ADA" w:rsidRDefault="00F47ADA" w:rsidP="00F47ADA">
      <w:pPr>
        <w:rPr>
          <w:lang w:val="lv-LV"/>
        </w:rPr>
      </w:pPr>
    </w:p>
    <w:p w14:paraId="6A226044" w14:textId="77777777" w:rsidR="00F47ADA" w:rsidRDefault="00F47ADA" w:rsidP="00F47ADA">
      <w:pPr>
        <w:rPr>
          <w:lang w:val="lv-LV"/>
        </w:rPr>
      </w:pPr>
    </w:p>
    <w:p w14:paraId="43D40943" w14:textId="77777777" w:rsidR="00F47ADA" w:rsidRDefault="00F47ADA" w:rsidP="00F47ADA">
      <w:pPr>
        <w:rPr>
          <w:lang w:val="lv-LV"/>
        </w:rPr>
      </w:pPr>
    </w:p>
    <w:p w14:paraId="38743325" w14:textId="77777777" w:rsidR="00F47ADA" w:rsidRDefault="00F47ADA" w:rsidP="00F47ADA">
      <w:pPr>
        <w:rPr>
          <w:lang w:val="lv-LV"/>
        </w:rPr>
      </w:pPr>
    </w:p>
    <w:p w14:paraId="5CDAEA2E" w14:textId="77777777" w:rsidR="00F47ADA" w:rsidRDefault="00F47ADA" w:rsidP="00F47ADA">
      <w:pPr>
        <w:rPr>
          <w:lang w:val="lv-LV"/>
        </w:rPr>
      </w:pPr>
    </w:p>
    <w:p w14:paraId="5556DB73" w14:textId="77777777" w:rsidR="00F47ADA" w:rsidRDefault="00F47ADA" w:rsidP="00F47ADA">
      <w:pPr>
        <w:rPr>
          <w:lang w:val="lv-LV"/>
        </w:rPr>
      </w:pPr>
    </w:p>
    <w:p w14:paraId="002DA479" w14:textId="77777777" w:rsidR="00F47ADA" w:rsidRDefault="00F47ADA" w:rsidP="00F47ADA">
      <w:pPr>
        <w:rPr>
          <w:lang w:val="lv-LV"/>
        </w:rPr>
      </w:pPr>
    </w:p>
    <w:p w14:paraId="720B5354" w14:textId="77777777" w:rsidR="00F47ADA" w:rsidRDefault="00F47ADA" w:rsidP="00F47ADA">
      <w:pPr>
        <w:rPr>
          <w:lang w:val="lv-LV"/>
        </w:rPr>
      </w:pPr>
    </w:p>
    <w:p w14:paraId="37889F26" w14:textId="77777777" w:rsidR="00F47ADA" w:rsidRDefault="00F47ADA" w:rsidP="00F47ADA">
      <w:pPr>
        <w:rPr>
          <w:lang w:val="lv-LV"/>
        </w:rPr>
      </w:pPr>
    </w:p>
    <w:p w14:paraId="0F4E50BF" w14:textId="77777777" w:rsidR="00F47ADA" w:rsidRDefault="00F47ADA" w:rsidP="00F47ADA">
      <w:pPr>
        <w:rPr>
          <w:lang w:val="lv-LV"/>
        </w:rPr>
      </w:pPr>
    </w:p>
    <w:p w14:paraId="4A7C5DFE" w14:textId="77777777" w:rsidR="00F47ADA" w:rsidRDefault="00F47ADA" w:rsidP="00F47ADA">
      <w:pPr>
        <w:rPr>
          <w:lang w:val="lv-LV"/>
        </w:rPr>
      </w:pPr>
    </w:p>
    <w:p w14:paraId="202EB25E" w14:textId="77777777" w:rsidR="00F47ADA" w:rsidRDefault="00F47ADA" w:rsidP="00F47ADA">
      <w:pPr>
        <w:rPr>
          <w:lang w:val="lv-LV"/>
        </w:rPr>
      </w:pPr>
    </w:p>
    <w:p w14:paraId="3A7D7280" w14:textId="77777777" w:rsidR="00F47ADA" w:rsidRDefault="00F47ADA" w:rsidP="00F47ADA">
      <w:pPr>
        <w:rPr>
          <w:lang w:val="lv-LV"/>
        </w:rPr>
      </w:pPr>
    </w:p>
    <w:p w14:paraId="799E74BC" w14:textId="77777777" w:rsidR="00F47ADA" w:rsidRDefault="00F47ADA" w:rsidP="00F47ADA">
      <w:pPr>
        <w:rPr>
          <w:lang w:val="lv-LV"/>
        </w:rPr>
      </w:pPr>
    </w:p>
    <w:p w14:paraId="4EF14123" w14:textId="77777777" w:rsidR="00F47ADA" w:rsidRDefault="00F47ADA" w:rsidP="00F47ADA">
      <w:pPr>
        <w:rPr>
          <w:lang w:val="lv-LV"/>
        </w:rPr>
      </w:pPr>
    </w:p>
    <w:p w14:paraId="185CCAD6" w14:textId="77777777" w:rsidR="00F47ADA" w:rsidRDefault="00F47ADA" w:rsidP="00F47ADA">
      <w:pPr>
        <w:rPr>
          <w:lang w:val="lv-LV"/>
        </w:rPr>
      </w:pPr>
    </w:p>
    <w:p w14:paraId="3ADE3588" w14:textId="77777777" w:rsidR="00F47ADA" w:rsidRDefault="00F47ADA" w:rsidP="00F47ADA">
      <w:pPr>
        <w:rPr>
          <w:lang w:val="lv-LV"/>
        </w:rPr>
      </w:pPr>
    </w:p>
    <w:p w14:paraId="79B86850" w14:textId="77777777" w:rsidR="00F47ADA" w:rsidRDefault="00F47ADA" w:rsidP="00F47ADA">
      <w:pPr>
        <w:rPr>
          <w:lang w:val="lv-LV"/>
        </w:rPr>
      </w:pPr>
    </w:p>
    <w:p w14:paraId="3286B0F6" w14:textId="77777777" w:rsidR="00F47ADA" w:rsidRDefault="00F47ADA" w:rsidP="00F47ADA">
      <w:pPr>
        <w:rPr>
          <w:lang w:val="lv-LV"/>
        </w:rPr>
      </w:pPr>
    </w:p>
    <w:p w14:paraId="743F966B" w14:textId="77777777" w:rsidR="00F47ADA" w:rsidRDefault="00F47ADA" w:rsidP="00F47ADA">
      <w:pPr>
        <w:jc w:val="center"/>
        <w:rPr>
          <w:lang w:val="lv-LV"/>
        </w:rPr>
      </w:pPr>
      <w:r>
        <w:rPr>
          <w:b/>
          <w:lang w:val="lv-LV"/>
        </w:rPr>
        <w:t>II PIELIKUMS</w:t>
      </w:r>
    </w:p>
    <w:p w14:paraId="467A8AE5" w14:textId="77777777" w:rsidR="00F47ADA" w:rsidRDefault="00F47ADA" w:rsidP="00F47ADA">
      <w:pPr>
        <w:ind w:left="1701" w:right="1416" w:hanging="567"/>
        <w:rPr>
          <w:lang w:val="lv-LV"/>
        </w:rPr>
      </w:pPr>
    </w:p>
    <w:p w14:paraId="662F4F20" w14:textId="797FA1F8" w:rsidR="00F47ADA" w:rsidRDefault="00F47ADA" w:rsidP="00F47ADA">
      <w:pPr>
        <w:tabs>
          <w:tab w:val="left" w:pos="1701"/>
        </w:tabs>
        <w:ind w:left="1701" w:right="1416" w:hanging="708"/>
        <w:rPr>
          <w:bCs/>
          <w:lang w:val="lv-LV"/>
        </w:rPr>
      </w:pPr>
      <w:r>
        <w:rPr>
          <w:b/>
          <w:lang w:val="lv-LV"/>
        </w:rPr>
        <w:t>A.</w:t>
      </w:r>
      <w:r>
        <w:rPr>
          <w:b/>
          <w:lang w:val="lv-LV"/>
        </w:rPr>
        <w:tab/>
        <w:t>BIOLOĢISKI AKTĪVĀS</w:t>
      </w:r>
      <w:del w:id="1467" w:author="Author">
        <w:r w:rsidDel="0050621C">
          <w:rPr>
            <w:b/>
            <w:lang w:val="lv-LV"/>
          </w:rPr>
          <w:delText>(-O)</w:delText>
        </w:r>
      </w:del>
      <w:r>
        <w:rPr>
          <w:b/>
          <w:lang w:val="lv-LV"/>
        </w:rPr>
        <w:t xml:space="preserve"> VIELAS</w:t>
      </w:r>
      <w:del w:id="1468" w:author="Author">
        <w:r w:rsidDel="0050621C">
          <w:rPr>
            <w:b/>
            <w:lang w:val="lv-LV"/>
          </w:rPr>
          <w:delText>(-U)</w:delText>
        </w:r>
      </w:del>
      <w:r>
        <w:rPr>
          <w:b/>
          <w:lang w:val="lv-LV"/>
        </w:rPr>
        <w:t xml:space="preserve"> RAŽOTĀJ</w:t>
      </w:r>
      <w:del w:id="1469" w:author="Author">
        <w:r w:rsidDel="0050621C">
          <w:rPr>
            <w:b/>
            <w:lang w:val="lv-LV"/>
          </w:rPr>
          <w:delText>S(-</w:delText>
        </w:r>
      </w:del>
      <w:r>
        <w:rPr>
          <w:b/>
          <w:lang w:val="lv-LV"/>
        </w:rPr>
        <w:t>I</w:t>
      </w:r>
      <w:del w:id="1470" w:author="Author">
        <w:r w:rsidDel="0050621C">
          <w:rPr>
            <w:b/>
            <w:lang w:val="lv-LV"/>
          </w:rPr>
          <w:delText>)</w:delText>
        </w:r>
      </w:del>
      <w:r>
        <w:rPr>
          <w:b/>
          <w:lang w:val="lv-LV"/>
        </w:rPr>
        <w:t xml:space="preserve"> UN RAŽOTĀJS</w:t>
      </w:r>
      <w:del w:id="1471" w:author="Author">
        <w:r w:rsidDel="0050621C">
          <w:rPr>
            <w:b/>
            <w:lang w:val="lv-LV"/>
          </w:rPr>
          <w:delText>(-I)</w:delText>
        </w:r>
      </w:del>
      <w:r>
        <w:rPr>
          <w:b/>
          <w:lang w:val="lv-LV"/>
        </w:rPr>
        <w:t>, KAS ATBILD PAR SĒRIJAS IZLAIDI</w:t>
      </w:r>
    </w:p>
    <w:p w14:paraId="3FFB79F5" w14:textId="77777777" w:rsidR="00F47ADA" w:rsidRDefault="00F47ADA" w:rsidP="00F47ADA">
      <w:pPr>
        <w:ind w:left="1701" w:right="1416" w:hanging="567"/>
        <w:rPr>
          <w:bCs/>
          <w:lang w:val="lv-LV"/>
        </w:rPr>
      </w:pPr>
    </w:p>
    <w:p w14:paraId="2D828518" w14:textId="77777777" w:rsidR="00F47ADA" w:rsidRDefault="00F47ADA" w:rsidP="00F47ADA">
      <w:pPr>
        <w:tabs>
          <w:tab w:val="left" w:pos="1701"/>
        </w:tabs>
        <w:ind w:left="1701" w:right="1416" w:hanging="708"/>
        <w:rPr>
          <w:b/>
          <w:szCs w:val="22"/>
          <w:lang w:val="lv-LV"/>
        </w:rPr>
      </w:pPr>
      <w:r>
        <w:rPr>
          <w:b/>
          <w:lang w:val="lv-LV"/>
        </w:rPr>
        <w:t>B.</w:t>
      </w:r>
      <w:r>
        <w:rPr>
          <w:b/>
          <w:lang w:val="lv-LV"/>
        </w:rPr>
        <w:tab/>
        <w:t>IZSNIEGŠANAS KĀRTĪBAS UN LIETOŠANAS NOSACĪJUMI VAI IEROBEŽOJUMI</w:t>
      </w:r>
    </w:p>
    <w:p w14:paraId="0338C270" w14:textId="77777777" w:rsidR="00F47ADA" w:rsidRDefault="00F47ADA" w:rsidP="00F47ADA">
      <w:pPr>
        <w:ind w:left="1701" w:right="1558" w:hanging="707"/>
        <w:rPr>
          <w:b/>
          <w:szCs w:val="22"/>
          <w:lang w:val="lv-LV"/>
        </w:rPr>
      </w:pPr>
    </w:p>
    <w:p w14:paraId="3387F890" w14:textId="77777777" w:rsidR="00F47ADA" w:rsidRDefault="00F47ADA" w:rsidP="00F47ADA">
      <w:pPr>
        <w:ind w:left="1701" w:right="1558" w:hanging="707"/>
        <w:rPr>
          <w:szCs w:val="22"/>
          <w:lang w:val="lv-LV"/>
        </w:rPr>
      </w:pPr>
      <w:r>
        <w:rPr>
          <w:b/>
          <w:szCs w:val="22"/>
          <w:lang w:val="lv-LV"/>
        </w:rPr>
        <w:t>C.</w:t>
      </w:r>
      <w:r>
        <w:rPr>
          <w:b/>
          <w:szCs w:val="22"/>
          <w:lang w:val="lv-LV"/>
        </w:rPr>
        <w:tab/>
        <w:t>CITI REĢISTRĀCIJAS NOSACĪJUMI UN PRASĪBAS</w:t>
      </w:r>
    </w:p>
    <w:p w14:paraId="025776CC" w14:textId="77777777" w:rsidR="00F47ADA" w:rsidRDefault="00F47ADA" w:rsidP="00F47ADA">
      <w:pPr>
        <w:tabs>
          <w:tab w:val="left" w:pos="1701"/>
        </w:tabs>
        <w:ind w:left="1701" w:right="1416" w:hanging="567"/>
        <w:rPr>
          <w:b/>
          <w:lang w:val="lv-LV"/>
        </w:rPr>
      </w:pPr>
    </w:p>
    <w:p w14:paraId="7075295A" w14:textId="77777777" w:rsidR="00F47ADA" w:rsidRDefault="00F47ADA" w:rsidP="00F47ADA">
      <w:pPr>
        <w:suppressLineNumbers/>
        <w:tabs>
          <w:tab w:val="left" w:pos="567"/>
        </w:tabs>
        <w:spacing w:line="260" w:lineRule="exact"/>
        <w:ind w:left="1701" w:right="1418" w:hanging="709"/>
        <w:rPr>
          <w:bCs/>
          <w:lang w:val="lv-LV"/>
        </w:rPr>
      </w:pPr>
      <w:r>
        <w:rPr>
          <w:b/>
          <w:szCs w:val="22"/>
          <w:lang w:val="lv-LV"/>
        </w:rPr>
        <w:t>D.</w:t>
      </w:r>
      <w:r>
        <w:rPr>
          <w:b/>
          <w:szCs w:val="22"/>
          <w:lang w:val="lv-LV"/>
        </w:rPr>
        <w:tab/>
        <w:t xml:space="preserve">NOSACĪJUMI VAI IEROBEŽOJUMI ATTIECĪBĀ UZ DROŠU UN EFEKTĪVU ZĀĻU LIETOŠANU </w:t>
      </w:r>
    </w:p>
    <w:p w14:paraId="59C05935" w14:textId="77777777" w:rsidR="00F47ADA" w:rsidRDefault="00F47ADA" w:rsidP="00F47ADA">
      <w:pPr>
        <w:ind w:left="1701" w:right="1416" w:hanging="567"/>
        <w:rPr>
          <w:bCs/>
          <w:lang w:val="lv-LV"/>
        </w:rPr>
      </w:pPr>
    </w:p>
    <w:p w14:paraId="432B2C3B" w14:textId="77777777" w:rsidR="00F47ADA" w:rsidRDefault="00F47ADA" w:rsidP="00F47ADA">
      <w:pPr>
        <w:ind w:left="1701" w:right="1416" w:hanging="567"/>
        <w:rPr>
          <w:bCs/>
          <w:lang w:val="lv-LV"/>
        </w:rPr>
      </w:pPr>
      <w:r>
        <w:rPr>
          <w:bCs/>
          <w:lang w:val="lv-LV"/>
        </w:rPr>
        <w:br w:type="page"/>
      </w:r>
    </w:p>
    <w:p w14:paraId="6A4CB570" w14:textId="6C4AF863" w:rsidR="00F47ADA" w:rsidRDefault="00F47ADA" w:rsidP="00F47ADA">
      <w:pPr>
        <w:pStyle w:val="AnnexHeading"/>
        <w:rPr>
          <w:lang w:val="lv-LV"/>
        </w:rPr>
      </w:pPr>
      <w:r>
        <w:rPr>
          <w:lang w:val="lv-LV"/>
        </w:rPr>
        <w:t>A.</w:t>
      </w:r>
      <w:r>
        <w:rPr>
          <w:lang w:val="lv-LV"/>
        </w:rPr>
        <w:tab/>
        <w:t>BIOLOĢISKI AKTĪVĀS VIELAS RAŽOTĀJ</w:t>
      </w:r>
      <w:ins w:id="1472" w:author="Author">
        <w:r w:rsidR="009A55B9">
          <w:rPr>
            <w:lang w:val="lv-LV"/>
          </w:rPr>
          <w:t>I</w:t>
        </w:r>
      </w:ins>
      <w:del w:id="1473" w:author="Author">
        <w:r w:rsidDel="009A55B9">
          <w:rPr>
            <w:lang w:val="lv-LV"/>
          </w:rPr>
          <w:delText>S</w:delText>
        </w:r>
      </w:del>
      <w:r>
        <w:rPr>
          <w:lang w:val="lv-LV"/>
        </w:rPr>
        <w:t xml:space="preserve"> UN RAŽOTĀJS, KAS ATBILD PAR SĒRIJAS IZLAIDI</w:t>
      </w:r>
    </w:p>
    <w:p w14:paraId="1BD97A02" w14:textId="77777777" w:rsidR="00F47ADA" w:rsidRDefault="00F47ADA" w:rsidP="00F47ADA">
      <w:pPr>
        <w:ind w:left="567" w:hanging="567"/>
        <w:rPr>
          <w:lang w:val="lv-LV"/>
        </w:rPr>
      </w:pPr>
    </w:p>
    <w:p w14:paraId="012A5CEC" w14:textId="1327DDC3" w:rsidR="00F47ADA" w:rsidRDefault="00F47ADA" w:rsidP="00F47ADA">
      <w:pPr>
        <w:rPr>
          <w:lang w:val="lv-LV"/>
        </w:rPr>
      </w:pPr>
      <w:r>
        <w:rPr>
          <w:u w:val="single"/>
          <w:lang w:val="lv-LV"/>
        </w:rPr>
        <w:t>Bioloģiski aktīvās vielas ražotāj</w:t>
      </w:r>
      <w:ins w:id="1474" w:author="Author">
        <w:r w:rsidR="009A55B9">
          <w:rPr>
            <w:u w:val="single"/>
            <w:lang w:val="lv-LV"/>
          </w:rPr>
          <w:t>u</w:t>
        </w:r>
      </w:ins>
      <w:del w:id="1475" w:author="Author">
        <w:r w:rsidDel="009A55B9">
          <w:rPr>
            <w:u w:val="single"/>
            <w:lang w:val="lv-LV"/>
          </w:rPr>
          <w:delText>a</w:delText>
        </w:r>
      </w:del>
      <w:r>
        <w:rPr>
          <w:u w:val="single"/>
          <w:lang w:val="lv-LV"/>
        </w:rPr>
        <w:t xml:space="preserve"> nosaukums un adrese</w:t>
      </w:r>
    </w:p>
    <w:p w14:paraId="513B7411" w14:textId="77777777" w:rsidR="00F47ADA" w:rsidRDefault="00F47ADA" w:rsidP="00F47ADA">
      <w:pPr>
        <w:ind w:right="1416"/>
        <w:rPr>
          <w:lang w:val="lv-LV"/>
        </w:rPr>
      </w:pPr>
    </w:p>
    <w:p w14:paraId="1DE5CF2D" w14:textId="77777777" w:rsidR="00DE0974" w:rsidRPr="001B7E58" w:rsidRDefault="00DE0974" w:rsidP="00DE0974">
      <w:pPr>
        <w:suppressAutoHyphens w:val="0"/>
        <w:rPr>
          <w:szCs w:val="22"/>
          <w:lang w:eastAsia="ja-JP"/>
        </w:rPr>
      </w:pPr>
      <w:r w:rsidRPr="001B7E58">
        <w:rPr>
          <w:szCs w:val="22"/>
          <w:lang w:eastAsia="ja-JP"/>
        </w:rPr>
        <w:t>Lonza Manufacturing LLC</w:t>
      </w:r>
    </w:p>
    <w:p w14:paraId="74B64F13" w14:textId="77777777" w:rsidR="00F47ADA" w:rsidRPr="001F1867" w:rsidRDefault="00F47ADA" w:rsidP="00F47ADA">
      <w:pPr>
        <w:rPr>
          <w:lang w:val="lv-LV"/>
        </w:rPr>
      </w:pPr>
      <w:r w:rsidRPr="001F1867">
        <w:rPr>
          <w:lang w:val="lv-LV"/>
        </w:rPr>
        <w:t xml:space="preserve">1000 New Horizons Way </w:t>
      </w:r>
    </w:p>
    <w:p w14:paraId="11047122" w14:textId="77777777" w:rsidR="00F47ADA" w:rsidRPr="001F1867" w:rsidRDefault="00F47ADA" w:rsidP="00F47ADA">
      <w:pPr>
        <w:rPr>
          <w:lang w:val="lv-LV"/>
        </w:rPr>
      </w:pPr>
      <w:r w:rsidRPr="001F1867">
        <w:rPr>
          <w:lang w:val="lv-LV"/>
        </w:rPr>
        <w:t xml:space="preserve">Vacaville, CA </w:t>
      </w:r>
    </w:p>
    <w:p w14:paraId="7274E81C" w14:textId="77777777" w:rsidR="00F47ADA" w:rsidRPr="001F1867" w:rsidRDefault="00F47ADA" w:rsidP="00F47ADA">
      <w:pPr>
        <w:rPr>
          <w:lang w:val="lv-LV"/>
        </w:rPr>
      </w:pPr>
      <w:r w:rsidRPr="001F1867">
        <w:rPr>
          <w:lang w:val="lv-LV"/>
        </w:rPr>
        <w:t xml:space="preserve">95688 </w:t>
      </w:r>
    </w:p>
    <w:p w14:paraId="09F9744F" w14:textId="77777777" w:rsidR="00F47ADA" w:rsidRDefault="00F47ADA" w:rsidP="00F47ADA">
      <w:pPr>
        <w:rPr>
          <w:lang w:val="lv-LV"/>
        </w:rPr>
      </w:pPr>
      <w:r w:rsidRPr="001F1867">
        <w:rPr>
          <w:lang w:val="lv-LV"/>
        </w:rPr>
        <w:t>ASV</w:t>
      </w:r>
    </w:p>
    <w:p w14:paraId="41EFB12C" w14:textId="77777777" w:rsidR="00F47ADA" w:rsidRDefault="00F47ADA" w:rsidP="00F47ADA">
      <w:pPr>
        <w:rPr>
          <w:lang w:val="lv-LV"/>
        </w:rPr>
      </w:pPr>
    </w:p>
    <w:p w14:paraId="236CC0D9" w14:textId="77777777" w:rsidR="00F47ADA" w:rsidRPr="00660B25" w:rsidRDefault="00F47ADA" w:rsidP="00F47ADA">
      <w:pPr>
        <w:rPr>
          <w:lang w:val="lv-LV"/>
        </w:rPr>
      </w:pPr>
      <w:r w:rsidRPr="00660B25">
        <w:rPr>
          <w:lang w:val="lv-LV"/>
        </w:rPr>
        <w:t>Genentech Inc.</w:t>
      </w:r>
    </w:p>
    <w:p w14:paraId="1E2F12D6" w14:textId="77777777" w:rsidR="00F47ADA" w:rsidRPr="00660B25" w:rsidRDefault="00F47ADA" w:rsidP="00F47ADA">
      <w:pPr>
        <w:rPr>
          <w:lang w:val="lv-LV"/>
        </w:rPr>
      </w:pPr>
      <w:r w:rsidRPr="00660B25">
        <w:rPr>
          <w:lang w:val="lv-LV"/>
        </w:rPr>
        <w:t>1 Antibody Way</w:t>
      </w:r>
    </w:p>
    <w:p w14:paraId="0EF25298" w14:textId="77777777" w:rsidR="00F47ADA" w:rsidRPr="00660B25" w:rsidRDefault="00F47ADA" w:rsidP="00F47ADA">
      <w:pPr>
        <w:rPr>
          <w:lang w:val="lv-LV"/>
        </w:rPr>
      </w:pPr>
      <w:r w:rsidRPr="00660B25">
        <w:rPr>
          <w:lang w:val="lv-LV"/>
        </w:rPr>
        <w:t>Oceanside, CA</w:t>
      </w:r>
    </w:p>
    <w:p w14:paraId="01574333" w14:textId="77777777" w:rsidR="00F47ADA" w:rsidRPr="00660B25" w:rsidRDefault="00F47ADA" w:rsidP="00F47ADA">
      <w:pPr>
        <w:rPr>
          <w:lang w:val="lv-LV"/>
        </w:rPr>
      </w:pPr>
      <w:r w:rsidRPr="00660B25">
        <w:rPr>
          <w:lang w:val="lv-LV"/>
        </w:rPr>
        <w:t>92056</w:t>
      </w:r>
    </w:p>
    <w:p w14:paraId="0BB9B4ED" w14:textId="77777777" w:rsidR="00F47ADA" w:rsidRDefault="00F47ADA" w:rsidP="00F47ADA">
      <w:pPr>
        <w:rPr>
          <w:lang w:val="lv-LV"/>
        </w:rPr>
      </w:pPr>
      <w:r>
        <w:rPr>
          <w:lang w:val="lv-LV"/>
        </w:rPr>
        <w:t>ASV</w:t>
      </w:r>
    </w:p>
    <w:p w14:paraId="6E5EA0D1" w14:textId="77777777" w:rsidR="00F47ADA" w:rsidRDefault="00F47ADA" w:rsidP="00F47ADA">
      <w:pPr>
        <w:rPr>
          <w:lang w:val="lv-LV"/>
        </w:rPr>
      </w:pPr>
    </w:p>
    <w:p w14:paraId="3F4C6A86" w14:textId="77777777" w:rsidR="00F47ADA" w:rsidRDefault="00F47ADA" w:rsidP="00F47ADA">
      <w:pPr>
        <w:shd w:val="clear" w:color="auto" w:fill="FFFFFF"/>
        <w:rPr>
          <w:sz w:val="24"/>
          <w:szCs w:val="24"/>
          <w:lang w:val="lv-LV"/>
        </w:rPr>
      </w:pPr>
      <w:r>
        <w:rPr>
          <w:iCs/>
          <w:szCs w:val="22"/>
          <w:lang w:val="lv-LV"/>
        </w:rPr>
        <w:t>Samsung Biologics Co Ltd</w:t>
      </w:r>
    </w:p>
    <w:p w14:paraId="719F6AD2" w14:textId="77777777" w:rsidR="00F47ADA" w:rsidRDefault="00F47ADA" w:rsidP="00F47ADA">
      <w:pPr>
        <w:shd w:val="clear" w:color="auto" w:fill="FFFFFF"/>
        <w:rPr>
          <w:sz w:val="24"/>
          <w:szCs w:val="24"/>
          <w:lang w:val="lv-LV"/>
        </w:rPr>
      </w:pPr>
      <w:r>
        <w:rPr>
          <w:iCs/>
          <w:szCs w:val="22"/>
          <w:lang w:val="lv-LV"/>
        </w:rPr>
        <w:t>300, Songdo bio-daero, Yeonsu-gu</w:t>
      </w:r>
    </w:p>
    <w:p w14:paraId="0BD1F9D2" w14:textId="77777777" w:rsidR="00F47ADA" w:rsidRDefault="00F47ADA" w:rsidP="00F47ADA">
      <w:pPr>
        <w:shd w:val="clear" w:color="auto" w:fill="FFFFFF"/>
        <w:rPr>
          <w:sz w:val="24"/>
          <w:szCs w:val="24"/>
          <w:lang w:val="lv-LV"/>
        </w:rPr>
      </w:pPr>
      <w:r>
        <w:rPr>
          <w:iCs/>
          <w:szCs w:val="22"/>
          <w:lang w:val="lv-LV"/>
        </w:rPr>
        <w:t>Incheon, 21987</w:t>
      </w:r>
    </w:p>
    <w:p w14:paraId="1169A6C3" w14:textId="77777777" w:rsidR="00F47ADA" w:rsidRDefault="00F47ADA" w:rsidP="00F47ADA">
      <w:pPr>
        <w:shd w:val="clear" w:color="auto" w:fill="FFFFFF"/>
        <w:rPr>
          <w:iCs/>
          <w:szCs w:val="22"/>
          <w:lang w:val="lv-LV"/>
        </w:rPr>
      </w:pPr>
      <w:r>
        <w:rPr>
          <w:iCs/>
          <w:szCs w:val="22"/>
          <w:lang w:val="lv-LV"/>
        </w:rPr>
        <w:t>Korejas Republika</w:t>
      </w:r>
    </w:p>
    <w:p w14:paraId="1D2F4688" w14:textId="77777777" w:rsidR="00F47ADA" w:rsidRDefault="00F47ADA" w:rsidP="00F47ADA">
      <w:pPr>
        <w:shd w:val="clear" w:color="auto" w:fill="FFFFFF"/>
        <w:rPr>
          <w:sz w:val="24"/>
          <w:szCs w:val="24"/>
          <w:lang w:val="lv-LV"/>
        </w:rPr>
      </w:pPr>
    </w:p>
    <w:p w14:paraId="39B19205" w14:textId="77777777" w:rsidR="00F47ADA" w:rsidRPr="00293AE5" w:rsidRDefault="00F47ADA" w:rsidP="00F47ADA">
      <w:r w:rsidRPr="00293AE5">
        <w:t>Chugai Pharma Manufacturing Co., Ltd.</w:t>
      </w:r>
    </w:p>
    <w:p w14:paraId="6C3B8FA6" w14:textId="77777777" w:rsidR="00F47ADA" w:rsidRPr="00293AE5" w:rsidRDefault="00F47ADA" w:rsidP="00F47ADA">
      <w:r w:rsidRPr="00293AE5">
        <w:t>16‑3 Kiyohara‑Kogyodanchi</w:t>
      </w:r>
    </w:p>
    <w:p w14:paraId="4402B83C" w14:textId="77777777" w:rsidR="00F47ADA" w:rsidRPr="00293AE5" w:rsidRDefault="00F47ADA" w:rsidP="00F47ADA">
      <w:r w:rsidRPr="00293AE5">
        <w:t>Utsunomiya City, Tochigi Pref., 321-3231</w:t>
      </w:r>
    </w:p>
    <w:p w14:paraId="3762A30C" w14:textId="77777777" w:rsidR="00F47ADA" w:rsidRPr="00293AE5" w:rsidRDefault="00F47ADA" w:rsidP="00F47ADA">
      <w:r w:rsidRPr="00293AE5">
        <w:t>Jap</w:t>
      </w:r>
      <w:r>
        <w:t>āna</w:t>
      </w:r>
    </w:p>
    <w:p w14:paraId="5E15E79D" w14:textId="77777777" w:rsidR="00F47ADA" w:rsidRDefault="00F47ADA" w:rsidP="00F47ADA">
      <w:pPr>
        <w:rPr>
          <w:lang w:val="lv-LV"/>
        </w:rPr>
      </w:pPr>
    </w:p>
    <w:p w14:paraId="09634D3A" w14:textId="77777777" w:rsidR="00F47ADA" w:rsidRPr="00AC2D74" w:rsidRDefault="00F47ADA" w:rsidP="00F47ADA">
      <w:r w:rsidRPr="00AC2D74">
        <w:t xml:space="preserve">Novartis Singapore Pharmaceutical Manufacturing Pte. Ltd. </w:t>
      </w:r>
    </w:p>
    <w:p w14:paraId="41965FB8" w14:textId="77777777" w:rsidR="00F47ADA" w:rsidRPr="00AC2D74" w:rsidRDefault="00F47ADA" w:rsidP="00F47ADA">
      <w:r w:rsidRPr="00AC2D74">
        <w:t>Bioproduction Operations Singapore</w:t>
      </w:r>
    </w:p>
    <w:p w14:paraId="40E2F1C8" w14:textId="77777777" w:rsidR="00F47ADA" w:rsidRPr="00707120" w:rsidRDefault="00F47ADA" w:rsidP="00F47ADA">
      <w:pPr>
        <w:rPr>
          <w:lang w:val="es-ES"/>
        </w:rPr>
      </w:pPr>
      <w:r w:rsidRPr="00707120">
        <w:rPr>
          <w:lang w:val="es-ES"/>
        </w:rPr>
        <w:t>8 Tuas Bay Lane</w:t>
      </w:r>
    </w:p>
    <w:p w14:paraId="5D625AA0" w14:textId="77777777" w:rsidR="00F47ADA" w:rsidRPr="00707120" w:rsidRDefault="00F47ADA" w:rsidP="00F47ADA">
      <w:pPr>
        <w:rPr>
          <w:lang w:val="es-ES"/>
        </w:rPr>
      </w:pPr>
      <w:r w:rsidRPr="00707120">
        <w:rPr>
          <w:lang w:val="es-ES"/>
        </w:rPr>
        <w:t>Singapore 636986</w:t>
      </w:r>
    </w:p>
    <w:p w14:paraId="213B8538" w14:textId="77777777" w:rsidR="00F47ADA" w:rsidRPr="00707120" w:rsidRDefault="00F47ADA" w:rsidP="00F47ADA">
      <w:pPr>
        <w:rPr>
          <w:lang w:val="es-ES"/>
        </w:rPr>
      </w:pPr>
      <w:r w:rsidRPr="00707120">
        <w:rPr>
          <w:lang w:val="es-ES"/>
        </w:rPr>
        <w:t>Singapūra</w:t>
      </w:r>
    </w:p>
    <w:p w14:paraId="037267B3" w14:textId="77777777" w:rsidR="00F47ADA" w:rsidRDefault="00F47ADA" w:rsidP="00F47ADA">
      <w:pPr>
        <w:rPr>
          <w:lang w:val="lv-LV"/>
        </w:rPr>
      </w:pPr>
    </w:p>
    <w:p w14:paraId="5700F3E6" w14:textId="77777777" w:rsidR="00F47ADA" w:rsidRDefault="00F47ADA" w:rsidP="00F47ADA">
      <w:pPr>
        <w:rPr>
          <w:lang w:val="lv-LV"/>
        </w:rPr>
      </w:pPr>
      <w:r>
        <w:rPr>
          <w:u w:val="single"/>
          <w:lang w:val="lv-LV"/>
        </w:rPr>
        <w:t>Ražotāja, kas atbild par sērijas izlaidi, nosaukums un adrese</w:t>
      </w:r>
    </w:p>
    <w:p w14:paraId="5A99AF65" w14:textId="77777777" w:rsidR="00F47ADA" w:rsidRDefault="00F47ADA" w:rsidP="00F47ADA">
      <w:pPr>
        <w:rPr>
          <w:lang w:val="lv-LV"/>
        </w:rPr>
      </w:pPr>
    </w:p>
    <w:p w14:paraId="54EAA4A9" w14:textId="77777777" w:rsidR="00F47ADA" w:rsidRDefault="00F47ADA" w:rsidP="00F47ADA">
      <w:pPr>
        <w:rPr>
          <w:iCs/>
          <w:lang w:val="lv-LV"/>
        </w:rPr>
      </w:pPr>
      <w:r>
        <w:rPr>
          <w:iCs/>
          <w:lang w:val="lv-LV"/>
        </w:rPr>
        <w:t>Roche Pharma AG</w:t>
      </w:r>
    </w:p>
    <w:p w14:paraId="48BBC19C" w14:textId="77777777" w:rsidR="00F47ADA" w:rsidRDefault="00F47ADA" w:rsidP="00F47ADA">
      <w:pPr>
        <w:rPr>
          <w:iCs/>
          <w:lang w:val="lv-LV"/>
        </w:rPr>
      </w:pPr>
      <w:r>
        <w:rPr>
          <w:iCs/>
          <w:lang w:val="lv-LV"/>
        </w:rPr>
        <w:t>Emil-Barell-Strasse 1</w:t>
      </w:r>
    </w:p>
    <w:p w14:paraId="65FF4BD2" w14:textId="37A99342" w:rsidR="00F47ADA" w:rsidRDefault="00F47ADA" w:rsidP="00F47ADA">
      <w:pPr>
        <w:rPr>
          <w:iCs/>
          <w:lang w:val="lv-LV"/>
        </w:rPr>
      </w:pPr>
      <w:r>
        <w:rPr>
          <w:iCs/>
          <w:lang w:val="lv-LV"/>
        </w:rPr>
        <w:t>79639 Grenzach-Wyhlen</w:t>
      </w:r>
    </w:p>
    <w:p w14:paraId="0E0CA271" w14:textId="77777777" w:rsidR="00F47ADA" w:rsidRDefault="00F47ADA" w:rsidP="00F47ADA">
      <w:pPr>
        <w:rPr>
          <w:lang w:val="lv-LV"/>
        </w:rPr>
      </w:pPr>
      <w:r>
        <w:rPr>
          <w:iCs/>
          <w:lang w:val="lv-LV"/>
        </w:rPr>
        <w:t>Vācija</w:t>
      </w:r>
    </w:p>
    <w:p w14:paraId="15C072CA" w14:textId="77777777" w:rsidR="00F47ADA" w:rsidRDefault="00F47ADA" w:rsidP="00F47ADA">
      <w:pPr>
        <w:rPr>
          <w:lang w:val="lv-LV"/>
        </w:rPr>
      </w:pPr>
    </w:p>
    <w:p w14:paraId="13006988" w14:textId="77777777" w:rsidR="00F47ADA" w:rsidRDefault="00F47ADA" w:rsidP="00F47ADA">
      <w:pPr>
        <w:rPr>
          <w:lang w:val="lv-LV"/>
        </w:rPr>
      </w:pPr>
    </w:p>
    <w:p w14:paraId="11DD3816" w14:textId="77777777" w:rsidR="00F47ADA" w:rsidRDefault="00F47ADA" w:rsidP="00F47ADA">
      <w:pPr>
        <w:pStyle w:val="AnnexHeading"/>
        <w:rPr>
          <w:lang w:val="lv-LV"/>
        </w:rPr>
      </w:pPr>
      <w:r>
        <w:rPr>
          <w:lang w:val="lv-LV"/>
        </w:rPr>
        <w:t>B.</w:t>
      </w:r>
      <w:r>
        <w:rPr>
          <w:lang w:val="lv-LV"/>
        </w:rPr>
        <w:tab/>
        <w:t>IZSNIEGŠANAS KĀRTĪBAS UN LIETOŠANAS NOSACĪJUMI VAI IEROBEŽOJUMI</w:t>
      </w:r>
    </w:p>
    <w:p w14:paraId="6EBD67E0" w14:textId="77777777" w:rsidR="00F47ADA" w:rsidRDefault="00F47ADA" w:rsidP="00F47ADA">
      <w:pPr>
        <w:rPr>
          <w:lang w:val="lv-LV"/>
        </w:rPr>
      </w:pPr>
    </w:p>
    <w:p w14:paraId="7346EBF1" w14:textId="77777777" w:rsidR="00F47ADA" w:rsidRDefault="00F47ADA" w:rsidP="00F47ADA">
      <w:pPr>
        <w:rPr>
          <w:lang w:val="lv-LV"/>
        </w:rPr>
      </w:pPr>
      <w:r>
        <w:rPr>
          <w:lang w:val="lv-LV"/>
        </w:rPr>
        <w:t>Zāles ar parakstīšanas ierobežojumiem (skatīt I pielikumu: zāļu apraksts, 4.2. apakšpunkts).</w:t>
      </w:r>
    </w:p>
    <w:p w14:paraId="02D6683A" w14:textId="77777777" w:rsidR="00F47ADA" w:rsidRDefault="00F47ADA" w:rsidP="00F47ADA">
      <w:pPr>
        <w:rPr>
          <w:lang w:val="lv-LV"/>
        </w:rPr>
      </w:pPr>
    </w:p>
    <w:p w14:paraId="76692D4B" w14:textId="77777777" w:rsidR="00F47ADA" w:rsidRDefault="00F47ADA" w:rsidP="00F47ADA">
      <w:pPr>
        <w:rPr>
          <w:lang w:val="lv-LV"/>
        </w:rPr>
      </w:pPr>
    </w:p>
    <w:p w14:paraId="3BFB873E" w14:textId="77777777" w:rsidR="00F47ADA" w:rsidRDefault="00F47ADA" w:rsidP="00F47ADA">
      <w:pPr>
        <w:pStyle w:val="AnnexHeading"/>
        <w:rPr>
          <w:lang w:val="lv-LV"/>
        </w:rPr>
      </w:pPr>
      <w:r>
        <w:rPr>
          <w:lang w:val="lv-LV"/>
        </w:rPr>
        <w:t>C.</w:t>
      </w:r>
      <w:r>
        <w:rPr>
          <w:lang w:val="lv-LV"/>
        </w:rPr>
        <w:tab/>
        <w:t>CITI REĢISTRĀCIJAS NOSACĪJUMI UN PRASĪBAS</w:t>
      </w:r>
    </w:p>
    <w:p w14:paraId="3B801CC8" w14:textId="77777777" w:rsidR="00F47ADA" w:rsidRDefault="00F47ADA" w:rsidP="00F47ADA">
      <w:pPr>
        <w:rPr>
          <w:lang w:val="lv-LV"/>
        </w:rPr>
      </w:pPr>
    </w:p>
    <w:p w14:paraId="3CDCF488" w14:textId="6641EAEC" w:rsidR="00F47ADA" w:rsidRPr="00707120" w:rsidRDefault="006334B7" w:rsidP="00707120">
      <w:pPr>
        <w:pStyle w:val="ListParagraph"/>
        <w:ind w:left="567" w:hanging="567"/>
        <w:rPr>
          <w:b/>
          <w:szCs w:val="22"/>
          <w:lang w:val="lv-LV"/>
        </w:rPr>
      </w:pPr>
      <w:r>
        <w:rPr>
          <w:lang w:val="nb-NO"/>
        </w:rPr>
        <w:sym w:font="Symbol" w:char="F0B7"/>
      </w:r>
      <w:r>
        <w:rPr>
          <w:lang w:val="nb-NO"/>
        </w:rPr>
        <w:tab/>
      </w:r>
      <w:r w:rsidR="00F47ADA" w:rsidRPr="00707120">
        <w:rPr>
          <w:b/>
          <w:szCs w:val="22"/>
          <w:lang w:val="lv-LV"/>
        </w:rPr>
        <w:t>Periodiski atjaunojamais drošuma ziņojums (PSUR)</w:t>
      </w:r>
    </w:p>
    <w:p w14:paraId="039DD103" w14:textId="77777777" w:rsidR="00F47ADA" w:rsidRDefault="00F47ADA" w:rsidP="00F47ADA">
      <w:pPr>
        <w:pStyle w:val="Standard1"/>
        <w:numPr>
          <w:ilvl w:val="12"/>
          <w:numId w:val="0"/>
        </w:numPr>
      </w:pPr>
    </w:p>
    <w:p w14:paraId="58681E21" w14:textId="2FF9EF8E" w:rsidR="00F47ADA" w:rsidRPr="0018021A" w:rsidRDefault="00F47ADA" w:rsidP="00F47ADA">
      <w:pPr>
        <w:pStyle w:val="Standard1"/>
        <w:numPr>
          <w:ilvl w:val="12"/>
          <w:numId w:val="0"/>
        </w:numPr>
        <w:rPr>
          <w:noProof/>
          <w:szCs w:val="22"/>
        </w:rPr>
      </w:pPr>
      <w:r>
        <w:t xml:space="preserve">Šo zāļu </w:t>
      </w:r>
      <w:r>
        <w:rPr>
          <w:i/>
          <w:iCs/>
        </w:rPr>
        <w:t>PSUR</w:t>
      </w:r>
      <w:r>
        <w:t xml:space="preserve"> iesniegšanas prasības ir norādītas Eiropas Savienības atsauces datumu un periodisko ziņojumu iesniegšanas biežuma sarakstā (</w:t>
      </w:r>
      <w:r>
        <w:rPr>
          <w:i/>
          <w:iCs/>
        </w:rPr>
        <w:t>EURD</w:t>
      </w:r>
      <w:r>
        <w:t xml:space="preserve"> sarakstā), kas sagatavots saskaņā ar Direktīvas 2001/83/EK 107.c panta 7.</w:t>
      </w:r>
      <w:r w:rsidR="007417D2">
        <w:t> </w:t>
      </w:r>
      <w:r>
        <w:t>punktu, un visos turpmākajos saraksta atjauninājumos, kas publicēti Eiropas Zāļu aģentūras tīmekļa vietnē.</w:t>
      </w:r>
    </w:p>
    <w:p w14:paraId="2D58C11D" w14:textId="77777777" w:rsidR="00F47ADA" w:rsidRDefault="00F47ADA" w:rsidP="00F47ADA">
      <w:pPr>
        <w:ind w:right="14"/>
        <w:rPr>
          <w:i/>
          <w:szCs w:val="22"/>
          <w:u w:val="single"/>
          <w:lang w:val="lv-LV"/>
        </w:rPr>
      </w:pPr>
    </w:p>
    <w:p w14:paraId="40F5494E" w14:textId="77777777" w:rsidR="00F47ADA" w:rsidRDefault="00F47ADA" w:rsidP="00F47ADA">
      <w:pPr>
        <w:tabs>
          <w:tab w:val="left" w:pos="567"/>
        </w:tabs>
        <w:spacing w:line="260" w:lineRule="exact"/>
        <w:ind w:left="567" w:right="567" w:hanging="567"/>
        <w:rPr>
          <w:lang w:val="lv-LV"/>
        </w:rPr>
      </w:pPr>
    </w:p>
    <w:p w14:paraId="1D0A1206" w14:textId="77777777" w:rsidR="00F47ADA" w:rsidRDefault="00F47ADA" w:rsidP="00F47ADA">
      <w:pPr>
        <w:pStyle w:val="AnnexHeading"/>
        <w:keepNext/>
        <w:keepLines/>
        <w:rPr>
          <w:lang w:val="lv-LV"/>
        </w:rPr>
      </w:pPr>
      <w:r>
        <w:rPr>
          <w:lang w:val="lv-LV"/>
        </w:rPr>
        <w:t>D.</w:t>
      </w:r>
      <w:r>
        <w:rPr>
          <w:lang w:val="lv-LV"/>
        </w:rPr>
        <w:tab/>
        <w:t>NOSACĪJUMI VAI IEROBEŽOJUMI ATTIECĪBĀ UZ DROŠU UN EFEKTĪVU ZĀĻU LIETOŠANU</w:t>
      </w:r>
      <w:del w:id="1476" w:author="Author">
        <w:r w:rsidDel="00CE6B8D">
          <w:rPr>
            <w:lang w:val="lv-LV"/>
          </w:rPr>
          <w:delText xml:space="preserve">  </w:delText>
        </w:r>
      </w:del>
    </w:p>
    <w:p w14:paraId="26623E1B" w14:textId="77777777" w:rsidR="00F47ADA" w:rsidRDefault="00F47ADA" w:rsidP="00F47ADA">
      <w:pPr>
        <w:keepNext/>
        <w:keepLines/>
        <w:ind w:right="567"/>
        <w:rPr>
          <w:lang w:val="lv-LV"/>
        </w:rPr>
      </w:pPr>
    </w:p>
    <w:p w14:paraId="21F5680E" w14:textId="07022354" w:rsidR="00F47ADA" w:rsidRPr="00A86174" w:rsidRDefault="006334B7" w:rsidP="00707120">
      <w:pPr>
        <w:pStyle w:val="ListParagraph"/>
        <w:keepNext/>
        <w:keepLines/>
        <w:ind w:left="567" w:hanging="567"/>
        <w:rPr>
          <w:lang w:val="lv-LV"/>
        </w:rPr>
      </w:pPr>
      <w:r>
        <w:rPr>
          <w:lang w:val="nb-NO"/>
        </w:rPr>
        <w:sym w:font="Symbol" w:char="F0B7"/>
      </w:r>
      <w:r>
        <w:rPr>
          <w:lang w:val="nb-NO"/>
        </w:rPr>
        <w:tab/>
      </w:r>
      <w:r w:rsidR="00F47ADA" w:rsidRPr="00707120">
        <w:rPr>
          <w:b/>
          <w:iCs/>
          <w:lang w:val="lv-LV"/>
        </w:rPr>
        <w:t>Riska pārvaldības plāns (RPP)</w:t>
      </w:r>
    </w:p>
    <w:p w14:paraId="5EA5972F" w14:textId="77777777" w:rsidR="00F47ADA" w:rsidRDefault="00F47ADA" w:rsidP="00F47ADA">
      <w:pPr>
        <w:keepNext/>
        <w:keepLines/>
        <w:autoSpaceDE w:val="0"/>
        <w:rPr>
          <w:lang w:val="lv-LV"/>
        </w:rPr>
      </w:pPr>
    </w:p>
    <w:p w14:paraId="11A5C576" w14:textId="7811FFCA" w:rsidR="00F47ADA" w:rsidRDefault="00F47ADA" w:rsidP="00F47ADA">
      <w:pPr>
        <w:autoSpaceDE w:val="0"/>
        <w:rPr>
          <w:lang w:val="lv-LV"/>
        </w:rPr>
      </w:pPr>
      <w:r>
        <w:rPr>
          <w:lang w:val="lv-LV"/>
        </w:rPr>
        <w:t>Reģistrācijas apliecības īpašniekam jāveic nepieciešamās farmakovigilances darbības un pasākumi, kas sīkāk aprakstīti reģistrācijas pieteikuma 1.8.2.</w:t>
      </w:r>
      <w:r w:rsidR="007417D2">
        <w:rPr>
          <w:lang w:val="lv-LV"/>
        </w:rPr>
        <w:t> </w:t>
      </w:r>
      <w:r>
        <w:rPr>
          <w:lang w:val="lv-LV"/>
        </w:rPr>
        <w:t>modulī iekļautajā apstiprinātajā RPP un visos turpmākajos atjaunotajos apstiprinātajos RPP.</w:t>
      </w:r>
    </w:p>
    <w:p w14:paraId="1F94FC1D" w14:textId="77777777" w:rsidR="00F47ADA" w:rsidRDefault="00F47ADA" w:rsidP="00F47ADA">
      <w:pPr>
        <w:autoSpaceDE w:val="0"/>
        <w:rPr>
          <w:lang w:val="lv-LV"/>
        </w:rPr>
      </w:pPr>
    </w:p>
    <w:p w14:paraId="31989983" w14:textId="77777777" w:rsidR="00F47ADA" w:rsidRDefault="00F47ADA" w:rsidP="00F47ADA">
      <w:pPr>
        <w:autoSpaceDE w:val="0"/>
        <w:rPr>
          <w:rFonts w:ascii="Symbol" w:hAnsi="Symbol" w:cs="Symbol"/>
          <w:lang w:val="lv-LV"/>
        </w:rPr>
      </w:pPr>
      <w:r>
        <w:rPr>
          <w:lang w:val="lv-LV"/>
        </w:rPr>
        <w:t xml:space="preserve">Atjaunināts RPP jāiesniedz: </w:t>
      </w:r>
    </w:p>
    <w:p w14:paraId="4645FA2D" w14:textId="77777777" w:rsidR="00F47ADA" w:rsidRDefault="00F47ADA" w:rsidP="00707120">
      <w:pPr>
        <w:autoSpaceDE w:val="0"/>
        <w:ind w:left="567" w:hanging="567"/>
        <w:rPr>
          <w:rFonts w:ascii="Symbol" w:hAnsi="Symbol" w:cs="Symbol"/>
          <w:lang w:val="lv-LV"/>
        </w:rPr>
      </w:pPr>
      <w:r>
        <w:rPr>
          <w:rFonts w:ascii="Symbol" w:hAnsi="Symbol" w:cs="Symbol"/>
          <w:lang w:val="lv-LV"/>
        </w:rPr>
        <w:t></w:t>
      </w:r>
      <w:r>
        <w:rPr>
          <w:lang w:val="lv-LV"/>
        </w:rPr>
        <w:tab/>
        <w:t>pēc Eiropas Zāļu aģentūras pieprasījuma</w:t>
      </w:r>
      <w:r>
        <w:rPr>
          <w:i/>
          <w:lang w:val="lv-LV"/>
        </w:rPr>
        <w:t>;</w:t>
      </w:r>
    </w:p>
    <w:p w14:paraId="059B640C" w14:textId="77777777" w:rsidR="00F47ADA" w:rsidRDefault="00F47ADA" w:rsidP="00707120">
      <w:pPr>
        <w:autoSpaceDE w:val="0"/>
        <w:ind w:left="567" w:hanging="567"/>
        <w:rPr>
          <w:i/>
          <w:lang w:val="lv-LV"/>
        </w:rPr>
      </w:pPr>
      <w:r>
        <w:rPr>
          <w:rFonts w:ascii="Symbol" w:hAnsi="Symbol" w:cs="Symbol"/>
          <w:lang w:val="lv-LV"/>
        </w:rPr>
        <w:t></w:t>
      </w:r>
      <w:r>
        <w:rPr>
          <w:lang w:val="lv-LV"/>
        </w:rPr>
        <w:tab/>
        <w:t>ja ieviesti grozījumi riska pārvaldības sistēmā, jo īpaši gadījumos, kad saņemta jauna informācija, kas var būtiski ietekmēt ieguvuma/riska profilu, vai</w:t>
      </w:r>
      <w:r>
        <w:rPr>
          <w:i/>
          <w:lang w:val="lv-LV"/>
        </w:rPr>
        <w:t xml:space="preserve"> </w:t>
      </w:r>
      <w:r>
        <w:rPr>
          <w:lang w:val="lv-LV"/>
        </w:rPr>
        <w:t>nozīmīgu (farmakovigilances vai riska mazināšanas) rezultātu sasniegšanas gadījumā</w:t>
      </w:r>
      <w:r>
        <w:rPr>
          <w:i/>
          <w:lang w:val="lv-LV"/>
        </w:rPr>
        <w:t>.</w:t>
      </w:r>
    </w:p>
    <w:p w14:paraId="3559CFB7" w14:textId="77777777" w:rsidR="00F47ADA" w:rsidRDefault="00F47ADA" w:rsidP="00F47ADA">
      <w:pPr>
        <w:autoSpaceDE w:val="0"/>
        <w:ind w:left="574" w:hanging="214"/>
        <w:rPr>
          <w:lang w:val="lv-LV"/>
        </w:rPr>
      </w:pPr>
    </w:p>
    <w:p w14:paraId="51827187" w14:textId="77777777" w:rsidR="00F47ADA" w:rsidRDefault="00F47ADA" w:rsidP="00F47ADA">
      <w:pPr>
        <w:autoSpaceDE w:val="0"/>
        <w:rPr>
          <w:lang w:val="lv-LV"/>
        </w:rPr>
      </w:pPr>
      <w:r>
        <w:rPr>
          <w:lang w:val="lv-LV"/>
        </w:rPr>
        <w:t>Ja PSUR un atjaunotā RPP iesniegšanas termiņš sakrīt, abus minētos dokumentus var iesniegt vienlaicīgi</w:t>
      </w:r>
      <w:r>
        <w:rPr>
          <w:i/>
          <w:lang w:val="lv-LV"/>
        </w:rPr>
        <w:t>.</w:t>
      </w:r>
    </w:p>
    <w:p w14:paraId="144A1DEA" w14:textId="74860D80" w:rsidR="00F47ADA" w:rsidRDefault="00F47ADA" w:rsidP="00F47ADA">
      <w:pPr>
        <w:autoSpaceDE w:val="0"/>
        <w:rPr>
          <w:lang w:val="lv-LV"/>
        </w:rPr>
      </w:pPr>
    </w:p>
    <w:p w14:paraId="7A6A53A0" w14:textId="330F41B6" w:rsidR="00F47ADA" w:rsidRDefault="00042092" w:rsidP="00853843">
      <w:pPr>
        <w:keepNext/>
        <w:keepLines/>
        <w:autoSpaceDE w:val="0"/>
        <w:ind w:left="567" w:hanging="567"/>
        <w:rPr>
          <w:lang w:val="lv-LV"/>
        </w:rPr>
      </w:pPr>
      <w:r>
        <w:rPr>
          <w:lang w:val="nb-NO"/>
        </w:rPr>
        <w:sym w:font="Symbol" w:char="F0B7"/>
      </w:r>
      <w:r>
        <w:rPr>
          <w:lang w:val="nb-NO"/>
        </w:rPr>
        <w:tab/>
      </w:r>
      <w:r w:rsidR="00F47ADA" w:rsidRPr="00846FA5">
        <w:rPr>
          <w:b/>
          <w:lang w:val="lv-LV"/>
        </w:rPr>
        <w:t>Papildu</w:t>
      </w:r>
      <w:r w:rsidR="00F47ADA">
        <w:rPr>
          <w:lang w:val="lv-LV"/>
        </w:rPr>
        <w:t xml:space="preserve"> </w:t>
      </w:r>
      <w:r w:rsidR="00F47ADA">
        <w:rPr>
          <w:b/>
          <w:lang w:val="lv-LV"/>
        </w:rPr>
        <w:t xml:space="preserve">riska mazināšanas pasākumi </w:t>
      </w:r>
    </w:p>
    <w:p w14:paraId="5C17151D" w14:textId="6B58C45F" w:rsidR="00F47ADA" w:rsidRDefault="00F47ADA" w:rsidP="00F47ADA">
      <w:pPr>
        <w:keepNext/>
        <w:keepLines/>
        <w:autoSpaceDE w:val="0"/>
        <w:rPr>
          <w:lang w:val="lv-LV"/>
        </w:rPr>
      </w:pPr>
    </w:p>
    <w:p w14:paraId="7C91DA44" w14:textId="0431BF04" w:rsidR="00F47ADA" w:rsidRDefault="00F47ADA" w:rsidP="00F47ADA">
      <w:pPr>
        <w:keepNext/>
        <w:keepLines/>
        <w:autoSpaceDE w:val="0"/>
        <w:rPr>
          <w:rFonts w:ascii="SimSun" w:eastAsia="SimSun" w:hAnsi="SimSun" w:cs="SimSun"/>
          <w:lang w:val="lv-LV"/>
        </w:rPr>
      </w:pPr>
      <w:r>
        <w:rPr>
          <w:lang w:val="lv-LV"/>
        </w:rPr>
        <w:t xml:space="preserve">Reģistrācijas apliecības īpašniekam </w:t>
      </w:r>
      <w:r>
        <w:rPr>
          <w:sz w:val="21"/>
          <w:szCs w:val="21"/>
          <w:lang w:val="lv-LV"/>
        </w:rPr>
        <w:t>(</w:t>
      </w:r>
      <w:r>
        <w:rPr>
          <w:lang w:val="lv-LV"/>
        </w:rPr>
        <w:t xml:space="preserve">RAĪ) jāpiegādā visiem </w:t>
      </w:r>
      <w:del w:id="1477" w:author="Author">
        <w:r w:rsidDel="00136871">
          <w:rPr>
            <w:lang w:val="lv-LV"/>
          </w:rPr>
          <w:delText>ārstiem</w:delText>
        </w:r>
      </w:del>
      <w:ins w:id="1478" w:author="Author">
        <w:r w:rsidR="00136871">
          <w:rPr>
            <w:lang w:val="lv-LV"/>
          </w:rPr>
          <w:t>pacientiem</w:t>
        </w:r>
      </w:ins>
      <w:r>
        <w:rPr>
          <w:lang w:val="lv-LV"/>
        </w:rPr>
        <w:t xml:space="preserve">, kas varētu </w:t>
      </w:r>
      <w:del w:id="1479" w:author="Author">
        <w:r w:rsidDel="00136871">
          <w:rPr>
            <w:lang w:val="lv-LV"/>
          </w:rPr>
          <w:delText>parakstīt/</w:delText>
        </w:r>
      </w:del>
      <w:r>
        <w:rPr>
          <w:lang w:val="lv-LV"/>
        </w:rPr>
        <w:t xml:space="preserve">lietot RoActemra, RA, sJIA, pJIA un GCA terapeitisko indikāciju </w:t>
      </w:r>
      <w:ins w:id="1480" w:author="Author">
        <w:r w:rsidR="00136871">
          <w:rPr>
            <w:lang w:val="lv-LV"/>
          </w:rPr>
          <w:t>informatīvie</w:t>
        </w:r>
      </w:ins>
      <w:del w:id="1481" w:author="Author">
        <w:r w:rsidDel="00136871">
          <w:rPr>
            <w:lang w:val="lv-LV"/>
          </w:rPr>
          <w:delText>izglītojošie</w:delText>
        </w:r>
      </w:del>
      <w:r>
        <w:rPr>
          <w:lang w:val="lv-LV"/>
        </w:rPr>
        <w:t xml:space="preserve"> materiāli</w:t>
      </w:r>
      <w:ins w:id="1482" w:author="Author">
        <w:r w:rsidR="00136871">
          <w:rPr>
            <w:lang w:val="lv-LV"/>
          </w:rPr>
          <w:t xml:space="preserve"> pacientiem.</w:t>
        </w:r>
      </w:ins>
      <w:del w:id="1483" w:author="Author">
        <w:r w:rsidDel="00136871">
          <w:rPr>
            <w:lang w:val="lv-LV"/>
          </w:rPr>
          <w:delText>, kas ietver:</w:delText>
        </w:r>
      </w:del>
    </w:p>
    <w:p w14:paraId="026F4FA7" w14:textId="47F4B2D5" w:rsidR="00F47ADA" w:rsidDel="000D7099" w:rsidRDefault="00F47ADA" w:rsidP="00F47ADA">
      <w:pPr>
        <w:keepNext/>
        <w:keepLines/>
        <w:autoSpaceDE w:val="0"/>
        <w:rPr>
          <w:del w:id="1484" w:author="Author"/>
          <w:rFonts w:ascii="SimSun" w:eastAsia="SimSun" w:hAnsi="SimSun" w:cs="SimSun"/>
          <w:lang w:val="lv-LV"/>
        </w:rPr>
      </w:pPr>
    </w:p>
    <w:p w14:paraId="034F7158" w14:textId="54FAD04B" w:rsidR="00F47ADA" w:rsidDel="000D7099" w:rsidRDefault="00F47ADA" w:rsidP="00F47ADA">
      <w:pPr>
        <w:autoSpaceDE w:val="0"/>
        <w:ind w:left="924" w:hanging="567"/>
        <w:rPr>
          <w:del w:id="1485" w:author="Author"/>
          <w:rFonts w:ascii="Symbol" w:hAnsi="Symbol" w:cs="Symbol"/>
          <w:lang w:val="lv-LV"/>
        </w:rPr>
      </w:pPr>
      <w:del w:id="1486" w:author="Author">
        <w:r w:rsidDel="000D7099">
          <w:rPr>
            <w:rFonts w:ascii="Symbol" w:hAnsi="Symbol" w:cs="Symbol"/>
            <w:lang w:val="lv-LV"/>
          </w:rPr>
          <w:delText></w:delText>
        </w:r>
        <w:r w:rsidDel="000D7099">
          <w:rPr>
            <w:lang w:val="lv-LV"/>
          </w:rPr>
          <w:tab/>
          <w:delText>informatīvo komplektu ārstiem;</w:delText>
        </w:r>
      </w:del>
    </w:p>
    <w:p w14:paraId="19BBEEE0" w14:textId="55C01B9A" w:rsidR="00F47ADA" w:rsidDel="000D7099" w:rsidRDefault="00F47ADA" w:rsidP="00F47ADA">
      <w:pPr>
        <w:autoSpaceDE w:val="0"/>
        <w:ind w:left="924" w:hanging="567"/>
        <w:rPr>
          <w:del w:id="1487" w:author="Author"/>
          <w:rFonts w:ascii="Symbol" w:hAnsi="Symbol" w:cs="Symbol"/>
          <w:lang w:val="lv-LV"/>
        </w:rPr>
      </w:pPr>
      <w:del w:id="1488" w:author="Author">
        <w:r w:rsidDel="000D7099">
          <w:rPr>
            <w:rFonts w:ascii="Symbol" w:hAnsi="Symbol" w:cs="Symbol"/>
            <w:lang w:val="lv-LV"/>
          </w:rPr>
          <w:delText></w:delText>
        </w:r>
        <w:r w:rsidDel="000D7099">
          <w:rPr>
            <w:lang w:val="lv-LV"/>
          </w:rPr>
          <w:tab/>
          <w:delText>informatīvo komplektu medicīnas māsām;</w:delText>
        </w:r>
      </w:del>
    </w:p>
    <w:p w14:paraId="59C7D0CC" w14:textId="1826C2F9" w:rsidR="00F47ADA" w:rsidDel="000D7099" w:rsidRDefault="00F47ADA" w:rsidP="00F47ADA">
      <w:pPr>
        <w:autoSpaceDE w:val="0"/>
        <w:ind w:left="924" w:hanging="567"/>
        <w:rPr>
          <w:del w:id="1489" w:author="Author"/>
          <w:rFonts w:eastAsia="SimSun"/>
          <w:lang w:val="lv-LV"/>
        </w:rPr>
      </w:pPr>
      <w:del w:id="1490" w:author="Author">
        <w:r w:rsidDel="000D7099">
          <w:rPr>
            <w:rFonts w:ascii="Symbol" w:hAnsi="Symbol" w:cs="Symbol"/>
            <w:lang w:val="lv-LV"/>
          </w:rPr>
          <w:delText></w:delText>
        </w:r>
        <w:r w:rsidDel="000D7099">
          <w:rPr>
            <w:lang w:val="lv-LV"/>
          </w:rPr>
          <w:tab/>
          <w:delText>informatīvo komplektu pacientiem.</w:delText>
        </w:r>
      </w:del>
    </w:p>
    <w:p w14:paraId="61A21AFC" w14:textId="22128D72" w:rsidR="00F47ADA" w:rsidDel="000D7099" w:rsidRDefault="00F47ADA" w:rsidP="00F47ADA">
      <w:pPr>
        <w:rPr>
          <w:del w:id="1491" w:author="Author"/>
          <w:rFonts w:eastAsia="SimSun"/>
          <w:lang w:val="lv-LV"/>
        </w:rPr>
      </w:pPr>
    </w:p>
    <w:p w14:paraId="22F22D5C" w14:textId="08937FE6" w:rsidR="00F47ADA" w:rsidDel="000D7099" w:rsidRDefault="00F47ADA" w:rsidP="00F47ADA">
      <w:pPr>
        <w:rPr>
          <w:del w:id="1492" w:author="Author"/>
          <w:rFonts w:eastAsia="SimSun"/>
          <w:lang w:val="lv-LV"/>
        </w:rPr>
      </w:pPr>
      <w:del w:id="1493" w:author="Author">
        <w:r w:rsidDel="000D7099">
          <w:rPr>
            <w:rFonts w:eastAsia="SimSun"/>
            <w:lang w:val="lv-LV"/>
          </w:rPr>
          <w:delText>Pirms izglītojošo materiālu izplatīšanas, RAĪ nepieciešams vienoties ar vietējo kompetento institūciju par izglītojošo materiālu saturu un formātu, pievienojot arī to izplatīšanas plānu (tai skaitā izplatīšanas veidu).</w:delText>
        </w:r>
      </w:del>
    </w:p>
    <w:p w14:paraId="3FC2E6E8" w14:textId="1D9E433E" w:rsidR="00F47ADA" w:rsidDel="000D7099" w:rsidRDefault="00F47ADA" w:rsidP="00F47ADA">
      <w:pPr>
        <w:rPr>
          <w:del w:id="1494" w:author="Author"/>
          <w:rFonts w:eastAsia="SimSun"/>
          <w:lang w:val="lv-LV"/>
        </w:rPr>
      </w:pPr>
    </w:p>
    <w:p w14:paraId="33212CDF" w14:textId="4F1828E6" w:rsidR="00F47ADA" w:rsidDel="000D7099" w:rsidRDefault="00F47ADA" w:rsidP="00F47ADA">
      <w:pPr>
        <w:autoSpaceDE w:val="0"/>
        <w:rPr>
          <w:del w:id="1495" w:author="Author"/>
          <w:rFonts w:ascii="Symbol" w:hAnsi="Symbol" w:cs="Symbol"/>
          <w:lang w:val="lv-LV"/>
        </w:rPr>
      </w:pPr>
      <w:del w:id="1496" w:author="Author">
        <w:r w:rsidDel="000D7099">
          <w:rPr>
            <w:lang w:val="lv-LV"/>
          </w:rPr>
          <w:delText>Ārstiem domātajā informatīvajā komplektā jābūt šādiem svarīgākajiem elementiem:</w:delText>
        </w:r>
      </w:del>
    </w:p>
    <w:p w14:paraId="1AC331A5" w14:textId="62226FF5" w:rsidR="00F47ADA" w:rsidDel="000D7099" w:rsidRDefault="00F47ADA" w:rsidP="00F47ADA">
      <w:pPr>
        <w:autoSpaceDE w:val="0"/>
        <w:ind w:left="924" w:hanging="567"/>
        <w:rPr>
          <w:del w:id="1497" w:author="Author"/>
          <w:rFonts w:ascii="Symbol" w:hAnsi="Symbol" w:cs="Symbol"/>
          <w:lang w:val="lv-LV"/>
        </w:rPr>
      </w:pPr>
      <w:del w:id="1498" w:author="Author">
        <w:r w:rsidDel="000D7099">
          <w:rPr>
            <w:rFonts w:ascii="Symbol" w:hAnsi="Symbol" w:cs="Symbol"/>
            <w:lang w:val="lv-LV"/>
          </w:rPr>
          <w:delText></w:delText>
        </w:r>
        <w:r w:rsidDel="000D7099">
          <w:rPr>
            <w:lang w:val="lv-LV"/>
          </w:rPr>
          <w:tab/>
          <w:delText>atsaucei uz zāļu aprakstu (piemēram, EMA tīmekļa vietnes saite);</w:delText>
        </w:r>
      </w:del>
    </w:p>
    <w:p w14:paraId="4D54371F" w14:textId="2615017E" w:rsidR="00F47ADA" w:rsidDel="000D7099" w:rsidRDefault="00F47ADA" w:rsidP="00F47ADA">
      <w:pPr>
        <w:autoSpaceDE w:val="0"/>
        <w:ind w:left="924" w:hanging="567"/>
        <w:rPr>
          <w:del w:id="1499" w:author="Author"/>
          <w:rFonts w:ascii="Symbol" w:hAnsi="Symbol" w:cs="Symbol"/>
          <w:lang w:val="lv-LV"/>
        </w:rPr>
      </w:pPr>
      <w:del w:id="1500" w:author="Author">
        <w:r w:rsidDel="000D7099">
          <w:rPr>
            <w:rFonts w:ascii="Symbol" w:hAnsi="Symbol" w:cs="Symbol"/>
            <w:lang w:val="lv-LV"/>
          </w:rPr>
          <w:delText></w:delText>
        </w:r>
        <w:r w:rsidDel="000D7099">
          <w:rPr>
            <w:lang w:val="lv-LV"/>
          </w:rPr>
          <w:tab/>
          <w:delText>informācijai par devas aprēķināšanu (pacientiem ar RA, sJIA un pJIA), infūzijas sagatavošanu un infūzijas ātrumu;</w:delText>
        </w:r>
      </w:del>
    </w:p>
    <w:p w14:paraId="32D3723C" w14:textId="5D8222C0" w:rsidR="00F47ADA" w:rsidDel="000D7099" w:rsidRDefault="00F47ADA" w:rsidP="00F47ADA">
      <w:pPr>
        <w:autoSpaceDE w:val="0"/>
        <w:ind w:left="924" w:hanging="567"/>
        <w:rPr>
          <w:del w:id="1501" w:author="Author"/>
          <w:rFonts w:ascii="Symbol" w:hAnsi="Symbol" w:cs="Symbol"/>
          <w:lang w:val="lv-LV"/>
        </w:rPr>
      </w:pPr>
      <w:del w:id="1502" w:author="Author">
        <w:r w:rsidDel="000D7099">
          <w:rPr>
            <w:rFonts w:ascii="Symbol" w:hAnsi="Symbol" w:cs="Symbol"/>
            <w:lang w:val="lv-LV"/>
          </w:rPr>
          <w:delText></w:delText>
        </w:r>
        <w:r w:rsidDel="000D7099">
          <w:rPr>
            <w:lang w:val="lv-LV"/>
          </w:rPr>
          <w:tab/>
          <w:delText>informācijai par nopietnu infekciju risku:</w:delText>
        </w:r>
      </w:del>
    </w:p>
    <w:p w14:paraId="74D236B2" w14:textId="21E86A71" w:rsidR="00F47ADA" w:rsidDel="000D7099" w:rsidRDefault="00F47ADA" w:rsidP="00F47ADA">
      <w:pPr>
        <w:autoSpaceDE w:val="0"/>
        <w:ind w:left="1701" w:hanging="567"/>
        <w:rPr>
          <w:del w:id="1503" w:author="Author"/>
          <w:rFonts w:ascii="Symbol" w:hAnsi="Symbol" w:cs="Symbol"/>
          <w:lang w:val="lv-LV"/>
        </w:rPr>
      </w:pPr>
      <w:del w:id="1504" w:author="Author">
        <w:r w:rsidDel="000D7099">
          <w:rPr>
            <w:rFonts w:ascii="Symbol" w:hAnsi="Symbol" w:cs="Symbol"/>
            <w:lang w:val="lv-LV"/>
          </w:rPr>
          <w:delText></w:delText>
        </w:r>
        <w:r w:rsidDel="000D7099">
          <w:rPr>
            <w:lang w:val="lv-LV"/>
          </w:rPr>
          <w:tab/>
          <w:delText>šīs zāles nedrīkst lietot pacientiem ar aktīvu infekciju vai aizdomām par to;</w:delText>
        </w:r>
      </w:del>
    </w:p>
    <w:p w14:paraId="3F892EC5" w14:textId="29F85AD3" w:rsidR="00F47ADA" w:rsidDel="000D7099" w:rsidRDefault="00F47ADA" w:rsidP="00F47ADA">
      <w:pPr>
        <w:autoSpaceDE w:val="0"/>
        <w:ind w:left="1701" w:hanging="567"/>
        <w:rPr>
          <w:del w:id="1505" w:author="Author"/>
          <w:lang w:val="lv-LV"/>
        </w:rPr>
      </w:pPr>
      <w:del w:id="1506" w:author="Author">
        <w:r w:rsidDel="000D7099">
          <w:rPr>
            <w:rFonts w:ascii="Symbol" w:hAnsi="Symbol" w:cs="Symbol"/>
            <w:lang w:val="lv-LV"/>
          </w:rPr>
          <w:delText></w:delText>
        </w:r>
        <w:r w:rsidDel="000D7099">
          <w:rPr>
            <w:lang w:val="lv-LV"/>
          </w:rPr>
          <w:tab/>
          <w:delText>šīs zāles var padarīt akūtas infekcijas pazīmes un simptomus mazāk izteiktus, tādejādi novēlojot diagnosticēšanu.</w:delText>
        </w:r>
      </w:del>
    </w:p>
    <w:p w14:paraId="0CD408D2" w14:textId="0EA95AEC" w:rsidR="00F47ADA" w:rsidDel="000D7099" w:rsidRDefault="00F47ADA" w:rsidP="00F47ADA">
      <w:pPr>
        <w:autoSpaceDE w:val="0"/>
        <w:ind w:left="851" w:hanging="425"/>
        <w:rPr>
          <w:del w:id="1507" w:author="Author"/>
          <w:lang w:val="lv-LV"/>
        </w:rPr>
      </w:pPr>
      <w:del w:id="1508" w:author="Author">
        <w:r w:rsidDel="000D7099">
          <w:rPr>
            <w:rFonts w:ascii="Symbol" w:hAnsi="Symbol" w:cs="Symbol"/>
            <w:lang w:val="lv-LV"/>
          </w:rPr>
          <w:delText></w:delText>
        </w:r>
        <w:r w:rsidDel="000D7099">
          <w:rPr>
            <w:lang w:val="lv-LV"/>
          </w:rPr>
          <w:tab/>
          <w:delText>Hepatotoksicitātes risks</w:delText>
        </w:r>
      </w:del>
    </w:p>
    <w:p w14:paraId="3D631E2E" w14:textId="1E945514" w:rsidR="00F47ADA" w:rsidDel="000D7099" w:rsidRDefault="00F47ADA" w:rsidP="00F47ADA">
      <w:pPr>
        <w:autoSpaceDE w:val="0"/>
        <w:ind w:left="1701" w:hanging="567"/>
        <w:rPr>
          <w:del w:id="1509" w:author="Author"/>
          <w:lang w:val="lv-LV"/>
        </w:rPr>
      </w:pPr>
      <w:del w:id="1510" w:author="Author">
        <w:r w:rsidDel="000D7099">
          <w:rPr>
            <w:rFonts w:ascii="Symbol" w:hAnsi="Symbol" w:cs="Symbol"/>
            <w:lang w:val="lv-LV"/>
          </w:rPr>
          <w:delText></w:delText>
        </w:r>
        <w:r w:rsidDel="000D7099">
          <w:rPr>
            <w:lang w:val="lv-LV"/>
          </w:rPr>
          <w:tab/>
        </w:r>
        <w:r w:rsidRPr="009636E1" w:rsidDel="000D7099">
          <w:rPr>
            <w:lang w:val="lv-LV"/>
          </w:rPr>
          <w:delText xml:space="preserve">Apsverot ārstēšanas sākšanu ar </w:delText>
        </w:r>
        <w:r w:rsidDel="000D7099">
          <w:rPr>
            <w:lang w:val="lv-LV"/>
          </w:rPr>
          <w:delText>tocilizumabu</w:delText>
        </w:r>
        <w:r w:rsidRPr="009636E1" w:rsidDel="000D7099">
          <w:rPr>
            <w:lang w:val="lv-LV"/>
          </w:rPr>
          <w:delText xml:space="preserve"> pacientiem ar paaugstinātu ALAT vai ASAT līmeni &gt;</w:delText>
        </w:r>
        <w:r w:rsidR="00C4507B" w:rsidDel="000D7099">
          <w:rPr>
            <w:lang w:val="lv-LV"/>
          </w:rPr>
          <w:delText> </w:delText>
        </w:r>
        <w:r w:rsidRPr="009636E1" w:rsidDel="000D7099">
          <w:rPr>
            <w:lang w:val="lv-LV"/>
          </w:rPr>
          <w:delText>1,5 x NAR, jāievēro piesardzība. Pacientiem, kuriem pirms terapijas sākuma ALAT vai ASAT līmenis ir &gt;</w:delText>
        </w:r>
        <w:r w:rsidR="00C4507B" w:rsidDel="000D7099">
          <w:rPr>
            <w:lang w:val="lv-LV"/>
          </w:rPr>
          <w:delText> </w:delText>
        </w:r>
        <w:r w:rsidRPr="009636E1" w:rsidDel="000D7099">
          <w:rPr>
            <w:lang w:val="lv-LV"/>
          </w:rPr>
          <w:delText>5 x NAR, ārstēšana nav ieteicama.</w:delText>
        </w:r>
      </w:del>
    </w:p>
    <w:p w14:paraId="1E89A5E7" w14:textId="4B9B7B03" w:rsidR="00F47ADA" w:rsidRPr="009636E1" w:rsidDel="000D7099" w:rsidRDefault="00F47ADA" w:rsidP="00F47ADA">
      <w:pPr>
        <w:autoSpaceDE w:val="0"/>
        <w:ind w:left="1701" w:hanging="567"/>
        <w:rPr>
          <w:del w:id="1511" w:author="Author"/>
          <w:lang w:val="lv-LV"/>
        </w:rPr>
      </w:pPr>
      <w:del w:id="1512" w:author="Author">
        <w:r w:rsidDel="000D7099">
          <w:rPr>
            <w:rFonts w:ascii="Symbol" w:hAnsi="Symbol" w:cs="Symbol"/>
            <w:lang w:val="lv-LV"/>
          </w:rPr>
          <w:delText></w:delText>
        </w:r>
        <w:r w:rsidDel="000D7099">
          <w:rPr>
            <w:lang w:val="lv-LV"/>
          </w:rPr>
          <w:tab/>
        </w:r>
        <w:r w:rsidRPr="009636E1" w:rsidDel="000D7099">
          <w:rPr>
            <w:lang w:val="lv-LV"/>
          </w:rPr>
          <w:delText xml:space="preserve">Pacientiem ar RA, </w:delText>
        </w:r>
        <w:r w:rsidDel="000D7099">
          <w:rPr>
            <w:lang w:val="lv-LV"/>
          </w:rPr>
          <w:delText xml:space="preserve">GCA, </w:delText>
        </w:r>
        <w:r w:rsidRPr="009636E1" w:rsidDel="000D7099">
          <w:rPr>
            <w:lang w:val="lv-LV"/>
          </w:rPr>
          <w:delText>pJIA un sJIA pirmo</w:delText>
        </w:r>
        <w:r w:rsidDel="000D7099">
          <w:rPr>
            <w:lang w:val="lv-LV"/>
          </w:rPr>
          <w:delText xml:space="preserve"> 6 terapijas mēnešu laikā ALAT/</w:delText>
        </w:r>
        <w:r w:rsidRPr="009636E1" w:rsidDel="000D7099">
          <w:rPr>
            <w:lang w:val="lv-LV"/>
          </w:rPr>
          <w:delText>ASAT līmenis jākontrolē ik pēc 4 – 8 nedēļām, bet vēlāk – ik pēc 12</w:delText>
        </w:r>
        <w:r w:rsidR="00C4507B" w:rsidDel="000D7099">
          <w:rPr>
            <w:lang w:val="lv-LV"/>
          </w:rPr>
          <w:delText> </w:delText>
        </w:r>
        <w:r w:rsidRPr="009636E1" w:rsidDel="000D7099">
          <w:rPr>
            <w:lang w:val="lv-LV"/>
          </w:rPr>
          <w:delText xml:space="preserve">nedēļām. Ieteicamās </w:delText>
        </w:r>
        <w:r w:rsidDel="000D7099">
          <w:rPr>
            <w:lang w:val="lv-LV"/>
          </w:rPr>
          <w:delText xml:space="preserve">devas </w:delText>
        </w:r>
        <w:r w:rsidRPr="009636E1" w:rsidDel="000D7099">
          <w:rPr>
            <w:lang w:val="lv-LV"/>
          </w:rPr>
          <w:delText xml:space="preserve">izmaiņas, ieskaitot RoActemra lietošanas pārtraukšana, ko pamato transamināžu līmenis, skatīt </w:delText>
        </w:r>
        <w:r w:rsidDel="000D7099">
          <w:rPr>
            <w:lang w:val="lv-LV"/>
          </w:rPr>
          <w:delText xml:space="preserve">zāļu apraksta </w:delText>
        </w:r>
        <w:r w:rsidRPr="009636E1" w:rsidDel="000D7099">
          <w:rPr>
            <w:lang w:val="lv-LV"/>
          </w:rPr>
          <w:delText>4.2.</w:delText>
        </w:r>
        <w:r w:rsidR="00C4507B" w:rsidDel="000D7099">
          <w:rPr>
            <w:lang w:val="lv-LV"/>
          </w:rPr>
          <w:delText> </w:delText>
        </w:r>
        <w:r w:rsidRPr="009636E1" w:rsidDel="000D7099">
          <w:rPr>
            <w:lang w:val="lv-LV"/>
          </w:rPr>
          <w:delText>apakšpunktā.</w:delText>
        </w:r>
      </w:del>
    </w:p>
    <w:p w14:paraId="21AE4492" w14:textId="7A5C42B4" w:rsidR="00F47ADA" w:rsidDel="000D7099" w:rsidRDefault="00F47ADA" w:rsidP="00F47ADA">
      <w:pPr>
        <w:autoSpaceDE w:val="0"/>
        <w:ind w:left="924" w:hanging="567"/>
        <w:rPr>
          <w:del w:id="1513" w:author="Author"/>
          <w:rFonts w:ascii="Symbol" w:hAnsi="Symbol" w:cs="Symbol"/>
          <w:lang w:val="lv-LV"/>
        </w:rPr>
      </w:pPr>
      <w:del w:id="1514" w:author="Author">
        <w:r w:rsidDel="000D7099">
          <w:rPr>
            <w:rFonts w:ascii="Symbol" w:hAnsi="Symbol" w:cs="Symbol"/>
            <w:lang w:val="lv-LV"/>
          </w:rPr>
          <w:delText></w:delText>
        </w:r>
        <w:r w:rsidDel="000D7099">
          <w:rPr>
            <w:lang w:val="lv-LV"/>
          </w:rPr>
          <w:tab/>
          <w:delText>informācijai par gremošanas trakta perforācijas risku, jo īpaši pacientiem, kam anamnēzē ir divertikulīts vai zarnu čūla;</w:delText>
        </w:r>
      </w:del>
    </w:p>
    <w:p w14:paraId="35894A9D" w14:textId="5F1B6BCC" w:rsidR="00F47ADA" w:rsidDel="000D7099" w:rsidRDefault="00F47ADA" w:rsidP="00F47ADA">
      <w:pPr>
        <w:autoSpaceDE w:val="0"/>
        <w:ind w:left="924" w:hanging="567"/>
        <w:rPr>
          <w:del w:id="1515" w:author="Author"/>
          <w:rFonts w:ascii="Symbol" w:hAnsi="Symbol" w:cs="Symbol"/>
          <w:lang w:val="lv-LV"/>
        </w:rPr>
      </w:pPr>
      <w:del w:id="1516" w:author="Author">
        <w:r w:rsidDel="000D7099">
          <w:rPr>
            <w:rFonts w:ascii="Symbol" w:hAnsi="Symbol" w:cs="Symbol"/>
            <w:lang w:val="lv-LV"/>
          </w:rPr>
          <w:delText></w:delText>
        </w:r>
        <w:r w:rsidDel="000D7099">
          <w:rPr>
            <w:lang w:val="lv-LV"/>
          </w:rPr>
          <w:tab/>
          <w:delText>detalizētai informācijai par nopietnu nevēlamo blakusparādību paziņošanu;</w:delText>
        </w:r>
      </w:del>
    </w:p>
    <w:p w14:paraId="6F003E00" w14:textId="3B81F217" w:rsidR="00F47ADA" w:rsidDel="000D7099" w:rsidRDefault="00F47ADA" w:rsidP="00F47ADA">
      <w:pPr>
        <w:autoSpaceDE w:val="0"/>
        <w:ind w:left="924" w:hanging="567"/>
        <w:rPr>
          <w:del w:id="1517" w:author="Author"/>
          <w:rFonts w:ascii="Symbol" w:hAnsi="Symbol" w:cs="Symbol"/>
          <w:lang w:val="lv-LV"/>
        </w:rPr>
      </w:pPr>
      <w:del w:id="1518" w:author="Author">
        <w:r w:rsidDel="000D7099">
          <w:rPr>
            <w:rFonts w:ascii="Symbol" w:hAnsi="Symbol" w:cs="Symbol"/>
            <w:lang w:val="lv-LV"/>
          </w:rPr>
          <w:delText></w:delText>
        </w:r>
        <w:r w:rsidDel="000D7099">
          <w:rPr>
            <w:lang w:val="lv-LV"/>
          </w:rPr>
          <w:tab/>
          <w:delText>informatīvajiem komplektiem pacientiem (ko veselības aprūpes speciālisti izsniegs pacientiem);</w:delText>
        </w:r>
      </w:del>
    </w:p>
    <w:p w14:paraId="77578573" w14:textId="32A4BF18" w:rsidR="00F47ADA" w:rsidDel="000D7099" w:rsidRDefault="00F47ADA" w:rsidP="00F47ADA">
      <w:pPr>
        <w:autoSpaceDE w:val="0"/>
        <w:ind w:left="924" w:hanging="567"/>
        <w:rPr>
          <w:del w:id="1519" w:author="Author"/>
          <w:rFonts w:ascii="Symbol" w:hAnsi="Symbol" w:cs="Symbol"/>
          <w:lang w:val="lv-LV"/>
        </w:rPr>
      </w:pPr>
      <w:del w:id="1520" w:author="Author">
        <w:r w:rsidDel="000D7099">
          <w:rPr>
            <w:rFonts w:ascii="Symbol" w:hAnsi="Symbol" w:cs="Symbol"/>
            <w:lang w:val="lv-LV"/>
          </w:rPr>
          <w:delText></w:delText>
        </w:r>
        <w:r w:rsidDel="000D7099">
          <w:rPr>
            <w:lang w:val="lv-LV"/>
          </w:rPr>
          <w:tab/>
          <w:delText>norādījumi</w:delText>
        </w:r>
        <w:r w:rsidDel="000D7099">
          <w:rPr>
            <w:szCs w:val="22"/>
            <w:lang w:val="lv-LV"/>
          </w:rPr>
          <w:delText xml:space="preserve"> par makrofāgu </w:delText>
        </w:r>
        <w:r w:rsidRPr="00DD1CEF" w:rsidDel="000D7099">
          <w:rPr>
            <w:szCs w:val="22"/>
            <w:lang w:val="lv-LV"/>
          </w:rPr>
          <w:delText>aktivācijas</w:delText>
        </w:r>
        <w:r w:rsidDel="000D7099">
          <w:rPr>
            <w:szCs w:val="22"/>
            <w:lang w:val="lv-LV"/>
          </w:rPr>
          <w:delText xml:space="preserve"> sindroma diagnostiku pacientiem ar sJIA;</w:delText>
        </w:r>
      </w:del>
    </w:p>
    <w:p w14:paraId="73A78BEE" w14:textId="722581A3" w:rsidR="00F47ADA" w:rsidDel="000D7099" w:rsidRDefault="00F47ADA" w:rsidP="00F47ADA">
      <w:pPr>
        <w:autoSpaceDE w:val="0"/>
        <w:ind w:left="924" w:hanging="567"/>
        <w:rPr>
          <w:del w:id="1521" w:author="Author"/>
          <w:rFonts w:eastAsia="SimSun"/>
          <w:lang w:val="lv-LV"/>
        </w:rPr>
      </w:pPr>
      <w:del w:id="1522" w:author="Author">
        <w:r w:rsidDel="000D7099">
          <w:rPr>
            <w:rFonts w:ascii="Symbol" w:hAnsi="Symbol" w:cs="Symbol"/>
            <w:lang w:val="lv-LV"/>
          </w:rPr>
          <w:delText></w:delText>
        </w:r>
        <w:r w:rsidDel="000D7099">
          <w:rPr>
            <w:lang w:val="lv-LV"/>
          </w:rPr>
          <w:tab/>
          <w:delText>ieteikumi par devas lietošanas pārtraukšanu sJIA un pJIA pacientiem</w:delText>
        </w:r>
        <w:r w:rsidDel="000D7099">
          <w:rPr>
            <w:szCs w:val="22"/>
            <w:lang w:val="lv-LV"/>
          </w:rPr>
          <w:delText>.</w:delText>
        </w:r>
      </w:del>
    </w:p>
    <w:p w14:paraId="7DB00CBD" w14:textId="23EB5150" w:rsidR="00F47ADA" w:rsidDel="000D7099" w:rsidRDefault="00F47ADA" w:rsidP="00F47ADA">
      <w:pPr>
        <w:rPr>
          <w:del w:id="1523" w:author="Author"/>
          <w:rFonts w:eastAsia="SimSun"/>
          <w:lang w:val="lv-LV"/>
        </w:rPr>
      </w:pPr>
    </w:p>
    <w:p w14:paraId="65E5A26C" w14:textId="53CD843C" w:rsidR="00F47ADA" w:rsidDel="000D7099" w:rsidRDefault="00F47ADA" w:rsidP="00F47ADA">
      <w:pPr>
        <w:keepNext/>
        <w:keepLines/>
        <w:rPr>
          <w:del w:id="1524" w:author="Author"/>
          <w:rFonts w:ascii="Symbol" w:hAnsi="Symbol" w:cs="Symbol"/>
          <w:lang w:val="lv-LV"/>
        </w:rPr>
      </w:pPr>
      <w:del w:id="1525" w:author="Author">
        <w:r w:rsidDel="000D7099">
          <w:rPr>
            <w:lang w:val="lv-LV"/>
          </w:rPr>
          <w:delText>Medicīnas māsām domātajā informatīvajā komplektā jābūt šādiem svarīgākajiem elementiem:</w:delText>
        </w:r>
      </w:del>
    </w:p>
    <w:p w14:paraId="3594FB80" w14:textId="39FCF7B4" w:rsidR="00F47ADA" w:rsidDel="000D7099" w:rsidRDefault="00F47ADA" w:rsidP="00F47ADA">
      <w:pPr>
        <w:keepNext/>
        <w:keepLines/>
        <w:autoSpaceDE w:val="0"/>
        <w:ind w:left="924" w:hanging="567"/>
        <w:rPr>
          <w:del w:id="1526" w:author="Author"/>
          <w:rFonts w:ascii="Symbol" w:hAnsi="Symbol" w:cs="Symbol"/>
          <w:lang w:val="lv-LV"/>
        </w:rPr>
      </w:pPr>
      <w:del w:id="1527" w:author="Author">
        <w:r w:rsidDel="000D7099">
          <w:rPr>
            <w:rFonts w:ascii="Symbol" w:hAnsi="Symbol" w:cs="Symbol"/>
            <w:lang w:val="lv-LV"/>
          </w:rPr>
          <w:delText></w:delText>
        </w:r>
        <w:r w:rsidDel="000D7099">
          <w:rPr>
            <w:lang w:val="lv-LV"/>
          </w:rPr>
          <w:tab/>
          <w:delText xml:space="preserve">informācijai par medicīnisku kļūmju un reakciju pret injekciju/infūziju novēršanu: </w:delText>
        </w:r>
      </w:del>
    </w:p>
    <w:p w14:paraId="2F81376A" w14:textId="05CAD75E" w:rsidR="00F47ADA" w:rsidDel="000D7099" w:rsidRDefault="00F47ADA" w:rsidP="00F47ADA">
      <w:pPr>
        <w:keepNext/>
        <w:keepLines/>
        <w:autoSpaceDE w:val="0"/>
        <w:ind w:left="1701" w:hanging="567"/>
        <w:rPr>
          <w:del w:id="1528" w:author="Author"/>
          <w:rFonts w:ascii="Symbol" w:hAnsi="Symbol" w:cs="Symbol"/>
          <w:lang w:val="lv-LV"/>
        </w:rPr>
      </w:pPr>
      <w:del w:id="1529" w:author="Author">
        <w:r w:rsidDel="000D7099">
          <w:rPr>
            <w:rFonts w:ascii="Symbol" w:hAnsi="Symbol" w:cs="Symbol"/>
            <w:lang w:val="lv-LV"/>
          </w:rPr>
          <w:delText></w:delText>
        </w:r>
        <w:r w:rsidDel="000D7099">
          <w:rPr>
            <w:lang w:val="lv-LV"/>
          </w:rPr>
          <w:tab/>
          <w:delText>injekcijas/infūzijas sagatavošanu;</w:delText>
        </w:r>
      </w:del>
    </w:p>
    <w:p w14:paraId="0B37B627" w14:textId="6C20ED50" w:rsidR="00F47ADA" w:rsidDel="000D7099" w:rsidRDefault="00F47ADA" w:rsidP="00F47ADA">
      <w:pPr>
        <w:keepNext/>
        <w:keepLines/>
        <w:autoSpaceDE w:val="0"/>
        <w:ind w:left="1701" w:hanging="567"/>
        <w:rPr>
          <w:del w:id="1530" w:author="Author"/>
          <w:rFonts w:ascii="Symbol" w:hAnsi="Symbol" w:cs="Symbol"/>
          <w:lang w:val="lv-LV"/>
        </w:rPr>
      </w:pPr>
      <w:del w:id="1531" w:author="Author">
        <w:r w:rsidDel="000D7099">
          <w:rPr>
            <w:rFonts w:ascii="Symbol" w:hAnsi="Symbol" w:cs="Symbol"/>
            <w:lang w:val="lv-LV"/>
          </w:rPr>
          <w:delText></w:delText>
        </w:r>
        <w:r w:rsidDel="000D7099">
          <w:rPr>
            <w:lang w:val="lv-LV"/>
          </w:rPr>
          <w:tab/>
          <w:delText>infūzijas ātrumu;</w:delText>
        </w:r>
      </w:del>
    </w:p>
    <w:p w14:paraId="7353A512" w14:textId="4A2E68D8" w:rsidR="00F47ADA" w:rsidDel="000D7099" w:rsidRDefault="00F47ADA" w:rsidP="00F47ADA">
      <w:pPr>
        <w:ind w:left="924" w:hanging="567"/>
        <w:rPr>
          <w:del w:id="1532" w:author="Author"/>
          <w:rFonts w:ascii="Symbol" w:hAnsi="Symbol" w:cs="Symbol"/>
          <w:lang w:val="lv-LV"/>
        </w:rPr>
      </w:pPr>
      <w:del w:id="1533" w:author="Author">
        <w:r w:rsidDel="000D7099">
          <w:rPr>
            <w:rFonts w:ascii="Symbol" w:hAnsi="Symbol" w:cs="Symbol"/>
            <w:lang w:val="lv-LV"/>
          </w:rPr>
          <w:delText></w:delText>
        </w:r>
        <w:r w:rsidDel="000D7099">
          <w:rPr>
            <w:lang w:val="lv-LV"/>
          </w:rPr>
          <w:tab/>
          <w:delText>informācijai par pacientu monitoringu saistībā ar reakcijām pret injekciju/infūziju;</w:delText>
        </w:r>
      </w:del>
    </w:p>
    <w:p w14:paraId="6AF09880" w14:textId="2A300ED0" w:rsidR="00F47ADA" w:rsidDel="000D7099" w:rsidRDefault="00F47ADA" w:rsidP="00F47ADA">
      <w:pPr>
        <w:ind w:left="924" w:hanging="567"/>
        <w:rPr>
          <w:del w:id="1534" w:author="Author"/>
          <w:rFonts w:eastAsia="SimSun"/>
          <w:lang w:val="lv-LV"/>
        </w:rPr>
      </w:pPr>
      <w:del w:id="1535" w:author="Author">
        <w:r w:rsidDel="000D7099">
          <w:rPr>
            <w:rFonts w:ascii="Symbol" w:hAnsi="Symbol" w:cs="Symbol"/>
            <w:lang w:val="lv-LV"/>
          </w:rPr>
          <w:delText></w:delText>
        </w:r>
        <w:r w:rsidDel="000D7099">
          <w:rPr>
            <w:lang w:val="lv-LV"/>
          </w:rPr>
          <w:tab/>
          <w:delText>detalizētai informācijai par nopietnu nevēlamo blakusparādību paziņošanu.</w:delText>
        </w:r>
      </w:del>
    </w:p>
    <w:p w14:paraId="2B17552C" w14:textId="10B504DA" w:rsidR="00F47ADA" w:rsidRDefault="00F47ADA" w:rsidP="00F47ADA">
      <w:pPr>
        <w:rPr>
          <w:rFonts w:eastAsia="SimSun"/>
          <w:lang w:val="lv-LV"/>
        </w:rPr>
      </w:pPr>
    </w:p>
    <w:p w14:paraId="392B3766" w14:textId="75509AA7" w:rsidR="00F47ADA" w:rsidRDefault="00F47ADA" w:rsidP="00F47ADA">
      <w:pPr>
        <w:keepNext/>
        <w:rPr>
          <w:rFonts w:ascii="Symbol" w:hAnsi="Symbol" w:cs="Symbol"/>
          <w:lang w:val="lv-LV"/>
        </w:rPr>
      </w:pPr>
      <w:r>
        <w:rPr>
          <w:lang w:val="lv-LV"/>
        </w:rPr>
        <w:t>Pacientiem domātajā informatīvajā komplektā jābūt šādiem svarīgākajiem elementiem:</w:t>
      </w:r>
    </w:p>
    <w:p w14:paraId="49F929A8" w14:textId="7B29E0B3" w:rsidR="00F47ADA" w:rsidRDefault="00F47ADA" w:rsidP="00F47ADA">
      <w:pPr>
        <w:ind w:left="924" w:hanging="567"/>
        <w:rPr>
          <w:rFonts w:ascii="Symbol" w:hAnsi="Symbol" w:cs="Symbol"/>
          <w:lang w:val="lv-LV"/>
        </w:rPr>
      </w:pPr>
      <w:r>
        <w:rPr>
          <w:rFonts w:ascii="Symbol" w:hAnsi="Symbol" w:cs="Symbol"/>
          <w:lang w:val="lv-LV"/>
        </w:rPr>
        <w:t></w:t>
      </w:r>
      <w:r>
        <w:rPr>
          <w:lang w:val="lv-LV"/>
        </w:rPr>
        <w:tab/>
        <w:t>lietošanas instrukcijai (ar informāciju par subkutānās formas lietošanu) (piemēram, saite uz EMA tīmekļa vietni);</w:t>
      </w:r>
    </w:p>
    <w:p w14:paraId="76BFF78E" w14:textId="642D1D92" w:rsidR="00F47ADA" w:rsidRDefault="00F47ADA" w:rsidP="00F47ADA">
      <w:pPr>
        <w:ind w:left="924" w:hanging="567"/>
        <w:rPr>
          <w:lang w:val="lv-LV"/>
        </w:rPr>
      </w:pPr>
      <w:r>
        <w:rPr>
          <w:rFonts w:ascii="Symbol" w:hAnsi="Symbol" w:cs="Symbol"/>
          <w:lang w:val="lv-LV"/>
        </w:rPr>
        <w:t></w:t>
      </w:r>
      <w:r>
        <w:rPr>
          <w:lang w:val="lv-LV"/>
        </w:rPr>
        <w:tab/>
        <w:t>pacienta kartīte</w:t>
      </w:r>
      <w:ins w:id="1536" w:author="Author">
        <w:r w:rsidR="00136871">
          <w:rPr>
            <w:lang w:val="lv-LV"/>
          </w:rPr>
          <w:t>:</w:t>
        </w:r>
      </w:ins>
      <w:del w:id="1537" w:author="Author">
        <w:r w:rsidDel="00136871">
          <w:rPr>
            <w:lang w:val="lv-LV"/>
          </w:rPr>
          <w:delText>;</w:delText>
        </w:r>
      </w:del>
    </w:p>
    <w:p w14:paraId="3D890782" w14:textId="5542E0C4" w:rsidR="00F47ADA" w:rsidRPr="00E45E04" w:rsidRDefault="00136871" w:rsidP="00F47ADA">
      <w:pPr>
        <w:ind w:left="924" w:hanging="567"/>
        <w:rPr>
          <w:lang w:val="lv-LV"/>
        </w:rPr>
      </w:pPr>
      <w:ins w:id="1538" w:author="Author">
        <w:r w:rsidRPr="00E45E04">
          <w:rPr>
            <w:rFonts w:eastAsia="SimSun"/>
            <w:szCs w:val="22"/>
            <w:lang w:val="lv-LV" w:eastAsia="ja-JP"/>
            <w:rPrChange w:id="1539" w:author="Regulatory LV" w:date="2026-03-17T11:27:00Z">
              <w:rPr>
                <w:rFonts w:eastAsia="SimSun"/>
                <w:szCs w:val="22"/>
                <w:lang w:val="en-GB" w:eastAsia="ja-JP"/>
              </w:rPr>
            </w:rPrChange>
          </w:rPr>
          <w:t>-</w:t>
        </w:r>
      </w:ins>
      <w:del w:id="1540" w:author="Author">
        <w:r w:rsidR="00F47ADA" w:rsidRPr="00E45E04" w:rsidDel="00136871">
          <w:rPr>
            <w:rFonts w:ascii="Symbol" w:hAnsi="Symbol" w:cs="Symbol"/>
            <w:lang w:val="lv-LV"/>
          </w:rPr>
          <w:delText></w:delText>
        </w:r>
      </w:del>
      <w:r w:rsidR="00F47ADA" w:rsidRPr="00E45E04">
        <w:rPr>
          <w:lang w:val="lv-LV"/>
        </w:rPr>
        <w:tab/>
        <w:t>par infekcijas slimību, kuras neārstējot var kļūt nopietnas, riska novēršanu. Turklāt var atjaunoties dažas iepriekš pārciestas infekcijas</w:t>
      </w:r>
      <w:ins w:id="1541" w:author="Author">
        <w:r w:rsidR="00AD3BDD" w:rsidRPr="00E45E04">
          <w:rPr>
            <w:lang w:val="lv-LV"/>
          </w:rPr>
          <w:t>. Pacientiem jākonsultējās ar veselības aprūpes speciālistu, ja plānotās ārstēšanas ar RoActemra laikā rodas jebkāda veida infekcija (pat parastā saaukstēšanās).</w:t>
        </w:r>
      </w:ins>
      <w:del w:id="1542" w:author="Author">
        <w:r w:rsidR="00F47ADA" w:rsidRPr="00E45E04" w:rsidDel="00AD3BDD">
          <w:rPr>
            <w:lang w:val="lv-LV"/>
          </w:rPr>
          <w:delText>;</w:delText>
        </w:r>
      </w:del>
    </w:p>
    <w:p w14:paraId="4CF1E90E" w14:textId="351C88AA" w:rsidR="00F47ADA" w:rsidRDefault="00136871" w:rsidP="00AD3BDD">
      <w:pPr>
        <w:ind w:left="924" w:hanging="567"/>
        <w:rPr>
          <w:lang w:val="lv-LV"/>
        </w:rPr>
      </w:pPr>
      <w:ins w:id="1543" w:author="Author">
        <w:r w:rsidRPr="00E45E04">
          <w:rPr>
            <w:rFonts w:eastAsia="SimSun"/>
            <w:szCs w:val="22"/>
            <w:lang w:val="lv-LV" w:eastAsia="ja-JP"/>
            <w:rPrChange w:id="1544" w:author="Regulatory LV" w:date="2026-03-17T11:27:00Z">
              <w:rPr>
                <w:rFonts w:eastAsia="SimSun"/>
                <w:szCs w:val="22"/>
                <w:lang w:val="en-GB" w:eastAsia="ja-JP"/>
              </w:rPr>
            </w:rPrChange>
          </w:rPr>
          <w:t>-</w:t>
        </w:r>
      </w:ins>
      <w:del w:id="1545" w:author="Author">
        <w:r w:rsidR="00F47ADA" w:rsidRPr="00E45E04" w:rsidDel="00136871">
          <w:rPr>
            <w:rFonts w:ascii="Symbol" w:hAnsi="Symbol" w:cs="Symbol"/>
            <w:lang w:val="lv-LV"/>
          </w:rPr>
          <w:delText></w:delText>
        </w:r>
      </w:del>
      <w:r w:rsidR="00F47ADA">
        <w:rPr>
          <w:lang w:val="lv-LV"/>
        </w:rPr>
        <w:tab/>
        <w:t>par riska novēršanu tam, ka pacientiem, kuri lieto RoActemra, var rasties divertikulīta komplikācijas, kas neārstējot var kļūt nopietnas.</w:t>
      </w:r>
      <w:ins w:id="1546" w:author="Author">
        <w:r w:rsidR="00AD3BDD">
          <w:rPr>
            <w:lang w:val="lv-LV"/>
          </w:rPr>
          <w:t xml:space="preserve"> </w:t>
        </w:r>
        <w:r w:rsidR="00AD3BDD" w:rsidRPr="00AD3BDD">
          <w:rPr>
            <w:lang w:val="lv-LV"/>
          </w:rPr>
          <w:t xml:space="preserve">Pacientiem nekavējoties jāinformē ārsts, ja rodas </w:t>
        </w:r>
        <w:r w:rsidR="00A800AF">
          <w:rPr>
            <w:lang w:val="lv-LV"/>
          </w:rPr>
          <w:t xml:space="preserve">sekojošās </w:t>
        </w:r>
        <w:r w:rsidR="00AD3BDD" w:rsidRPr="00AD3BDD">
          <w:rPr>
            <w:lang w:val="lv-LV"/>
          </w:rPr>
          <w:t>pazīmes un simptomi</w:t>
        </w:r>
        <w:r w:rsidR="00A800AF">
          <w:rPr>
            <w:lang w:val="lv-LV"/>
          </w:rPr>
          <w:t xml:space="preserve"> –</w:t>
        </w:r>
        <w:r w:rsidR="00AD3BDD">
          <w:rPr>
            <w:lang w:val="lv-LV"/>
          </w:rPr>
          <w:t xml:space="preserve"> </w:t>
        </w:r>
        <w:r w:rsidR="00A800AF">
          <w:rPr>
            <w:lang w:val="lv-LV"/>
          </w:rPr>
          <w:t>vēdera sāpes</w:t>
        </w:r>
        <w:r w:rsidR="00A800AF" w:rsidRPr="00AD3BDD">
          <w:rPr>
            <w:lang w:val="lv-LV"/>
          </w:rPr>
          <w:t xml:space="preserve"> vai kolikas </w:t>
        </w:r>
        <w:r w:rsidR="00AD3BDD" w:rsidRPr="00AD3BDD">
          <w:rPr>
            <w:lang w:val="lv-LV"/>
          </w:rPr>
          <w:t>ar zarnu darbības izmaiņām</w:t>
        </w:r>
        <w:r w:rsidR="0081701C">
          <w:rPr>
            <w:lang w:val="lv-LV"/>
          </w:rPr>
          <w:t>,</w:t>
        </w:r>
        <w:r w:rsidR="00AD3BDD" w:rsidRPr="00AD3BDD">
          <w:rPr>
            <w:lang w:val="lv-LV"/>
          </w:rPr>
          <w:t xml:space="preserve"> vai paman</w:t>
        </w:r>
        <w:r w:rsidR="00043C3D">
          <w:rPr>
            <w:lang w:val="lv-LV"/>
          </w:rPr>
          <w:t>a</w:t>
        </w:r>
        <w:r w:rsidR="00AD3BDD" w:rsidRPr="00AD3BDD">
          <w:rPr>
            <w:lang w:val="lv-LV"/>
          </w:rPr>
          <w:t xml:space="preserve"> asin</w:t>
        </w:r>
        <w:r w:rsidR="0081701C">
          <w:rPr>
            <w:lang w:val="lv-LV"/>
          </w:rPr>
          <w:t>i</w:t>
        </w:r>
        <w:r w:rsidR="00AD3BDD" w:rsidRPr="00AD3BDD">
          <w:rPr>
            <w:lang w:val="lv-LV"/>
          </w:rPr>
          <w:t>s izkārnījumos. Pacientam jāinformē veselības aprūpes speciālists, ja viņam ir vai ir bijusi čūla zarnās vai divertikulīts (resnās zarnas daļas iekaisums).</w:t>
        </w:r>
      </w:ins>
    </w:p>
    <w:p w14:paraId="7786AE53" w14:textId="0637D3FB" w:rsidR="00F47ADA" w:rsidRDefault="00136871" w:rsidP="00F47ADA">
      <w:pPr>
        <w:ind w:left="924" w:hanging="567"/>
        <w:rPr>
          <w:ins w:id="1547" w:author="Author"/>
          <w:lang w:val="lv-LV"/>
        </w:rPr>
      </w:pPr>
      <w:ins w:id="1548" w:author="Author">
        <w:r w:rsidRPr="00136871">
          <w:rPr>
            <w:rFonts w:eastAsia="SimSun"/>
            <w:szCs w:val="22"/>
            <w:lang w:val="en-GB" w:eastAsia="ja-JP"/>
          </w:rPr>
          <w:t>-</w:t>
        </w:r>
      </w:ins>
      <w:del w:id="1549" w:author="Author">
        <w:r w:rsidR="00F47ADA" w:rsidDel="00136871">
          <w:rPr>
            <w:rFonts w:ascii="Symbol" w:hAnsi="Symbol" w:cs="Symbol"/>
            <w:lang w:val="lv-LV"/>
          </w:rPr>
          <w:delText></w:delText>
        </w:r>
      </w:del>
      <w:r w:rsidR="00F47ADA">
        <w:rPr>
          <w:lang w:val="lv-LV"/>
        </w:rPr>
        <w:tab/>
        <w:t>par nopietnu aknu bojājumu risku pacientiem</w:t>
      </w:r>
      <w:del w:id="1550" w:author="Regulatory LV" w:date="2026-03-17T11:28:00Z">
        <w:r w:rsidR="00F47ADA" w:rsidDel="00E45E04">
          <w:rPr>
            <w:lang w:val="lv-LV"/>
          </w:rPr>
          <w:delText xml:space="preserve"> </w:delText>
        </w:r>
      </w:del>
      <w:r w:rsidR="00F47ADA">
        <w:rPr>
          <w:lang w:val="lv-LV"/>
        </w:rPr>
        <w:t xml:space="preserve">, kuri lieto RoActemra. </w:t>
      </w:r>
      <w:del w:id="1551" w:author="Author">
        <w:r w:rsidR="00F47ADA" w:rsidDel="00FA53CF">
          <w:rPr>
            <w:lang w:val="lv-LV"/>
          </w:rPr>
          <w:delText xml:space="preserve">Pacienti jākontrolē un </w:delText>
        </w:r>
      </w:del>
      <w:ins w:id="1552" w:author="Author">
        <w:r w:rsidR="00FA53CF" w:rsidRPr="00FA53CF">
          <w:rPr>
            <w:lang w:val="lv-LV"/>
          </w:rPr>
          <w:t>Ārstēšanas laikā ar RoActemra</w:t>
        </w:r>
        <w:r w:rsidR="00FA53CF">
          <w:rPr>
            <w:lang w:val="lv-LV"/>
          </w:rPr>
          <w:t xml:space="preserve"> </w:t>
        </w:r>
      </w:ins>
      <w:r w:rsidR="00F47ADA">
        <w:rPr>
          <w:lang w:val="lv-LV"/>
        </w:rPr>
        <w:t>jāveic</w:t>
      </w:r>
      <w:r w:rsidR="00F47ADA" w:rsidRPr="008D77DD">
        <w:rPr>
          <w:lang w:val="lv-LV"/>
        </w:rPr>
        <w:t xml:space="preserve"> aknu darbības pārbaudes</w:t>
      </w:r>
      <w:ins w:id="1553" w:author="Author">
        <w:r w:rsidR="00FA53CF">
          <w:rPr>
            <w:lang w:val="lv-LV"/>
          </w:rPr>
          <w:t>, lai kontrolētu</w:t>
        </w:r>
      </w:ins>
      <w:ins w:id="1554" w:author="Regulatory LV" w:date="2026-03-17T11:28:00Z">
        <w:r w:rsidR="00E45E04">
          <w:rPr>
            <w:lang w:val="lv-LV"/>
          </w:rPr>
          <w:t>,</w:t>
        </w:r>
      </w:ins>
      <w:ins w:id="1555" w:author="Author">
        <w:r w:rsidR="00FA53CF">
          <w:rPr>
            <w:lang w:val="lv-LV"/>
          </w:rPr>
          <w:t xml:space="preserve"> vai </w:t>
        </w:r>
        <w:r w:rsidR="00FA53CF" w:rsidRPr="00FA53CF">
          <w:rPr>
            <w:lang w:val="lv-LV"/>
          </w:rPr>
          <w:t>pacientiem nerodas aknu enzīmu līmeņa izmaiņas</w:t>
        </w:r>
      </w:ins>
      <w:r w:rsidR="00F47ADA" w:rsidRPr="008D77DD">
        <w:rPr>
          <w:lang w:val="lv-LV"/>
        </w:rPr>
        <w:t>.</w:t>
      </w:r>
      <w:r w:rsidR="00F47ADA">
        <w:rPr>
          <w:lang w:val="lv-LV"/>
        </w:rPr>
        <w:t xml:space="preserve"> Pacientiem nekavējoties jāinformē </w:t>
      </w:r>
      <w:del w:id="1556" w:author="Author">
        <w:r w:rsidR="00F47ADA" w:rsidDel="00FA53CF">
          <w:rPr>
            <w:lang w:val="lv-LV"/>
          </w:rPr>
          <w:delText xml:space="preserve">savu </w:delText>
        </w:r>
      </w:del>
      <w:r w:rsidR="00F47ADA">
        <w:rPr>
          <w:lang w:val="lv-LV"/>
        </w:rPr>
        <w:t>ārst</w:t>
      </w:r>
      <w:ins w:id="1557" w:author="Regulatory LV" w:date="2026-03-17T11:28:00Z">
        <w:r w:rsidR="00E45E04">
          <w:rPr>
            <w:lang w:val="lv-LV"/>
          </w:rPr>
          <w:t>s</w:t>
        </w:r>
      </w:ins>
      <w:del w:id="1558" w:author="Regulatory LV" w:date="2026-03-17T11:28:00Z">
        <w:r w:rsidR="00F47ADA" w:rsidDel="00E45E04">
          <w:rPr>
            <w:lang w:val="lv-LV"/>
          </w:rPr>
          <w:delText>u</w:delText>
        </w:r>
      </w:del>
      <w:r w:rsidR="00F47ADA">
        <w:rPr>
          <w:lang w:val="lv-LV"/>
        </w:rPr>
        <w:t xml:space="preserve">, ja rodas aknu toksicitātes pazīmes un simptomi, ieskaitot nogurums, </w:t>
      </w:r>
      <w:ins w:id="1559" w:author="Author">
        <w:r w:rsidR="00FA53CF">
          <w:rPr>
            <w:lang w:val="lv-LV"/>
          </w:rPr>
          <w:t xml:space="preserve">apjukums, </w:t>
        </w:r>
      </w:ins>
      <w:r w:rsidR="00F47ADA">
        <w:rPr>
          <w:lang w:val="lv-LV"/>
        </w:rPr>
        <w:t>sāpes vēderā</w:t>
      </w:r>
      <w:ins w:id="1560" w:author="Author">
        <w:r w:rsidR="00FA53CF">
          <w:rPr>
            <w:lang w:val="lv-LV"/>
          </w:rPr>
          <w:t>,</w:t>
        </w:r>
      </w:ins>
      <w:r w:rsidR="00F47ADA">
        <w:rPr>
          <w:lang w:val="lv-LV"/>
        </w:rPr>
        <w:t xml:space="preserve"> </w:t>
      </w:r>
      <w:ins w:id="1561" w:author="Author">
        <w:r w:rsidR="00FA53CF" w:rsidRPr="00FA53CF">
          <w:rPr>
            <w:lang w:val="lv-LV"/>
          </w:rPr>
          <w:t xml:space="preserve">sāpes vai pietūkums vēdera labās puses augšdaļā </w:t>
        </w:r>
      </w:ins>
      <w:r w:rsidR="00F47ADA">
        <w:rPr>
          <w:lang w:val="lv-LV"/>
        </w:rPr>
        <w:t>un dzelte</w:t>
      </w:r>
      <w:ins w:id="1562" w:author="Author">
        <w:r w:rsidR="00FA53CF">
          <w:rPr>
            <w:lang w:val="lv-LV"/>
          </w:rPr>
          <w:t xml:space="preserve"> (</w:t>
        </w:r>
        <w:r w:rsidR="00FA53CF" w:rsidRPr="00FA53CF">
          <w:rPr>
            <w:lang w:val="lv-LV"/>
          </w:rPr>
          <w:t>ādas un acu dzelte, un urīns ir tumši brūnā krāsā</w:t>
        </w:r>
        <w:r w:rsidR="00FA53CF">
          <w:rPr>
            <w:lang w:val="lv-LV"/>
          </w:rPr>
          <w:t>)</w:t>
        </w:r>
      </w:ins>
      <w:r w:rsidR="00F47ADA">
        <w:rPr>
          <w:lang w:val="lv-LV"/>
        </w:rPr>
        <w:t>.</w:t>
      </w:r>
    </w:p>
    <w:p w14:paraId="6AE585DC" w14:textId="77777777" w:rsidR="00D1424B" w:rsidRDefault="00D1424B" w:rsidP="00F47ADA">
      <w:pPr>
        <w:ind w:left="924" w:hanging="567"/>
        <w:rPr>
          <w:lang w:val="lv-LV"/>
        </w:rPr>
      </w:pPr>
    </w:p>
    <w:p w14:paraId="04DAAA1B" w14:textId="77777777" w:rsidR="00F47ADA" w:rsidRDefault="00F47ADA" w:rsidP="00F47ADA">
      <w:pPr>
        <w:jc w:val="center"/>
        <w:rPr>
          <w:b/>
          <w:lang w:val="lv-LV"/>
        </w:rPr>
      </w:pPr>
      <w:r>
        <w:rPr>
          <w:b/>
          <w:lang w:val="lv-LV"/>
        </w:rPr>
        <w:br w:type="page"/>
      </w:r>
    </w:p>
    <w:p w14:paraId="53BC7C57" w14:textId="77777777" w:rsidR="00F47ADA" w:rsidRDefault="00F47ADA" w:rsidP="00F47ADA">
      <w:pPr>
        <w:jc w:val="center"/>
        <w:rPr>
          <w:b/>
          <w:lang w:val="lv-LV"/>
        </w:rPr>
      </w:pPr>
    </w:p>
    <w:p w14:paraId="00FAE7BB" w14:textId="77777777" w:rsidR="00F47ADA" w:rsidRDefault="00F47ADA" w:rsidP="00F47ADA">
      <w:pPr>
        <w:jc w:val="center"/>
        <w:rPr>
          <w:b/>
          <w:lang w:val="lv-LV"/>
        </w:rPr>
      </w:pPr>
    </w:p>
    <w:p w14:paraId="3498A768" w14:textId="77777777" w:rsidR="00F47ADA" w:rsidRDefault="00F47ADA" w:rsidP="00F47ADA">
      <w:pPr>
        <w:jc w:val="center"/>
        <w:rPr>
          <w:b/>
          <w:lang w:val="lv-LV"/>
        </w:rPr>
      </w:pPr>
    </w:p>
    <w:p w14:paraId="5F5B1CA5" w14:textId="77777777" w:rsidR="00F47ADA" w:rsidRDefault="00F47ADA" w:rsidP="00F47ADA">
      <w:pPr>
        <w:jc w:val="center"/>
        <w:rPr>
          <w:b/>
          <w:lang w:val="lv-LV"/>
        </w:rPr>
      </w:pPr>
    </w:p>
    <w:p w14:paraId="4566BF71" w14:textId="77777777" w:rsidR="00F47ADA" w:rsidRDefault="00F47ADA" w:rsidP="00F47ADA">
      <w:pPr>
        <w:jc w:val="center"/>
        <w:rPr>
          <w:b/>
          <w:lang w:val="lv-LV"/>
        </w:rPr>
      </w:pPr>
    </w:p>
    <w:p w14:paraId="11CB3DF3" w14:textId="77777777" w:rsidR="00F47ADA" w:rsidRDefault="00F47ADA" w:rsidP="00F47ADA">
      <w:pPr>
        <w:jc w:val="center"/>
        <w:rPr>
          <w:b/>
          <w:lang w:val="lv-LV"/>
        </w:rPr>
      </w:pPr>
    </w:p>
    <w:p w14:paraId="3D145C55" w14:textId="77777777" w:rsidR="00F47ADA" w:rsidRDefault="00F47ADA" w:rsidP="00F47ADA">
      <w:pPr>
        <w:jc w:val="center"/>
        <w:rPr>
          <w:b/>
          <w:lang w:val="lv-LV"/>
        </w:rPr>
      </w:pPr>
    </w:p>
    <w:p w14:paraId="5127068A" w14:textId="77777777" w:rsidR="00F47ADA" w:rsidRDefault="00F47ADA" w:rsidP="00F47ADA">
      <w:pPr>
        <w:jc w:val="center"/>
        <w:rPr>
          <w:b/>
          <w:lang w:val="lv-LV"/>
        </w:rPr>
      </w:pPr>
    </w:p>
    <w:p w14:paraId="6132B7EB" w14:textId="77777777" w:rsidR="00F47ADA" w:rsidRDefault="00F47ADA" w:rsidP="00F47ADA">
      <w:pPr>
        <w:jc w:val="center"/>
        <w:rPr>
          <w:b/>
          <w:lang w:val="lv-LV"/>
        </w:rPr>
      </w:pPr>
    </w:p>
    <w:p w14:paraId="71C69FC4" w14:textId="77777777" w:rsidR="00F47ADA" w:rsidRDefault="00F47ADA" w:rsidP="00F47ADA">
      <w:pPr>
        <w:jc w:val="center"/>
        <w:rPr>
          <w:b/>
          <w:lang w:val="lv-LV"/>
        </w:rPr>
      </w:pPr>
    </w:p>
    <w:p w14:paraId="6BEC0388" w14:textId="77777777" w:rsidR="00F47ADA" w:rsidRDefault="00F47ADA" w:rsidP="00F47ADA">
      <w:pPr>
        <w:jc w:val="center"/>
        <w:rPr>
          <w:b/>
          <w:lang w:val="lv-LV"/>
        </w:rPr>
      </w:pPr>
    </w:p>
    <w:p w14:paraId="585076CF" w14:textId="77777777" w:rsidR="00F47ADA" w:rsidRDefault="00F47ADA" w:rsidP="00F47ADA">
      <w:pPr>
        <w:jc w:val="center"/>
        <w:rPr>
          <w:b/>
          <w:lang w:val="lv-LV"/>
        </w:rPr>
      </w:pPr>
    </w:p>
    <w:p w14:paraId="21EACD86" w14:textId="77777777" w:rsidR="00F47ADA" w:rsidRDefault="00F47ADA" w:rsidP="00F47ADA">
      <w:pPr>
        <w:jc w:val="center"/>
        <w:rPr>
          <w:b/>
          <w:lang w:val="lv-LV"/>
        </w:rPr>
      </w:pPr>
    </w:p>
    <w:p w14:paraId="47DB5DDA" w14:textId="77777777" w:rsidR="00F47ADA" w:rsidRDefault="00F47ADA" w:rsidP="00F47ADA">
      <w:pPr>
        <w:jc w:val="center"/>
        <w:rPr>
          <w:b/>
          <w:lang w:val="lv-LV"/>
        </w:rPr>
      </w:pPr>
    </w:p>
    <w:p w14:paraId="45AC5BAC" w14:textId="77777777" w:rsidR="00F47ADA" w:rsidRDefault="00F47ADA" w:rsidP="00F47ADA">
      <w:pPr>
        <w:jc w:val="center"/>
        <w:rPr>
          <w:b/>
          <w:lang w:val="lv-LV"/>
        </w:rPr>
      </w:pPr>
    </w:p>
    <w:p w14:paraId="0045A969" w14:textId="77777777" w:rsidR="00F47ADA" w:rsidRDefault="00F47ADA" w:rsidP="00F47ADA">
      <w:pPr>
        <w:jc w:val="center"/>
        <w:rPr>
          <w:b/>
          <w:lang w:val="lv-LV"/>
        </w:rPr>
      </w:pPr>
    </w:p>
    <w:p w14:paraId="0B80BF0B" w14:textId="77777777" w:rsidR="00F47ADA" w:rsidRDefault="00F47ADA" w:rsidP="00F47ADA">
      <w:pPr>
        <w:jc w:val="center"/>
        <w:rPr>
          <w:b/>
          <w:lang w:val="lv-LV"/>
        </w:rPr>
      </w:pPr>
    </w:p>
    <w:p w14:paraId="652DCEAE" w14:textId="77777777" w:rsidR="00F47ADA" w:rsidRDefault="00F47ADA" w:rsidP="00F47ADA">
      <w:pPr>
        <w:jc w:val="center"/>
        <w:rPr>
          <w:b/>
          <w:lang w:val="lv-LV"/>
        </w:rPr>
      </w:pPr>
    </w:p>
    <w:p w14:paraId="295ECE95" w14:textId="77777777" w:rsidR="00F47ADA" w:rsidRDefault="00F47ADA" w:rsidP="00F47ADA">
      <w:pPr>
        <w:jc w:val="center"/>
        <w:rPr>
          <w:b/>
          <w:lang w:val="lv-LV"/>
        </w:rPr>
      </w:pPr>
    </w:p>
    <w:p w14:paraId="3527EB78" w14:textId="77777777" w:rsidR="00F47ADA" w:rsidRDefault="00F47ADA" w:rsidP="00F47ADA">
      <w:pPr>
        <w:jc w:val="center"/>
        <w:rPr>
          <w:b/>
          <w:lang w:val="lv-LV"/>
        </w:rPr>
      </w:pPr>
    </w:p>
    <w:p w14:paraId="57811D0E" w14:textId="77777777" w:rsidR="00F47ADA" w:rsidRDefault="00F47ADA" w:rsidP="00F47ADA">
      <w:pPr>
        <w:jc w:val="center"/>
        <w:rPr>
          <w:b/>
          <w:lang w:val="lv-LV"/>
        </w:rPr>
      </w:pPr>
    </w:p>
    <w:p w14:paraId="0F448059" w14:textId="77777777" w:rsidR="00F47ADA" w:rsidRDefault="00F47ADA" w:rsidP="00F47ADA">
      <w:pPr>
        <w:jc w:val="center"/>
        <w:rPr>
          <w:b/>
          <w:lang w:val="lv-LV"/>
        </w:rPr>
      </w:pPr>
    </w:p>
    <w:p w14:paraId="51FC9D23" w14:textId="77777777" w:rsidR="00F47ADA" w:rsidRDefault="00F47ADA" w:rsidP="00F47ADA">
      <w:pPr>
        <w:jc w:val="center"/>
        <w:rPr>
          <w:b/>
          <w:lang w:val="lv-LV"/>
        </w:rPr>
      </w:pPr>
    </w:p>
    <w:p w14:paraId="63253A81" w14:textId="77777777" w:rsidR="00F47ADA" w:rsidRDefault="00F47ADA" w:rsidP="00F47ADA">
      <w:pPr>
        <w:jc w:val="center"/>
        <w:rPr>
          <w:b/>
          <w:lang w:val="lv-LV"/>
        </w:rPr>
      </w:pPr>
      <w:r>
        <w:rPr>
          <w:b/>
          <w:lang w:val="lv-LV"/>
        </w:rPr>
        <w:t>III PIELIKUMS</w:t>
      </w:r>
    </w:p>
    <w:p w14:paraId="26424B32" w14:textId="77777777" w:rsidR="00F47ADA" w:rsidRDefault="00F47ADA" w:rsidP="00F47ADA">
      <w:pPr>
        <w:jc w:val="center"/>
        <w:rPr>
          <w:b/>
          <w:lang w:val="lv-LV"/>
        </w:rPr>
      </w:pPr>
    </w:p>
    <w:p w14:paraId="584B78F5" w14:textId="77777777" w:rsidR="00F47ADA" w:rsidRDefault="00F47ADA" w:rsidP="00F47ADA">
      <w:pPr>
        <w:jc w:val="center"/>
        <w:rPr>
          <w:lang w:val="lv-LV"/>
        </w:rPr>
      </w:pPr>
      <w:r>
        <w:rPr>
          <w:b/>
          <w:lang w:val="lv-LV"/>
        </w:rPr>
        <w:t>MARĶĒJUMA TEKSTS UN LIETOŠANAS INSTRUKCIJA</w:t>
      </w:r>
    </w:p>
    <w:p w14:paraId="626C26E5" w14:textId="77777777" w:rsidR="00F47ADA" w:rsidRDefault="00F47ADA" w:rsidP="00F47ADA">
      <w:pPr>
        <w:rPr>
          <w:lang w:val="lv-LV"/>
        </w:rPr>
      </w:pPr>
      <w:r>
        <w:rPr>
          <w:lang w:val="lv-LV"/>
        </w:rPr>
        <w:br w:type="page"/>
      </w:r>
    </w:p>
    <w:p w14:paraId="6A1CFB80" w14:textId="77777777" w:rsidR="00F47ADA" w:rsidRDefault="00F47ADA" w:rsidP="00F47ADA">
      <w:pPr>
        <w:rPr>
          <w:lang w:val="lv-LV"/>
        </w:rPr>
      </w:pPr>
    </w:p>
    <w:p w14:paraId="74E9554F" w14:textId="77777777" w:rsidR="00F47ADA" w:rsidRDefault="00F47ADA" w:rsidP="00F47ADA">
      <w:pPr>
        <w:rPr>
          <w:lang w:val="lv-LV"/>
        </w:rPr>
      </w:pPr>
    </w:p>
    <w:p w14:paraId="367AA28C" w14:textId="77777777" w:rsidR="00F47ADA" w:rsidRDefault="00F47ADA" w:rsidP="00F47ADA">
      <w:pPr>
        <w:rPr>
          <w:lang w:val="lv-LV"/>
        </w:rPr>
      </w:pPr>
    </w:p>
    <w:p w14:paraId="19BAAF9A" w14:textId="77777777" w:rsidR="00F47ADA" w:rsidRDefault="00F47ADA" w:rsidP="00F47ADA">
      <w:pPr>
        <w:rPr>
          <w:lang w:val="lv-LV"/>
        </w:rPr>
      </w:pPr>
    </w:p>
    <w:p w14:paraId="29EF5926" w14:textId="77777777" w:rsidR="00F47ADA" w:rsidRDefault="00F47ADA" w:rsidP="00F47ADA">
      <w:pPr>
        <w:rPr>
          <w:lang w:val="lv-LV"/>
        </w:rPr>
      </w:pPr>
    </w:p>
    <w:p w14:paraId="5E3BD51A" w14:textId="77777777" w:rsidR="00F47ADA" w:rsidRDefault="00F47ADA" w:rsidP="00F47ADA">
      <w:pPr>
        <w:rPr>
          <w:lang w:val="lv-LV"/>
        </w:rPr>
      </w:pPr>
    </w:p>
    <w:p w14:paraId="386B3F88" w14:textId="77777777" w:rsidR="00F47ADA" w:rsidRDefault="00F47ADA" w:rsidP="00F47ADA">
      <w:pPr>
        <w:rPr>
          <w:lang w:val="lv-LV"/>
        </w:rPr>
      </w:pPr>
    </w:p>
    <w:p w14:paraId="05710C44" w14:textId="77777777" w:rsidR="00F47ADA" w:rsidRDefault="00F47ADA" w:rsidP="00F47ADA">
      <w:pPr>
        <w:rPr>
          <w:lang w:val="lv-LV"/>
        </w:rPr>
      </w:pPr>
    </w:p>
    <w:p w14:paraId="5CF04798" w14:textId="77777777" w:rsidR="00F47ADA" w:rsidRDefault="00F47ADA" w:rsidP="00F47ADA">
      <w:pPr>
        <w:rPr>
          <w:lang w:val="lv-LV"/>
        </w:rPr>
      </w:pPr>
    </w:p>
    <w:p w14:paraId="08F78995" w14:textId="77777777" w:rsidR="00F47ADA" w:rsidRDefault="00F47ADA" w:rsidP="00F47ADA">
      <w:pPr>
        <w:rPr>
          <w:lang w:val="lv-LV"/>
        </w:rPr>
      </w:pPr>
    </w:p>
    <w:p w14:paraId="1B65DA2B" w14:textId="77777777" w:rsidR="00F47ADA" w:rsidRDefault="00F47ADA" w:rsidP="00F47ADA">
      <w:pPr>
        <w:rPr>
          <w:lang w:val="lv-LV"/>
        </w:rPr>
      </w:pPr>
    </w:p>
    <w:p w14:paraId="2D6F7093" w14:textId="77777777" w:rsidR="00F47ADA" w:rsidRDefault="00F47ADA" w:rsidP="00F47ADA">
      <w:pPr>
        <w:rPr>
          <w:lang w:val="lv-LV"/>
        </w:rPr>
      </w:pPr>
    </w:p>
    <w:p w14:paraId="273E7FC9" w14:textId="77777777" w:rsidR="00F47ADA" w:rsidRDefault="00F47ADA" w:rsidP="00F47ADA">
      <w:pPr>
        <w:rPr>
          <w:lang w:val="lv-LV"/>
        </w:rPr>
      </w:pPr>
    </w:p>
    <w:p w14:paraId="23B90755" w14:textId="77777777" w:rsidR="00F47ADA" w:rsidRDefault="00F47ADA" w:rsidP="00F47ADA">
      <w:pPr>
        <w:rPr>
          <w:lang w:val="lv-LV"/>
        </w:rPr>
      </w:pPr>
    </w:p>
    <w:p w14:paraId="0C5AFC08" w14:textId="77777777" w:rsidR="00F47ADA" w:rsidRDefault="00F47ADA" w:rsidP="00F47ADA">
      <w:pPr>
        <w:rPr>
          <w:lang w:val="lv-LV"/>
        </w:rPr>
      </w:pPr>
    </w:p>
    <w:p w14:paraId="19838292" w14:textId="77777777" w:rsidR="00F47ADA" w:rsidRDefault="00F47ADA" w:rsidP="00F47ADA">
      <w:pPr>
        <w:rPr>
          <w:lang w:val="lv-LV"/>
        </w:rPr>
      </w:pPr>
    </w:p>
    <w:p w14:paraId="6534CF56" w14:textId="77777777" w:rsidR="00F47ADA" w:rsidRDefault="00F47ADA" w:rsidP="00F47ADA">
      <w:pPr>
        <w:rPr>
          <w:lang w:val="lv-LV"/>
        </w:rPr>
      </w:pPr>
    </w:p>
    <w:p w14:paraId="36030E34" w14:textId="77777777" w:rsidR="00F47ADA" w:rsidRDefault="00F47ADA" w:rsidP="00F47ADA">
      <w:pPr>
        <w:rPr>
          <w:lang w:val="lv-LV"/>
        </w:rPr>
      </w:pPr>
    </w:p>
    <w:p w14:paraId="2E44B350" w14:textId="77777777" w:rsidR="00F47ADA" w:rsidRDefault="00F47ADA" w:rsidP="00F47ADA">
      <w:pPr>
        <w:rPr>
          <w:lang w:val="lv-LV"/>
        </w:rPr>
      </w:pPr>
    </w:p>
    <w:p w14:paraId="1C9FD669" w14:textId="77777777" w:rsidR="00F47ADA" w:rsidRDefault="00F47ADA" w:rsidP="00F47ADA">
      <w:pPr>
        <w:rPr>
          <w:lang w:val="lv-LV"/>
        </w:rPr>
      </w:pPr>
    </w:p>
    <w:p w14:paraId="3AF14586" w14:textId="77777777" w:rsidR="00F47ADA" w:rsidRDefault="00F47ADA" w:rsidP="00F47ADA">
      <w:pPr>
        <w:rPr>
          <w:lang w:val="lv-LV"/>
        </w:rPr>
      </w:pPr>
    </w:p>
    <w:p w14:paraId="5504F52D" w14:textId="77777777" w:rsidR="00F47ADA" w:rsidRDefault="00F47ADA" w:rsidP="00F47ADA">
      <w:pPr>
        <w:rPr>
          <w:lang w:val="lv-LV"/>
        </w:rPr>
      </w:pPr>
    </w:p>
    <w:p w14:paraId="3A3EB4D6" w14:textId="77777777" w:rsidR="00F47ADA" w:rsidRDefault="00F47ADA" w:rsidP="00F47ADA">
      <w:pPr>
        <w:rPr>
          <w:lang w:val="lv-LV"/>
        </w:rPr>
      </w:pPr>
    </w:p>
    <w:p w14:paraId="12AC4864" w14:textId="77777777" w:rsidR="00F47ADA" w:rsidRDefault="00F47ADA" w:rsidP="00F47ADA">
      <w:pPr>
        <w:pStyle w:val="Annex"/>
        <w:rPr>
          <w:lang w:val="lv-LV"/>
        </w:rPr>
      </w:pPr>
      <w:r>
        <w:rPr>
          <w:lang w:val="lv-LV"/>
        </w:rPr>
        <w:t>A. MARĶĒJUMA TEKSTS</w:t>
      </w:r>
    </w:p>
    <w:p w14:paraId="7661E537" w14:textId="77777777" w:rsidR="00F47ADA" w:rsidRDefault="00F47ADA" w:rsidP="00F47ADA">
      <w:pPr>
        <w:rPr>
          <w:lang w:val="lv-LV"/>
        </w:rPr>
      </w:pPr>
      <w:r>
        <w:rPr>
          <w:lang w:val="lv-LV"/>
        </w:rPr>
        <w:br w:type="page"/>
      </w:r>
    </w:p>
    <w:p w14:paraId="24A3545C" w14:textId="77777777" w:rsidR="00F47ADA" w:rsidRDefault="00F47ADA" w:rsidP="00F47ADA">
      <w:pPr>
        <w:pBdr>
          <w:top w:val="single" w:sz="4" w:space="1" w:color="000000"/>
          <w:left w:val="single" w:sz="4" w:space="4" w:color="000000"/>
          <w:bottom w:val="single" w:sz="4" w:space="1" w:color="000000"/>
          <w:right w:val="single" w:sz="4" w:space="4" w:color="000000"/>
        </w:pBdr>
        <w:rPr>
          <w:bCs/>
          <w:lang w:val="lv-LV"/>
        </w:rPr>
      </w:pPr>
      <w:r>
        <w:rPr>
          <w:b/>
          <w:lang w:val="lv-LV"/>
        </w:rPr>
        <w:t>INFORMĀCIJA, KAS JĀNORĀDA UZ ĀRĒJĀ IEPAKOJUMA</w:t>
      </w:r>
    </w:p>
    <w:p w14:paraId="28E81E1F"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bCs/>
          <w:lang w:val="lv-LV"/>
        </w:rPr>
      </w:pPr>
    </w:p>
    <w:p w14:paraId="6BD856C9" w14:textId="77777777" w:rsidR="00F47ADA" w:rsidRDefault="00F47ADA" w:rsidP="00F47ADA">
      <w:pPr>
        <w:pBdr>
          <w:top w:val="single" w:sz="4" w:space="1" w:color="000000"/>
          <w:left w:val="single" w:sz="4" w:space="4" w:color="000000"/>
          <w:bottom w:val="single" w:sz="4" w:space="1" w:color="000000"/>
          <w:right w:val="single" w:sz="4" w:space="4" w:color="000000"/>
        </w:pBdr>
        <w:rPr>
          <w:lang w:val="lv-LV"/>
        </w:rPr>
      </w:pPr>
      <w:r>
        <w:rPr>
          <w:b/>
          <w:lang w:val="lv-LV"/>
        </w:rPr>
        <w:t>KASTĪTE</w:t>
      </w:r>
    </w:p>
    <w:p w14:paraId="658660D1" w14:textId="77777777" w:rsidR="00F47ADA" w:rsidRDefault="00F47ADA" w:rsidP="00F47ADA">
      <w:pPr>
        <w:rPr>
          <w:lang w:val="lv-LV"/>
        </w:rPr>
      </w:pPr>
    </w:p>
    <w:p w14:paraId="6F3D1F3E" w14:textId="77777777" w:rsidR="00F47ADA" w:rsidRDefault="00F47ADA" w:rsidP="00F47ADA">
      <w:pPr>
        <w:rPr>
          <w:lang w:val="lv-LV"/>
        </w:rPr>
      </w:pPr>
    </w:p>
    <w:p w14:paraId="16E48E41"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1.</w:t>
      </w:r>
      <w:r>
        <w:rPr>
          <w:b/>
          <w:lang w:val="lv-LV"/>
        </w:rPr>
        <w:tab/>
        <w:t>ZĀĻU NOSAUKUMS</w:t>
      </w:r>
    </w:p>
    <w:p w14:paraId="5932097C" w14:textId="77777777" w:rsidR="00F47ADA" w:rsidRDefault="00F47ADA" w:rsidP="00F47ADA">
      <w:pPr>
        <w:rPr>
          <w:lang w:val="lv-LV"/>
        </w:rPr>
      </w:pPr>
    </w:p>
    <w:p w14:paraId="6FA2CAE3" w14:textId="77777777" w:rsidR="00F47ADA" w:rsidRDefault="00F47ADA" w:rsidP="00F47ADA">
      <w:pPr>
        <w:rPr>
          <w:lang w:val="lv-LV"/>
        </w:rPr>
      </w:pPr>
      <w:r>
        <w:rPr>
          <w:lang w:val="lv-LV"/>
        </w:rPr>
        <w:t xml:space="preserve">RoActemra 20 mg/ml koncentrāts infūziju šķīduma pagatavošanai </w:t>
      </w:r>
    </w:p>
    <w:p w14:paraId="534E556F" w14:textId="77777777" w:rsidR="00F47ADA" w:rsidRDefault="00F47ADA" w:rsidP="00F47ADA">
      <w:pPr>
        <w:rPr>
          <w:lang w:val="lv-LV"/>
        </w:rPr>
      </w:pPr>
      <w:r>
        <w:rPr>
          <w:lang w:val="lv-LV"/>
        </w:rPr>
        <w:t>tocilizumab</w:t>
      </w:r>
    </w:p>
    <w:p w14:paraId="7F305D9C" w14:textId="77777777" w:rsidR="00F47ADA" w:rsidRDefault="00F47ADA" w:rsidP="00F47ADA">
      <w:pPr>
        <w:rPr>
          <w:lang w:val="lv-LV"/>
        </w:rPr>
      </w:pPr>
    </w:p>
    <w:p w14:paraId="7D842526" w14:textId="77777777" w:rsidR="00F47ADA" w:rsidRDefault="00F47ADA" w:rsidP="00F47ADA">
      <w:pPr>
        <w:rPr>
          <w:lang w:val="lv-LV"/>
        </w:rPr>
      </w:pPr>
    </w:p>
    <w:p w14:paraId="51923032" w14:textId="327A114F"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2.</w:t>
      </w:r>
      <w:r>
        <w:rPr>
          <w:b/>
          <w:lang w:val="lv-LV"/>
        </w:rPr>
        <w:tab/>
        <w:t>AKTĪVĀS</w:t>
      </w:r>
      <w:del w:id="1563" w:author="Author">
        <w:r w:rsidDel="00A26B59">
          <w:rPr>
            <w:b/>
            <w:lang w:val="lv-LV"/>
          </w:rPr>
          <w:delText>(-O)</w:delText>
        </w:r>
      </w:del>
      <w:r>
        <w:rPr>
          <w:b/>
          <w:lang w:val="lv-LV"/>
        </w:rPr>
        <w:t xml:space="preserve"> VIELAS</w:t>
      </w:r>
      <w:del w:id="1564" w:author="Author">
        <w:r w:rsidDel="00A26B59">
          <w:rPr>
            <w:b/>
            <w:lang w:val="lv-LV"/>
          </w:rPr>
          <w:delText>(-U)</w:delText>
        </w:r>
      </w:del>
      <w:r>
        <w:rPr>
          <w:b/>
          <w:lang w:val="lv-LV"/>
        </w:rPr>
        <w:t xml:space="preserve"> NOSAUKUMS</w:t>
      </w:r>
      <w:del w:id="1565" w:author="Author">
        <w:r w:rsidDel="00A26B59">
          <w:rPr>
            <w:b/>
            <w:lang w:val="lv-LV"/>
          </w:rPr>
          <w:delText>(-I)</w:delText>
        </w:r>
      </w:del>
      <w:r>
        <w:rPr>
          <w:b/>
          <w:lang w:val="lv-LV"/>
        </w:rPr>
        <w:t xml:space="preserve"> UN DAUDZUMS</w:t>
      </w:r>
      <w:del w:id="1566" w:author="Author">
        <w:r w:rsidDel="00A26B59">
          <w:rPr>
            <w:b/>
            <w:lang w:val="lv-LV"/>
          </w:rPr>
          <w:delText>(-I)</w:delText>
        </w:r>
      </w:del>
    </w:p>
    <w:p w14:paraId="704FBEB6" w14:textId="77777777" w:rsidR="00F47ADA" w:rsidRDefault="00F47ADA" w:rsidP="00F47ADA">
      <w:pPr>
        <w:rPr>
          <w:lang w:val="lv-LV"/>
        </w:rPr>
      </w:pPr>
    </w:p>
    <w:p w14:paraId="3E543012" w14:textId="2CDCD7B6" w:rsidR="00F47ADA" w:rsidRDefault="00F47ADA" w:rsidP="00F47ADA">
      <w:pPr>
        <w:rPr>
          <w:lang w:val="lv-LV"/>
        </w:rPr>
      </w:pPr>
      <w:r>
        <w:rPr>
          <w:lang w:val="lv-LV"/>
        </w:rPr>
        <w:t>1</w:t>
      </w:r>
      <w:r w:rsidR="009801B9">
        <w:rPr>
          <w:lang w:val="lv-LV"/>
        </w:rPr>
        <w:t> </w:t>
      </w:r>
      <w:r>
        <w:rPr>
          <w:lang w:val="lv-LV"/>
        </w:rPr>
        <w:t>flakons satur 80 mg tocilizumaba.</w:t>
      </w:r>
    </w:p>
    <w:p w14:paraId="3EC5085E" w14:textId="72BA3DC9" w:rsidR="00F47ADA" w:rsidRPr="00707120" w:rsidRDefault="00F47ADA" w:rsidP="00F47ADA">
      <w:pPr>
        <w:pStyle w:val="Standard1"/>
        <w:rPr>
          <w:szCs w:val="22"/>
          <w:highlight w:val="lightGray"/>
        </w:rPr>
      </w:pPr>
      <w:r w:rsidRPr="00707120">
        <w:rPr>
          <w:szCs w:val="22"/>
          <w:highlight w:val="lightGray"/>
        </w:rPr>
        <w:t>1</w:t>
      </w:r>
      <w:r w:rsidR="009801B9" w:rsidRPr="00707120">
        <w:rPr>
          <w:szCs w:val="22"/>
          <w:highlight w:val="lightGray"/>
        </w:rPr>
        <w:t> </w:t>
      </w:r>
      <w:r w:rsidRPr="00707120">
        <w:rPr>
          <w:szCs w:val="22"/>
          <w:highlight w:val="lightGray"/>
        </w:rPr>
        <w:t>flakons satur 200 mg tocilizumaba.</w:t>
      </w:r>
    </w:p>
    <w:p w14:paraId="27DED238" w14:textId="70E6DE7F" w:rsidR="00F47ADA" w:rsidRPr="00707120" w:rsidRDefault="00F47ADA" w:rsidP="009801B9">
      <w:pPr>
        <w:rPr>
          <w:lang w:val="lv-LV"/>
        </w:rPr>
      </w:pPr>
      <w:r w:rsidRPr="00707120">
        <w:rPr>
          <w:szCs w:val="22"/>
          <w:highlight w:val="lightGray"/>
          <w:lang w:val="lv-LV"/>
        </w:rPr>
        <w:t>1</w:t>
      </w:r>
      <w:r w:rsidR="009801B9" w:rsidRPr="00707120">
        <w:rPr>
          <w:szCs w:val="22"/>
          <w:highlight w:val="lightGray"/>
          <w:lang w:val="lv-LV"/>
        </w:rPr>
        <w:t> </w:t>
      </w:r>
      <w:r w:rsidRPr="00707120">
        <w:rPr>
          <w:szCs w:val="22"/>
          <w:highlight w:val="lightGray"/>
          <w:lang w:val="lv-LV"/>
        </w:rPr>
        <w:t>flakons satur 400 mg tocilizumaba.</w:t>
      </w:r>
    </w:p>
    <w:p w14:paraId="2A33808B" w14:textId="77777777" w:rsidR="00F47ADA" w:rsidRDefault="00F47ADA" w:rsidP="00F47ADA">
      <w:pPr>
        <w:rPr>
          <w:lang w:val="lv-LV"/>
        </w:rPr>
      </w:pPr>
    </w:p>
    <w:p w14:paraId="14D711F1" w14:textId="77777777" w:rsidR="00F47ADA" w:rsidRDefault="00F47ADA" w:rsidP="00F47ADA">
      <w:pPr>
        <w:rPr>
          <w:lang w:val="lv-LV"/>
        </w:rPr>
      </w:pPr>
    </w:p>
    <w:p w14:paraId="19D7FBEE"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3.</w:t>
      </w:r>
      <w:r>
        <w:rPr>
          <w:b/>
          <w:lang w:val="lv-LV"/>
        </w:rPr>
        <w:tab/>
        <w:t>PALĪGVIELU SARAKSTS</w:t>
      </w:r>
    </w:p>
    <w:p w14:paraId="0DE8A7D7" w14:textId="77777777" w:rsidR="00F47ADA" w:rsidRDefault="00F47ADA" w:rsidP="00F47ADA">
      <w:pPr>
        <w:rPr>
          <w:lang w:val="lv-LV"/>
        </w:rPr>
      </w:pPr>
    </w:p>
    <w:p w14:paraId="317B966F" w14:textId="1CA1A7F0" w:rsidR="00F47ADA" w:rsidRDefault="00F47ADA" w:rsidP="00F47ADA">
      <w:pPr>
        <w:autoSpaceDE w:val="0"/>
        <w:rPr>
          <w:lang w:val="lv-LV"/>
        </w:rPr>
      </w:pPr>
      <w:r>
        <w:rPr>
          <w:rFonts w:eastAsia="PMingLiU"/>
          <w:bCs/>
          <w:szCs w:val="22"/>
          <w:lang w:val="lv-LV"/>
        </w:rPr>
        <w:t>Satur arī polisorbātu</w:t>
      </w:r>
      <w:r w:rsidR="00195183">
        <w:rPr>
          <w:rFonts w:eastAsia="PMingLiU"/>
          <w:bCs/>
          <w:szCs w:val="22"/>
          <w:lang w:val="lv-LV"/>
        </w:rPr>
        <w:t> </w:t>
      </w:r>
      <w:r>
        <w:rPr>
          <w:rFonts w:eastAsia="PMingLiU"/>
          <w:bCs/>
          <w:szCs w:val="22"/>
          <w:lang w:val="lv-LV"/>
        </w:rPr>
        <w:t>80, saharozi, nātrija hidrogēnfosfāta dodekahidrātu, nātrija dihidrogēnfosfāta dihidrātu un ūdeni injekcijām.</w:t>
      </w:r>
      <w:r>
        <w:rPr>
          <w:lang w:val="lv-LV"/>
        </w:rPr>
        <w:t xml:space="preserve"> Sīkāku informāciju skatīt lietošanas instrukcijā.</w:t>
      </w:r>
    </w:p>
    <w:p w14:paraId="6D46E40F" w14:textId="77777777" w:rsidR="00F47ADA" w:rsidRDefault="00F47ADA" w:rsidP="00F47ADA">
      <w:pPr>
        <w:rPr>
          <w:lang w:val="lv-LV"/>
        </w:rPr>
      </w:pPr>
    </w:p>
    <w:p w14:paraId="53A7F514" w14:textId="77777777" w:rsidR="00F47ADA" w:rsidRDefault="00F47ADA" w:rsidP="00F47ADA">
      <w:pPr>
        <w:rPr>
          <w:lang w:val="lv-LV"/>
        </w:rPr>
      </w:pPr>
    </w:p>
    <w:p w14:paraId="6D71F42D"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4.</w:t>
      </w:r>
      <w:r>
        <w:rPr>
          <w:b/>
          <w:lang w:val="lv-LV"/>
        </w:rPr>
        <w:tab/>
        <w:t>ZĀĻU FORMA UN SATURS</w:t>
      </w:r>
    </w:p>
    <w:p w14:paraId="47B1627A" w14:textId="77777777" w:rsidR="00F47ADA" w:rsidRDefault="00F47ADA" w:rsidP="00F47ADA">
      <w:pPr>
        <w:rPr>
          <w:lang w:val="lv-LV"/>
        </w:rPr>
      </w:pPr>
    </w:p>
    <w:p w14:paraId="7B1BAD2C" w14:textId="77777777" w:rsidR="00F47ADA" w:rsidRDefault="00F47ADA" w:rsidP="00F47ADA">
      <w:pPr>
        <w:rPr>
          <w:lang w:val="lv-LV"/>
        </w:rPr>
      </w:pPr>
      <w:r w:rsidRPr="00707120">
        <w:rPr>
          <w:highlight w:val="lightGray"/>
          <w:lang w:val="lv-LV"/>
        </w:rPr>
        <w:t>Koncentrāts infūziju šķīduma pagatavošanai</w:t>
      </w:r>
      <w:r>
        <w:rPr>
          <w:lang w:val="lv-LV"/>
        </w:rPr>
        <w:t xml:space="preserve"> </w:t>
      </w:r>
    </w:p>
    <w:p w14:paraId="6FCF5C6E" w14:textId="77777777" w:rsidR="00F47ADA" w:rsidRDefault="00F47ADA" w:rsidP="00F47ADA">
      <w:pPr>
        <w:rPr>
          <w:lang w:val="lv-LV"/>
        </w:rPr>
      </w:pPr>
      <w:r>
        <w:rPr>
          <w:lang w:val="lv-LV"/>
        </w:rPr>
        <w:t xml:space="preserve">80 mg/4 ml </w:t>
      </w:r>
    </w:p>
    <w:p w14:paraId="0119D416" w14:textId="2B16D748" w:rsidR="00F47ADA" w:rsidRDefault="00F47ADA" w:rsidP="00F47ADA">
      <w:pPr>
        <w:tabs>
          <w:tab w:val="left" w:pos="284"/>
          <w:tab w:val="left" w:pos="567"/>
        </w:tabs>
        <w:rPr>
          <w:lang w:val="lv-LV"/>
        </w:rPr>
      </w:pPr>
      <w:r>
        <w:rPr>
          <w:lang w:val="lv-LV"/>
        </w:rPr>
        <w:t>1</w:t>
      </w:r>
      <w:r w:rsidR="009801B9">
        <w:rPr>
          <w:lang w:val="lv-LV"/>
        </w:rPr>
        <w:t> </w:t>
      </w:r>
      <w:r>
        <w:rPr>
          <w:lang w:val="lv-LV"/>
        </w:rPr>
        <w:t>flakons pa 4 ml</w:t>
      </w:r>
    </w:p>
    <w:p w14:paraId="56EA07AA" w14:textId="26929B67" w:rsidR="00F47ADA" w:rsidRDefault="00F47ADA" w:rsidP="00F47ADA">
      <w:pPr>
        <w:rPr>
          <w:lang w:val="lv-LV"/>
        </w:rPr>
      </w:pPr>
      <w:r w:rsidRPr="00707120">
        <w:rPr>
          <w:highlight w:val="lightGray"/>
          <w:lang w:val="lv-LV"/>
        </w:rPr>
        <w:t>4</w:t>
      </w:r>
      <w:r w:rsidR="009801B9">
        <w:rPr>
          <w:highlight w:val="lightGray"/>
          <w:lang w:val="lv-LV"/>
        </w:rPr>
        <w:t> </w:t>
      </w:r>
      <w:r w:rsidRPr="00707120">
        <w:rPr>
          <w:highlight w:val="lightGray"/>
          <w:lang w:val="lv-LV"/>
        </w:rPr>
        <w:t>flakoni pa 4 ml</w:t>
      </w:r>
    </w:p>
    <w:p w14:paraId="6B34DD06" w14:textId="77777777" w:rsidR="00F47ADA" w:rsidRPr="00707120" w:rsidRDefault="00F47ADA" w:rsidP="00F47ADA">
      <w:pPr>
        <w:pStyle w:val="Standard1"/>
        <w:rPr>
          <w:szCs w:val="22"/>
        </w:rPr>
      </w:pPr>
    </w:p>
    <w:p w14:paraId="6610136F" w14:textId="77777777" w:rsidR="00F47ADA" w:rsidRPr="00707120" w:rsidRDefault="00F47ADA" w:rsidP="00F47ADA">
      <w:pPr>
        <w:pStyle w:val="Standard1"/>
        <w:rPr>
          <w:szCs w:val="22"/>
          <w:highlight w:val="lightGray"/>
        </w:rPr>
      </w:pPr>
      <w:r w:rsidRPr="00707120">
        <w:rPr>
          <w:szCs w:val="22"/>
          <w:highlight w:val="lightGray"/>
        </w:rPr>
        <w:t>200 mg/10 ml</w:t>
      </w:r>
    </w:p>
    <w:p w14:paraId="11C664AA" w14:textId="693C8937" w:rsidR="00F47ADA" w:rsidRDefault="00F47ADA" w:rsidP="00F47ADA">
      <w:pPr>
        <w:pStyle w:val="Standard1"/>
        <w:tabs>
          <w:tab w:val="left" w:pos="284"/>
          <w:tab w:val="left" w:pos="567"/>
        </w:tabs>
        <w:rPr>
          <w:szCs w:val="22"/>
          <w:highlight w:val="lightGray"/>
        </w:rPr>
      </w:pPr>
      <w:r>
        <w:rPr>
          <w:szCs w:val="22"/>
          <w:highlight w:val="lightGray"/>
        </w:rPr>
        <w:t>1</w:t>
      </w:r>
      <w:r w:rsidR="009801B9">
        <w:rPr>
          <w:szCs w:val="22"/>
          <w:highlight w:val="lightGray"/>
        </w:rPr>
        <w:t> </w:t>
      </w:r>
      <w:r>
        <w:rPr>
          <w:szCs w:val="22"/>
          <w:highlight w:val="lightGray"/>
        </w:rPr>
        <w:t>flakons pa 10 ml</w:t>
      </w:r>
    </w:p>
    <w:p w14:paraId="03109159" w14:textId="574F3813" w:rsidR="00F47ADA" w:rsidRDefault="00F47ADA" w:rsidP="00F47ADA">
      <w:pPr>
        <w:pStyle w:val="Standard1"/>
        <w:tabs>
          <w:tab w:val="left" w:pos="284"/>
          <w:tab w:val="left" w:pos="567"/>
        </w:tabs>
        <w:rPr>
          <w:szCs w:val="22"/>
          <w:highlight w:val="lightGray"/>
        </w:rPr>
      </w:pPr>
      <w:r>
        <w:rPr>
          <w:szCs w:val="22"/>
          <w:highlight w:val="lightGray"/>
        </w:rPr>
        <w:t>4</w:t>
      </w:r>
      <w:r w:rsidR="009801B9">
        <w:rPr>
          <w:szCs w:val="22"/>
          <w:highlight w:val="lightGray"/>
        </w:rPr>
        <w:t> </w:t>
      </w:r>
      <w:r>
        <w:rPr>
          <w:szCs w:val="22"/>
          <w:highlight w:val="lightGray"/>
        </w:rPr>
        <w:t>flakoni pa 10 ml</w:t>
      </w:r>
    </w:p>
    <w:p w14:paraId="2DA4B0AA" w14:textId="77777777" w:rsidR="00F47ADA" w:rsidRDefault="00F47ADA" w:rsidP="00F47ADA">
      <w:pPr>
        <w:pStyle w:val="Standard1"/>
        <w:rPr>
          <w:szCs w:val="22"/>
          <w:highlight w:val="lightGray"/>
        </w:rPr>
      </w:pPr>
    </w:p>
    <w:p w14:paraId="221A3F7B" w14:textId="77777777" w:rsidR="00F47ADA" w:rsidRPr="00707120" w:rsidRDefault="00F47ADA" w:rsidP="00F47ADA">
      <w:pPr>
        <w:pStyle w:val="Standard1"/>
        <w:rPr>
          <w:szCs w:val="22"/>
          <w:highlight w:val="lightGray"/>
        </w:rPr>
      </w:pPr>
      <w:r w:rsidRPr="00707120">
        <w:rPr>
          <w:szCs w:val="22"/>
          <w:highlight w:val="lightGray"/>
        </w:rPr>
        <w:t>400 mg/20 ml</w:t>
      </w:r>
    </w:p>
    <w:p w14:paraId="6402145E" w14:textId="45AA961D" w:rsidR="00F47ADA" w:rsidRDefault="00F47ADA" w:rsidP="00F47ADA">
      <w:pPr>
        <w:pStyle w:val="Standard1"/>
        <w:tabs>
          <w:tab w:val="left" w:pos="284"/>
          <w:tab w:val="left" w:pos="567"/>
        </w:tabs>
        <w:rPr>
          <w:szCs w:val="22"/>
          <w:highlight w:val="lightGray"/>
        </w:rPr>
      </w:pPr>
      <w:r>
        <w:rPr>
          <w:szCs w:val="22"/>
          <w:highlight w:val="lightGray"/>
        </w:rPr>
        <w:t>1</w:t>
      </w:r>
      <w:r w:rsidR="009801B9">
        <w:rPr>
          <w:szCs w:val="22"/>
          <w:highlight w:val="lightGray"/>
        </w:rPr>
        <w:t> </w:t>
      </w:r>
      <w:r>
        <w:rPr>
          <w:szCs w:val="22"/>
          <w:highlight w:val="lightGray"/>
        </w:rPr>
        <w:t>flakons pa 20 ml</w:t>
      </w:r>
    </w:p>
    <w:p w14:paraId="3ED44D50" w14:textId="35F66AD3" w:rsidR="00F47ADA" w:rsidRDefault="00F47ADA" w:rsidP="00F47ADA">
      <w:pPr>
        <w:pStyle w:val="Standard1"/>
        <w:tabs>
          <w:tab w:val="left" w:pos="284"/>
          <w:tab w:val="left" w:pos="567"/>
        </w:tabs>
        <w:rPr>
          <w:szCs w:val="22"/>
        </w:rPr>
      </w:pPr>
      <w:r>
        <w:rPr>
          <w:szCs w:val="22"/>
          <w:highlight w:val="lightGray"/>
        </w:rPr>
        <w:t>4</w:t>
      </w:r>
      <w:r w:rsidR="009801B9">
        <w:rPr>
          <w:szCs w:val="22"/>
          <w:highlight w:val="lightGray"/>
        </w:rPr>
        <w:t> </w:t>
      </w:r>
      <w:r>
        <w:rPr>
          <w:szCs w:val="22"/>
          <w:highlight w:val="lightGray"/>
        </w:rPr>
        <w:t>flakoni pa 20 m</w:t>
      </w:r>
      <w:r>
        <w:rPr>
          <w:szCs w:val="22"/>
        </w:rPr>
        <w:t>l</w:t>
      </w:r>
    </w:p>
    <w:p w14:paraId="71A6D6DE" w14:textId="77777777" w:rsidR="00F47ADA" w:rsidRDefault="00F47ADA" w:rsidP="00F47ADA">
      <w:pPr>
        <w:rPr>
          <w:lang w:val="lv-LV"/>
        </w:rPr>
      </w:pPr>
    </w:p>
    <w:p w14:paraId="288DF690" w14:textId="77777777" w:rsidR="00F47ADA" w:rsidRDefault="00F47ADA" w:rsidP="00F47ADA">
      <w:pPr>
        <w:rPr>
          <w:lang w:val="lv-LV"/>
        </w:rPr>
      </w:pPr>
    </w:p>
    <w:p w14:paraId="6938CC26" w14:textId="05005F9D" w:rsidR="00F47ADA" w:rsidRDefault="00F47ADA" w:rsidP="00F47ADA">
      <w:pPr>
        <w:pBdr>
          <w:top w:val="single" w:sz="4" w:space="1" w:color="000000"/>
          <w:left w:val="single" w:sz="4" w:space="4" w:color="000000"/>
          <w:bottom w:val="single" w:sz="4" w:space="1" w:color="000000"/>
          <w:right w:val="single" w:sz="4" w:space="4" w:color="000000"/>
        </w:pBdr>
        <w:ind w:left="567" w:hanging="567"/>
        <w:rPr>
          <w:i/>
          <w:lang w:val="lv-LV"/>
        </w:rPr>
      </w:pPr>
      <w:r>
        <w:rPr>
          <w:b/>
          <w:lang w:val="lv-LV"/>
        </w:rPr>
        <w:t>5.</w:t>
      </w:r>
      <w:r>
        <w:rPr>
          <w:b/>
          <w:lang w:val="lv-LV"/>
        </w:rPr>
        <w:tab/>
        <w:t>LIETOŠANAS UN IEVADĪŠANAS VEIDS</w:t>
      </w:r>
      <w:del w:id="1567" w:author="Author">
        <w:r w:rsidDel="00EB3681">
          <w:rPr>
            <w:b/>
            <w:lang w:val="lv-LV"/>
          </w:rPr>
          <w:delText>(-I)</w:delText>
        </w:r>
      </w:del>
    </w:p>
    <w:p w14:paraId="42FCC5D7" w14:textId="77777777" w:rsidR="00F47ADA" w:rsidRDefault="00F47ADA" w:rsidP="00F47ADA">
      <w:pPr>
        <w:rPr>
          <w:i/>
          <w:lang w:val="lv-LV"/>
        </w:rPr>
      </w:pPr>
    </w:p>
    <w:p w14:paraId="763EA27E" w14:textId="77777777" w:rsidR="00F47ADA" w:rsidRDefault="00F47ADA" w:rsidP="00F47ADA">
      <w:pPr>
        <w:tabs>
          <w:tab w:val="left" w:pos="284"/>
          <w:tab w:val="left" w:pos="567"/>
        </w:tabs>
        <w:rPr>
          <w:lang w:val="lv-LV"/>
        </w:rPr>
      </w:pPr>
      <w:r>
        <w:rPr>
          <w:lang w:val="lv-LV"/>
        </w:rPr>
        <w:t>Intravenozai infūzijai pēc atšķaidīšanas</w:t>
      </w:r>
    </w:p>
    <w:p w14:paraId="5BECB05C" w14:textId="77777777" w:rsidR="00F47ADA" w:rsidRDefault="00F47ADA" w:rsidP="00F47ADA">
      <w:pPr>
        <w:rPr>
          <w:lang w:val="lv-LV"/>
        </w:rPr>
      </w:pPr>
      <w:r>
        <w:rPr>
          <w:lang w:val="lv-LV"/>
        </w:rPr>
        <w:t>Pagatavotais šķīdums jālieto nekavējoties</w:t>
      </w:r>
    </w:p>
    <w:p w14:paraId="2236AB8A" w14:textId="77777777" w:rsidR="00F47ADA" w:rsidRDefault="00F47ADA" w:rsidP="00F47ADA">
      <w:pPr>
        <w:rPr>
          <w:lang w:val="lv-LV"/>
        </w:rPr>
      </w:pPr>
      <w:r>
        <w:rPr>
          <w:lang w:val="lv-LV"/>
        </w:rPr>
        <w:t>Pirms lietošanas izlasiet lietošanas instrukciju</w:t>
      </w:r>
    </w:p>
    <w:p w14:paraId="265F991D" w14:textId="77777777" w:rsidR="00F47ADA" w:rsidRDefault="00F47ADA" w:rsidP="00F47ADA">
      <w:pPr>
        <w:rPr>
          <w:lang w:val="lv-LV"/>
        </w:rPr>
      </w:pPr>
    </w:p>
    <w:p w14:paraId="3C81A80E" w14:textId="77777777" w:rsidR="00F47ADA" w:rsidRDefault="00F47ADA" w:rsidP="00F47ADA">
      <w:pPr>
        <w:rPr>
          <w:lang w:val="lv-LV"/>
        </w:rPr>
      </w:pPr>
    </w:p>
    <w:p w14:paraId="5518F59B"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6.</w:t>
      </w:r>
      <w:r>
        <w:rPr>
          <w:b/>
          <w:lang w:val="lv-LV"/>
        </w:rPr>
        <w:tab/>
        <w:t>ĪPAŠI BRĪDINĀJUMI PAR ZĀĻU UZGLABĀŠANU BĒRNIEM NEREDZAMĀ UN NEPIEEJAMĀ VIETĀ</w:t>
      </w:r>
    </w:p>
    <w:p w14:paraId="399310F4" w14:textId="77777777" w:rsidR="00F47ADA" w:rsidRDefault="00F47ADA" w:rsidP="00F47ADA">
      <w:pPr>
        <w:rPr>
          <w:lang w:val="lv-LV"/>
        </w:rPr>
      </w:pPr>
    </w:p>
    <w:p w14:paraId="59FE2BB8" w14:textId="77777777" w:rsidR="00F47ADA" w:rsidRDefault="00F47ADA" w:rsidP="00F47ADA">
      <w:pPr>
        <w:rPr>
          <w:lang w:val="lv-LV"/>
        </w:rPr>
      </w:pPr>
      <w:r>
        <w:rPr>
          <w:lang w:val="lv-LV"/>
        </w:rPr>
        <w:t>Uzglabāt bērniem neredzamā un nepieejamā vietā</w:t>
      </w:r>
    </w:p>
    <w:p w14:paraId="06E00BD6" w14:textId="77777777" w:rsidR="00F47ADA" w:rsidRDefault="00F47ADA" w:rsidP="00F47ADA">
      <w:pPr>
        <w:rPr>
          <w:lang w:val="lv-LV"/>
        </w:rPr>
      </w:pPr>
    </w:p>
    <w:p w14:paraId="5C32C9FC" w14:textId="77777777" w:rsidR="00F47ADA" w:rsidRDefault="00F47ADA" w:rsidP="00F47ADA">
      <w:pPr>
        <w:rPr>
          <w:lang w:val="lv-LV"/>
        </w:rPr>
      </w:pPr>
    </w:p>
    <w:p w14:paraId="237BC00F" w14:textId="77777777" w:rsidR="00F47ADA" w:rsidRDefault="00F47ADA" w:rsidP="00707120">
      <w:pPr>
        <w:keepNext/>
        <w:keepLines/>
        <w:pBdr>
          <w:top w:val="single" w:sz="4" w:space="1" w:color="000000"/>
          <w:left w:val="single" w:sz="4" w:space="4" w:color="000000"/>
          <w:bottom w:val="single" w:sz="4" w:space="1" w:color="000000"/>
          <w:right w:val="single" w:sz="4" w:space="4" w:color="000000"/>
        </w:pBdr>
        <w:ind w:left="567" w:hanging="567"/>
        <w:rPr>
          <w:lang w:val="lv-LV"/>
        </w:rPr>
      </w:pPr>
      <w:r>
        <w:rPr>
          <w:b/>
          <w:lang w:val="lv-LV"/>
        </w:rPr>
        <w:t>7.</w:t>
      </w:r>
      <w:r>
        <w:rPr>
          <w:b/>
          <w:lang w:val="lv-LV"/>
        </w:rPr>
        <w:tab/>
        <w:t>CITI ĪPAŠI BRĪDINĀJUMI, JA NEPIECIEŠAMS</w:t>
      </w:r>
    </w:p>
    <w:p w14:paraId="5D83CE6C" w14:textId="77777777" w:rsidR="00F47ADA" w:rsidRDefault="00F47ADA" w:rsidP="00707120">
      <w:pPr>
        <w:keepNext/>
        <w:keepLines/>
        <w:rPr>
          <w:lang w:val="lv-LV"/>
        </w:rPr>
      </w:pPr>
    </w:p>
    <w:p w14:paraId="2492F04F" w14:textId="77777777" w:rsidR="00F47ADA" w:rsidRDefault="00F47ADA" w:rsidP="00707120">
      <w:pPr>
        <w:keepNext/>
        <w:keepLines/>
        <w:rPr>
          <w:lang w:val="lv-LV"/>
        </w:rPr>
      </w:pPr>
    </w:p>
    <w:p w14:paraId="3419CFD5" w14:textId="77777777" w:rsidR="00F47ADA" w:rsidRDefault="00F47ADA" w:rsidP="00707120">
      <w:pPr>
        <w:keepNext/>
        <w:keepLines/>
        <w:pBdr>
          <w:top w:val="single" w:sz="4" w:space="1" w:color="000000"/>
          <w:left w:val="single" w:sz="4" w:space="4" w:color="000000"/>
          <w:bottom w:val="single" w:sz="4" w:space="1" w:color="000000"/>
          <w:right w:val="single" w:sz="4" w:space="4" w:color="000000"/>
        </w:pBdr>
        <w:ind w:left="567" w:hanging="567"/>
        <w:rPr>
          <w:lang w:val="lv-LV"/>
        </w:rPr>
      </w:pPr>
      <w:r>
        <w:rPr>
          <w:b/>
          <w:lang w:val="lv-LV"/>
        </w:rPr>
        <w:t>8.</w:t>
      </w:r>
      <w:r>
        <w:rPr>
          <w:b/>
          <w:lang w:val="lv-LV"/>
        </w:rPr>
        <w:tab/>
        <w:t>DERĪGUMA TERMIŅŠ</w:t>
      </w:r>
    </w:p>
    <w:p w14:paraId="5D46DCA5" w14:textId="77777777" w:rsidR="00F47ADA" w:rsidRDefault="00F47ADA" w:rsidP="00F47ADA">
      <w:pPr>
        <w:rPr>
          <w:lang w:val="lv-LV"/>
        </w:rPr>
      </w:pPr>
    </w:p>
    <w:p w14:paraId="028B7D9D" w14:textId="00B45B83" w:rsidR="00F47ADA" w:rsidRDefault="00057926" w:rsidP="00F47ADA">
      <w:pPr>
        <w:rPr>
          <w:lang w:val="lv-LV"/>
        </w:rPr>
      </w:pPr>
      <w:r>
        <w:rPr>
          <w:lang w:val="lv-LV"/>
        </w:rPr>
        <w:t>EXP</w:t>
      </w:r>
    </w:p>
    <w:p w14:paraId="3C5E9114" w14:textId="77777777" w:rsidR="00F47ADA" w:rsidRDefault="00F47ADA" w:rsidP="00F47ADA">
      <w:pPr>
        <w:rPr>
          <w:lang w:val="lv-LV"/>
        </w:rPr>
      </w:pPr>
    </w:p>
    <w:p w14:paraId="12F08A15" w14:textId="77777777" w:rsidR="00F47ADA" w:rsidRDefault="00F47ADA" w:rsidP="00F47ADA">
      <w:pPr>
        <w:rPr>
          <w:lang w:val="lv-LV"/>
        </w:rPr>
      </w:pPr>
    </w:p>
    <w:p w14:paraId="30EDFBA1" w14:textId="77777777" w:rsidR="00F47ADA" w:rsidRDefault="00F47ADA" w:rsidP="00F47ADA">
      <w:pPr>
        <w:keepNext/>
        <w:keepLines/>
        <w:pBdr>
          <w:top w:val="single" w:sz="4" w:space="1" w:color="000000"/>
          <w:left w:val="single" w:sz="4" w:space="4" w:color="000000"/>
          <w:bottom w:val="single" w:sz="4" w:space="1" w:color="000000"/>
          <w:right w:val="single" w:sz="4" w:space="4" w:color="000000"/>
        </w:pBdr>
        <w:ind w:left="567" w:hanging="567"/>
        <w:rPr>
          <w:lang w:val="lv-LV"/>
        </w:rPr>
      </w:pPr>
      <w:r>
        <w:rPr>
          <w:b/>
          <w:lang w:val="lv-LV"/>
        </w:rPr>
        <w:t>9.</w:t>
      </w:r>
      <w:r>
        <w:rPr>
          <w:b/>
          <w:lang w:val="lv-LV"/>
        </w:rPr>
        <w:tab/>
        <w:t>ĪPAŠI UZGLABĀŠANAS NOSACĪJUMI</w:t>
      </w:r>
    </w:p>
    <w:p w14:paraId="34DB2B93" w14:textId="77777777" w:rsidR="00F47ADA" w:rsidRDefault="00F47ADA" w:rsidP="00F47ADA">
      <w:pPr>
        <w:keepNext/>
        <w:keepLines/>
        <w:ind w:left="567" w:hanging="567"/>
        <w:rPr>
          <w:lang w:val="lv-LV"/>
        </w:rPr>
      </w:pPr>
    </w:p>
    <w:p w14:paraId="5723894E" w14:textId="77777777" w:rsidR="00F47ADA" w:rsidRDefault="00F47ADA" w:rsidP="00F47ADA">
      <w:pPr>
        <w:keepNext/>
        <w:keepLines/>
        <w:rPr>
          <w:lang w:val="lv-LV"/>
        </w:rPr>
      </w:pPr>
      <w:r>
        <w:rPr>
          <w:lang w:val="lv-LV"/>
        </w:rPr>
        <w:t>Uzglabāt ledusskapī</w:t>
      </w:r>
    </w:p>
    <w:p w14:paraId="09576C8D" w14:textId="77777777" w:rsidR="00F47ADA" w:rsidRDefault="00F47ADA" w:rsidP="00F47ADA">
      <w:pPr>
        <w:keepNext/>
        <w:keepLines/>
        <w:rPr>
          <w:lang w:val="lv-LV"/>
        </w:rPr>
      </w:pPr>
      <w:r>
        <w:rPr>
          <w:lang w:val="lv-LV"/>
        </w:rPr>
        <w:t>Nesasaldēt</w:t>
      </w:r>
    </w:p>
    <w:p w14:paraId="79EC1052" w14:textId="77777777" w:rsidR="00F47ADA" w:rsidRDefault="00F47ADA" w:rsidP="00F47ADA">
      <w:pPr>
        <w:keepNext/>
        <w:keepLines/>
        <w:rPr>
          <w:lang w:val="lv-LV"/>
        </w:rPr>
      </w:pPr>
      <w:r>
        <w:rPr>
          <w:lang w:val="lv-LV"/>
        </w:rPr>
        <w:t>Uzglabāt flakonu ārējā kastītē, lai pasargātu no gaismas</w:t>
      </w:r>
    </w:p>
    <w:p w14:paraId="703B1558" w14:textId="77777777" w:rsidR="00F47ADA" w:rsidRDefault="00F47ADA" w:rsidP="00F47ADA">
      <w:pPr>
        <w:ind w:left="567" w:hanging="567"/>
        <w:rPr>
          <w:lang w:val="lv-LV"/>
        </w:rPr>
      </w:pPr>
    </w:p>
    <w:p w14:paraId="25AEBF0A" w14:textId="77777777" w:rsidR="00F47ADA" w:rsidRDefault="00F47ADA" w:rsidP="00F47ADA">
      <w:pPr>
        <w:ind w:left="567" w:hanging="567"/>
        <w:rPr>
          <w:lang w:val="lv-LV"/>
        </w:rPr>
      </w:pPr>
    </w:p>
    <w:p w14:paraId="3BE3B607"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10.</w:t>
      </w:r>
      <w:r>
        <w:rPr>
          <w:b/>
          <w:lang w:val="lv-LV"/>
        </w:rPr>
        <w:tab/>
        <w:t>ĪPAŠI PIESARDZĪBAS PASĀKUMI, IZNĪCINOT NEIZLIETOTĀS ZĀLES VAI IZMANTOTOS MATERIĀLUS, KAS BIJUŠI SASKARĒ AR ŠĪM ZĀLĒM, JA PIEMĒROJAMS</w:t>
      </w:r>
    </w:p>
    <w:p w14:paraId="29CB0AC1" w14:textId="77777777" w:rsidR="00F47ADA" w:rsidRDefault="00F47ADA" w:rsidP="00F47ADA">
      <w:pPr>
        <w:rPr>
          <w:lang w:val="lv-LV"/>
        </w:rPr>
      </w:pPr>
    </w:p>
    <w:p w14:paraId="6D684A47" w14:textId="77777777" w:rsidR="00F47ADA" w:rsidRDefault="00F47ADA" w:rsidP="00F47ADA">
      <w:pPr>
        <w:rPr>
          <w:lang w:val="lv-LV"/>
        </w:rPr>
      </w:pPr>
    </w:p>
    <w:p w14:paraId="54F68086"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11.</w:t>
      </w:r>
      <w:r>
        <w:rPr>
          <w:b/>
          <w:lang w:val="lv-LV"/>
        </w:rPr>
        <w:tab/>
        <w:t xml:space="preserve">REĢISTRĀCIJAS APLIECĪBAS ĪPAŠNIEKA NOSAUKUMS UN ADRESE </w:t>
      </w:r>
    </w:p>
    <w:p w14:paraId="0FAD82E7" w14:textId="77777777" w:rsidR="00F47ADA" w:rsidRDefault="00F47ADA" w:rsidP="00F47ADA">
      <w:pPr>
        <w:rPr>
          <w:lang w:val="lv-LV"/>
        </w:rPr>
      </w:pPr>
    </w:p>
    <w:p w14:paraId="0E8392D1" w14:textId="77777777" w:rsidR="00F47ADA" w:rsidRPr="00F1131A" w:rsidRDefault="00F47ADA" w:rsidP="00F47ADA">
      <w:pPr>
        <w:rPr>
          <w:lang w:val="lv-LV"/>
        </w:rPr>
      </w:pPr>
      <w:r w:rsidRPr="00F1131A">
        <w:rPr>
          <w:lang w:val="lv-LV"/>
        </w:rPr>
        <w:t xml:space="preserve">Roche Registration GmbH </w:t>
      </w:r>
    </w:p>
    <w:p w14:paraId="68A4068F" w14:textId="77777777" w:rsidR="00F47ADA" w:rsidRPr="00F1131A" w:rsidRDefault="00F47ADA" w:rsidP="00F47ADA">
      <w:pPr>
        <w:rPr>
          <w:lang w:val="lv-LV"/>
        </w:rPr>
      </w:pPr>
      <w:r w:rsidRPr="00F1131A">
        <w:rPr>
          <w:lang w:val="lv-LV"/>
        </w:rPr>
        <w:t>Emil-Barell-Strasse 1</w:t>
      </w:r>
    </w:p>
    <w:p w14:paraId="779C8359" w14:textId="77777777" w:rsidR="00F47ADA" w:rsidRPr="00F1131A" w:rsidRDefault="00F47ADA" w:rsidP="00F47ADA">
      <w:pPr>
        <w:rPr>
          <w:lang w:val="lv-LV"/>
        </w:rPr>
      </w:pPr>
      <w:r w:rsidRPr="00F1131A">
        <w:rPr>
          <w:lang w:val="lv-LV"/>
        </w:rPr>
        <w:t>79639 Grenzach-Wyhlen</w:t>
      </w:r>
    </w:p>
    <w:p w14:paraId="4A67E0A5" w14:textId="77777777" w:rsidR="00F47ADA" w:rsidRDefault="00F47ADA" w:rsidP="00F47ADA">
      <w:pPr>
        <w:rPr>
          <w:lang w:val="lv-LV"/>
        </w:rPr>
      </w:pPr>
      <w:r>
        <w:rPr>
          <w:lang w:val="lv-LV"/>
        </w:rPr>
        <w:t>Vācija</w:t>
      </w:r>
    </w:p>
    <w:p w14:paraId="0E2208C4" w14:textId="77777777" w:rsidR="00F47ADA" w:rsidRDefault="00F47ADA" w:rsidP="00F47ADA">
      <w:pPr>
        <w:rPr>
          <w:lang w:val="lv-LV"/>
        </w:rPr>
      </w:pPr>
    </w:p>
    <w:p w14:paraId="4AB6ED1E" w14:textId="77777777" w:rsidR="00F47ADA" w:rsidRDefault="00F47ADA" w:rsidP="00F47ADA">
      <w:pPr>
        <w:rPr>
          <w:lang w:val="lv-LV"/>
        </w:rPr>
      </w:pPr>
    </w:p>
    <w:p w14:paraId="66B36E4A" w14:textId="22276258"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12.</w:t>
      </w:r>
      <w:r>
        <w:rPr>
          <w:b/>
          <w:lang w:val="lv-LV"/>
        </w:rPr>
        <w:tab/>
        <w:t xml:space="preserve">REĢISTRĀCIJAS APLIECĪBAS NUMURS(-I) </w:t>
      </w:r>
    </w:p>
    <w:p w14:paraId="0C9AF749" w14:textId="77777777" w:rsidR="00F47ADA" w:rsidRDefault="00F47ADA" w:rsidP="00F47ADA">
      <w:pPr>
        <w:rPr>
          <w:lang w:val="lv-LV"/>
        </w:rPr>
      </w:pPr>
    </w:p>
    <w:p w14:paraId="300D5C4D" w14:textId="77777777" w:rsidR="00F47ADA" w:rsidRPr="00E1075D" w:rsidRDefault="00F47ADA" w:rsidP="00F47ADA">
      <w:pPr>
        <w:rPr>
          <w:lang w:val="lv-LV"/>
        </w:rPr>
      </w:pPr>
      <w:r w:rsidRPr="00E1075D">
        <w:rPr>
          <w:lang w:val="lv-LV"/>
        </w:rPr>
        <w:t>EU/1/08/492/001</w:t>
      </w:r>
      <w:r>
        <w:rPr>
          <w:lang w:val="lv-LV"/>
        </w:rPr>
        <w:t xml:space="preserve"> </w:t>
      </w:r>
      <w:r w:rsidRPr="00707120">
        <w:rPr>
          <w:highlight w:val="lightGray"/>
          <w:lang w:val="lv-LV"/>
        </w:rPr>
        <w:t>1 flakons pa 4 ml</w:t>
      </w:r>
    </w:p>
    <w:p w14:paraId="0B9AB2F8" w14:textId="77777777" w:rsidR="00F47ADA" w:rsidRDefault="00F47ADA" w:rsidP="00F47ADA">
      <w:pPr>
        <w:rPr>
          <w:lang w:val="lv-LV"/>
        </w:rPr>
      </w:pPr>
      <w:r w:rsidRPr="00707120">
        <w:rPr>
          <w:highlight w:val="lightGray"/>
          <w:lang w:val="lv-LV"/>
        </w:rPr>
        <w:t>EU/1/08/492/002 4 flakoni pa 4 ml</w:t>
      </w:r>
    </w:p>
    <w:p w14:paraId="48D08206" w14:textId="12201D0F" w:rsidR="00F47ADA" w:rsidRDefault="00F47ADA" w:rsidP="00F47ADA">
      <w:pPr>
        <w:pStyle w:val="Standard1"/>
        <w:tabs>
          <w:tab w:val="left" w:pos="284"/>
          <w:tab w:val="left" w:pos="567"/>
        </w:tabs>
        <w:rPr>
          <w:szCs w:val="22"/>
          <w:highlight w:val="lightGray"/>
        </w:rPr>
      </w:pPr>
      <w:r w:rsidRPr="00707120">
        <w:rPr>
          <w:szCs w:val="22"/>
          <w:highlight w:val="lightGray"/>
          <w:lang w:val="es-ES"/>
        </w:rPr>
        <w:t xml:space="preserve">EU/1/08/492/003 </w:t>
      </w:r>
      <w:r>
        <w:rPr>
          <w:szCs w:val="22"/>
          <w:highlight w:val="lightGray"/>
        </w:rPr>
        <w:t>1</w:t>
      </w:r>
      <w:r w:rsidR="00A203E4">
        <w:rPr>
          <w:szCs w:val="22"/>
          <w:highlight w:val="lightGray"/>
        </w:rPr>
        <w:t> </w:t>
      </w:r>
      <w:r>
        <w:rPr>
          <w:szCs w:val="22"/>
          <w:highlight w:val="lightGray"/>
        </w:rPr>
        <w:t>flakons pa 10 ml</w:t>
      </w:r>
    </w:p>
    <w:p w14:paraId="02190749" w14:textId="275B20DC" w:rsidR="00F47ADA" w:rsidRPr="00707120" w:rsidRDefault="00F47ADA" w:rsidP="00F47ADA">
      <w:pPr>
        <w:pStyle w:val="Standard1"/>
        <w:tabs>
          <w:tab w:val="left" w:pos="284"/>
          <w:tab w:val="left" w:pos="567"/>
        </w:tabs>
        <w:rPr>
          <w:szCs w:val="22"/>
          <w:lang w:val="es-ES"/>
        </w:rPr>
      </w:pPr>
      <w:r w:rsidRPr="00707120">
        <w:rPr>
          <w:szCs w:val="22"/>
          <w:highlight w:val="lightGray"/>
          <w:lang w:val="es-ES"/>
        </w:rPr>
        <w:t>EU/1/08/492/004 4</w:t>
      </w:r>
      <w:r w:rsidR="00A203E4" w:rsidRPr="00707120">
        <w:rPr>
          <w:szCs w:val="22"/>
          <w:highlight w:val="lightGray"/>
          <w:lang w:val="pt-PT"/>
        </w:rPr>
        <w:t> </w:t>
      </w:r>
      <w:r w:rsidRPr="00707120">
        <w:rPr>
          <w:szCs w:val="22"/>
          <w:highlight w:val="lightGray"/>
          <w:lang w:val="es-ES"/>
        </w:rPr>
        <w:t xml:space="preserve">flakoni </w:t>
      </w:r>
      <w:r w:rsidRPr="00707120">
        <w:rPr>
          <w:szCs w:val="22"/>
          <w:highlight w:val="lightGray"/>
          <w:lang w:val="pt-PT"/>
        </w:rPr>
        <w:t>pa</w:t>
      </w:r>
      <w:r w:rsidRPr="00707120">
        <w:rPr>
          <w:szCs w:val="22"/>
          <w:highlight w:val="lightGray"/>
          <w:lang w:val="es-ES"/>
        </w:rPr>
        <w:t xml:space="preserve"> 10 m</w:t>
      </w:r>
      <w:r w:rsidRPr="00707120">
        <w:rPr>
          <w:szCs w:val="22"/>
          <w:lang w:val="pt-PT"/>
        </w:rPr>
        <w:t>l</w:t>
      </w:r>
    </w:p>
    <w:p w14:paraId="15392C9A" w14:textId="00328593" w:rsidR="00F47ADA" w:rsidRDefault="00F47ADA" w:rsidP="00F47ADA">
      <w:pPr>
        <w:pStyle w:val="Standard1"/>
        <w:rPr>
          <w:szCs w:val="22"/>
          <w:highlight w:val="lightGray"/>
        </w:rPr>
      </w:pPr>
      <w:r w:rsidRPr="00707120">
        <w:rPr>
          <w:szCs w:val="22"/>
          <w:highlight w:val="lightGray"/>
          <w:lang w:val="es-ES"/>
        </w:rPr>
        <w:t>EU/1/08/492/00</w:t>
      </w:r>
      <w:r>
        <w:rPr>
          <w:szCs w:val="22"/>
          <w:highlight w:val="lightGray"/>
        </w:rPr>
        <w:t>5 1</w:t>
      </w:r>
      <w:r w:rsidR="00A203E4">
        <w:rPr>
          <w:szCs w:val="22"/>
          <w:highlight w:val="lightGray"/>
        </w:rPr>
        <w:t> </w:t>
      </w:r>
      <w:r>
        <w:rPr>
          <w:szCs w:val="22"/>
          <w:highlight w:val="lightGray"/>
        </w:rPr>
        <w:t>flakons pa 20 ml</w:t>
      </w:r>
    </w:p>
    <w:p w14:paraId="4D70C273" w14:textId="5C70597E" w:rsidR="00F47ADA" w:rsidRPr="00707120" w:rsidRDefault="00F47ADA" w:rsidP="00F47ADA">
      <w:pPr>
        <w:pStyle w:val="Standard1"/>
        <w:rPr>
          <w:szCs w:val="22"/>
          <w:lang w:val="es-ES"/>
        </w:rPr>
      </w:pPr>
      <w:r w:rsidRPr="00707120">
        <w:rPr>
          <w:szCs w:val="22"/>
          <w:highlight w:val="lightGray"/>
          <w:lang w:val="es-ES"/>
        </w:rPr>
        <w:t xml:space="preserve">EU/1/08/492/006 </w:t>
      </w:r>
      <w:r>
        <w:rPr>
          <w:szCs w:val="22"/>
          <w:highlight w:val="lightGray"/>
        </w:rPr>
        <w:t>4</w:t>
      </w:r>
      <w:r w:rsidR="00A203E4">
        <w:rPr>
          <w:szCs w:val="22"/>
          <w:highlight w:val="lightGray"/>
        </w:rPr>
        <w:t> </w:t>
      </w:r>
      <w:r>
        <w:rPr>
          <w:szCs w:val="22"/>
          <w:highlight w:val="lightGray"/>
        </w:rPr>
        <w:t>flakoni pa 20 m</w:t>
      </w:r>
      <w:r>
        <w:rPr>
          <w:szCs w:val="22"/>
        </w:rPr>
        <w:t>l</w:t>
      </w:r>
    </w:p>
    <w:p w14:paraId="79E09096" w14:textId="77777777" w:rsidR="00F47ADA" w:rsidRPr="00A203E4" w:rsidRDefault="00F47ADA" w:rsidP="00F47ADA">
      <w:pPr>
        <w:rPr>
          <w:lang w:val="lv-LV"/>
        </w:rPr>
      </w:pPr>
    </w:p>
    <w:p w14:paraId="3717D064" w14:textId="77777777" w:rsidR="00F47ADA" w:rsidRDefault="00F47ADA" w:rsidP="00F47ADA">
      <w:pPr>
        <w:rPr>
          <w:lang w:val="lv-LV"/>
        </w:rPr>
      </w:pPr>
    </w:p>
    <w:p w14:paraId="27A25695"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13.</w:t>
      </w:r>
      <w:r>
        <w:rPr>
          <w:b/>
          <w:lang w:val="lv-LV"/>
        </w:rPr>
        <w:tab/>
        <w:t>SĒRIJAS NUMURS</w:t>
      </w:r>
    </w:p>
    <w:p w14:paraId="19E06C32" w14:textId="77777777" w:rsidR="00F47ADA" w:rsidRDefault="00F47ADA" w:rsidP="00F47ADA">
      <w:pPr>
        <w:rPr>
          <w:lang w:val="lv-LV"/>
        </w:rPr>
      </w:pPr>
    </w:p>
    <w:p w14:paraId="51A37A60" w14:textId="5BF494D2" w:rsidR="00F47ADA" w:rsidRDefault="00F47ADA" w:rsidP="00F47ADA">
      <w:pPr>
        <w:rPr>
          <w:lang w:val="lv-LV"/>
        </w:rPr>
      </w:pPr>
      <w:r>
        <w:rPr>
          <w:lang w:val="lv-LV"/>
        </w:rPr>
        <w:t>Lot</w:t>
      </w:r>
    </w:p>
    <w:p w14:paraId="079AA845" w14:textId="77777777" w:rsidR="00F47ADA" w:rsidRDefault="00F47ADA" w:rsidP="00F47ADA">
      <w:pPr>
        <w:rPr>
          <w:lang w:val="lv-LV"/>
        </w:rPr>
      </w:pPr>
    </w:p>
    <w:p w14:paraId="5336080D" w14:textId="77777777" w:rsidR="00F47ADA" w:rsidRDefault="00F47ADA" w:rsidP="00F47ADA">
      <w:pPr>
        <w:rPr>
          <w:lang w:val="lv-LV"/>
        </w:rPr>
      </w:pPr>
    </w:p>
    <w:p w14:paraId="5ADFC246"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14.</w:t>
      </w:r>
      <w:r>
        <w:rPr>
          <w:b/>
          <w:lang w:val="lv-LV"/>
        </w:rPr>
        <w:tab/>
        <w:t>IZSNIEGŠANAS KĀRTĪBA</w:t>
      </w:r>
    </w:p>
    <w:p w14:paraId="552CD251" w14:textId="77777777" w:rsidR="00F47ADA" w:rsidRDefault="00F47ADA" w:rsidP="00F47ADA">
      <w:pPr>
        <w:rPr>
          <w:lang w:val="lv-LV"/>
        </w:rPr>
      </w:pPr>
    </w:p>
    <w:p w14:paraId="69969CC9" w14:textId="77777777" w:rsidR="00F47ADA" w:rsidRDefault="00F47ADA" w:rsidP="00F47ADA">
      <w:pPr>
        <w:rPr>
          <w:lang w:val="lv-LV"/>
        </w:rPr>
      </w:pPr>
    </w:p>
    <w:p w14:paraId="5209B232"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15.</w:t>
      </w:r>
      <w:r>
        <w:rPr>
          <w:b/>
          <w:lang w:val="lv-LV"/>
        </w:rPr>
        <w:tab/>
        <w:t>NORĀDĪJUMI PAR LIETOŠANU</w:t>
      </w:r>
    </w:p>
    <w:p w14:paraId="59060693" w14:textId="77777777" w:rsidR="00F47ADA" w:rsidRDefault="00F47ADA" w:rsidP="00F47ADA">
      <w:pPr>
        <w:rPr>
          <w:lang w:val="lv-LV"/>
        </w:rPr>
      </w:pPr>
    </w:p>
    <w:p w14:paraId="57370A25" w14:textId="77777777" w:rsidR="00F47ADA" w:rsidRDefault="00F47ADA" w:rsidP="00F47ADA">
      <w:pPr>
        <w:rPr>
          <w:lang w:val="lv-LV"/>
        </w:rPr>
      </w:pPr>
    </w:p>
    <w:p w14:paraId="758D17FD"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16.</w:t>
      </w:r>
      <w:r>
        <w:rPr>
          <w:b/>
          <w:lang w:val="lv-LV"/>
        </w:rPr>
        <w:tab/>
        <w:t>INFORMĀCIJA BRAILA RAKSTĀ</w:t>
      </w:r>
    </w:p>
    <w:p w14:paraId="40DE29FD" w14:textId="77777777" w:rsidR="00F47ADA" w:rsidRDefault="00F47ADA" w:rsidP="00F47ADA">
      <w:pPr>
        <w:rPr>
          <w:lang w:val="lv-LV"/>
        </w:rPr>
      </w:pPr>
    </w:p>
    <w:p w14:paraId="25FDAA1A" w14:textId="77777777" w:rsidR="00F47ADA" w:rsidRDefault="00F47ADA" w:rsidP="00F47ADA">
      <w:pPr>
        <w:rPr>
          <w:lang w:val="lv-LV"/>
        </w:rPr>
      </w:pPr>
      <w:r w:rsidRPr="00707120">
        <w:rPr>
          <w:highlight w:val="lightGray"/>
          <w:lang w:val="lv-LV"/>
        </w:rPr>
        <w:t>Pamatojums Braila raksta nepiemērošanai ir apstiprināts</w:t>
      </w:r>
    </w:p>
    <w:p w14:paraId="0F735D19" w14:textId="77777777" w:rsidR="00F47ADA" w:rsidRDefault="00F47ADA" w:rsidP="00F47ADA">
      <w:pPr>
        <w:rPr>
          <w:lang w:val="lv-LV"/>
        </w:rPr>
      </w:pPr>
    </w:p>
    <w:p w14:paraId="57C73DA8" w14:textId="77777777" w:rsidR="00F47ADA" w:rsidRDefault="00F47ADA" w:rsidP="00F47ADA">
      <w:pPr>
        <w:rPr>
          <w:lang w:val="lv-LV"/>
        </w:rPr>
      </w:pPr>
    </w:p>
    <w:p w14:paraId="11952B01" w14:textId="77777777" w:rsidR="00F47ADA" w:rsidRPr="00A34D5C" w:rsidRDefault="00F47ADA" w:rsidP="00F47ADA">
      <w:pPr>
        <w:keepNext/>
        <w:pBdr>
          <w:top w:val="single" w:sz="4" w:space="1" w:color="auto"/>
          <w:left w:val="single" w:sz="4" w:space="4" w:color="auto"/>
          <w:bottom w:val="single" w:sz="4" w:space="1" w:color="auto"/>
          <w:right w:val="single" w:sz="4" w:space="4" w:color="auto"/>
        </w:pBdr>
        <w:tabs>
          <w:tab w:val="left" w:pos="567"/>
        </w:tabs>
        <w:suppressAutoHyphens w:val="0"/>
        <w:outlineLvl w:val="0"/>
        <w:rPr>
          <w:i/>
          <w:noProof/>
          <w:lang w:val="lv-LV" w:eastAsia="lv-LV" w:bidi="lv-LV"/>
        </w:rPr>
      </w:pPr>
      <w:r w:rsidRPr="00A34D5C">
        <w:rPr>
          <w:b/>
          <w:noProof/>
          <w:lang w:val="lv-LV" w:eastAsia="lv-LV" w:bidi="lv-LV"/>
        </w:rPr>
        <w:t>17.</w:t>
      </w:r>
      <w:r w:rsidRPr="00A34D5C">
        <w:rPr>
          <w:b/>
          <w:noProof/>
          <w:lang w:val="lv-LV" w:eastAsia="lv-LV" w:bidi="lv-LV"/>
        </w:rPr>
        <w:tab/>
        <w:t>UNIKĀLS IDENTIFIKATORS – 2D SVĪTRKODS</w:t>
      </w:r>
    </w:p>
    <w:p w14:paraId="229F7818" w14:textId="77777777" w:rsidR="00F47ADA" w:rsidRPr="00A34D5C" w:rsidRDefault="00F47ADA" w:rsidP="00F47ADA">
      <w:pPr>
        <w:suppressAutoHyphens w:val="0"/>
        <w:rPr>
          <w:noProof/>
          <w:lang w:val="lv-LV" w:eastAsia="lv-LV" w:bidi="lv-LV"/>
        </w:rPr>
      </w:pPr>
    </w:p>
    <w:p w14:paraId="5ACEE312" w14:textId="77777777" w:rsidR="00F47ADA" w:rsidRPr="00A34D5C" w:rsidRDefault="00F47ADA" w:rsidP="00F47ADA">
      <w:pPr>
        <w:suppressAutoHyphens w:val="0"/>
        <w:rPr>
          <w:noProof/>
          <w:szCs w:val="22"/>
          <w:shd w:val="clear" w:color="auto" w:fill="CCCCCC"/>
          <w:lang w:val="lv-LV" w:eastAsia="lv-LV" w:bidi="lv-LV"/>
        </w:rPr>
      </w:pPr>
      <w:r w:rsidRPr="00A34D5C">
        <w:rPr>
          <w:noProof/>
          <w:highlight w:val="lightGray"/>
          <w:lang w:val="lv-LV" w:eastAsia="lv-LV" w:bidi="lv-LV"/>
        </w:rPr>
        <w:t>2D svītrkods, kurā i</w:t>
      </w:r>
      <w:r>
        <w:rPr>
          <w:noProof/>
          <w:highlight w:val="lightGray"/>
          <w:lang w:val="lv-LV" w:eastAsia="lv-LV" w:bidi="lv-LV"/>
        </w:rPr>
        <w:t>ekļauts unikāls identifikators.</w:t>
      </w:r>
    </w:p>
    <w:p w14:paraId="4DEA05C6" w14:textId="77777777" w:rsidR="00F47ADA" w:rsidRPr="00A34D5C" w:rsidRDefault="00F47ADA" w:rsidP="00F47ADA">
      <w:pPr>
        <w:suppressAutoHyphens w:val="0"/>
        <w:rPr>
          <w:noProof/>
          <w:szCs w:val="22"/>
          <w:shd w:val="clear" w:color="auto" w:fill="CCCCCC"/>
          <w:lang w:val="lv-LV" w:eastAsia="lv-LV" w:bidi="lv-LV"/>
        </w:rPr>
      </w:pPr>
    </w:p>
    <w:p w14:paraId="25EC6DC6" w14:textId="77777777" w:rsidR="00F47ADA" w:rsidRPr="00A34D5C" w:rsidRDefault="00F47ADA" w:rsidP="00F47ADA">
      <w:pPr>
        <w:suppressAutoHyphens w:val="0"/>
        <w:rPr>
          <w:noProof/>
          <w:lang w:val="lv-LV" w:eastAsia="lv-LV" w:bidi="lv-LV"/>
        </w:rPr>
      </w:pPr>
    </w:p>
    <w:p w14:paraId="7A3C0D88" w14:textId="77777777" w:rsidR="00F47ADA" w:rsidRPr="00A34D5C" w:rsidRDefault="00F47ADA" w:rsidP="00F47ADA">
      <w:pPr>
        <w:keepNext/>
        <w:keepLines/>
        <w:pBdr>
          <w:top w:val="single" w:sz="4" w:space="1" w:color="auto"/>
          <w:left w:val="single" w:sz="4" w:space="4" w:color="auto"/>
          <w:bottom w:val="single" w:sz="4" w:space="1" w:color="auto"/>
          <w:right w:val="single" w:sz="4" w:space="4" w:color="auto"/>
        </w:pBdr>
        <w:tabs>
          <w:tab w:val="left" w:pos="567"/>
        </w:tabs>
        <w:suppressAutoHyphens w:val="0"/>
        <w:outlineLvl w:val="0"/>
        <w:rPr>
          <w:i/>
          <w:noProof/>
          <w:lang w:val="lv-LV" w:eastAsia="lv-LV" w:bidi="lv-LV"/>
        </w:rPr>
      </w:pPr>
      <w:r w:rsidRPr="00A34D5C">
        <w:rPr>
          <w:b/>
          <w:noProof/>
          <w:lang w:val="lv-LV" w:eastAsia="lv-LV" w:bidi="lv-LV"/>
        </w:rPr>
        <w:t>18.</w:t>
      </w:r>
      <w:r w:rsidRPr="00A34D5C">
        <w:rPr>
          <w:b/>
          <w:noProof/>
          <w:lang w:val="lv-LV" w:eastAsia="lv-LV" w:bidi="lv-LV"/>
        </w:rPr>
        <w:tab/>
        <w:t>UNIKĀLS IDENTIFIKATORS – DATI, KURUS VAR NOLASĪT PERSONA</w:t>
      </w:r>
    </w:p>
    <w:p w14:paraId="6CE01AFB" w14:textId="77777777" w:rsidR="00F47ADA" w:rsidRPr="00A34D5C" w:rsidRDefault="00F47ADA" w:rsidP="00F47ADA">
      <w:pPr>
        <w:keepNext/>
        <w:keepLines/>
        <w:suppressAutoHyphens w:val="0"/>
        <w:rPr>
          <w:noProof/>
          <w:lang w:val="lv-LV" w:eastAsia="lv-LV" w:bidi="lv-LV"/>
        </w:rPr>
      </w:pPr>
    </w:p>
    <w:p w14:paraId="6C7803B2" w14:textId="77777777" w:rsidR="00F47ADA" w:rsidRPr="00707120" w:rsidRDefault="00F47ADA" w:rsidP="00F47ADA">
      <w:pPr>
        <w:keepNext/>
        <w:keepLines/>
        <w:suppressAutoHyphens w:val="0"/>
        <w:rPr>
          <w:szCs w:val="22"/>
          <w:lang w:val="lv-LV" w:eastAsia="lv-LV" w:bidi="lv-LV"/>
        </w:rPr>
      </w:pPr>
      <w:r w:rsidRPr="00A203E4">
        <w:rPr>
          <w:lang w:val="lv-LV" w:eastAsia="lv-LV" w:bidi="lv-LV"/>
        </w:rPr>
        <w:t xml:space="preserve">PC </w:t>
      </w:r>
    </w:p>
    <w:p w14:paraId="5332AEE3" w14:textId="77777777" w:rsidR="00F47ADA" w:rsidRPr="00A34D5C" w:rsidRDefault="00F47ADA" w:rsidP="00F47ADA">
      <w:pPr>
        <w:keepNext/>
        <w:keepLines/>
        <w:suppressAutoHyphens w:val="0"/>
        <w:rPr>
          <w:szCs w:val="22"/>
          <w:lang w:val="lv-LV" w:eastAsia="lv-LV" w:bidi="lv-LV"/>
        </w:rPr>
      </w:pPr>
      <w:r w:rsidRPr="00A34D5C">
        <w:rPr>
          <w:lang w:val="lv-LV" w:eastAsia="lv-LV" w:bidi="lv-LV"/>
        </w:rPr>
        <w:t xml:space="preserve">SN </w:t>
      </w:r>
    </w:p>
    <w:p w14:paraId="5A6C119B" w14:textId="77777777" w:rsidR="00F47ADA" w:rsidRPr="00A34D5C" w:rsidRDefault="00F47ADA" w:rsidP="00F47ADA">
      <w:pPr>
        <w:keepNext/>
        <w:keepLines/>
        <w:suppressAutoHyphens w:val="0"/>
        <w:rPr>
          <w:szCs w:val="22"/>
          <w:lang w:val="lv-LV" w:eastAsia="ja-JP"/>
        </w:rPr>
      </w:pPr>
      <w:r w:rsidRPr="00A34D5C">
        <w:rPr>
          <w:lang w:val="lv-LV" w:eastAsia="lv-LV" w:bidi="lv-LV"/>
        </w:rPr>
        <w:t xml:space="preserve">NN </w:t>
      </w:r>
    </w:p>
    <w:p w14:paraId="7EEC4AA9" w14:textId="77777777" w:rsidR="00F47ADA" w:rsidRPr="00707120" w:rsidRDefault="00F47ADA" w:rsidP="00F47ADA">
      <w:pPr>
        <w:rPr>
          <w:szCs w:val="22"/>
          <w:lang w:val="lv-LV"/>
        </w:rPr>
      </w:pPr>
      <w:r w:rsidRPr="00707120">
        <w:rPr>
          <w:szCs w:val="22"/>
          <w:lang w:val="lv-LV"/>
        </w:rPr>
        <w:br w:type="page"/>
      </w:r>
    </w:p>
    <w:p w14:paraId="49F9300D" w14:textId="77777777" w:rsidR="00F47ADA" w:rsidRPr="00707120" w:rsidRDefault="00F47ADA" w:rsidP="00F47ADA">
      <w:pPr>
        <w:pStyle w:val="Heading1"/>
        <w:pBdr>
          <w:top w:val="single" w:sz="4" w:space="1" w:color="auto"/>
          <w:left w:val="single" w:sz="4" w:space="4" w:color="auto"/>
          <w:bottom w:val="single" w:sz="4" w:space="1" w:color="auto"/>
          <w:right w:val="single" w:sz="4" w:space="4" w:color="auto"/>
        </w:pBdr>
        <w:rPr>
          <w:lang w:val="lv-LV"/>
        </w:rPr>
      </w:pPr>
      <w:r w:rsidRPr="006D7FDE">
        <w:rPr>
          <w:lang w:val="lv-LV"/>
        </w:rPr>
        <w:t>MINIMĀLĀ INFORMĀCIJA, KAS JĀNORĀDA UZ MAZA IZMĒRA TIEŠĀ IEPAKOJUMA</w:t>
      </w:r>
    </w:p>
    <w:p w14:paraId="77B549E5" w14:textId="77777777" w:rsidR="00F47ADA" w:rsidRPr="00707120" w:rsidRDefault="00F47ADA" w:rsidP="00F47ADA">
      <w:pPr>
        <w:pStyle w:val="Standard1"/>
        <w:pBdr>
          <w:top w:val="single" w:sz="4" w:space="1" w:color="auto"/>
          <w:left w:val="single" w:sz="4" w:space="4" w:color="auto"/>
          <w:bottom w:val="single" w:sz="4" w:space="1" w:color="auto"/>
          <w:right w:val="single" w:sz="4" w:space="4" w:color="auto"/>
        </w:pBdr>
      </w:pPr>
    </w:p>
    <w:p w14:paraId="00E0DAF8" w14:textId="77777777" w:rsidR="00F47ADA" w:rsidRPr="00707120" w:rsidRDefault="00F47ADA" w:rsidP="00F47ADA">
      <w:pPr>
        <w:pStyle w:val="Standard1"/>
        <w:pBdr>
          <w:top w:val="single" w:sz="4" w:space="1" w:color="auto"/>
          <w:left w:val="single" w:sz="4" w:space="4" w:color="auto"/>
          <w:bottom w:val="single" w:sz="4" w:space="1" w:color="auto"/>
          <w:right w:val="single" w:sz="4" w:space="4" w:color="auto"/>
        </w:pBdr>
        <w:rPr>
          <w:b/>
          <w:bCs/>
        </w:rPr>
      </w:pPr>
      <w:r w:rsidRPr="00707120">
        <w:rPr>
          <w:b/>
          <w:bCs/>
        </w:rPr>
        <w:t>FLAKONS</w:t>
      </w:r>
    </w:p>
    <w:p w14:paraId="4D3D0A79" w14:textId="77777777" w:rsidR="00F47ADA" w:rsidRPr="00707120" w:rsidRDefault="00F47ADA" w:rsidP="00F47ADA">
      <w:pPr>
        <w:pStyle w:val="Standard1"/>
        <w:rPr>
          <w:szCs w:val="22"/>
        </w:rPr>
      </w:pPr>
    </w:p>
    <w:p w14:paraId="39C7AE82" w14:textId="77777777" w:rsidR="00F47ADA" w:rsidRPr="00707120" w:rsidRDefault="00F47ADA" w:rsidP="00F47ADA">
      <w:pPr>
        <w:pStyle w:val="Standard1"/>
        <w:rPr>
          <w:szCs w:val="22"/>
        </w:rPr>
      </w:pPr>
    </w:p>
    <w:p w14:paraId="3C7E7B68" w14:textId="77777777" w:rsidR="00F47ADA" w:rsidRPr="00707120" w:rsidRDefault="00F47ADA" w:rsidP="00F47ADA">
      <w:pPr>
        <w:pStyle w:val="Standard1"/>
        <w:pBdr>
          <w:top w:val="single" w:sz="4" w:space="1" w:color="auto"/>
          <w:left w:val="single" w:sz="4" w:space="4" w:color="auto"/>
          <w:bottom w:val="single" w:sz="4" w:space="1" w:color="auto"/>
          <w:right w:val="single" w:sz="4" w:space="4" w:color="auto"/>
        </w:pBdr>
        <w:ind w:left="567" w:hanging="567"/>
        <w:outlineLvl w:val="0"/>
        <w:rPr>
          <w:b/>
          <w:szCs w:val="22"/>
          <w:lang w:val="es-ES"/>
        </w:rPr>
      </w:pPr>
      <w:r w:rsidRPr="00707120">
        <w:rPr>
          <w:b/>
          <w:szCs w:val="22"/>
          <w:lang w:val="es-ES"/>
        </w:rPr>
        <w:t>1.</w:t>
      </w:r>
      <w:r w:rsidRPr="00707120">
        <w:rPr>
          <w:b/>
          <w:szCs w:val="22"/>
          <w:lang w:val="es-ES"/>
        </w:rPr>
        <w:tab/>
      </w:r>
      <w:r w:rsidRPr="006D7FDE">
        <w:rPr>
          <w:b/>
        </w:rPr>
        <w:t>ZĀĻU NOSAUKUMS UN IEVADĪŠANAS VEIDS</w:t>
      </w:r>
      <w:del w:id="1568" w:author="Author">
        <w:r w:rsidRPr="006D7FDE" w:rsidDel="00A33658">
          <w:delText>(-I)</w:delText>
        </w:r>
      </w:del>
    </w:p>
    <w:p w14:paraId="5B5117E0" w14:textId="77777777" w:rsidR="00F47ADA" w:rsidRPr="00707120" w:rsidRDefault="00F47ADA" w:rsidP="00F47ADA">
      <w:pPr>
        <w:pStyle w:val="Standard1"/>
        <w:ind w:left="567" w:hanging="567"/>
        <w:rPr>
          <w:szCs w:val="22"/>
          <w:lang w:val="es-ES"/>
        </w:rPr>
      </w:pPr>
    </w:p>
    <w:p w14:paraId="510DD712" w14:textId="77777777" w:rsidR="00F47ADA" w:rsidRPr="007607D6" w:rsidRDefault="00F47ADA" w:rsidP="00F47ADA">
      <w:pPr>
        <w:pStyle w:val="Standard1"/>
        <w:rPr>
          <w:szCs w:val="22"/>
        </w:rPr>
      </w:pPr>
      <w:r w:rsidRPr="007607D6">
        <w:rPr>
          <w:szCs w:val="22"/>
        </w:rPr>
        <w:t>RoActemra 20 mg/m</w:t>
      </w:r>
      <w:r>
        <w:rPr>
          <w:szCs w:val="22"/>
        </w:rPr>
        <w:t>l</w:t>
      </w:r>
      <w:r w:rsidRPr="007607D6">
        <w:rPr>
          <w:szCs w:val="22"/>
        </w:rPr>
        <w:t xml:space="preserve"> steril</w:t>
      </w:r>
      <w:r>
        <w:rPr>
          <w:szCs w:val="22"/>
        </w:rPr>
        <w:t>s koncentrāts</w:t>
      </w:r>
    </w:p>
    <w:p w14:paraId="1B00C08E" w14:textId="77777777" w:rsidR="00F47ADA" w:rsidRPr="007607D6" w:rsidRDefault="00F47ADA" w:rsidP="00F47ADA">
      <w:pPr>
        <w:pStyle w:val="Standard1"/>
        <w:rPr>
          <w:szCs w:val="22"/>
        </w:rPr>
      </w:pPr>
      <w:r w:rsidRPr="007607D6">
        <w:rPr>
          <w:szCs w:val="22"/>
        </w:rPr>
        <w:t>tocilizumab</w:t>
      </w:r>
    </w:p>
    <w:p w14:paraId="06E7DA76" w14:textId="77777777" w:rsidR="00F47ADA" w:rsidRPr="00707120" w:rsidRDefault="00F47ADA" w:rsidP="00F47ADA">
      <w:pPr>
        <w:pStyle w:val="Standard1"/>
        <w:rPr>
          <w:szCs w:val="22"/>
        </w:rPr>
      </w:pPr>
      <w:r w:rsidRPr="00707120">
        <w:rPr>
          <w:szCs w:val="22"/>
        </w:rPr>
        <w:t>i.v.</w:t>
      </w:r>
    </w:p>
    <w:p w14:paraId="07B4904D" w14:textId="77777777" w:rsidR="00F47ADA" w:rsidRPr="00707120" w:rsidRDefault="00F47ADA" w:rsidP="00F47ADA">
      <w:pPr>
        <w:pStyle w:val="Standard1"/>
        <w:rPr>
          <w:szCs w:val="22"/>
        </w:rPr>
      </w:pPr>
    </w:p>
    <w:p w14:paraId="35108CA0" w14:textId="77777777" w:rsidR="00F47ADA" w:rsidRPr="00707120" w:rsidRDefault="00F47ADA" w:rsidP="00F47ADA">
      <w:pPr>
        <w:pStyle w:val="Standard1"/>
        <w:rPr>
          <w:szCs w:val="22"/>
        </w:rPr>
      </w:pPr>
    </w:p>
    <w:p w14:paraId="56EFA7DF" w14:textId="77777777" w:rsidR="00F47ADA" w:rsidRPr="00707120" w:rsidRDefault="00F47ADA" w:rsidP="00F47ADA">
      <w:pPr>
        <w:pStyle w:val="Standard1"/>
        <w:pBdr>
          <w:top w:val="single" w:sz="4" w:space="1" w:color="auto"/>
          <w:left w:val="single" w:sz="4" w:space="4" w:color="auto"/>
          <w:bottom w:val="single" w:sz="4" w:space="1" w:color="auto"/>
          <w:right w:val="single" w:sz="4" w:space="4" w:color="auto"/>
        </w:pBdr>
        <w:ind w:left="567" w:hanging="567"/>
        <w:outlineLvl w:val="0"/>
        <w:rPr>
          <w:b/>
          <w:szCs w:val="22"/>
        </w:rPr>
      </w:pPr>
      <w:r w:rsidRPr="00707120">
        <w:rPr>
          <w:b/>
          <w:szCs w:val="22"/>
        </w:rPr>
        <w:t>2.</w:t>
      </w:r>
      <w:r w:rsidRPr="00707120">
        <w:rPr>
          <w:b/>
          <w:szCs w:val="22"/>
        </w:rPr>
        <w:tab/>
      </w:r>
      <w:r w:rsidRPr="006D7FDE">
        <w:rPr>
          <w:b/>
        </w:rPr>
        <w:t xml:space="preserve">LIETOŠANAS </w:t>
      </w:r>
      <w:r w:rsidRPr="006D7FDE">
        <w:rPr>
          <w:b/>
          <w:szCs w:val="22"/>
        </w:rPr>
        <w:t>VEIDS</w:t>
      </w:r>
    </w:p>
    <w:p w14:paraId="4307F65F" w14:textId="77777777" w:rsidR="00F47ADA" w:rsidRPr="00707120" w:rsidRDefault="00F47ADA" w:rsidP="00F47ADA">
      <w:pPr>
        <w:pStyle w:val="Standard1"/>
        <w:rPr>
          <w:szCs w:val="22"/>
        </w:rPr>
      </w:pPr>
    </w:p>
    <w:p w14:paraId="2383649E" w14:textId="2BF66636" w:rsidR="00F47ADA" w:rsidRPr="00707120" w:rsidRDefault="00F47ADA" w:rsidP="00F47ADA">
      <w:pPr>
        <w:pStyle w:val="Standard1"/>
        <w:rPr>
          <w:szCs w:val="22"/>
        </w:rPr>
      </w:pPr>
      <w:r w:rsidRPr="00707120">
        <w:rPr>
          <w:szCs w:val="22"/>
        </w:rPr>
        <w:t>i.v. infūzija</w:t>
      </w:r>
    </w:p>
    <w:p w14:paraId="02B7CD88" w14:textId="77777777" w:rsidR="00F47ADA" w:rsidRPr="00707120" w:rsidRDefault="00F47ADA" w:rsidP="00F47ADA">
      <w:pPr>
        <w:pStyle w:val="Standard1"/>
        <w:rPr>
          <w:szCs w:val="22"/>
        </w:rPr>
      </w:pPr>
    </w:p>
    <w:p w14:paraId="60547C7F" w14:textId="77777777" w:rsidR="00F47ADA" w:rsidRPr="00707120" w:rsidRDefault="00F47ADA" w:rsidP="00F47ADA">
      <w:pPr>
        <w:pStyle w:val="Standard1"/>
        <w:rPr>
          <w:szCs w:val="22"/>
        </w:rPr>
      </w:pPr>
    </w:p>
    <w:p w14:paraId="243906C8" w14:textId="77777777" w:rsidR="00F47ADA" w:rsidRPr="00707120" w:rsidRDefault="00F47ADA" w:rsidP="00F47ADA">
      <w:pPr>
        <w:pStyle w:val="Standard1"/>
        <w:pBdr>
          <w:top w:val="single" w:sz="4" w:space="1" w:color="auto"/>
          <w:left w:val="single" w:sz="4" w:space="4" w:color="auto"/>
          <w:bottom w:val="single" w:sz="4" w:space="1" w:color="auto"/>
          <w:right w:val="single" w:sz="4" w:space="4" w:color="auto"/>
        </w:pBdr>
        <w:ind w:left="567" w:hanging="567"/>
        <w:outlineLvl w:val="0"/>
        <w:rPr>
          <w:b/>
          <w:szCs w:val="22"/>
          <w:lang w:val="es-ES"/>
        </w:rPr>
      </w:pPr>
      <w:r w:rsidRPr="00707120">
        <w:rPr>
          <w:b/>
          <w:szCs w:val="22"/>
          <w:lang w:val="es-ES"/>
        </w:rPr>
        <w:t>3.</w:t>
      </w:r>
      <w:r w:rsidRPr="00707120">
        <w:rPr>
          <w:b/>
          <w:szCs w:val="22"/>
          <w:lang w:val="es-ES"/>
        </w:rPr>
        <w:tab/>
      </w:r>
      <w:r w:rsidRPr="006D7FDE">
        <w:rPr>
          <w:b/>
        </w:rPr>
        <w:t>DERĪGUMA TERMIŅŠ</w:t>
      </w:r>
    </w:p>
    <w:p w14:paraId="3AC5EDB0" w14:textId="77777777" w:rsidR="00F47ADA" w:rsidRPr="00707120" w:rsidRDefault="00F47ADA" w:rsidP="00F47ADA">
      <w:pPr>
        <w:pStyle w:val="Standard1"/>
        <w:rPr>
          <w:szCs w:val="22"/>
          <w:lang w:val="es-ES"/>
        </w:rPr>
      </w:pPr>
    </w:p>
    <w:p w14:paraId="563C5A45" w14:textId="77777777" w:rsidR="00F47ADA" w:rsidRPr="00707120" w:rsidRDefault="00F47ADA" w:rsidP="00F47ADA">
      <w:pPr>
        <w:pStyle w:val="Standard1"/>
        <w:rPr>
          <w:szCs w:val="22"/>
          <w:lang w:val="es-ES"/>
        </w:rPr>
      </w:pPr>
      <w:r w:rsidRPr="00707120">
        <w:rPr>
          <w:szCs w:val="22"/>
          <w:lang w:val="es-ES"/>
        </w:rPr>
        <w:t xml:space="preserve">EXP </w:t>
      </w:r>
    </w:p>
    <w:p w14:paraId="645FE108" w14:textId="77777777" w:rsidR="00F47ADA" w:rsidRPr="00707120" w:rsidRDefault="00F47ADA" w:rsidP="00F47ADA">
      <w:pPr>
        <w:pStyle w:val="Standard1"/>
        <w:rPr>
          <w:szCs w:val="22"/>
          <w:lang w:val="es-ES"/>
        </w:rPr>
      </w:pPr>
    </w:p>
    <w:p w14:paraId="4D48D330" w14:textId="77777777" w:rsidR="00F47ADA" w:rsidRPr="00707120" w:rsidRDefault="00F47ADA" w:rsidP="00F47ADA">
      <w:pPr>
        <w:pStyle w:val="Standard1"/>
        <w:rPr>
          <w:szCs w:val="22"/>
          <w:lang w:val="es-ES"/>
        </w:rPr>
      </w:pPr>
    </w:p>
    <w:p w14:paraId="7DDAA5C3" w14:textId="77777777" w:rsidR="00F47ADA" w:rsidRPr="00707120" w:rsidRDefault="00F47ADA" w:rsidP="00F47ADA">
      <w:pPr>
        <w:pStyle w:val="Standard1"/>
        <w:pBdr>
          <w:top w:val="single" w:sz="4" w:space="1" w:color="auto"/>
          <w:left w:val="single" w:sz="4" w:space="4" w:color="auto"/>
          <w:bottom w:val="single" w:sz="4" w:space="1" w:color="auto"/>
          <w:right w:val="single" w:sz="4" w:space="4" w:color="auto"/>
        </w:pBdr>
        <w:ind w:left="567" w:hanging="567"/>
        <w:outlineLvl w:val="0"/>
        <w:rPr>
          <w:b/>
          <w:szCs w:val="22"/>
          <w:lang w:val="pt-PT"/>
        </w:rPr>
      </w:pPr>
      <w:r w:rsidRPr="00707120">
        <w:rPr>
          <w:b/>
          <w:szCs w:val="22"/>
          <w:lang w:val="pt-PT"/>
        </w:rPr>
        <w:t>4.</w:t>
      </w:r>
      <w:r w:rsidRPr="00707120">
        <w:rPr>
          <w:b/>
          <w:szCs w:val="22"/>
          <w:lang w:val="pt-PT"/>
        </w:rPr>
        <w:tab/>
      </w:r>
      <w:r w:rsidRPr="006D7FDE">
        <w:rPr>
          <w:b/>
        </w:rPr>
        <w:t>SĒRIJAS NUMURS</w:t>
      </w:r>
    </w:p>
    <w:p w14:paraId="48161510" w14:textId="77777777" w:rsidR="00F47ADA" w:rsidRPr="00707120" w:rsidRDefault="00F47ADA" w:rsidP="00F47ADA">
      <w:pPr>
        <w:pStyle w:val="Standard1"/>
        <w:rPr>
          <w:szCs w:val="22"/>
          <w:lang w:val="pt-PT"/>
        </w:rPr>
      </w:pPr>
    </w:p>
    <w:p w14:paraId="1232DDF5" w14:textId="77777777" w:rsidR="00F47ADA" w:rsidRPr="00707120" w:rsidRDefault="00F47ADA" w:rsidP="00F47ADA">
      <w:pPr>
        <w:pStyle w:val="Standard1"/>
        <w:rPr>
          <w:szCs w:val="22"/>
          <w:lang w:val="pt-PT"/>
        </w:rPr>
      </w:pPr>
      <w:r w:rsidRPr="00707120">
        <w:rPr>
          <w:szCs w:val="22"/>
          <w:lang w:val="pt-PT"/>
        </w:rPr>
        <w:t>Lot</w:t>
      </w:r>
    </w:p>
    <w:p w14:paraId="4479BCFF" w14:textId="77777777" w:rsidR="00F47ADA" w:rsidRPr="00707120" w:rsidRDefault="00F47ADA" w:rsidP="00F47ADA">
      <w:pPr>
        <w:pStyle w:val="Standard1"/>
        <w:rPr>
          <w:szCs w:val="22"/>
          <w:lang w:val="pt-PT"/>
        </w:rPr>
      </w:pPr>
    </w:p>
    <w:p w14:paraId="0D5456EF" w14:textId="77777777" w:rsidR="00F47ADA" w:rsidRPr="00707120" w:rsidRDefault="00F47ADA" w:rsidP="00F47ADA">
      <w:pPr>
        <w:pStyle w:val="Standard1"/>
        <w:rPr>
          <w:szCs w:val="22"/>
          <w:lang w:val="pt-PT"/>
        </w:rPr>
      </w:pPr>
    </w:p>
    <w:p w14:paraId="7797CF8F" w14:textId="77777777" w:rsidR="00F47ADA" w:rsidRPr="00707120" w:rsidRDefault="00F47ADA" w:rsidP="00F47ADA">
      <w:pPr>
        <w:pStyle w:val="Standard1"/>
        <w:pBdr>
          <w:top w:val="single" w:sz="4" w:space="1" w:color="auto"/>
          <w:left w:val="single" w:sz="4" w:space="4" w:color="auto"/>
          <w:bottom w:val="single" w:sz="4" w:space="1" w:color="auto"/>
          <w:right w:val="single" w:sz="4" w:space="4" w:color="auto"/>
        </w:pBdr>
        <w:ind w:left="567" w:hanging="567"/>
        <w:outlineLvl w:val="0"/>
        <w:rPr>
          <w:b/>
          <w:szCs w:val="22"/>
          <w:lang w:val="pt-PT"/>
        </w:rPr>
      </w:pPr>
      <w:r w:rsidRPr="00707120">
        <w:rPr>
          <w:b/>
          <w:szCs w:val="22"/>
          <w:lang w:val="pt-PT"/>
        </w:rPr>
        <w:t>5.</w:t>
      </w:r>
      <w:r w:rsidRPr="00707120">
        <w:rPr>
          <w:b/>
          <w:szCs w:val="22"/>
          <w:lang w:val="pt-PT"/>
        </w:rPr>
        <w:tab/>
      </w:r>
      <w:r w:rsidRPr="006D7FDE">
        <w:rPr>
          <w:b/>
        </w:rPr>
        <w:t>SATURA SVARS, TILPUMS VAI VIENĪBU DAUDZUMS</w:t>
      </w:r>
    </w:p>
    <w:p w14:paraId="16029EC2" w14:textId="77777777" w:rsidR="00F47ADA" w:rsidRPr="00707120" w:rsidRDefault="00F47ADA" w:rsidP="00F47ADA">
      <w:pPr>
        <w:pStyle w:val="Standard1"/>
        <w:ind w:right="113"/>
        <w:rPr>
          <w:szCs w:val="22"/>
          <w:lang w:val="pt-PT"/>
        </w:rPr>
      </w:pPr>
    </w:p>
    <w:p w14:paraId="7D912B0D" w14:textId="77777777" w:rsidR="00F47ADA" w:rsidRPr="00707120" w:rsidRDefault="00F47ADA" w:rsidP="00F47ADA">
      <w:pPr>
        <w:pStyle w:val="Standard1"/>
        <w:ind w:right="113"/>
        <w:rPr>
          <w:szCs w:val="22"/>
          <w:lang w:val="pt-PT"/>
        </w:rPr>
      </w:pPr>
      <w:r w:rsidRPr="00707120">
        <w:rPr>
          <w:szCs w:val="22"/>
          <w:lang w:val="pt-PT"/>
        </w:rPr>
        <w:t xml:space="preserve">80 mg/4 ml </w:t>
      </w:r>
    </w:p>
    <w:p w14:paraId="452D82DD" w14:textId="77777777" w:rsidR="00F47ADA" w:rsidRPr="00707120" w:rsidRDefault="00F47ADA" w:rsidP="00F47ADA">
      <w:pPr>
        <w:pStyle w:val="Standard1"/>
        <w:ind w:right="113"/>
        <w:rPr>
          <w:szCs w:val="22"/>
          <w:highlight w:val="lightGray"/>
          <w:lang w:val="pt-PT"/>
        </w:rPr>
      </w:pPr>
      <w:r w:rsidRPr="00707120">
        <w:rPr>
          <w:szCs w:val="22"/>
          <w:highlight w:val="lightGray"/>
          <w:lang w:val="pt-PT"/>
        </w:rPr>
        <w:t>200 mg/10 ml</w:t>
      </w:r>
    </w:p>
    <w:p w14:paraId="7E023CE9" w14:textId="77777777" w:rsidR="00F47ADA" w:rsidRPr="00707120" w:rsidRDefault="00F47ADA" w:rsidP="00F47ADA">
      <w:pPr>
        <w:pStyle w:val="Standard1"/>
        <w:ind w:right="113"/>
        <w:rPr>
          <w:szCs w:val="22"/>
          <w:lang w:val="pt-PT"/>
        </w:rPr>
      </w:pPr>
      <w:r w:rsidRPr="00707120">
        <w:rPr>
          <w:szCs w:val="22"/>
          <w:highlight w:val="lightGray"/>
          <w:lang w:val="pt-PT"/>
        </w:rPr>
        <w:t>400 mg/20 ml</w:t>
      </w:r>
    </w:p>
    <w:p w14:paraId="36E7B4AD" w14:textId="77777777" w:rsidR="00F47ADA" w:rsidRPr="00707120" w:rsidRDefault="00F47ADA" w:rsidP="00F47ADA">
      <w:pPr>
        <w:pStyle w:val="Standard1"/>
        <w:ind w:right="113"/>
        <w:rPr>
          <w:szCs w:val="22"/>
          <w:lang w:val="pt-PT"/>
        </w:rPr>
      </w:pPr>
    </w:p>
    <w:p w14:paraId="720B1867" w14:textId="77777777" w:rsidR="00F47ADA" w:rsidRPr="00707120" w:rsidRDefault="00F47ADA" w:rsidP="00F47ADA">
      <w:pPr>
        <w:pStyle w:val="Standard1"/>
        <w:ind w:right="113"/>
        <w:rPr>
          <w:szCs w:val="22"/>
          <w:lang w:val="pt-PT"/>
        </w:rPr>
      </w:pPr>
    </w:p>
    <w:p w14:paraId="2EB4132B" w14:textId="77777777" w:rsidR="00F47ADA" w:rsidRPr="00707120" w:rsidRDefault="00F47ADA" w:rsidP="00F47ADA">
      <w:pPr>
        <w:pStyle w:val="Standard1"/>
        <w:pBdr>
          <w:top w:val="single" w:sz="4" w:space="1" w:color="auto"/>
          <w:left w:val="single" w:sz="4" w:space="4" w:color="auto"/>
          <w:bottom w:val="single" w:sz="4" w:space="1" w:color="auto"/>
          <w:right w:val="single" w:sz="4" w:space="4" w:color="auto"/>
        </w:pBdr>
        <w:ind w:left="567" w:hanging="567"/>
        <w:outlineLvl w:val="0"/>
        <w:rPr>
          <w:b/>
          <w:szCs w:val="22"/>
          <w:lang w:val="es-ES"/>
        </w:rPr>
      </w:pPr>
      <w:r w:rsidRPr="00707120">
        <w:rPr>
          <w:b/>
          <w:szCs w:val="22"/>
          <w:lang w:val="es-ES"/>
        </w:rPr>
        <w:t>6.</w:t>
      </w:r>
      <w:r w:rsidRPr="00707120">
        <w:rPr>
          <w:b/>
          <w:szCs w:val="22"/>
          <w:lang w:val="es-ES"/>
        </w:rPr>
        <w:tab/>
        <w:t>CITA</w:t>
      </w:r>
    </w:p>
    <w:p w14:paraId="4D5013E4" w14:textId="77777777" w:rsidR="00F47ADA" w:rsidRPr="00707120" w:rsidRDefault="00F47ADA" w:rsidP="00F47ADA">
      <w:pPr>
        <w:pStyle w:val="Standard1"/>
        <w:rPr>
          <w:szCs w:val="22"/>
          <w:lang w:val="es-ES"/>
        </w:rPr>
      </w:pPr>
    </w:p>
    <w:p w14:paraId="037512D9" w14:textId="776491F4" w:rsidR="00F47ADA" w:rsidRDefault="00F47ADA" w:rsidP="00F47ADA">
      <w:pPr>
        <w:rPr>
          <w:lang w:val="lv-LV"/>
        </w:rPr>
      </w:pPr>
      <w:r>
        <w:rPr>
          <w:lang w:val="lv-LV"/>
        </w:rPr>
        <w:br w:type="page"/>
      </w:r>
    </w:p>
    <w:p w14:paraId="3D60BC77" w14:textId="77777777" w:rsidR="00F47ADA" w:rsidRDefault="00F47ADA" w:rsidP="00F47ADA">
      <w:pPr>
        <w:pBdr>
          <w:top w:val="single" w:sz="4" w:space="1" w:color="000000"/>
          <w:left w:val="single" w:sz="4" w:space="4" w:color="000000"/>
          <w:bottom w:val="single" w:sz="4" w:space="1" w:color="000000"/>
          <w:right w:val="single" w:sz="4" w:space="4" w:color="000000"/>
        </w:pBdr>
        <w:rPr>
          <w:bCs/>
          <w:lang w:val="lv-LV"/>
        </w:rPr>
      </w:pPr>
      <w:r>
        <w:rPr>
          <w:b/>
          <w:lang w:val="lv-LV"/>
        </w:rPr>
        <w:t>INFORMĀCIJA, KAS JĀNORĀDA UZ ĀRĒJĀ IEPAKOJUMA</w:t>
      </w:r>
    </w:p>
    <w:p w14:paraId="432AEC75"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bCs/>
          <w:lang w:val="lv-LV"/>
        </w:rPr>
      </w:pPr>
    </w:p>
    <w:p w14:paraId="60BE2C6E" w14:textId="684032FA" w:rsidR="00F47ADA" w:rsidRDefault="00F47ADA" w:rsidP="00F47ADA">
      <w:pPr>
        <w:pBdr>
          <w:top w:val="single" w:sz="4" w:space="1" w:color="000000"/>
          <w:left w:val="single" w:sz="4" w:space="4" w:color="000000"/>
          <w:bottom w:val="single" w:sz="4" w:space="1" w:color="000000"/>
          <w:right w:val="single" w:sz="4" w:space="4" w:color="000000"/>
        </w:pBdr>
        <w:rPr>
          <w:lang w:val="lv-LV"/>
        </w:rPr>
      </w:pPr>
      <w:r>
        <w:rPr>
          <w:b/>
          <w:lang w:val="lv-LV"/>
        </w:rPr>
        <w:t>KASTĪTE</w:t>
      </w:r>
    </w:p>
    <w:p w14:paraId="7ABB4F53" w14:textId="77777777" w:rsidR="00F47ADA" w:rsidRDefault="00F47ADA" w:rsidP="00F47ADA">
      <w:pPr>
        <w:rPr>
          <w:lang w:val="lv-LV"/>
        </w:rPr>
      </w:pPr>
    </w:p>
    <w:p w14:paraId="7EDF1B69" w14:textId="77777777" w:rsidR="00F47ADA" w:rsidRDefault="00F47ADA" w:rsidP="00F47ADA">
      <w:pPr>
        <w:rPr>
          <w:lang w:val="lv-LV"/>
        </w:rPr>
      </w:pPr>
    </w:p>
    <w:p w14:paraId="502B7983"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1.</w:t>
      </w:r>
      <w:r>
        <w:rPr>
          <w:b/>
          <w:lang w:val="lv-LV"/>
        </w:rPr>
        <w:tab/>
        <w:t>ZĀĻU NOSAUKUMS</w:t>
      </w:r>
    </w:p>
    <w:p w14:paraId="2EE185DC" w14:textId="77777777" w:rsidR="00F47ADA" w:rsidRDefault="00F47ADA" w:rsidP="00F47ADA">
      <w:pPr>
        <w:rPr>
          <w:lang w:val="lv-LV"/>
        </w:rPr>
      </w:pPr>
    </w:p>
    <w:p w14:paraId="1CD918A6" w14:textId="77777777" w:rsidR="00F47ADA" w:rsidRDefault="00F47ADA" w:rsidP="00F47ADA">
      <w:pPr>
        <w:rPr>
          <w:lang w:val="lv-LV"/>
        </w:rPr>
      </w:pPr>
      <w:r>
        <w:rPr>
          <w:lang w:val="lv-LV"/>
        </w:rPr>
        <w:t>RoActemra 162 mg šķīdums injekcijām pilnšļircē</w:t>
      </w:r>
    </w:p>
    <w:p w14:paraId="6255F7BD" w14:textId="77777777" w:rsidR="00F47ADA" w:rsidRPr="00A203E4" w:rsidRDefault="00F47ADA" w:rsidP="00F47ADA">
      <w:pPr>
        <w:rPr>
          <w:iCs/>
          <w:lang w:val="lv-LV"/>
        </w:rPr>
      </w:pPr>
      <w:r w:rsidRPr="00A203E4">
        <w:rPr>
          <w:iCs/>
          <w:lang w:val="lv-LV"/>
        </w:rPr>
        <w:t>tocilizumab</w:t>
      </w:r>
    </w:p>
    <w:p w14:paraId="170DF60A" w14:textId="77777777" w:rsidR="00F47ADA" w:rsidRDefault="00F47ADA" w:rsidP="00F47ADA">
      <w:pPr>
        <w:rPr>
          <w:lang w:val="lv-LV"/>
        </w:rPr>
      </w:pPr>
    </w:p>
    <w:p w14:paraId="0DA49216" w14:textId="77777777" w:rsidR="00F47ADA" w:rsidRDefault="00F47ADA" w:rsidP="00F47ADA">
      <w:pPr>
        <w:rPr>
          <w:lang w:val="lv-LV"/>
        </w:rPr>
      </w:pPr>
    </w:p>
    <w:p w14:paraId="7D850F29"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2.</w:t>
      </w:r>
      <w:r>
        <w:rPr>
          <w:b/>
          <w:lang w:val="lv-LV"/>
        </w:rPr>
        <w:tab/>
        <w:t>AKTĪVĀS</w:t>
      </w:r>
      <w:del w:id="1569" w:author="Author">
        <w:r w:rsidDel="00A33658">
          <w:rPr>
            <w:b/>
            <w:lang w:val="lv-LV"/>
          </w:rPr>
          <w:delText>(-O)</w:delText>
        </w:r>
      </w:del>
      <w:r>
        <w:rPr>
          <w:b/>
          <w:lang w:val="lv-LV"/>
        </w:rPr>
        <w:t xml:space="preserve"> VIELAS</w:t>
      </w:r>
      <w:del w:id="1570" w:author="Author">
        <w:r w:rsidDel="00A33658">
          <w:rPr>
            <w:b/>
            <w:lang w:val="lv-LV"/>
          </w:rPr>
          <w:delText>(-U)</w:delText>
        </w:r>
      </w:del>
      <w:r>
        <w:rPr>
          <w:b/>
          <w:lang w:val="lv-LV"/>
        </w:rPr>
        <w:t xml:space="preserve"> NOSAUKUMS</w:t>
      </w:r>
      <w:del w:id="1571" w:author="Author">
        <w:r w:rsidDel="00A33658">
          <w:rPr>
            <w:b/>
            <w:lang w:val="lv-LV"/>
          </w:rPr>
          <w:delText>(-I)</w:delText>
        </w:r>
      </w:del>
      <w:r>
        <w:rPr>
          <w:b/>
          <w:lang w:val="lv-LV"/>
        </w:rPr>
        <w:t xml:space="preserve"> UN DAUDZUMS</w:t>
      </w:r>
      <w:del w:id="1572" w:author="Author">
        <w:r w:rsidDel="00A33658">
          <w:rPr>
            <w:b/>
            <w:lang w:val="lv-LV"/>
          </w:rPr>
          <w:delText>(-I)</w:delText>
        </w:r>
      </w:del>
    </w:p>
    <w:p w14:paraId="74A3886F" w14:textId="77777777" w:rsidR="00F47ADA" w:rsidRDefault="00F47ADA" w:rsidP="00F47ADA">
      <w:pPr>
        <w:rPr>
          <w:lang w:val="lv-LV"/>
        </w:rPr>
      </w:pPr>
    </w:p>
    <w:p w14:paraId="40B603EF" w14:textId="77777777" w:rsidR="00F47ADA" w:rsidRDefault="00F47ADA" w:rsidP="00F47ADA">
      <w:pPr>
        <w:rPr>
          <w:lang w:val="lv-LV"/>
        </w:rPr>
      </w:pPr>
      <w:r>
        <w:rPr>
          <w:lang w:val="lv-LV"/>
        </w:rPr>
        <w:t>1 pilnšļirce satur 162 mg tocilizumaba.</w:t>
      </w:r>
    </w:p>
    <w:p w14:paraId="21C1BA2C" w14:textId="77777777" w:rsidR="00F47ADA" w:rsidRDefault="00F47ADA" w:rsidP="00F47ADA">
      <w:pPr>
        <w:rPr>
          <w:lang w:val="lv-LV"/>
        </w:rPr>
      </w:pPr>
    </w:p>
    <w:p w14:paraId="200FF55D" w14:textId="77777777" w:rsidR="00F47ADA" w:rsidRDefault="00F47ADA" w:rsidP="00F47ADA">
      <w:pPr>
        <w:rPr>
          <w:lang w:val="lv-LV"/>
        </w:rPr>
      </w:pPr>
    </w:p>
    <w:p w14:paraId="1F44C049"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3.</w:t>
      </w:r>
      <w:r>
        <w:rPr>
          <w:b/>
          <w:lang w:val="lv-LV"/>
        </w:rPr>
        <w:tab/>
        <w:t>PALĪGVIELU SARAKSTS</w:t>
      </w:r>
    </w:p>
    <w:p w14:paraId="2B917FA5" w14:textId="77777777" w:rsidR="00F47ADA" w:rsidRDefault="00F47ADA" w:rsidP="00F47ADA">
      <w:pPr>
        <w:rPr>
          <w:lang w:val="lv-LV"/>
        </w:rPr>
      </w:pPr>
    </w:p>
    <w:p w14:paraId="07DAAF97" w14:textId="3DD404C3" w:rsidR="00F47ADA" w:rsidRDefault="00F47ADA" w:rsidP="00F47ADA">
      <w:pPr>
        <w:autoSpaceDE w:val="0"/>
        <w:rPr>
          <w:lang w:val="lv-LV"/>
        </w:rPr>
      </w:pPr>
      <w:r>
        <w:rPr>
          <w:rFonts w:eastAsia="PMingLiU"/>
          <w:bCs/>
          <w:szCs w:val="22"/>
          <w:lang w:val="lv-LV"/>
        </w:rPr>
        <w:t xml:space="preserve">Satur arī L-histidīnu, L-histidīna monohidrohlorīda monohidrātu, </w:t>
      </w:r>
      <w:r w:rsidRPr="00466156">
        <w:rPr>
          <w:rFonts w:eastAsia="PMingLiU"/>
          <w:bCs/>
          <w:szCs w:val="22"/>
          <w:highlight w:val="lightGray"/>
          <w:lang w:val="lv-LV"/>
        </w:rPr>
        <w:t>L-arginīn</w:t>
      </w:r>
      <w:r>
        <w:rPr>
          <w:rFonts w:eastAsia="PMingLiU"/>
          <w:bCs/>
          <w:szCs w:val="22"/>
          <w:highlight w:val="lightGray"/>
          <w:lang w:val="lv-LV"/>
        </w:rPr>
        <w:t>u</w:t>
      </w:r>
      <w:r w:rsidRPr="00466156">
        <w:rPr>
          <w:rFonts w:eastAsia="PMingLiU"/>
          <w:bCs/>
          <w:szCs w:val="22"/>
          <w:highlight w:val="lightGray"/>
          <w:lang w:val="lv-LV"/>
        </w:rPr>
        <w:t>/</w:t>
      </w:r>
      <w:r>
        <w:rPr>
          <w:rFonts w:eastAsia="PMingLiU"/>
          <w:bCs/>
          <w:szCs w:val="22"/>
          <w:lang w:val="lv-LV"/>
        </w:rPr>
        <w:t>L-arginīna hidrohlorīdu, L-metionīnu, polisorbātu</w:t>
      </w:r>
      <w:r w:rsidR="00195183">
        <w:rPr>
          <w:rFonts w:eastAsia="PMingLiU"/>
          <w:bCs/>
          <w:szCs w:val="22"/>
          <w:lang w:val="lv-LV"/>
        </w:rPr>
        <w:t> </w:t>
      </w:r>
      <w:r>
        <w:rPr>
          <w:rFonts w:eastAsia="PMingLiU"/>
          <w:bCs/>
          <w:szCs w:val="22"/>
          <w:lang w:val="lv-LV"/>
        </w:rPr>
        <w:t>80, ūdeni injekcijām.</w:t>
      </w:r>
      <w:r>
        <w:rPr>
          <w:lang w:val="lv-LV"/>
        </w:rPr>
        <w:t xml:space="preserve"> </w:t>
      </w:r>
      <w:r w:rsidRPr="00707120">
        <w:rPr>
          <w:highlight w:val="lightGray"/>
          <w:lang w:val="lv-LV"/>
        </w:rPr>
        <w:t>Sīkāku informāciju skatīt lietošanas instrukcijā.</w:t>
      </w:r>
    </w:p>
    <w:p w14:paraId="6B8EF4BE" w14:textId="77777777" w:rsidR="00F47ADA" w:rsidRDefault="00F47ADA" w:rsidP="00F47ADA">
      <w:pPr>
        <w:rPr>
          <w:lang w:val="lv-LV"/>
        </w:rPr>
      </w:pPr>
    </w:p>
    <w:p w14:paraId="66500266" w14:textId="77777777" w:rsidR="00F47ADA" w:rsidRDefault="00F47ADA" w:rsidP="00F47ADA">
      <w:pPr>
        <w:rPr>
          <w:lang w:val="lv-LV"/>
        </w:rPr>
      </w:pPr>
    </w:p>
    <w:p w14:paraId="2678FA1E"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4.</w:t>
      </w:r>
      <w:r>
        <w:rPr>
          <w:b/>
          <w:lang w:val="lv-LV"/>
        </w:rPr>
        <w:tab/>
        <w:t>ZĀĻU FORMA UN SATURS</w:t>
      </w:r>
    </w:p>
    <w:p w14:paraId="0A201C6E" w14:textId="77777777" w:rsidR="00F47ADA" w:rsidRDefault="00F47ADA" w:rsidP="00F47ADA">
      <w:pPr>
        <w:rPr>
          <w:lang w:val="lv-LV"/>
        </w:rPr>
      </w:pPr>
    </w:p>
    <w:p w14:paraId="0CEF5F09" w14:textId="09C778BF" w:rsidR="00F47ADA" w:rsidRDefault="00F47ADA" w:rsidP="00F47ADA">
      <w:pPr>
        <w:rPr>
          <w:lang w:val="lv-LV"/>
        </w:rPr>
      </w:pPr>
      <w:r w:rsidRPr="00707120">
        <w:rPr>
          <w:highlight w:val="lightGray"/>
          <w:lang w:val="lv-LV"/>
        </w:rPr>
        <w:t>Šķīdums injekcijām</w:t>
      </w:r>
    </w:p>
    <w:p w14:paraId="561DA327" w14:textId="77777777" w:rsidR="00F47ADA" w:rsidRDefault="00F47ADA" w:rsidP="00F47ADA">
      <w:pPr>
        <w:rPr>
          <w:lang w:val="lv-LV"/>
        </w:rPr>
      </w:pPr>
      <w:r>
        <w:rPr>
          <w:lang w:val="lv-LV"/>
        </w:rPr>
        <w:t>4 pilnšļirces</w:t>
      </w:r>
    </w:p>
    <w:p w14:paraId="4A08E290" w14:textId="77777777" w:rsidR="00F47ADA" w:rsidRDefault="00F47ADA" w:rsidP="00F47ADA">
      <w:pPr>
        <w:rPr>
          <w:lang w:val="lv-LV"/>
        </w:rPr>
      </w:pPr>
      <w:r w:rsidRPr="00707120">
        <w:rPr>
          <w:highlight w:val="lightGray"/>
          <w:lang w:val="lv-LV"/>
        </w:rPr>
        <w:t>Daudzdevu iepakojums: 12 (3 iepakojumi pa 4) pilnšļirces</w:t>
      </w:r>
    </w:p>
    <w:p w14:paraId="51E88E85" w14:textId="1494D1D5" w:rsidR="00F47ADA" w:rsidRDefault="00F47ADA" w:rsidP="00F47ADA">
      <w:pPr>
        <w:rPr>
          <w:lang w:val="lv-LV"/>
        </w:rPr>
      </w:pPr>
      <w:r>
        <w:rPr>
          <w:lang w:val="lv-LV"/>
        </w:rPr>
        <w:t>162 mg/0,9 ml</w:t>
      </w:r>
    </w:p>
    <w:p w14:paraId="61B066D8" w14:textId="77777777" w:rsidR="00F47ADA" w:rsidRDefault="00F47ADA" w:rsidP="00F47ADA">
      <w:pPr>
        <w:rPr>
          <w:lang w:val="lv-LV"/>
        </w:rPr>
      </w:pPr>
    </w:p>
    <w:p w14:paraId="47666733" w14:textId="77777777" w:rsidR="00F47ADA" w:rsidRDefault="00F47ADA" w:rsidP="00F47ADA">
      <w:pPr>
        <w:rPr>
          <w:lang w:val="lv-LV"/>
        </w:rPr>
      </w:pPr>
    </w:p>
    <w:p w14:paraId="3E91FD99" w14:textId="75377075" w:rsidR="00F47ADA" w:rsidRDefault="00F47ADA" w:rsidP="00F47ADA">
      <w:pPr>
        <w:pBdr>
          <w:top w:val="single" w:sz="4" w:space="1" w:color="000000"/>
          <w:left w:val="single" w:sz="4" w:space="4" w:color="000000"/>
          <w:bottom w:val="single" w:sz="4" w:space="1" w:color="000000"/>
          <w:right w:val="single" w:sz="4" w:space="4" w:color="000000"/>
        </w:pBdr>
        <w:ind w:left="567" w:hanging="567"/>
        <w:rPr>
          <w:i/>
          <w:lang w:val="lv-LV"/>
        </w:rPr>
      </w:pPr>
      <w:r>
        <w:rPr>
          <w:b/>
          <w:lang w:val="lv-LV"/>
        </w:rPr>
        <w:t>5.</w:t>
      </w:r>
      <w:r>
        <w:rPr>
          <w:b/>
          <w:lang w:val="lv-LV"/>
        </w:rPr>
        <w:tab/>
        <w:t>LIETOŠANAS UN IEVADĪŠANAS VEIDS</w:t>
      </w:r>
      <w:del w:id="1573" w:author="Author">
        <w:r w:rsidDel="00EB3681">
          <w:rPr>
            <w:b/>
            <w:lang w:val="lv-LV"/>
          </w:rPr>
          <w:delText>(-I)</w:delText>
        </w:r>
      </w:del>
    </w:p>
    <w:p w14:paraId="01BAA9E8" w14:textId="77777777" w:rsidR="00F47ADA" w:rsidRDefault="00F47ADA" w:rsidP="00F47ADA">
      <w:pPr>
        <w:rPr>
          <w:i/>
          <w:lang w:val="lv-LV"/>
        </w:rPr>
      </w:pPr>
    </w:p>
    <w:p w14:paraId="7114DC28" w14:textId="77777777" w:rsidR="00F47ADA" w:rsidRDefault="00F47ADA" w:rsidP="00F47ADA">
      <w:pPr>
        <w:rPr>
          <w:lang w:val="lv-LV"/>
        </w:rPr>
      </w:pPr>
      <w:r>
        <w:rPr>
          <w:lang w:val="lv-LV"/>
        </w:rPr>
        <w:t>Subkutānai lietošanai</w:t>
      </w:r>
    </w:p>
    <w:p w14:paraId="484ED12F" w14:textId="77777777" w:rsidR="00F47ADA" w:rsidRDefault="00F47ADA" w:rsidP="00F47ADA">
      <w:pPr>
        <w:rPr>
          <w:lang w:val="lv-LV"/>
        </w:rPr>
      </w:pPr>
      <w:r>
        <w:rPr>
          <w:lang w:val="lv-LV"/>
        </w:rPr>
        <w:t>Pirms lietošanas izlasiet lietošanas instrukciju</w:t>
      </w:r>
    </w:p>
    <w:p w14:paraId="12BBE326" w14:textId="77777777" w:rsidR="00F47ADA" w:rsidRDefault="00F47ADA" w:rsidP="00F47ADA">
      <w:pPr>
        <w:rPr>
          <w:lang w:val="lv-LV"/>
        </w:rPr>
      </w:pPr>
    </w:p>
    <w:p w14:paraId="4D05F1EF" w14:textId="77777777" w:rsidR="00F47ADA" w:rsidRDefault="00F47ADA" w:rsidP="00F47ADA">
      <w:pPr>
        <w:rPr>
          <w:lang w:val="lv-LV"/>
        </w:rPr>
      </w:pPr>
    </w:p>
    <w:p w14:paraId="781F4273"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6.</w:t>
      </w:r>
      <w:r>
        <w:rPr>
          <w:b/>
          <w:lang w:val="lv-LV"/>
        </w:rPr>
        <w:tab/>
        <w:t>ĪPAŠI BRĪDINĀJUMI PAR ZĀĻU UZGLABĀŠANU BĒRNIEM NEREDZAMĀ UN NEPIEEJAMĀ VIETĀ</w:t>
      </w:r>
    </w:p>
    <w:p w14:paraId="624533CE" w14:textId="77777777" w:rsidR="00F47ADA" w:rsidRDefault="00F47ADA" w:rsidP="00F47ADA">
      <w:pPr>
        <w:rPr>
          <w:lang w:val="lv-LV"/>
        </w:rPr>
      </w:pPr>
    </w:p>
    <w:p w14:paraId="13E153C2" w14:textId="77777777" w:rsidR="00F47ADA" w:rsidRDefault="00F47ADA" w:rsidP="00F47ADA">
      <w:pPr>
        <w:rPr>
          <w:lang w:val="lv-LV"/>
        </w:rPr>
      </w:pPr>
      <w:r>
        <w:rPr>
          <w:lang w:val="lv-LV"/>
        </w:rPr>
        <w:t>Uzglabāt bērniem neredzamā un nepieejamā vietā</w:t>
      </w:r>
    </w:p>
    <w:p w14:paraId="4656FEDC" w14:textId="77777777" w:rsidR="00F47ADA" w:rsidRDefault="00F47ADA" w:rsidP="00F47ADA">
      <w:pPr>
        <w:rPr>
          <w:lang w:val="lv-LV"/>
        </w:rPr>
      </w:pPr>
    </w:p>
    <w:p w14:paraId="127C1F68" w14:textId="77777777" w:rsidR="00F47ADA" w:rsidRDefault="00F47ADA" w:rsidP="00F47ADA">
      <w:pPr>
        <w:rPr>
          <w:lang w:val="lv-LV"/>
        </w:rPr>
      </w:pPr>
    </w:p>
    <w:p w14:paraId="3ECD9852"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7.</w:t>
      </w:r>
      <w:r>
        <w:rPr>
          <w:b/>
          <w:lang w:val="lv-LV"/>
        </w:rPr>
        <w:tab/>
        <w:t>CITI ĪPAŠI BRĪDINĀJUMI, JA NEPIECIEŠAMS</w:t>
      </w:r>
    </w:p>
    <w:p w14:paraId="70595CD3" w14:textId="77777777" w:rsidR="00F47ADA" w:rsidRDefault="00F47ADA" w:rsidP="00F47ADA">
      <w:pPr>
        <w:rPr>
          <w:lang w:val="lv-LV"/>
        </w:rPr>
      </w:pPr>
    </w:p>
    <w:p w14:paraId="2F4AFF18" w14:textId="77777777" w:rsidR="00F47ADA" w:rsidRDefault="00F47ADA" w:rsidP="00F47ADA">
      <w:pPr>
        <w:rPr>
          <w:lang w:val="lv-LV"/>
        </w:rPr>
      </w:pPr>
      <w:r>
        <w:rPr>
          <w:lang w:val="lv-LV"/>
        </w:rPr>
        <w:t>Pēc pilnšļirces izņemšanas no kastītes ļaujiet tai atrasties istabas temperatūrā 25 līdz 30 minūtes pirms lietošanas</w:t>
      </w:r>
    </w:p>
    <w:p w14:paraId="6B28F9AF" w14:textId="77777777" w:rsidR="00F47ADA" w:rsidRDefault="00F47ADA" w:rsidP="00F47ADA">
      <w:pPr>
        <w:rPr>
          <w:lang w:val="lv-LV"/>
        </w:rPr>
      </w:pPr>
    </w:p>
    <w:p w14:paraId="1DFF90BC" w14:textId="77777777" w:rsidR="00F47ADA" w:rsidRDefault="00F47ADA" w:rsidP="00F47ADA">
      <w:pPr>
        <w:rPr>
          <w:lang w:val="lv-LV"/>
        </w:rPr>
      </w:pPr>
    </w:p>
    <w:p w14:paraId="70602DF9"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8.</w:t>
      </w:r>
      <w:r>
        <w:rPr>
          <w:b/>
          <w:lang w:val="lv-LV"/>
        </w:rPr>
        <w:tab/>
        <w:t>DERĪGUMA TERMIŅŠ</w:t>
      </w:r>
    </w:p>
    <w:p w14:paraId="34D093B5" w14:textId="77777777" w:rsidR="00F47ADA" w:rsidRDefault="00F47ADA" w:rsidP="00F47ADA">
      <w:pPr>
        <w:rPr>
          <w:lang w:val="lv-LV"/>
        </w:rPr>
      </w:pPr>
    </w:p>
    <w:p w14:paraId="40BF501C" w14:textId="2C428749" w:rsidR="00F47ADA" w:rsidRDefault="00A203E4" w:rsidP="00F47ADA">
      <w:pPr>
        <w:rPr>
          <w:lang w:val="lv-LV"/>
        </w:rPr>
      </w:pPr>
      <w:r>
        <w:rPr>
          <w:lang w:val="lv-LV"/>
        </w:rPr>
        <w:t>EXP</w:t>
      </w:r>
    </w:p>
    <w:p w14:paraId="06711559" w14:textId="77777777" w:rsidR="00F47ADA" w:rsidRDefault="00F47ADA" w:rsidP="00F47ADA">
      <w:pPr>
        <w:rPr>
          <w:lang w:val="lv-LV"/>
        </w:rPr>
      </w:pPr>
    </w:p>
    <w:p w14:paraId="3B4C9C46" w14:textId="77777777" w:rsidR="00F47ADA" w:rsidRDefault="00F47ADA" w:rsidP="00F47ADA">
      <w:pPr>
        <w:rPr>
          <w:lang w:val="lv-LV"/>
        </w:rPr>
      </w:pPr>
    </w:p>
    <w:p w14:paraId="0513F1F7" w14:textId="77777777" w:rsidR="00F47ADA" w:rsidRDefault="00F47ADA" w:rsidP="00F47ADA">
      <w:pPr>
        <w:keepNext/>
        <w:keepLines/>
        <w:pBdr>
          <w:top w:val="single" w:sz="4" w:space="1" w:color="000000"/>
          <w:left w:val="single" w:sz="4" w:space="4" w:color="000000"/>
          <w:bottom w:val="single" w:sz="4" w:space="1" w:color="000000"/>
          <w:right w:val="single" w:sz="4" w:space="4" w:color="000000"/>
        </w:pBdr>
        <w:ind w:left="567" w:hanging="567"/>
        <w:rPr>
          <w:lang w:val="lv-LV"/>
        </w:rPr>
      </w:pPr>
      <w:r>
        <w:rPr>
          <w:b/>
          <w:lang w:val="lv-LV"/>
        </w:rPr>
        <w:t>9.</w:t>
      </w:r>
      <w:r>
        <w:rPr>
          <w:b/>
          <w:lang w:val="lv-LV"/>
        </w:rPr>
        <w:tab/>
        <w:t>ĪPAŠI UZGLABĀŠANAS NOSACĪJUMI</w:t>
      </w:r>
    </w:p>
    <w:p w14:paraId="69363D9C" w14:textId="77777777" w:rsidR="00F47ADA" w:rsidRDefault="00F47ADA" w:rsidP="00F47ADA">
      <w:pPr>
        <w:keepNext/>
        <w:ind w:left="567" w:hanging="567"/>
        <w:rPr>
          <w:lang w:val="lv-LV"/>
        </w:rPr>
      </w:pPr>
    </w:p>
    <w:p w14:paraId="60E6824E" w14:textId="0F4CCA1F" w:rsidR="00F47ADA" w:rsidRDefault="00F47ADA" w:rsidP="00F47ADA">
      <w:pPr>
        <w:keepNext/>
        <w:rPr>
          <w:lang w:val="lv-LV"/>
        </w:rPr>
      </w:pPr>
      <w:r>
        <w:rPr>
          <w:lang w:val="lv-LV"/>
        </w:rPr>
        <w:t>Uzglabāt ledusskapī</w:t>
      </w:r>
    </w:p>
    <w:p w14:paraId="0621D51D" w14:textId="77777777" w:rsidR="00F47ADA" w:rsidRDefault="00F47ADA" w:rsidP="00F47ADA">
      <w:pPr>
        <w:rPr>
          <w:lang w:val="lv-LV"/>
        </w:rPr>
      </w:pPr>
      <w:r>
        <w:rPr>
          <w:lang w:val="lv-LV"/>
        </w:rPr>
        <w:t>Nesasaldēt</w:t>
      </w:r>
    </w:p>
    <w:p w14:paraId="5AF966CA" w14:textId="77777777" w:rsidR="00F47ADA" w:rsidRDefault="00F47ADA" w:rsidP="00F47ADA">
      <w:pPr>
        <w:rPr>
          <w:lang w:val="lv-LV"/>
        </w:rPr>
      </w:pPr>
      <w:r w:rsidRPr="00D92A7A">
        <w:rPr>
          <w:lang w:val="lv-LV"/>
        </w:rPr>
        <w:t>Pēc izņemšanas no ledusskapja pilnšļirci var uzglabāt līdz 2</w:t>
      </w:r>
      <w:r>
        <w:rPr>
          <w:lang w:val="lv-LV"/>
        </w:rPr>
        <w:t> </w:t>
      </w:r>
      <w:r w:rsidRPr="00D92A7A">
        <w:rPr>
          <w:lang w:val="lv-LV"/>
        </w:rPr>
        <w:t>nedēļām temperatūrā līdz 30</w:t>
      </w:r>
      <w:r>
        <w:rPr>
          <w:lang w:val="lv-LV"/>
        </w:rPr>
        <w:t> </w:t>
      </w:r>
      <w:r w:rsidRPr="00D92A7A">
        <w:rPr>
          <w:lang w:val="lv-LV"/>
        </w:rPr>
        <w:t>°C</w:t>
      </w:r>
    </w:p>
    <w:p w14:paraId="2CE9487F" w14:textId="710EF282" w:rsidR="00F47ADA" w:rsidRDefault="00F47ADA" w:rsidP="00F47ADA">
      <w:pPr>
        <w:rPr>
          <w:szCs w:val="22"/>
          <w:lang w:val="lv-LV"/>
        </w:rPr>
      </w:pPr>
      <w:r>
        <w:rPr>
          <w:szCs w:val="22"/>
          <w:lang w:val="lv-LV"/>
        </w:rPr>
        <w:t>Uzglabāt pilnšļirci ārējā kartona kastītē, lai pasargātu no gaismas un mitruma</w:t>
      </w:r>
    </w:p>
    <w:p w14:paraId="0C8F064F" w14:textId="77777777" w:rsidR="00F47ADA" w:rsidRDefault="00F47ADA" w:rsidP="00F47ADA">
      <w:pPr>
        <w:ind w:left="567" w:hanging="567"/>
        <w:rPr>
          <w:lang w:val="lv-LV"/>
        </w:rPr>
      </w:pPr>
    </w:p>
    <w:p w14:paraId="65F1B3D4" w14:textId="77777777" w:rsidR="00F47ADA" w:rsidRDefault="00F47ADA" w:rsidP="00F47ADA">
      <w:pPr>
        <w:ind w:left="567" w:hanging="567"/>
        <w:rPr>
          <w:lang w:val="lv-LV"/>
        </w:rPr>
      </w:pPr>
    </w:p>
    <w:p w14:paraId="048CAF86"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10.</w:t>
      </w:r>
      <w:r>
        <w:rPr>
          <w:b/>
          <w:lang w:val="lv-LV"/>
        </w:rPr>
        <w:tab/>
        <w:t>ĪPAŠI PIESARDZĪBAS PASĀKUMI, IZNĪCINOT NEIZLIETOTĀS ZĀLES VAI IZMANTOTOS MATERIĀLUS, KAS BIJUŠI SASKARĒ AR ŠĪM ZĀLĒM, JA PIEMĒROJAMS</w:t>
      </w:r>
    </w:p>
    <w:p w14:paraId="2436638D" w14:textId="77777777" w:rsidR="00F47ADA" w:rsidRDefault="00F47ADA" w:rsidP="00F47ADA">
      <w:pPr>
        <w:rPr>
          <w:lang w:val="lv-LV"/>
        </w:rPr>
      </w:pPr>
    </w:p>
    <w:p w14:paraId="5595D0B8" w14:textId="77777777" w:rsidR="00F47ADA" w:rsidRDefault="00F47ADA" w:rsidP="00F47ADA">
      <w:pPr>
        <w:rPr>
          <w:lang w:val="lv-LV"/>
        </w:rPr>
      </w:pPr>
    </w:p>
    <w:p w14:paraId="6F74FB08"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11.</w:t>
      </w:r>
      <w:r>
        <w:rPr>
          <w:b/>
          <w:lang w:val="lv-LV"/>
        </w:rPr>
        <w:tab/>
        <w:t xml:space="preserve">REĢISTRĀCIJAS APLIECĪBAS ĪPAŠNIEKA NOSAUKUMS UN ADRESE </w:t>
      </w:r>
    </w:p>
    <w:p w14:paraId="75CF5A17" w14:textId="77777777" w:rsidR="00F47ADA" w:rsidRDefault="00F47ADA" w:rsidP="00F47ADA">
      <w:pPr>
        <w:rPr>
          <w:lang w:val="lv-LV"/>
        </w:rPr>
      </w:pPr>
    </w:p>
    <w:p w14:paraId="2EC00BAF" w14:textId="77777777" w:rsidR="00F47ADA" w:rsidRPr="00F1131A" w:rsidRDefault="00F47ADA" w:rsidP="00F47ADA">
      <w:pPr>
        <w:rPr>
          <w:lang w:val="lv-LV"/>
        </w:rPr>
      </w:pPr>
      <w:r w:rsidRPr="00F1131A">
        <w:rPr>
          <w:lang w:val="lv-LV"/>
        </w:rPr>
        <w:t xml:space="preserve">Roche Registration GmbH </w:t>
      </w:r>
    </w:p>
    <w:p w14:paraId="188CFEA3" w14:textId="77777777" w:rsidR="00F47ADA" w:rsidRPr="00F1131A" w:rsidRDefault="00F47ADA" w:rsidP="00F47ADA">
      <w:pPr>
        <w:rPr>
          <w:lang w:val="lv-LV"/>
        </w:rPr>
      </w:pPr>
      <w:r w:rsidRPr="00F1131A">
        <w:rPr>
          <w:lang w:val="lv-LV"/>
        </w:rPr>
        <w:t>Emil-Barell-Strasse 1</w:t>
      </w:r>
    </w:p>
    <w:p w14:paraId="74116052" w14:textId="77777777" w:rsidR="00F47ADA" w:rsidRPr="00F1131A" w:rsidRDefault="00F47ADA" w:rsidP="00F47ADA">
      <w:pPr>
        <w:rPr>
          <w:lang w:val="lv-LV"/>
        </w:rPr>
      </w:pPr>
      <w:r w:rsidRPr="00F1131A">
        <w:rPr>
          <w:lang w:val="lv-LV"/>
        </w:rPr>
        <w:t>79639 Grenzach-Wyhlen</w:t>
      </w:r>
    </w:p>
    <w:p w14:paraId="59A910F7" w14:textId="77777777" w:rsidR="00F47ADA" w:rsidRDefault="00F47ADA" w:rsidP="00F47ADA">
      <w:pPr>
        <w:rPr>
          <w:lang w:val="lv-LV"/>
        </w:rPr>
      </w:pPr>
      <w:r w:rsidRPr="00F1131A">
        <w:rPr>
          <w:lang w:val="lv-LV"/>
        </w:rPr>
        <w:t>Vācija</w:t>
      </w:r>
    </w:p>
    <w:p w14:paraId="45FCB237" w14:textId="77777777" w:rsidR="00F47ADA" w:rsidRDefault="00F47ADA" w:rsidP="00F47ADA">
      <w:pPr>
        <w:rPr>
          <w:lang w:val="lv-LV"/>
        </w:rPr>
      </w:pPr>
    </w:p>
    <w:p w14:paraId="0A4DC3B2" w14:textId="77777777" w:rsidR="00F47ADA" w:rsidRDefault="00F47ADA" w:rsidP="00F47ADA">
      <w:pPr>
        <w:rPr>
          <w:lang w:val="lv-LV"/>
        </w:rPr>
      </w:pPr>
    </w:p>
    <w:p w14:paraId="645943BA"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12.</w:t>
      </w:r>
      <w:r>
        <w:rPr>
          <w:b/>
          <w:lang w:val="lv-LV"/>
        </w:rPr>
        <w:tab/>
        <w:t xml:space="preserve">REĢISTRĀCIJAS APLIECĪBAS NUMURS(-I) </w:t>
      </w:r>
    </w:p>
    <w:p w14:paraId="4F881C06" w14:textId="77777777" w:rsidR="00F47ADA" w:rsidRDefault="00F47ADA" w:rsidP="00F47ADA">
      <w:pPr>
        <w:rPr>
          <w:lang w:val="lv-LV"/>
        </w:rPr>
      </w:pPr>
    </w:p>
    <w:p w14:paraId="33A7E9C6" w14:textId="77777777" w:rsidR="00F47ADA" w:rsidRDefault="00F47ADA" w:rsidP="00F47ADA">
      <w:pPr>
        <w:rPr>
          <w:lang w:val="lv-LV"/>
        </w:rPr>
      </w:pPr>
      <w:r w:rsidRPr="00E1075D">
        <w:rPr>
          <w:lang w:val="lv-LV"/>
        </w:rPr>
        <w:t>EU/1/08/492/007</w:t>
      </w:r>
      <w:r>
        <w:rPr>
          <w:lang w:val="lv-LV"/>
        </w:rPr>
        <w:t xml:space="preserve"> </w:t>
      </w:r>
      <w:r w:rsidRPr="00707120">
        <w:rPr>
          <w:highlight w:val="lightGray"/>
          <w:lang w:val="lv-LV"/>
        </w:rPr>
        <w:t>4 pilnšļirces</w:t>
      </w:r>
    </w:p>
    <w:p w14:paraId="4BC0115E" w14:textId="77777777" w:rsidR="00F47ADA" w:rsidRPr="00BB6CAD" w:rsidRDefault="00F47ADA" w:rsidP="00707120">
      <w:pPr>
        <w:pStyle w:val="Standard1"/>
      </w:pPr>
      <w:r w:rsidRPr="00042092">
        <w:rPr>
          <w:szCs w:val="22"/>
          <w:highlight w:val="lightGray"/>
        </w:rPr>
        <w:t xml:space="preserve">EU/1/08/492/008 Daudzdevu iepakojums: 12 (3 iepakojumi pa 4) </w:t>
      </w:r>
      <w:r w:rsidRPr="00707120">
        <w:rPr>
          <w:szCs w:val="22"/>
          <w:highlight w:val="lightGray"/>
        </w:rPr>
        <w:t>pilnšļirces</w:t>
      </w:r>
    </w:p>
    <w:p w14:paraId="22672515" w14:textId="77777777" w:rsidR="00F47ADA" w:rsidRDefault="00F47ADA" w:rsidP="00F47ADA">
      <w:pPr>
        <w:rPr>
          <w:lang w:val="lv-LV"/>
        </w:rPr>
      </w:pPr>
    </w:p>
    <w:p w14:paraId="6A06599D" w14:textId="77777777" w:rsidR="00F47ADA" w:rsidRDefault="00F47ADA" w:rsidP="00F47ADA">
      <w:pPr>
        <w:rPr>
          <w:lang w:val="lv-LV"/>
        </w:rPr>
      </w:pPr>
    </w:p>
    <w:p w14:paraId="10A8C4B7"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13.</w:t>
      </w:r>
      <w:r>
        <w:rPr>
          <w:b/>
          <w:lang w:val="lv-LV"/>
        </w:rPr>
        <w:tab/>
        <w:t>SĒRIJAS NUMURS</w:t>
      </w:r>
    </w:p>
    <w:p w14:paraId="358F4A71" w14:textId="77777777" w:rsidR="00F47ADA" w:rsidRDefault="00F47ADA" w:rsidP="00F47ADA">
      <w:pPr>
        <w:rPr>
          <w:lang w:val="lv-LV"/>
        </w:rPr>
      </w:pPr>
    </w:p>
    <w:p w14:paraId="5527A019" w14:textId="657A47FB" w:rsidR="00F47ADA" w:rsidRDefault="00F47ADA" w:rsidP="00F47ADA">
      <w:pPr>
        <w:rPr>
          <w:lang w:val="lv-LV"/>
        </w:rPr>
      </w:pPr>
      <w:r>
        <w:rPr>
          <w:lang w:val="lv-LV"/>
        </w:rPr>
        <w:t>Lot</w:t>
      </w:r>
    </w:p>
    <w:p w14:paraId="6C35D11F" w14:textId="77777777" w:rsidR="00F47ADA" w:rsidRDefault="00F47ADA" w:rsidP="00F47ADA">
      <w:pPr>
        <w:rPr>
          <w:lang w:val="lv-LV"/>
        </w:rPr>
      </w:pPr>
    </w:p>
    <w:p w14:paraId="67A47DA2" w14:textId="77777777" w:rsidR="00F47ADA" w:rsidRDefault="00F47ADA" w:rsidP="00F47ADA">
      <w:pPr>
        <w:rPr>
          <w:lang w:val="lv-LV"/>
        </w:rPr>
      </w:pPr>
    </w:p>
    <w:p w14:paraId="2C7494EE"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14.</w:t>
      </w:r>
      <w:r>
        <w:rPr>
          <w:b/>
          <w:lang w:val="lv-LV"/>
        </w:rPr>
        <w:tab/>
        <w:t>IZSNIEGŠANAS KĀRTĪBA</w:t>
      </w:r>
    </w:p>
    <w:p w14:paraId="0F824994" w14:textId="77777777" w:rsidR="00F47ADA" w:rsidRDefault="00F47ADA" w:rsidP="00F47ADA">
      <w:pPr>
        <w:rPr>
          <w:lang w:val="lv-LV"/>
        </w:rPr>
      </w:pPr>
    </w:p>
    <w:p w14:paraId="144D6173" w14:textId="77777777" w:rsidR="00F47ADA" w:rsidRDefault="00F47ADA" w:rsidP="00F47ADA">
      <w:pPr>
        <w:rPr>
          <w:lang w:val="lv-LV"/>
        </w:rPr>
      </w:pPr>
    </w:p>
    <w:p w14:paraId="77A03278"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15.</w:t>
      </w:r>
      <w:r>
        <w:rPr>
          <w:b/>
          <w:lang w:val="lv-LV"/>
        </w:rPr>
        <w:tab/>
        <w:t>NORĀDĪJUMI PAR LIETOŠANU</w:t>
      </w:r>
    </w:p>
    <w:p w14:paraId="57BD208D" w14:textId="77777777" w:rsidR="00F47ADA" w:rsidRDefault="00F47ADA" w:rsidP="00F47ADA">
      <w:pPr>
        <w:rPr>
          <w:lang w:val="lv-LV"/>
        </w:rPr>
      </w:pPr>
    </w:p>
    <w:p w14:paraId="0D969DEA" w14:textId="77777777" w:rsidR="00F47ADA" w:rsidRDefault="00F47ADA" w:rsidP="00F47ADA">
      <w:pPr>
        <w:rPr>
          <w:lang w:val="lv-LV"/>
        </w:rPr>
      </w:pPr>
    </w:p>
    <w:p w14:paraId="6634C191"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16.</w:t>
      </w:r>
      <w:r>
        <w:rPr>
          <w:b/>
          <w:lang w:val="lv-LV"/>
        </w:rPr>
        <w:tab/>
        <w:t>INFORMĀCIJA BRAILA RAKSTĀ</w:t>
      </w:r>
    </w:p>
    <w:p w14:paraId="10F2D449" w14:textId="77777777" w:rsidR="00F47ADA" w:rsidRDefault="00F47ADA" w:rsidP="00F47ADA">
      <w:pPr>
        <w:rPr>
          <w:lang w:val="lv-LV"/>
        </w:rPr>
      </w:pPr>
    </w:p>
    <w:p w14:paraId="4EC6AA9E" w14:textId="027B9F6D" w:rsidR="00F47ADA" w:rsidRDefault="00F47ADA" w:rsidP="00F47ADA">
      <w:pPr>
        <w:rPr>
          <w:lang w:val="lv-LV"/>
        </w:rPr>
      </w:pPr>
      <w:r>
        <w:rPr>
          <w:lang w:val="lv-LV"/>
        </w:rPr>
        <w:t>roactemra 162 mg</w:t>
      </w:r>
      <w:r w:rsidR="00176F88">
        <w:rPr>
          <w:lang w:val="lv-LV"/>
        </w:rPr>
        <w:t xml:space="preserve"> šļirce</w:t>
      </w:r>
    </w:p>
    <w:p w14:paraId="368C4EC8" w14:textId="77777777" w:rsidR="00F47ADA" w:rsidRDefault="00F47ADA" w:rsidP="00F47ADA">
      <w:pPr>
        <w:rPr>
          <w:lang w:val="lv-LV"/>
        </w:rPr>
      </w:pPr>
    </w:p>
    <w:p w14:paraId="3FB73143" w14:textId="77777777" w:rsidR="00F47ADA" w:rsidRDefault="00F47ADA" w:rsidP="00F47ADA">
      <w:pPr>
        <w:rPr>
          <w:lang w:val="lv-LV"/>
        </w:rPr>
      </w:pPr>
    </w:p>
    <w:p w14:paraId="71E9B2AD" w14:textId="77777777" w:rsidR="00F47ADA" w:rsidRPr="00A34D5C" w:rsidRDefault="00F47ADA" w:rsidP="00F47ADA">
      <w:pPr>
        <w:keepNext/>
        <w:pBdr>
          <w:top w:val="single" w:sz="4" w:space="1" w:color="auto"/>
          <w:left w:val="single" w:sz="4" w:space="4" w:color="auto"/>
          <w:bottom w:val="single" w:sz="4" w:space="1" w:color="auto"/>
          <w:right w:val="single" w:sz="4" w:space="4" w:color="auto"/>
        </w:pBdr>
        <w:tabs>
          <w:tab w:val="left" w:pos="567"/>
        </w:tabs>
        <w:suppressAutoHyphens w:val="0"/>
        <w:outlineLvl w:val="0"/>
        <w:rPr>
          <w:i/>
          <w:noProof/>
          <w:lang w:val="lv-LV" w:eastAsia="lv-LV" w:bidi="lv-LV"/>
        </w:rPr>
      </w:pPr>
      <w:r w:rsidRPr="00A34D5C">
        <w:rPr>
          <w:b/>
          <w:noProof/>
          <w:lang w:val="lv-LV" w:eastAsia="lv-LV" w:bidi="lv-LV"/>
        </w:rPr>
        <w:t>17.</w:t>
      </w:r>
      <w:r w:rsidRPr="00A34D5C">
        <w:rPr>
          <w:b/>
          <w:noProof/>
          <w:lang w:val="lv-LV" w:eastAsia="lv-LV" w:bidi="lv-LV"/>
        </w:rPr>
        <w:tab/>
        <w:t>UNIKĀLS IDENTIFIKATORS – 2D SVĪTRKODS</w:t>
      </w:r>
    </w:p>
    <w:p w14:paraId="2D7880CC" w14:textId="77777777" w:rsidR="00F47ADA" w:rsidRPr="00A34D5C" w:rsidRDefault="00F47ADA" w:rsidP="00F47ADA">
      <w:pPr>
        <w:suppressAutoHyphens w:val="0"/>
        <w:rPr>
          <w:noProof/>
          <w:lang w:val="lv-LV" w:eastAsia="lv-LV" w:bidi="lv-LV"/>
        </w:rPr>
      </w:pPr>
    </w:p>
    <w:p w14:paraId="02F1E5F5" w14:textId="77777777" w:rsidR="00F47ADA" w:rsidRPr="00A34D5C" w:rsidRDefault="00F47ADA" w:rsidP="00F47ADA">
      <w:pPr>
        <w:suppressAutoHyphens w:val="0"/>
        <w:rPr>
          <w:noProof/>
          <w:szCs w:val="22"/>
          <w:shd w:val="clear" w:color="auto" w:fill="CCCCCC"/>
          <w:lang w:val="lv-LV" w:eastAsia="lv-LV" w:bidi="lv-LV"/>
        </w:rPr>
      </w:pPr>
      <w:r w:rsidRPr="00A34D5C">
        <w:rPr>
          <w:noProof/>
          <w:highlight w:val="lightGray"/>
          <w:lang w:val="lv-LV" w:eastAsia="lv-LV" w:bidi="lv-LV"/>
        </w:rPr>
        <w:t>2D svītrkods, kurā i</w:t>
      </w:r>
      <w:r>
        <w:rPr>
          <w:noProof/>
          <w:highlight w:val="lightGray"/>
          <w:lang w:val="lv-LV" w:eastAsia="lv-LV" w:bidi="lv-LV"/>
        </w:rPr>
        <w:t>ekļauts unikāls identifikators.</w:t>
      </w:r>
    </w:p>
    <w:p w14:paraId="150FA54C" w14:textId="77777777" w:rsidR="00F47ADA" w:rsidRPr="00A34D5C" w:rsidRDefault="00F47ADA" w:rsidP="00F47ADA">
      <w:pPr>
        <w:suppressAutoHyphens w:val="0"/>
        <w:rPr>
          <w:noProof/>
          <w:szCs w:val="22"/>
          <w:shd w:val="clear" w:color="auto" w:fill="CCCCCC"/>
          <w:lang w:val="lv-LV" w:eastAsia="lv-LV" w:bidi="lv-LV"/>
        </w:rPr>
      </w:pPr>
    </w:p>
    <w:p w14:paraId="14451E6B" w14:textId="77777777" w:rsidR="00F47ADA" w:rsidRPr="00A34D5C" w:rsidRDefault="00F47ADA" w:rsidP="00F47ADA">
      <w:pPr>
        <w:suppressAutoHyphens w:val="0"/>
        <w:rPr>
          <w:noProof/>
          <w:lang w:val="lv-LV" w:eastAsia="lv-LV" w:bidi="lv-LV"/>
        </w:rPr>
      </w:pPr>
    </w:p>
    <w:p w14:paraId="3AACB621" w14:textId="77777777" w:rsidR="00F47ADA" w:rsidRPr="00A34D5C" w:rsidRDefault="00F47ADA" w:rsidP="00F47ADA">
      <w:pPr>
        <w:keepNext/>
        <w:keepLines/>
        <w:pBdr>
          <w:top w:val="single" w:sz="4" w:space="1" w:color="auto"/>
          <w:left w:val="single" w:sz="4" w:space="4" w:color="auto"/>
          <w:bottom w:val="single" w:sz="4" w:space="1" w:color="auto"/>
          <w:right w:val="single" w:sz="4" w:space="4" w:color="auto"/>
        </w:pBdr>
        <w:tabs>
          <w:tab w:val="left" w:pos="567"/>
        </w:tabs>
        <w:suppressAutoHyphens w:val="0"/>
        <w:outlineLvl w:val="0"/>
        <w:rPr>
          <w:i/>
          <w:noProof/>
          <w:lang w:val="lv-LV" w:eastAsia="lv-LV" w:bidi="lv-LV"/>
        </w:rPr>
      </w:pPr>
      <w:r w:rsidRPr="00A34D5C">
        <w:rPr>
          <w:b/>
          <w:noProof/>
          <w:lang w:val="lv-LV" w:eastAsia="lv-LV" w:bidi="lv-LV"/>
        </w:rPr>
        <w:t>18.</w:t>
      </w:r>
      <w:r w:rsidRPr="00A34D5C">
        <w:rPr>
          <w:b/>
          <w:noProof/>
          <w:lang w:val="lv-LV" w:eastAsia="lv-LV" w:bidi="lv-LV"/>
        </w:rPr>
        <w:tab/>
        <w:t>UNIKĀLS IDENTIFIKATORS – DATI, KURUS VAR NOLASĪT PERSONA</w:t>
      </w:r>
    </w:p>
    <w:p w14:paraId="0ED3DFDD" w14:textId="77777777" w:rsidR="00F47ADA" w:rsidRPr="00A34D5C" w:rsidRDefault="00F47ADA" w:rsidP="00F47ADA">
      <w:pPr>
        <w:keepNext/>
        <w:keepLines/>
        <w:suppressAutoHyphens w:val="0"/>
        <w:rPr>
          <w:noProof/>
          <w:lang w:val="lv-LV" w:eastAsia="lv-LV" w:bidi="lv-LV"/>
        </w:rPr>
      </w:pPr>
    </w:p>
    <w:p w14:paraId="713FECE3" w14:textId="77777777" w:rsidR="00F47ADA" w:rsidRPr="002B2DFF" w:rsidRDefault="00F47ADA" w:rsidP="00F47ADA">
      <w:pPr>
        <w:keepNext/>
        <w:keepLines/>
        <w:suppressAutoHyphens w:val="0"/>
        <w:rPr>
          <w:szCs w:val="22"/>
          <w:lang w:val="lv-LV" w:eastAsia="lv-LV" w:bidi="lv-LV"/>
        </w:rPr>
      </w:pPr>
      <w:r w:rsidRPr="00A34D5C">
        <w:rPr>
          <w:lang w:val="lv-LV" w:eastAsia="lv-LV" w:bidi="lv-LV"/>
        </w:rPr>
        <w:t xml:space="preserve">PC </w:t>
      </w:r>
    </w:p>
    <w:p w14:paraId="3C6FA4DF" w14:textId="77777777" w:rsidR="00F47ADA" w:rsidRPr="00A34D5C" w:rsidRDefault="00F47ADA" w:rsidP="00F47ADA">
      <w:pPr>
        <w:keepNext/>
        <w:keepLines/>
        <w:suppressAutoHyphens w:val="0"/>
        <w:rPr>
          <w:szCs w:val="22"/>
          <w:lang w:val="lv-LV" w:eastAsia="lv-LV" w:bidi="lv-LV"/>
        </w:rPr>
      </w:pPr>
      <w:r w:rsidRPr="00A34D5C">
        <w:rPr>
          <w:lang w:val="lv-LV" w:eastAsia="lv-LV" w:bidi="lv-LV"/>
        </w:rPr>
        <w:t xml:space="preserve">SN </w:t>
      </w:r>
    </w:p>
    <w:p w14:paraId="2214C1C6" w14:textId="77777777" w:rsidR="00F47ADA" w:rsidRPr="00A34D5C" w:rsidRDefault="00F47ADA" w:rsidP="00F47ADA">
      <w:pPr>
        <w:keepNext/>
        <w:keepLines/>
        <w:suppressAutoHyphens w:val="0"/>
        <w:rPr>
          <w:szCs w:val="22"/>
          <w:lang w:val="lv-LV" w:eastAsia="ja-JP"/>
        </w:rPr>
      </w:pPr>
      <w:r w:rsidRPr="00A34D5C">
        <w:rPr>
          <w:lang w:val="lv-LV" w:eastAsia="lv-LV" w:bidi="lv-LV"/>
        </w:rPr>
        <w:t xml:space="preserve">NN </w:t>
      </w:r>
    </w:p>
    <w:p w14:paraId="115A9CB4" w14:textId="77777777" w:rsidR="00F47ADA" w:rsidRDefault="00F47ADA" w:rsidP="00F47ADA">
      <w:pPr>
        <w:rPr>
          <w:lang w:val="lv-LV"/>
        </w:rPr>
      </w:pPr>
      <w:r>
        <w:rPr>
          <w:lang w:val="lv-LV"/>
        </w:rPr>
        <w:br w:type="page"/>
      </w:r>
    </w:p>
    <w:p w14:paraId="418F5747" w14:textId="77777777" w:rsidR="00F47ADA" w:rsidRDefault="00F47ADA" w:rsidP="00F47ADA">
      <w:pPr>
        <w:pBdr>
          <w:top w:val="single" w:sz="4" w:space="1" w:color="000000"/>
          <w:left w:val="single" w:sz="4" w:space="4" w:color="000000"/>
          <w:bottom w:val="single" w:sz="4" w:space="1" w:color="000000"/>
          <w:right w:val="single" w:sz="4" w:space="4" w:color="000000"/>
        </w:pBdr>
        <w:rPr>
          <w:bCs/>
          <w:lang w:val="lv-LV"/>
        </w:rPr>
      </w:pPr>
      <w:r>
        <w:rPr>
          <w:b/>
          <w:lang w:val="lv-LV"/>
        </w:rPr>
        <w:t>INFORMĀCIJA, KAS JĀNORĀDA UZ ĀRĒJĀ IEPAKOJUMA</w:t>
      </w:r>
    </w:p>
    <w:p w14:paraId="3314139D"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bCs/>
          <w:lang w:val="lv-LV"/>
        </w:rPr>
      </w:pPr>
    </w:p>
    <w:p w14:paraId="24413931" w14:textId="77777777" w:rsidR="00F47ADA" w:rsidRDefault="00F47ADA" w:rsidP="00F47ADA">
      <w:pPr>
        <w:pBdr>
          <w:top w:val="single" w:sz="4" w:space="1" w:color="000000"/>
          <w:left w:val="single" w:sz="4" w:space="4" w:color="000000"/>
          <w:bottom w:val="single" w:sz="4" w:space="1" w:color="000000"/>
          <w:right w:val="single" w:sz="4" w:space="4" w:color="000000"/>
        </w:pBdr>
        <w:rPr>
          <w:lang w:val="lv-LV"/>
        </w:rPr>
      </w:pPr>
      <w:r>
        <w:rPr>
          <w:b/>
          <w:lang w:val="lv-LV"/>
        </w:rPr>
        <w:t xml:space="preserve">PILNŠĻIRCES KASTĪTE (bez </w:t>
      </w:r>
      <w:r>
        <w:rPr>
          <w:b/>
          <w:i/>
          <w:lang w:val="lv-LV"/>
        </w:rPr>
        <w:t>BLUE BOX</w:t>
      </w:r>
      <w:r>
        <w:rPr>
          <w:b/>
          <w:lang w:val="lv-LV"/>
        </w:rPr>
        <w:t>) - Daudzdevu iepakojums</w:t>
      </w:r>
    </w:p>
    <w:p w14:paraId="753BC764" w14:textId="77777777" w:rsidR="00F47ADA" w:rsidRDefault="00F47ADA" w:rsidP="00F47ADA">
      <w:pPr>
        <w:rPr>
          <w:lang w:val="lv-LV"/>
        </w:rPr>
      </w:pPr>
    </w:p>
    <w:p w14:paraId="115D492F" w14:textId="77777777" w:rsidR="00F47ADA" w:rsidRDefault="00F47ADA" w:rsidP="00F47ADA">
      <w:pPr>
        <w:rPr>
          <w:lang w:val="lv-LV"/>
        </w:rPr>
      </w:pPr>
    </w:p>
    <w:p w14:paraId="42CD3B4F"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1.</w:t>
      </w:r>
      <w:r>
        <w:rPr>
          <w:b/>
          <w:lang w:val="lv-LV"/>
        </w:rPr>
        <w:tab/>
        <w:t>ZĀĻU NOSAUKUMS</w:t>
      </w:r>
    </w:p>
    <w:p w14:paraId="5669181F" w14:textId="77777777" w:rsidR="00F47ADA" w:rsidRDefault="00F47ADA" w:rsidP="00F47ADA">
      <w:pPr>
        <w:rPr>
          <w:lang w:val="lv-LV"/>
        </w:rPr>
      </w:pPr>
    </w:p>
    <w:p w14:paraId="18CF2F9C" w14:textId="77777777" w:rsidR="00F47ADA" w:rsidRDefault="00F47ADA" w:rsidP="00F47ADA">
      <w:pPr>
        <w:rPr>
          <w:lang w:val="lv-LV"/>
        </w:rPr>
      </w:pPr>
      <w:r>
        <w:rPr>
          <w:lang w:val="lv-LV"/>
        </w:rPr>
        <w:t>RoActemra 162 mg šķīdums injekcijām pilnšļircē</w:t>
      </w:r>
    </w:p>
    <w:p w14:paraId="5719A538" w14:textId="77777777" w:rsidR="00F47ADA" w:rsidRPr="00A203E4" w:rsidRDefault="00F47ADA" w:rsidP="00F47ADA">
      <w:pPr>
        <w:rPr>
          <w:iCs/>
          <w:lang w:val="lv-LV"/>
        </w:rPr>
      </w:pPr>
      <w:r w:rsidRPr="00A203E4">
        <w:rPr>
          <w:iCs/>
          <w:lang w:val="lv-LV"/>
        </w:rPr>
        <w:t>tocilizumab</w:t>
      </w:r>
    </w:p>
    <w:p w14:paraId="0DE44AD6" w14:textId="77777777" w:rsidR="00F47ADA" w:rsidRDefault="00F47ADA" w:rsidP="00F47ADA">
      <w:pPr>
        <w:rPr>
          <w:lang w:val="lv-LV"/>
        </w:rPr>
      </w:pPr>
    </w:p>
    <w:p w14:paraId="0A17A007" w14:textId="77777777" w:rsidR="00F47ADA" w:rsidRDefault="00F47ADA" w:rsidP="00F47ADA">
      <w:pPr>
        <w:rPr>
          <w:lang w:val="lv-LV"/>
        </w:rPr>
      </w:pPr>
    </w:p>
    <w:p w14:paraId="4762ED6E" w14:textId="4D97EE2E"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2.</w:t>
      </w:r>
      <w:r>
        <w:rPr>
          <w:b/>
          <w:lang w:val="lv-LV"/>
        </w:rPr>
        <w:tab/>
        <w:t>AKTĪVĀS</w:t>
      </w:r>
      <w:del w:id="1574" w:author="Author">
        <w:r w:rsidDel="00EB3681">
          <w:rPr>
            <w:b/>
            <w:lang w:val="lv-LV"/>
          </w:rPr>
          <w:delText>(-O)</w:delText>
        </w:r>
      </w:del>
      <w:r>
        <w:rPr>
          <w:b/>
          <w:lang w:val="lv-LV"/>
        </w:rPr>
        <w:t xml:space="preserve"> VIELAS</w:t>
      </w:r>
      <w:del w:id="1575" w:author="Author">
        <w:r w:rsidDel="00EB3681">
          <w:rPr>
            <w:b/>
            <w:lang w:val="lv-LV"/>
          </w:rPr>
          <w:delText>(-U)</w:delText>
        </w:r>
      </w:del>
      <w:r>
        <w:rPr>
          <w:b/>
          <w:lang w:val="lv-LV"/>
        </w:rPr>
        <w:t xml:space="preserve"> NOSAUKUMS</w:t>
      </w:r>
      <w:del w:id="1576" w:author="Author">
        <w:r w:rsidDel="00EB3681">
          <w:rPr>
            <w:b/>
            <w:lang w:val="lv-LV"/>
          </w:rPr>
          <w:delText>(-I)</w:delText>
        </w:r>
      </w:del>
      <w:r>
        <w:rPr>
          <w:b/>
          <w:lang w:val="lv-LV"/>
        </w:rPr>
        <w:t xml:space="preserve"> UN DAUDZUMS</w:t>
      </w:r>
      <w:del w:id="1577" w:author="Author">
        <w:r w:rsidDel="003126F3">
          <w:rPr>
            <w:b/>
            <w:lang w:val="lv-LV"/>
          </w:rPr>
          <w:delText>(-I)</w:delText>
        </w:r>
      </w:del>
    </w:p>
    <w:p w14:paraId="393B7A57" w14:textId="77777777" w:rsidR="00F47ADA" w:rsidRDefault="00F47ADA" w:rsidP="00F47ADA">
      <w:pPr>
        <w:rPr>
          <w:lang w:val="lv-LV"/>
        </w:rPr>
      </w:pPr>
    </w:p>
    <w:p w14:paraId="39D12C3B" w14:textId="77777777" w:rsidR="00F47ADA" w:rsidRDefault="00F47ADA" w:rsidP="00F47ADA">
      <w:pPr>
        <w:rPr>
          <w:lang w:val="lv-LV"/>
        </w:rPr>
      </w:pPr>
      <w:r>
        <w:rPr>
          <w:lang w:val="lv-LV"/>
        </w:rPr>
        <w:t>1 pilnšļirce satur 162 mg tocilizumaba.</w:t>
      </w:r>
    </w:p>
    <w:p w14:paraId="289A97FF" w14:textId="77777777" w:rsidR="00F47ADA" w:rsidRDefault="00F47ADA" w:rsidP="00F47ADA">
      <w:pPr>
        <w:rPr>
          <w:lang w:val="lv-LV"/>
        </w:rPr>
      </w:pPr>
    </w:p>
    <w:p w14:paraId="4DC5CCD4" w14:textId="77777777" w:rsidR="00F47ADA" w:rsidRDefault="00F47ADA" w:rsidP="00F47ADA">
      <w:pPr>
        <w:rPr>
          <w:lang w:val="lv-LV"/>
        </w:rPr>
      </w:pPr>
    </w:p>
    <w:p w14:paraId="384FCDE3"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3.</w:t>
      </w:r>
      <w:r>
        <w:rPr>
          <w:b/>
          <w:lang w:val="lv-LV"/>
        </w:rPr>
        <w:tab/>
        <w:t>PALĪGVIELU SARAKSTS</w:t>
      </w:r>
    </w:p>
    <w:p w14:paraId="689A5461" w14:textId="77777777" w:rsidR="00F47ADA" w:rsidRDefault="00F47ADA" w:rsidP="00F47ADA">
      <w:pPr>
        <w:rPr>
          <w:lang w:val="lv-LV"/>
        </w:rPr>
      </w:pPr>
    </w:p>
    <w:p w14:paraId="03A4020E" w14:textId="3D4169BE" w:rsidR="00F47ADA" w:rsidRDefault="00F47ADA" w:rsidP="00F47ADA">
      <w:pPr>
        <w:autoSpaceDE w:val="0"/>
        <w:rPr>
          <w:lang w:val="lv-LV"/>
        </w:rPr>
      </w:pPr>
      <w:r>
        <w:rPr>
          <w:rFonts w:eastAsia="PMingLiU"/>
          <w:bCs/>
          <w:szCs w:val="22"/>
          <w:lang w:val="lv-LV"/>
        </w:rPr>
        <w:t xml:space="preserve">Satur arī L-histidīnu, L-histidīna monohidrohlorīda monohidrātu, </w:t>
      </w:r>
      <w:r w:rsidRPr="00466156">
        <w:rPr>
          <w:rFonts w:eastAsia="PMingLiU"/>
          <w:bCs/>
          <w:szCs w:val="22"/>
          <w:highlight w:val="lightGray"/>
          <w:lang w:val="lv-LV"/>
        </w:rPr>
        <w:t>L-arginīn</w:t>
      </w:r>
      <w:r>
        <w:rPr>
          <w:rFonts w:eastAsia="PMingLiU"/>
          <w:bCs/>
          <w:szCs w:val="22"/>
          <w:highlight w:val="lightGray"/>
          <w:lang w:val="lv-LV"/>
        </w:rPr>
        <w:t>u</w:t>
      </w:r>
      <w:r w:rsidRPr="00466156">
        <w:rPr>
          <w:rFonts w:eastAsia="PMingLiU"/>
          <w:bCs/>
          <w:szCs w:val="22"/>
          <w:highlight w:val="lightGray"/>
          <w:lang w:val="lv-LV"/>
        </w:rPr>
        <w:t>/</w:t>
      </w:r>
      <w:r>
        <w:rPr>
          <w:rFonts w:eastAsia="PMingLiU"/>
          <w:bCs/>
          <w:szCs w:val="22"/>
          <w:lang w:val="lv-LV"/>
        </w:rPr>
        <w:t>L-arginīna hidrohlorīdu, L-metionīnu, polisorbātu</w:t>
      </w:r>
      <w:r w:rsidR="00195183">
        <w:rPr>
          <w:rFonts w:eastAsia="PMingLiU"/>
          <w:bCs/>
          <w:szCs w:val="22"/>
          <w:lang w:val="lv-LV"/>
        </w:rPr>
        <w:t> </w:t>
      </w:r>
      <w:r>
        <w:rPr>
          <w:rFonts w:eastAsia="PMingLiU"/>
          <w:bCs/>
          <w:szCs w:val="22"/>
          <w:lang w:val="lv-LV"/>
        </w:rPr>
        <w:t>80, ūdeni injekcijām.</w:t>
      </w:r>
      <w:r>
        <w:rPr>
          <w:lang w:val="lv-LV"/>
        </w:rPr>
        <w:t xml:space="preserve"> </w:t>
      </w:r>
      <w:r w:rsidR="000B68D9" w:rsidRPr="00707120">
        <w:rPr>
          <w:highlight w:val="lightGray"/>
          <w:lang w:val="lv-LV"/>
        </w:rPr>
        <w:t>Sīkāku informāciju skatīt lietošanas instrukcijā.</w:t>
      </w:r>
    </w:p>
    <w:p w14:paraId="45EF8D61" w14:textId="77777777" w:rsidR="00F47ADA" w:rsidRDefault="00F47ADA" w:rsidP="00F47ADA">
      <w:pPr>
        <w:rPr>
          <w:lang w:val="lv-LV"/>
        </w:rPr>
      </w:pPr>
    </w:p>
    <w:p w14:paraId="120FA838" w14:textId="77777777" w:rsidR="00F47ADA" w:rsidRDefault="00F47ADA" w:rsidP="00F47ADA">
      <w:pPr>
        <w:rPr>
          <w:lang w:val="lv-LV"/>
        </w:rPr>
      </w:pPr>
    </w:p>
    <w:p w14:paraId="7DB527FC"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4.</w:t>
      </w:r>
      <w:r>
        <w:rPr>
          <w:b/>
          <w:lang w:val="lv-LV"/>
        </w:rPr>
        <w:tab/>
        <w:t>ZĀĻU FORMA UN SATURS</w:t>
      </w:r>
    </w:p>
    <w:p w14:paraId="29CBDEDE" w14:textId="77777777" w:rsidR="00F47ADA" w:rsidRDefault="00F47ADA" w:rsidP="00F47ADA">
      <w:pPr>
        <w:rPr>
          <w:lang w:val="lv-LV"/>
        </w:rPr>
      </w:pPr>
    </w:p>
    <w:p w14:paraId="0D31A8EB" w14:textId="11827BFD" w:rsidR="00F47ADA" w:rsidRDefault="00F47ADA" w:rsidP="00F47ADA">
      <w:pPr>
        <w:rPr>
          <w:lang w:val="lv-LV"/>
        </w:rPr>
      </w:pPr>
      <w:r w:rsidRPr="00707120">
        <w:rPr>
          <w:highlight w:val="lightGray"/>
          <w:lang w:val="lv-LV"/>
        </w:rPr>
        <w:t>Šķīdums injekcijām</w:t>
      </w:r>
    </w:p>
    <w:p w14:paraId="4529F0AD" w14:textId="55DB5AD9" w:rsidR="00F47ADA" w:rsidRDefault="00F47ADA" w:rsidP="00F47ADA">
      <w:pPr>
        <w:rPr>
          <w:iCs/>
          <w:lang w:val="lv-LV"/>
        </w:rPr>
      </w:pPr>
      <w:r>
        <w:rPr>
          <w:iCs/>
          <w:lang w:val="lv-LV"/>
        </w:rPr>
        <w:t>4</w:t>
      </w:r>
      <w:r w:rsidR="009801B9">
        <w:rPr>
          <w:iCs/>
          <w:lang w:val="lv-LV"/>
        </w:rPr>
        <w:t> </w:t>
      </w:r>
      <w:r>
        <w:rPr>
          <w:iCs/>
          <w:lang w:val="lv-LV"/>
        </w:rPr>
        <w:t>pilnšļirces. Daudzdevu iepakojuma elementi nedrīkst tikt pārdoti atsevišķi.</w:t>
      </w:r>
    </w:p>
    <w:p w14:paraId="7502E440" w14:textId="365B7281" w:rsidR="00F47ADA" w:rsidRDefault="00F47ADA" w:rsidP="00F47ADA">
      <w:pPr>
        <w:rPr>
          <w:lang w:val="lv-LV"/>
        </w:rPr>
      </w:pPr>
      <w:r>
        <w:rPr>
          <w:lang w:val="lv-LV"/>
        </w:rPr>
        <w:t>162 mg/0,9</w:t>
      </w:r>
      <w:r>
        <w:rPr>
          <w:sz w:val="20"/>
          <w:szCs w:val="18"/>
          <w:lang w:val="lv-LV"/>
        </w:rPr>
        <w:t> </w:t>
      </w:r>
      <w:r>
        <w:rPr>
          <w:lang w:val="lv-LV"/>
        </w:rPr>
        <w:t>ml</w:t>
      </w:r>
    </w:p>
    <w:p w14:paraId="0AFB6F6D" w14:textId="77777777" w:rsidR="00F47ADA" w:rsidRDefault="00F47ADA" w:rsidP="00F47ADA">
      <w:pPr>
        <w:rPr>
          <w:lang w:val="lv-LV"/>
        </w:rPr>
      </w:pPr>
    </w:p>
    <w:p w14:paraId="6AEE6BF5" w14:textId="77777777" w:rsidR="00F47ADA" w:rsidRDefault="00F47ADA" w:rsidP="00F47ADA">
      <w:pPr>
        <w:rPr>
          <w:lang w:val="lv-LV"/>
        </w:rPr>
      </w:pPr>
    </w:p>
    <w:p w14:paraId="57B07B28" w14:textId="76A1EFA1" w:rsidR="00F47ADA" w:rsidRDefault="00F47ADA" w:rsidP="00F47ADA">
      <w:pPr>
        <w:pBdr>
          <w:top w:val="single" w:sz="4" w:space="1" w:color="000000"/>
          <w:left w:val="single" w:sz="4" w:space="4" w:color="000000"/>
          <w:bottom w:val="single" w:sz="4" w:space="1" w:color="000000"/>
          <w:right w:val="single" w:sz="4" w:space="4" w:color="000000"/>
        </w:pBdr>
        <w:ind w:left="567" w:hanging="567"/>
        <w:rPr>
          <w:i/>
          <w:lang w:val="lv-LV"/>
        </w:rPr>
      </w:pPr>
      <w:r>
        <w:rPr>
          <w:b/>
          <w:lang w:val="lv-LV"/>
        </w:rPr>
        <w:t>5.</w:t>
      </w:r>
      <w:r>
        <w:rPr>
          <w:b/>
          <w:lang w:val="lv-LV"/>
        </w:rPr>
        <w:tab/>
        <w:t>LIETOŠANAS UN IEVADĪŠANAS VEIDS</w:t>
      </w:r>
      <w:del w:id="1578" w:author="Author">
        <w:r w:rsidDel="003126F3">
          <w:rPr>
            <w:b/>
            <w:lang w:val="lv-LV"/>
          </w:rPr>
          <w:delText>(-I)</w:delText>
        </w:r>
      </w:del>
    </w:p>
    <w:p w14:paraId="28718FC4" w14:textId="77777777" w:rsidR="00F47ADA" w:rsidRDefault="00F47ADA" w:rsidP="00F47ADA">
      <w:pPr>
        <w:rPr>
          <w:i/>
          <w:lang w:val="lv-LV"/>
        </w:rPr>
      </w:pPr>
    </w:p>
    <w:p w14:paraId="27A50AB3" w14:textId="77777777" w:rsidR="00F47ADA" w:rsidRDefault="00F47ADA" w:rsidP="00F47ADA">
      <w:pPr>
        <w:rPr>
          <w:lang w:val="lv-LV"/>
        </w:rPr>
      </w:pPr>
      <w:r>
        <w:rPr>
          <w:lang w:val="lv-LV"/>
        </w:rPr>
        <w:t>Subkutānai lietošanai</w:t>
      </w:r>
    </w:p>
    <w:p w14:paraId="01984D39" w14:textId="77777777" w:rsidR="00F47ADA" w:rsidRDefault="00F47ADA" w:rsidP="00F47ADA">
      <w:pPr>
        <w:rPr>
          <w:lang w:val="lv-LV"/>
        </w:rPr>
      </w:pPr>
      <w:r>
        <w:rPr>
          <w:lang w:val="lv-LV"/>
        </w:rPr>
        <w:t>Pirms lietošanas izlasiet lietošanas instrukciju</w:t>
      </w:r>
    </w:p>
    <w:p w14:paraId="4AD72F2A" w14:textId="77777777" w:rsidR="00F47ADA" w:rsidRDefault="00F47ADA" w:rsidP="00F47ADA">
      <w:pPr>
        <w:rPr>
          <w:lang w:val="lv-LV"/>
        </w:rPr>
      </w:pPr>
    </w:p>
    <w:p w14:paraId="3C394596" w14:textId="77777777" w:rsidR="00F47ADA" w:rsidRDefault="00F47ADA" w:rsidP="00F47ADA">
      <w:pPr>
        <w:rPr>
          <w:lang w:val="lv-LV"/>
        </w:rPr>
      </w:pPr>
    </w:p>
    <w:p w14:paraId="7C2F5CF0"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6.</w:t>
      </w:r>
      <w:r>
        <w:rPr>
          <w:b/>
          <w:lang w:val="lv-LV"/>
        </w:rPr>
        <w:tab/>
        <w:t>ĪPAŠI BRĪDINĀJUMI PAR ZĀĻU UZGLABĀŠANU BĒRNIEM NEREDZAMĀ UN NEPIEEJAMĀ VIETĀ</w:t>
      </w:r>
    </w:p>
    <w:p w14:paraId="400D4E09" w14:textId="77777777" w:rsidR="00F47ADA" w:rsidRDefault="00F47ADA" w:rsidP="00F47ADA">
      <w:pPr>
        <w:rPr>
          <w:lang w:val="lv-LV"/>
        </w:rPr>
      </w:pPr>
    </w:p>
    <w:p w14:paraId="59778A02" w14:textId="77777777" w:rsidR="00F47ADA" w:rsidRDefault="00F47ADA" w:rsidP="00F47ADA">
      <w:pPr>
        <w:rPr>
          <w:lang w:val="lv-LV"/>
        </w:rPr>
      </w:pPr>
      <w:r>
        <w:rPr>
          <w:lang w:val="lv-LV"/>
        </w:rPr>
        <w:t>Uzglabāt bērniem neredzamā un nepieejamā vietā</w:t>
      </w:r>
    </w:p>
    <w:p w14:paraId="59F6474A" w14:textId="77777777" w:rsidR="00F47ADA" w:rsidRDefault="00F47ADA" w:rsidP="00F47ADA">
      <w:pPr>
        <w:rPr>
          <w:lang w:val="lv-LV"/>
        </w:rPr>
      </w:pPr>
    </w:p>
    <w:p w14:paraId="5819D68C" w14:textId="77777777" w:rsidR="00F47ADA" w:rsidRDefault="00F47ADA" w:rsidP="00F47ADA">
      <w:pPr>
        <w:rPr>
          <w:lang w:val="lv-LV"/>
        </w:rPr>
      </w:pPr>
    </w:p>
    <w:p w14:paraId="72488B94"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7.</w:t>
      </w:r>
      <w:r>
        <w:rPr>
          <w:b/>
          <w:lang w:val="lv-LV"/>
        </w:rPr>
        <w:tab/>
        <w:t>CITI ĪPAŠI BRĪDINĀJUMI, JA NEPIECIEŠAMS</w:t>
      </w:r>
    </w:p>
    <w:p w14:paraId="641F9AFC" w14:textId="77777777" w:rsidR="00F47ADA" w:rsidRDefault="00F47ADA" w:rsidP="00F47ADA">
      <w:pPr>
        <w:rPr>
          <w:lang w:val="lv-LV"/>
        </w:rPr>
      </w:pPr>
    </w:p>
    <w:p w14:paraId="2B8996E1" w14:textId="77777777" w:rsidR="00F47ADA" w:rsidRDefault="00F47ADA" w:rsidP="00F47ADA">
      <w:pPr>
        <w:rPr>
          <w:lang w:val="lv-LV"/>
        </w:rPr>
      </w:pPr>
      <w:r>
        <w:rPr>
          <w:lang w:val="lv-LV"/>
        </w:rPr>
        <w:t>Pēc pilnšļirces izņemšanas no kastītes ļaujiet tai atrasties istabas temperatūrā 25 līdz 30 minūtes pirms lietošanas</w:t>
      </w:r>
    </w:p>
    <w:p w14:paraId="586E0DB4" w14:textId="77777777" w:rsidR="00F47ADA" w:rsidRDefault="00F47ADA" w:rsidP="00F47ADA">
      <w:pPr>
        <w:rPr>
          <w:lang w:val="lv-LV"/>
        </w:rPr>
      </w:pPr>
    </w:p>
    <w:p w14:paraId="111095AC" w14:textId="77777777" w:rsidR="00F47ADA" w:rsidRDefault="00F47ADA" w:rsidP="00F47ADA">
      <w:pPr>
        <w:rPr>
          <w:lang w:val="lv-LV"/>
        </w:rPr>
      </w:pPr>
    </w:p>
    <w:p w14:paraId="444AB4CF"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8.</w:t>
      </w:r>
      <w:r>
        <w:rPr>
          <w:b/>
          <w:lang w:val="lv-LV"/>
        </w:rPr>
        <w:tab/>
        <w:t>DERĪGUMA TERMIŅŠ</w:t>
      </w:r>
    </w:p>
    <w:p w14:paraId="0107546D" w14:textId="77777777" w:rsidR="00F47ADA" w:rsidRDefault="00F47ADA" w:rsidP="00F47ADA">
      <w:pPr>
        <w:rPr>
          <w:lang w:val="lv-LV"/>
        </w:rPr>
      </w:pPr>
    </w:p>
    <w:p w14:paraId="113E8A4E" w14:textId="6D4488AA" w:rsidR="00F47ADA" w:rsidRDefault="00A203E4" w:rsidP="00F47ADA">
      <w:pPr>
        <w:rPr>
          <w:lang w:val="lv-LV"/>
        </w:rPr>
      </w:pPr>
      <w:r>
        <w:rPr>
          <w:lang w:val="lv-LV"/>
        </w:rPr>
        <w:t>EXP</w:t>
      </w:r>
    </w:p>
    <w:p w14:paraId="274C885D" w14:textId="77777777" w:rsidR="00F47ADA" w:rsidRDefault="00F47ADA" w:rsidP="00F47ADA">
      <w:pPr>
        <w:rPr>
          <w:lang w:val="lv-LV"/>
        </w:rPr>
      </w:pPr>
    </w:p>
    <w:p w14:paraId="3E181557" w14:textId="77777777" w:rsidR="00F47ADA" w:rsidRDefault="00F47ADA" w:rsidP="00F47ADA">
      <w:pPr>
        <w:rPr>
          <w:lang w:val="lv-LV"/>
        </w:rPr>
      </w:pPr>
    </w:p>
    <w:p w14:paraId="3CF7799E" w14:textId="77777777" w:rsidR="00F47ADA" w:rsidRDefault="00F47ADA" w:rsidP="00F47ADA">
      <w:pPr>
        <w:keepNext/>
        <w:keepLines/>
        <w:pBdr>
          <w:top w:val="single" w:sz="4" w:space="1" w:color="000000"/>
          <w:left w:val="single" w:sz="4" w:space="4" w:color="000000"/>
          <w:bottom w:val="single" w:sz="4" w:space="1" w:color="000000"/>
          <w:right w:val="single" w:sz="4" w:space="4" w:color="000000"/>
        </w:pBdr>
        <w:ind w:left="567" w:hanging="567"/>
        <w:rPr>
          <w:lang w:val="lv-LV"/>
        </w:rPr>
      </w:pPr>
      <w:r>
        <w:rPr>
          <w:b/>
          <w:lang w:val="lv-LV"/>
        </w:rPr>
        <w:t>9.</w:t>
      </w:r>
      <w:r>
        <w:rPr>
          <w:b/>
          <w:lang w:val="lv-LV"/>
        </w:rPr>
        <w:tab/>
        <w:t>ĪPAŠI UZGLABĀŠANAS NOSACĪJUMI</w:t>
      </w:r>
    </w:p>
    <w:p w14:paraId="7D017DCF" w14:textId="77777777" w:rsidR="00F47ADA" w:rsidRDefault="00F47ADA" w:rsidP="00F47ADA">
      <w:pPr>
        <w:keepNext/>
        <w:ind w:left="567" w:hanging="567"/>
        <w:rPr>
          <w:lang w:val="lv-LV"/>
        </w:rPr>
      </w:pPr>
    </w:p>
    <w:p w14:paraId="3D445F1E" w14:textId="77777777" w:rsidR="00F47ADA" w:rsidRDefault="00F47ADA" w:rsidP="00F47ADA">
      <w:pPr>
        <w:keepNext/>
        <w:rPr>
          <w:lang w:val="lv-LV"/>
        </w:rPr>
      </w:pPr>
      <w:r>
        <w:rPr>
          <w:lang w:val="lv-LV"/>
        </w:rPr>
        <w:t xml:space="preserve">Uzglabāt ledusskapī </w:t>
      </w:r>
    </w:p>
    <w:p w14:paraId="0301D18D" w14:textId="77777777" w:rsidR="00F47ADA" w:rsidRDefault="00F47ADA" w:rsidP="00F47ADA">
      <w:pPr>
        <w:rPr>
          <w:lang w:val="lv-LV"/>
        </w:rPr>
      </w:pPr>
      <w:r>
        <w:rPr>
          <w:lang w:val="lv-LV"/>
        </w:rPr>
        <w:t>Nesasaldēt</w:t>
      </w:r>
    </w:p>
    <w:p w14:paraId="77D0C4EB" w14:textId="77777777" w:rsidR="00F47ADA" w:rsidRDefault="00F47ADA" w:rsidP="00F47ADA">
      <w:pPr>
        <w:rPr>
          <w:lang w:val="lv-LV"/>
        </w:rPr>
      </w:pPr>
      <w:r w:rsidRPr="00D92A7A">
        <w:rPr>
          <w:lang w:val="lv-LV"/>
        </w:rPr>
        <w:t>Pēc izņemšanas no ledusskapja pilnšļirci var uzglabāt līdz 2</w:t>
      </w:r>
      <w:r>
        <w:rPr>
          <w:lang w:val="lv-LV"/>
        </w:rPr>
        <w:t> </w:t>
      </w:r>
      <w:r w:rsidRPr="00D92A7A">
        <w:rPr>
          <w:lang w:val="lv-LV"/>
        </w:rPr>
        <w:t>nedēļām temperatūrā līdz 30</w:t>
      </w:r>
      <w:r>
        <w:rPr>
          <w:lang w:val="lv-LV"/>
        </w:rPr>
        <w:t> </w:t>
      </w:r>
      <w:r w:rsidRPr="00D92A7A">
        <w:rPr>
          <w:lang w:val="lv-LV"/>
        </w:rPr>
        <w:t>°C</w:t>
      </w:r>
    </w:p>
    <w:p w14:paraId="1F1F5C25" w14:textId="793BDEBC" w:rsidR="00F47ADA" w:rsidRDefault="00F47ADA" w:rsidP="00F47ADA">
      <w:pPr>
        <w:rPr>
          <w:szCs w:val="22"/>
          <w:lang w:val="lv-LV"/>
        </w:rPr>
      </w:pPr>
      <w:r>
        <w:rPr>
          <w:szCs w:val="22"/>
          <w:lang w:val="lv-LV"/>
        </w:rPr>
        <w:t>Uzglabāt pilnšļirc</w:t>
      </w:r>
      <w:r w:rsidR="00042092">
        <w:rPr>
          <w:szCs w:val="22"/>
          <w:lang w:val="lv-LV"/>
        </w:rPr>
        <w:t>i</w:t>
      </w:r>
      <w:r>
        <w:rPr>
          <w:szCs w:val="22"/>
          <w:lang w:val="lv-LV"/>
        </w:rPr>
        <w:t xml:space="preserve"> ārējā kartona kastītē, lai pasargātu no gaismas un mitruma </w:t>
      </w:r>
    </w:p>
    <w:p w14:paraId="111EA9B9" w14:textId="77777777" w:rsidR="00F47ADA" w:rsidRDefault="00F47ADA" w:rsidP="00F47ADA">
      <w:pPr>
        <w:ind w:left="567" w:hanging="567"/>
        <w:rPr>
          <w:lang w:val="lv-LV"/>
        </w:rPr>
      </w:pPr>
    </w:p>
    <w:p w14:paraId="6061CD1C" w14:textId="77777777" w:rsidR="00F47ADA" w:rsidRDefault="00F47ADA" w:rsidP="00F47ADA">
      <w:pPr>
        <w:ind w:left="567" w:hanging="567"/>
        <w:rPr>
          <w:lang w:val="lv-LV"/>
        </w:rPr>
      </w:pPr>
    </w:p>
    <w:p w14:paraId="2306A023"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10.</w:t>
      </w:r>
      <w:r>
        <w:rPr>
          <w:b/>
          <w:lang w:val="lv-LV"/>
        </w:rPr>
        <w:tab/>
        <w:t>ĪPAŠI PIESARDZĪBAS PASĀKUMI, IZNĪCINOT NEIZLIETOTĀS ZĀLES VAI IZMANTOTOS MATERIĀLUS, KAS BIJUŠI SASKARĒ AR ŠĪM ZĀLĒM, JA PIEMĒROJAMS</w:t>
      </w:r>
    </w:p>
    <w:p w14:paraId="503A26F2" w14:textId="77777777" w:rsidR="00F47ADA" w:rsidRDefault="00F47ADA" w:rsidP="00F47ADA">
      <w:pPr>
        <w:rPr>
          <w:lang w:val="lv-LV"/>
        </w:rPr>
      </w:pPr>
    </w:p>
    <w:p w14:paraId="61F4EFA6" w14:textId="77777777" w:rsidR="00F47ADA" w:rsidRDefault="00F47ADA" w:rsidP="00F47ADA">
      <w:pPr>
        <w:rPr>
          <w:lang w:val="lv-LV"/>
        </w:rPr>
      </w:pPr>
    </w:p>
    <w:p w14:paraId="0C9A9610"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11.</w:t>
      </w:r>
      <w:r>
        <w:rPr>
          <w:b/>
          <w:lang w:val="lv-LV"/>
        </w:rPr>
        <w:tab/>
        <w:t xml:space="preserve">REĢISTRĀCIJAS APLIECĪBAS ĪPAŠNIEKA NOSAUKUMS UN ADRESE </w:t>
      </w:r>
    </w:p>
    <w:p w14:paraId="217BA6BA" w14:textId="77777777" w:rsidR="00F47ADA" w:rsidRDefault="00F47ADA" w:rsidP="00F47ADA">
      <w:pPr>
        <w:rPr>
          <w:lang w:val="lv-LV"/>
        </w:rPr>
      </w:pPr>
    </w:p>
    <w:p w14:paraId="1FB7E8EA" w14:textId="77777777" w:rsidR="00F47ADA" w:rsidRPr="00F1131A" w:rsidRDefault="00F47ADA" w:rsidP="00F47ADA">
      <w:pPr>
        <w:rPr>
          <w:lang w:val="lv-LV"/>
        </w:rPr>
      </w:pPr>
      <w:r w:rsidRPr="00F1131A">
        <w:rPr>
          <w:lang w:val="lv-LV"/>
        </w:rPr>
        <w:t xml:space="preserve">Roche Registration GmbH </w:t>
      </w:r>
    </w:p>
    <w:p w14:paraId="6D6F2D73" w14:textId="77777777" w:rsidR="00F47ADA" w:rsidRPr="00F1131A" w:rsidRDefault="00F47ADA" w:rsidP="00F47ADA">
      <w:pPr>
        <w:rPr>
          <w:lang w:val="lv-LV"/>
        </w:rPr>
      </w:pPr>
      <w:r w:rsidRPr="00F1131A">
        <w:rPr>
          <w:lang w:val="lv-LV"/>
        </w:rPr>
        <w:t>Emil-Barell-Strasse 1</w:t>
      </w:r>
    </w:p>
    <w:p w14:paraId="5D2F89D0" w14:textId="77777777" w:rsidR="00F47ADA" w:rsidRPr="00F1131A" w:rsidRDefault="00F47ADA" w:rsidP="00F47ADA">
      <w:pPr>
        <w:rPr>
          <w:lang w:val="lv-LV"/>
        </w:rPr>
      </w:pPr>
      <w:r w:rsidRPr="00F1131A">
        <w:rPr>
          <w:lang w:val="lv-LV"/>
        </w:rPr>
        <w:t>79639 Grenzach-Wyhlen</w:t>
      </w:r>
    </w:p>
    <w:p w14:paraId="03C6E647" w14:textId="77777777" w:rsidR="00F47ADA" w:rsidRDefault="00F47ADA" w:rsidP="00F47ADA">
      <w:pPr>
        <w:rPr>
          <w:lang w:val="lv-LV"/>
        </w:rPr>
      </w:pPr>
      <w:r w:rsidRPr="00F1131A">
        <w:rPr>
          <w:lang w:val="lv-LV"/>
        </w:rPr>
        <w:t>Vācija</w:t>
      </w:r>
    </w:p>
    <w:p w14:paraId="007CF2FC" w14:textId="77777777" w:rsidR="00F47ADA" w:rsidRDefault="00F47ADA" w:rsidP="00F47ADA">
      <w:pPr>
        <w:rPr>
          <w:lang w:val="lv-LV"/>
        </w:rPr>
      </w:pPr>
    </w:p>
    <w:p w14:paraId="54826212" w14:textId="77777777" w:rsidR="00F47ADA" w:rsidRDefault="00F47ADA" w:rsidP="00F47ADA">
      <w:pPr>
        <w:rPr>
          <w:lang w:val="lv-LV"/>
        </w:rPr>
      </w:pPr>
    </w:p>
    <w:p w14:paraId="28F9330B"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12.</w:t>
      </w:r>
      <w:r>
        <w:rPr>
          <w:b/>
          <w:lang w:val="lv-LV"/>
        </w:rPr>
        <w:tab/>
        <w:t xml:space="preserve">REĢISTRĀCIJAS APLIECĪBAS NUMURS(-I) </w:t>
      </w:r>
    </w:p>
    <w:p w14:paraId="7B27FE84" w14:textId="77777777" w:rsidR="00F47ADA" w:rsidRDefault="00F47ADA" w:rsidP="00F47ADA">
      <w:pPr>
        <w:rPr>
          <w:lang w:val="lv-LV"/>
        </w:rPr>
      </w:pPr>
    </w:p>
    <w:p w14:paraId="485BFFC5" w14:textId="77777777" w:rsidR="00F47ADA" w:rsidRPr="00E1075D" w:rsidRDefault="00F47ADA" w:rsidP="00F47ADA">
      <w:pPr>
        <w:rPr>
          <w:lang w:val="lv-LV"/>
        </w:rPr>
      </w:pPr>
      <w:r w:rsidRPr="00E1075D">
        <w:rPr>
          <w:lang w:val="lv-LV"/>
        </w:rPr>
        <w:t>EU/1/08/492/008</w:t>
      </w:r>
    </w:p>
    <w:p w14:paraId="0C6FFF1D" w14:textId="77777777" w:rsidR="00F47ADA" w:rsidRDefault="00F47ADA" w:rsidP="00F47ADA">
      <w:pPr>
        <w:rPr>
          <w:lang w:val="lv-LV"/>
        </w:rPr>
      </w:pPr>
    </w:p>
    <w:p w14:paraId="3F9AA725" w14:textId="77777777" w:rsidR="00F47ADA" w:rsidRDefault="00F47ADA" w:rsidP="00F47ADA">
      <w:pPr>
        <w:rPr>
          <w:lang w:val="lv-LV"/>
        </w:rPr>
      </w:pPr>
    </w:p>
    <w:p w14:paraId="2B0B0558"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13.</w:t>
      </w:r>
      <w:r>
        <w:rPr>
          <w:b/>
          <w:lang w:val="lv-LV"/>
        </w:rPr>
        <w:tab/>
        <w:t>SĒRIJAS NUMURS</w:t>
      </w:r>
    </w:p>
    <w:p w14:paraId="60D8BEB5" w14:textId="77777777" w:rsidR="00F47ADA" w:rsidRDefault="00F47ADA" w:rsidP="00F47ADA">
      <w:pPr>
        <w:rPr>
          <w:lang w:val="lv-LV"/>
        </w:rPr>
      </w:pPr>
    </w:p>
    <w:p w14:paraId="7619195E" w14:textId="08DCD19B" w:rsidR="00F47ADA" w:rsidRDefault="00F47ADA" w:rsidP="00F47ADA">
      <w:pPr>
        <w:rPr>
          <w:lang w:val="lv-LV"/>
        </w:rPr>
      </w:pPr>
      <w:r>
        <w:rPr>
          <w:lang w:val="lv-LV"/>
        </w:rPr>
        <w:t>Lot</w:t>
      </w:r>
    </w:p>
    <w:p w14:paraId="3BEF0F67" w14:textId="77777777" w:rsidR="00F47ADA" w:rsidRDefault="00F47ADA" w:rsidP="00F47ADA">
      <w:pPr>
        <w:rPr>
          <w:lang w:val="lv-LV"/>
        </w:rPr>
      </w:pPr>
    </w:p>
    <w:p w14:paraId="5D2EBDC1" w14:textId="77777777" w:rsidR="00F47ADA" w:rsidRDefault="00F47ADA" w:rsidP="00F47ADA">
      <w:pPr>
        <w:rPr>
          <w:lang w:val="lv-LV"/>
        </w:rPr>
      </w:pPr>
    </w:p>
    <w:p w14:paraId="65327F0F"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14.</w:t>
      </w:r>
      <w:r>
        <w:rPr>
          <w:b/>
          <w:lang w:val="lv-LV"/>
        </w:rPr>
        <w:tab/>
        <w:t>IZSNIEGŠANAS KĀRTĪBA</w:t>
      </w:r>
    </w:p>
    <w:p w14:paraId="5D415C82" w14:textId="77777777" w:rsidR="00F47ADA" w:rsidRDefault="00F47ADA" w:rsidP="00F47ADA">
      <w:pPr>
        <w:rPr>
          <w:lang w:val="lv-LV"/>
        </w:rPr>
      </w:pPr>
    </w:p>
    <w:p w14:paraId="2F86BCF2" w14:textId="77777777" w:rsidR="00F47ADA" w:rsidRDefault="00F47ADA" w:rsidP="00F47ADA">
      <w:pPr>
        <w:rPr>
          <w:lang w:val="lv-LV"/>
        </w:rPr>
      </w:pPr>
    </w:p>
    <w:p w14:paraId="5F0B61F5"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15.</w:t>
      </w:r>
      <w:r>
        <w:rPr>
          <w:b/>
          <w:lang w:val="lv-LV"/>
        </w:rPr>
        <w:tab/>
        <w:t>NORĀDĪJUMI PAR LIETOŠANU</w:t>
      </w:r>
    </w:p>
    <w:p w14:paraId="52B9F03C" w14:textId="77777777" w:rsidR="00F47ADA" w:rsidRDefault="00F47ADA" w:rsidP="00F47ADA">
      <w:pPr>
        <w:rPr>
          <w:lang w:val="lv-LV"/>
        </w:rPr>
      </w:pPr>
    </w:p>
    <w:p w14:paraId="42420DC8" w14:textId="77777777" w:rsidR="00F47ADA" w:rsidRDefault="00F47ADA" w:rsidP="00F47ADA">
      <w:pPr>
        <w:rPr>
          <w:lang w:val="lv-LV"/>
        </w:rPr>
      </w:pPr>
    </w:p>
    <w:p w14:paraId="7B177F47"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16.</w:t>
      </w:r>
      <w:r>
        <w:rPr>
          <w:b/>
          <w:lang w:val="lv-LV"/>
        </w:rPr>
        <w:tab/>
        <w:t>INFORMĀCIJA BRAILA RAKSTĀ</w:t>
      </w:r>
    </w:p>
    <w:p w14:paraId="4F7ACDE3" w14:textId="77777777" w:rsidR="00F47ADA" w:rsidRDefault="00F47ADA" w:rsidP="00F47ADA">
      <w:pPr>
        <w:rPr>
          <w:lang w:val="lv-LV"/>
        </w:rPr>
      </w:pPr>
    </w:p>
    <w:p w14:paraId="35396A7D" w14:textId="7F01559F" w:rsidR="00F47ADA" w:rsidRDefault="00F47ADA" w:rsidP="00F47ADA">
      <w:pPr>
        <w:rPr>
          <w:lang w:val="lv-LV"/>
        </w:rPr>
      </w:pPr>
      <w:r>
        <w:rPr>
          <w:lang w:val="lv-LV"/>
        </w:rPr>
        <w:t>roactemra 162 mg</w:t>
      </w:r>
      <w:r w:rsidR="00176F88">
        <w:rPr>
          <w:lang w:val="lv-LV"/>
        </w:rPr>
        <w:t xml:space="preserve"> šļirce</w:t>
      </w:r>
    </w:p>
    <w:p w14:paraId="76B6FBE6" w14:textId="77777777" w:rsidR="00F47ADA" w:rsidRDefault="00F47ADA" w:rsidP="00F47ADA">
      <w:pPr>
        <w:rPr>
          <w:lang w:val="lv-LV"/>
        </w:rPr>
      </w:pPr>
    </w:p>
    <w:p w14:paraId="64EA9320" w14:textId="77777777" w:rsidR="00F47ADA" w:rsidRDefault="00F47ADA" w:rsidP="00F47ADA">
      <w:pPr>
        <w:rPr>
          <w:lang w:val="lv-LV"/>
        </w:rPr>
      </w:pPr>
    </w:p>
    <w:p w14:paraId="161B141C" w14:textId="77777777" w:rsidR="00F47ADA" w:rsidRPr="00A34D5C" w:rsidRDefault="00F47ADA" w:rsidP="00F47ADA">
      <w:pPr>
        <w:keepNext/>
        <w:keepLines/>
        <w:pBdr>
          <w:top w:val="single" w:sz="4" w:space="1" w:color="auto"/>
          <w:left w:val="single" w:sz="4" w:space="4" w:color="auto"/>
          <w:bottom w:val="single" w:sz="4" w:space="1" w:color="auto"/>
          <w:right w:val="single" w:sz="4" w:space="4" w:color="auto"/>
        </w:pBdr>
        <w:tabs>
          <w:tab w:val="left" w:pos="567"/>
        </w:tabs>
        <w:suppressAutoHyphens w:val="0"/>
        <w:outlineLvl w:val="0"/>
        <w:rPr>
          <w:i/>
          <w:noProof/>
          <w:lang w:val="lv-LV" w:eastAsia="lv-LV" w:bidi="lv-LV"/>
        </w:rPr>
      </w:pPr>
      <w:r w:rsidRPr="00A34D5C">
        <w:rPr>
          <w:b/>
          <w:noProof/>
          <w:lang w:val="lv-LV" w:eastAsia="lv-LV" w:bidi="lv-LV"/>
        </w:rPr>
        <w:t>17.</w:t>
      </w:r>
      <w:r w:rsidRPr="00A34D5C">
        <w:rPr>
          <w:b/>
          <w:noProof/>
          <w:lang w:val="lv-LV" w:eastAsia="lv-LV" w:bidi="lv-LV"/>
        </w:rPr>
        <w:tab/>
        <w:t>UNIKĀLS IDENTIFIKATORS – 2D SVĪTRKODS</w:t>
      </w:r>
    </w:p>
    <w:p w14:paraId="10EE669C" w14:textId="77777777" w:rsidR="00F47ADA" w:rsidRPr="00A34D5C" w:rsidRDefault="00F47ADA" w:rsidP="00F47ADA">
      <w:pPr>
        <w:suppressAutoHyphens w:val="0"/>
        <w:rPr>
          <w:noProof/>
          <w:szCs w:val="22"/>
          <w:shd w:val="clear" w:color="auto" w:fill="CCCCCC"/>
          <w:lang w:val="lv-LV" w:eastAsia="lv-LV" w:bidi="lv-LV"/>
        </w:rPr>
      </w:pPr>
    </w:p>
    <w:p w14:paraId="24E32C7D" w14:textId="77777777" w:rsidR="00F47ADA" w:rsidRPr="00A34D5C" w:rsidRDefault="00F47ADA" w:rsidP="00F47ADA">
      <w:pPr>
        <w:suppressAutoHyphens w:val="0"/>
        <w:rPr>
          <w:noProof/>
          <w:lang w:val="lv-LV" w:eastAsia="lv-LV" w:bidi="lv-LV"/>
        </w:rPr>
      </w:pPr>
    </w:p>
    <w:p w14:paraId="3A2E8BA1" w14:textId="77777777" w:rsidR="00F47ADA" w:rsidRPr="00A34D5C" w:rsidRDefault="00F47ADA" w:rsidP="00F47ADA">
      <w:pPr>
        <w:keepNext/>
        <w:pBdr>
          <w:top w:val="single" w:sz="4" w:space="1" w:color="auto"/>
          <w:left w:val="single" w:sz="4" w:space="4" w:color="auto"/>
          <w:bottom w:val="single" w:sz="4" w:space="1" w:color="auto"/>
          <w:right w:val="single" w:sz="4" w:space="4" w:color="auto"/>
        </w:pBdr>
        <w:tabs>
          <w:tab w:val="left" w:pos="567"/>
        </w:tabs>
        <w:suppressAutoHyphens w:val="0"/>
        <w:outlineLvl w:val="0"/>
        <w:rPr>
          <w:i/>
          <w:noProof/>
          <w:lang w:val="lv-LV" w:eastAsia="lv-LV" w:bidi="lv-LV"/>
        </w:rPr>
      </w:pPr>
      <w:r w:rsidRPr="00A34D5C">
        <w:rPr>
          <w:b/>
          <w:noProof/>
          <w:lang w:val="lv-LV" w:eastAsia="lv-LV" w:bidi="lv-LV"/>
        </w:rPr>
        <w:t>18.</w:t>
      </w:r>
      <w:r w:rsidRPr="00A34D5C">
        <w:rPr>
          <w:b/>
          <w:noProof/>
          <w:lang w:val="lv-LV" w:eastAsia="lv-LV" w:bidi="lv-LV"/>
        </w:rPr>
        <w:tab/>
        <w:t>UNIKĀLS IDENTIFIKATORS – DATI, KURUS VAR NOLASĪT PERSONA</w:t>
      </w:r>
    </w:p>
    <w:p w14:paraId="26AF7FA0" w14:textId="77777777" w:rsidR="00F47ADA" w:rsidRPr="00A34D5C" w:rsidRDefault="00F47ADA" w:rsidP="00F47ADA">
      <w:pPr>
        <w:suppressAutoHyphens w:val="0"/>
        <w:rPr>
          <w:noProof/>
          <w:lang w:val="lv-LV" w:eastAsia="lv-LV" w:bidi="lv-LV"/>
        </w:rPr>
      </w:pPr>
    </w:p>
    <w:p w14:paraId="33AA8B46" w14:textId="713689FE" w:rsidR="00F47ADA" w:rsidRDefault="00F47ADA" w:rsidP="00F47ADA">
      <w:pPr>
        <w:suppressAutoHyphens w:val="0"/>
        <w:rPr>
          <w:lang w:val="lv-LV"/>
        </w:rPr>
      </w:pPr>
      <w:r>
        <w:rPr>
          <w:lang w:val="lv-LV"/>
        </w:rPr>
        <w:br w:type="page"/>
      </w:r>
    </w:p>
    <w:p w14:paraId="30ADD346" w14:textId="77777777" w:rsidR="00F47ADA" w:rsidRPr="00042092" w:rsidRDefault="00F47ADA" w:rsidP="00F47ADA">
      <w:pPr>
        <w:pStyle w:val="Heading1"/>
        <w:pBdr>
          <w:top w:val="single" w:sz="4" w:space="1" w:color="auto"/>
          <w:left w:val="single" w:sz="4" w:space="4" w:color="auto"/>
          <w:bottom w:val="single" w:sz="4" w:space="1" w:color="auto"/>
          <w:right w:val="single" w:sz="4" w:space="4" w:color="auto"/>
        </w:pBdr>
        <w:rPr>
          <w:lang w:val="lv-LV"/>
        </w:rPr>
      </w:pPr>
      <w:r w:rsidRPr="006D7FDE">
        <w:rPr>
          <w:lang w:val="lv-LV"/>
        </w:rPr>
        <w:t>MINIMĀLĀ INFORMĀCIJA, KAS JĀNORĀDA UZ MAZA IZMĒRA TIEŠĀ IEPAKOJUMA</w:t>
      </w:r>
    </w:p>
    <w:p w14:paraId="178EEBEA" w14:textId="77777777" w:rsidR="00F47ADA" w:rsidRPr="00042092" w:rsidRDefault="00F47ADA" w:rsidP="00F47ADA">
      <w:pPr>
        <w:pStyle w:val="Standard1"/>
        <w:pBdr>
          <w:top w:val="single" w:sz="4" w:space="1" w:color="auto"/>
          <w:left w:val="single" w:sz="4" w:space="4" w:color="auto"/>
          <w:bottom w:val="single" w:sz="4" w:space="1" w:color="auto"/>
          <w:right w:val="single" w:sz="4" w:space="4" w:color="auto"/>
        </w:pBdr>
      </w:pPr>
    </w:p>
    <w:p w14:paraId="60FD2E6C" w14:textId="77777777" w:rsidR="00F47ADA" w:rsidRPr="00042092" w:rsidRDefault="00F47ADA" w:rsidP="00F47ADA">
      <w:pPr>
        <w:pStyle w:val="Standard1"/>
        <w:pBdr>
          <w:top w:val="single" w:sz="4" w:space="1" w:color="auto"/>
          <w:left w:val="single" w:sz="4" w:space="4" w:color="auto"/>
          <w:bottom w:val="single" w:sz="4" w:space="1" w:color="auto"/>
          <w:right w:val="single" w:sz="4" w:space="4" w:color="auto"/>
        </w:pBdr>
        <w:rPr>
          <w:b/>
          <w:bCs/>
        </w:rPr>
      </w:pPr>
      <w:r>
        <w:rPr>
          <w:b/>
          <w:bCs/>
        </w:rPr>
        <w:t>PILNŠĻIRCES ETIĶETE</w:t>
      </w:r>
    </w:p>
    <w:p w14:paraId="6BEACAD6" w14:textId="77777777" w:rsidR="00F47ADA" w:rsidRPr="00042092" w:rsidRDefault="00F47ADA" w:rsidP="00F47ADA">
      <w:pPr>
        <w:pStyle w:val="Standard1"/>
        <w:rPr>
          <w:szCs w:val="22"/>
        </w:rPr>
      </w:pPr>
    </w:p>
    <w:p w14:paraId="29745946" w14:textId="77777777" w:rsidR="00F47ADA" w:rsidRPr="00042092" w:rsidRDefault="00F47ADA" w:rsidP="00F47ADA">
      <w:pPr>
        <w:pStyle w:val="Standard1"/>
        <w:rPr>
          <w:szCs w:val="22"/>
        </w:rPr>
      </w:pPr>
    </w:p>
    <w:p w14:paraId="6F918AB3" w14:textId="77777777" w:rsidR="00F47ADA" w:rsidRPr="00042092" w:rsidRDefault="00F47ADA" w:rsidP="00F47ADA">
      <w:pPr>
        <w:pStyle w:val="Standard1"/>
        <w:pBdr>
          <w:top w:val="single" w:sz="4" w:space="1" w:color="auto"/>
          <w:left w:val="single" w:sz="4" w:space="4" w:color="auto"/>
          <w:bottom w:val="single" w:sz="4" w:space="1" w:color="auto"/>
          <w:right w:val="single" w:sz="4" w:space="4" w:color="auto"/>
        </w:pBdr>
        <w:ind w:left="567" w:hanging="567"/>
        <w:outlineLvl w:val="0"/>
        <w:rPr>
          <w:b/>
          <w:szCs w:val="22"/>
        </w:rPr>
      </w:pPr>
      <w:r w:rsidRPr="00042092">
        <w:rPr>
          <w:b/>
          <w:szCs w:val="22"/>
        </w:rPr>
        <w:t>1.</w:t>
      </w:r>
      <w:r w:rsidRPr="00042092">
        <w:rPr>
          <w:b/>
          <w:szCs w:val="22"/>
        </w:rPr>
        <w:tab/>
      </w:r>
      <w:r w:rsidRPr="006D7FDE">
        <w:rPr>
          <w:b/>
        </w:rPr>
        <w:t>ZĀĻU NOSAUKUMS UN IEVADĪŠANAS VEIDS</w:t>
      </w:r>
      <w:r w:rsidRPr="00707120">
        <w:rPr>
          <w:b/>
          <w:bCs/>
        </w:rPr>
        <w:t>(-I)</w:t>
      </w:r>
    </w:p>
    <w:p w14:paraId="3D82DEAD" w14:textId="77777777" w:rsidR="00F47ADA" w:rsidRPr="00042092" w:rsidRDefault="00F47ADA" w:rsidP="00F47ADA">
      <w:pPr>
        <w:pStyle w:val="Standard1"/>
        <w:ind w:left="567" w:hanging="567"/>
        <w:rPr>
          <w:szCs w:val="22"/>
        </w:rPr>
      </w:pPr>
    </w:p>
    <w:p w14:paraId="60A5712E" w14:textId="77777777" w:rsidR="00F47ADA" w:rsidRPr="007607D6" w:rsidRDefault="00F47ADA" w:rsidP="00F47ADA">
      <w:pPr>
        <w:pStyle w:val="Standard1"/>
        <w:rPr>
          <w:szCs w:val="22"/>
        </w:rPr>
      </w:pPr>
      <w:r w:rsidRPr="007607D6">
        <w:rPr>
          <w:szCs w:val="22"/>
        </w:rPr>
        <w:t xml:space="preserve">RoActemra </w:t>
      </w:r>
      <w:r>
        <w:rPr>
          <w:szCs w:val="22"/>
        </w:rPr>
        <w:t>162 mg injekcija</w:t>
      </w:r>
    </w:p>
    <w:p w14:paraId="45F3E5DA" w14:textId="77777777" w:rsidR="00F47ADA" w:rsidRPr="007607D6" w:rsidRDefault="00F47ADA" w:rsidP="00F47ADA">
      <w:pPr>
        <w:pStyle w:val="Standard1"/>
        <w:rPr>
          <w:szCs w:val="22"/>
        </w:rPr>
      </w:pPr>
      <w:r w:rsidRPr="007607D6">
        <w:rPr>
          <w:szCs w:val="22"/>
        </w:rPr>
        <w:t>tocilizumab</w:t>
      </w:r>
    </w:p>
    <w:p w14:paraId="38C5A480" w14:textId="77777777" w:rsidR="00F47ADA" w:rsidRPr="00042092" w:rsidRDefault="00F47ADA" w:rsidP="00F47ADA">
      <w:pPr>
        <w:pStyle w:val="Standard1"/>
        <w:rPr>
          <w:szCs w:val="22"/>
        </w:rPr>
      </w:pPr>
      <w:r>
        <w:rPr>
          <w:szCs w:val="22"/>
        </w:rPr>
        <w:t>s.c.</w:t>
      </w:r>
    </w:p>
    <w:p w14:paraId="1144A735" w14:textId="77777777" w:rsidR="00F47ADA" w:rsidRPr="00042092" w:rsidRDefault="00F47ADA" w:rsidP="00F47ADA">
      <w:pPr>
        <w:pStyle w:val="Standard1"/>
        <w:rPr>
          <w:szCs w:val="22"/>
        </w:rPr>
      </w:pPr>
    </w:p>
    <w:p w14:paraId="11CF5487" w14:textId="77777777" w:rsidR="00F47ADA" w:rsidRPr="00042092" w:rsidRDefault="00F47ADA" w:rsidP="00F47ADA">
      <w:pPr>
        <w:pStyle w:val="Standard1"/>
        <w:rPr>
          <w:szCs w:val="22"/>
        </w:rPr>
      </w:pPr>
    </w:p>
    <w:p w14:paraId="59EA8254" w14:textId="77777777" w:rsidR="00F47ADA" w:rsidRPr="00042092" w:rsidRDefault="00F47ADA" w:rsidP="00F47ADA">
      <w:pPr>
        <w:pStyle w:val="Standard1"/>
        <w:pBdr>
          <w:top w:val="single" w:sz="4" w:space="1" w:color="auto"/>
          <w:left w:val="single" w:sz="4" w:space="4" w:color="auto"/>
          <w:bottom w:val="single" w:sz="4" w:space="1" w:color="auto"/>
          <w:right w:val="single" w:sz="4" w:space="4" w:color="auto"/>
        </w:pBdr>
        <w:ind w:left="567" w:hanging="567"/>
        <w:outlineLvl w:val="0"/>
        <w:rPr>
          <w:b/>
          <w:szCs w:val="22"/>
        </w:rPr>
      </w:pPr>
      <w:r w:rsidRPr="00042092">
        <w:rPr>
          <w:b/>
          <w:szCs w:val="22"/>
        </w:rPr>
        <w:t>2.</w:t>
      </w:r>
      <w:r w:rsidRPr="00042092">
        <w:rPr>
          <w:b/>
          <w:szCs w:val="22"/>
        </w:rPr>
        <w:tab/>
      </w:r>
      <w:r w:rsidRPr="006D7FDE">
        <w:rPr>
          <w:b/>
        </w:rPr>
        <w:t xml:space="preserve">LIETOŠANAS </w:t>
      </w:r>
      <w:r w:rsidRPr="006D7FDE">
        <w:rPr>
          <w:b/>
          <w:szCs w:val="22"/>
        </w:rPr>
        <w:t>VEIDS</w:t>
      </w:r>
    </w:p>
    <w:p w14:paraId="1496AEB4" w14:textId="77777777" w:rsidR="00F47ADA" w:rsidRPr="00042092" w:rsidRDefault="00F47ADA" w:rsidP="00F47ADA">
      <w:pPr>
        <w:pStyle w:val="Standard1"/>
        <w:rPr>
          <w:szCs w:val="22"/>
        </w:rPr>
      </w:pPr>
    </w:p>
    <w:p w14:paraId="73B8EF3A" w14:textId="77777777" w:rsidR="00F47ADA" w:rsidRPr="00042092" w:rsidRDefault="00F47ADA" w:rsidP="00F47ADA">
      <w:pPr>
        <w:pStyle w:val="Standard1"/>
        <w:rPr>
          <w:szCs w:val="22"/>
        </w:rPr>
      </w:pPr>
    </w:p>
    <w:p w14:paraId="18BE7AFC" w14:textId="77777777" w:rsidR="00F47ADA" w:rsidRPr="00707120" w:rsidRDefault="00F47ADA" w:rsidP="00F47ADA">
      <w:pPr>
        <w:pStyle w:val="Standard1"/>
        <w:pBdr>
          <w:top w:val="single" w:sz="4" w:space="1" w:color="auto"/>
          <w:left w:val="single" w:sz="4" w:space="4" w:color="auto"/>
          <w:bottom w:val="single" w:sz="4" w:space="1" w:color="auto"/>
          <w:right w:val="single" w:sz="4" w:space="4" w:color="auto"/>
        </w:pBdr>
        <w:ind w:left="567" w:hanging="567"/>
        <w:outlineLvl w:val="0"/>
        <w:rPr>
          <w:b/>
          <w:szCs w:val="22"/>
        </w:rPr>
      </w:pPr>
      <w:r w:rsidRPr="00707120">
        <w:rPr>
          <w:b/>
          <w:szCs w:val="22"/>
        </w:rPr>
        <w:t>3.</w:t>
      </w:r>
      <w:r w:rsidRPr="00707120">
        <w:rPr>
          <w:b/>
          <w:szCs w:val="22"/>
        </w:rPr>
        <w:tab/>
      </w:r>
      <w:r w:rsidRPr="006D7FDE">
        <w:rPr>
          <w:b/>
        </w:rPr>
        <w:t>DERĪGUMA TERMIŅŠ</w:t>
      </w:r>
    </w:p>
    <w:p w14:paraId="5E80D336" w14:textId="77777777" w:rsidR="00F47ADA" w:rsidRPr="00707120" w:rsidRDefault="00F47ADA" w:rsidP="00F47ADA">
      <w:pPr>
        <w:pStyle w:val="Standard1"/>
        <w:rPr>
          <w:szCs w:val="22"/>
        </w:rPr>
      </w:pPr>
    </w:p>
    <w:p w14:paraId="0F33AB44" w14:textId="77777777" w:rsidR="00F47ADA" w:rsidRPr="00707120" w:rsidRDefault="00F47ADA" w:rsidP="00F47ADA">
      <w:pPr>
        <w:pStyle w:val="Standard1"/>
        <w:rPr>
          <w:szCs w:val="22"/>
        </w:rPr>
      </w:pPr>
      <w:r w:rsidRPr="00707120">
        <w:rPr>
          <w:szCs w:val="22"/>
        </w:rPr>
        <w:t xml:space="preserve">EXP </w:t>
      </w:r>
    </w:p>
    <w:p w14:paraId="4C3E11B7" w14:textId="77777777" w:rsidR="00F47ADA" w:rsidRPr="00707120" w:rsidRDefault="00F47ADA" w:rsidP="00F47ADA">
      <w:pPr>
        <w:pStyle w:val="Standard1"/>
        <w:rPr>
          <w:szCs w:val="22"/>
        </w:rPr>
      </w:pPr>
    </w:p>
    <w:p w14:paraId="043A744C" w14:textId="77777777" w:rsidR="00F47ADA" w:rsidRPr="00707120" w:rsidRDefault="00F47ADA" w:rsidP="00F47ADA">
      <w:pPr>
        <w:pStyle w:val="Standard1"/>
        <w:rPr>
          <w:szCs w:val="22"/>
        </w:rPr>
      </w:pPr>
    </w:p>
    <w:p w14:paraId="518C40C7" w14:textId="77777777" w:rsidR="00F47ADA" w:rsidRPr="00707120" w:rsidRDefault="00F47ADA" w:rsidP="00F47ADA">
      <w:pPr>
        <w:pStyle w:val="Standard1"/>
        <w:pBdr>
          <w:top w:val="single" w:sz="4" w:space="1" w:color="auto"/>
          <w:left w:val="single" w:sz="4" w:space="4" w:color="auto"/>
          <w:bottom w:val="single" w:sz="4" w:space="1" w:color="auto"/>
          <w:right w:val="single" w:sz="4" w:space="4" w:color="auto"/>
        </w:pBdr>
        <w:ind w:left="567" w:hanging="567"/>
        <w:outlineLvl w:val="0"/>
        <w:rPr>
          <w:b/>
          <w:szCs w:val="22"/>
        </w:rPr>
      </w:pPr>
      <w:r w:rsidRPr="00707120">
        <w:rPr>
          <w:b/>
          <w:szCs w:val="22"/>
        </w:rPr>
        <w:t>4.</w:t>
      </w:r>
      <w:r w:rsidRPr="00707120">
        <w:rPr>
          <w:b/>
          <w:szCs w:val="22"/>
        </w:rPr>
        <w:tab/>
      </w:r>
      <w:r w:rsidRPr="006D7FDE">
        <w:rPr>
          <w:b/>
        </w:rPr>
        <w:t>SĒRIJAS NUMURS</w:t>
      </w:r>
    </w:p>
    <w:p w14:paraId="0C9E02D7" w14:textId="77777777" w:rsidR="00F47ADA" w:rsidRPr="00707120" w:rsidRDefault="00F47ADA" w:rsidP="00F47ADA">
      <w:pPr>
        <w:pStyle w:val="Standard1"/>
        <w:rPr>
          <w:szCs w:val="22"/>
        </w:rPr>
      </w:pPr>
    </w:p>
    <w:p w14:paraId="24DF9ED7" w14:textId="77777777" w:rsidR="00F47ADA" w:rsidRPr="00707120" w:rsidRDefault="00F47ADA" w:rsidP="00F47ADA">
      <w:pPr>
        <w:pStyle w:val="Standard1"/>
        <w:rPr>
          <w:szCs w:val="22"/>
        </w:rPr>
      </w:pPr>
      <w:r w:rsidRPr="00707120">
        <w:rPr>
          <w:szCs w:val="22"/>
        </w:rPr>
        <w:t>Lot</w:t>
      </w:r>
    </w:p>
    <w:p w14:paraId="31DD6271" w14:textId="77777777" w:rsidR="00F47ADA" w:rsidRPr="00707120" w:rsidRDefault="00F47ADA" w:rsidP="00F47ADA">
      <w:pPr>
        <w:pStyle w:val="Standard1"/>
        <w:rPr>
          <w:szCs w:val="22"/>
        </w:rPr>
      </w:pPr>
    </w:p>
    <w:p w14:paraId="151655B5" w14:textId="77777777" w:rsidR="00F47ADA" w:rsidRPr="00707120" w:rsidRDefault="00F47ADA" w:rsidP="00F47ADA">
      <w:pPr>
        <w:pStyle w:val="Standard1"/>
        <w:rPr>
          <w:szCs w:val="22"/>
        </w:rPr>
      </w:pPr>
    </w:p>
    <w:p w14:paraId="14E2AD44" w14:textId="77777777" w:rsidR="00F47ADA" w:rsidRPr="00707120" w:rsidRDefault="00F47ADA" w:rsidP="00F47ADA">
      <w:pPr>
        <w:pStyle w:val="Standard1"/>
        <w:pBdr>
          <w:top w:val="single" w:sz="4" w:space="1" w:color="auto"/>
          <w:left w:val="single" w:sz="4" w:space="4" w:color="auto"/>
          <w:bottom w:val="single" w:sz="4" w:space="1" w:color="auto"/>
          <w:right w:val="single" w:sz="4" w:space="4" w:color="auto"/>
        </w:pBdr>
        <w:ind w:left="567" w:hanging="567"/>
        <w:outlineLvl w:val="0"/>
        <w:rPr>
          <w:b/>
          <w:szCs w:val="22"/>
        </w:rPr>
      </w:pPr>
      <w:r w:rsidRPr="00707120">
        <w:rPr>
          <w:b/>
          <w:szCs w:val="22"/>
        </w:rPr>
        <w:t>5.</w:t>
      </w:r>
      <w:r w:rsidRPr="00707120">
        <w:rPr>
          <w:b/>
          <w:szCs w:val="22"/>
        </w:rPr>
        <w:tab/>
      </w:r>
      <w:r w:rsidRPr="006D7FDE">
        <w:rPr>
          <w:b/>
        </w:rPr>
        <w:t>SATURA SVARS, TILPUMS VAI VIENĪBU DAUDZUMS</w:t>
      </w:r>
    </w:p>
    <w:p w14:paraId="571DB922" w14:textId="77777777" w:rsidR="00F47ADA" w:rsidRPr="00707120" w:rsidRDefault="00F47ADA" w:rsidP="00F47ADA">
      <w:pPr>
        <w:pStyle w:val="Standard1"/>
        <w:ind w:right="113"/>
        <w:rPr>
          <w:szCs w:val="22"/>
        </w:rPr>
      </w:pPr>
    </w:p>
    <w:p w14:paraId="2A54265E" w14:textId="77777777" w:rsidR="00F47ADA" w:rsidRPr="00707120" w:rsidRDefault="00F47ADA" w:rsidP="00F47ADA">
      <w:pPr>
        <w:pStyle w:val="Standard1"/>
        <w:ind w:right="113"/>
        <w:rPr>
          <w:szCs w:val="22"/>
        </w:rPr>
      </w:pPr>
      <w:r w:rsidRPr="00707120">
        <w:rPr>
          <w:szCs w:val="22"/>
        </w:rPr>
        <w:t>162 mg/0,9 ml</w:t>
      </w:r>
    </w:p>
    <w:p w14:paraId="7950B5E4" w14:textId="77777777" w:rsidR="00F47ADA" w:rsidRPr="00707120" w:rsidRDefault="00F47ADA" w:rsidP="00F47ADA">
      <w:pPr>
        <w:pStyle w:val="Standard1"/>
        <w:ind w:right="113"/>
        <w:rPr>
          <w:szCs w:val="22"/>
        </w:rPr>
      </w:pPr>
    </w:p>
    <w:p w14:paraId="285EF28D" w14:textId="77777777" w:rsidR="00F47ADA" w:rsidRPr="00707120" w:rsidRDefault="00F47ADA" w:rsidP="00F47ADA">
      <w:pPr>
        <w:pStyle w:val="Standard1"/>
        <w:ind w:right="113"/>
        <w:rPr>
          <w:szCs w:val="22"/>
        </w:rPr>
      </w:pPr>
    </w:p>
    <w:p w14:paraId="5D8BD57A" w14:textId="77777777" w:rsidR="00F47ADA" w:rsidRPr="00707120" w:rsidRDefault="00F47ADA" w:rsidP="00F47ADA">
      <w:pPr>
        <w:pStyle w:val="Standard1"/>
        <w:pBdr>
          <w:top w:val="single" w:sz="4" w:space="1" w:color="auto"/>
          <w:left w:val="single" w:sz="4" w:space="4" w:color="auto"/>
          <w:bottom w:val="single" w:sz="4" w:space="1" w:color="auto"/>
          <w:right w:val="single" w:sz="4" w:space="4" w:color="auto"/>
        </w:pBdr>
        <w:ind w:left="567" w:hanging="567"/>
        <w:outlineLvl w:val="0"/>
        <w:rPr>
          <w:b/>
          <w:szCs w:val="22"/>
        </w:rPr>
      </w:pPr>
      <w:r w:rsidRPr="00707120">
        <w:rPr>
          <w:b/>
          <w:szCs w:val="22"/>
        </w:rPr>
        <w:t>6.</w:t>
      </w:r>
      <w:r w:rsidRPr="00707120">
        <w:rPr>
          <w:b/>
          <w:szCs w:val="22"/>
        </w:rPr>
        <w:tab/>
        <w:t>CITA</w:t>
      </w:r>
    </w:p>
    <w:p w14:paraId="58898362" w14:textId="77777777" w:rsidR="00F47ADA" w:rsidRPr="00707120" w:rsidRDefault="00F47ADA" w:rsidP="00F47ADA">
      <w:pPr>
        <w:pStyle w:val="Standard1"/>
        <w:rPr>
          <w:szCs w:val="22"/>
        </w:rPr>
      </w:pPr>
    </w:p>
    <w:p w14:paraId="2E822D2E" w14:textId="77777777" w:rsidR="00F47ADA" w:rsidRDefault="00F47ADA" w:rsidP="00F47ADA">
      <w:pPr>
        <w:suppressAutoHyphens w:val="0"/>
        <w:rPr>
          <w:lang w:val="lv-LV"/>
        </w:rPr>
      </w:pPr>
      <w:r>
        <w:rPr>
          <w:lang w:val="lv-LV"/>
        </w:rPr>
        <w:br w:type="page"/>
      </w:r>
    </w:p>
    <w:p w14:paraId="530C0ABD" w14:textId="77777777" w:rsidR="00F47ADA" w:rsidRDefault="00F47ADA" w:rsidP="00F47ADA">
      <w:pPr>
        <w:pBdr>
          <w:top w:val="single" w:sz="4" w:space="1" w:color="000000"/>
          <w:left w:val="single" w:sz="4" w:space="4" w:color="000000"/>
          <w:bottom w:val="single" w:sz="4" w:space="1" w:color="000000"/>
          <w:right w:val="single" w:sz="4" w:space="4" w:color="000000"/>
        </w:pBdr>
        <w:rPr>
          <w:bCs/>
          <w:lang w:val="lv-LV"/>
        </w:rPr>
      </w:pPr>
      <w:r>
        <w:rPr>
          <w:b/>
          <w:lang w:val="lv-LV"/>
        </w:rPr>
        <w:t>INFORMĀCIJA, KAS JĀNORĀDA UZ ĀRĒJĀ IEPAKOJUMA</w:t>
      </w:r>
    </w:p>
    <w:p w14:paraId="1004C403"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bCs/>
          <w:lang w:val="lv-LV"/>
        </w:rPr>
      </w:pPr>
    </w:p>
    <w:p w14:paraId="21E06848" w14:textId="77777777" w:rsidR="00F47ADA" w:rsidRDefault="00F47ADA" w:rsidP="00F47ADA">
      <w:pPr>
        <w:pBdr>
          <w:top w:val="single" w:sz="4" w:space="1" w:color="000000"/>
          <w:left w:val="single" w:sz="4" w:space="4" w:color="000000"/>
          <w:bottom w:val="single" w:sz="4" w:space="1" w:color="000000"/>
          <w:right w:val="single" w:sz="4" w:space="4" w:color="000000"/>
        </w:pBdr>
        <w:rPr>
          <w:lang w:val="lv-LV"/>
        </w:rPr>
      </w:pPr>
      <w:r>
        <w:rPr>
          <w:b/>
          <w:lang w:val="lv-LV"/>
        </w:rPr>
        <w:t>PILDSPALVVEIDA PILNŠĻIRCES KASTĪTE</w:t>
      </w:r>
    </w:p>
    <w:p w14:paraId="390D46AF" w14:textId="77777777" w:rsidR="00F47ADA" w:rsidRDefault="00F47ADA" w:rsidP="00F47ADA">
      <w:pPr>
        <w:rPr>
          <w:lang w:val="lv-LV"/>
        </w:rPr>
      </w:pPr>
    </w:p>
    <w:p w14:paraId="4D5D67B6" w14:textId="77777777" w:rsidR="00F47ADA" w:rsidRDefault="00F47ADA" w:rsidP="00F47ADA">
      <w:pPr>
        <w:rPr>
          <w:lang w:val="lv-LV"/>
        </w:rPr>
      </w:pPr>
    </w:p>
    <w:p w14:paraId="13609D8B"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1.</w:t>
      </w:r>
      <w:r>
        <w:rPr>
          <w:b/>
          <w:lang w:val="lv-LV"/>
        </w:rPr>
        <w:tab/>
        <w:t>ZĀĻU NOSAUKUMS</w:t>
      </w:r>
    </w:p>
    <w:p w14:paraId="7C888A99" w14:textId="77777777" w:rsidR="00F47ADA" w:rsidRDefault="00F47ADA" w:rsidP="00F47ADA">
      <w:pPr>
        <w:rPr>
          <w:lang w:val="lv-LV"/>
        </w:rPr>
      </w:pPr>
    </w:p>
    <w:p w14:paraId="1D3A1D20" w14:textId="77777777" w:rsidR="00F47ADA" w:rsidRDefault="00F47ADA" w:rsidP="00F47ADA">
      <w:pPr>
        <w:rPr>
          <w:lang w:val="lv-LV"/>
        </w:rPr>
      </w:pPr>
      <w:r>
        <w:rPr>
          <w:lang w:val="lv-LV"/>
        </w:rPr>
        <w:t>RoActemra 162 mg šķīdums injekcijām pildspalvveida pilnšļircē</w:t>
      </w:r>
    </w:p>
    <w:p w14:paraId="0701D71A" w14:textId="77777777" w:rsidR="00F47ADA" w:rsidRPr="00A203E4" w:rsidRDefault="00F47ADA" w:rsidP="00F47ADA">
      <w:pPr>
        <w:rPr>
          <w:lang w:val="lv-LV"/>
        </w:rPr>
      </w:pPr>
      <w:r w:rsidRPr="00A203E4">
        <w:rPr>
          <w:lang w:val="lv-LV"/>
        </w:rPr>
        <w:t>tocilizumab</w:t>
      </w:r>
    </w:p>
    <w:p w14:paraId="6CA5C082" w14:textId="77777777" w:rsidR="00F47ADA" w:rsidRDefault="00F47ADA" w:rsidP="00F47ADA">
      <w:pPr>
        <w:rPr>
          <w:lang w:val="lv-LV"/>
        </w:rPr>
      </w:pPr>
    </w:p>
    <w:p w14:paraId="2DD720AE" w14:textId="77777777" w:rsidR="00F47ADA" w:rsidRDefault="00F47ADA" w:rsidP="00F47ADA">
      <w:pPr>
        <w:rPr>
          <w:lang w:val="lv-LV"/>
        </w:rPr>
      </w:pPr>
    </w:p>
    <w:p w14:paraId="310D8AF4"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2.</w:t>
      </w:r>
      <w:r>
        <w:rPr>
          <w:b/>
          <w:lang w:val="lv-LV"/>
        </w:rPr>
        <w:tab/>
        <w:t>AKTĪVĀS</w:t>
      </w:r>
      <w:del w:id="1579" w:author="Author">
        <w:r w:rsidDel="00A33658">
          <w:rPr>
            <w:b/>
            <w:lang w:val="lv-LV"/>
          </w:rPr>
          <w:delText>(-O)</w:delText>
        </w:r>
      </w:del>
      <w:r>
        <w:rPr>
          <w:b/>
          <w:lang w:val="lv-LV"/>
        </w:rPr>
        <w:t xml:space="preserve"> VIELAS</w:t>
      </w:r>
      <w:del w:id="1580" w:author="Author">
        <w:r w:rsidDel="00A33658">
          <w:rPr>
            <w:b/>
            <w:lang w:val="lv-LV"/>
          </w:rPr>
          <w:delText>(-U)</w:delText>
        </w:r>
      </w:del>
      <w:r>
        <w:rPr>
          <w:b/>
          <w:lang w:val="lv-LV"/>
        </w:rPr>
        <w:t xml:space="preserve"> NOSAUKUMS</w:t>
      </w:r>
      <w:del w:id="1581" w:author="Author">
        <w:r w:rsidDel="00A33658">
          <w:rPr>
            <w:b/>
            <w:lang w:val="lv-LV"/>
          </w:rPr>
          <w:delText>(-I)</w:delText>
        </w:r>
      </w:del>
      <w:r>
        <w:rPr>
          <w:b/>
          <w:lang w:val="lv-LV"/>
        </w:rPr>
        <w:t xml:space="preserve"> UN DAUDZUMS</w:t>
      </w:r>
      <w:del w:id="1582" w:author="Author">
        <w:r w:rsidDel="00A33658">
          <w:rPr>
            <w:b/>
            <w:lang w:val="lv-LV"/>
          </w:rPr>
          <w:delText>(-I)</w:delText>
        </w:r>
      </w:del>
    </w:p>
    <w:p w14:paraId="6F988103" w14:textId="77777777" w:rsidR="00F47ADA" w:rsidRDefault="00F47ADA" w:rsidP="00F47ADA">
      <w:pPr>
        <w:rPr>
          <w:lang w:val="lv-LV"/>
        </w:rPr>
      </w:pPr>
    </w:p>
    <w:p w14:paraId="489A5024" w14:textId="77777777" w:rsidR="00F47ADA" w:rsidRDefault="00F47ADA" w:rsidP="00F47ADA">
      <w:pPr>
        <w:rPr>
          <w:lang w:val="lv-LV"/>
        </w:rPr>
      </w:pPr>
      <w:r>
        <w:rPr>
          <w:lang w:val="lv-LV"/>
        </w:rPr>
        <w:t>1 pildspalvveida pilnšļirce satur 162 mg tocilizumaba.</w:t>
      </w:r>
    </w:p>
    <w:p w14:paraId="63015F40" w14:textId="77777777" w:rsidR="00F47ADA" w:rsidRDefault="00F47ADA" w:rsidP="00F47ADA">
      <w:pPr>
        <w:rPr>
          <w:lang w:val="lv-LV"/>
        </w:rPr>
      </w:pPr>
    </w:p>
    <w:p w14:paraId="46B002DA" w14:textId="77777777" w:rsidR="00F47ADA" w:rsidRDefault="00F47ADA" w:rsidP="00F47ADA">
      <w:pPr>
        <w:rPr>
          <w:lang w:val="lv-LV"/>
        </w:rPr>
      </w:pPr>
    </w:p>
    <w:p w14:paraId="696A2E8C"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3.</w:t>
      </w:r>
      <w:r>
        <w:rPr>
          <w:b/>
          <w:lang w:val="lv-LV"/>
        </w:rPr>
        <w:tab/>
        <w:t>PALĪGVIELU SARAKSTS</w:t>
      </w:r>
    </w:p>
    <w:p w14:paraId="2988AA65" w14:textId="77777777" w:rsidR="00F47ADA" w:rsidRDefault="00F47ADA" w:rsidP="00F47ADA">
      <w:pPr>
        <w:rPr>
          <w:lang w:val="lv-LV"/>
        </w:rPr>
      </w:pPr>
    </w:p>
    <w:p w14:paraId="7AFDAFFE" w14:textId="606942B7" w:rsidR="00F47ADA" w:rsidRDefault="00F47ADA" w:rsidP="00F47ADA">
      <w:pPr>
        <w:autoSpaceDE w:val="0"/>
        <w:rPr>
          <w:lang w:val="lv-LV"/>
        </w:rPr>
      </w:pPr>
      <w:r>
        <w:rPr>
          <w:rFonts w:eastAsia="PMingLiU"/>
          <w:bCs/>
          <w:szCs w:val="22"/>
          <w:lang w:val="lv-LV"/>
        </w:rPr>
        <w:t xml:space="preserve">Satur arī L-histidīnu, L-histidīna monohidrohlorīda monohidrātu, </w:t>
      </w:r>
      <w:r w:rsidRPr="00466156">
        <w:rPr>
          <w:rFonts w:eastAsia="PMingLiU"/>
          <w:bCs/>
          <w:szCs w:val="22"/>
          <w:highlight w:val="lightGray"/>
          <w:lang w:val="lv-LV"/>
        </w:rPr>
        <w:t>L-arginīn</w:t>
      </w:r>
      <w:r>
        <w:rPr>
          <w:rFonts w:eastAsia="PMingLiU"/>
          <w:bCs/>
          <w:szCs w:val="22"/>
          <w:highlight w:val="lightGray"/>
          <w:lang w:val="lv-LV"/>
        </w:rPr>
        <w:t>u</w:t>
      </w:r>
      <w:r w:rsidRPr="00466156">
        <w:rPr>
          <w:rFonts w:eastAsia="PMingLiU"/>
          <w:bCs/>
          <w:szCs w:val="22"/>
          <w:highlight w:val="lightGray"/>
          <w:lang w:val="lv-LV"/>
        </w:rPr>
        <w:t>/</w:t>
      </w:r>
      <w:r>
        <w:rPr>
          <w:rFonts w:eastAsia="PMingLiU"/>
          <w:bCs/>
          <w:szCs w:val="22"/>
          <w:lang w:val="lv-LV"/>
        </w:rPr>
        <w:t>L-arginīna hidrohlorīdu, L-metionīnu, polisorbātu</w:t>
      </w:r>
      <w:r w:rsidR="00195183">
        <w:rPr>
          <w:rFonts w:eastAsia="PMingLiU"/>
          <w:bCs/>
          <w:szCs w:val="22"/>
          <w:lang w:val="lv-LV"/>
        </w:rPr>
        <w:t> </w:t>
      </w:r>
      <w:r>
        <w:rPr>
          <w:rFonts w:eastAsia="PMingLiU"/>
          <w:bCs/>
          <w:szCs w:val="22"/>
          <w:lang w:val="lv-LV"/>
        </w:rPr>
        <w:t>80, ūdeni injekcijām.</w:t>
      </w:r>
      <w:r>
        <w:rPr>
          <w:lang w:val="lv-LV"/>
        </w:rPr>
        <w:t xml:space="preserve"> </w:t>
      </w:r>
      <w:r w:rsidRPr="00707120">
        <w:rPr>
          <w:highlight w:val="lightGray"/>
          <w:lang w:val="lv-LV"/>
        </w:rPr>
        <w:t>Sīkāku informāciju skatīt lietošanas instrukcijā.</w:t>
      </w:r>
    </w:p>
    <w:p w14:paraId="7155922A" w14:textId="77777777" w:rsidR="00F47ADA" w:rsidRDefault="00F47ADA" w:rsidP="00F47ADA">
      <w:pPr>
        <w:rPr>
          <w:lang w:val="lv-LV"/>
        </w:rPr>
      </w:pPr>
    </w:p>
    <w:p w14:paraId="7AD54EDD" w14:textId="77777777" w:rsidR="00F47ADA" w:rsidRDefault="00F47ADA" w:rsidP="00F47ADA">
      <w:pPr>
        <w:rPr>
          <w:lang w:val="lv-LV"/>
        </w:rPr>
      </w:pPr>
    </w:p>
    <w:p w14:paraId="643F6CFE"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4.</w:t>
      </w:r>
      <w:r>
        <w:rPr>
          <w:b/>
          <w:lang w:val="lv-LV"/>
        </w:rPr>
        <w:tab/>
        <w:t>ZĀĻU FORMA UN SATURS</w:t>
      </w:r>
    </w:p>
    <w:p w14:paraId="70453E16" w14:textId="77777777" w:rsidR="00F47ADA" w:rsidRDefault="00F47ADA" w:rsidP="00F47ADA">
      <w:pPr>
        <w:rPr>
          <w:lang w:val="lv-LV"/>
        </w:rPr>
      </w:pPr>
    </w:p>
    <w:p w14:paraId="2B6BCED3" w14:textId="652CC5C3" w:rsidR="00F47ADA" w:rsidRPr="00051675" w:rsidRDefault="00F47ADA" w:rsidP="00F47ADA">
      <w:pPr>
        <w:rPr>
          <w:lang w:val="lv-LV"/>
        </w:rPr>
      </w:pPr>
      <w:r w:rsidRPr="00707120">
        <w:rPr>
          <w:highlight w:val="lightGray"/>
          <w:lang w:val="lv-LV"/>
        </w:rPr>
        <w:t>Šķīdums injekcijām</w:t>
      </w:r>
    </w:p>
    <w:p w14:paraId="61EA3FCE" w14:textId="77777777" w:rsidR="00F47ADA" w:rsidRDefault="00F47ADA" w:rsidP="00F47ADA">
      <w:pPr>
        <w:rPr>
          <w:szCs w:val="22"/>
          <w:lang w:val="lv-LV"/>
        </w:rPr>
      </w:pPr>
      <w:r>
        <w:rPr>
          <w:lang w:val="lv-LV"/>
        </w:rPr>
        <w:t xml:space="preserve">4 pildspalvveida pilnšļirces </w:t>
      </w:r>
      <w:r w:rsidRPr="00051675">
        <w:rPr>
          <w:szCs w:val="22"/>
          <w:lang w:val="lv-LV"/>
        </w:rPr>
        <w:t>ACTPen</w:t>
      </w:r>
    </w:p>
    <w:p w14:paraId="729EA2CA" w14:textId="3E8B8ABE" w:rsidR="00F47ADA" w:rsidRDefault="00F47ADA" w:rsidP="00F47ADA">
      <w:pPr>
        <w:rPr>
          <w:lang w:val="lv-LV"/>
        </w:rPr>
      </w:pPr>
      <w:r w:rsidRPr="00707120">
        <w:rPr>
          <w:szCs w:val="22"/>
          <w:highlight w:val="lightGray"/>
          <w:lang w:val="lv-LV"/>
        </w:rPr>
        <w:t>Daudzdevu iepakojums: 12 (3 iepakojumi pa 4) pil</w:t>
      </w:r>
      <w:r w:rsidR="000B68D9">
        <w:rPr>
          <w:szCs w:val="22"/>
          <w:highlight w:val="lightGray"/>
          <w:lang w:val="lv-LV"/>
        </w:rPr>
        <w:t>d</w:t>
      </w:r>
      <w:r w:rsidRPr="00707120">
        <w:rPr>
          <w:szCs w:val="22"/>
          <w:highlight w:val="lightGray"/>
          <w:lang w:val="lv-LV"/>
        </w:rPr>
        <w:t xml:space="preserve">spalvveida </w:t>
      </w:r>
      <w:r>
        <w:rPr>
          <w:szCs w:val="22"/>
          <w:highlight w:val="lightGray"/>
          <w:lang w:val="lv-LV"/>
        </w:rPr>
        <w:t>pilnšļirces</w:t>
      </w:r>
      <w:r w:rsidRPr="00707120">
        <w:rPr>
          <w:szCs w:val="22"/>
          <w:highlight w:val="lightGray"/>
          <w:lang w:val="lv-LV"/>
        </w:rPr>
        <w:t xml:space="preserve"> ACTPen</w:t>
      </w:r>
    </w:p>
    <w:p w14:paraId="4AD8213C" w14:textId="32316AAF" w:rsidR="00F47ADA" w:rsidRDefault="00F47ADA" w:rsidP="00F47ADA">
      <w:pPr>
        <w:rPr>
          <w:lang w:val="lv-LV"/>
        </w:rPr>
      </w:pPr>
      <w:r>
        <w:rPr>
          <w:lang w:val="lv-LV"/>
        </w:rPr>
        <w:t>162 mg/0,9 ml</w:t>
      </w:r>
    </w:p>
    <w:p w14:paraId="607FCC64" w14:textId="77777777" w:rsidR="00F47ADA" w:rsidRDefault="00F47ADA" w:rsidP="00F47ADA">
      <w:pPr>
        <w:rPr>
          <w:lang w:val="lv-LV"/>
        </w:rPr>
      </w:pPr>
    </w:p>
    <w:p w14:paraId="21D1111D" w14:textId="77777777" w:rsidR="00F47ADA" w:rsidRDefault="00F47ADA" w:rsidP="00F47ADA">
      <w:pPr>
        <w:rPr>
          <w:lang w:val="lv-LV"/>
        </w:rPr>
      </w:pPr>
    </w:p>
    <w:p w14:paraId="6C8A57E1" w14:textId="6D594704" w:rsidR="00F47ADA" w:rsidRDefault="00F47ADA" w:rsidP="00F47ADA">
      <w:pPr>
        <w:pBdr>
          <w:top w:val="single" w:sz="4" w:space="1" w:color="000000"/>
          <w:left w:val="single" w:sz="4" w:space="4" w:color="000000"/>
          <w:bottom w:val="single" w:sz="4" w:space="1" w:color="000000"/>
          <w:right w:val="single" w:sz="4" w:space="4" w:color="000000"/>
        </w:pBdr>
        <w:ind w:left="567" w:hanging="567"/>
        <w:rPr>
          <w:i/>
          <w:lang w:val="lv-LV"/>
        </w:rPr>
      </w:pPr>
      <w:r>
        <w:rPr>
          <w:b/>
          <w:lang w:val="lv-LV"/>
        </w:rPr>
        <w:t>5.</w:t>
      </w:r>
      <w:r>
        <w:rPr>
          <w:b/>
          <w:lang w:val="lv-LV"/>
        </w:rPr>
        <w:tab/>
        <w:t>LIETOŠANAS UN IEVADĪŠANAS VEIDS</w:t>
      </w:r>
      <w:del w:id="1583" w:author="Author">
        <w:r w:rsidDel="003126F3">
          <w:rPr>
            <w:b/>
            <w:lang w:val="lv-LV"/>
          </w:rPr>
          <w:delText>(-I)</w:delText>
        </w:r>
      </w:del>
    </w:p>
    <w:p w14:paraId="125A447C" w14:textId="77777777" w:rsidR="00F47ADA" w:rsidRDefault="00F47ADA" w:rsidP="00F47ADA">
      <w:pPr>
        <w:rPr>
          <w:i/>
          <w:lang w:val="lv-LV"/>
        </w:rPr>
      </w:pPr>
    </w:p>
    <w:p w14:paraId="2C01F255" w14:textId="77777777" w:rsidR="00F47ADA" w:rsidRDefault="00F47ADA" w:rsidP="00F47ADA">
      <w:pPr>
        <w:rPr>
          <w:lang w:val="lv-LV"/>
        </w:rPr>
      </w:pPr>
      <w:r>
        <w:rPr>
          <w:lang w:val="lv-LV"/>
        </w:rPr>
        <w:t>Subkutānai lietošanai</w:t>
      </w:r>
    </w:p>
    <w:p w14:paraId="61BA83F0" w14:textId="77777777" w:rsidR="00F47ADA" w:rsidRDefault="00F47ADA" w:rsidP="00F47ADA">
      <w:pPr>
        <w:rPr>
          <w:lang w:val="lv-LV"/>
        </w:rPr>
      </w:pPr>
      <w:r>
        <w:rPr>
          <w:lang w:val="lv-LV"/>
        </w:rPr>
        <w:t>Pirms lietošanas izlasiet lietošanas instrukciju</w:t>
      </w:r>
    </w:p>
    <w:p w14:paraId="4B647EF4" w14:textId="77777777" w:rsidR="00F47ADA" w:rsidRDefault="00F47ADA" w:rsidP="00F47ADA">
      <w:pPr>
        <w:rPr>
          <w:lang w:val="lv-LV"/>
        </w:rPr>
      </w:pPr>
    </w:p>
    <w:p w14:paraId="69673EA4" w14:textId="77777777" w:rsidR="00F47ADA" w:rsidRDefault="00F47ADA" w:rsidP="00F47ADA">
      <w:pPr>
        <w:rPr>
          <w:lang w:val="lv-LV"/>
        </w:rPr>
      </w:pPr>
    </w:p>
    <w:p w14:paraId="38DAF7EA"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6.</w:t>
      </w:r>
      <w:r>
        <w:rPr>
          <w:b/>
          <w:lang w:val="lv-LV"/>
        </w:rPr>
        <w:tab/>
        <w:t>ĪPAŠI BRĪDINĀJUMI PAR ZĀĻU UZGLABĀŠANU BĒRNIEM NEREDZAMĀ UN NEPIEEJAMĀ VIETĀ</w:t>
      </w:r>
    </w:p>
    <w:p w14:paraId="436599C9" w14:textId="77777777" w:rsidR="00F47ADA" w:rsidRDefault="00F47ADA" w:rsidP="00F47ADA">
      <w:pPr>
        <w:rPr>
          <w:lang w:val="lv-LV"/>
        </w:rPr>
      </w:pPr>
    </w:p>
    <w:p w14:paraId="2BC97C54" w14:textId="77777777" w:rsidR="00F47ADA" w:rsidRDefault="00F47ADA" w:rsidP="00F47ADA">
      <w:pPr>
        <w:rPr>
          <w:lang w:val="lv-LV"/>
        </w:rPr>
      </w:pPr>
      <w:r>
        <w:rPr>
          <w:lang w:val="lv-LV"/>
        </w:rPr>
        <w:t>Uzglabāt bērniem neredzamā un nepieejamā vietā</w:t>
      </w:r>
    </w:p>
    <w:p w14:paraId="6BB360DB" w14:textId="77777777" w:rsidR="00F47ADA" w:rsidRDefault="00F47ADA" w:rsidP="00F47ADA">
      <w:pPr>
        <w:rPr>
          <w:lang w:val="lv-LV"/>
        </w:rPr>
      </w:pPr>
    </w:p>
    <w:p w14:paraId="5B979031" w14:textId="77777777" w:rsidR="00F47ADA" w:rsidRDefault="00F47ADA" w:rsidP="00F47ADA">
      <w:pPr>
        <w:rPr>
          <w:lang w:val="lv-LV"/>
        </w:rPr>
      </w:pPr>
    </w:p>
    <w:p w14:paraId="60839186"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7.</w:t>
      </w:r>
      <w:r>
        <w:rPr>
          <w:b/>
          <w:lang w:val="lv-LV"/>
        </w:rPr>
        <w:tab/>
        <w:t>CITI ĪPAŠI BRĪDINĀJUMI, JA NEPIECIEŠAMS</w:t>
      </w:r>
    </w:p>
    <w:p w14:paraId="3272A6D6" w14:textId="77777777" w:rsidR="00F47ADA" w:rsidRDefault="00F47ADA" w:rsidP="00F47ADA">
      <w:pPr>
        <w:rPr>
          <w:lang w:val="lv-LV"/>
        </w:rPr>
      </w:pPr>
    </w:p>
    <w:p w14:paraId="73771B75" w14:textId="77777777" w:rsidR="00F47ADA" w:rsidRDefault="00F47ADA" w:rsidP="00F47ADA">
      <w:pPr>
        <w:rPr>
          <w:lang w:val="lv-LV"/>
        </w:rPr>
      </w:pPr>
      <w:r>
        <w:rPr>
          <w:lang w:val="lv-LV"/>
        </w:rPr>
        <w:t>Pēc pildspalvveida pilnšļirces izņemšanas no kastītes ļaujiet tai atrasties istabas temperatūrā 45 minūtes pirms lietošanas</w:t>
      </w:r>
    </w:p>
    <w:p w14:paraId="3B654ECA" w14:textId="77777777" w:rsidR="00F47ADA" w:rsidRDefault="00F47ADA" w:rsidP="00F47ADA">
      <w:pPr>
        <w:rPr>
          <w:lang w:val="lv-LV"/>
        </w:rPr>
      </w:pPr>
    </w:p>
    <w:p w14:paraId="388C7BD1" w14:textId="77777777" w:rsidR="00F47ADA" w:rsidRDefault="00F47ADA" w:rsidP="00F47ADA">
      <w:pPr>
        <w:rPr>
          <w:lang w:val="lv-LV"/>
        </w:rPr>
      </w:pPr>
    </w:p>
    <w:p w14:paraId="0076D201"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8.</w:t>
      </w:r>
      <w:r>
        <w:rPr>
          <w:b/>
          <w:lang w:val="lv-LV"/>
        </w:rPr>
        <w:tab/>
        <w:t>DERĪGUMA TERMIŅŠ</w:t>
      </w:r>
    </w:p>
    <w:p w14:paraId="69631201" w14:textId="77777777" w:rsidR="00F47ADA" w:rsidRDefault="00F47ADA" w:rsidP="00F47ADA">
      <w:pPr>
        <w:rPr>
          <w:lang w:val="lv-LV"/>
        </w:rPr>
      </w:pPr>
    </w:p>
    <w:p w14:paraId="18B69F90" w14:textId="2CD689F4" w:rsidR="00F47ADA" w:rsidRDefault="00A203E4" w:rsidP="00F47ADA">
      <w:pPr>
        <w:rPr>
          <w:lang w:val="lv-LV"/>
        </w:rPr>
      </w:pPr>
      <w:r>
        <w:rPr>
          <w:lang w:val="lv-LV"/>
        </w:rPr>
        <w:t>EXP</w:t>
      </w:r>
    </w:p>
    <w:p w14:paraId="3114052B" w14:textId="77777777" w:rsidR="00F47ADA" w:rsidRDefault="00F47ADA" w:rsidP="00F47ADA">
      <w:pPr>
        <w:rPr>
          <w:lang w:val="lv-LV"/>
        </w:rPr>
      </w:pPr>
    </w:p>
    <w:p w14:paraId="681722C1" w14:textId="77777777" w:rsidR="00F47ADA" w:rsidRDefault="00F47ADA" w:rsidP="00F47ADA">
      <w:pPr>
        <w:rPr>
          <w:lang w:val="lv-LV"/>
        </w:rPr>
      </w:pPr>
    </w:p>
    <w:p w14:paraId="5A9D21AD" w14:textId="77777777" w:rsidR="00F47ADA" w:rsidRDefault="00F47ADA" w:rsidP="00F47ADA">
      <w:pPr>
        <w:keepNext/>
        <w:keepLines/>
        <w:pBdr>
          <w:top w:val="single" w:sz="4" w:space="1" w:color="000000"/>
          <w:left w:val="single" w:sz="4" w:space="4" w:color="000000"/>
          <w:bottom w:val="single" w:sz="4" w:space="1" w:color="000000"/>
          <w:right w:val="single" w:sz="4" w:space="4" w:color="000000"/>
        </w:pBdr>
        <w:ind w:left="567" w:hanging="567"/>
        <w:rPr>
          <w:lang w:val="lv-LV"/>
        </w:rPr>
      </w:pPr>
      <w:r>
        <w:rPr>
          <w:b/>
          <w:lang w:val="lv-LV"/>
        </w:rPr>
        <w:t>9.</w:t>
      </w:r>
      <w:r>
        <w:rPr>
          <w:b/>
          <w:lang w:val="lv-LV"/>
        </w:rPr>
        <w:tab/>
        <w:t>ĪPAŠI UZGLABĀŠANAS NOSACĪJUMI</w:t>
      </w:r>
    </w:p>
    <w:p w14:paraId="5921C256" w14:textId="77777777" w:rsidR="00F47ADA" w:rsidRDefault="00F47ADA" w:rsidP="00F47ADA">
      <w:pPr>
        <w:keepNext/>
        <w:ind w:left="567" w:hanging="567"/>
        <w:rPr>
          <w:lang w:val="lv-LV"/>
        </w:rPr>
      </w:pPr>
    </w:p>
    <w:p w14:paraId="7F294AEF" w14:textId="77777777" w:rsidR="00F47ADA" w:rsidRDefault="00F47ADA" w:rsidP="00F47ADA">
      <w:pPr>
        <w:keepNext/>
        <w:rPr>
          <w:lang w:val="lv-LV"/>
        </w:rPr>
      </w:pPr>
      <w:r>
        <w:rPr>
          <w:lang w:val="lv-LV"/>
        </w:rPr>
        <w:t xml:space="preserve">Uzglabāt ledusskapī </w:t>
      </w:r>
    </w:p>
    <w:p w14:paraId="6E2CB007" w14:textId="77777777" w:rsidR="00F47ADA" w:rsidRDefault="00F47ADA" w:rsidP="00F47ADA">
      <w:pPr>
        <w:rPr>
          <w:lang w:val="lv-LV"/>
        </w:rPr>
      </w:pPr>
      <w:r>
        <w:rPr>
          <w:lang w:val="lv-LV"/>
        </w:rPr>
        <w:t>Nesasaldēt</w:t>
      </w:r>
    </w:p>
    <w:p w14:paraId="4369EA77" w14:textId="77777777" w:rsidR="00F47ADA" w:rsidRDefault="00F47ADA" w:rsidP="00F47ADA">
      <w:pPr>
        <w:rPr>
          <w:lang w:val="lv-LV"/>
        </w:rPr>
      </w:pPr>
      <w:r w:rsidRPr="00D92A7A">
        <w:rPr>
          <w:lang w:val="lv-LV"/>
        </w:rPr>
        <w:t xml:space="preserve">Pēc izņemšanas no ledusskapja </w:t>
      </w:r>
      <w:r>
        <w:rPr>
          <w:lang w:val="lv-LV"/>
        </w:rPr>
        <w:t xml:space="preserve">pildspalvveida </w:t>
      </w:r>
      <w:r w:rsidRPr="00D92A7A">
        <w:rPr>
          <w:lang w:val="lv-LV"/>
        </w:rPr>
        <w:t>pilnšļirci var uzglabāt līdz 2</w:t>
      </w:r>
      <w:r>
        <w:rPr>
          <w:lang w:val="lv-LV"/>
        </w:rPr>
        <w:t> </w:t>
      </w:r>
      <w:r w:rsidRPr="00D92A7A">
        <w:rPr>
          <w:lang w:val="lv-LV"/>
        </w:rPr>
        <w:t>nedēļām temperatūrā līdz 30</w:t>
      </w:r>
      <w:r>
        <w:rPr>
          <w:lang w:val="lv-LV"/>
        </w:rPr>
        <w:t> </w:t>
      </w:r>
      <w:r w:rsidRPr="00D92A7A">
        <w:rPr>
          <w:lang w:val="lv-LV"/>
        </w:rPr>
        <w:t>°C</w:t>
      </w:r>
    </w:p>
    <w:p w14:paraId="51549CB0" w14:textId="77777777" w:rsidR="00F47ADA" w:rsidRDefault="00F47ADA" w:rsidP="00F47ADA">
      <w:pPr>
        <w:rPr>
          <w:szCs w:val="22"/>
          <w:lang w:val="lv-LV"/>
        </w:rPr>
      </w:pPr>
      <w:r>
        <w:rPr>
          <w:szCs w:val="22"/>
          <w:lang w:val="lv-LV"/>
        </w:rPr>
        <w:t xml:space="preserve">Uzglabāt pildspalvveida pilnšļirci ārējā kartona kastītē, lai pasargātu no gaismas un mitruma </w:t>
      </w:r>
    </w:p>
    <w:p w14:paraId="360BF463" w14:textId="77777777" w:rsidR="00F47ADA" w:rsidRDefault="00F47ADA" w:rsidP="00F47ADA">
      <w:pPr>
        <w:ind w:left="567" w:hanging="567"/>
        <w:rPr>
          <w:lang w:val="lv-LV"/>
        </w:rPr>
      </w:pPr>
    </w:p>
    <w:p w14:paraId="03AB5BC0" w14:textId="77777777" w:rsidR="00F47ADA" w:rsidRDefault="00F47ADA" w:rsidP="00F47ADA">
      <w:pPr>
        <w:ind w:left="567" w:hanging="567"/>
        <w:rPr>
          <w:lang w:val="lv-LV"/>
        </w:rPr>
      </w:pPr>
    </w:p>
    <w:p w14:paraId="5FEB89CC"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10.</w:t>
      </w:r>
      <w:r>
        <w:rPr>
          <w:b/>
          <w:lang w:val="lv-LV"/>
        </w:rPr>
        <w:tab/>
        <w:t>ĪPAŠI PIESARDZĪBAS PASĀKUMI, IZNĪCINOT NEIZLIETOTĀS ZĀLES VAI IZMANTOTOS MATERIĀLUS, KAS BIJUŠI SASKARĒ AR ŠĪM ZĀLĒM, JA PIEMĒROJAMS</w:t>
      </w:r>
    </w:p>
    <w:p w14:paraId="6A124806" w14:textId="77777777" w:rsidR="00F47ADA" w:rsidRDefault="00F47ADA" w:rsidP="00F47ADA">
      <w:pPr>
        <w:rPr>
          <w:lang w:val="lv-LV"/>
        </w:rPr>
      </w:pPr>
    </w:p>
    <w:p w14:paraId="5A62041E" w14:textId="77777777" w:rsidR="00F47ADA" w:rsidRDefault="00F47ADA" w:rsidP="00F47ADA">
      <w:pPr>
        <w:rPr>
          <w:lang w:val="lv-LV"/>
        </w:rPr>
      </w:pPr>
    </w:p>
    <w:p w14:paraId="7D44C8FD"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11.</w:t>
      </w:r>
      <w:r>
        <w:rPr>
          <w:b/>
          <w:lang w:val="lv-LV"/>
        </w:rPr>
        <w:tab/>
        <w:t xml:space="preserve">REĢISTRĀCIJAS APLIECĪBAS ĪPAŠNIEKA NOSAUKUMS UN ADRESE </w:t>
      </w:r>
    </w:p>
    <w:p w14:paraId="52DF86CC" w14:textId="77777777" w:rsidR="00F47ADA" w:rsidRDefault="00F47ADA" w:rsidP="00F47ADA">
      <w:pPr>
        <w:rPr>
          <w:lang w:val="lv-LV"/>
        </w:rPr>
      </w:pPr>
    </w:p>
    <w:p w14:paraId="644327BC" w14:textId="77777777" w:rsidR="00F47ADA" w:rsidRPr="00F1131A" w:rsidRDefault="00F47ADA" w:rsidP="00F47ADA">
      <w:pPr>
        <w:rPr>
          <w:lang w:val="lv-LV"/>
        </w:rPr>
      </w:pPr>
      <w:r w:rsidRPr="00F1131A">
        <w:rPr>
          <w:lang w:val="lv-LV"/>
        </w:rPr>
        <w:t xml:space="preserve">Roche Registration GmbH </w:t>
      </w:r>
    </w:p>
    <w:p w14:paraId="7F583926" w14:textId="77777777" w:rsidR="00F47ADA" w:rsidRPr="00F1131A" w:rsidRDefault="00F47ADA" w:rsidP="00F47ADA">
      <w:pPr>
        <w:rPr>
          <w:lang w:val="lv-LV"/>
        </w:rPr>
      </w:pPr>
      <w:r w:rsidRPr="00F1131A">
        <w:rPr>
          <w:lang w:val="lv-LV"/>
        </w:rPr>
        <w:t>Emil-Barell-Strasse 1</w:t>
      </w:r>
    </w:p>
    <w:p w14:paraId="76956F8C" w14:textId="77777777" w:rsidR="00F47ADA" w:rsidRPr="00F1131A" w:rsidRDefault="00F47ADA" w:rsidP="00F47ADA">
      <w:pPr>
        <w:rPr>
          <w:lang w:val="lv-LV"/>
        </w:rPr>
      </w:pPr>
      <w:r w:rsidRPr="00F1131A">
        <w:rPr>
          <w:lang w:val="lv-LV"/>
        </w:rPr>
        <w:t>79639 Grenzach-Wyhlen</w:t>
      </w:r>
    </w:p>
    <w:p w14:paraId="5DE53ABB" w14:textId="77777777" w:rsidR="00F47ADA" w:rsidRDefault="00F47ADA" w:rsidP="00F47ADA">
      <w:pPr>
        <w:rPr>
          <w:lang w:val="lv-LV"/>
        </w:rPr>
      </w:pPr>
      <w:r w:rsidRPr="00F1131A">
        <w:rPr>
          <w:lang w:val="lv-LV"/>
        </w:rPr>
        <w:t>Vācija</w:t>
      </w:r>
    </w:p>
    <w:p w14:paraId="3E0AEEED" w14:textId="77777777" w:rsidR="00F47ADA" w:rsidRDefault="00F47ADA" w:rsidP="00F47ADA">
      <w:pPr>
        <w:rPr>
          <w:lang w:val="lv-LV"/>
        </w:rPr>
      </w:pPr>
    </w:p>
    <w:p w14:paraId="447CCF84" w14:textId="77777777" w:rsidR="00F47ADA" w:rsidRDefault="00F47ADA" w:rsidP="00F47ADA">
      <w:pPr>
        <w:rPr>
          <w:lang w:val="lv-LV"/>
        </w:rPr>
      </w:pPr>
    </w:p>
    <w:p w14:paraId="0331D77E"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12.</w:t>
      </w:r>
      <w:r>
        <w:rPr>
          <w:b/>
          <w:lang w:val="lv-LV"/>
        </w:rPr>
        <w:tab/>
        <w:t xml:space="preserve">REĢISTRĀCIJAS APLIECĪBAS NUMURS(-I) </w:t>
      </w:r>
    </w:p>
    <w:p w14:paraId="2A24BCC4" w14:textId="77777777" w:rsidR="00F47ADA" w:rsidRDefault="00F47ADA" w:rsidP="00F47ADA">
      <w:pPr>
        <w:rPr>
          <w:lang w:val="lv-LV"/>
        </w:rPr>
      </w:pPr>
    </w:p>
    <w:p w14:paraId="5E6A6353" w14:textId="77777777" w:rsidR="00F47ADA" w:rsidRPr="00051675" w:rsidRDefault="00F47ADA" w:rsidP="00F47ADA">
      <w:pPr>
        <w:rPr>
          <w:lang w:val="lv-LV"/>
        </w:rPr>
      </w:pPr>
      <w:r w:rsidRPr="00051675">
        <w:rPr>
          <w:lang w:val="lv-LV"/>
        </w:rPr>
        <w:t>EU/1/08/492/009</w:t>
      </w:r>
      <w:r>
        <w:rPr>
          <w:lang w:val="lv-LV"/>
        </w:rPr>
        <w:t xml:space="preserve"> </w:t>
      </w:r>
      <w:r w:rsidRPr="00707120">
        <w:rPr>
          <w:highlight w:val="lightGray"/>
          <w:lang w:val="lv-LV"/>
        </w:rPr>
        <w:t>4 pildspalvveida pilnšļirces</w:t>
      </w:r>
    </w:p>
    <w:p w14:paraId="327159DE" w14:textId="4ADF97A7" w:rsidR="00F47ADA" w:rsidRPr="00707120" w:rsidRDefault="00F47ADA" w:rsidP="00F47ADA">
      <w:pPr>
        <w:pStyle w:val="Standard1"/>
        <w:tabs>
          <w:tab w:val="left" w:pos="284"/>
          <w:tab w:val="left" w:pos="567"/>
        </w:tabs>
        <w:rPr>
          <w:szCs w:val="22"/>
        </w:rPr>
      </w:pPr>
      <w:r w:rsidRPr="00707120">
        <w:rPr>
          <w:szCs w:val="22"/>
          <w:highlight w:val="lightGray"/>
        </w:rPr>
        <w:t>EU/1/08/492/010: 12 (3</w:t>
      </w:r>
      <w:r w:rsidR="009801B9">
        <w:rPr>
          <w:szCs w:val="22"/>
          <w:highlight w:val="lightGray"/>
        </w:rPr>
        <w:t> </w:t>
      </w:r>
      <w:r w:rsidRPr="00707120">
        <w:rPr>
          <w:szCs w:val="22"/>
          <w:highlight w:val="lightGray"/>
        </w:rPr>
        <w:t>iepakojumi pa 4) pildspalvveida pilnšļirces</w:t>
      </w:r>
    </w:p>
    <w:p w14:paraId="41917702" w14:textId="77777777" w:rsidR="00F47ADA" w:rsidRPr="003C3ED2" w:rsidRDefault="00F47ADA" w:rsidP="00F47ADA">
      <w:pPr>
        <w:rPr>
          <w:lang w:val="lv-LV"/>
        </w:rPr>
      </w:pPr>
    </w:p>
    <w:p w14:paraId="048F6E02" w14:textId="77777777" w:rsidR="00F47ADA" w:rsidRDefault="00F47ADA" w:rsidP="00F47ADA">
      <w:pPr>
        <w:rPr>
          <w:lang w:val="lv-LV"/>
        </w:rPr>
      </w:pPr>
    </w:p>
    <w:p w14:paraId="0D7BF3E2"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13.</w:t>
      </w:r>
      <w:r>
        <w:rPr>
          <w:b/>
          <w:lang w:val="lv-LV"/>
        </w:rPr>
        <w:tab/>
        <w:t>SĒRIJAS NUMURS</w:t>
      </w:r>
    </w:p>
    <w:p w14:paraId="6747DE92" w14:textId="77777777" w:rsidR="00F47ADA" w:rsidRDefault="00F47ADA" w:rsidP="00F47ADA">
      <w:pPr>
        <w:rPr>
          <w:lang w:val="lv-LV"/>
        </w:rPr>
      </w:pPr>
    </w:p>
    <w:p w14:paraId="4B326D17" w14:textId="3D771FF8" w:rsidR="00F47ADA" w:rsidRDefault="00F47ADA" w:rsidP="00F47ADA">
      <w:pPr>
        <w:rPr>
          <w:lang w:val="lv-LV"/>
        </w:rPr>
      </w:pPr>
      <w:r>
        <w:rPr>
          <w:lang w:val="lv-LV"/>
        </w:rPr>
        <w:t>Lot</w:t>
      </w:r>
    </w:p>
    <w:p w14:paraId="688FF454" w14:textId="77777777" w:rsidR="00F47ADA" w:rsidRDefault="00F47ADA" w:rsidP="00F47ADA">
      <w:pPr>
        <w:rPr>
          <w:lang w:val="lv-LV"/>
        </w:rPr>
      </w:pPr>
    </w:p>
    <w:p w14:paraId="759D26B6" w14:textId="77777777" w:rsidR="00F47ADA" w:rsidRDefault="00F47ADA" w:rsidP="00F47ADA">
      <w:pPr>
        <w:rPr>
          <w:lang w:val="lv-LV"/>
        </w:rPr>
      </w:pPr>
    </w:p>
    <w:p w14:paraId="28E2F90C"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14.</w:t>
      </w:r>
      <w:r>
        <w:rPr>
          <w:b/>
          <w:lang w:val="lv-LV"/>
        </w:rPr>
        <w:tab/>
        <w:t>IZSNIEGŠANAS KĀRTĪBA</w:t>
      </w:r>
    </w:p>
    <w:p w14:paraId="26790E9D" w14:textId="77777777" w:rsidR="00F47ADA" w:rsidRDefault="00F47ADA" w:rsidP="00F47ADA">
      <w:pPr>
        <w:rPr>
          <w:lang w:val="lv-LV"/>
        </w:rPr>
      </w:pPr>
    </w:p>
    <w:p w14:paraId="0D325AEE" w14:textId="77777777" w:rsidR="00F47ADA" w:rsidRDefault="00F47ADA" w:rsidP="00F47ADA">
      <w:pPr>
        <w:rPr>
          <w:lang w:val="lv-LV"/>
        </w:rPr>
      </w:pPr>
    </w:p>
    <w:p w14:paraId="5FD71149"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15.</w:t>
      </w:r>
      <w:r>
        <w:rPr>
          <w:b/>
          <w:lang w:val="lv-LV"/>
        </w:rPr>
        <w:tab/>
        <w:t>NORĀDĪJUMI PAR LIETOŠANU</w:t>
      </w:r>
    </w:p>
    <w:p w14:paraId="58BEF988" w14:textId="77777777" w:rsidR="00F47ADA" w:rsidRDefault="00F47ADA" w:rsidP="00F47ADA">
      <w:pPr>
        <w:rPr>
          <w:lang w:val="lv-LV"/>
        </w:rPr>
      </w:pPr>
    </w:p>
    <w:p w14:paraId="3177B258" w14:textId="77777777" w:rsidR="00F47ADA" w:rsidRDefault="00F47ADA" w:rsidP="00F47ADA">
      <w:pPr>
        <w:rPr>
          <w:lang w:val="lv-LV"/>
        </w:rPr>
      </w:pPr>
    </w:p>
    <w:p w14:paraId="5801AEF0"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16.</w:t>
      </w:r>
      <w:r>
        <w:rPr>
          <w:b/>
          <w:lang w:val="lv-LV"/>
        </w:rPr>
        <w:tab/>
        <w:t>INFORMĀCIJA BRAILA RAKSTĀ</w:t>
      </w:r>
    </w:p>
    <w:p w14:paraId="53A10647" w14:textId="77777777" w:rsidR="00F47ADA" w:rsidRDefault="00F47ADA" w:rsidP="00F47ADA">
      <w:pPr>
        <w:rPr>
          <w:lang w:val="lv-LV"/>
        </w:rPr>
      </w:pPr>
    </w:p>
    <w:p w14:paraId="637AAA82" w14:textId="77777777" w:rsidR="00F47ADA" w:rsidRDefault="00F47ADA" w:rsidP="00F47ADA">
      <w:pPr>
        <w:rPr>
          <w:lang w:val="lv-LV"/>
        </w:rPr>
      </w:pPr>
      <w:r>
        <w:rPr>
          <w:lang w:val="lv-LV"/>
        </w:rPr>
        <w:t>roactemra 162 mg</w:t>
      </w:r>
      <w:r w:rsidRPr="00565B39">
        <w:rPr>
          <w:lang w:val="lv-LV"/>
        </w:rPr>
        <w:t xml:space="preserve"> </w:t>
      </w:r>
      <w:r>
        <w:rPr>
          <w:lang w:val="lv-LV"/>
        </w:rPr>
        <w:t>pilnšļirce</w:t>
      </w:r>
    </w:p>
    <w:p w14:paraId="73EC1976" w14:textId="77777777" w:rsidR="00F47ADA" w:rsidRDefault="00F47ADA" w:rsidP="00F47ADA">
      <w:pPr>
        <w:rPr>
          <w:lang w:val="lv-LV"/>
        </w:rPr>
      </w:pPr>
    </w:p>
    <w:p w14:paraId="4399B4B6" w14:textId="77777777" w:rsidR="00F47ADA" w:rsidRDefault="00F47ADA" w:rsidP="00F47ADA">
      <w:pPr>
        <w:rPr>
          <w:lang w:val="lv-LV"/>
        </w:rPr>
      </w:pPr>
    </w:p>
    <w:p w14:paraId="7AB672DF" w14:textId="77777777" w:rsidR="00F47ADA" w:rsidRPr="00A34D5C" w:rsidRDefault="00F47ADA" w:rsidP="00F47ADA">
      <w:pPr>
        <w:keepNext/>
        <w:pBdr>
          <w:top w:val="single" w:sz="4" w:space="1" w:color="auto"/>
          <w:left w:val="single" w:sz="4" w:space="4" w:color="auto"/>
          <w:bottom w:val="single" w:sz="4" w:space="1" w:color="auto"/>
          <w:right w:val="single" w:sz="4" w:space="4" w:color="auto"/>
        </w:pBdr>
        <w:tabs>
          <w:tab w:val="left" w:pos="567"/>
        </w:tabs>
        <w:suppressAutoHyphens w:val="0"/>
        <w:outlineLvl w:val="0"/>
        <w:rPr>
          <w:i/>
          <w:noProof/>
          <w:lang w:val="lv-LV" w:eastAsia="lv-LV" w:bidi="lv-LV"/>
        </w:rPr>
      </w:pPr>
      <w:r w:rsidRPr="00A34D5C">
        <w:rPr>
          <w:b/>
          <w:noProof/>
          <w:lang w:val="lv-LV" w:eastAsia="lv-LV" w:bidi="lv-LV"/>
        </w:rPr>
        <w:t>17.</w:t>
      </w:r>
      <w:r w:rsidRPr="00A34D5C">
        <w:rPr>
          <w:b/>
          <w:noProof/>
          <w:lang w:val="lv-LV" w:eastAsia="lv-LV" w:bidi="lv-LV"/>
        </w:rPr>
        <w:tab/>
        <w:t>UNIKĀLS IDENTIFIKATORS – 2D SVĪTRKODS</w:t>
      </w:r>
    </w:p>
    <w:p w14:paraId="4461BD2A" w14:textId="77777777" w:rsidR="00F47ADA" w:rsidRPr="00A34D5C" w:rsidRDefault="00F47ADA" w:rsidP="00F47ADA">
      <w:pPr>
        <w:suppressAutoHyphens w:val="0"/>
        <w:rPr>
          <w:noProof/>
          <w:lang w:val="lv-LV" w:eastAsia="lv-LV" w:bidi="lv-LV"/>
        </w:rPr>
      </w:pPr>
    </w:p>
    <w:p w14:paraId="74A2BA50" w14:textId="77777777" w:rsidR="00F47ADA" w:rsidRPr="00A34D5C" w:rsidRDefault="00F47ADA" w:rsidP="00F47ADA">
      <w:pPr>
        <w:suppressAutoHyphens w:val="0"/>
        <w:rPr>
          <w:noProof/>
          <w:szCs w:val="22"/>
          <w:shd w:val="clear" w:color="auto" w:fill="CCCCCC"/>
          <w:lang w:val="lv-LV" w:eastAsia="lv-LV" w:bidi="lv-LV"/>
        </w:rPr>
      </w:pPr>
      <w:r w:rsidRPr="00707120">
        <w:rPr>
          <w:noProof/>
          <w:highlight w:val="lightGray"/>
          <w:lang w:val="lv-LV" w:eastAsia="lv-LV" w:bidi="lv-LV"/>
        </w:rPr>
        <w:t>2D svītrkods, kurā iekļauts unikāls identifikators.</w:t>
      </w:r>
    </w:p>
    <w:p w14:paraId="21D288E6" w14:textId="77777777" w:rsidR="00F47ADA" w:rsidRPr="00A34D5C" w:rsidRDefault="00F47ADA" w:rsidP="00F47ADA">
      <w:pPr>
        <w:suppressAutoHyphens w:val="0"/>
        <w:rPr>
          <w:noProof/>
          <w:szCs w:val="22"/>
          <w:shd w:val="clear" w:color="auto" w:fill="CCCCCC"/>
          <w:lang w:val="lv-LV" w:eastAsia="lv-LV" w:bidi="lv-LV"/>
        </w:rPr>
      </w:pPr>
    </w:p>
    <w:p w14:paraId="24DAA085" w14:textId="77777777" w:rsidR="00F47ADA" w:rsidRPr="00A34D5C" w:rsidRDefault="00F47ADA" w:rsidP="00F47ADA">
      <w:pPr>
        <w:suppressAutoHyphens w:val="0"/>
        <w:rPr>
          <w:noProof/>
          <w:lang w:val="lv-LV" w:eastAsia="lv-LV" w:bidi="lv-LV"/>
        </w:rPr>
      </w:pPr>
    </w:p>
    <w:p w14:paraId="724CD44C" w14:textId="77777777" w:rsidR="00F47ADA" w:rsidRPr="00A34D5C" w:rsidRDefault="00F47ADA" w:rsidP="00F47ADA">
      <w:pPr>
        <w:keepNext/>
        <w:keepLines/>
        <w:pBdr>
          <w:top w:val="single" w:sz="4" w:space="1" w:color="auto"/>
          <w:left w:val="single" w:sz="4" w:space="4" w:color="auto"/>
          <w:bottom w:val="single" w:sz="4" w:space="1" w:color="auto"/>
          <w:right w:val="single" w:sz="4" w:space="4" w:color="auto"/>
        </w:pBdr>
        <w:tabs>
          <w:tab w:val="left" w:pos="567"/>
        </w:tabs>
        <w:suppressAutoHyphens w:val="0"/>
        <w:outlineLvl w:val="0"/>
        <w:rPr>
          <w:i/>
          <w:noProof/>
          <w:lang w:val="lv-LV" w:eastAsia="lv-LV" w:bidi="lv-LV"/>
        </w:rPr>
      </w:pPr>
      <w:r w:rsidRPr="00A34D5C">
        <w:rPr>
          <w:b/>
          <w:noProof/>
          <w:lang w:val="lv-LV" w:eastAsia="lv-LV" w:bidi="lv-LV"/>
        </w:rPr>
        <w:t>18.</w:t>
      </w:r>
      <w:r w:rsidRPr="00A34D5C">
        <w:rPr>
          <w:b/>
          <w:noProof/>
          <w:lang w:val="lv-LV" w:eastAsia="lv-LV" w:bidi="lv-LV"/>
        </w:rPr>
        <w:tab/>
        <w:t>UNIKĀLS IDENTIFIKATORS – DATI, KURUS VAR NOLASĪT PERSONA</w:t>
      </w:r>
    </w:p>
    <w:p w14:paraId="08795A7A" w14:textId="77777777" w:rsidR="00F47ADA" w:rsidRPr="00A34D5C" w:rsidRDefault="00F47ADA" w:rsidP="00F47ADA">
      <w:pPr>
        <w:keepNext/>
        <w:keepLines/>
        <w:suppressAutoHyphens w:val="0"/>
        <w:rPr>
          <w:noProof/>
          <w:lang w:val="lv-LV" w:eastAsia="lv-LV" w:bidi="lv-LV"/>
        </w:rPr>
      </w:pPr>
    </w:p>
    <w:p w14:paraId="3290BF55" w14:textId="77777777" w:rsidR="00F47ADA" w:rsidRPr="002B2DFF" w:rsidRDefault="00F47ADA" w:rsidP="00F47ADA">
      <w:pPr>
        <w:keepNext/>
        <w:keepLines/>
        <w:suppressAutoHyphens w:val="0"/>
        <w:rPr>
          <w:szCs w:val="22"/>
          <w:lang w:val="lv-LV" w:eastAsia="lv-LV" w:bidi="lv-LV"/>
        </w:rPr>
      </w:pPr>
      <w:r w:rsidRPr="00A34D5C">
        <w:rPr>
          <w:lang w:val="lv-LV" w:eastAsia="lv-LV" w:bidi="lv-LV"/>
        </w:rPr>
        <w:t xml:space="preserve">PC </w:t>
      </w:r>
    </w:p>
    <w:p w14:paraId="7608DE84" w14:textId="77777777" w:rsidR="00F47ADA" w:rsidRPr="00A34D5C" w:rsidRDefault="00F47ADA" w:rsidP="00F47ADA">
      <w:pPr>
        <w:keepNext/>
        <w:keepLines/>
        <w:suppressAutoHyphens w:val="0"/>
        <w:rPr>
          <w:szCs w:val="22"/>
          <w:lang w:val="lv-LV" w:eastAsia="lv-LV" w:bidi="lv-LV"/>
        </w:rPr>
      </w:pPr>
      <w:r w:rsidRPr="00A34D5C">
        <w:rPr>
          <w:lang w:val="lv-LV" w:eastAsia="lv-LV" w:bidi="lv-LV"/>
        </w:rPr>
        <w:t xml:space="preserve">SN </w:t>
      </w:r>
    </w:p>
    <w:p w14:paraId="4D4D6876" w14:textId="77777777" w:rsidR="00F47ADA" w:rsidRPr="00A34D5C" w:rsidRDefault="00F47ADA" w:rsidP="00F47ADA">
      <w:pPr>
        <w:keepNext/>
        <w:keepLines/>
        <w:suppressAutoHyphens w:val="0"/>
        <w:rPr>
          <w:szCs w:val="22"/>
          <w:lang w:val="lv-LV" w:eastAsia="ja-JP"/>
        </w:rPr>
      </w:pPr>
      <w:r w:rsidRPr="00A34D5C">
        <w:rPr>
          <w:lang w:val="lv-LV" w:eastAsia="lv-LV" w:bidi="lv-LV"/>
        </w:rPr>
        <w:t xml:space="preserve">NN </w:t>
      </w:r>
    </w:p>
    <w:p w14:paraId="2DAD501C" w14:textId="77777777" w:rsidR="00F47ADA" w:rsidRDefault="00F47ADA" w:rsidP="00F47ADA">
      <w:pPr>
        <w:rPr>
          <w:lang w:val="lv-LV"/>
        </w:rPr>
      </w:pPr>
      <w:r>
        <w:rPr>
          <w:lang w:val="lv-LV"/>
        </w:rPr>
        <w:br w:type="page"/>
      </w:r>
    </w:p>
    <w:p w14:paraId="26AD5705" w14:textId="77777777" w:rsidR="00F47ADA" w:rsidRDefault="00F47ADA" w:rsidP="00F47ADA">
      <w:pPr>
        <w:pBdr>
          <w:top w:val="single" w:sz="4" w:space="1" w:color="000000"/>
          <w:left w:val="single" w:sz="4" w:space="4" w:color="000000"/>
          <w:bottom w:val="single" w:sz="4" w:space="1" w:color="000000"/>
          <w:right w:val="single" w:sz="4" w:space="4" w:color="000000"/>
        </w:pBdr>
        <w:rPr>
          <w:bCs/>
          <w:lang w:val="lv-LV"/>
        </w:rPr>
      </w:pPr>
      <w:r>
        <w:rPr>
          <w:b/>
          <w:lang w:val="lv-LV"/>
        </w:rPr>
        <w:t>INFORMĀCIJA, KAS JĀNORĀDA UZ ĀRĒJĀ IEPAKOJUMA</w:t>
      </w:r>
    </w:p>
    <w:p w14:paraId="62F02A2A"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bCs/>
          <w:lang w:val="lv-LV"/>
        </w:rPr>
      </w:pPr>
    </w:p>
    <w:p w14:paraId="328E74CF" w14:textId="77777777" w:rsidR="00F47ADA" w:rsidRDefault="00F47ADA" w:rsidP="00F47ADA">
      <w:pPr>
        <w:pBdr>
          <w:top w:val="single" w:sz="4" w:space="1" w:color="000000"/>
          <w:left w:val="single" w:sz="4" w:space="4" w:color="000000"/>
          <w:bottom w:val="single" w:sz="4" w:space="1" w:color="000000"/>
          <w:right w:val="single" w:sz="4" w:space="4" w:color="000000"/>
        </w:pBdr>
        <w:rPr>
          <w:lang w:val="lv-LV"/>
        </w:rPr>
      </w:pPr>
      <w:r>
        <w:rPr>
          <w:b/>
          <w:lang w:val="lv-LV"/>
        </w:rPr>
        <w:t xml:space="preserve">PILDSPALVVEIDA PILNŠĻIRCES KASTĪTE (bez </w:t>
      </w:r>
      <w:r>
        <w:rPr>
          <w:b/>
          <w:i/>
          <w:lang w:val="lv-LV"/>
        </w:rPr>
        <w:t>BLUE BOX</w:t>
      </w:r>
      <w:r>
        <w:rPr>
          <w:b/>
          <w:lang w:val="lv-LV"/>
        </w:rPr>
        <w:t>) - Daudzdevu iepakojums</w:t>
      </w:r>
    </w:p>
    <w:p w14:paraId="1E240417" w14:textId="77777777" w:rsidR="00F47ADA" w:rsidRDefault="00F47ADA" w:rsidP="00F47ADA">
      <w:pPr>
        <w:rPr>
          <w:lang w:val="lv-LV"/>
        </w:rPr>
      </w:pPr>
    </w:p>
    <w:p w14:paraId="66BDA67E" w14:textId="77777777" w:rsidR="00F47ADA" w:rsidRDefault="00F47ADA" w:rsidP="00F47ADA">
      <w:pPr>
        <w:rPr>
          <w:lang w:val="lv-LV"/>
        </w:rPr>
      </w:pPr>
    </w:p>
    <w:p w14:paraId="14A91C33"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1.</w:t>
      </w:r>
      <w:r>
        <w:rPr>
          <w:b/>
          <w:lang w:val="lv-LV"/>
        </w:rPr>
        <w:tab/>
        <w:t>ZĀĻU NOSAUKUMS</w:t>
      </w:r>
    </w:p>
    <w:p w14:paraId="36AB7DA3" w14:textId="77777777" w:rsidR="00F47ADA" w:rsidRDefault="00F47ADA" w:rsidP="00F47ADA">
      <w:pPr>
        <w:rPr>
          <w:lang w:val="lv-LV"/>
        </w:rPr>
      </w:pPr>
    </w:p>
    <w:p w14:paraId="6BFF9707" w14:textId="77777777" w:rsidR="00F47ADA" w:rsidRDefault="00F47ADA" w:rsidP="00F47ADA">
      <w:pPr>
        <w:rPr>
          <w:lang w:val="lv-LV"/>
        </w:rPr>
      </w:pPr>
      <w:r>
        <w:rPr>
          <w:lang w:val="lv-LV"/>
        </w:rPr>
        <w:t>RoActemra 162 mg šķīdums injekcijām pildspalvveida pilnšļircē</w:t>
      </w:r>
    </w:p>
    <w:p w14:paraId="4751C5F4" w14:textId="77777777" w:rsidR="00F47ADA" w:rsidRDefault="00F47ADA" w:rsidP="00F47ADA">
      <w:pPr>
        <w:rPr>
          <w:lang w:val="lv-LV"/>
        </w:rPr>
      </w:pPr>
    </w:p>
    <w:p w14:paraId="2723F663" w14:textId="77777777" w:rsidR="00F47ADA" w:rsidRPr="00176F88" w:rsidRDefault="00F47ADA" w:rsidP="00F47ADA">
      <w:pPr>
        <w:rPr>
          <w:iCs/>
          <w:lang w:val="lv-LV"/>
        </w:rPr>
      </w:pPr>
      <w:r w:rsidRPr="00176F88">
        <w:rPr>
          <w:iCs/>
          <w:lang w:val="lv-LV"/>
        </w:rPr>
        <w:t>tocilizumab</w:t>
      </w:r>
    </w:p>
    <w:p w14:paraId="29AFF827" w14:textId="77777777" w:rsidR="00F47ADA" w:rsidRDefault="00F47ADA" w:rsidP="00F47ADA">
      <w:pPr>
        <w:rPr>
          <w:lang w:val="lv-LV"/>
        </w:rPr>
      </w:pPr>
    </w:p>
    <w:p w14:paraId="5ECFAEE2" w14:textId="77777777" w:rsidR="00F47ADA" w:rsidRDefault="00F47ADA" w:rsidP="00F47ADA">
      <w:pPr>
        <w:rPr>
          <w:lang w:val="lv-LV"/>
        </w:rPr>
      </w:pPr>
    </w:p>
    <w:p w14:paraId="6074EF36" w14:textId="106DFE05"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2.</w:t>
      </w:r>
      <w:r>
        <w:rPr>
          <w:b/>
          <w:lang w:val="lv-LV"/>
        </w:rPr>
        <w:tab/>
        <w:t>AKTĪVĀS</w:t>
      </w:r>
      <w:del w:id="1584" w:author="Author">
        <w:r w:rsidDel="003126F3">
          <w:rPr>
            <w:b/>
            <w:lang w:val="lv-LV"/>
          </w:rPr>
          <w:delText>(-O)</w:delText>
        </w:r>
      </w:del>
      <w:r>
        <w:rPr>
          <w:b/>
          <w:lang w:val="lv-LV"/>
        </w:rPr>
        <w:t xml:space="preserve"> VIELAS</w:t>
      </w:r>
      <w:del w:id="1585" w:author="Author">
        <w:r w:rsidDel="003126F3">
          <w:rPr>
            <w:b/>
            <w:lang w:val="lv-LV"/>
          </w:rPr>
          <w:delText>(-U)</w:delText>
        </w:r>
      </w:del>
      <w:r>
        <w:rPr>
          <w:b/>
          <w:lang w:val="lv-LV"/>
        </w:rPr>
        <w:t xml:space="preserve"> NOSAUKUMS</w:t>
      </w:r>
      <w:del w:id="1586" w:author="Author">
        <w:r w:rsidDel="003126F3">
          <w:rPr>
            <w:b/>
            <w:lang w:val="lv-LV"/>
          </w:rPr>
          <w:delText>(-I)</w:delText>
        </w:r>
      </w:del>
      <w:r>
        <w:rPr>
          <w:b/>
          <w:lang w:val="lv-LV"/>
        </w:rPr>
        <w:t xml:space="preserve"> UN DAUDZUMS</w:t>
      </w:r>
      <w:del w:id="1587" w:author="Author">
        <w:r w:rsidDel="003126F3">
          <w:rPr>
            <w:b/>
            <w:lang w:val="lv-LV"/>
          </w:rPr>
          <w:delText>(-I)</w:delText>
        </w:r>
      </w:del>
    </w:p>
    <w:p w14:paraId="0109E607" w14:textId="77777777" w:rsidR="00F47ADA" w:rsidRDefault="00F47ADA" w:rsidP="00F47ADA">
      <w:pPr>
        <w:rPr>
          <w:lang w:val="lv-LV"/>
        </w:rPr>
      </w:pPr>
    </w:p>
    <w:p w14:paraId="73CA543C" w14:textId="77777777" w:rsidR="00F47ADA" w:rsidRDefault="00F47ADA" w:rsidP="00F47ADA">
      <w:pPr>
        <w:rPr>
          <w:lang w:val="lv-LV"/>
        </w:rPr>
      </w:pPr>
      <w:r>
        <w:rPr>
          <w:lang w:val="lv-LV"/>
        </w:rPr>
        <w:t>1 pildspalvveida pilnšļirce satur 162 mg tocilizumaba.</w:t>
      </w:r>
    </w:p>
    <w:p w14:paraId="340E7CC2" w14:textId="77777777" w:rsidR="00F47ADA" w:rsidRDefault="00F47ADA" w:rsidP="00F47ADA">
      <w:pPr>
        <w:rPr>
          <w:lang w:val="lv-LV"/>
        </w:rPr>
      </w:pPr>
    </w:p>
    <w:p w14:paraId="2AD4E057" w14:textId="77777777" w:rsidR="00F47ADA" w:rsidRDefault="00F47ADA" w:rsidP="00F47ADA">
      <w:pPr>
        <w:rPr>
          <w:lang w:val="lv-LV"/>
        </w:rPr>
      </w:pPr>
    </w:p>
    <w:p w14:paraId="43AF367B"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3.</w:t>
      </w:r>
      <w:r>
        <w:rPr>
          <w:b/>
          <w:lang w:val="lv-LV"/>
        </w:rPr>
        <w:tab/>
        <w:t>PALĪGVIELU SARAKSTS</w:t>
      </w:r>
    </w:p>
    <w:p w14:paraId="33C9F476" w14:textId="77777777" w:rsidR="00F47ADA" w:rsidRDefault="00F47ADA" w:rsidP="00F47ADA">
      <w:pPr>
        <w:rPr>
          <w:lang w:val="lv-LV"/>
        </w:rPr>
      </w:pPr>
    </w:p>
    <w:p w14:paraId="65B41C4C" w14:textId="73D3EDE5" w:rsidR="00F47ADA" w:rsidRDefault="00F47ADA" w:rsidP="00F47ADA">
      <w:pPr>
        <w:autoSpaceDE w:val="0"/>
        <w:rPr>
          <w:lang w:val="lv-LV"/>
        </w:rPr>
      </w:pPr>
      <w:r>
        <w:rPr>
          <w:rFonts w:eastAsia="PMingLiU"/>
          <w:bCs/>
          <w:szCs w:val="22"/>
          <w:lang w:val="lv-LV"/>
        </w:rPr>
        <w:t xml:space="preserve">Satur arī L-histidīnu, L-histidīna monohidrohlorīda monohidrātu, </w:t>
      </w:r>
      <w:r w:rsidRPr="00466156">
        <w:rPr>
          <w:rFonts w:eastAsia="PMingLiU"/>
          <w:bCs/>
          <w:szCs w:val="22"/>
          <w:highlight w:val="lightGray"/>
          <w:lang w:val="lv-LV"/>
        </w:rPr>
        <w:t>L-arginīn</w:t>
      </w:r>
      <w:r>
        <w:rPr>
          <w:rFonts w:eastAsia="PMingLiU"/>
          <w:bCs/>
          <w:szCs w:val="22"/>
          <w:highlight w:val="lightGray"/>
          <w:lang w:val="lv-LV"/>
        </w:rPr>
        <w:t>u</w:t>
      </w:r>
      <w:r w:rsidRPr="00466156">
        <w:rPr>
          <w:rFonts w:eastAsia="PMingLiU"/>
          <w:bCs/>
          <w:szCs w:val="22"/>
          <w:highlight w:val="lightGray"/>
          <w:lang w:val="lv-LV"/>
        </w:rPr>
        <w:t>/</w:t>
      </w:r>
      <w:r>
        <w:rPr>
          <w:rFonts w:eastAsia="PMingLiU"/>
          <w:bCs/>
          <w:szCs w:val="22"/>
          <w:lang w:val="lv-LV"/>
        </w:rPr>
        <w:t>L-arginīna hidrohlorīdu, L-metionīnu, polisorbātu</w:t>
      </w:r>
      <w:r w:rsidR="00195183">
        <w:rPr>
          <w:rFonts w:eastAsia="PMingLiU"/>
          <w:bCs/>
          <w:szCs w:val="22"/>
          <w:lang w:val="lv-LV"/>
        </w:rPr>
        <w:t> </w:t>
      </w:r>
      <w:r>
        <w:rPr>
          <w:rFonts w:eastAsia="PMingLiU"/>
          <w:bCs/>
          <w:szCs w:val="22"/>
          <w:lang w:val="lv-LV"/>
        </w:rPr>
        <w:t>80, ūdeni injekcijām.</w:t>
      </w:r>
      <w:r>
        <w:rPr>
          <w:lang w:val="lv-LV"/>
        </w:rPr>
        <w:t xml:space="preserve"> </w:t>
      </w:r>
      <w:r w:rsidRPr="00707120">
        <w:rPr>
          <w:highlight w:val="lightGray"/>
          <w:lang w:val="lv-LV"/>
        </w:rPr>
        <w:t>Sīkāku informāciju skatīt lietošanas instrukcijā.</w:t>
      </w:r>
    </w:p>
    <w:p w14:paraId="49AE69BF" w14:textId="77777777" w:rsidR="00F47ADA" w:rsidRDefault="00F47ADA" w:rsidP="00F47ADA">
      <w:pPr>
        <w:rPr>
          <w:lang w:val="lv-LV"/>
        </w:rPr>
      </w:pPr>
    </w:p>
    <w:p w14:paraId="431BB1EF" w14:textId="77777777" w:rsidR="00F47ADA" w:rsidRDefault="00F47ADA" w:rsidP="00F47ADA">
      <w:pPr>
        <w:rPr>
          <w:lang w:val="lv-LV"/>
        </w:rPr>
      </w:pPr>
    </w:p>
    <w:p w14:paraId="1885E6BB"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4.</w:t>
      </w:r>
      <w:r>
        <w:rPr>
          <w:b/>
          <w:lang w:val="lv-LV"/>
        </w:rPr>
        <w:tab/>
        <w:t>ZĀĻU FORMA UN SATURS</w:t>
      </w:r>
    </w:p>
    <w:p w14:paraId="63F163A8" w14:textId="77777777" w:rsidR="00F47ADA" w:rsidRDefault="00F47ADA" w:rsidP="00F47ADA">
      <w:pPr>
        <w:rPr>
          <w:lang w:val="lv-LV"/>
        </w:rPr>
      </w:pPr>
    </w:p>
    <w:p w14:paraId="3E890810" w14:textId="34F82B96" w:rsidR="00F47ADA" w:rsidRPr="00F067AE" w:rsidRDefault="00F47ADA" w:rsidP="00F47ADA">
      <w:pPr>
        <w:rPr>
          <w:lang w:val="lv-LV"/>
        </w:rPr>
      </w:pPr>
      <w:r w:rsidRPr="00707120">
        <w:rPr>
          <w:highlight w:val="lightGray"/>
          <w:lang w:val="lv-LV"/>
        </w:rPr>
        <w:t>Šķīdums injekcijām</w:t>
      </w:r>
    </w:p>
    <w:p w14:paraId="2A071419" w14:textId="18591D0E" w:rsidR="00F47ADA" w:rsidRDefault="00F47ADA" w:rsidP="00F47ADA">
      <w:pPr>
        <w:rPr>
          <w:iCs/>
          <w:lang w:val="lv-LV"/>
        </w:rPr>
      </w:pPr>
      <w:r>
        <w:rPr>
          <w:iCs/>
          <w:lang w:val="lv-LV"/>
        </w:rPr>
        <w:t>4</w:t>
      </w:r>
      <w:r w:rsidR="009801B9">
        <w:rPr>
          <w:iCs/>
          <w:lang w:val="lv-LV"/>
        </w:rPr>
        <w:t> </w:t>
      </w:r>
      <w:r>
        <w:rPr>
          <w:iCs/>
          <w:lang w:val="lv-LV"/>
        </w:rPr>
        <w:t xml:space="preserve">pildspalvveida pilnšļirces </w:t>
      </w:r>
      <w:r w:rsidRPr="00F067AE">
        <w:rPr>
          <w:lang w:val="lv-LV"/>
        </w:rPr>
        <w:t>ACTPen</w:t>
      </w:r>
      <w:r>
        <w:rPr>
          <w:iCs/>
          <w:lang w:val="lv-LV"/>
        </w:rPr>
        <w:t>. Daudzdevu iepakojuma elementi nedrīkst tikt pārdoti atsevišķi</w:t>
      </w:r>
    </w:p>
    <w:p w14:paraId="6C9AC517" w14:textId="2E6D3880" w:rsidR="00F47ADA" w:rsidRDefault="00F47ADA" w:rsidP="00F47ADA">
      <w:pPr>
        <w:rPr>
          <w:lang w:val="lv-LV"/>
        </w:rPr>
      </w:pPr>
      <w:r>
        <w:rPr>
          <w:lang w:val="lv-LV"/>
        </w:rPr>
        <w:t>162 mg/0,9 ml</w:t>
      </w:r>
    </w:p>
    <w:p w14:paraId="08880489" w14:textId="77777777" w:rsidR="00F47ADA" w:rsidRDefault="00F47ADA" w:rsidP="00F47ADA">
      <w:pPr>
        <w:rPr>
          <w:lang w:val="lv-LV"/>
        </w:rPr>
      </w:pPr>
    </w:p>
    <w:p w14:paraId="6522B4F0" w14:textId="77777777" w:rsidR="00F47ADA" w:rsidRDefault="00F47ADA" w:rsidP="00F47ADA">
      <w:pPr>
        <w:rPr>
          <w:lang w:val="lv-LV"/>
        </w:rPr>
      </w:pPr>
    </w:p>
    <w:p w14:paraId="7F844BBA" w14:textId="5AAA541D" w:rsidR="00F47ADA" w:rsidRDefault="00F47ADA" w:rsidP="00F47ADA">
      <w:pPr>
        <w:pBdr>
          <w:top w:val="single" w:sz="4" w:space="1" w:color="000000"/>
          <w:left w:val="single" w:sz="4" w:space="4" w:color="000000"/>
          <w:bottom w:val="single" w:sz="4" w:space="1" w:color="000000"/>
          <w:right w:val="single" w:sz="4" w:space="4" w:color="000000"/>
        </w:pBdr>
        <w:ind w:left="567" w:hanging="567"/>
        <w:rPr>
          <w:i/>
          <w:lang w:val="lv-LV"/>
        </w:rPr>
      </w:pPr>
      <w:r>
        <w:rPr>
          <w:b/>
          <w:lang w:val="lv-LV"/>
        </w:rPr>
        <w:t>5.</w:t>
      </w:r>
      <w:r>
        <w:rPr>
          <w:b/>
          <w:lang w:val="lv-LV"/>
        </w:rPr>
        <w:tab/>
        <w:t>LIETOŠANAS UN IEVADĪŠANAS VEIDS</w:t>
      </w:r>
      <w:del w:id="1588" w:author="Author">
        <w:r w:rsidDel="00823301">
          <w:rPr>
            <w:b/>
            <w:lang w:val="lv-LV"/>
          </w:rPr>
          <w:delText>(-I)</w:delText>
        </w:r>
      </w:del>
    </w:p>
    <w:p w14:paraId="115A1808" w14:textId="77777777" w:rsidR="00F47ADA" w:rsidRDefault="00F47ADA" w:rsidP="00F47ADA">
      <w:pPr>
        <w:rPr>
          <w:i/>
          <w:lang w:val="lv-LV"/>
        </w:rPr>
      </w:pPr>
    </w:p>
    <w:p w14:paraId="4858AF51" w14:textId="77777777" w:rsidR="00F47ADA" w:rsidRDefault="00F47ADA" w:rsidP="00F47ADA">
      <w:pPr>
        <w:rPr>
          <w:lang w:val="lv-LV"/>
        </w:rPr>
      </w:pPr>
      <w:r>
        <w:rPr>
          <w:lang w:val="lv-LV"/>
        </w:rPr>
        <w:t>Subkutānai lietošanai</w:t>
      </w:r>
    </w:p>
    <w:p w14:paraId="0D4A8A0D" w14:textId="77777777" w:rsidR="00F47ADA" w:rsidRDefault="00F47ADA" w:rsidP="00F47ADA">
      <w:pPr>
        <w:rPr>
          <w:lang w:val="lv-LV"/>
        </w:rPr>
      </w:pPr>
      <w:r>
        <w:rPr>
          <w:lang w:val="lv-LV"/>
        </w:rPr>
        <w:t>Pirms lietošanas izlasiet lietošanas instrukciju</w:t>
      </w:r>
    </w:p>
    <w:p w14:paraId="7F9EBD1B" w14:textId="77777777" w:rsidR="00F47ADA" w:rsidRDefault="00F47ADA" w:rsidP="00F47ADA">
      <w:pPr>
        <w:rPr>
          <w:lang w:val="lv-LV"/>
        </w:rPr>
      </w:pPr>
    </w:p>
    <w:p w14:paraId="07C9B158" w14:textId="77777777" w:rsidR="00F47ADA" w:rsidRDefault="00F47ADA" w:rsidP="00F47ADA">
      <w:pPr>
        <w:rPr>
          <w:lang w:val="lv-LV"/>
        </w:rPr>
      </w:pPr>
    </w:p>
    <w:p w14:paraId="5FA52C3F"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6.</w:t>
      </w:r>
      <w:r>
        <w:rPr>
          <w:b/>
          <w:lang w:val="lv-LV"/>
        </w:rPr>
        <w:tab/>
        <w:t>ĪPAŠI BRĪDINĀJUMI PAR ZĀĻU UZGLABĀŠANU BĒRNIEM NEREDZAMĀ UN NEPIEEJAMĀ VIETĀ</w:t>
      </w:r>
    </w:p>
    <w:p w14:paraId="5E9F5E54" w14:textId="77777777" w:rsidR="00F47ADA" w:rsidRDefault="00F47ADA" w:rsidP="00F47ADA">
      <w:pPr>
        <w:rPr>
          <w:lang w:val="lv-LV"/>
        </w:rPr>
      </w:pPr>
    </w:p>
    <w:p w14:paraId="22F29682" w14:textId="77777777" w:rsidR="00F47ADA" w:rsidRDefault="00F47ADA" w:rsidP="00F47ADA">
      <w:pPr>
        <w:rPr>
          <w:lang w:val="lv-LV"/>
        </w:rPr>
      </w:pPr>
      <w:r>
        <w:rPr>
          <w:lang w:val="lv-LV"/>
        </w:rPr>
        <w:t>Uzglabāt bērniem neredzamā un nepieejamā vietā</w:t>
      </w:r>
    </w:p>
    <w:p w14:paraId="4F84B279" w14:textId="77777777" w:rsidR="00F47ADA" w:rsidRDefault="00F47ADA" w:rsidP="00F47ADA">
      <w:pPr>
        <w:rPr>
          <w:lang w:val="lv-LV"/>
        </w:rPr>
      </w:pPr>
    </w:p>
    <w:p w14:paraId="30BF9D1B" w14:textId="77777777" w:rsidR="00F47ADA" w:rsidRDefault="00F47ADA" w:rsidP="00F47ADA">
      <w:pPr>
        <w:rPr>
          <w:lang w:val="lv-LV"/>
        </w:rPr>
      </w:pPr>
    </w:p>
    <w:p w14:paraId="41FAE3C9"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7.</w:t>
      </w:r>
      <w:r>
        <w:rPr>
          <w:b/>
          <w:lang w:val="lv-LV"/>
        </w:rPr>
        <w:tab/>
        <w:t>CITI ĪPAŠI BRĪDINĀJUMI, JA NEPIECIEŠAMS</w:t>
      </w:r>
    </w:p>
    <w:p w14:paraId="51015ABA" w14:textId="77777777" w:rsidR="00F47ADA" w:rsidRDefault="00F47ADA" w:rsidP="00F47ADA">
      <w:pPr>
        <w:rPr>
          <w:lang w:val="lv-LV"/>
        </w:rPr>
      </w:pPr>
    </w:p>
    <w:p w14:paraId="3C028110" w14:textId="77777777" w:rsidR="00F47ADA" w:rsidRDefault="00F47ADA" w:rsidP="00F47ADA">
      <w:pPr>
        <w:rPr>
          <w:lang w:val="lv-LV"/>
        </w:rPr>
      </w:pPr>
      <w:r>
        <w:rPr>
          <w:lang w:val="lv-LV"/>
        </w:rPr>
        <w:t>Pēc pildspalvveida pilnšļirces izņemšanas no kastītes ļaujiet tai atrasties istabas temperatūrā 45 minūtes pirms lietošanas</w:t>
      </w:r>
    </w:p>
    <w:p w14:paraId="471E2771" w14:textId="77777777" w:rsidR="00F47ADA" w:rsidRDefault="00F47ADA" w:rsidP="00F47ADA">
      <w:pPr>
        <w:rPr>
          <w:lang w:val="lv-LV"/>
        </w:rPr>
      </w:pPr>
    </w:p>
    <w:p w14:paraId="6ADBF1B7" w14:textId="77777777" w:rsidR="00F47ADA" w:rsidRDefault="00F47ADA" w:rsidP="00F47ADA">
      <w:pPr>
        <w:rPr>
          <w:lang w:val="lv-LV"/>
        </w:rPr>
      </w:pPr>
    </w:p>
    <w:p w14:paraId="12D4E741"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8.</w:t>
      </w:r>
      <w:r>
        <w:rPr>
          <w:b/>
          <w:lang w:val="lv-LV"/>
        </w:rPr>
        <w:tab/>
        <w:t>DERĪGUMA TERMIŅŠ</w:t>
      </w:r>
    </w:p>
    <w:p w14:paraId="0CB86023" w14:textId="77777777" w:rsidR="00F47ADA" w:rsidRDefault="00F47ADA" w:rsidP="00F47ADA">
      <w:pPr>
        <w:rPr>
          <w:lang w:val="lv-LV"/>
        </w:rPr>
      </w:pPr>
    </w:p>
    <w:p w14:paraId="184CE90C" w14:textId="2F1D5EB1" w:rsidR="00F47ADA" w:rsidRDefault="00176F88" w:rsidP="00F47ADA">
      <w:pPr>
        <w:rPr>
          <w:lang w:val="lv-LV"/>
        </w:rPr>
      </w:pPr>
      <w:r>
        <w:rPr>
          <w:lang w:val="lv-LV"/>
        </w:rPr>
        <w:t>EXP</w:t>
      </w:r>
    </w:p>
    <w:p w14:paraId="59952C07" w14:textId="77777777" w:rsidR="00F47ADA" w:rsidRDefault="00F47ADA" w:rsidP="00F47ADA">
      <w:pPr>
        <w:rPr>
          <w:lang w:val="lv-LV"/>
        </w:rPr>
      </w:pPr>
    </w:p>
    <w:p w14:paraId="4AC6EB00" w14:textId="77777777" w:rsidR="00F47ADA" w:rsidRDefault="00F47ADA" w:rsidP="00F47ADA">
      <w:pPr>
        <w:rPr>
          <w:lang w:val="lv-LV"/>
        </w:rPr>
      </w:pPr>
    </w:p>
    <w:p w14:paraId="4C322C67" w14:textId="77777777" w:rsidR="00F47ADA" w:rsidRDefault="00F47ADA" w:rsidP="00F47ADA">
      <w:pPr>
        <w:keepNext/>
        <w:keepLines/>
        <w:pBdr>
          <w:top w:val="single" w:sz="4" w:space="1" w:color="000000"/>
          <w:left w:val="single" w:sz="4" w:space="4" w:color="000000"/>
          <w:bottom w:val="single" w:sz="4" w:space="1" w:color="000000"/>
          <w:right w:val="single" w:sz="4" w:space="4" w:color="000000"/>
        </w:pBdr>
        <w:ind w:left="567" w:hanging="567"/>
        <w:rPr>
          <w:lang w:val="lv-LV"/>
        </w:rPr>
      </w:pPr>
      <w:r>
        <w:rPr>
          <w:b/>
          <w:lang w:val="lv-LV"/>
        </w:rPr>
        <w:t>9.</w:t>
      </w:r>
      <w:r>
        <w:rPr>
          <w:b/>
          <w:lang w:val="lv-LV"/>
        </w:rPr>
        <w:tab/>
        <w:t>ĪPAŠI UZGLABĀŠANAS NOSACĪJUMI</w:t>
      </w:r>
    </w:p>
    <w:p w14:paraId="3BDE373F" w14:textId="77777777" w:rsidR="00F47ADA" w:rsidRDefault="00F47ADA" w:rsidP="00F47ADA">
      <w:pPr>
        <w:keepNext/>
        <w:ind w:left="567" w:hanging="567"/>
        <w:rPr>
          <w:lang w:val="lv-LV"/>
        </w:rPr>
      </w:pPr>
    </w:p>
    <w:p w14:paraId="56FA3ED5" w14:textId="77777777" w:rsidR="00F47ADA" w:rsidRDefault="00F47ADA" w:rsidP="00F47ADA">
      <w:pPr>
        <w:keepNext/>
        <w:rPr>
          <w:lang w:val="lv-LV"/>
        </w:rPr>
      </w:pPr>
      <w:r>
        <w:rPr>
          <w:lang w:val="lv-LV"/>
        </w:rPr>
        <w:t xml:space="preserve">Uzglabāt ledusskapī </w:t>
      </w:r>
    </w:p>
    <w:p w14:paraId="59494E24" w14:textId="77777777" w:rsidR="00F47ADA" w:rsidRDefault="00F47ADA" w:rsidP="00F47ADA">
      <w:pPr>
        <w:rPr>
          <w:lang w:val="lv-LV"/>
        </w:rPr>
      </w:pPr>
      <w:r>
        <w:rPr>
          <w:lang w:val="lv-LV"/>
        </w:rPr>
        <w:t>Nesasaldēt</w:t>
      </w:r>
    </w:p>
    <w:p w14:paraId="6C478FF8" w14:textId="77777777" w:rsidR="00F47ADA" w:rsidRDefault="00F47ADA" w:rsidP="00F47ADA">
      <w:pPr>
        <w:rPr>
          <w:lang w:val="lv-LV"/>
        </w:rPr>
      </w:pPr>
      <w:r w:rsidRPr="0043619A">
        <w:rPr>
          <w:lang w:val="lv-LV"/>
        </w:rPr>
        <w:t xml:space="preserve">Pēc izņemšanas no ledusskapja </w:t>
      </w:r>
      <w:r>
        <w:rPr>
          <w:lang w:val="lv-LV"/>
        </w:rPr>
        <w:t xml:space="preserve">pildspalvveida </w:t>
      </w:r>
      <w:r w:rsidRPr="0043619A">
        <w:rPr>
          <w:lang w:val="lv-LV"/>
        </w:rPr>
        <w:t>pilnšļirci var uzglabāt līdz 2</w:t>
      </w:r>
      <w:r>
        <w:rPr>
          <w:lang w:val="lv-LV"/>
        </w:rPr>
        <w:t> </w:t>
      </w:r>
      <w:r w:rsidRPr="0043619A">
        <w:rPr>
          <w:lang w:val="lv-LV"/>
        </w:rPr>
        <w:t>nedēļām temperatūrā līdz 30</w:t>
      </w:r>
      <w:r>
        <w:rPr>
          <w:lang w:val="lv-LV"/>
        </w:rPr>
        <w:t> </w:t>
      </w:r>
      <w:r w:rsidRPr="0043619A">
        <w:rPr>
          <w:lang w:val="lv-LV"/>
        </w:rPr>
        <w:t>°C</w:t>
      </w:r>
    </w:p>
    <w:p w14:paraId="106B1595" w14:textId="77777777" w:rsidR="00F47ADA" w:rsidRDefault="00F47ADA" w:rsidP="00F47ADA">
      <w:pPr>
        <w:rPr>
          <w:szCs w:val="22"/>
          <w:lang w:val="lv-LV"/>
        </w:rPr>
      </w:pPr>
      <w:r>
        <w:rPr>
          <w:szCs w:val="22"/>
          <w:lang w:val="lv-LV"/>
        </w:rPr>
        <w:t xml:space="preserve">Uzglabāt pildspalvveida pilnšļirci ārējā kartona kastītē, lai pasargātu no gaismas un mitruma </w:t>
      </w:r>
    </w:p>
    <w:p w14:paraId="7727AB99" w14:textId="77777777" w:rsidR="00F47ADA" w:rsidRDefault="00F47ADA" w:rsidP="00F47ADA">
      <w:pPr>
        <w:ind w:left="567" w:hanging="567"/>
        <w:rPr>
          <w:lang w:val="lv-LV"/>
        </w:rPr>
      </w:pPr>
    </w:p>
    <w:p w14:paraId="47EF0ECF" w14:textId="77777777" w:rsidR="00F47ADA" w:rsidRDefault="00F47ADA" w:rsidP="00F47ADA">
      <w:pPr>
        <w:ind w:left="567" w:hanging="567"/>
        <w:rPr>
          <w:lang w:val="lv-LV"/>
        </w:rPr>
      </w:pPr>
    </w:p>
    <w:p w14:paraId="3917E95A"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10.</w:t>
      </w:r>
      <w:r>
        <w:rPr>
          <w:b/>
          <w:lang w:val="lv-LV"/>
        </w:rPr>
        <w:tab/>
        <w:t>ĪPAŠI PIESARDZĪBAS PASĀKUMI, IZNĪCINOT NEIZLIETOTĀS ZĀLES VAI IZMANTOTOS MATERIĀLUS, KAS BIJUŠI SASKARĒ AR ŠĪM ZĀLĒM, JA PIEMĒROJAMS</w:t>
      </w:r>
    </w:p>
    <w:p w14:paraId="655FE67A" w14:textId="77777777" w:rsidR="00F47ADA" w:rsidRDefault="00F47ADA" w:rsidP="00F47ADA">
      <w:pPr>
        <w:rPr>
          <w:lang w:val="lv-LV"/>
        </w:rPr>
      </w:pPr>
    </w:p>
    <w:p w14:paraId="2B19CCC9" w14:textId="77777777" w:rsidR="00F47ADA" w:rsidRDefault="00F47ADA" w:rsidP="00F47ADA">
      <w:pPr>
        <w:rPr>
          <w:lang w:val="lv-LV"/>
        </w:rPr>
      </w:pPr>
    </w:p>
    <w:p w14:paraId="17D1F52B"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11.</w:t>
      </w:r>
      <w:r>
        <w:rPr>
          <w:b/>
          <w:lang w:val="lv-LV"/>
        </w:rPr>
        <w:tab/>
        <w:t xml:space="preserve">REĢISTRĀCIJAS APLIECĪBAS ĪPAŠNIEKA NOSAUKUMS UN ADRESE </w:t>
      </w:r>
    </w:p>
    <w:p w14:paraId="6CB7244C" w14:textId="77777777" w:rsidR="00F47ADA" w:rsidRDefault="00F47ADA" w:rsidP="00F47ADA">
      <w:pPr>
        <w:rPr>
          <w:lang w:val="lv-LV"/>
        </w:rPr>
      </w:pPr>
    </w:p>
    <w:p w14:paraId="48F861DC" w14:textId="77777777" w:rsidR="00F47ADA" w:rsidRPr="00F1131A" w:rsidRDefault="00F47ADA" w:rsidP="00F47ADA">
      <w:pPr>
        <w:rPr>
          <w:lang w:val="lv-LV"/>
        </w:rPr>
      </w:pPr>
      <w:r w:rsidRPr="00F1131A">
        <w:rPr>
          <w:lang w:val="lv-LV"/>
        </w:rPr>
        <w:t xml:space="preserve">Roche Registration GmbH </w:t>
      </w:r>
    </w:p>
    <w:p w14:paraId="7BCEFE46" w14:textId="77777777" w:rsidR="00F47ADA" w:rsidRPr="00F1131A" w:rsidRDefault="00F47ADA" w:rsidP="00F47ADA">
      <w:pPr>
        <w:rPr>
          <w:lang w:val="lv-LV"/>
        </w:rPr>
      </w:pPr>
      <w:r w:rsidRPr="00F1131A">
        <w:rPr>
          <w:lang w:val="lv-LV"/>
        </w:rPr>
        <w:t>Emil-Barell-Strasse 1</w:t>
      </w:r>
    </w:p>
    <w:p w14:paraId="4EFDBCF6" w14:textId="77777777" w:rsidR="00F47ADA" w:rsidRPr="00F1131A" w:rsidRDefault="00F47ADA" w:rsidP="00F47ADA">
      <w:pPr>
        <w:rPr>
          <w:lang w:val="lv-LV"/>
        </w:rPr>
      </w:pPr>
      <w:r w:rsidRPr="00F1131A">
        <w:rPr>
          <w:lang w:val="lv-LV"/>
        </w:rPr>
        <w:t>79639 Grenzach-Wyhlen</w:t>
      </w:r>
    </w:p>
    <w:p w14:paraId="77471B2E" w14:textId="77777777" w:rsidR="00F47ADA" w:rsidRDefault="00F47ADA" w:rsidP="00F47ADA">
      <w:pPr>
        <w:rPr>
          <w:lang w:val="lv-LV"/>
        </w:rPr>
      </w:pPr>
      <w:r w:rsidRPr="00F1131A">
        <w:rPr>
          <w:lang w:val="lv-LV"/>
        </w:rPr>
        <w:t>Vācija</w:t>
      </w:r>
    </w:p>
    <w:p w14:paraId="7DEAB08A" w14:textId="77777777" w:rsidR="00F47ADA" w:rsidRDefault="00F47ADA" w:rsidP="00F47ADA">
      <w:pPr>
        <w:rPr>
          <w:lang w:val="lv-LV"/>
        </w:rPr>
      </w:pPr>
    </w:p>
    <w:p w14:paraId="2F838FA7" w14:textId="77777777" w:rsidR="00F47ADA" w:rsidRDefault="00F47ADA" w:rsidP="00F47ADA">
      <w:pPr>
        <w:rPr>
          <w:lang w:val="lv-LV"/>
        </w:rPr>
      </w:pPr>
    </w:p>
    <w:p w14:paraId="652AB456"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12.</w:t>
      </w:r>
      <w:r>
        <w:rPr>
          <w:b/>
          <w:lang w:val="lv-LV"/>
        </w:rPr>
        <w:tab/>
        <w:t xml:space="preserve">REĢISTRĀCIJAS APLIECĪBAS NUMURS(-I) </w:t>
      </w:r>
    </w:p>
    <w:p w14:paraId="325529B3" w14:textId="77777777" w:rsidR="00F47ADA" w:rsidRDefault="00F47ADA" w:rsidP="00F47ADA">
      <w:pPr>
        <w:rPr>
          <w:lang w:val="lv-LV"/>
        </w:rPr>
      </w:pPr>
    </w:p>
    <w:p w14:paraId="082D856F" w14:textId="77777777" w:rsidR="00F47ADA" w:rsidRPr="00C74D1A" w:rsidRDefault="00F47ADA" w:rsidP="00F47ADA">
      <w:pPr>
        <w:rPr>
          <w:lang w:val="lv-LV"/>
        </w:rPr>
      </w:pPr>
      <w:r w:rsidRPr="00C74D1A">
        <w:rPr>
          <w:lang w:val="lv-LV"/>
        </w:rPr>
        <w:t>EU/1/08/492/010</w:t>
      </w:r>
    </w:p>
    <w:p w14:paraId="556498CA" w14:textId="77777777" w:rsidR="00F47ADA" w:rsidRDefault="00F47ADA" w:rsidP="00F47ADA">
      <w:pPr>
        <w:rPr>
          <w:lang w:val="lv-LV"/>
        </w:rPr>
      </w:pPr>
    </w:p>
    <w:p w14:paraId="0F465055" w14:textId="77777777" w:rsidR="00F47ADA" w:rsidRDefault="00F47ADA" w:rsidP="00F47ADA">
      <w:pPr>
        <w:rPr>
          <w:lang w:val="lv-LV"/>
        </w:rPr>
      </w:pPr>
    </w:p>
    <w:p w14:paraId="17848348"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13.</w:t>
      </w:r>
      <w:r>
        <w:rPr>
          <w:b/>
          <w:lang w:val="lv-LV"/>
        </w:rPr>
        <w:tab/>
        <w:t>SĒRIJAS NUMURS</w:t>
      </w:r>
    </w:p>
    <w:p w14:paraId="51AD0FB0" w14:textId="77777777" w:rsidR="00F47ADA" w:rsidRDefault="00F47ADA" w:rsidP="00F47ADA">
      <w:pPr>
        <w:rPr>
          <w:lang w:val="lv-LV"/>
        </w:rPr>
      </w:pPr>
    </w:p>
    <w:p w14:paraId="773FA50E" w14:textId="14C67E20" w:rsidR="00F47ADA" w:rsidRDefault="00F47ADA" w:rsidP="00F47ADA">
      <w:pPr>
        <w:rPr>
          <w:lang w:val="lv-LV"/>
        </w:rPr>
      </w:pPr>
      <w:r>
        <w:rPr>
          <w:lang w:val="lv-LV"/>
        </w:rPr>
        <w:t>Lot</w:t>
      </w:r>
    </w:p>
    <w:p w14:paraId="5FAC0D49" w14:textId="77777777" w:rsidR="00F47ADA" w:rsidRDefault="00F47ADA" w:rsidP="00F47ADA">
      <w:pPr>
        <w:rPr>
          <w:lang w:val="lv-LV"/>
        </w:rPr>
      </w:pPr>
    </w:p>
    <w:p w14:paraId="66868574" w14:textId="77777777" w:rsidR="00F47ADA" w:rsidRDefault="00F47ADA" w:rsidP="00F47ADA">
      <w:pPr>
        <w:rPr>
          <w:lang w:val="lv-LV"/>
        </w:rPr>
      </w:pPr>
    </w:p>
    <w:p w14:paraId="51BAAE79"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14.</w:t>
      </w:r>
      <w:r>
        <w:rPr>
          <w:b/>
          <w:lang w:val="lv-LV"/>
        </w:rPr>
        <w:tab/>
        <w:t>IZSNIEGŠANAS KĀRTĪBA</w:t>
      </w:r>
    </w:p>
    <w:p w14:paraId="01C4310D" w14:textId="77777777" w:rsidR="00F47ADA" w:rsidRDefault="00F47ADA" w:rsidP="00F47ADA">
      <w:pPr>
        <w:rPr>
          <w:lang w:val="lv-LV"/>
        </w:rPr>
      </w:pPr>
    </w:p>
    <w:p w14:paraId="5E9A7213" w14:textId="77777777" w:rsidR="00F47ADA" w:rsidRDefault="00F47ADA" w:rsidP="00F47ADA">
      <w:pPr>
        <w:rPr>
          <w:lang w:val="lv-LV"/>
        </w:rPr>
      </w:pPr>
    </w:p>
    <w:p w14:paraId="66171F24"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15.</w:t>
      </w:r>
      <w:r>
        <w:rPr>
          <w:b/>
          <w:lang w:val="lv-LV"/>
        </w:rPr>
        <w:tab/>
        <w:t>NORĀDĪJUMI PAR LIETOŠANU</w:t>
      </w:r>
    </w:p>
    <w:p w14:paraId="20128990" w14:textId="77777777" w:rsidR="00F47ADA" w:rsidRDefault="00F47ADA" w:rsidP="00F47ADA">
      <w:pPr>
        <w:rPr>
          <w:lang w:val="lv-LV"/>
        </w:rPr>
      </w:pPr>
    </w:p>
    <w:p w14:paraId="023418DB" w14:textId="77777777" w:rsidR="00F47ADA" w:rsidRDefault="00F47ADA" w:rsidP="00F47ADA">
      <w:pPr>
        <w:rPr>
          <w:lang w:val="lv-LV"/>
        </w:rPr>
      </w:pPr>
    </w:p>
    <w:p w14:paraId="23AA3E3C"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16.</w:t>
      </w:r>
      <w:r>
        <w:rPr>
          <w:b/>
          <w:lang w:val="lv-LV"/>
        </w:rPr>
        <w:tab/>
        <w:t>INFORMĀCIJA BRAILA RAKSTĀ</w:t>
      </w:r>
    </w:p>
    <w:p w14:paraId="552251E0" w14:textId="77777777" w:rsidR="00F47ADA" w:rsidRDefault="00F47ADA" w:rsidP="00F47ADA">
      <w:pPr>
        <w:rPr>
          <w:lang w:val="lv-LV"/>
        </w:rPr>
      </w:pPr>
    </w:p>
    <w:p w14:paraId="20ABD332" w14:textId="77777777" w:rsidR="00F47ADA" w:rsidRDefault="00F47ADA" w:rsidP="00F47ADA">
      <w:pPr>
        <w:rPr>
          <w:lang w:val="lv-LV"/>
        </w:rPr>
      </w:pPr>
      <w:r>
        <w:rPr>
          <w:lang w:val="lv-LV"/>
        </w:rPr>
        <w:t>roactemra 162 mg</w:t>
      </w:r>
      <w:r w:rsidRPr="00C63D33">
        <w:rPr>
          <w:lang w:val="lv-LV"/>
        </w:rPr>
        <w:t xml:space="preserve"> </w:t>
      </w:r>
      <w:r>
        <w:rPr>
          <w:lang w:val="lv-LV"/>
        </w:rPr>
        <w:t>pilnšļirce</w:t>
      </w:r>
    </w:p>
    <w:p w14:paraId="7AD1F050" w14:textId="77777777" w:rsidR="00F47ADA" w:rsidRDefault="00F47ADA" w:rsidP="00F47ADA">
      <w:pPr>
        <w:rPr>
          <w:lang w:val="lv-LV"/>
        </w:rPr>
      </w:pPr>
    </w:p>
    <w:p w14:paraId="62FD3462" w14:textId="77777777" w:rsidR="00F47ADA" w:rsidRDefault="00F47ADA" w:rsidP="00F47ADA">
      <w:pPr>
        <w:rPr>
          <w:lang w:val="lv-LV"/>
        </w:rPr>
      </w:pPr>
    </w:p>
    <w:p w14:paraId="26CF6F3E" w14:textId="77777777" w:rsidR="00F47ADA" w:rsidRPr="00A34D5C" w:rsidRDefault="00F47ADA" w:rsidP="00F47ADA">
      <w:pPr>
        <w:keepNext/>
        <w:keepLines/>
        <w:pBdr>
          <w:top w:val="single" w:sz="4" w:space="1" w:color="auto"/>
          <w:left w:val="single" w:sz="4" w:space="4" w:color="auto"/>
          <w:bottom w:val="single" w:sz="4" w:space="1" w:color="auto"/>
          <w:right w:val="single" w:sz="4" w:space="4" w:color="auto"/>
        </w:pBdr>
        <w:tabs>
          <w:tab w:val="left" w:pos="567"/>
        </w:tabs>
        <w:suppressAutoHyphens w:val="0"/>
        <w:outlineLvl w:val="0"/>
        <w:rPr>
          <w:i/>
          <w:noProof/>
          <w:lang w:val="lv-LV" w:eastAsia="lv-LV" w:bidi="lv-LV"/>
        </w:rPr>
      </w:pPr>
      <w:r w:rsidRPr="00A34D5C">
        <w:rPr>
          <w:b/>
          <w:noProof/>
          <w:lang w:val="lv-LV" w:eastAsia="lv-LV" w:bidi="lv-LV"/>
        </w:rPr>
        <w:t>17.</w:t>
      </w:r>
      <w:r w:rsidRPr="00A34D5C">
        <w:rPr>
          <w:b/>
          <w:noProof/>
          <w:lang w:val="lv-LV" w:eastAsia="lv-LV" w:bidi="lv-LV"/>
        </w:rPr>
        <w:tab/>
        <w:t>UNIKĀLS IDENTIFIKATORS – 2D SVĪTRKODS</w:t>
      </w:r>
    </w:p>
    <w:p w14:paraId="75052BBF" w14:textId="77777777" w:rsidR="00F47ADA" w:rsidRPr="00A34D5C" w:rsidRDefault="00F47ADA" w:rsidP="00F47ADA">
      <w:pPr>
        <w:suppressAutoHyphens w:val="0"/>
        <w:rPr>
          <w:noProof/>
          <w:szCs w:val="22"/>
          <w:shd w:val="clear" w:color="auto" w:fill="CCCCCC"/>
          <w:lang w:val="lv-LV" w:eastAsia="lv-LV" w:bidi="lv-LV"/>
        </w:rPr>
      </w:pPr>
    </w:p>
    <w:p w14:paraId="626C2FAD" w14:textId="77777777" w:rsidR="00F47ADA" w:rsidRPr="00A34D5C" w:rsidRDefault="00F47ADA" w:rsidP="00F47ADA">
      <w:pPr>
        <w:suppressAutoHyphens w:val="0"/>
        <w:rPr>
          <w:noProof/>
          <w:lang w:val="lv-LV" w:eastAsia="lv-LV" w:bidi="lv-LV"/>
        </w:rPr>
      </w:pPr>
    </w:p>
    <w:p w14:paraId="6B6DF243" w14:textId="77777777" w:rsidR="00F47ADA" w:rsidRPr="00A34D5C" w:rsidRDefault="00F47ADA" w:rsidP="00F47ADA">
      <w:pPr>
        <w:keepNext/>
        <w:pBdr>
          <w:top w:val="single" w:sz="4" w:space="1" w:color="auto"/>
          <w:left w:val="single" w:sz="4" w:space="4" w:color="auto"/>
          <w:bottom w:val="single" w:sz="4" w:space="1" w:color="auto"/>
          <w:right w:val="single" w:sz="4" w:space="4" w:color="auto"/>
        </w:pBdr>
        <w:tabs>
          <w:tab w:val="left" w:pos="567"/>
        </w:tabs>
        <w:suppressAutoHyphens w:val="0"/>
        <w:outlineLvl w:val="0"/>
        <w:rPr>
          <w:i/>
          <w:noProof/>
          <w:lang w:val="lv-LV" w:eastAsia="lv-LV" w:bidi="lv-LV"/>
        </w:rPr>
      </w:pPr>
      <w:r w:rsidRPr="00A34D5C">
        <w:rPr>
          <w:b/>
          <w:noProof/>
          <w:lang w:val="lv-LV" w:eastAsia="lv-LV" w:bidi="lv-LV"/>
        </w:rPr>
        <w:t>18.</w:t>
      </w:r>
      <w:r w:rsidRPr="00A34D5C">
        <w:rPr>
          <w:b/>
          <w:noProof/>
          <w:lang w:val="lv-LV" w:eastAsia="lv-LV" w:bidi="lv-LV"/>
        </w:rPr>
        <w:tab/>
        <w:t>UNIKĀLS IDENTIFIKATORS – DATI, KURUS VAR NOLASĪT PERSONA</w:t>
      </w:r>
    </w:p>
    <w:p w14:paraId="73F3DC30" w14:textId="77777777" w:rsidR="00F47ADA" w:rsidRPr="00A34D5C" w:rsidRDefault="00F47ADA" w:rsidP="00F47ADA">
      <w:pPr>
        <w:keepNext/>
        <w:suppressAutoHyphens w:val="0"/>
        <w:rPr>
          <w:noProof/>
          <w:lang w:val="lv-LV" w:eastAsia="lv-LV" w:bidi="lv-LV"/>
        </w:rPr>
      </w:pPr>
    </w:p>
    <w:p w14:paraId="5B73606C" w14:textId="77777777" w:rsidR="00F47ADA" w:rsidRDefault="00F47ADA" w:rsidP="00F47ADA">
      <w:pPr>
        <w:pStyle w:val="Paragraph"/>
        <w:rPr>
          <w:lang w:val="lv-LV" w:eastAsia="lv-LV" w:bidi="lv-LV"/>
        </w:rPr>
      </w:pPr>
      <w:r>
        <w:rPr>
          <w:lang w:val="lv-LV" w:eastAsia="lv-LV" w:bidi="lv-LV"/>
        </w:rPr>
        <w:br w:type="page"/>
      </w:r>
    </w:p>
    <w:p w14:paraId="48B78A2A" w14:textId="77777777" w:rsidR="00F47ADA" w:rsidRDefault="00F47ADA" w:rsidP="00F47ADA">
      <w:pPr>
        <w:pBdr>
          <w:top w:val="single" w:sz="4" w:space="1" w:color="000000"/>
          <w:left w:val="single" w:sz="4" w:space="4" w:color="000000"/>
          <w:bottom w:val="single" w:sz="4" w:space="1" w:color="000000"/>
          <w:right w:val="single" w:sz="4" w:space="4" w:color="000000"/>
        </w:pBdr>
        <w:rPr>
          <w:b/>
          <w:lang w:val="lv-LV"/>
        </w:rPr>
      </w:pPr>
      <w:r>
        <w:rPr>
          <w:b/>
          <w:lang w:val="lv-LV"/>
        </w:rPr>
        <w:t>MINIMĀLĀ INFORMĀCIJA, KAS JĀNORĀDA UZ MAZA IZMĒRA TIEŠĀ IEPAKOJUMA</w:t>
      </w:r>
    </w:p>
    <w:p w14:paraId="443C5BA1" w14:textId="77777777" w:rsidR="00F47ADA" w:rsidRDefault="00F47ADA" w:rsidP="00F47ADA">
      <w:pPr>
        <w:pBdr>
          <w:top w:val="single" w:sz="4" w:space="1" w:color="000000"/>
          <w:left w:val="single" w:sz="4" w:space="4" w:color="000000"/>
          <w:bottom w:val="single" w:sz="4" w:space="1" w:color="000000"/>
          <w:right w:val="single" w:sz="4" w:space="4" w:color="000000"/>
        </w:pBdr>
        <w:rPr>
          <w:b/>
          <w:lang w:val="lv-LV"/>
        </w:rPr>
      </w:pPr>
    </w:p>
    <w:p w14:paraId="5A93F851" w14:textId="77777777" w:rsidR="00F47ADA" w:rsidRDefault="00F47ADA" w:rsidP="00F47ADA">
      <w:pPr>
        <w:pBdr>
          <w:top w:val="single" w:sz="4" w:space="1" w:color="000000"/>
          <w:left w:val="single" w:sz="4" w:space="4" w:color="000000"/>
          <w:bottom w:val="single" w:sz="4" w:space="1" w:color="000000"/>
          <w:right w:val="single" w:sz="4" w:space="4" w:color="000000"/>
        </w:pBdr>
        <w:rPr>
          <w:lang w:val="lv-LV"/>
        </w:rPr>
      </w:pPr>
      <w:r>
        <w:rPr>
          <w:b/>
          <w:lang w:val="lv-LV"/>
        </w:rPr>
        <w:t>PILDSPALVVEIDA PILNŠĻIRCES ETIĶETE</w:t>
      </w:r>
    </w:p>
    <w:p w14:paraId="79AA2A8B" w14:textId="77777777" w:rsidR="00F47ADA" w:rsidRDefault="00F47ADA" w:rsidP="00F47ADA">
      <w:pPr>
        <w:rPr>
          <w:lang w:val="lv-LV"/>
        </w:rPr>
      </w:pPr>
    </w:p>
    <w:p w14:paraId="102EFEA6" w14:textId="77777777" w:rsidR="00F47ADA" w:rsidRDefault="00F47ADA" w:rsidP="00F47ADA">
      <w:pPr>
        <w:rPr>
          <w:lang w:val="lv-LV"/>
        </w:rPr>
      </w:pPr>
    </w:p>
    <w:p w14:paraId="75EBEC5C" w14:textId="0884B76A"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1.</w:t>
      </w:r>
      <w:r>
        <w:rPr>
          <w:b/>
          <w:lang w:val="lv-LV"/>
        </w:rPr>
        <w:tab/>
        <w:t>ZĀĻU NOSAUKUMS UN IEVADĪŠANAS VEIDS</w:t>
      </w:r>
      <w:del w:id="1589" w:author="Author">
        <w:r w:rsidDel="00823301">
          <w:rPr>
            <w:b/>
            <w:lang w:val="lv-LV"/>
          </w:rPr>
          <w:delText>(-I)</w:delText>
        </w:r>
      </w:del>
    </w:p>
    <w:p w14:paraId="76D77F41" w14:textId="77777777" w:rsidR="00F47ADA" w:rsidRDefault="00F47ADA" w:rsidP="00F47ADA">
      <w:pPr>
        <w:ind w:left="567" w:hanging="567"/>
        <w:rPr>
          <w:lang w:val="lv-LV"/>
        </w:rPr>
      </w:pPr>
    </w:p>
    <w:p w14:paraId="4439C7F1" w14:textId="77777777" w:rsidR="00F47ADA" w:rsidRDefault="00F47ADA" w:rsidP="00F47ADA">
      <w:pPr>
        <w:rPr>
          <w:lang w:val="lv-LV"/>
        </w:rPr>
      </w:pPr>
      <w:r>
        <w:rPr>
          <w:lang w:val="lv-LV"/>
        </w:rPr>
        <w:t>RoActemra 162 mg injekcija</w:t>
      </w:r>
    </w:p>
    <w:p w14:paraId="77B82E9B" w14:textId="77777777" w:rsidR="00F47ADA" w:rsidRDefault="00F47ADA" w:rsidP="00F47ADA">
      <w:pPr>
        <w:rPr>
          <w:iCs/>
          <w:lang w:val="lv-LV"/>
        </w:rPr>
      </w:pPr>
      <w:r>
        <w:rPr>
          <w:iCs/>
          <w:lang w:val="lv-LV"/>
        </w:rPr>
        <w:t>tocilizumab</w:t>
      </w:r>
    </w:p>
    <w:p w14:paraId="6FE0EA24" w14:textId="77777777" w:rsidR="00F47ADA" w:rsidRDefault="00F47ADA" w:rsidP="00F47ADA">
      <w:pPr>
        <w:rPr>
          <w:lang w:val="lv-LV"/>
        </w:rPr>
      </w:pPr>
      <w:r>
        <w:rPr>
          <w:lang w:val="lv-LV"/>
        </w:rPr>
        <w:t>s.c.</w:t>
      </w:r>
    </w:p>
    <w:p w14:paraId="22834E68" w14:textId="77777777" w:rsidR="00F47ADA" w:rsidRDefault="00F47ADA" w:rsidP="00F47ADA">
      <w:pPr>
        <w:rPr>
          <w:lang w:val="lv-LV"/>
        </w:rPr>
      </w:pPr>
    </w:p>
    <w:p w14:paraId="2263B1D7" w14:textId="77777777" w:rsidR="00F47ADA" w:rsidRDefault="00F47ADA" w:rsidP="00F47ADA">
      <w:pPr>
        <w:rPr>
          <w:lang w:val="lv-LV"/>
        </w:rPr>
      </w:pPr>
    </w:p>
    <w:p w14:paraId="65AA5893"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2.</w:t>
      </w:r>
      <w:r>
        <w:rPr>
          <w:b/>
          <w:lang w:val="lv-LV"/>
        </w:rPr>
        <w:tab/>
        <w:t>LIETOŠANAS VEIDS</w:t>
      </w:r>
    </w:p>
    <w:p w14:paraId="5314E694" w14:textId="77777777" w:rsidR="00F47ADA" w:rsidRDefault="00F47ADA" w:rsidP="00F47ADA">
      <w:pPr>
        <w:rPr>
          <w:lang w:val="lv-LV"/>
        </w:rPr>
      </w:pPr>
    </w:p>
    <w:p w14:paraId="63DE9A2C" w14:textId="77777777" w:rsidR="00F47ADA" w:rsidRDefault="00F47ADA" w:rsidP="00F47ADA">
      <w:pPr>
        <w:rPr>
          <w:lang w:val="lv-LV"/>
        </w:rPr>
      </w:pPr>
    </w:p>
    <w:p w14:paraId="6DCD8517"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3.</w:t>
      </w:r>
      <w:r>
        <w:rPr>
          <w:b/>
          <w:lang w:val="lv-LV"/>
        </w:rPr>
        <w:tab/>
        <w:t>DERĪGUMA TERMIŅŠ</w:t>
      </w:r>
    </w:p>
    <w:p w14:paraId="0077ADE8" w14:textId="77777777" w:rsidR="00F47ADA" w:rsidRDefault="00F47ADA" w:rsidP="00F47ADA">
      <w:pPr>
        <w:rPr>
          <w:lang w:val="lv-LV"/>
        </w:rPr>
      </w:pPr>
    </w:p>
    <w:p w14:paraId="0A575C26" w14:textId="77777777" w:rsidR="00F47ADA" w:rsidRDefault="00F47ADA" w:rsidP="00F47ADA">
      <w:pPr>
        <w:rPr>
          <w:lang w:val="lv-LV"/>
        </w:rPr>
      </w:pPr>
      <w:r>
        <w:rPr>
          <w:lang w:val="lv-LV"/>
        </w:rPr>
        <w:t xml:space="preserve">EXP </w:t>
      </w:r>
    </w:p>
    <w:p w14:paraId="5476E07E" w14:textId="77777777" w:rsidR="00F47ADA" w:rsidRDefault="00F47ADA" w:rsidP="00F47ADA">
      <w:pPr>
        <w:rPr>
          <w:lang w:val="lv-LV"/>
        </w:rPr>
      </w:pPr>
    </w:p>
    <w:p w14:paraId="6F8F1A13" w14:textId="77777777" w:rsidR="00F47ADA" w:rsidRDefault="00F47ADA" w:rsidP="00F47ADA">
      <w:pPr>
        <w:rPr>
          <w:lang w:val="lv-LV"/>
        </w:rPr>
      </w:pPr>
    </w:p>
    <w:p w14:paraId="5FE83A65"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4.</w:t>
      </w:r>
      <w:r>
        <w:rPr>
          <w:b/>
          <w:lang w:val="lv-LV"/>
        </w:rPr>
        <w:tab/>
        <w:t>SĒRIJAS NUMURS</w:t>
      </w:r>
    </w:p>
    <w:p w14:paraId="6B151951" w14:textId="77777777" w:rsidR="00F47ADA" w:rsidRDefault="00F47ADA" w:rsidP="00F47ADA">
      <w:pPr>
        <w:rPr>
          <w:lang w:val="lv-LV"/>
        </w:rPr>
      </w:pPr>
    </w:p>
    <w:p w14:paraId="23793675" w14:textId="77777777" w:rsidR="00F47ADA" w:rsidRDefault="00F47ADA" w:rsidP="00F47ADA">
      <w:pPr>
        <w:rPr>
          <w:lang w:val="lv-LV"/>
        </w:rPr>
      </w:pPr>
      <w:r>
        <w:rPr>
          <w:lang w:val="lv-LV"/>
        </w:rPr>
        <w:t>Lot</w:t>
      </w:r>
    </w:p>
    <w:p w14:paraId="7C2AEE0F" w14:textId="77777777" w:rsidR="00F47ADA" w:rsidRDefault="00F47ADA" w:rsidP="00F47ADA">
      <w:pPr>
        <w:rPr>
          <w:lang w:val="lv-LV"/>
        </w:rPr>
      </w:pPr>
    </w:p>
    <w:p w14:paraId="15FBA133" w14:textId="77777777" w:rsidR="00F47ADA" w:rsidRDefault="00F47ADA" w:rsidP="00F47ADA">
      <w:pPr>
        <w:rPr>
          <w:lang w:val="lv-LV"/>
        </w:rPr>
      </w:pPr>
    </w:p>
    <w:p w14:paraId="7163DCCB"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5.</w:t>
      </w:r>
      <w:r>
        <w:rPr>
          <w:b/>
          <w:lang w:val="lv-LV"/>
        </w:rPr>
        <w:tab/>
        <w:t>SATURA SVARS, TILPUMS VAI VIENĪBU DAUDZUMS</w:t>
      </w:r>
    </w:p>
    <w:p w14:paraId="1F1A4B96" w14:textId="77777777" w:rsidR="00F47ADA" w:rsidRDefault="00F47ADA" w:rsidP="00F47ADA">
      <w:pPr>
        <w:ind w:right="113"/>
        <w:rPr>
          <w:lang w:val="lv-LV"/>
        </w:rPr>
      </w:pPr>
    </w:p>
    <w:p w14:paraId="4ED28C70" w14:textId="1917840F" w:rsidR="00F47ADA" w:rsidRDefault="00F47ADA" w:rsidP="00F47ADA">
      <w:pPr>
        <w:ind w:right="113"/>
        <w:rPr>
          <w:lang w:val="lv-LV"/>
        </w:rPr>
      </w:pPr>
      <w:r>
        <w:rPr>
          <w:szCs w:val="22"/>
          <w:lang w:val="lv-LV"/>
        </w:rPr>
        <w:t xml:space="preserve">162 mg/0,9 ml </w:t>
      </w:r>
    </w:p>
    <w:p w14:paraId="7E628172" w14:textId="77777777" w:rsidR="00F47ADA" w:rsidRDefault="00F47ADA" w:rsidP="00F47ADA">
      <w:pPr>
        <w:ind w:right="113"/>
        <w:rPr>
          <w:lang w:val="lv-LV"/>
        </w:rPr>
      </w:pPr>
    </w:p>
    <w:p w14:paraId="240CEDAC" w14:textId="77777777" w:rsidR="00F47ADA" w:rsidRDefault="00F47ADA" w:rsidP="00F47ADA">
      <w:pPr>
        <w:ind w:right="113"/>
        <w:rPr>
          <w:lang w:val="lv-LV"/>
        </w:rPr>
      </w:pPr>
    </w:p>
    <w:p w14:paraId="1F06B1AF" w14:textId="77777777" w:rsidR="00F47ADA" w:rsidRDefault="00F47ADA" w:rsidP="00F47ADA">
      <w:pPr>
        <w:pBdr>
          <w:top w:val="single" w:sz="4" w:space="1" w:color="000000"/>
          <w:left w:val="single" w:sz="4" w:space="4" w:color="000000"/>
          <w:bottom w:val="single" w:sz="4" w:space="1" w:color="000000"/>
          <w:right w:val="single" w:sz="4" w:space="4" w:color="000000"/>
        </w:pBdr>
        <w:ind w:left="567" w:hanging="567"/>
        <w:rPr>
          <w:lang w:val="lv-LV"/>
        </w:rPr>
      </w:pPr>
      <w:r>
        <w:rPr>
          <w:b/>
          <w:lang w:val="lv-LV"/>
        </w:rPr>
        <w:t>6.</w:t>
      </w:r>
      <w:r>
        <w:rPr>
          <w:b/>
          <w:lang w:val="lv-LV"/>
        </w:rPr>
        <w:tab/>
        <w:t>CITA</w:t>
      </w:r>
    </w:p>
    <w:p w14:paraId="5EDB4404" w14:textId="77777777" w:rsidR="00F47ADA" w:rsidRDefault="00F47ADA" w:rsidP="00F47ADA">
      <w:pPr>
        <w:ind w:left="567" w:hanging="567"/>
        <w:rPr>
          <w:lang w:val="lv-LV"/>
        </w:rPr>
      </w:pPr>
    </w:p>
    <w:p w14:paraId="1CCD2532" w14:textId="77777777" w:rsidR="00F47ADA" w:rsidRDefault="00F47ADA" w:rsidP="00F47ADA">
      <w:pPr>
        <w:ind w:left="567" w:hanging="567"/>
        <w:rPr>
          <w:b/>
          <w:u w:val="single"/>
          <w:lang w:val="lv-LV"/>
        </w:rPr>
      </w:pPr>
      <w:r>
        <w:rPr>
          <w:b/>
          <w:u w:val="single"/>
          <w:lang w:val="lv-LV"/>
        </w:rPr>
        <w:br w:type="page"/>
      </w:r>
    </w:p>
    <w:p w14:paraId="0518BD8B" w14:textId="77777777" w:rsidR="00F47ADA" w:rsidRDefault="00F47ADA" w:rsidP="00F47ADA">
      <w:pPr>
        <w:ind w:right="113"/>
        <w:rPr>
          <w:b/>
          <w:u w:val="single"/>
          <w:lang w:val="lv-LV"/>
        </w:rPr>
      </w:pPr>
    </w:p>
    <w:p w14:paraId="212C30D3" w14:textId="77777777" w:rsidR="00F47ADA" w:rsidRDefault="00F47ADA" w:rsidP="00F47ADA">
      <w:pPr>
        <w:jc w:val="center"/>
        <w:rPr>
          <w:lang w:val="lv-LV"/>
        </w:rPr>
      </w:pPr>
    </w:p>
    <w:p w14:paraId="3759D263" w14:textId="77777777" w:rsidR="00F47ADA" w:rsidRDefault="00F47ADA" w:rsidP="00F47ADA">
      <w:pPr>
        <w:jc w:val="center"/>
        <w:rPr>
          <w:lang w:val="lv-LV"/>
        </w:rPr>
      </w:pPr>
    </w:p>
    <w:p w14:paraId="0BE9019A" w14:textId="77777777" w:rsidR="00F47ADA" w:rsidRDefault="00F47ADA" w:rsidP="00F47ADA">
      <w:pPr>
        <w:jc w:val="center"/>
        <w:rPr>
          <w:lang w:val="lv-LV"/>
        </w:rPr>
      </w:pPr>
    </w:p>
    <w:p w14:paraId="04EF1810" w14:textId="77777777" w:rsidR="00F47ADA" w:rsidRDefault="00F47ADA" w:rsidP="00F47ADA">
      <w:pPr>
        <w:jc w:val="center"/>
        <w:rPr>
          <w:lang w:val="lv-LV"/>
        </w:rPr>
      </w:pPr>
    </w:p>
    <w:p w14:paraId="637ACA3E" w14:textId="77777777" w:rsidR="00F47ADA" w:rsidRDefault="00F47ADA" w:rsidP="00F47ADA">
      <w:pPr>
        <w:jc w:val="center"/>
        <w:rPr>
          <w:lang w:val="lv-LV"/>
        </w:rPr>
      </w:pPr>
    </w:p>
    <w:p w14:paraId="78ADA1B5" w14:textId="77777777" w:rsidR="00F47ADA" w:rsidRDefault="00F47ADA" w:rsidP="00F47ADA">
      <w:pPr>
        <w:jc w:val="center"/>
        <w:rPr>
          <w:lang w:val="lv-LV"/>
        </w:rPr>
      </w:pPr>
    </w:p>
    <w:p w14:paraId="3821A041" w14:textId="77777777" w:rsidR="00F47ADA" w:rsidRDefault="00F47ADA" w:rsidP="00F47ADA">
      <w:pPr>
        <w:jc w:val="center"/>
        <w:rPr>
          <w:lang w:val="lv-LV"/>
        </w:rPr>
      </w:pPr>
    </w:p>
    <w:p w14:paraId="7D0DAF0F" w14:textId="77777777" w:rsidR="00F47ADA" w:rsidRDefault="00F47ADA" w:rsidP="00F47ADA">
      <w:pPr>
        <w:jc w:val="center"/>
        <w:rPr>
          <w:lang w:val="lv-LV"/>
        </w:rPr>
      </w:pPr>
    </w:p>
    <w:p w14:paraId="1101BD4D" w14:textId="77777777" w:rsidR="00F47ADA" w:rsidRDefault="00F47ADA" w:rsidP="00F47ADA">
      <w:pPr>
        <w:jc w:val="center"/>
        <w:rPr>
          <w:lang w:val="lv-LV"/>
        </w:rPr>
      </w:pPr>
    </w:p>
    <w:p w14:paraId="0AC7E75A" w14:textId="77777777" w:rsidR="00F47ADA" w:rsidRDefault="00F47ADA" w:rsidP="00F47ADA">
      <w:pPr>
        <w:jc w:val="center"/>
        <w:rPr>
          <w:lang w:val="lv-LV"/>
        </w:rPr>
      </w:pPr>
    </w:p>
    <w:p w14:paraId="320319E6" w14:textId="77777777" w:rsidR="00F47ADA" w:rsidRDefault="00F47ADA" w:rsidP="00F47ADA">
      <w:pPr>
        <w:jc w:val="center"/>
        <w:rPr>
          <w:lang w:val="lv-LV"/>
        </w:rPr>
      </w:pPr>
    </w:p>
    <w:p w14:paraId="3C055ADB" w14:textId="77777777" w:rsidR="00F47ADA" w:rsidRDefault="00F47ADA" w:rsidP="00F47ADA">
      <w:pPr>
        <w:jc w:val="center"/>
        <w:rPr>
          <w:lang w:val="lv-LV"/>
        </w:rPr>
      </w:pPr>
    </w:p>
    <w:p w14:paraId="347B5648" w14:textId="77777777" w:rsidR="00F47ADA" w:rsidRDefault="00F47ADA" w:rsidP="00F47ADA">
      <w:pPr>
        <w:jc w:val="center"/>
        <w:rPr>
          <w:lang w:val="lv-LV"/>
        </w:rPr>
      </w:pPr>
    </w:p>
    <w:p w14:paraId="7AA9D002" w14:textId="77777777" w:rsidR="00F47ADA" w:rsidRDefault="00F47ADA" w:rsidP="00F47ADA">
      <w:pPr>
        <w:jc w:val="center"/>
        <w:rPr>
          <w:lang w:val="lv-LV"/>
        </w:rPr>
      </w:pPr>
    </w:p>
    <w:p w14:paraId="5F9DE458" w14:textId="77777777" w:rsidR="00F47ADA" w:rsidRDefault="00F47ADA" w:rsidP="00F47ADA">
      <w:pPr>
        <w:jc w:val="center"/>
        <w:rPr>
          <w:lang w:val="lv-LV"/>
        </w:rPr>
      </w:pPr>
    </w:p>
    <w:p w14:paraId="474DFB7B" w14:textId="77777777" w:rsidR="00F47ADA" w:rsidRDefault="00F47ADA" w:rsidP="00F47ADA">
      <w:pPr>
        <w:jc w:val="center"/>
        <w:rPr>
          <w:lang w:val="lv-LV"/>
        </w:rPr>
      </w:pPr>
    </w:p>
    <w:p w14:paraId="15B56CA9" w14:textId="77777777" w:rsidR="00F47ADA" w:rsidRDefault="00F47ADA" w:rsidP="00F47ADA">
      <w:pPr>
        <w:jc w:val="center"/>
        <w:rPr>
          <w:lang w:val="lv-LV"/>
        </w:rPr>
      </w:pPr>
    </w:p>
    <w:p w14:paraId="6C16541A" w14:textId="77777777" w:rsidR="00F47ADA" w:rsidRDefault="00F47ADA" w:rsidP="00F47ADA">
      <w:pPr>
        <w:jc w:val="center"/>
        <w:rPr>
          <w:lang w:val="lv-LV"/>
        </w:rPr>
      </w:pPr>
    </w:p>
    <w:p w14:paraId="2FA558F1" w14:textId="77777777" w:rsidR="00F47ADA" w:rsidRDefault="00F47ADA" w:rsidP="00F47ADA">
      <w:pPr>
        <w:jc w:val="center"/>
        <w:rPr>
          <w:lang w:val="lv-LV"/>
        </w:rPr>
      </w:pPr>
    </w:p>
    <w:p w14:paraId="7551D3D0" w14:textId="77777777" w:rsidR="00F47ADA" w:rsidRDefault="00F47ADA" w:rsidP="00F47ADA">
      <w:pPr>
        <w:jc w:val="center"/>
        <w:rPr>
          <w:lang w:val="lv-LV"/>
        </w:rPr>
      </w:pPr>
    </w:p>
    <w:p w14:paraId="5F37D097" w14:textId="77777777" w:rsidR="00F47ADA" w:rsidRDefault="00F47ADA" w:rsidP="00F47ADA">
      <w:pPr>
        <w:jc w:val="center"/>
        <w:rPr>
          <w:lang w:val="lv-LV"/>
        </w:rPr>
      </w:pPr>
    </w:p>
    <w:p w14:paraId="7B4A1EC6" w14:textId="77777777" w:rsidR="00F47ADA" w:rsidRDefault="00F47ADA" w:rsidP="00F47ADA">
      <w:pPr>
        <w:jc w:val="center"/>
        <w:rPr>
          <w:lang w:val="lv-LV"/>
        </w:rPr>
      </w:pPr>
    </w:p>
    <w:p w14:paraId="658B7DAD" w14:textId="77777777" w:rsidR="00F47ADA" w:rsidRDefault="00F47ADA" w:rsidP="00F47ADA">
      <w:pPr>
        <w:pStyle w:val="Annex"/>
        <w:rPr>
          <w:lang w:val="lv-LV"/>
        </w:rPr>
      </w:pPr>
      <w:r>
        <w:rPr>
          <w:lang w:val="lv-LV"/>
        </w:rPr>
        <w:t>B. LIETOŠANAS INSTRUKCIJA</w:t>
      </w:r>
    </w:p>
    <w:p w14:paraId="3361377B" w14:textId="77777777" w:rsidR="00F47ADA" w:rsidRDefault="00F47ADA" w:rsidP="00F47ADA">
      <w:pPr>
        <w:jc w:val="center"/>
        <w:rPr>
          <w:lang w:val="lv-LV"/>
        </w:rPr>
      </w:pPr>
    </w:p>
    <w:p w14:paraId="339A3729" w14:textId="77777777" w:rsidR="00F47ADA" w:rsidRDefault="00F47ADA" w:rsidP="00F47ADA">
      <w:pPr>
        <w:jc w:val="center"/>
        <w:rPr>
          <w:b/>
          <w:szCs w:val="22"/>
          <w:lang w:val="lv-LV"/>
        </w:rPr>
      </w:pPr>
      <w:r>
        <w:rPr>
          <w:b/>
          <w:szCs w:val="22"/>
          <w:lang w:val="lv-LV"/>
        </w:rPr>
        <w:br w:type="page"/>
        <w:t>Lietošanas instrukcija: informācija lietotājam</w:t>
      </w:r>
    </w:p>
    <w:p w14:paraId="3E42F2B1" w14:textId="77777777" w:rsidR="00F47ADA" w:rsidRDefault="00F47ADA" w:rsidP="00707120">
      <w:pPr>
        <w:rPr>
          <w:b/>
          <w:szCs w:val="22"/>
          <w:lang w:val="lv-LV"/>
        </w:rPr>
      </w:pPr>
    </w:p>
    <w:p w14:paraId="29653F21" w14:textId="77777777" w:rsidR="00F47ADA" w:rsidRDefault="00F47ADA" w:rsidP="00F47ADA">
      <w:pPr>
        <w:jc w:val="center"/>
        <w:rPr>
          <w:iCs/>
          <w:szCs w:val="22"/>
          <w:lang w:val="lv-LV"/>
        </w:rPr>
      </w:pPr>
      <w:r>
        <w:rPr>
          <w:b/>
          <w:bCs/>
          <w:szCs w:val="22"/>
          <w:lang w:val="lv-LV"/>
        </w:rPr>
        <w:t>RoActemra 20 mg/ml koncentrāts infūziju šķīduma pagatavošanai</w:t>
      </w:r>
    </w:p>
    <w:p w14:paraId="2C338BC3" w14:textId="77777777" w:rsidR="00F47ADA" w:rsidRPr="002007A3" w:rsidRDefault="00F47ADA" w:rsidP="00F47ADA">
      <w:pPr>
        <w:jc w:val="center"/>
        <w:rPr>
          <w:bCs/>
          <w:szCs w:val="22"/>
          <w:lang w:val="lv-LV"/>
          <w:rPrChange w:id="1590" w:author="Author">
            <w:rPr>
              <w:b/>
              <w:szCs w:val="22"/>
              <w:lang w:val="lv-LV"/>
            </w:rPr>
          </w:rPrChange>
        </w:rPr>
      </w:pPr>
      <w:r w:rsidRPr="002007A3">
        <w:rPr>
          <w:bCs/>
          <w:iCs/>
          <w:szCs w:val="22"/>
          <w:lang w:val="lv-LV"/>
          <w:rPrChange w:id="1591" w:author="Author">
            <w:rPr>
              <w:b/>
              <w:iCs/>
              <w:szCs w:val="22"/>
              <w:lang w:val="lv-LV"/>
            </w:rPr>
          </w:rPrChange>
        </w:rPr>
        <w:t>tocilizumab</w:t>
      </w:r>
    </w:p>
    <w:p w14:paraId="50858936" w14:textId="77777777" w:rsidR="00F47ADA" w:rsidRDefault="00F47ADA" w:rsidP="00707120">
      <w:pPr>
        <w:rPr>
          <w:szCs w:val="22"/>
          <w:lang w:val="lv-LV"/>
        </w:rPr>
      </w:pPr>
    </w:p>
    <w:p w14:paraId="2DEDC07F" w14:textId="77777777" w:rsidR="00F47ADA" w:rsidRDefault="00F47ADA" w:rsidP="00F47ADA">
      <w:pPr>
        <w:ind w:left="567" w:hanging="567"/>
        <w:rPr>
          <w:b/>
          <w:szCs w:val="22"/>
          <w:lang w:val="lv-LV"/>
        </w:rPr>
      </w:pPr>
      <w:r>
        <w:rPr>
          <w:b/>
          <w:szCs w:val="22"/>
          <w:lang w:val="lv-LV"/>
        </w:rPr>
        <w:t>Pirms zāļu lietošanas uzmanīgi izlasiet visu instrukciju</w:t>
      </w:r>
      <w:r>
        <w:rPr>
          <w:b/>
          <w:szCs w:val="24"/>
          <w:lang w:val="lv-LV"/>
        </w:rPr>
        <w:t>, jo tā satur Jums svarīgu informāciju</w:t>
      </w:r>
      <w:r>
        <w:rPr>
          <w:b/>
          <w:szCs w:val="22"/>
          <w:lang w:val="lv-LV"/>
        </w:rPr>
        <w:t>.</w:t>
      </w:r>
    </w:p>
    <w:p w14:paraId="14FEA6D9" w14:textId="77777777" w:rsidR="00F47ADA" w:rsidRDefault="00F47ADA" w:rsidP="00F47ADA">
      <w:pPr>
        <w:ind w:left="567" w:hanging="567"/>
        <w:rPr>
          <w:b/>
          <w:szCs w:val="22"/>
          <w:lang w:val="lv-LV"/>
        </w:rPr>
      </w:pPr>
    </w:p>
    <w:p w14:paraId="08539D17" w14:textId="32E52A3D" w:rsidR="00F47ADA" w:rsidRPr="00707120" w:rsidRDefault="006334B7" w:rsidP="00707120">
      <w:pPr>
        <w:pStyle w:val="ListParagraph"/>
        <w:ind w:left="567" w:hanging="567"/>
        <w:rPr>
          <w:szCs w:val="22"/>
          <w:lang w:val="lv-LV"/>
        </w:rPr>
      </w:pPr>
      <w:r>
        <w:rPr>
          <w:lang w:val="nb-NO"/>
        </w:rPr>
        <w:sym w:font="Symbol" w:char="F0B7"/>
      </w:r>
      <w:r>
        <w:rPr>
          <w:lang w:val="nb-NO"/>
        </w:rPr>
        <w:tab/>
      </w:r>
      <w:r w:rsidR="00F47ADA" w:rsidRPr="003C011F">
        <w:rPr>
          <w:szCs w:val="22"/>
          <w:lang w:val="lv-LV"/>
        </w:rPr>
        <w:t>Saglabājiet šo instrukciju! Iespējams, ka vēlāk to vajadzēs pārlasīt.</w:t>
      </w:r>
    </w:p>
    <w:p w14:paraId="0ABE2F0F" w14:textId="2DFF3C18" w:rsidR="00F47ADA" w:rsidRPr="00707120" w:rsidRDefault="006334B7" w:rsidP="00707120">
      <w:pPr>
        <w:pStyle w:val="ListParagraph"/>
        <w:ind w:left="567" w:hanging="567"/>
        <w:rPr>
          <w:szCs w:val="22"/>
          <w:lang w:val="lv-LV"/>
        </w:rPr>
      </w:pPr>
      <w:r>
        <w:rPr>
          <w:lang w:val="nb-NO"/>
        </w:rPr>
        <w:sym w:font="Symbol" w:char="F0B7"/>
      </w:r>
      <w:r>
        <w:rPr>
          <w:lang w:val="nb-NO"/>
        </w:rPr>
        <w:tab/>
      </w:r>
      <w:r w:rsidR="00F47ADA" w:rsidRPr="003C011F">
        <w:rPr>
          <w:szCs w:val="22"/>
          <w:lang w:val="lv-LV"/>
        </w:rPr>
        <w:t>Ja Jums rodas jebkādi jautājumi, vaicājiet ārstam vai medmāsai.</w:t>
      </w:r>
    </w:p>
    <w:p w14:paraId="1278D0CA" w14:textId="5501769B" w:rsidR="00F47ADA" w:rsidRPr="003C011F" w:rsidRDefault="006334B7" w:rsidP="00707120">
      <w:pPr>
        <w:pStyle w:val="ListParagraph"/>
        <w:ind w:left="567" w:hanging="567"/>
        <w:rPr>
          <w:b/>
          <w:szCs w:val="22"/>
          <w:lang w:val="lv-LV"/>
        </w:rPr>
      </w:pPr>
      <w:r>
        <w:rPr>
          <w:lang w:val="nb-NO"/>
        </w:rPr>
        <w:sym w:font="Symbol" w:char="F0B7"/>
      </w:r>
      <w:r>
        <w:rPr>
          <w:lang w:val="nb-NO"/>
        </w:rPr>
        <w:tab/>
      </w:r>
      <w:r w:rsidR="00F47ADA" w:rsidRPr="003C011F">
        <w:rPr>
          <w:lang w:val="lv-LV"/>
        </w:rPr>
        <w:t>Ja Jums rodas jebkādas blakusparādības, konsultējieties ar ārstu vai medmāsu. Tas attiecas arī uz iespējamām blakusparādībām, kas nav minētas šajā instrukcijā. Skatīt 4.</w:t>
      </w:r>
      <w:r w:rsidR="00F47ADA">
        <w:rPr>
          <w:lang w:val="lv-LV"/>
        </w:rPr>
        <w:t> </w:t>
      </w:r>
      <w:r w:rsidR="00F47ADA" w:rsidRPr="003C011F">
        <w:rPr>
          <w:lang w:val="lv-LV"/>
        </w:rPr>
        <w:t>punktu.</w:t>
      </w:r>
    </w:p>
    <w:p w14:paraId="3FEE7E5E" w14:textId="1F5FA35F" w:rsidR="00F47ADA" w:rsidRDefault="00F47ADA" w:rsidP="00F47ADA">
      <w:pPr>
        <w:ind w:left="567" w:hanging="567"/>
        <w:rPr>
          <w:b/>
          <w:szCs w:val="22"/>
          <w:lang w:val="lv-LV"/>
        </w:rPr>
      </w:pPr>
    </w:p>
    <w:p w14:paraId="3B72C3B3" w14:textId="33D1A6D7" w:rsidR="00F47ADA" w:rsidRDefault="00F47ADA" w:rsidP="00F47ADA">
      <w:pPr>
        <w:rPr>
          <w:szCs w:val="22"/>
          <w:lang w:val="lv-LV"/>
        </w:rPr>
      </w:pPr>
      <w:r>
        <w:rPr>
          <w:szCs w:val="22"/>
          <w:lang w:val="lv-LV"/>
        </w:rPr>
        <w:t xml:space="preserve">Papildus šai instrukcijai Jums izsniegs </w:t>
      </w:r>
      <w:r>
        <w:rPr>
          <w:b/>
          <w:szCs w:val="22"/>
          <w:lang w:val="lv-LV"/>
        </w:rPr>
        <w:t>pacienta kartīti</w:t>
      </w:r>
      <w:r>
        <w:rPr>
          <w:szCs w:val="22"/>
          <w:lang w:val="lv-LV"/>
        </w:rPr>
        <w:t>, kurā ir iekļauta svarīga informācija par drošumu, kas Jums jāzina pirms RoActemra lietošanas un ārstēšanas laikā ar RoActemra.</w:t>
      </w:r>
    </w:p>
    <w:p w14:paraId="3CCA84EA" w14:textId="0CFA5229" w:rsidR="00F47ADA" w:rsidRDefault="00F47ADA" w:rsidP="00F47ADA">
      <w:pPr>
        <w:ind w:right="-2"/>
        <w:rPr>
          <w:szCs w:val="22"/>
          <w:lang w:val="lv-LV"/>
        </w:rPr>
      </w:pPr>
    </w:p>
    <w:p w14:paraId="4059EB83" w14:textId="77777777" w:rsidR="00F47ADA" w:rsidRDefault="00F47ADA" w:rsidP="00F47ADA">
      <w:pPr>
        <w:ind w:right="-2"/>
        <w:rPr>
          <w:szCs w:val="22"/>
          <w:lang w:val="lv-LV"/>
        </w:rPr>
      </w:pPr>
      <w:r>
        <w:rPr>
          <w:b/>
          <w:bCs/>
          <w:szCs w:val="22"/>
          <w:lang w:val="lv-LV"/>
        </w:rPr>
        <w:t xml:space="preserve">Šajā instrukcijā varat uzzināt: </w:t>
      </w:r>
    </w:p>
    <w:p w14:paraId="54ACC6A6" w14:textId="77777777" w:rsidR="00F47ADA" w:rsidRDefault="00F47ADA" w:rsidP="00F47ADA">
      <w:pPr>
        <w:ind w:left="567" w:right="-29" w:hanging="567"/>
        <w:rPr>
          <w:szCs w:val="22"/>
          <w:lang w:val="lv-LV"/>
        </w:rPr>
      </w:pPr>
      <w:r>
        <w:rPr>
          <w:szCs w:val="22"/>
          <w:lang w:val="lv-LV"/>
        </w:rPr>
        <w:t>1.</w:t>
      </w:r>
      <w:r>
        <w:rPr>
          <w:szCs w:val="22"/>
          <w:lang w:val="lv-LV"/>
        </w:rPr>
        <w:tab/>
        <w:t>Kas ir RoActemra un kādam nolūkam tās lieto</w:t>
      </w:r>
    </w:p>
    <w:p w14:paraId="034DA1C7" w14:textId="77777777" w:rsidR="00F47ADA" w:rsidRDefault="00F47ADA" w:rsidP="00F47ADA">
      <w:pPr>
        <w:ind w:left="567" w:right="-29" w:hanging="567"/>
        <w:rPr>
          <w:szCs w:val="22"/>
          <w:lang w:val="lv-LV"/>
        </w:rPr>
      </w:pPr>
      <w:r>
        <w:rPr>
          <w:szCs w:val="22"/>
          <w:lang w:val="lv-LV"/>
        </w:rPr>
        <w:t>2.</w:t>
      </w:r>
      <w:r>
        <w:rPr>
          <w:szCs w:val="22"/>
          <w:lang w:val="lv-LV"/>
        </w:rPr>
        <w:tab/>
        <w:t>Kas Jums jāzina pirms RoActemra lietošanas</w:t>
      </w:r>
    </w:p>
    <w:p w14:paraId="5444101B" w14:textId="77777777" w:rsidR="00F47ADA" w:rsidRDefault="00F47ADA" w:rsidP="00F47ADA">
      <w:pPr>
        <w:ind w:left="567" w:right="-29" w:hanging="567"/>
        <w:rPr>
          <w:szCs w:val="22"/>
          <w:lang w:val="lv-LV"/>
        </w:rPr>
      </w:pPr>
      <w:r>
        <w:rPr>
          <w:szCs w:val="22"/>
          <w:lang w:val="lv-LV"/>
        </w:rPr>
        <w:t>3.</w:t>
      </w:r>
      <w:r>
        <w:rPr>
          <w:szCs w:val="22"/>
          <w:lang w:val="lv-LV"/>
        </w:rPr>
        <w:tab/>
        <w:t>Kā lietot RoActemra</w:t>
      </w:r>
    </w:p>
    <w:p w14:paraId="522ABA38" w14:textId="77777777" w:rsidR="00F47ADA" w:rsidRDefault="00F47ADA" w:rsidP="00F47ADA">
      <w:pPr>
        <w:ind w:left="567" w:right="-29" w:hanging="567"/>
        <w:rPr>
          <w:szCs w:val="22"/>
          <w:lang w:val="lv-LV"/>
        </w:rPr>
      </w:pPr>
      <w:r>
        <w:rPr>
          <w:szCs w:val="22"/>
          <w:lang w:val="lv-LV"/>
        </w:rPr>
        <w:t>4.</w:t>
      </w:r>
      <w:r>
        <w:rPr>
          <w:szCs w:val="22"/>
          <w:lang w:val="lv-LV"/>
        </w:rPr>
        <w:tab/>
        <w:t>Iespējamās blakusparādības</w:t>
      </w:r>
    </w:p>
    <w:p w14:paraId="4C36E217" w14:textId="77777777" w:rsidR="00F47ADA" w:rsidRDefault="00F47ADA" w:rsidP="00F47ADA">
      <w:pPr>
        <w:ind w:left="567" w:right="-29" w:hanging="567"/>
        <w:rPr>
          <w:szCs w:val="22"/>
          <w:lang w:val="lv-LV"/>
        </w:rPr>
      </w:pPr>
      <w:r>
        <w:rPr>
          <w:szCs w:val="22"/>
          <w:lang w:val="lv-LV"/>
        </w:rPr>
        <w:t>5.</w:t>
      </w:r>
      <w:r>
        <w:rPr>
          <w:szCs w:val="22"/>
          <w:lang w:val="lv-LV"/>
        </w:rPr>
        <w:tab/>
        <w:t>Kā uzglabāt RoActemra</w:t>
      </w:r>
    </w:p>
    <w:p w14:paraId="708C6DD6" w14:textId="77777777" w:rsidR="00F47ADA" w:rsidRDefault="00F47ADA" w:rsidP="00F47ADA">
      <w:pPr>
        <w:ind w:left="567" w:right="-29" w:hanging="567"/>
        <w:rPr>
          <w:szCs w:val="22"/>
          <w:lang w:val="lv-LV"/>
        </w:rPr>
      </w:pPr>
      <w:r>
        <w:rPr>
          <w:szCs w:val="22"/>
          <w:lang w:val="lv-LV"/>
        </w:rPr>
        <w:t>6.</w:t>
      </w:r>
      <w:r>
        <w:rPr>
          <w:szCs w:val="22"/>
          <w:lang w:val="lv-LV"/>
        </w:rPr>
        <w:tab/>
        <w:t>Iepakojuma saturs un cita informācija</w:t>
      </w:r>
    </w:p>
    <w:p w14:paraId="565E90A5" w14:textId="77777777" w:rsidR="00F47ADA" w:rsidRDefault="00F47ADA" w:rsidP="00F47ADA">
      <w:pPr>
        <w:rPr>
          <w:szCs w:val="22"/>
          <w:lang w:val="lv-LV"/>
        </w:rPr>
      </w:pPr>
    </w:p>
    <w:p w14:paraId="04DFE4FC" w14:textId="77777777" w:rsidR="00F47ADA" w:rsidRDefault="00F47ADA" w:rsidP="00F47ADA">
      <w:pPr>
        <w:rPr>
          <w:szCs w:val="22"/>
          <w:lang w:val="lv-LV"/>
        </w:rPr>
      </w:pPr>
    </w:p>
    <w:p w14:paraId="1C603F43" w14:textId="77777777" w:rsidR="00F47ADA" w:rsidRDefault="00F47ADA" w:rsidP="00F47ADA">
      <w:pPr>
        <w:ind w:left="567" w:right="-2" w:hanging="567"/>
        <w:rPr>
          <w:b/>
          <w:szCs w:val="22"/>
          <w:lang w:val="lv-LV"/>
        </w:rPr>
      </w:pPr>
      <w:r w:rsidRPr="00980DD8">
        <w:rPr>
          <w:b/>
          <w:szCs w:val="22"/>
          <w:lang w:val="lv-LV"/>
        </w:rPr>
        <w:t>1.</w:t>
      </w:r>
      <w:r w:rsidRPr="00980DD8">
        <w:rPr>
          <w:b/>
          <w:szCs w:val="22"/>
          <w:lang w:val="lv-LV"/>
        </w:rPr>
        <w:tab/>
        <w:t>Kas ir RoActemra un kādam nolūkam tās lieto</w:t>
      </w:r>
    </w:p>
    <w:p w14:paraId="3367AB28" w14:textId="77777777" w:rsidR="00F47ADA" w:rsidRPr="00980DD8" w:rsidRDefault="00F47ADA" w:rsidP="00F47ADA">
      <w:pPr>
        <w:ind w:left="567" w:right="-2" w:hanging="567"/>
        <w:rPr>
          <w:szCs w:val="22"/>
          <w:lang w:val="lv-LV"/>
        </w:rPr>
      </w:pPr>
    </w:p>
    <w:p w14:paraId="2B1DF1C1" w14:textId="77777777" w:rsidR="00F47ADA" w:rsidRDefault="00F47ADA" w:rsidP="00F47ADA">
      <w:pPr>
        <w:autoSpaceDE w:val="0"/>
        <w:rPr>
          <w:szCs w:val="22"/>
          <w:lang w:val="lv-LV"/>
        </w:rPr>
      </w:pPr>
      <w:r>
        <w:rPr>
          <w:szCs w:val="22"/>
          <w:lang w:val="lv-LV"/>
        </w:rPr>
        <w:t>RoActemra satur aktīvo vielu tocilizumabu – olbaltumvielu, kas iegūta no specifiskām imūnām šūnām (monoklonālu antivielu), kas bloķē specifiskas olbaltumvielas (citokīna), ko sauc par interleikīnu-6, iedarbību. Šī olbaltumviela organismā ir saistīta ar iekaisuma procesiem un tās blokāde Jūsu organismā var mazināt iekaisumu. RoActemra palīdz mazināt tādus simptomus kā locītavu sāpes un pietūkumu un var arī uzlabot Jūsu spēju veikt ikdienas uzdevumus. Ir pierādīts, ka RoActemra palēnina slimības izraisīto locītavu skrimšļaudu un kaulu bojājumu attīstību un uzlabo Jūsu spēju veikt parastās ikdienas aktivitātes.</w:t>
      </w:r>
    </w:p>
    <w:p w14:paraId="36D032E2" w14:textId="77777777" w:rsidR="00F47ADA" w:rsidRDefault="00F47ADA" w:rsidP="00F47ADA">
      <w:pPr>
        <w:autoSpaceDE w:val="0"/>
        <w:ind w:left="720" w:hanging="360"/>
        <w:rPr>
          <w:szCs w:val="22"/>
          <w:lang w:val="lv-LV"/>
        </w:rPr>
      </w:pPr>
    </w:p>
    <w:p w14:paraId="6C3CE3A9" w14:textId="621CBAA7" w:rsidR="00F47ADA" w:rsidRPr="008E0162" w:rsidRDefault="006334B7" w:rsidP="00707120">
      <w:pPr>
        <w:pStyle w:val="ListParagraph"/>
        <w:autoSpaceDE w:val="0"/>
        <w:ind w:left="567" w:hanging="567"/>
        <w:rPr>
          <w:szCs w:val="22"/>
          <w:lang w:val="lv-LV"/>
        </w:rPr>
      </w:pPr>
      <w:r>
        <w:rPr>
          <w:lang w:val="nb-NO"/>
        </w:rPr>
        <w:sym w:font="Symbol" w:char="F0B7"/>
      </w:r>
      <w:r>
        <w:rPr>
          <w:lang w:val="nb-NO"/>
        </w:rPr>
        <w:tab/>
      </w:r>
      <w:r w:rsidR="00F47ADA" w:rsidRPr="008E0162">
        <w:rPr>
          <w:b/>
          <w:szCs w:val="22"/>
          <w:lang w:val="lv-LV"/>
        </w:rPr>
        <w:t>RoActemra lieto pieaugušajiem</w:t>
      </w:r>
      <w:r w:rsidR="00F47ADA" w:rsidRPr="008E0162">
        <w:rPr>
          <w:szCs w:val="22"/>
          <w:lang w:val="lv-LV"/>
        </w:rPr>
        <w:t xml:space="preserve"> ar vidēji smagu vai smagu aktīvu autoimūno slimību reimatoīdo artrītu (RA), ja iepriekš lietoto zāļu iedarbība nav bijusi pietiekami efektīva. RoActemra parasti lieto kombinācijā ar metotreksātu. Tomēr tad, ja Jūsu ārsts ir konstatējis, ka metotreksāts nav piemērots, RoActemra var nozīmēt vienu pašu.</w:t>
      </w:r>
    </w:p>
    <w:p w14:paraId="76F6C93F" w14:textId="77777777" w:rsidR="00F47ADA" w:rsidRPr="008E0162" w:rsidRDefault="00F47ADA" w:rsidP="00707120">
      <w:pPr>
        <w:autoSpaceDE w:val="0"/>
        <w:ind w:left="567" w:hanging="567"/>
        <w:rPr>
          <w:szCs w:val="22"/>
          <w:lang w:val="lv-LV"/>
        </w:rPr>
      </w:pPr>
    </w:p>
    <w:p w14:paraId="749363A7" w14:textId="1FDF5EE7" w:rsidR="00F47ADA" w:rsidRPr="008E0162" w:rsidRDefault="006334B7" w:rsidP="00707120">
      <w:pPr>
        <w:pStyle w:val="ListParagraph"/>
        <w:autoSpaceDE w:val="0"/>
        <w:ind w:left="567" w:hanging="567"/>
        <w:rPr>
          <w:szCs w:val="22"/>
          <w:lang w:val="lv-LV"/>
        </w:rPr>
      </w:pPr>
      <w:r>
        <w:rPr>
          <w:lang w:val="nb-NO"/>
        </w:rPr>
        <w:sym w:font="Symbol" w:char="F0B7"/>
      </w:r>
      <w:r>
        <w:rPr>
          <w:lang w:val="nb-NO"/>
        </w:rPr>
        <w:tab/>
      </w:r>
      <w:r w:rsidR="00F47ADA" w:rsidRPr="008E0162">
        <w:rPr>
          <w:szCs w:val="22"/>
          <w:lang w:val="lv-LV"/>
        </w:rPr>
        <w:t>RoActemra var lietot arī pieaugušajiem smaga, aktīva un progresējoša reimatoīdā artrīta ārstēšanai, ja iepriekš nav veikta terapija ar metotreksātu.</w:t>
      </w:r>
    </w:p>
    <w:p w14:paraId="556301EA" w14:textId="5748899A" w:rsidR="00F47ADA" w:rsidRPr="008E0162" w:rsidRDefault="00F47ADA" w:rsidP="00707120">
      <w:pPr>
        <w:autoSpaceDE w:val="0"/>
        <w:ind w:left="567" w:hanging="567"/>
        <w:rPr>
          <w:szCs w:val="22"/>
          <w:lang w:val="lv-LV"/>
        </w:rPr>
      </w:pPr>
    </w:p>
    <w:p w14:paraId="524D5EC6" w14:textId="1B83D7E8" w:rsidR="00F47ADA" w:rsidRPr="008E0162" w:rsidRDefault="006334B7" w:rsidP="00707120">
      <w:pPr>
        <w:pStyle w:val="ListParagraph"/>
        <w:autoSpaceDE w:val="0"/>
        <w:ind w:left="567" w:hanging="567"/>
        <w:rPr>
          <w:lang w:val="lv-LV"/>
        </w:rPr>
      </w:pPr>
      <w:r>
        <w:rPr>
          <w:lang w:val="nb-NO"/>
        </w:rPr>
        <w:sym w:font="Symbol" w:char="F0B7"/>
      </w:r>
      <w:r>
        <w:rPr>
          <w:lang w:val="nb-NO"/>
        </w:rPr>
        <w:tab/>
      </w:r>
      <w:r w:rsidR="00F47ADA" w:rsidRPr="008E0162">
        <w:rPr>
          <w:b/>
          <w:szCs w:val="22"/>
          <w:lang w:val="lv-LV"/>
        </w:rPr>
        <w:t xml:space="preserve">RoActemra lieto sJIA ārstēšanai bērniem. </w:t>
      </w:r>
      <w:r w:rsidR="00F47ADA" w:rsidRPr="008E0162">
        <w:rPr>
          <w:bCs/>
          <w:szCs w:val="22"/>
          <w:lang w:val="lv-LV"/>
        </w:rPr>
        <w:t>RoActemra lieto bērniem no divu gadu vecuma, lai ārstētu</w:t>
      </w:r>
      <w:r w:rsidR="00F47ADA" w:rsidRPr="008E0162">
        <w:rPr>
          <w:szCs w:val="22"/>
          <w:lang w:val="lv-LV"/>
        </w:rPr>
        <w:t xml:space="preserve"> </w:t>
      </w:r>
      <w:r w:rsidR="00F47ADA" w:rsidRPr="008E0162">
        <w:rPr>
          <w:b/>
          <w:bCs/>
          <w:i/>
          <w:iCs/>
          <w:szCs w:val="22"/>
          <w:lang w:val="lv-LV"/>
        </w:rPr>
        <w:t>aktīvu sistēmisku juvenīlu idiopātisku artrītu</w:t>
      </w:r>
      <w:r w:rsidR="00F47ADA" w:rsidRPr="008E0162">
        <w:rPr>
          <w:szCs w:val="22"/>
          <w:lang w:val="lv-LV"/>
        </w:rPr>
        <w:t xml:space="preserve"> (</w:t>
      </w:r>
      <w:r w:rsidR="00F47ADA" w:rsidRPr="008E0162">
        <w:rPr>
          <w:b/>
          <w:bCs/>
          <w:i/>
          <w:iCs/>
          <w:szCs w:val="22"/>
          <w:lang w:val="lv-LV"/>
        </w:rPr>
        <w:t>sJIA</w:t>
      </w:r>
      <w:r w:rsidR="00F47ADA" w:rsidRPr="008E0162">
        <w:rPr>
          <w:szCs w:val="22"/>
          <w:lang w:val="lv-LV"/>
        </w:rPr>
        <w:t>) – iekaisīgu slimību, kas izraisa vienas vai vairāku locītavu sāpes un pietūkumu, kā arī drudzi un izsitumus. RoActemra lieto sJIA simptomu atvieglošanai. To var lietot kombinācijā ar metotreksātu vai atsevišķi.</w:t>
      </w:r>
    </w:p>
    <w:p w14:paraId="7D39B9ED" w14:textId="77777777" w:rsidR="00F47ADA" w:rsidRPr="008E0162" w:rsidRDefault="00F47ADA" w:rsidP="00707120">
      <w:pPr>
        <w:rPr>
          <w:lang w:val="lv-LV"/>
        </w:rPr>
      </w:pPr>
    </w:p>
    <w:p w14:paraId="2A9EBDCC" w14:textId="5ABA720E" w:rsidR="00F47ADA" w:rsidRPr="008E0162" w:rsidRDefault="006334B7" w:rsidP="00707120">
      <w:pPr>
        <w:pStyle w:val="ListParagraph"/>
        <w:ind w:left="567" w:hanging="567"/>
        <w:rPr>
          <w:szCs w:val="22"/>
          <w:lang w:val="lv-LV"/>
        </w:rPr>
      </w:pPr>
      <w:r>
        <w:rPr>
          <w:lang w:val="nb-NO"/>
        </w:rPr>
        <w:sym w:font="Symbol" w:char="F0B7"/>
      </w:r>
      <w:r>
        <w:rPr>
          <w:lang w:val="nb-NO"/>
        </w:rPr>
        <w:tab/>
      </w:r>
      <w:r w:rsidR="00F47ADA" w:rsidRPr="008E0162">
        <w:rPr>
          <w:b/>
          <w:bCs/>
          <w:szCs w:val="22"/>
          <w:lang w:val="lv-LV"/>
        </w:rPr>
        <w:t xml:space="preserve">RoActemra lieto pJIA ārstēšanai bērniem. </w:t>
      </w:r>
      <w:r w:rsidR="00F47ADA" w:rsidRPr="008E0162">
        <w:rPr>
          <w:bCs/>
          <w:szCs w:val="22"/>
          <w:lang w:val="lv-LV"/>
        </w:rPr>
        <w:t>RoActemra lieto bērniem no divu gadu vecuma</w:t>
      </w:r>
      <w:r w:rsidR="00F47ADA" w:rsidRPr="008E0162">
        <w:rPr>
          <w:szCs w:val="22"/>
          <w:lang w:val="lv-LV"/>
        </w:rPr>
        <w:t xml:space="preserve">, kuriem ir aktīvs </w:t>
      </w:r>
      <w:r w:rsidR="00F47ADA" w:rsidRPr="008E0162">
        <w:rPr>
          <w:b/>
          <w:i/>
          <w:szCs w:val="22"/>
          <w:lang w:val="lv-LV"/>
        </w:rPr>
        <w:t xml:space="preserve">juvenīls idiopātisks </w:t>
      </w:r>
      <w:r w:rsidR="00206A3C">
        <w:rPr>
          <w:b/>
          <w:i/>
          <w:szCs w:val="22"/>
          <w:lang w:val="lv-LV"/>
        </w:rPr>
        <w:t>poli</w:t>
      </w:r>
      <w:r w:rsidR="00F47ADA" w:rsidRPr="008E0162">
        <w:rPr>
          <w:b/>
          <w:i/>
          <w:szCs w:val="22"/>
          <w:lang w:val="lv-LV"/>
        </w:rPr>
        <w:t>artrīts</w:t>
      </w:r>
      <w:r w:rsidR="00F47ADA" w:rsidRPr="008E0162">
        <w:rPr>
          <w:szCs w:val="22"/>
          <w:lang w:val="lv-LV"/>
        </w:rPr>
        <w:t xml:space="preserve"> (</w:t>
      </w:r>
      <w:r w:rsidR="00F47ADA" w:rsidRPr="008E0162">
        <w:rPr>
          <w:b/>
          <w:i/>
          <w:szCs w:val="22"/>
          <w:lang w:val="lv-LV"/>
        </w:rPr>
        <w:t>pJIA</w:t>
      </w:r>
      <w:r w:rsidR="00F47ADA" w:rsidRPr="008E0162">
        <w:rPr>
          <w:szCs w:val="22"/>
          <w:lang w:val="lv-LV"/>
        </w:rPr>
        <w:t>) – iekaisuma slimība, kas izraisa sāpes un vienu vai vairāku locītavu pietūkumu. RoActemra lieto, lai mazinātu pJIA simptomus, un to var lietot kombinācijā ar metotreksātu vai vienu pašu.</w:t>
      </w:r>
    </w:p>
    <w:p w14:paraId="26E408F6" w14:textId="77777777" w:rsidR="00F47ADA" w:rsidRPr="008E0162" w:rsidRDefault="00F47ADA" w:rsidP="00707120">
      <w:pPr>
        <w:autoSpaceDE w:val="0"/>
        <w:ind w:left="567" w:hanging="567"/>
        <w:rPr>
          <w:szCs w:val="22"/>
          <w:lang w:val="lv-LV"/>
        </w:rPr>
      </w:pPr>
    </w:p>
    <w:p w14:paraId="153894A5" w14:textId="58729335" w:rsidR="00F47ADA" w:rsidRPr="008E0162" w:rsidRDefault="006334B7" w:rsidP="00707120">
      <w:pPr>
        <w:pStyle w:val="ListParagraph"/>
        <w:keepNext/>
        <w:keepLines/>
        <w:ind w:left="567" w:hanging="567"/>
        <w:rPr>
          <w:lang w:val="lv-LV"/>
        </w:rPr>
      </w:pPr>
      <w:r>
        <w:rPr>
          <w:lang w:val="nb-NO"/>
        </w:rPr>
        <w:sym w:font="Symbol" w:char="F0B7"/>
      </w:r>
      <w:r>
        <w:rPr>
          <w:lang w:val="nb-NO"/>
        </w:rPr>
        <w:tab/>
      </w:r>
      <w:r w:rsidR="00F47ADA" w:rsidRPr="008E0162">
        <w:rPr>
          <w:b/>
          <w:lang w:val="lv-LV"/>
        </w:rPr>
        <w:t>RoActemra lieto pieaugušajiem un bērniem no 2</w:t>
      </w:r>
      <w:r w:rsidR="00B97BA2">
        <w:rPr>
          <w:b/>
          <w:lang w:val="lv-LV"/>
        </w:rPr>
        <w:t> </w:t>
      </w:r>
      <w:r w:rsidR="00F47ADA" w:rsidRPr="008E0162">
        <w:rPr>
          <w:b/>
          <w:lang w:val="lv-LV"/>
        </w:rPr>
        <w:t xml:space="preserve">gada vecuma </w:t>
      </w:r>
      <w:r w:rsidR="00F47ADA" w:rsidRPr="008E0162">
        <w:rPr>
          <w:lang w:val="lv-LV"/>
        </w:rPr>
        <w:t xml:space="preserve">ar smagu vai dzīvībai bīstamu </w:t>
      </w:r>
      <w:r w:rsidR="00F47ADA" w:rsidRPr="008E0162">
        <w:rPr>
          <w:b/>
          <w:lang w:val="lv-LV"/>
        </w:rPr>
        <w:t>citokīnu atbrīvošanās sindromu (</w:t>
      </w:r>
      <w:r w:rsidR="00F47ADA" w:rsidRPr="008E0162">
        <w:rPr>
          <w:b/>
          <w:i/>
          <w:lang w:val="lv-LV"/>
        </w:rPr>
        <w:t>cytokine release syndrome</w:t>
      </w:r>
      <w:r w:rsidR="00F47ADA" w:rsidRPr="008E0162">
        <w:rPr>
          <w:b/>
          <w:lang w:val="lv-LV"/>
        </w:rPr>
        <w:t>, CRS)</w:t>
      </w:r>
      <w:r w:rsidR="00F47ADA" w:rsidRPr="008E0162">
        <w:rPr>
          <w:lang w:val="lv-LV"/>
        </w:rPr>
        <w:t xml:space="preserve">, kas ir blakusparādība pacientiem, kuri tiek ārstēti ar himēriska antigēna receptoru (CAR) T šūnu terapiju, ko izmanto noteiktu vēža veidu ārstēšanai. </w:t>
      </w:r>
    </w:p>
    <w:p w14:paraId="36AB3829" w14:textId="77777777" w:rsidR="00F47ADA" w:rsidRPr="008E0162" w:rsidRDefault="00F47ADA" w:rsidP="00707120">
      <w:pPr>
        <w:autoSpaceDE w:val="0"/>
        <w:ind w:left="567" w:hanging="567"/>
        <w:rPr>
          <w:szCs w:val="22"/>
          <w:lang w:val="lv-LV"/>
        </w:rPr>
      </w:pPr>
    </w:p>
    <w:p w14:paraId="61965BE7" w14:textId="3FFCD4B5" w:rsidR="00F47ADA" w:rsidRPr="008E0162" w:rsidRDefault="006334B7" w:rsidP="00707120">
      <w:pPr>
        <w:pStyle w:val="Standard1"/>
        <w:ind w:left="567" w:hanging="567"/>
        <w:rPr>
          <w:szCs w:val="22"/>
        </w:rPr>
      </w:pPr>
      <w:r>
        <w:rPr>
          <w:lang w:val="nb-NO"/>
        </w:rPr>
        <w:sym w:font="Symbol" w:char="F0B7"/>
      </w:r>
      <w:r>
        <w:rPr>
          <w:lang w:val="nb-NO"/>
        </w:rPr>
        <w:tab/>
      </w:r>
      <w:r w:rsidR="00F47ADA" w:rsidRPr="008E0162">
        <w:rPr>
          <w:b/>
          <w:szCs w:val="22"/>
        </w:rPr>
        <w:t>RoActemra lieto, lai ārstētu pieaugušos ar</w:t>
      </w:r>
      <w:r w:rsidR="00F47ADA" w:rsidRPr="008E0162">
        <w:t xml:space="preserve"> 2019. gada koronavīrusa slimību (COVID-19), ja viņi jau saņem sistēmiski lietojamus kortikosteroīdus un viņiem ir nepieciešama papildu skābekļa terapija vai mehāniskā plaušu ventilācija.</w:t>
      </w:r>
    </w:p>
    <w:p w14:paraId="6050930B" w14:textId="77777777" w:rsidR="00F47ADA" w:rsidRDefault="00F47ADA">
      <w:pPr>
        <w:autoSpaceDE w:val="0"/>
        <w:rPr>
          <w:szCs w:val="22"/>
          <w:lang w:val="lv-LV"/>
        </w:rPr>
        <w:pPrChange w:id="1592" w:author="Author">
          <w:pPr>
            <w:keepNext/>
            <w:keepLines/>
            <w:autoSpaceDE w:val="0"/>
          </w:pPr>
        </w:pPrChange>
      </w:pPr>
    </w:p>
    <w:p w14:paraId="0E25FCF1" w14:textId="77777777" w:rsidR="00F47ADA" w:rsidRDefault="00F47ADA">
      <w:pPr>
        <w:autoSpaceDE w:val="0"/>
        <w:rPr>
          <w:szCs w:val="22"/>
          <w:lang w:val="lv-LV"/>
        </w:rPr>
        <w:pPrChange w:id="1593" w:author="Author">
          <w:pPr>
            <w:keepNext/>
            <w:keepLines/>
            <w:autoSpaceDE w:val="0"/>
          </w:pPr>
        </w:pPrChange>
      </w:pPr>
    </w:p>
    <w:p w14:paraId="62656B43" w14:textId="77777777" w:rsidR="00F47ADA" w:rsidRPr="00980DD8" w:rsidRDefault="00F47ADA" w:rsidP="00F47ADA">
      <w:pPr>
        <w:keepNext/>
        <w:keepLines/>
        <w:ind w:left="567" w:right="-2" w:hanging="567"/>
        <w:rPr>
          <w:szCs w:val="22"/>
          <w:lang w:val="lv-LV"/>
        </w:rPr>
      </w:pPr>
      <w:r w:rsidRPr="00980DD8">
        <w:rPr>
          <w:b/>
          <w:szCs w:val="22"/>
          <w:lang w:val="lv-LV"/>
        </w:rPr>
        <w:t>2.</w:t>
      </w:r>
      <w:r w:rsidRPr="00980DD8">
        <w:rPr>
          <w:b/>
          <w:szCs w:val="22"/>
          <w:lang w:val="lv-LV"/>
        </w:rPr>
        <w:tab/>
        <w:t>Kas jāzina pirms RoActemra lietošanas</w:t>
      </w:r>
    </w:p>
    <w:p w14:paraId="67D0CEA4" w14:textId="77777777" w:rsidR="00F47ADA" w:rsidRDefault="00F47ADA" w:rsidP="00F47ADA">
      <w:pPr>
        <w:keepNext/>
        <w:keepLines/>
        <w:ind w:right="-2"/>
        <w:rPr>
          <w:szCs w:val="22"/>
          <w:lang w:val="lv-LV"/>
        </w:rPr>
      </w:pPr>
    </w:p>
    <w:p w14:paraId="50945998" w14:textId="77777777" w:rsidR="00F47ADA" w:rsidRPr="00285349" w:rsidRDefault="00F47ADA" w:rsidP="00F47ADA">
      <w:pPr>
        <w:keepNext/>
        <w:keepLines/>
        <w:rPr>
          <w:rFonts w:ascii="Symbol" w:hAnsi="Symbol" w:cs="Symbol"/>
          <w:szCs w:val="22"/>
          <w:lang w:val="lv-LV"/>
        </w:rPr>
      </w:pPr>
      <w:r w:rsidRPr="00285349">
        <w:rPr>
          <w:b/>
          <w:szCs w:val="22"/>
          <w:lang w:val="lv-LV"/>
        </w:rPr>
        <w:t xml:space="preserve">RoActemra Jums nedrīkst lietot šādos gadījumos: </w:t>
      </w:r>
    </w:p>
    <w:p w14:paraId="663E0B43" w14:textId="10F8F9B3" w:rsidR="00F47ADA" w:rsidRPr="00006654" w:rsidRDefault="006334B7" w:rsidP="00707120">
      <w:pPr>
        <w:pStyle w:val="ListParagraph"/>
        <w:keepNext/>
        <w:keepLines/>
        <w:ind w:left="567" w:hanging="567"/>
        <w:rPr>
          <w:szCs w:val="22"/>
          <w:lang w:val="lv-LV"/>
        </w:rPr>
      </w:pPr>
      <w:r>
        <w:rPr>
          <w:lang w:val="nb-NO"/>
        </w:rPr>
        <w:sym w:font="Symbol" w:char="F0B7"/>
      </w:r>
      <w:r>
        <w:rPr>
          <w:lang w:val="nb-NO"/>
        </w:rPr>
        <w:tab/>
      </w:r>
      <w:r w:rsidR="00F47ADA" w:rsidRPr="00006654">
        <w:rPr>
          <w:szCs w:val="22"/>
          <w:lang w:val="lv-LV"/>
        </w:rPr>
        <w:t xml:space="preserve">ja Jums ir </w:t>
      </w:r>
      <w:r w:rsidR="00F47ADA" w:rsidRPr="00006654">
        <w:rPr>
          <w:b/>
          <w:szCs w:val="22"/>
          <w:lang w:val="lv-LV"/>
        </w:rPr>
        <w:t>alerģija</w:t>
      </w:r>
      <w:r w:rsidR="00F47ADA" w:rsidRPr="00006654">
        <w:rPr>
          <w:szCs w:val="22"/>
          <w:lang w:val="lv-LV"/>
        </w:rPr>
        <w:t xml:space="preserve"> pret tocilizumabu vai kādu citu (6.</w:t>
      </w:r>
      <w:r w:rsidR="00695F1D">
        <w:rPr>
          <w:szCs w:val="22"/>
          <w:lang w:val="lv-LV"/>
        </w:rPr>
        <w:t> </w:t>
      </w:r>
      <w:r w:rsidR="00F47ADA" w:rsidRPr="00006654">
        <w:rPr>
          <w:szCs w:val="22"/>
          <w:lang w:val="lv-LV"/>
        </w:rPr>
        <w:t>punktā minēto) šo zāļu sastāvdaļu;</w:t>
      </w:r>
    </w:p>
    <w:p w14:paraId="7542EA85" w14:textId="40F5526E" w:rsidR="00F47ADA" w:rsidRPr="00006654" w:rsidRDefault="006334B7" w:rsidP="00707120">
      <w:pPr>
        <w:pStyle w:val="ListParagraph"/>
        <w:ind w:left="567" w:hanging="567"/>
        <w:rPr>
          <w:szCs w:val="22"/>
          <w:lang w:val="lv-LV"/>
        </w:rPr>
      </w:pPr>
      <w:r>
        <w:rPr>
          <w:lang w:val="nb-NO"/>
        </w:rPr>
        <w:sym w:font="Symbol" w:char="F0B7"/>
      </w:r>
      <w:r>
        <w:rPr>
          <w:lang w:val="nb-NO"/>
        </w:rPr>
        <w:tab/>
      </w:r>
      <w:r w:rsidR="00F47ADA" w:rsidRPr="00006654">
        <w:rPr>
          <w:szCs w:val="22"/>
          <w:lang w:val="lv-LV"/>
        </w:rPr>
        <w:t>ja Jums ir aktīva smaga infekcija</w:t>
      </w:r>
      <w:r w:rsidR="00F47ADA">
        <w:rPr>
          <w:szCs w:val="22"/>
          <w:lang w:val="lv-LV"/>
        </w:rPr>
        <w:t xml:space="preserve"> </w:t>
      </w:r>
      <w:r w:rsidR="000B68D9">
        <w:rPr>
          <w:szCs w:val="22"/>
          <w:lang w:val="lv-LV"/>
        </w:rPr>
        <w:t>(</w:t>
      </w:r>
      <w:r w:rsidR="00F47ADA">
        <w:rPr>
          <w:szCs w:val="22"/>
          <w:lang w:val="lv-LV"/>
        </w:rPr>
        <w:t>izņemot COVID</w:t>
      </w:r>
      <w:r w:rsidR="00F47ADA">
        <w:rPr>
          <w:szCs w:val="22"/>
          <w:lang w:val="lv-LV"/>
        </w:rPr>
        <w:noBreakHyphen/>
        <w:t>19)</w:t>
      </w:r>
      <w:r w:rsidR="00F47ADA" w:rsidRPr="00006654">
        <w:rPr>
          <w:szCs w:val="22"/>
          <w:lang w:val="lv-LV"/>
        </w:rPr>
        <w:t>.</w:t>
      </w:r>
    </w:p>
    <w:p w14:paraId="65586B46" w14:textId="77777777" w:rsidR="00F47ADA" w:rsidRDefault="00F47ADA" w:rsidP="00F47ADA">
      <w:pPr>
        <w:rPr>
          <w:b/>
          <w:lang w:val="lv-LV"/>
        </w:rPr>
      </w:pPr>
      <w:r>
        <w:rPr>
          <w:lang w:val="lv-LV"/>
        </w:rPr>
        <w:t>Ja kaut kas no minētā attiecas uz Jums, informējiet par to ārstu vai medmāsu, kas ievada infūziju.</w:t>
      </w:r>
    </w:p>
    <w:p w14:paraId="0C184F60" w14:textId="77777777" w:rsidR="00F47ADA" w:rsidRPr="00414CE7" w:rsidRDefault="00F47ADA" w:rsidP="00F47ADA">
      <w:pPr>
        <w:rPr>
          <w:b/>
          <w:szCs w:val="22"/>
          <w:lang w:val="lv-LV"/>
        </w:rPr>
      </w:pPr>
    </w:p>
    <w:p w14:paraId="1BA9BB6B" w14:textId="77777777" w:rsidR="00F47ADA" w:rsidRDefault="00F47ADA" w:rsidP="00F47ADA">
      <w:pPr>
        <w:rPr>
          <w:b/>
          <w:szCs w:val="22"/>
          <w:lang w:val="lv-LV"/>
        </w:rPr>
      </w:pPr>
      <w:r w:rsidRPr="00414CE7">
        <w:rPr>
          <w:b/>
          <w:szCs w:val="22"/>
          <w:lang w:val="lv-LV"/>
        </w:rPr>
        <w:t>Brīdinājumi un piesardzība lietošanā</w:t>
      </w:r>
    </w:p>
    <w:p w14:paraId="5987AB6C" w14:textId="77777777" w:rsidR="00F47ADA" w:rsidRDefault="00F47ADA" w:rsidP="00F47ADA">
      <w:pPr>
        <w:rPr>
          <w:lang w:val="lv-LV"/>
        </w:rPr>
      </w:pPr>
      <w:r>
        <w:rPr>
          <w:lang w:val="lv-LV"/>
        </w:rPr>
        <w:t>Pirms RoActemra lietošanas konsultējieties ar ārstu vai medmāsu.</w:t>
      </w:r>
    </w:p>
    <w:p w14:paraId="44C826E0" w14:textId="77777777" w:rsidR="00F47ADA" w:rsidRDefault="00F47ADA" w:rsidP="00F47ADA">
      <w:pPr>
        <w:rPr>
          <w:lang w:val="lv-LV"/>
        </w:rPr>
      </w:pPr>
    </w:p>
    <w:p w14:paraId="4D8834A5" w14:textId="1DF471FD" w:rsidR="00F47ADA" w:rsidRPr="00006654" w:rsidRDefault="006334B7" w:rsidP="00707120">
      <w:pPr>
        <w:pStyle w:val="ListParagraph"/>
        <w:keepNext/>
        <w:keepLines/>
        <w:ind w:left="567" w:hanging="567"/>
        <w:rPr>
          <w:b/>
          <w:szCs w:val="22"/>
          <w:lang w:val="lv-LV"/>
        </w:rPr>
      </w:pPr>
      <w:r>
        <w:rPr>
          <w:lang w:val="nb-NO"/>
        </w:rPr>
        <w:sym w:font="Symbol" w:char="F0B7"/>
      </w:r>
      <w:r>
        <w:rPr>
          <w:lang w:val="nb-NO"/>
        </w:rPr>
        <w:tab/>
      </w:r>
      <w:r w:rsidR="00F47ADA" w:rsidRPr="00006654">
        <w:rPr>
          <w:szCs w:val="22"/>
          <w:lang w:val="lv-LV"/>
        </w:rPr>
        <w:t xml:space="preserve">Ja Jums rodas </w:t>
      </w:r>
      <w:r w:rsidR="00F47ADA" w:rsidRPr="00006654">
        <w:rPr>
          <w:b/>
          <w:szCs w:val="22"/>
          <w:lang w:val="lv-LV"/>
        </w:rPr>
        <w:t>alerģiskas reakcijas</w:t>
      </w:r>
      <w:r w:rsidR="00F47ADA" w:rsidRPr="00006654">
        <w:rPr>
          <w:bCs/>
          <w:szCs w:val="22"/>
          <w:lang w:val="lv-LV"/>
        </w:rPr>
        <w:t xml:space="preserve">, piemēram, saspringuma sajūta krūtīs, sēkšana, stiprs reibonis vai neskaidra sajūta galvā, lūpu pietūkums vai izsitumi uz ādas infūzijas laikā vai pēc tās, </w:t>
      </w:r>
      <w:r w:rsidR="00F47ADA" w:rsidRPr="00006654">
        <w:rPr>
          <w:b/>
          <w:szCs w:val="22"/>
          <w:lang w:val="lv-LV"/>
        </w:rPr>
        <w:t>nekavējoties informējiet ārstu</w:t>
      </w:r>
      <w:r w:rsidR="00F47ADA" w:rsidRPr="00006654">
        <w:rPr>
          <w:szCs w:val="22"/>
          <w:lang w:val="lv-LV"/>
        </w:rPr>
        <w:t>.</w:t>
      </w:r>
    </w:p>
    <w:p w14:paraId="7D586C8A" w14:textId="77777777" w:rsidR="00F47ADA" w:rsidRDefault="00F47ADA" w:rsidP="00707120">
      <w:pPr>
        <w:keepNext/>
        <w:keepLines/>
        <w:ind w:left="567" w:hanging="567"/>
        <w:rPr>
          <w:b/>
          <w:szCs w:val="22"/>
          <w:lang w:val="lv-LV"/>
        </w:rPr>
      </w:pPr>
    </w:p>
    <w:p w14:paraId="58C65CAB" w14:textId="2B59D3D3" w:rsidR="00823301" w:rsidRPr="00006654" w:rsidRDefault="006334B7" w:rsidP="00CE6B8D">
      <w:pPr>
        <w:pStyle w:val="ListParagraph"/>
        <w:keepNext/>
        <w:keepLines/>
        <w:ind w:left="567" w:hanging="567"/>
        <w:rPr>
          <w:szCs w:val="22"/>
          <w:lang w:val="lv-LV"/>
        </w:rPr>
      </w:pPr>
      <w:r>
        <w:rPr>
          <w:lang w:val="nb-NO"/>
        </w:rPr>
        <w:sym w:font="Symbol" w:char="F0B7"/>
      </w:r>
      <w:r>
        <w:rPr>
          <w:lang w:val="nb-NO"/>
        </w:rPr>
        <w:tab/>
      </w:r>
      <w:r w:rsidR="00F47ADA" w:rsidRPr="00006654" w:rsidDel="00823301">
        <w:rPr>
          <w:lang w:val="lv-LV"/>
        </w:rPr>
        <w:t xml:space="preserve">Ja Jums ir kāda </w:t>
      </w:r>
      <w:r w:rsidR="00F47ADA" w:rsidRPr="00006654" w:rsidDel="00823301">
        <w:rPr>
          <w:b/>
          <w:lang w:val="lv-LV"/>
        </w:rPr>
        <w:t>infekcija</w:t>
      </w:r>
      <w:r w:rsidR="00F47ADA" w:rsidRPr="00006654" w:rsidDel="00823301">
        <w:rPr>
          <w:lang w:val="lv-LV"/>
        </w:rPr>
        <w:t xml:space="preserve">, arī īslaicīga, ilgstoša vai arī, ja infekcijas Jums rodas bieži. Ja Jūs nejūtaties labi, </w:t>
      </w:r>
      <w:r w:rsidR="00F47ADA" w:rsidRPr="00006654" w:rsidDel="00823301">
        <w:rPr>
          <w:b/>
          <w:lang w:val="lv-LV"/>
        </w:rPr>
        <w:t>nekavējoties informējiet ārstu</w:t>
      </w:r>
      <w:r w:rsidR="00F47ADA" w:rsidRPr="00006654" w:rsidDel="00823301">
        <w:rPr>
          <w:lang w:val="lv-LV"/>
        </w:rPr>
        <w:t>. RoActemra var mazināt Jūsu organisma spēju reaģēt uz infekcijām un var pasliktināt esošas infekcijas gaitu vai palielināt jaunas infekcijas iespējamību.</w:t>
      </w:r>
    </w:p>
    <w:p w14:paraId="39AF354E" w14:textId="77777777" w:rsidR="00F47ADA" w:rsidRDefault="00F47ADA" w:rsidP="00707120">
      <w:pPr>
        <w:ind w:left="567" w:hanging="567"/>
        <w:rPr>
          <w:szCs w:val="22"/>
          <w:lang w:val="lv-LV"/>
        </w:rPr>
      </w:pPr>
    </w:p>
    <w:p w14:paraId="119CD418" w14:textId="0954D425" w:rsidR="00F47ADA" w:rsidRPr="00006654" w:rsidRDefault="006334B7" w:rsidP="00CE6B8D">
      <w:pPr>
        <w:pStyle w:val="ListParagraph"/>
        <w:keepNext/>
        <w:keepLines/>
        <w:ind w:left="567" w:hanging="567"/>
        <w:rPr>
          <w:szCs w:val="22"/>
          <w:lang w:val="lv-LV"/>
        </w:rPr>
      </w:pPr>
      <w:r>
        <w:rPr>
          <w:lang w:val="nb-NO"/>
        </w:rPr>
        <w:sym w:font="Symbol" w:char="F0B7"/>
      </w:r>
      <w:r>
        <w:rPr>
          <w:lang w:val="nb-NO"/>
        </w:rPr>
        <w:tab/>
      </w:r>
      <w:r w:rsidR="00F47ADA" w:rsidRPr="00006654">
        <w:rPr>
          <w:lang w:val="lv-LV"/>
        </w:rPr>
        <w:t xml:space="preserve">Ja Jums ir bijusi </w:t>
      </w:r>
      <w:r w:rsidR="00F47ADA" w:rsidRPr="00006654">
        <w:rPr>
          <w:b/>
          <w:lang w:val="lv-LV"/>
        </w:rPr>
        <w:t>tuberkuloze</w:t>
      </w:r>
      <w:r w:rsidR="00F47ADA" w:rsidRPr="00006654">
        <w:rPr>
          <w:lang w:val="lv-LV"/>
        </w:rPr>
        <w:t xml:space="preserve">, pastāstiet par to ārstam. Jūsu ārsts pirms RoActemra lietošanas uzsākšanas pārbaudīs tuberkulozes simptomus. </w:t>
      </w:r>
      <w:r w:rsidR="00F47ADA" w:rsidRPr="00006654">
        <w:rPr>
          <w:szCs w:val="24"/>
          <w:lang w:val="lv-LV"/>
        </w:rPr>
        <w:t>Ja ārstēšanas laikā vai pēc tās pārtraukšanas parādās tuberkulozes simptomi (pastāvīgs klepus, ķermeņa masas samazināšanās, nespēks vai viegls drudzis) vai jebkuras citas infekcijas simptomi, nekavējoties pastāstiet par tiem savam ārstam.</w:t>
      </w:r>
    </w:p>
    <w:p w14:paraId="48815FA1" w14:textId="77777777" w:rsidR="00F47ADA" w:rsidRDefault="00F47ADA" w:rsidP="00707120">
      <w:pPr>
        <w:ind w:left="567" w:hanging="567"/>
        <w:rPr>
          <w:szCs w:val="22"/>
          <w:lang w:val="lv-LV"/>
        </w:rPr>
      </w:pPr>
    </w:p>
    <w:p w14:paraId="263E8532" w14:textId="48A6E613" w:rsidR="00F47ADA" w:rsidRPr="00006654" w:rsidRDefault="006334B7" w:rsidP="00707120">
      <w:pPr>
        <w:pStyle w:val="ListParagraph"/>
        <w:keepNext/>
        <w:keepLines/>
        <w:ind w:left="567" w:hanging="567"/>
        <w:rPr>
          <w:szCs w:val="22"/>
          <w:lang w:val="lv-LV"/>
        </w:rPr>
      </w:pPr>
      <w:r>
        <w:rPr>
          <w:lang w:val="nb-NO"/>
        </w:rPr>
        <w:sym w:font="Symbol" w:char="F0B7"/>
      </w:r>
      <w:r>
        <w:rPr>
          <w:lang w:val="nb-NO"/>
        </w:rPr>
        <w:tab/>
      </w:r>
      <w:r w:rsidR="00F47ADA" w:rsidRPr="00006654">
        <w:rPr>
          <w:lang w:val="lv-LV"/>
        </w:rPr>
        <w:t xml:space="preserve">Ja Jums agrāk ir bijušas </w:t>
      </w:r>
      <w:r w:rsidR="00F47ADA" w:rsidRPr="00006654">
        <w:rPr>
          <w:b/>
          <w:lang w:val="lv-LV"/>
        </w:rPr>
        <w:t>čūlas zarnu traktā</w:t>
      </w:r>
      <w:r w:rsidR="00F47ADA" w:rsidRPr="00006654">
        <w:rPr>
          <w:lang w:val="lv-LV"/>
        </w:rPr>
        <w:t xml:space="preserve"> vai </w:t>
      </w:r>
      <w:r w:rsidR="00F47ADA" w:rsidRPr="00006654">
        <w:rPr>
          <w:b/>
          <w:lang w:val="lv-LV"/>
        </w:rPr>
        <w:t>divertikulīts</w:t>
      </w:r>
      <w:r w:rsidR="00F47ADA" w:rsidRPr="00006654">
        <w:rPr>
          <w:lang w:val="lv-LV"/>
        </w:rPr>
        <w:t>, pastāstiet savam ārstam. Simptomi varētu būt sāpes vēderā un neizskaidrojamas vēdera izejas pārmaiņas ar drudzi.</w:t>
      </w:r>
    </w:p>
    <w:p w14:paraId="4788A39C" w14:textId="77777777" w:rsidR="00F47ADA" w:rsidRDefault="00F47ADA" w:rsidP="00707120">
      <w:pPr>
        <w:ind w:left="567" w:hanging="567"/>
        <w:rPr>
          <w:szCs w:val="22"/>
          <w:lang w:val="lv-LV"/>
        </w:rPr>
      </w:pPr>
    </w:p>
    <w:p w14:paraId="5FF96658" w14:textId="20B44F9D" w:rsidR="00F47ADA" w:rsidRPr="00006654" w:rsidRDefault="006334B7" w:rsidP="00707120">
      <w:pPr>
        <w:pStyle w:val="ListParagraph"/>
        <w:keepNext/>
        <w:keepLines/>
        <w:ind w:left="567" w:hanging="567"/>
        <w:rPr>
          <w:szCs w:val="22"/>
          <w:lang w:val="lv-LV"/>
        </w:rPr>
      </w:pPr>
      <w:r>
        <w:rPr>
          <w:lang w:val="nb-NO"/>
        </w:rPr>
        <w:sym w:font="Symbol" w:char="F0B7"/>
      </w:r>
      <w:r>
        <w:rPr>
          <w:lang w:val="nb-NO"/>
        </w:rPr>
        <w:tab/>
      </w:r>
      <w:r w:rsidR="00F47ADA" w:rsidRPr="00006654">
        <w:rPr>
          <w:lang w:val="lv-LV"/>
        </w:rPr>
        <w:t xml:space="preserve">Ja Jums ir </w:t>
      </w:r>
      <w:r w:rsidR="00F47ADA" w:rsidRPr="00006654">
        <w:rPr>
          <w:b/>
          <w:lang w:val="lv-LV"/>
        </w:rPr>
        <w:t>aknu slimība</w:t>
      </w:r>
      <w:r w:rsidR="00F47ADA" w:rsidRPr="00006654">
        <w:rPr>
          <w:lang w:val="lv-LV"/>
        </w:rPr>
        <w:t xml:space="preserve">, pastāstiet savam ārstam. Pirms RoActemra lietošanas Jūsu ārsts var veikt asins analīzes, lai novērtētu Jūsu aknu darbību. </w:t>
      </w:r>
    </w:p>
    <w:p w14:paraId="7DD83387" w14:textId="77777777" w:rsidR="00F47ADA" w:rsidRDefault="00F47ADA" w:rsidP="00707120">
      <w:pPr>
        <w:ind w:left="567" w:hanging="567"/>
        <w:rPr>
          <w:szCs w:val="22"/>
          <w:lang w:val="lv-LV"/>
        </w:rPr>
      </w:pPr>
    </w:p>
    <w:p w14:paraId="6A3DC205" w14:textId="1532079C" w:rsidR="00F47ADA" w:rsidRPr="00006654" w:rsidRDefault="006334B7" w:rsidP="00707120">
      <w:pPr>
        <w:pStyle w:val="ListParagraph"/>
        <w:keepNext/>
        <w:keepLines/>
        <w:ind w:left="567" w:hanging="567"/>
        <w:rPr>
          <w:szCs w:val="22"/>
          <w:lang w:val="lv-LV"/>
        </w:rPr>
      </w:pPr>
      <w:r>
        <w:rPr>
          <w:lang w:val="nb-NO"/>
        </w:rPr>
        <w:sym w:font="Symbol" w:char="F0B7"/>
      </w:r>
      <w:r>
        <w:rPr>
          <w:lang w:val="nb-NO"/>
        </w:rPr>
        <w:tab/>
      </w:r>
      <w:r w:rsidR="00F47ADA" w:rsidRPr="00006654">
        <w:rPr>
          <w:b/>
          <w:bCs/>
          <w:lang w:val="lv-LV"/>
        </w:rPr>
        <w:t>Ja pacientam nesen veikta vakcinācija</w:t>
      </w:r>
      <w:r w:rsidR="00F47ADA" w:rsidRPr="00006654">
        <w:rPr>
          <w:lang w:val="lv-LV"/>
        </w:rPr>
        <w:t xml:space="preserve"> (bērnam vai pieaugušajam) vai tā tiek plānota, pastāstiet to ārstam. Visiem pacientiem, it īpaši bērniem, pirms RoActemra lietošanas sākuma jābūt saņēmušiem visas paredzētās vakcīnas; izņēmums ir gadījumi, kad terapija jāsāk nekavējoties. RoActemra lietošanas laikā nedrīkst izmantot noteikta veida vakcīnas.</w:t>
      </w:r>
    </w:p>
    <w:p w14:paraId="5E491CF2" w14:textId="77777777" w:rsidR="00F47ADA" w:rsidRDefault="00F47ADA" w:rsidP="00F47ADA">
      <w:pPr>
        <w:rPr>
          <w:szCs w:val="22"/>
          <w:lang w:val="lv-LV"/>
        </w:rPr>
      </w:pPr>
    </w:p>
    <w:p w14:paraId="35E855AB" w14:textId="1F4A7E76" w:rsidR="00F47ADA" w:rsidRPr="00006654" w:rsidRDefault="006334B7" w:rsidP="00707120">
      <w:pPr>
        <w:pStyle w:val="ListParagraph"/>
        <w:keepNext/>
        <w:keepLines/>
        <w:ind w:left="567" w:hanging="567"/>
        <w:rPr>
          <w:szCs w:val="22"/>
          <w:lang w:val="lv-LV"/>
        </w:rPr>
      </w:pPr>
      <w:r>
        <w:rPr>
          <w:lang w:val="nb-NO"/>
        </w:rPr>
        <w:sym w:font="Symbol" w:char="F0B7"/>
      </w:r>
      <w:r>
        <w:rPr>
          <w:lang w:val="nb-NO"/>
        </w:rPr>
        <w:tab/>
      </w:r>
      <w:r w:rsidR="00F47ADA" w:rsidRPr="00006654">
        <w:rPr>
          <w:lang w:val="lv-LV"/>
        </w:rPr>
        <w:t xml:space="preserve">Ja Jums ir </w:t>
      </w:r>
      <w:r w:rsidR="00F47ADA" w:rsidRPr="00006654">
        <w:rPr>
          <w:b/>
          <w:lang w:val="lv-LV"/>
        </w:rPr>
        <w:t>vēzis</w:t>
      </w:r>
      <w:r w:rsidR="00F47ADA" w:rsidRPr="00006654">
        <w:rPr>
          <w:lang w:val="lv-LV"/>
        </w:rPr>
        <w:t>, pastāstiet par to savam ārstam. Jūsu ārsts lems, vai Jums joprojām drīkst ievadīt RoActemra.</w:t>
      </w:r>
    </w:p>
    <w:p w14:paraId="2D2B4E39" w14:textId="77777777" w:rsidR="00F47ADA" w:rsidRDefault="00F47ADA" w:rsidP="00707120">
      <w:pPr>
        <w:ind w:left="567" w:hanging="567"/>
        <w:rPr>
          <w:szCs w:val="22"/>
          <w:lang w:val="lv-LV"/>
        </w:rPr>
      </w:pPr>
    </w:p>
    <w:p w14:paraId="08E2A83D" w14:textId="33449626" w:rsidR="00823301" w:rsidRPr="00006654" w:rsidRDefault="006334B7" w:rsidP="00707120">
      <w:pPr>
        <w:pStyle w:val="ListParagraph"/>
        <w:keepNext/>
        <w:keepLines/>
        <w:ind w:left="567" w:hanging="567"/>
        <w:rPr>
          <w:szCs w:val="22"/>
          <w:lang w:val="lv-LV"/>
        </w:rPr>
      </w:pPr>
      <w:r>
        <w:rPr>
          <w:lang w:val="nb-NO"/>
        </w:rPr>
        <w:sym w:font="Symbol" w:char="F0B7"/>
      </w:r>
      <w:r>
        <w:rPr>
          <w:lang w:val="nb-NO"/>
        </w:rPr>
        <w:tab/>
      </w:r>
      <w:r w:rsidR="00F47ADA" w:rsidRPr="00006654" w:rsidDel="00823301">
        <w:rPr>
          <w:lang w:val="lv-LV"/>
        </w:rPr>
        <w:t xml:space="preserve">Ja Jums ir </w:t>
      </w:r>
      <w:r w:rsidR="00F47ADA" w:rsidRPr="00006654" w:rsidDel="00823301">
        <w:rPr>
          <w:b/>
          <w:lang w:val="lv-LV"/>
        </w:rPr>
        <w:t>sirds–asinsvadu sistēmas slimību riska faktori</w:t>
      </w:r>
      <w:r w:rsidR="00F47ADA" w:rsidRPr="00006654" w:rsidDel="00823301">
        <w:rPr>
          <w:lang w:val="lv-LV"/>
        </w:rPr>
        <w:t>, piemēram, paaugstināts asinsspiediens vai paaugstināts holesterīna līmenis, pastāstiet par to savam ārstam. RoActemra lietošanas laikā šie faktori ir jākontrolē.</w:t>
      </w:r>
    </w:p>
    <w:p w14:paraId="3FCE449C" w14:textId="77777777" w:rsidR="00F47ADA" w:rsidRDefault="00F47ADA" w:rsidP="00707120">
      <w:pPr>
        <w:ind w:left="567" w:hanging="567"/>
        <w:rPr>
          <w:szCs w:val="22"/>
          <w:lang w:val="lv-LV"/>
        </w:rPr>
      </w:pPr>
    </w:p>
    <w:p w14:paraId="672AF002" w14:textId="0647D6C2" w:rsidR="00F47ADA" w:rsidRPr="00006654" w:rsidRDefault="006334B7" w:rsidP="00707120">
      <w:pPr>
        <w:pStyle w:val="ListParagraph"/>
        <w:ind w:left="567" w:hanging="567"/>
        <w:rPr>
          <w:szCs w:val="22"/>
          <w:lang w:val="lv-LV"/>
        </w:rPr>
      </w:pPr>
      <w:r>
        <w:rPr>
          <w:lang w:val="nb-NO"/>
        </w:rPr>
        <w:sym w:font="Symbol" w:char="F0B7"/>
      </w:r>
      <w:r>
        <w:rPr>
          <w:lang w:val="nb-NO"/>
        </w:rPr>
        <w:tab/>
      </w:r>
      <w:r w:rsidR="00F47ADA" w:rsidRPr="00006654">
        <w:rPr>
          <w:szCs w:val="22"/>
          <w:lang w:val="lv-LV"/>
        </w:rPr>
        <w:t xml:space="preserve">Ja Jums ir vidēji smagi līdz smagi </w:t>
      </w:r>
      <w:r w:rsidR="00F47ADA" w:rsidRPr="00006654">
        <w:rPr>
          <w:b/>
          <w:szCs w:val="22"/>
          <w:lang w:val="lv-LV"/>
        </w:rPr>
        <w:t>nieru darbības traucējumi</w:t>
      </w:r>
      <w:r w:rsidR="00F47ADA" w:rsidRPr="00006654">
        <w:rPr>
          <w:szCs w:val="22"/>
          <w:lang w:val="lv-LV"/>
        </w:rPr>
        <w:t>, Jūsu ārsts Jūs novēros.</w:t>
      </w:r>
    </w:p>
    <w:p w14:paraId="754666AC" w14:textId="77777777" w:rsidR="00F47ADA" w:rsidRDefault="00F47ADA" w:rsidP="00707120">
      <w:pPr>
        <w:ind w:left="567" w:hanging="567"/>
        <w:rPr>
          <w:szCs w:val="22"/>
          <w:lang w:val="lv-LV"/>
        </w:rPr>
      </w:pPr>
    </w:p>
    <w:p w14:paraId="28DDCE8B" w14:textId="503A1FB5" w:rsidR="00F47ADA" w:rsidRPr="00006654" w:rsidRDefault="006334B7" w:rsidP="00707120">
      <w:pPr>
        <w:pStyle w:val="ListParagraph"/>
        <w:ind w:left="567" w:hanging="567"/>
        <w:rPr>
          <w:szCs w:val="22"/>
          <w:lang w:val="lv-LV"/>
        </w:rPr>
      </w:pPr>
      <w:r>
        <w:rPr>
          <w:lang w:val="nb-NO"/>
        </w:rPr>
        <w:sym w:font="Symbol" w:char="F0B7"/>
      </w:r>
      <w:r>
        <w:rPr>
          <w:lang w:val="nb-NO"/>
        </w:rPr>
        <w:tab/>
      </w:r>
      <w:r w:rsidR="00F47ADA" w:rsidRPr="00006654">
        <w:rPr>
          <w:szCs w:val="22"/>
          <w:lang w:val="lv-LV"/>
        </w:rPr>
        <w:t xml:space="preserve">Ja Jums ir </w:t>
      </w:r>
      <w:r w:rsidR="00F47ADA" w:rsidRPr="00707120">
        <w:rPr>
          <w:b/>
          <w:bCs/>
          <w:szCs w:val="22"/>
          <w:lang w:val="lv-LV"/>
        </w:rPr>
        <w:t>nepārejošas galvassāpes</w:t>
      </w:r>
      <w:r w:rsidR="00F47ADA" w:rsidRPr="00006654">
        <w:rPr>
          <w:szCs w:val="22"/>
          <w:lang w:val="lv-LV"/>
        </w:rPr>
        <w:t>.</w:t>
      </w:r>
    </w:p>
    <w:p w14:paraId="6049804A" w14:textId="77777777" w:rsidR="00F47ADA" w:rsidRDefault="00F47ADA" w:rsidP="00F47ADA">
      <w:pPr>
        <w:ind w:right="-2"/>
        <w:rPr>
          <w:szCs w:val="22"/>
          <w:lang w:val="lv-LV"/>
        </w:rPr>
      </w:pPr>
    </w:p>
    <w:p w14:paraId="7ECB6FE5" w14:textId="77777777" w:rsidR="00F47ADA" w:rsidRDefault="00F47ADA" w:rsidP="00F47ADA">
      <w:pPr>
        <w:ind w:right="-2"/>
        <w:rPr>
          <w:b/>
          <w:bCs/>
          <w:lang w:val="lv-LV"/>
        </w:rPr>
      </w:pPr>
      <w:r>
        <w:rPr>
          <w:szCs w:val="22"/>
          <w:lang w:val="lv-LV"/>
        </w:rPr>
        <w:t>Pirms RoActemra lietošanas sākuma un ārstēšanas laikā ārsts Jums veiks asins analīzes, lai noteiktu, vai Jums nav mazs balto asins šūnu skaits, mazs trombocītu skaits vai paaugstināts aknu enzīmu līmenis.</w:t>
      </w:r>
    </w:p>
    <w:p w14:paraId="5D909C4D" w14:textId="77777777" w:rsidR="00F47ADA" w:rsidRDefault="00F47ADA" w:rsidP="00F47ADA">
      <w:pPr>
        <w:rPr>
          <w:b/>
          <w:bCs/>
          <w:lang w:val="lv-LV"/>
        </w:rPr>
      </w:pPr>
    </w:p>
    <w:p w14:paraId="0FC91669" w14:textId="77777777" w:rsidR="00F47ADA" w:rsidRPr="00414CE7" w:rsidRDefault="00F47ADA">
      <w:pPr>
        <w:keepNext/>
        <w:keepLines/>
        <w:rPr>
          <w:szCs w:val="22"/>
          <w:lang w:val="lv-LV"/>
        </w:rPr>
      </w:pPr>
      <w:r w:rsidRPr="00414CE7">
        <w:rPr>
          <w:b/>
          <w:bCs/>
          <w:szCs w:val="22"/>
          <w:lang w:val="lv-LV"/>
        </w:rPr>
        <w:t>Bērni un pusaudži</w:t>
      </w:r>
    </w:p>
    <w:p w14:paraId="306D64DB" w14:textId="77777777" w:rsidR="00F47ADA" w:rsidRDefault="00F47ADA" w:rsidP="00707120">
      <w:pPr>
        <w:keepNext/>
        <w:keepLines/>
        <w:autoSpaceDE w:val="0"/>
        <w:rPr>
          <w:szCs w:val="22"/>
          <w:lang w:val="lv-LV"/>
        </w:rPr>
      </w:pPr>
      <w:r>
        <w:rPr>
          <w:szCs w:val="22"/>
          <w:lang w:val="lv-LV"/>
        </w:rPr>
        <w:t xml:space="preserve">RoActemra nav ieteicams lietošanai bērniem līdz 2 gadu vecumam. </w:t>
      </w:r>
    </w:p>
    <w:p w14:paraId="6FC2ED90" w14:textId="77777777" w:rsidR="00F47ADA" w:rsidRPr="002007A3" w:rsidRDefault="00F47ADA">
      <w:pPr>
        <w:keepNext/>
        <w:keepLines/>
        <w:rPr>
          <w:bCs/>
          <w:lang w:val="lv-LV"/>
          <w:rPrChange w:id="1594" w:author="Author">
            <w:rPr>
              <w:b/>
              <w:lang w:val="lv-LV"/>
            </w:rPr>
          </w:rPrChange>
        </w:rPr>
      </w:pPr>
    </w:p>
    <w:p w14:paraId="24209C82" w14:textId="77777777" w:rsidR="00F47ADA" w:rsidRDefault="00F47ADA">
      <w:pPr>
        <w:rPr>
          <w:lang w:val="lv-LV"/>
        </w:rPr>
      </w:pPr>
      <w:r>
        <w:rPr>
          <w:lang w:val="lv-LV"/>
        </w:rPr>
        <w:t xml:space="preserve">Ja bērna slimības vēsturē ir </w:t>
      </w:r>
      <w:r>
        <w:rPr>
          <w:b/>
          <w:i/>
          <w:lang w:val="lv-LV"/>
        </w:rPr>
        <w:t>makrofāgu aktivācijas sindroms</w:t>
      </w:r>
      <w:r>
        <w:rPr>
          <w:lang w:val="lv-LV"/>
        </w:rPr>
        <w:t xml:space="preserve"> (specifisku asins šūnu aktivizēšana un nekontrolēta proliferācija), pastāstiet par to savam ārstam. Jūsu ārsts lems, vai viņam joprojām drīkst ievadīt RoActemra.</w:t>
      </w:r>
    </w:p>
    <w:p w14:paraId="1220EFFC" w14:textId="77777777" w:rsidR="00F47ADA" w:rsidRDefault="00F47ADA" w:rsidP="00F47ADA">
      <w:pPr>
        <w:rPr>
          <w:szCs w:val="22"/>
          <w:lang w:val="lv-LV"/>
        </w:rPr>
      </w:pPr>
    </w:p>
    <w:p w14:paraId="14A35856" w14:textId="77777777" w:rsidR="00F47ADA" w:rsidRPr="00414CE7" w:rsidRDefault="00F47ADA" w:rsidP="00F47ADA">
      <w:pPr>
        <w:keepNext/>
        <w:keepLines/>
        <w:rPr>
          <w:szCs w:val="22"/>
          <w:lang w:val="lv-LV"/>
        </w:rPr>
      </w:pPr>
      <w:r w:rsidRPr="00414CE7">
        <w:rPr>
          <w:b/>
          <w:bCs/>
          <w:szCs w:val="22"/>
          <w:lang w:val="lv-LV"/>
        </w:rPr>
        <w:t>Citas zāles un RoActemra</w:t>
      </w:r>
    </w:p>
    <w:p w14:paraId="5980A126" w14:textId="77777777" w:rsidR="00F47ADA" w:rsidRDefault="00F47ADA" w:rsidP="00F47ADA">
      <w:pPr>
        <w:keepNext/>
        <w:keepLines/>
        <w:rPr>
          <w:szCs w:val="22"/>
          <w:lang w:val="lv-LV"/>
        </w:rPr>
      </w:pPr>
      <w:r>
        <w:rPr>
          <w:szCs w:val="22"/>
          <w:lang w:val="lv-LV"/>
        </w:rPr>
        <w:t>Pastāstiet ārstam par jebkurām citām zālēm, kuras lietojat (vai Jūsu bērns lieto, ja viņš ir pacients) vai esat lietojis pēdējā laikā. Tas attiecas arī uz zālēm, ko var iegādāties bez receptes. RoActemra var ietekmēt dažu zāļu iedarbības veidu un var būt jāpielāgo šo zāļu deva. Ja lietojat zāles, kuras satur kādu no turpmāk minētajām aktīvajām vielām</w:t>
      </w:r>
      <w:r>
        <w:rPr>
          <w:b/>
          <w:bCs/>
          <w:szCs w:val="22"/>
          <w:lang w:val="lv-LV"/>
        </w:rPr>
        <w:t>, pastāstiet par to ārstam</w:t>
      </w:r>
      <w:r>
        <w:rPr>
          <w:szCs w:val="22"/>
          <w:lang w:val="lv-LV"/>
        </w:rPr>
        <w:t>:</w:t>
      </w:r>
    </w:p>
    <w:p w14:paraId="36B31AB4" w14:textId="77777777" w:rsidR="00F47ADA" w:rsidRDefault="00F47ADA" w:rsidP="00F47ADA">
      <w:pPr>
        <w:keepNext/>
        <w:keepLines/>
        <w:rPr>
          <w:szCs w:val="22"/>
          <w:lang w:val="lv-LV"/>
        </w:rPr>
      </w:pPr>
    </w:p>
    <w:p w14:paraId="10143473" w14:textId="6D867783" w:rsidR="00F47ADA" w:rsidRPr="00707120" w:rsidRDefault="006334B7" w:rsidP="00707120">
      <w:pPr>
        <w:pStyle w:val="ListParagraph"/>
        <w:keepNext/>
        <w:keepLines/>
        <w:ind w:left="567" w:hanging="567"/>
        <w:rPr>
          <w:lang w:val="lv-LV" w:eastAsia="th-TH" w:bidi="th-TH"/>
        </w:rPr>
      </w:pPr>
      <w:r>
        <w:rPr>
          <w:lang w:val="nb-NO"/>
        </w:rPr>
        <w:sym w:font="Symbol" w:char="F0B7"/>
      </w:r>
      <w:r>
        <w:rPr>
          <w:lang w:val="nb-NO"/>
        </w:rPr>
        <w:tab/>
      </w:r>
      <w:r w:rsidR="00F47ADA" w:rsidRPr="00006654">
        <w:rPr>
          <w:rFonts w:eastAsia="SimSun"/>
          <w:lang w:val="lv-LV" w:eastAsia="th-TH" w:bidi="th-TH"/>
        </w:rPr>
        <w:t xml:space="preserve">metilprednizolonu, deksametazonu, ko lieto </w:t>
      </w:r>
      <w:r w:rsidR="00F47ADA" w:rsidRPr="002007A3">
        <w:rPr>
          <w:rFonts w:eastAsia="SimSun"/>
          <w:b/>
          <w:bCs/>
          <w:lang w:val="lv-LV" w:eastAsia="th-TH" w:bidi="th-TH"/>
          <w:rPrChange w:id="1595" w:author="Author">
            <w:rPr>
              <w:rFonts w:eastAsia="SimSun"/>
              <w:lang w:val="lv-LV" w:eastAsia="th-TH" w:bidi="th-TH"/>
            </w:rPr>
          </w:rPrChange>
        </w:rPr>
        <w:t xml:space="preserve">iekaisuma </w:t>
      </w:r>
      <w:r w:rsidR="00F47ADA" w:rsidRPr="00006654">
        <w:rPr>
          <w:rFonts w:eastAsia="SimSun"/>
          <w:lang w:val="lv-LV" w:eastAsia="th-TH" w:bidi="th-TH"/>
        </w:rPr>
        <w:t>mazināšanai;</w:t>
      </w:r>
    </w:p>
    <w:p w14:paraId="722CD712" w14:textId="583B0D72" w:rsidR="00F47ADA" w:rsidRPr="00707120" w:rsidRDefault="006334B7" w:rsidP="00707120">
      <w:pPr>
        <w:pStyle w:val="ListParagraph"/>
        <w:ind w:left="567" w:hanging="567"/>
        <w:rPr>
          <w:lang w:val="lv-LV" w:eastAsia="th-TH" w:bidi="th-TH"/>
        </w:rPr>
      </w:pPr>
      <w:r>
        <w:rPr>
          <w:lang w:val="nb-NO"/>
        </w:rPr>
        <w:sym w:font="Symbol" w:char="F0B7"/>
      </w:r>
      <w:r>
        <w:rPr>
          <w:lang w:val="nb-NO"/>
        </w:rPr>
        <w:tab/>
      </w:r>
      <w:r w:rsidR="00F47ADA" w:rsidRPr="00006654">
        <w:rPr>
          <w:rFonts w:eastAsia="SimSun"/>
          <w:lang w:val="lv-LV" w:eastAsia="th-TH" w:bidi="th-TH"/>
        </w:rPr>
        <w:t xml:space="preserve">simvastatīnu vai atorvastatīnu, ko lieto </w:t>
      </w:r>
      <w:r w:rsidR="00F47ADA" w:rsidRPr="00006654">
        <w:rPr>
          <w:rFonts w:eastAsia="SimSun"/>
          <w:b/>
          <w:lang w:val="lv-LV" w:eastAsia="th-TH" w:bidi="th-TH"/>
        </w:rPr>
        <w:t>holesterīna līmeņa</w:t>
      </w:r>
      <w:r w:rsidR="00F47ADA" w:rsidRPr="00006654">
        <w:rPr>
          <w:rFonts w:eastAsia="SimSun"/>
          <w:lang w:val="lv-LV" w:eastAsia="th-TH" w:bidi="th-TH"/>
        </w:rPr>
        <w:t xml:space="preserve"> pazemināšanai;</w:t>
      </w:r>
    </w:p>
    <w:p w14:paraId="3D43CFB1" w14:textId="78977515" w:rsidR="00F47ADA" w:rsidRPr="00707120" w:rsidRDefault="006334B7" w:rsidP="00707120">
      <w:pPr>
        <w:pStyle w:val="ListParagraph"/>
        <w:ind w:left="567" w:hanging="567"/>
        <w:rPr>
          <w:lang w:val="lv-LV" w:eastAsia="th-TH" w:bidi="th-TH"/>
        </w:rPr>
      </w:pPr>
      <w:r>
        <w:rPr>
          <w:lang w:val="nb-NO"/>
        </w:rPr>
        <w:sym w:font="Symbol" w:char="F0B7"/>
      </w:r>
      <w:r>
        <w:rPr>
          <w:lang w:val="nb-NO"/>
        </w:rPr>
        <w:tab/>
      </w:r>
      <w:r w:rsidR="00F47ADA" w:rsidRPr="00006654">
        <w:rPr>
          <w:rFonts w:eastAsia="SimSun"/>
          <w:lang w:val="lv-LV" w:eastAsia="th-TH" w:bidi="th-TH"/>
        </w:rPr>
        <w:t xml:space="preserve">kalcija kanālu blokatorus (piemēram, amlodipīnu), ko lieto </w:t>
      </w:r>
      <w:r w:rsidR="00F47ADA" w:rsidRPr="00006654">
        <w:rPr>
          <w:rFonts w:eastAsia="SimSun"/>
          <w:b/>
          <w:lang w:val="lv-LV" w:eastAsia="th-TH" w:bidi="th-TH"/>
        </w:rPr>
        <w:t>paaugstināta asinsspiediena</w:t>
      </w:r>
      <w:r w:rsidR="00F47ADA" w:rsidRPr="00006654">
        <w:rPr>
          <w:rFonts w:eastAsia="SimSun"/>
          <w:lang w:val="lv-LV" w:eastAsia="th-TH" w:bidi="th-TH"/>
        </w:rPr>
        <w:t xml:space="preserve"> ārstēšanai;</w:t>
      </w:r>
    </w:p>
    <w:p w14:paraId="6D838068" w14:textId="21C58044" w:rsidR="00F47ADA" w:rsidRPr="00707120" w:rsidRDefault="006334B7" w:rsidP="00707120">
      <w:pPr>
        <w:pStyle w:val="ListParagraph"/>
        <w:ind w:left="567" w:hanging="567"/>
        <w:rPr>
          <w:lang w:val="lv-LV" w:eastAsia="th-TH" w:bidi="th-TH"/>
        </w:rPr>
      </w:pPr>
      <w:r>
        <w:rPr>
          <w:lang w:val="nb-NO"/>
        </w:rPr>
        <w:sym w:font="Symbol" w:char="F0B7"/>
      </w:r>
      <w:r>
        <w:rPr>
          <w:lang w:val="nb-NO"/>
        </w:rPr>
        <w:tab/>
      </w:r>
      <w:r w:rsidR="00F47ADA" w:rsidRPr="00006654">
        <w:rPr>
          <w:rFonts w:eastAsia="SimSun"/>
          <w:lang w:val="lv-LV" w:eastAsia="th-TH" w:bidi="th-TH"/>
        </w:rPr>
        <w:t xml:space="preserve">teofilīnu, ko lieto </w:t>
      </w:r>
      <w:r w:rsidR="00F47ADA" w:rsidRPr="00006654">
        <w:rPr>
          <w:rFonts w:eastAsia="SimSun"/>
          <w:b/>
          <w:lang w:val="lv-LV" w:eastAsia="th-TH" w:bidi="th-TH"/>
        </w:rPr>
        <w:t>astmas</w:t>
      </w:r>
      <w:r w:rsidR="00F47ADA" w:rsidRPr="00006654">
        <w:rPr>
          <w:rFonts w:eastAsia="SimSun"/>
          <w:lang w:val="lv-LV" w:eastAsia="th-TH" w:bidi="th-TH"/>
        </w:rPr>
        <w:t xml:space="preserve"> ārstēšanai;</w:t>
      </w:r>
    </w:p>
    <w:p w14:paraId="68E1FE14" w14:textId="2CA5A0AF" w:rsidR="00F47ADA" w:rsidRPr="00707120" w:rsidRDefault="006334B7" w:rsidP="00707120">
      <w:pPr>
        <w:pStyle w:val="ListParagraph"/>
        <w:ind w:left="567" w:hanging="567"/>
        <w:rPr>
          <w:lang w:val="lv-LV" w:eastAsia="th-TH" w:bidi="th-TH"/>
        </w:rPr>
      </w:pPr>
      <w:r>
        <w:rPr>
          <w:lang w:val="nb-NO"/>
        </w:rPr>
        <w:sym w:font="Symbol" w:char="F0B7"/>
      </w:r>
      <w:r>
        <w:rPr>
          <w:lang w:val="nb-NO"/>
        </w:rPr>
        <w:tab/>
      </w:r>
      <w:r w:rsidR="00F47ADA" w:rsidRPr="00006654">
        <w:rPr>
          <w:rFonts w:eastAsia="SimSun"/>
          <w:lang w:val="lv-LV" w:eastAsia="th-TH" w:bidi="th-TH"/>
        </w:rPr>
        <w:t xml:space="preserve">varfarīnu vai fenprokumonu, ko lieto kā </w:t>
      </w:r>
      <w:r w:rsidR="00F47ADA" w:rsidRPr="00006654">
        <w:rPr>
          <w:rFonts w:eastAsia="SimSun"/>
          <w:b/>
          <w:lang w:val="lv-LV" w:eastAsia="th-TH" w:bidi="th-TH"/>
        </w:rPr>
        <w:t>asinis šķidrinošus līdzekļus</w:t>
      </w:r>
      <w:r w:rsidR="00F47ADA" w:rsidRPr="00006654">
        <w:rPr>
          <w:rFonts w:eastAsia="SimSun"/>
          <w:lang w:val="lv-LV" w:eastAsia="th-TH" w:bidi="th-TH"/>
        </w:rPr>
        <w:t>;</w:t>
      </w:r>
    </w:p>
    <w:p w14:paraId="40DD3F79" w14:textId="79E69FB4" w:rsidR="00F47ADA" w:rsidRPr="00707120" w:rsidRDefault="006334B7" w:rsidP="00707120">
      <w:pPr>
        <w:pStyle w:val="ListParagraph"/>
        <w:ind w:left="567" w:hanging="567"/>
        <w:rPr>
          <w:lang w:val="lv-LV" w:eastAsia="th-TH" w:bidi="th-TH"/>
        </w:rPr>
      </w:pPr>
      <w:r>
        <w:rPr>
          <w:lang w:val="nb-NO"/>
        </w:rPr>
        <w:sym w:font="Symbol" w:char="F0B7"/>
      </w:r>
      <w:r>
        <w:rPr>
          <w:lang w:val="nb-NO"/>
        </w:rPr>
        <w:tab/>
      </w:r>
      <w:r w:rsidR="00F47ADA" w:rsidRPr="00006654">
        <w:rPr>
          <w:rFonts w:eastAsia="SimSun"/>
          <w:lang w:val="lv-LV" w:eastAsia="th-TH" w:bidi="th-TH"/>
        </w:rPr>
        <w:t xml:space="preserve">fenitoīnu, ko lieto </w:t>
      </w:r>
      <w:r w:rsidR="00F47ADA" w:rsidRPr="00006654">
        <w:rPr>
          <w:rFonts w:eastAsia="SimSun"/>
          <w:b/>
          <w:lang w:val="lv-LV" w:eastAsia="th-TH" w:bidi="th-TH"/>
        </w:rPr>
        <w:t>krampju</w:t>
      </w:r>
      <w:r w:rsidR="00F47ADA" w:rsidRPr="00006654">
        <w:rPr>
          <w:rFonts w:eastAsia="SimSun"/>
          <w:lang w:val="lv-LV" w:eastAsia="th-TH" w:bidi="th-TH"/>
        </w:rPr>
        <w:t xml:space="preserve"> lēkmju ārstēšanai;</w:t>
      </w:r>
    </w:p>
    <w:p w14:paraId="02D8E89E" w14:textId="00A215BA" w:rsidR="00F47ADA" w:rsidRPr="00707120" w:rsidRDefault="006334B7" w:rsidP="00707120">
      <w:pPr>
        <w:pStyle w:val="ListParagraph"/>
        <w:ind w:left="567" w:hanging="567"/>
        <w:rPr>
          <w:lang w:val="lv-LV" w:eastAsia="th-TH" w:bidi="th-TH"/>
        </w:rPr>
      </w:pPr>
      <w:r>
        <w:rPr>
          <w:lang w:val="nb-NO"/>
        </w:rPr>
        <w:sym w:font="Symbol" w:char="F0B7"/>
      </w:r>
      <w:r>
        <w:rPr>
          <w:lang w:val="nb-NO"/>
        </w:rPr>
        <w:tab/>
      </w:r>
      <w:r w:rsidR="00F47ADA" w:rsidRPr="00006654">
        <w:rPr>
          <w:rFonts w:eastAsia="SimSun"/>
          <w:lang w:val="lv-LV" w:eastAsia="th-TH" w:bidi="th-TH"/>
        </w:rPr>
        <w:t xml:space="preserve">ciklosporīnus, kurus lieto Jūsu </w:t>
      </w:r>
      <w:r w:rsidR="00F47ADA" w:rsidRPr="00006654">
        <w:rPr>
          <w:rFonts w:eastAsia="SimSun"/>
          <w:b/>
          <w:lang w:val="lv-LV" w:eastAsia="th-TH" w:bidi="th-TH"/>
        </w:rPr>
        <w:t>imūnās sistēmas darbības nomākšanai</w:t>
      </w:r>
      <w:r w:rsidR="00F47ADA" w:rsidRPr="00006654">
        <w:rPr>
          <w:rFonts w:eastAsia="SimSun"/>
          <w:lang w:val="lv-LV" w:eastAsia="th-TH" w:bidi="th-TH"/>
        </w:rPr>
        <w:t xml:space="preserve"> pēc orgānu transplantācijas;</w:t>
      </w:r>
    </w:p>
    <w:p w14:paraId="566098D7" w14:textId="53951432" w:rsidR="00F47ADA" w:rsidRPr="00006654" w:rsidRDefault="006334B7" w:rsidP="00707120">
      <w:pPr>
        <w:pStyle w:val="ListParagraph"/>
        <w:ind w:left="567" w:hanging="567"/>
        <w:rPr>
          <w:szCs w:val="22"/>
          <w:lang w:val="lv-LV"/>
        </w:rPr>
      </w:pPr>
      <w:r>
        <w:rPr>
          <w:lang w:val="nb-NO"/>
        </w:rPr>
        <w:sym w:font="Symbol" w:char="F0B7"/>
      </w:r>
      <w:r>
        <w:rPr>
          <w:lang w:val="nb-NO"/>
        </w:rPr>
        <w:tab/>
      </w:r>
      <w:r w:rsidR="00F47ADA" w:rsidRPr="00006654">
        <w:rPr>
          <w:rFonts w:eastAsia="SimSun"/>
          <w:lang w:val="lv-LV" w:eastAsia="th-TH" w:bidi="th-TH"/>
        </w:rPr>
        <w:t xml:space="preserve">benzodiazepīnus (piemēram, temazepāmu), ko lieto </w:t>
      </w:r>
      <w:r w:rsidR="00F47ADA" w:rsidRPr="00006654">
        <w:rPr>
          <w:rFonts w:eastAsia="SimSun"/>
          <w:b/>
          <w:lang w:val="lv-LV" w:eastAsia="th-TH" w:bidi="th-TH"/>
        </w:rPr>
        <w:t>trauksmes mazināšanai</w:t>
      </w:r>
      <w:r w:rsidR="00F47ADA" w:rsidRPr="00006654">
        <w:rPr>
          <w:rFonts w:eastAsia="SimSun"/>
          <w:lang w:val="lv-LV" w:eastAsia="th-TH" w:bidi="th-TH"/>
        </w:rPr>
        <w:t>.</w:t>
      </w:r>
    </w:p>
    <w:p w14:paraId="52D446B9" w14:textId="77777777" w:rsidR="00F47ADA" w:rsidRDefault="00F47ADA" w:rsidP="00F47ADA">
      <w:pPr>
        <w:ind w:right="-2"/>
        <w:rPr>
          <w:szCs w:val="22"/>
          <w:lang w:val="lv-LV"/>
        </w:rPr>
      </w:pPr>
    </w:p>
    <w:p w14:paraId="34AA1727" w14:textId="77777777" w:rsidR="00F47ADA" w:rsidRDefault="00F47ADA" w:rsidP="00F47ADA">
      <w:pPr>
        <w:ind w:right="-2"/>
        <w:rPr>
          <w:szCs w:val="22"/>
          <w:lang w:val="lv-LV"/>
        </w:rPr>
      </w:pPr>
      <w:r>
        <w:rPr>
          <w:szCs w:val="22"/>
          <w:lang w:val="lv-LV"/>
        </w:rPr>
        <w:t>Tā kā trūkst klīniskās pieredzes, RoActemra nav ieteicams lietot vienlaikus ar citām bioloģiskām zālēm, kuras izmanto RA, sJIA vai pJIA ārstēšanai.</w:t>
      </w:r>
    </w:p>
    <w:p w14:paraId="7C46F4E0" w14:textId="77777777" w:rsidR="00F47ADA" w:rsidRDefault="00F47ADA" w:rsidP="00F47ADA">
      <w:pPr>
        <w:ind w:right="-2"/>
        <w:rPr>
          <w:szCs w:val="22"/>
          <w:lang w:val="lv-LV"/>
        </w:rPr>
      </w:pPr>
    </w:p>
    <w:p w14:paraId="492D410B" w14:textId="77777777" w:rsidR="00F47ADA" w:rsidRPr="00414CE7" w:rsidRDefault="00F47ADA" w:rsidP="00F47ADA">
      <w:pPr>
        <w:keepNext/>
        <w:keepLines/>
        <w:rPr>
          <w:b/>
          <w:szCs w:val="22"/>
          <w:lang w:val="lv-LV"/>
        </w:rPr>
      </w:pPr>
      <w:r w:rsidRPr="00414CE7">
        <w:rPr>
          <w:b/>
          <w:szCs w:val="22"/>
          <w:lang w:val="lv-LV"/>
        </w:rPr>
        <w:t>Grūtniecība, barošana ar krūti un fertilitāte</w:t>
      </w:r>
    </w:p>
    <w:p w14:paraId="70632B59" w14:textId="77777777" w:rsidR="00F47ADA" w:rsidRDefault="00F47ADA" w:rsidP="00F47ADA">
      <w:pPr>
        <w:rPr>
          <w:iCs/>
          <w:szCs w:val="22"/>
          <w:lang w:val="lv-LV"/>
        </w:rPr>
      </w:pPr>
      <w:r>
        <w:rPr>
          <w:b/>
          <w:iCs/>
          <w:szCs w:val="22"/>
          <w:lang w:val="lv-LV"/>
        </w:rPr>
        <w:t>RoActemra nedrīkst lietot grūtniecības laikā</w:t>
      </w:r>
      <w:r>
        <w:rPr>
          <w:iCs/>
          <w:szCs w:val="22"/>
          <w:lang w:val="lv-LV"/>
        </w:rPr>
        <w:t xml:space="preserve">, ja vien tas nav absolūti nepieciešams. </w:t>
      </w:r>
      <w:r>
        <w:rPr>
          <w:szCs w:val="22"/>
          <w:lang w:val="lv-LV"/>
        </w:rPr>
        <w:t xml:space="preserve">Ja Jūs esat grūtniece </w:t>
      </w:r>
      <w:r w:rsidRPr="00F550E8">
        <w:rPr>
          <w:szCs w:val="22"/>
          <w:lang w:val="lv-LV"/>
        </w:rPr>
        <w:t>vai</w:t>
      </w:r>
      <w:r>
        <w:rPr>
          <w:szCs w:val="22"/>
          <w:lang w:val="lv-LV"/>
        </w:rPr>
        <w:t xml:space="preserve">, ja domājat, ka Jums varētu būt grūtniecība, vai plānojat grūtniecību, pirms šo zāļu lietošanas, </w:t>
      </w:r>
      <w:r>
        <w:rPr>
          <w:iCs/>
          <w:szCs w:val="22"/>
          <w:lang w:val="lv-LV"/>
        </w:rPr>
        <w:t xml:space="preserve">konsultējieties ar ārstu. </w:t>
      </w:r>
    </w:p>
    <w:p w14:paraId="2782D684" w14:textId="77777777" w:rsidR="00F47ADA" w:rsidRDefault="00F47ADA" w:rsidP="00F47ADA">
      <w:pPr>
        <w:rPr>
          <w:iCs/>
          <w:szCs w:val="22"/>
          <w:lang w:val="lv-LV"/>
        </w:rPr>
      </w:pPr>
    </w:p>
    <w:p w14:paraId="616C500E" w14:textId="37E6EE40" w:rsidR="00F47ADA" w:rsidRDefault="00F47ADA" w:rsidP="00F47ADA">
      <w:pPr>
        <w:rPr>
          <w:iCs/>
          <w:szCs w:val="22"/>
          <w:lang w:val="lv-LV"/>
        </w:rPr>
      </w:pPr>
      <w:r>
        <w:rPr>
          <w:b/>
          <w:bCs/>
          <w:iCs/>
          <w:szCs w:val="22"/>
          <w:lang w:val="lv-LV"/>
        </w:rPr>
        <w:t xml:space="preserve">Sievietēm </w:t>
      </w:r>
      <w:r w:rsidR="0081178F">
        <w:rPr>
          <w:b/>
          <w:bCs/>
          <w:iCs/>
          <w:szCs w:val="22"/>
          <w:lang w:val="lv-LV"/>
        </w:rPr>
        <w:t xml:space="preserve">ar </w:t>
      </w:r>
      <w:r>
        <w:rPr>
          <w:b/>
          <w:bCs/>
          <w:iCs/>
          <w:szCs w:val="22"/>
          <w:lang w:val="lv-LV"/>
        </w:rPr>
        <w:t>reproduktīv</w:t>
      </w:r>
      <w:r w:rsidR="0081178F">
        <w:rPr>
          <w:b/>
          <w:bCs/>
          <w:iCs/>
          <w:szCs w:val="22"/>
          <w:lang w:val="lv-LV"/>
        </w:rPr>
        <w:t>o potenciālu</w:t>
      </w:r>
      <w:r>
        <w:rPr>
          <w:iCs/>
          <w:szCs w:val="22"/>
          <w:lang w:val="lv-LV"/>
        </w:rPr>
        <w:t xml:space="preserve"> jālieto efektīva kontracepcijas metode ārstēšanas laikā un līdz 3</w:t>
      </w:r>
      <w:r w:rsidR="00695F1D">
        <w:rPr>
          <w:iCs/>
          <w:szCs w:val="22"/>
          <w:lang w:val="lv-LV"/>
        </w:rPr>
        <w:t> </w:t>
      </w:r>
      <w:r>
        <w:rPr>
          <w:iCs/>
          <w:szCs w:val="22"/>
          <w:lang w:val="lv-LV"/>
        </w:rPr>
        <w:t>mēnešiem pēc tās.</w:t>
      </w:r>
    </w:p>
    <w:p w14:paraId="13481B94" w14:textId="77777777" w:rsidR="00F47ADA" w:rsidRDefault="00F47ADA" w:rsidP="00F47ADA">
      <w:pPr>
        <w:rPr>
          <w:b/>
          <w:iCs/>
          <w:lang w:val="lv-LV"/>
        </w:rPr>
      </w:pPr>
    </w:p>
    <w:p w14:paraId="5056C538" w14:textId="6B1F89CF" w:rsidR="00F47ADA" w:rsidRDefault="00F47ADA" w:rsidP="00F47ADA">
      <w:pPr>
        <w:rPr>
          <w:lang w:val="lv-LV"/>
        </w:rPr>
      </w:pPr>
      <w:r>
        <w:rPr>
          <w:b/>
          <w:iCs/>
          <w:lang w:val="lv-LV"/>
        </w:rPr>
        <w:t>Ja Jums paredzēts lietot RoActemra</w:t>
      </w:r>
      <w:r>
        <w:rPr>
          <w:iCs/>
          <w:lang w:val="lv-LV"/>
        </w:rPr>
        <w:t xml:space="preserve">, </w:t>
      </w:r>
      <w:r>
        <w:rPr>
          <w:b/>
          <w:bCs/>
          <w:iCs/>
          <w:lang w:val="lv-LV"/>
        </w:rPr>
        <w:t xml:space="preserve">pārtrauciet bērna barošanu ar krūti </w:t>
      </w:r>
      <w:r>
        <w:rPr>
          <w:iCs/>
          <w:lang w:val="lv-LV"/>
        </w:rPr>
        <w:t xml:space="preserve">un konsultējieties ar ārstu. Pirms bērna barošanas ar krūti uzsākšanas ievērojiet vismaz trīs mēnešu starplaiku pēc pēdējās zāļu lietošanas reizes. </w:t>
      </w:r>
      <w:r>
        <w:rPr>
          <w:szCs w:val="21"/>
          <w:lang w:val="lv-LV"/>
        </w:rPr>
        <w:t xml:space="preserve">Vai </w:t>
      </w:r>
      <w:r>
        <w:rPr>
          <w:iCs/>
          <w:lang w:val="lv-LV"/>
        </w:rPr>
        <w:t>RoActemra</w:t>
      </w:r>
      <w:r>
        <w:rPr>
          <w:szCs w:val="21"/>
          <w:lang w:val="lv-LV"/>
        </w:rPr>
        <w:t xml:space="preserve"> izdalās mātes pienā, nav zināms.</w:t>
      </w:r>
    </w:p>
    <w:p w14:paraId="2BD8E7FC" w14:textId="77777777" w:rsidR="00F47ADA" w:rsidRDefault="00F47ADA" w:rsidP="00F47ADA">
      <w:pPr>
        <w:rPr>
          <w:lang w:val="lv-LV"/>
        </w:rPr>
      </w:pPr>
    </w:p>
    <w:p w14:paraId="3B4884F1" w14:textId="77777777" w:rsidR="00F47ADA" w:rsidRDefault="00F47ADA" w:rsidP="00F47ADA">
      <w:pPr>
        <w:ind w:right="-2"/>
        <w:rPr>
          <w:lang w:val="lv-LV"/>
        </w:rPr>
      </w:pPr>
      <w:r>
        <w:rPr>
          <w:iCs/>
          <w:lang w:val="lv-LV"/>
        </w:rPr>
        <w:t>Līdz šim pieejamie dati neliecina, ka šai ārstēšanai piemīt jebkāda ietekme uz auglību.</w:t>
      </w:r>
    </w:p>
    <w:p w14:paraId="6820D595" w14:textId="77777777" w:rsidR="00F47ADA" w:rsidRDefault="00F47ADA" w:rsidP="00F47ADA">
      <w:pPr>
        <w:rPr>
          <w:lang w:val="lv-LV"/>
        </w:rPr>
      </w:pPr>
    </w:p>
    <w:p w14:paraId="4EAEB2A2" w14:textId="77777777" w:rsidR="00F47ADA" w:rsidRPr="00414CE7" w:rsidRDefault="00F47ADA" w:rsidP="00F47ADA">
      <w:pPr>
        <w:rPr>
          <w:szCs w:val="22"/>
          <w:lang w:val="lv-LV"/>
        </w:rPr>
      </w:pPr>
      <w:r w:rsidRPr="00414CE7">
        <w:rPr>
          <w:b/>
          <w:szCs w:val="22"/>
          <w:lang w:val="lv-LV"/>
        </w:rPr>
        <w:t>Transportlīdzekļu vadīšana un mehānismu apkalpošana</w:t>
      </w:r>
    </w:p>
    <w:p w14:paraId="1F07D435" w14:textId="77777777" w:rsidR="00F47ADA" w:rsidRDefault="00F47ADA" w:rsidP="00F47ADA">
      <w:pPr>
        <w:rPr>
          <w:szCs w:val="22"/>
          <w:lang w:val="lv-LV"/>
        </w:rPr>
      </w:pPr>
      <w:r>
        <w:rPr>
          <w:lang w:val="lv-LV"/>
        </w:rPr>
        <w:t>Šīs zāles var izraisīt reiboni. Ja Jūs jūtaties apreibis, Jūs nedrīkstat vadīt transportlīdzekli vai apkalpot mehānismus.</w:t>
      </w:r>
    </w:p>
    <w:p w14:paraId="0A64C98D" w14:textId="77777777" w:rsidR="00F47ADA" w:rsidRDefault="00F47ADA" w:rsidP="00F47ADA">
      <w:pPr>
        <w:rPr>
          <w:szCs w:val="22"/>
          <w:lang w:val="lv-LV"/>
        </w:rPr>
      </w:pPr>
    </w:p>
    <w:p w14:paraId="5794E6F6" w14:textId="77777777" w:rsidR="00F47ADA" w:rsidRPr="00414CE7" w:rsidRDefault="00F47ADA" w:rsidP="00F47ADA">
      <w:pPr>
        <w:rPr>
          <w:szCs w:val="22"/>
          <w:lang w:val="lv-LV"/>
        </w:rPr>
      </w:pPr>
      <w:r w:rsidRPr="00414CE7">
        <w:rPr>
          <w:b/>
          <w:szCs w:val="22"/>
          <w:lang w:val="lv-LV"/>
        </w:rPr>
        <w:t>RoActemra satur nātriju</w:t>
      </w:r>
    </w:p>
    <w:p w14:paraId="3B673629" w14:textId="3C67AEA4" w:rsidR="00F47ADA" w:rsidRDefault="00F9009A" w:rsidP="00F47ADA">
      <w:pPr>
        <w:rPr>
          <w:szCs w:val="22"/>
          <w:lang w:val="lv-LV"/>
        </w:rPr>
      </w:pPr>
      <w:r>
        <w:rPr>
          <w:lang w:val="lv-LV"/>
        </w:rPr>
        <w:t xml:space="preserve">Pēc atšķaidīšanas ar nātrija hlorīda 0,9% šķīdumu </w:t>
      </w:r>
      <w:r>
        <w:rPr>
          <w:szCs w:val="22"/>
          <w:lang w:val="lv-LV"/>
        </w:rPr>
        <w:t>š</w:t>
      </w:r>
      <w:r w:rsidR="00F47ADA">
        <w:rPr>
          <w:szCs w:val="22"/>
          <w:lang w:val="lv-LV"/>
        </w:rPr>
        <w:t xml:space="preserve">īs zāles satur </w:t>
      </w:r>
      <w:r>
        <w:rPr>
          <w:szCs w:val="22"/>
          <w:lang w:val="lv-LV"/>
        </w:rPr>
        <w:t>230,6</w:t>
      </w:r>
      <w:r w:rsidR="00F47ADA">
        <w:rPr>
          <w:szCs w:val="22"/>
          <w:lang w:val="lv-LV"/>
        </w:rPr>
        <w:t xml:space="preserve"> mg nātrija maksimālā </w:t>
      </w:r>
      <w:r>
        <w:rPr>
          <w:szCs w:val="22"/>
          <w:lang w:val="lv-LV"/>
        </w:rPr>
        <w:t>8</w:t>
      </w:r>
      <w:r w:rsidR="00F47ADA">
        <w:rPr>
          <w:szCs w:val="22"/>
          <w:lang w:val="lv-LV"/>
        </w:rPr>
        <w:t>00 mg</w:t>
      </w:r>
      <w:r>
        <w:rPr>
          <w:szCs w:val="22"/>
          <w:lang w:val="lv-LV"/>
        </w:rPr>
        <w:t xml:space="preserve"> devā,</w:t>
      </w:r>
      <w:r w:rsidRPr="00F9009A">
        <w:rPr>
          <w:lang w:val="lv-LV"/>
        </w:rPr>
        <w:t xml:space="preserve"> kas ir līdzvērtīgi 11,5% no PVO ieteiktās maksimālās 2</w:t>
      </w:r>
      <w:r>
        <w:rPr>
          <w:lang w:val="lv-LV"/>
        </w:rPr>
        <w:t> </w:t>
      </w:r>
      <w:r w:rsidRPr="00F9009A">
        <w:rPr>
          <w:lang w:val="lv-LV"/>
        </w:rPr>
        <w:t>g nātrija devas pieaugušajiem</w:t>
      </w:r>
      <w:r w:rsidR="00F47ADA">
        <w:rPr>
          <w:szCs w:val="22"/>
          <w:lang w:val="lv-LV"/>
        </w:rPr>
        <w:t>.</w:t>
      </w:r>
    </w:p>
    <w:p w14:paraId="01959625" w14:textId="77777777" w:rsidR="00F47ADA" w:rsidRDefault="00F47ADA" w:rsidP="00F47ADA">
      <w:pPr>
        <w:rPr>
          <w:szCs w:val="22"/>
          <w:lang w:val="lv-LV"/>
        </w:rPr>
      </w:pPr>
    </w:p>
    <w:p w14:paraId="7F455BF6" w14:textId="774938B1" w:rsidR="00F9009A" w:rsidRPr="00291364" w:rsidRDefault="00F9009A" w:rsidP="00F9009A">
      <w:pPr>
        <w:rPr>
          <w:b/>
          <w:bCs/>
          <w:lang w:val="lv-LV"/>
        </w:rPr>
      </w:pPr>
      <w:r>
        <w:rPr>
          <w:b/>
          <w:bCs/>
          <w:lang w:val="lv-LV"/>
        </w:rPr>
        <w:t>RoActemra satur polisorbātu</w:t>
      </w:r>
      <w:ins w:id="1596" w:author="Author">
        <w:r w:rsidR="009B0C55">
          <w:rPr>
            <w:b/>
            <w:bCs/>
            <w:lang w:val="lv-LV"/>
          </w:rPr>
          <w:t> </w:t>
        </w:r>
        <w:r w:rsidR="00823301">
          <w:rPr>
            <w:b/>
            <w:bCs/>
            <w:lang w:val="lv-LV"/>
          </w:rPr>
          <w:t>80 (E</w:t>
        </w:r>
        <w:r w:rsidR="009B0C55">
          <w:rPr>
            <w:b/>
            <w:bCs/>
            <w:lang w:val="lv-LV"/>
          </w:rPr>
          <w:t> </w:t>
        </w:r>
        <w:r w:rsidR="00823301">
          <w:rPr>
            <w:b/>
            <w:bCs/>
            <w:lang w:val="lv-LV"/>
          </w:rPr>
          <w:t>433)</w:t>
        </w:r>
      </w:ins>
    </w:p>
    <w:p w14:paraId="22E5D81E" w14:textId="096C1638" w:rsidR="00F9009A" w:rsidRPr="000B238A" w:rsidRDefault="00F9009A" w:rsidP="00F9009A">
      <w:pPr>
        <w:rPr>
          <w:lang w:val="lv-LV"/>
        </w:rPr>
      </w:pPr>
      <w:r>
        <w:rPr>
          <w:lang w:val="lv-LV"/>
        </w:rPr>
        <w:t>Šīs zāles satur 5 mg polisorbāta 80 katrā 200 mg/10 ml flakonā, 10 mg polisorbāta 80 katrā 400 mg/200 ml flakonā un 2 mg polisorbāta 80 katrā 80 mg/4 ml flakonā</w:t>
      </w:r>
      <w:r w:rsidR="009175DD">
        <w:rPr>
          <w:lang w:val="lv-LV"/>
        </w:rPr>
        <w:t>, kas ir līdzvērtīgi</w:t>
      </w:r>
      <w:r>
        <w:rPr>
          <w:lang w:val="lv-LV"/>
        </w:rPr>
        <w:t xml:space="preserve"> 0,5 mg/ml. Polisorbāti var izraisīt alerģiskas reakcijas. Pastāstiet ārstam, ja Jums vai Jūsu bērnam ir kāda zināma alerģija.</w:t>
      </w:r>
    </w:p>
    <w:p w14:paraId="62ADB559" w14:textId="77777777" w:rsidR="00F47ADA" w:rsidRDefault="00F47ADA" w:rsidP="00F47ADA">
      <w:pPr>
        <w:ind w:right="-2"/>
        <w:rPr>
          <w:szCs w:val="22"/>
          <w:lang w:val="lv-LV"/>
        </w:rPr>
      </w:pPr>
    </w:p>
    <w:p w14:paraId="21D887E8" w14:textId="6A8B839E" w:rsidR="00D3064E" w:rsidRDefault="00D3064E" w:rsidP="00F47ADA">
      <w:pPr>
        <w:ind w:right="-2"/>
        <w:rPr>
          <w:szCs w:val="22"/>
          <w:lang w:val="lv-LV"/>
        </w:rPr>
      </w:pPr>
    </w:p>
    <w:p w14:paraId="3D13021B" w14:textId="77777777" w:rsidR="00F47ADA" w:rsidRPr="00980DD8" w:rsidRDefault="00F47ADA" w:rsidP="00F47ADA">
      <w:pPr>
        <w:keepNext/>
        <w:keepLines/>
        <w:ind w:left="567" w:right="-2" w:hanging="567"/>
        <w:rPr>
          <w:b/>
          <w:szCs w:val="22"/>
          <w:lang w:val="lv-LV"/>
        </w:rPr>
      </w:pPr>
      <w:r w:rsidRPr="00980DD8">
        <w:rPr>
          <w:b/>
          <w:szCs w:val="22"/>
          <w:lang w:val="lv-LV"/>
        </w:rPr>
        <w:t>3.</w:t>
      </w:r>
      <w:r w:rsidRPr="00980DD8">
        <w:rPr>
          <w:b/>
          <w:szCs w:val="22"/>
          <w:lang w:val="lv-LV"/>
        </w:rPr>
        <w:tab/>
        <w:t>Kā lietot RoActemra</w:t>
      </w:r>
    </w:p>
    <w:p w14:paraId="1D44A4E5" w14:textId="77777777" w:rsidR="00F47ADA" w:rsidRDefault="00F47ADA" w:rsidP="00F47ADA">
      <w:pPr>
        <w:keepNext/>
        <w:keepLines/>
        <w:ind w:left="567" w:right="-2" w:hanging="567"/>
        <w:rPr>
          <w:b/>
          <w:szCs w:val="22"/>
          <w:lang w:val="lv-LV"/>
        </w:rPr>
      </w:pPr>
    </w:p>
    <w:p w14:paraId="6D76ABEC" w14:textId="77777777" w:rsidR="00F47ADA" w:rsidRDefault="00F47ADA" w:rsidP="00F47ADA">
      <w:pPr>
        <w:keepNext/>
        <w:keepLines/>
        <w:ind w:left="567" w:right="-2" w:hanging="567"/>
        <w:rPr>
          <w:lang w:val="lv-LV"/>
        </w:rPr>
      </w:pPr>
      <w:r>
        <w:rPr>
          <w:lang w:val="lv-LV"/>
        </w:rPr>
        <w:t>Šīs ir zāles ar parakstīšanas ierobežojumiem, kuras izraksta Jūsu ārsts.</w:t>
      </w:r>
    </w:p>
    <w:p w14:paraId="7CAE688E" w14:textId="77777777" w:rsidR="00F47ADA" w:rsidRDefault="00F47ADA" w:rsidP="00F47ADA">
      <w:pPr>
        <w:keepNext/>
        <w:keepLines/>
        <w:ind w:left="567" w:right="-2" w:hanging="567"/>
        <w:rPr>
          <w:b/>
          <w:szCs w:val="22"/>
          <w:lang w:val="lv-LV"/>
        </w:rPr>
      </w:pPr>
    </w:p>
    <w:p w14:paraId="49EDF81C" w14:textId="77777777" w:rsidR="00F47ADA" w:rsidRDefault="00F47ADA" w:rsidP="00F47ADA">
      <w:pPr>
        <w:keepNext/>
        <w:keepLines/>
        <w:rPr>
          <w:lang w:val="lv-LV"/>
        </w:rPr>
      </w:pPr>
      <w:r w:rsidRPr="00F550E8">
        <w:rPr>
          <w:lang w:val="lv-LV"/>
        </w:rPr>
        <w:t xml:space="preserve">RoActemra Jums ievadīs </w:t>
      </w:r>
      <w:r w:rsidRPr="00F550E8">
        <w:rPr>
          <w:b/>
          <w:lang w:val="lv-LV"/>
        </w:rPr>
        <w:t>ārsts v</w:t>
      </w:r>
      <w:r>
        <w:rPr>
          <w:b/>
          <w:lang w:val="lv-LV"/>
        </w:rPr>
        <w:t xml:space="preserve">ai medmāsa, pilinot vēnā. </w:t>
      </w:r>
      <w:r w:rsidRPr="00F550E8">
        <w:rPr>
          <w:lang w:val="lv-LV"/>
        </w:rPr>
        <w:t>Viņi atšķaidīs šķīdumu, sagatavos intravenozu infūziju un uzraudzīs Jūs ārstēšanas laikā un pēc tam.</w:t>
      </w:r>
    </w:p>
    <w:p w14:paraId="495432FF" w14:textId="77777777" w:rsidR="00F47ADA" w:rsidRDefault="00F47ADA">
      <w:pPr>
        <w:rPr>
          <w:lang w:val="lv-LV"/>
        </w:rPr>
        <w:pPrChange w:id="1597" w:author="Author">
          <w:pPr>
            <w:keepNext/>
            <w:keepLines/>
          </w:pPr>
        </w:pPrChange>
      </w:pPr>
    </w:p>
    <w:p w14:paraId="3E353EE6" w14:textId="77777777" w:rsidR="00F47ADA" w:rsidRPr="00707120" w:rsidRDefault="00F47ADA" w:rsidP="00F47ADA">
      <w:pPr>
        <w:keepNext/>
        <w:keepLines/>
        <w:rPr>
          <w:szCs w:val="22"/>
          <w:lang w:val="lv-LV"/>
        </w:rPr>
      </w:pPr>
      <w:r w:rsidRPr="00707120">
        <w:rPr>
          <w:b/>
          <w:szCs w:val="22"/>
          <w:lang w:val="lv-LV"/>
        </w:rPr>
        <w:t>Pieauguši pacienti ar RA</w:t>
      </w:r>
    </w:p>
    <w:p w14:paraId="1BBAC45D" w14:textId="77777777" w:rsidR="00F47ADA" w:rsidRDefault="00F47ADA" w:rsidP="00F47ADA">
      <w:pPr>
        <w:rPr>
          <w:lang w:val="lv-LV"/>
        </w:rPr>
      </w:pPr>
      <w:r>
        <w:rPr>
          <w:lang w:val="lv-LV"/>
        </w:rPr>
        <w:t>Parastā RoActemra deva 8 mg uz kg ķermeņa masas. Atkarībā no Jūsu atbildes reakcijas ārsts var samazināt devu līdz 4 mg/kg un pēc tam, kad tas ir iespējams, to atkal palielināt līdz 8 mg/kg.</w:t>
      </w:r>
    </w:p>
    <w:p w14:paraId="670BF036" w14:textId="77777777" w:rsidR="00F47ADA" w:rsidRDefault="00F47ADA" w:rsidP="00F47ADA">
      <w:pPr>
        <w:rPr>
          <w:lang w:val="lv-LV"/>
        </w:rPr>
      </w:pPr>
    </w:p>
    <w:p w14:paraId="500B2BF2" w14:textId="70A3927B" w:rsidR="00F47ADA" w:rsidRDefault="00F47ADA" w:rsidP="00F47ADA">
      <w:pPr>
        <w:rPr>
          <w:lang w:val="lv-LV"/>
        </w:rPr>
      </w:pPr>
      <w:r>
        <w:rPr>
          <w:lang w:val="lv-LV"/>
        </w:rPr>
        <w:t>Pieaugušajiem RoActemra ievadīs reizi 4 nedēļās, 1 stundu ilgas pilienu injekcijas vēnā (intravenozas infūzijas) veidā.</w:t>
      </w:r>
    </w:p>
    <w:p w14:paraId="57A1C512" w14:textId="77777777" w:rsidR="00F47ADA" w:rsidRDefault="00F47ADA" w:rsidP="00F47ADA">
      <w:pPr>
        <w:rPr>
          <w:lang w:val="lv-LV"/>
        </w:rPr>
      </w:pPr>
    </w:p>
    <w:p w14:paraId="74121B6D" w14:textId="4E376EC5" w:rsidR="00F47ADA" w:rsidRPr="0017296D" w:rsidRDefault="00F47ADA" w:rsidP="00707120">
      <w:pPr>
        <w:keepNext/>
        <w:rPr>
          <w:szCs w:val="22"/>
          <w:lang w:val="lv-LV"/>
        </w:rPr>
      </w:pPr>
      <w:r w:rsidRPr="00707120">
        <w:rPr>
          <w:b/>
          <w:bCs/>
          <w:szCs w:val="22"/>
          <w:lang w:val="lv-LV"/>
        </w:rPr>
        <w:t>Bērni ar sJIA (no 2</w:t>
      </w:r>
      <w:r w:rsidR="00C4507B">
        <w:rPr>
          <w:b/>
          <w:bCs/>
          <w:szCs w:val="22"/>
          <w:lang w:val="lv-LV"/>
        </w:rPr>
        <w:t> </w:t>
      </w:r>
      <w:r w:rsidRPr="00707120">
        <w:rPr>
          <w:b/>
          <w:bCs/>
          <w:szCs w:val="22"/>
          <w:lang w:val="lv-LV"/>
        </w:rPr>
        <w:t>gadu vecuma)</w:t>
      </w:r>
    </w:p>
    <w:p w14:paraId="75B32745" w14:textId="77777777" w:rsidR="00F47ADA" w:rsidRDefault="00F47ADA" w:rsidP="00F47ADA">
      <w:pPr>
        <w:rPr>
          <w:rFonts w:ascii="Symbol" w:hAnsi="Symbol" w:cs="Symbol"/>
          <w:szCs w:val="22"/>
          <w:lang w:val="lv-LV"/>
        </w:rPr>
      </w:pPr>
      <w:r>
        <w:rPr>
          <w:szCs w:val="22"/>
          <w:lang w:val="lv-LV"/>
        </w:rPr>
        <w:t>Parastā RoActemra deva ir atkarīga no Jūsu ķermeņa masas.</w:t>
      </w:r>
    </w:p>
    <w:p w14:paraId="74F679E0" w14:textId="2CDD36DE" w:rsidR="00F47ADA" w:rsidRPr="00707120" w:rsidRDefault="006334B7" w:rsidP="00707120">
      <w:pPr>
        <w:pStyle w:val="ListParagraph"/>
        <w:ind w:left="567" w:hanging="567"/>
        <w:rPr>
          <w:szCs w:val="22"/>
          <w:lang w:val="lv-LV"/>
        </w:rPr>
      </w:pPr>
      <w:r>
        <w:rPr>
          <w:lang w:val="nb-NO"/>
        </w:rPr>
        <w:sym w:font="Symbol" w:char="F0B7"/>
      </w:r>
      <w:r>
        <w:rPr>
          <w:lang w:val="nb-NO"/>
        </w:rPr>
        <w:tab/>
      </w:r>
      <w:r w:rsidR="00F47ADA" w:rsidRPr="00A75D33">
        <w:rPr>
          <w:szCs w:val="22"/>
          <w:lang w:val="lv-LV"/>
        </w:rPr>
        <w:t xml:space="preserve">Ja Jūs sverat mazāk par 30 kg: </w:t>
      </w:r>
      <w:r w:rsidR="00F47ADA" w:rsidRPr="00707120">
        <w:rPr>
          <w:b/>
          <w:bCs/>
          <w:szCs w:val="22"/>
          <w:lang w:val="lv-LV"/>
        </w:rPr>
        <w:t>deva ir 12 mg uz katru kilogramu ķermeņa masas.</w:t>
      </w:r>
    </w:p>
    <w:p w14:paraId="2EAE714D" w14:textId="244FC236" w:rsidR="00F47ADA" w:rsidRPr="00A75D33" w:rsidRDefault="006334B7" w:rsidP="00707120">
      <w:pPr>
        <w:pStyle w:val="ListParagraph"/>
        <w:ind w:left="567" w:hanging="567"/>
        <w:rPr>
          <w:szCs w:val="22"/>
          <w:lang w:val="lv-LV"/>
        </w:rPr>
      </w:pPr>
      <w:r>
        <w:rPr>
          <w:lang w:val="nb-NO"/>
        </w:rPr>
        <w:sym w:font="Symbol" w:char="F0B7"/>
      </w:r>
      <w:r>
        <w:rPr>
          <w:lang w:val="nb-NO"/>
        </w:rPr>
        <w:tab/>
      </w:r>
      <w:r w:rsidR="00F47ADA" w:rsidRPr="00A75D33">
        <w:rPr>
          <w:szCs w:val="22"/>
          <w:lang w:val="lv-LV"/>
        </w:rPr>
        <w:t xml:space="preserve">Ja Jūs sverat 30 kg vai vairāk, deva ir </w:t>
      </w:r>
      <w:r w:rsidR="00F47ADA" w:rsidRPr="00A75D33">
        <w:rPr>
          <w:b/>
          <w:bCs/>
          <w:szCs w:val="22"/>
          <w:lang w:val="lv-LV"/>
        </w:rPr>
        <w:t>8 mg uz katru kilogramu ķermeņa masas</w:t>
      </w:r>
      <w:r w:rsidR="00F47ADA" w:rsidRPr="00A75D33">
        <w:rPr>
          <w:szCs w:val="22"/>
          <w:lang w:val="lv-LV"/>
        </w:rPr>
        <w:t>.</w:t>
      </w:r>
    </w:p>
    <w:p w14:paraId="753D523D" w14:textId="77777777" w:rsidR="00F47ADA" w:rsidRDefault="00F47ADA" w:rsidP="00F47ADA">
      <w:pPr>
        <w:rPr>
          <w:szCs w:val="22"/>
          <w:lang w:val="lv-LV"/>
        </w:rPr>
      </w:pPr>
      <w:r>
        <w:rPr>
          <w:szCs w:val="22"/>
          <w:lang w:val="lv-LV"/>
        </w:rPr>
        <w:t xml:space="preserve">Devu pēc Jūsu ķermeņa masas aprēķina pirms katras ievadīšanas. </w:t>
      </w:r>
    </w:p>
    <w:p w14:paraId="4C88E200" w14:textId="77777777" w:rsidR="00F47ADA" w:rsidRDefault="00F47ADA" w:rsidP="00F47ADA">
      <w:pPr>
        <w:rPr>
          <w:szCs w:val="22"/>
          <w:lang w:val="lv-LV"/>
        </w:rPr>
      </w:pPr>
    </w:p>
    <w:p w14:paraId="3A52ECF2" w14:textId="2B73F190" w:rsidR="00F47ADA" w:rsidRDefault="00F47ADA" w:rsidP="00F47ADA">
      <w:pPr>
        <w:rPr>
          <w:lang w:val="lv-LV"/>
        </w:rPr>
      </w:pPr>
      <w:r>
        <w:rPr>
          <w:szCs w:val="22"/>
          <w:lang w:val="lv-LV"/>
        </w:rPr>
        <w:t xml:space="preserve">Bērniem ar sJIA RoActemra ievadīs reizi 2 nedēļās, </w:t>
      </w:r>
      <w:r>
        <w:rPr>
          <w:lang w:val="lv-LV"/>
        </w:rPr>
        <w:t>1</w:t>
      </w:r>
      <w:r w:rsidR="00672A23">
        <w:rPr>
          <w:lang w:val="lv-LV"/>
        </w:rPr>
        <w:t> </w:t>
      </w:r>
      <w:r>
        <w:rPr>
          <w:lang w:val="lv-LV"/>
        </w:rPr>
        <w:t>stundu ilgas pilienu injekcijas vēnā (intravenozas infūzijas) veidā.</w:t>
      </w:r>
      <w:r>
        <w:rPr>
          <w:szCs w:val="22"/>
          <w:lang w:val="lv-LV"/>
        </w:rPr>
        <w:t>.</w:t>
      </w:r>
    </w:p>
    <w:p w14:paraId="1A58DCAE" w14:textId="77777777" w:rsidR="00F47ADA" w:rsidRDefault="00F47ADA" w:rsidP="00F47ADA">
      <w:pPr>
        <w:rPr>
          <w:lang w:val="lv-LV"/>
        </w:rPr>
      </w:pPr>
    </w:p>
    <w:p w14:paraId="5E16ADBD" w14:textId="1A06F469" w:rsidR="00F47ADA" w:rsidRPr="00A75D33" w:rsidRDefault="00F47ADA" w:rsidP="00707120">
      <w:pPr>
        <w:keepNext/>
        <w:rPr>
          <w:szCs w:val="22"/>
          <w:lang w:val="lv-LV"/>
        </w:rPr>
      </w:pPr>
      <w:r w:rsidRPr="00707120">
        <w:rPr>
          <w:b/>
          <w:bCs/>
          <w:szCs w:val="22"/>
          <w:lang w:val="lv-LV"/>
        </w:rPr>
        <w:t>Bērni ar pJIA (no 2</w:t>
      </w:r>
      <w:r w:rsidR="00695F1D">
        <w:rPr>
          <w:b/>
          <w:bCs/>
          <w:szCs w:val="22"/>
          <w:lang w:val="lv-LV"/>
        </w:rPr>
        <w:t> </w:t>
      </w:r>
      <w:r w:rsidRPr="00707120">
        <w:rPr>
          <w:b/>
          <w:bCs/>
          <w:szCs w:val="22"/>
          <w:lang w:val="lv-LV"/>
        </w:rPr>
        <w:t>gadu vecuma)</w:t>
      </w:r>
    </w:p>
    <w:p w14:paraId="27142426" w14:textId="77777777" w:rsidR="00F47ADA" w:rsidRDefault="00F47ADA" w:rsidP="00F47ADA">
      <w:pPr>
        <w:ind w:left="720" w:hanging="720"/>
        <w:rPr>
          <w:rFonts w:ascii="Symbol" w:hAnsi="Symbol" w:cs="Symbol"/>
          <w:szCs w:val="22"/>
          <w:lang w:val="lv-LV"/>
        </w:rPr>
      </w:pPr>
      <w:r>
        <w:rPr>
          <w:szCs w:val="22"/>
          <w:lang w:val="lv-LV"/>
        </w:rPr>
        <w:t xml:space="preserve">Parastā RoActemra deva ir atkarīga no Jūsu ķermeņa masas. </w:t>
      </w:r>
    </w:p>
    <w:p w14:paraId="4ABB7C47" w14:textId="4D134F56" w:rsidR="00F47ADA" w:rsidRPr="00707120" w:rsidRDefault="006334B7" w:rsidP="00707120">
      <w:pPr>
        <w:pStyle w:val="ListParagraph"/>
        <w:ind w:left="567" w:hanging="567"/>
        <w:rPr>
          <w:szCs w:val="22"/>
          <w:lang w:val="lv-LV"/>
        </w:rPr>
      </w:pPr>
      <w:r>
        <w:rPr>
          <w:lang w:val="nb-NO"/>
        </w:rPr>
        <w:sym w:font="Symbol" w:char="F0B7"/>
      </w:r>
      <w:r>
        <w:rPr>
          <w:lang w:val="nb-NO"/>
        </w:rPr>
        <w:tab/>
      </w:r>
      <w:r w:rsidR="00F47ADA" w:rsidRPr="00A75D33">
        <w:rPr>
          <w:szCs w:val="22"/>
          <w:lang w:val="lv-LV"/>
        </w:rPr>
        <w:t xml:space="preserve">Ja Jūs sverat mazāk par 30 kg: </w:t>
      </w:r>
      <w:r w:rsidR="00F47ADA" w:rsidRPr="00A75D33">
        <w:rPr>
          <w:bCs/>
          <w:szCs w:val="22"/>
          <w:lang w:val="lv-LV"/>
        </w:rPr>
        <w:t xml:space="preserve">deva ir </w:t>
      </w:r>
      <w:r w:rsidR="00F47ADA" w:rsidRPr="00A75D33">
        <w:rPr>
          <w:b/>
          <w:szCs w:val="22"/>
          <w:lang w:val="lv-LV"/>
        </w:rPr>
        <w:t>10 mg uz katru kilogramu ķermeņa masas</w:t>
      </w:r>
      <w:r w:rsidR="00F47ADA" w:rsidRPr="00A75D33">
        <w:rPr>
          <w:bCs/>
          <w:szCs w:val="22"/>
          <w:lang w:val="lv-LV"/>
        </w:rPr>
        <w:t>.</w:t>
      </w:r>
    </w:p>
    <w:p w14:paraId="159B8BA8" w14:textId="7AE85353" w:rsidR="00F47ADA" w:rsidRPr="00A75D33" w:rsidRDefault="006334B7" w:rsidP="00707120">
      <w:pPr>
        <w:pStyle w:val="ListParagraph"/>
        <w:ind w:left="567" w:hanging="567"/>
        <w:rPr>
          <w:szCs w:val="22"/>
          <w:lang w:val="lv-LV"/>
        </w:rPr>
      </w:pPr>
      <w:r>
        <w:rPr>
          <w:lang w:val="nb-NO"/>
        </w:rPr>
        <w:sym w:font="Symbol" w:char="F0B7"/>
      </w:r>
      <w:r>
        <w:rPr>
          <w:lang w:val="nb-NO"/>
        </w:rPr>
        <w:tab/>
      </w:r>
      <w:r w:rsidR="00F47ADA" w:rsidRPr="00A75D33">
        <w:rPr>
          <w:szCs w:val="22"/>
          <w:lang w:val="lv-LV"/>
        </w:rPr>
        <w:t xml:space="preserve">Ja Jūs sverat 30 kg vai vairāk, deva ir </w:t>
      </w:r>
      <w:r w:rsidR="00F47ADA" w:rsidRPr="00A75D33">
        <w:rPr>
          <w:b/>
          <w:szCs w:val="22"/>
          <w:lang w:val="lv-LV"/>
        </w:rPr>
        <w:t>8 mg uz katru kilogramu ķermeņa masas</w:t>
      </w:r>
      <w:r w:rsidR="00F47ADA" w:rsidRPr="00A75D33">
        <w:rPr>
          <w:szCs w:val="22"/>
          <w:lang w:val="lv-LV"/>
        </w:rPr>
        <w:t>.</w:t>
      </w:r>
    </w:p>
    <w:p w14:paraId="0B497A09" w14:textId="77777777" w:rsidR="00F47ADA" w:rsidRDefault="00F47ADA" w:rsidP="00F47ADA">
      <w:pPr>
        <w:rPr>
          <w:szCs w:val="22"/>
          <w:lang w:val="lv-LV"/>
        </w:rPr>
      </w:pPr>
      <w:r>
        <w:rPr>
          <w:szCs w:val="22"/>
          <w:lang w:val="lv-LV"/>
        </w:rPr>
        <w:t xml:space="preserve">Devu pēc Jūsu ķermeņa masas aprēķina pirms katras ievadīšanas. </w:t>
      </w:r>
    </w:p>
    <w:p w14:paraId="1CDB621F" w14:textId="77777777" w:rsidR="00F47ADA" w:rsidRDefault="00F47ADA" w:rsidP="00F47ADA">
      <w:pPr>
        <w:rPr>
          <w:szCs w:val="22"/>
          <w:lang w:val="lv-LV"/>
        </w:rPr>
      </w:pPr>
    </w:p>
    <w:p w14:paraId="274FF13E" w14:textId="014A4F4B" w:rsidR="00F47ADA" w:rsidRDefault="00F47ADA" w:rsidP="00F47ADA">
      <w:pPr>
        <w:rPr>
          <w:lang w:val="lv-LV"/>
        </w:rPr>
      </w:pPr>
      <w:r>
        <w:rPr>
          <w:szCs w:val="22"/>
          <w:lang w:val="lv-LV"/>
        </w:rPr>
        <w:t>Bērniem ar pJIA RoActemra ievadīs reizi 4</w:t>
      </w:r>
      <w:r w:rsidR="00695F1D">
        <w:rPr>
          <w:szCs w:val="22"/>
          <w:lang w:val="lv-LV"/>
        </w:rPr>
        <w:t> </w:t>
      </w:r>
      <w:r>
        <w:rPr>
          <w:szCs w:val="22"/>
          <w:lang w:val="lv-LV"/>
        </w:rPr>
        <w:t xml:space="preserve">nedēļās, </w:t>
      </w:r>
      <w:r>
        <w:rPr>
          <w:lang w:val="lv-LV"/>
        </w:rPr>
        <w:t>1</w:t>
      </w:r>
      <w:r w:rsidR="00695F1D">
        <w:rPr>
          <w:lang w:val="lv-LV"/>
        </w:rPr>
        <w:t> </w:t>
      </w:r>
      <w:r>
        <w:rPr>
          <w:lang w:val="lv-LV"/>
        </w:rPr>
        <w:t>stundu ilgas pilienu injekcijas vēnā (intravenozas infūzijas) veidā.</w:t>
      </w:r>
    </w:p>
    <w:p w14:paraId="40E690EB" w14:textId="77777777" w:rsidR="00F47ADA" w:rsidRDefault="00F47ADA" w:rsidP="00F47ADA">
      <w:pPr>
        <w:rPr>
          <w:lang w:val="lv-LV"/>
        </w:rPr>
      </w:pPr>
    </w:p>
    <w:p w14:paraId="68526674" w14:textId="77777777" w:rsidR="00F47ADA" w:rsidRPr="00385B1F" w:rsidRDefault="00F47ADA" w:rsidP="00707120">
      <w:pPr>
        <w:keepNext/>
        <w:rPr>
          <w:b/>
          <w:szCs w:val="22"/>
          <w:lang w:val="lv-LV"/>
        </w:rPr>
      </w:pPr>
      <w:r w:rsidRPr="00385B1F">
        <w:rPr>
          <w:b/>
          <w:szCs w:val="22"/>
          <w:lang w:val="lv-LV"/>
        </w:rPr>
        <w:t>Pacienti ar CRS</w:t>
      </w:r>
    </w:p>
    <w:p w14:paraId="3C315D3D" w14:textId="77777777" w:rsidR="00F47ADA" w:rsidRPr="00385B1F" w:rsidRDefault="00F47ADA" w:rsidP="00F47ADA">
      <w:pPr>
        <w:rPr>
          <w:lang w:val="lv-LV"/>
        </w:rPr>
      </w:pPr>
      <w:r w:rsidRPr="00385B1F">
        <w:rPr>
          <w:lang w:val="lv-LV"/>
        </w:rPr>
        <w:t xml:space="preserve">Parastā RoActemra deva ir </w:t>
      </w:r>
      <w:r w:rsidRPr="00385B1F">
        <w:rPr>
          <w:b/>
          <w:lang w:val="lv-LV"/>
        </w:rPr>
        <w:t>8 mg uz katru kg ķermeņa masas, ja Jūs sverat 30 kg vai vairāk</w:t>
      </w:r>
      <w:r w:rsidRPr="00385B1F">
        <w:rPr>
          <w:lang w:val="lv-LV"/>
        </w:rPr>
        <w:t xml:space="preserve">. </w:t>
      </w:r>
    </w:p>
    <w:p w14:paraId="4CD2B29E" w14:textId="77777777" w:rsidR="00F47ADA" w:rsidRPr="00385B1F" w:rsidRDefault="00F47ADA" w:rsidP="00F47ADA">
      <w:pPr>
        <w:rPr>
          <w:lang w:val="lv-LV"/>
        </w:rPr>
      </w:pPr>
      <w:r w:rsidRPr="00385B1F">
        <w:rPr>
          <w:lang w:val="lv-LV"/>
        </w:rPr>
        <w:t xml:space="preserve">Deva ir </w:t>
      </w:r>
      <w:r w:rsidRPr="00385B1F">
        <w:rPr>
          <w:b/>
          <w:lang w:val="lv-LV"/>
        </w:rPr>
        <w:t>12 mg uz katru kg ķermeņa masas, ja Jūs sverat mazāk nekā 30 kg</w:t>
      </w:r>
      <w:r w:rsidRPr="00385B1F">
        <w:rPr>
          <w:lang w:val="lv-LV"/>
        </w:rPr>
        <w:t xml:space="preserve">. </w:t>
      </w:r>
    </w:p>
    <w:p w14:paraId="4A1B3FD9" w14:textId="77777777" w:rsidR="00F47ADA" w:rsidRDefault="00F47ADA" w:rsidP="00F47ADA">
      <w:pPr>
        <w:rPr>
          <w:lang w:val="lv-LV"/>
        </w:rPr>
      </w:pPr>
      <w:r w:rsidRPr="00E1075D">
        <w:rPr>
          <w:lang w:val="lv-LV"/>
        </w:rPr>
        <w:t xml:space="preserve">RoActemra var lietot vienu pašu vai kombinācijā ar kortikosteroīdiem. </w:t>
      </w:r>
    </w:p>
    <w:p w14:paraId="126D499E" w14:textId="77777777" w:rsidR="00F47ADA" w:rsidRPr="00E1075D" w:rsidRDefault="00F47ADA" w:rsidP="00F47ADA">
      <w:pPr>
        <w:rPr>
          <w:lang w:val="lv-LV"/>
        </w:rPr>
      </w:pPr>
    </w:p>
    <w:p w14:paraId="05ADE774" w14:textId="1AD0903E" w:rsidR="00F47ADA" w:rsidRPr="0018021A" w:rsidRDefault="00F47ADA" w:rsidP="00707120">
      <w:pPr>
        <w:pStyle w:val="Standard1"/>
        <w:keepNext/>
        <w:rPr>
          <w:b/>
          <w:szCs w:val="22"/>
        </w:rPr>
      </w:pPr>
      <w:r>
        <w:rPr>
          <w:b/>
          <w:szCs w:val="22"/>
        </w:rPr>
        <w:t>Pacienti ar COVID</w:t>
      </w:r>
      <w:r>
        <w:rPr>
          <w:b/>
          <w:szCs w:val="22"/>
        </w:rPr>
        <w:noBreakHyphen/>
        <w:t>19</w:t>
      </w:r>
    </w:p>
    <w:p w14:paraId="7B94F154" w14:textId="77777777" w:rsidR="00F47ADA" w:rsidRPr="0018021A" w:rsidRDefault="00F47ADA" w:rsidP="00F47ADA">
      <w:pPr>
        <w:pStyle w:val="Standard1"/>
        <w:rPr>
          <w:szCs w:val="22"/>
        </w:rPr>
      </w:pPr>
      <w:r>
        <w:t xml:space="preserve">RoActemra parastā deva ir </w:t>
      </w:r>
      <w:r>
        <w:rPr>
          <w:b/>
          <w:szCs w:val="22"/>
        </w:rPr>
        <w:t>8 mg uz vienu ķermeņa masas kilogramu.</w:t>
      </w:r>
      <w:r>
        <w:t xml:space="preserve"> Var būt nepieciešama otrā deva. </w:t>
      </w:r>
    </w:p>
    <w:p w14:paraId="1BFB1975" w14:textId="77777777" w:rsidR="00F47ADA" w:rsidRDefault="00F47ADA" w:rsidP="00F47ADA">
      <w:pPr>
        <w:rPr>
          <w:lang w:val="lv-LV"/>
        </w:rPr>
      </w:pPr>
    </w:p>
    <w:p w14:paraId="0B0C4D63" w14:textId="77777777" w:rsidR="00F47ADA" w:rsidRPr="002A00FE" w:rsidRDefault="00F47ADA" w:rsidP="00707120">
      <w:pPr>
        <w:keepNext/>
        <w:ind w:right="-2"/>
        <w:rPr>
          <w:szCs w:val="22"/>
          <w:lang w:val="lv-LV"/>
        </w:rPr>
      </w:pPr>
      <w:r w:rsidRPr="002A00FE">
        <w:rPr>
          <w:b/>
          <w:szCs w:val="22"/>
          <w:lang w:val="lv-LV"/>
        </w:rPr>
        <w:t>Ja Jums ir ievadīts vairāk RoActemra</w:t>
      </w:r>
      <w:r>
        <w:rPr>
          <w:b/>
          <w:szCs w:val="22"/>
          <w:lang w:val="lv-LV"/>
        </w:rPr>
        <w:t>,</w:t>
      </w:r>
      <w:r w:rsidRPr="002A00FE">
        <w:rPr>
          <w:b/>
          <w:szCs w:val="22"/>
          <w:lang w:val="lv-LV"/>
        </w:rPr>
        <w:t xml:space="preserve"> nekā noteikts</w:t>
      </w:r>
    </w:p>
    <w:p w14:paraId="7201850F" w14:textId="77777777" w:rsidR="00F47ADA" w:rsidRDefault="00F47ADA" w:rsidP="00F47ADA">
      <w:pPr>
        <w:ind w:right="-2"/>
        <w:rPr>
          <w:szCs w:val="22"/>
          <w:lang w:val="lv-LV"/>
        </w:rPr>
      </w:pPr>
      <w:r>
        <w:rPr>
          <w:szCs w:val="22"/>
          <w:lang w:val="lv-LV"/>
        </w:rPr>
        <w:t>Tā kā RoActemra ievada ārsts vai medicīnas māsa, maz ticams, ka Jums tiks ievadīta pārāk liela deva. Taču, ja Jūs raizējaties, konsultējieties ar savu ārstu.</w:t>
      </w:r>
    </w:p>
    <w:p w14:paraId="3F5A9632" w14:textId="77777777" w:rsidR="00F47ADA" w:rsidRDefault="00F47ADA" w:rsidP="00F47ADA">
      <w:pPr>
        <w:ind w:right="-2"/>
        <w:rPr>
          <w:szCs w:val="22"/>
          <w:lang w:val="lv-LV"/>
        </w:rPr>
      </w:pPr>
    </w:p>
    <w:p w14:paraId="1140DED9" w14:textId="77777777" w:rsidR="00F47ADA" w:rsidRPr="002A00FE" w:rsidRDefault="00F47ADA" w:rsidP="00707120">
      <w:pPr>
        <w:keepNext/>
        <w:ind w:right="-2"/>
        <w:rPr>
          <w:szCs w:val="22"/>
          <w:lang w:val="lv-LV"/>
        </w:rPr>
      </w:pPr>
      <w:r w:rsidRPr="002A00FE">
        <w:rPr>
          <w:b/>
          <w:szCs w:val="22"/>
          <w:lang w:val="lv-LV"/>
        </w:rPr>
        <w:t>Ja Jums ir izlaista viena RoActemra deva</w:t>
      </w:r>
    </w:p>
    <w:p w14:paraId="00B1E6C7" w14:textId="77777777" w:rsidR="00F47ADA" w:rsidRDefault="00F47ADA" w:rsidP="00F47ADA">
      <w:pPr>
        <w:ind w:right="-2"/>
        <w:rPr>
          <w:szCs w:val="22"/>
          <w:lang w:val="lv-LV"/>
        </w:rPr>
      </w:pPr>
      <w:r>
        <w:rPr>
          <w:szCs w:val="22"/>
          <w:lang w:val="lv-LV"/>
        </w:rPr>
        <w:t>Tā kā RoActemra ievada ārsts vai medicīnas māsa, maz ticams, ka Jūs izlaidīsit devu. Taču, ja Jūs raizējaties, konsultējieties ar savu ārstu vai medmāsu.</w:t>
      </w:r>
    </w:p>
    <w:p w14:paraId="43EF1FC2" w14:textId="77777777" w:rsidR="00F47ADA" w:rsidRDefault="00F47ADA" w:rsidP="00F47ADA">
      <w:pPr>
        <w:ind w:right="-2"/>
        <w:rPr>
          <w:szCs w:val="22"/>
          <w:lang w:val="lv-LV"/>
        </w:rPr>
      </w:pPr>
    </w:p>
    <w:p w14:paraId="47A2298C" w14:textId="77777777" w:rsidR="00F47ADA" w:rsidRPr="002A00FE" w:rsidRDefault="00F47ADA" w:rsidP="00707120">
      <w:pPr>
        <w:keepNext/>
        <w:ind w:right="-2"/>
        <w:rPr>
          <w:szCs w:val="22"/>
          <w:lang w:val="lv-LV"/>
        </w:rPr>
      </w:pPr>
      <w:r w:rsidRPr="002A00FE">
        <w:rPr>
          <w:b/>
          <w:szCs w:val="22"/>
          <w:lang w:val="lv-LV"/>
        </w:rPr>
        <w:t>Ja Jums tiek pārtraukta RoActemra lietošana</w:t>
      </w:r>
    </w:p>
    <w:p w14:paraId="3320BD85" w14:textId="77777777" w:rsidR="00F47ADA" w:rsidRDefault="00F47ADA" w:rsidP="00F47ADA">
      <w:pPr>
        <w:ind w:right="-2"/>
        <w:rPr>
          <w:szCs w:val="22"/>
          <w:lang w:val="lv-LV"/>
        </w:rPr>
      </w:pPr>
      <w:r>
        <w:rPr>
          <w:szCs w:val="22"/>
          <w:lang w:val="lv-LV"/>
        </w:rPr>
        <w:t>Jūs nedrīkstat pārtraukt RoActemra lietošanu, iepriekš neapspriežoties ar ārstu.</w:t>
      </w:r>
    </w:p>
    <w:p w14:paraId="0A13731B" w14:textId="77777777" w:rsidR="00F47ADA" w:rsidRDefault="00F47ADA" w:rsidP="00F47ADA">
      <w:pPr>
        <w:ind w:right="-2"/>
        <w:rPr>
          <w:szCs w:val="22"/>
          <w:lang w:val="lv-LV"/>
        </w:rPr>
      </w:pPr>
    </w:p>
    <w:p w14:paraId="273399D8" w14:textId="77777777" w:rsidR="00F47ADA" w:rsidRDefault="00F47ADA" w:rsidP="00F47ADA">
      <w:pPr>
        <w:ind w:right="-2"/>
        <w:rPr>
          <w:szCs w:val="22"/>
          <w:lang w:val="lv-LV"/>
        </w:rPr>
      </w:pPr>
      <w:r>
        <w:rPr>
          <w:szCs w:val="22"/>
          <w:lang w:val="lv-LV"/>
        </w:rPr>
        <w:t xml:space="preserve">Ja Jums ir kādi jautājumi par šo zāļu lietošanu, jautājiet </w:t>
      </w:r>
      <w:r>
        <w:rPr>
          <w:bCs/>
          <w:szCs w:val="22"/>
          <w:lang w:val="lv-LV"/>
        </w:rPr>
        <w:t>ārstam vai medmāsai.</w:t>
      </w:r>
    </w:p>
    <w:p w14:paraId="01A1AE71" w14:textId="77777777" w:rsidR="00F47ADA" w:rsidRDefault="00F47ADA" w:rsidP="00F47ADA">
      <w:pPr>
        <w:ind w:right="-2"/>
        <w:rPr>
          <w:szCs w:val="22"/>
          <w:lang w:val="lv-LV"/>
        </w:rPr>
      </w:pPr>
    </w:p>
    <w:p w14:paraId="32ADD6A8" w14:textId="77777777" w:rsidR="00F47ADA" w:rsidRPr="002A00FE" w:rsidRDefault="00F47ADA" w:rsidP="00F47ADA">
      <w:pPr>
        <w:ind w:right="-2"/>
        <w:rPr>
          <w:sz w:val="24"/>
          <w:szCs w:val="24"/>
          <w:lang w:val="lv-LV"/>
        </w:rPr>
      </w:pPr>
    </w:p>
    <w:p w14:paraId="5210A7F3" w14:textId="77777777" w:rsidR="00F47ADA" w:rsidRPr="00980DD8" w:rsidRDefault="00F47ADA" w:rsidP="00707120">
      <w:pPr>
        <w:keepNext/>
        <w:ind w:left="567" w:right="-2" w:hanging="567"/>
        <w:rPr>
          <w:szCs w:val="22"/>
          <w:lang w:val="lv-LV"/>
        </w:rPr>
      </w:pPr>
      <w:r w:rsidRPr="00980DD8">
        <w:rPr>
          <w:b/>
          <w:szCs w:val="22"/>
          <w:lang w:val="lv-LV"/>
        </w:rPr>
        <w:t>4.</w:t>
      </w:r>
      <w:r w:rsidRPr="00980DD8">
        <w:rPr>
          <w:b/>
          <w:szCs w:val="22"/>
          <w:lang w:val="lv-LV"/>
        </w:rPr>
        <w:tab/>
        <w:t>Iespējamās blakusparādības</w:t>
      </w:r>
    </w:p>
    <w:p w14:paraId="6407EE1A" w14:textId="77777777" w:rsidR="00F47ADA" w:rsidRDefault="00F47ADA" w:rsidP="00707120">
      <w:pPr>
        <w:keepNext/>
        <w:ind w:right="-2"/>
        <w:rPr>
          <w:szCs w:val="22"/>
          <w:lang w:val="lv-LV"/>
        </w:rPr>
      </w:pPr>
    </w:p>
    <w:p w14:paraId="68426BF8" w14:textId="31082E0F" w:rsidR="00F47ADA" w:rsidRDefault="00F47ADA" w:rsidP="00F47ADA">
      <w:pPr>
        <w:ind w:right="-29"/>
        <w:rPr>
          <w:szCs w:val="22"/>
          <w:lang w:val="lv-LV"/>
        </w:rPr>
      </w:pPr>
      <w:r>
        <w:rPr>
          <w:szCs w:val="22"/>
          <w:lang w:val="lv-LV"/>
        </w:rPr>
        <w:t xml:space="preserve">Tāpat kā visas zāles, RoActemra var izraisīt blakusparādības, kaut arī ne visiem tās izpaužas. Blakusparādības ir iespējamas vismaz līdz 3 mēnešiem pēc tam, kad Jums ir ievadīta pēdējā RoActemra deva. </w:t>
      </w:r>
    </w:p>
    <w:p w14:paraId="5734E781" w14:textId="77777777" w:rsidR="00F47ADA" w:rsidRDefault="00F47ADA" w:rsidP="00F47ADA">
      <w:pPr>
        <w:ind w:right="-29"/>
        <w:rPr>
          <w:szCs w:val="22"/>
          <w:lang w:val="lv-LV"/>
        </w:rPr>
      </w:pPr>
    </w:p>
    <w:p w14:paraId="23A2149C" w14:textId="21DBBDAF" w:rsidR="00F47ADA" w:rsidRDefault="00F47ADA" w:rsidP="00F47ADA">
      <w:pPr>
        <w:keepNext/>
        <w:keepLines/>
        <w:ind w:right="-2"/>
        <w:rPr>
          <w:bCs/>
          <w:szCs w:val="22"/>
          <w:lang w:val="lv-LV"/>
        </w:rPr>
      </w:pPr>
      <w:r w:rsidRPr="002A00FE">
        <w:rPr>
          <w:b/>
          <w:bCs/>
          <w:szCs w:val="22"/>
          <w:lang w:val="lv-LV"/>
        </w:rPr>
        <w:t>Iespējamās būtiskās blakusparādības</w:t>
      </w:r>
      <w:r w:rsidRPr="002A00FE">
        <w:rPr>
          <w:bCs/>
          <w:szCs w:val="22"/>
          <w:lang w:val="lv-LV"/>
        </w:rPr>
        <w:t xml:space="preserve"> </w:t>
      </w:r>
    </w:p>
    <w:p w14:paraId="1BFD68DC" w14:textId="1306BBAC" w:rsidR="00F47ADA" w:rsidRPr="002A00FE" w:rsidRDefault="00F47ADA" w:rsidP="00F47ADA">
      <w:pPr>
        <w:keepNext/>
        <w:keepLines/>
        <w:ind w:right="-2"/>
        <w:rPr>
          <w:bCs/>
          <w:szCs w:val="22"/>
          <w:lang w:val="lv-LV"/>
        </w:rPr>
      </w:pPr>
      <w:r w:rsidRPr="00707120">
        <w:rPr>
          <w:b/>
          <w:szCs w:val="22"/>
          <w:lang w:val="lv-LV"/>
        </w:rPr>
        <w:t>Nekavējoties</w:t>
      </w:r>
      <w:r w:rsidRPr="002A00FE">
        <w:rPr>
          <w:bCs/>
          <w:szCs w:val="22"/>
          <w:lang w:val="lv-LV"/>
        </w:rPr>
        <w:t xml:space="preserve"> informējiet ārstu</w:t>
      </w:r>
      <w:r>
        <w:rPr>
          <w:bCs/>
          <w:szCs w:val="22"/>
          <w:lang w:val="lv-LV"/>
        </w:rPr>
        <w:t>, ja Jums rodas kāda no turpmāk minētajām blakusparādībām.</w:t>
      </w:r>
    </w:p>
    <w:p w14:paraId="63AC7EA3" w14:textId="77777777" w:rsidR="00F47ADA" w:rsidRDefault="00F47ADA" w:rsidP="00F47ADA">
      <w:pPr>
        <w:keepNext/>
        <w:keepLines/>
        <w:ind w:right="-2"/>
        <w:rPr>
          <w:bCs/>
          <w:i/>
          <w:iCs/>
          <w:szCs w:val="22"/>
          <w:lang w:val="lv-LV"/>
        </w:rPr>
      </w:pPr>
    </w:p>
    <w:p w14:paraId="6B830E53" w14:textId="0D8C478D" w:rsidR="00F47ADA" w:rsidRDefault="00F47ADA" w:rsidP="00F47ADA">
      <w:pPr>
        <w:keepNext/>
        <w:keepLines/>
        <w:ind w:right="-2"/>
        <w:rPr>
          <w:b/>
          <w:bCs/>
          <w:i/>
          <w:iCs/>
          <w:szCs w:val="22"/>
          <w:lang w:val="lv-LV"/>
        </w:rPr>
      </w:pPr>
      <w:r>
        <w:rPr>
          <w:bCs/>
          <w:i/>
          <w:iCs/>
          <w:szCs w:val="22"/>
          <w:lang w:val="lv-LV"/>
        </w:rPr>
        <w:t xml:space="preserve">Tās ir biežas: </w:t>
      </w:r>
      <w:r w:rsidRPr="00A80C5E">
        <w:rPr>
          <w:i/>
          <w:lang w:val="lv-LV"/>
        </w:rPr>
        <w:t>var rasties līdz 1</w:t>
      </w:r>
      <w:r>
        <w:rPr>
          <w:i/>
          <w:lang w:val="lv-LV"/>
        </w:rPr>
        <w:t> </w:t>
      </w:r>
      <w:r w:rsidRPr="00A80C5E">
        <w:rPr>
          <w:i/>
          <w:lang w:val="lv-LV"/>
        </w:rPr>
        <w:t>no 10 </w:t>
      </w:r>
      <w:r>
        <w:rPr>
          <w:i/>
          <w:lang w:val="lv-LV"/>
        </w:rPr>
        <w:t>cilvēkiem</w:t>
      </w:r>
    </w:p>
    <w:p w14:paraId="1DC98190" w14:textId="77777777" w:rsidR="00F47ADA" w:rsidRDefault="00F47ADA" w:rsidP="00F47ADA">
      <w:pPr>
        <w:keepNext/>
        <w:keepLines/>
        <w:ind w:right="-2"/>
        <w:rPr>
          <w:b/>
          <w:bCs/>
          <w:szCs w:val="22"/>
          <w:lang w:val="lv-LV"/>
        </w:rPr>
      </w:pPr>
    </w:p>
    <w:p w14:paraId="567C2B15" w14:textId="77777777" w:rsidR="00F47ADA" w:rsidRDefault="00F47ADA">
      <w:pPr>
        <w:keepNext/>
        <w:suppressAutoHyphens w:val="0"/>
        <w:rPr>
          <w:bCs/>
          <w:lang w:val="lv-LV" w:eastAsia="ja-JP"/>
        </w:rPr>
        <w:pPrChange w:id="1598" w:author="Author">
          <w:pPr>
            <w:suppressAutoHyphens w:val="0"/>
          </w:pPr>
        </w:pPrChange>
      </w:pPr>
      <w:r>
        <w:rPr>
          <w:b/>
          <w:lang w:val="lv-LV" w:eastAsia="ja-JP"/>
        </w:rPr>
        <w:t xml:space="preserve">Alerģiskas reakcijas </w:t>
      </w:r>
      <w:r>
        <w:rPr>
          <w:bCs/>
          <w:lang w:val="lv-LV" w:eastAsia="ja-JP"/>
        </w:rPr>
        <w:t>infūzijas laikā vai pēc tās:</w:t>
      </w:r>
    </w:p>
    <w:p w14:paraId="748DA030" w14:textId="286FC817" w:rsidR="00F47ADA" w:rsidRPr="00A75D33" w:rsidRDefault="006334B7" w:rsidP="00EA0907">
      <w:pPr>
        <w:pStyle w:val="ListParagraph"/>
        <w:suppressAutoHyphens w:val="0"/>
        <w:ind w:left="567" w:hanging="567"/>
        <w:rPr>
          <w:lang w:val="lv-LV" w:eastAsia="ja-JP"/>
        </w:rPr>
      </w:pPr>
      <w:r>
        <w:rPr>
          <w:lang w:val="nb-NO"/>
        </w:rPr>
        <w:sym w:font="Symbol" w:char="F0B7"/>
      </w:r>
      <w:r>
        <w:rPr>
          <w:lang w:val="nb-NO"/>
        </w:rPr>
        <w:tab/>
      </w:r>
      <w:r w:rsidR="00F47ADA" w:rsidRPr="00A75D33">
        <w:rPr>
          <w:lang w:val="lv-LV" w:eastAsia="ja-JP"/>
        </w:rPr>
        <w:t>apgrūtināta elpošana, spiedoša sajūta krūtīs vai galvas reibšana;</w:t>
      </w:r>
    </w:p>
    <w:p w14:paraId="7847504A" w14:textId="55BD417D" w:rsidR="00F47ADA" w:rsidRPr="00A75D33" w:rsidRDefault="006334B7" w:rsidP="00EA0907">
      <w:pPr>
        <w:pStyle w:val="ListParagraph"/>
        <w:suppressAutoHyphens w:val="0"/>
        <w:ind w:left="567" w:hanging="567"/>
        <w:rPr>
          <w:lang w:val="lv-LV" w:eastAsia="ja-JP"/>
        </w:rPr>
      </w:pPr>
      <w:r>
        <w:rPr>
          <w:lang w:val="nb-NO"/>
        </w:rPr>
        <w:sym w:font="Symbol" w:char="F0B7"/>
      </w:r>
      <w:r>
        <w:rPr>
          <w:lang w:val="nb-NO"/>
        </w:rPr>
        <w:tab/>
      </w:r>
      <w:r w:rsidR="00F47ADA" w:rsidRPr="00A75D33">
        <w:rPr>
          <w:lang w:val="lv-LV" w:eastAsia="ja-JP"/>
        </w:rPr>
        <w:t xml:space="preserve">izsitumi, nieze, nātrene, lūpu, </w:t>
      </w:r>
      <w:r w:rsidR="00F47ADA" w:rsidRPr="00A75D33">
        <w:rPr>
          <w:szCs w:val="22"/>
          <w:lang w:val="lv-LV" w:eastAsia="en-US" w:bidi="ne-NP"/>
        </w:rPr>
        <w:t>m</w:t>
      </w:r>
      <w:r w:rsidR="00F47ADA" w:rsidRPr="00672A23">
        <w:rPr>
          <w:rFonts w:ascii="TimesNewRomanPSMT" w:hAnsi="TimesNewRomanPSMT" w:cs="TimesNewRomanPSMT"/>
          <w:szCs w:val="22"/>
          <w:lang w:val="lv-LV" w:eastAsia="en-US" w:bidi="ne-NP"/>
        </w:rPr>
        <w:t>ē</w:t>
      </w:r>
      <w:r w:rsidR="00F47ADA" w:rsidRPr="00A75D33">
        <w:rPr>
          <w:szCs w:val="22"/>
          <w:lang w:val="lv-LV" w:eastAsia="en-US" w:bidi="ne-NP"/>
        </w:rPr>
        <w:t>les vai sejas pietūkums;</w:t>
      </w:r>
    </w:p>
    <w:p w14:paraId="147199EB" w14:textId="77777777" w:rsidR="00F47ADA" w:rsidRDefault="00F47ADA">
      <w:pPr>
        <w:ind w:left="720" w:hanging="720"/>
        <w:rPr>
          <w:b/>
          <w:szCs w:val="22"/>
          <w:lang w:val="lv-LV"/>
        </w:rPr>
        <w:pPrChange w:id="1599" w:author="Author">
          <w:pPr>
            <w:keepNext/>
            <w:keepLines/>
            <w:ind w:left="720" w:right="-2" w:hanging="720"/>
          </w:pPr>
        </w:pPrChange>
      </w:pPr>
    </w:p>
    <w:p w14:paraId="652A870A" w14:textId="77777777" w:rsidR="00F47ADA" w:rsidRDefault="00F47ADA" w:rsidP="00F47ADA">
      <w:pPr>
        <w:keepNext/>
        <w:keepLines/>
        <w:ind w:left="720" w:right="-2" w:hanging="720"/>
        <w:rPr>
          <w:rFonts w:ascii="Symbol" w:hAnsi="Symbol" w:cs="Symbol"/>
          <w:szCs w:val="22"/>
          <w:lang w:val="lv-LV"/>
        </w:rPr>
      </w:pPr>
      <w:r>
        <w:rPr>
          <w:b/>
          <w:szCs w:val="22"/>
          <w:lang w:val="lv-LV"/>
        </w:rPr>
        <w:t>Būtisku infekciju pazīmes:</w:t>
      </w:r>
    </w:p>
    <w:p w14:paraId="2B8B6D17" w14:textId="14938A9C" w:rsidR="00F47ADA" w:rsidRPr="00672A23" w:rsidRDefault="006334B7" w:rsidP="00707120">
      <w:pPr>
        <w:pStyle w:val="ListParagraph"/>
        <w:keepNext/>
        <w:keepLines/>
        <w:ind w:left="567" w:hanging="567"/>
        <w:rPr>
          <w:rFonts w:ascii="Symbol" w:hAnsi="Symbol" w:cs="Symbol"/>
          <w:szCs w:val="22"/>
          <w:lang w:val="lv-LV"/>
        </w:rPr>
      </w:pPr>
      <w:r>
        <w:rPr>
          <w:lang w:val="nb-NO"/>
        </w:rPr>
        <w:sym w:font="Symbol" w:char="F0B7"/>
      </w:r>
      <w:r>
        <w:rPr>
          <w:lang w:val="nb-NO"/>
        </w:rPr>
        <w:tab/>
      </w:r>
      <w:r w:rsidR="00F47ADA" w:rsidRPr="00A75D33">
        <w:rPr>
          <w:lang w:val="lv-LV"/>
        </w:rPr>
        <w:t>drudzis un drebuļi;</w:t>
      </w:r>
    </w:p>
    <w:p w14:paraId="1EE4D8C2" w14:textId="6544FD70" w:rsidR="00F47ADA" w:rsidRPr="00672A23" w:rsidRDefault="006334B7" w:rsidP="00707120">
      <w:pPr>
        <w:pStyle w:val="ListParagraph"/>
        <w:keepNext/>
        <w:keepLines/>
        <w:ind w:left="567" w:hanging="567"/>
        <w:rPr>
          <w:rFonts w:ascii="Symbol" w:hAnsi="Symbol" w:cs="Symbol"/>
          <w:szCs w:val="22"/>
          <w:lang w:val="lv-LV"/>
        </w:rPr>
      </w:pPr>
      <w:r>
        <w:rPr>
          <w:lang w:val="nb-NO"/>
        </w:rPr>
        <w:sym w:font="Symbol" w:char="F0B7"/>
      </w:r>
      <w:r>
        <w:rPr>
          <w:lang w:val="nb-NO"/>
        </w:rPr>
        <w:tab/>
      </w:r>
      <w:del w:id="1600" w:author="Regulatory LV" w:date="2026-03-17T11:28:00Z">
        <w:r w:rsidR="00F47ADA" w:rsidRPr="00A75D33" w:rsidDel="00E45E04">
          <w:rPr>
            <w:lang w:val="lv-LV"/>
          </w:rPr>
          <w:delText xml:space="preserve">čūlas </w:delText>
        </w:r>
      </w:del>
      <w:ins w:id="1601" w:author="Regulatory LV" w:date="2026-03-17T11:28:00Z">
        <w:r w:rsidR="00E45E04">
          <w:rPr>
            <w:lang w:val="lv-LV"/>
          </w:rPr>
          <w:t>pūšļi</w:t>
        </w:r>
        <w:r w:rsidR="00E45E04" w:rsidRPr="00A75D33">
          <w:rPr>
            <w:lang w:val="lv-LV"/>
          </w:rPr>
          <w:t xml:space="preserve"> </w:t>
        </w:r>
      </w:ins>
      <w:r w:rsidR="00F47ADA" w:rsidRPr="00A75D33">
        <w:rPr>
          <w:lang w:val="lv-LV"/>
        </w:rPr>
        <w:t>mutes dobumā vai uz ādas;</w:t>
      </w:r>
    </w:p>
    <w:p w14:paraId="40E56692" w14:textId="67DDD88D" w:rsidR="00823301" w:rsidRPr="00707120" w:rsidRDefault="006334B7" w:rsidP="00707120">
      <w:pPr>
        <w:pStyle w:val="ListParagraph"/>
        <w:keepNext/>
        <w:keepLines/>
        <w:ind w:left="567" w:hanging="567"/>
        <w:rPr>
          <w:szCs w:val="22"/>
          <w:lang w:val="lv-LV"/>
        </w:rPr>
      </w:pPr>
      <w:r>
        <w:rPr>
          <w:lang w:val="nb-NO"/>
        </w:rPr>
        <w:sym w:font="Symbol" w:char="F0B7"/>
      </w:r>
      <w:r>
        <w:rPr>
          <w:lang w:val="nb-NO"/>
        </w:rPr>
        <w:tab/>
      </w:r>
      <w:r w:rsidR="00F47ADA" w:rsidRPr="00A75D33">
        <w:rPr>
          <w:lang w:val="lv-LV"/>
        </w:rPr>
        <w:t>sāpes kuņģī.</w:t>
      </w:r>
    </w:p>
    <w:p w14:paraId="0D67C149" w14:textId="25EDC0FC" w:rsidR="00F47ADA" w:rsidRDefault="00F47ADA" w:rsidP="00F47ADA">
      <w:pPr>
        <w:ind w:left="720" w:hanging="720"/>
        <w:rPr>
          <w:lang w:val="lv-LV"/>
        </w:rPr>
      </w:pPr>
    </w:p>
    <w:p w14:paraId="606EC3EA" w14:textId="0CE288FD" w:rsidR="00F47ADA" w:rsidRDefault="00F47ADA" w:rsidP="00F47ADA">
      <w:pPr>
        <w:rPr>
          <w:b/>
          <w:szCs w:val="22"/>
          <w:lang w:val="lv-LV"/>
        </w:rPr>
      </w:pPr>
      <w:r>
        <w:rPr>
          <w:b/>
          <w:szCs w:val="22"/>
          <w:lang w:val="lv-LV"/>
        </w:rPr>
        <w:t>Aknu toksicitātes pazīmes un simptomi</w:t>
      </w:r>
    </w:p>
    <w:p w14:paraId="145EE345" w14:textId="0588BA16" w:rsidR="00F47ADA" w:rsidRDefault="00F47ADA" w:rsidP="00F47ADA">
      <w:pPr>
        <w:rPr>
          <w:i/>
          <w:lang w:val="lv-LV"/>
        </w:rPr>
      </w:pPr>
      <w:r>
        <w:rPr>
          <w:i/>
          <w:lang w:val="lv-LV"/>
        </w:rPr>
        <w:t>T</w:t>
      </w:r>
      <w:r w:rsidRPr="00552EF9">
        <w:rPr>
          <w:i/>
          <w:lang w:val="lv-LV"/>
        </w:rPr>
        <w:t xml:space="preserve">ās </w:t>
      </w:r>
      <w:r>
        <w:rPr>
          <w:i/>
          <w:lang w:val="lv-LV"/>
        </w:rPr>
        <w:t xml:space="preserve">ir retas: </w:t>
      </w:r>
      <w:r w:rsidRPr="00552EF9">
        <w:rPr>
          <w:i/>
          <w:lang w:val="lv-LV"/>
        </w:rPr>
        <w:t>var rasties līdz 1</w:t>
      </w:r>
      <w:r>
        <w:rPr>
          <w:i/>
          <w:lang w:val="lv-LV"/>
        </w:rPr>
        <w:t> </w:t>
      </w:r>
      <w:r w:rsidRPr="00552EF9">
        <w:rPr>
          <w:i/>
          <w:lang w:val="lv-LV"/>
        </w:rPr>
        <w:t>no 10</w:t>
      </w:r>
      <w:r>
        <w:rPr>
          <w:i/>
          <w:lang w:val="lv-LV"/>
        </w:rPr>
        <w:t>00</w:t>
      </w:r>
      <w:r w:rsidRPr="00552EF9">
        <w:rPr>
          <w:i/>
          <w:lang w:val="lv-LV"/>
        </w:rPr>
        <w:t> </w:t>
      </w:r>
      <w:r>
        <w:rPr>
          <w:i/>
          <w:lang w:val="lv-LV"/>
        </w:rPr>
        <w:t>cilvēkiem:</w:t>
      </w:r>
    </w:p>
    <w:p w14:paraId="174179D4" w14:textId="54382C71" w:rsidR="00F47ADA" w:rsidRPr="00A75D33" w:rsidRDefault="006334B7" w:rsidP="00707120">
      <w:pPr>
        <w:pStyle w:val="ListParagraph"/>
        <w:ind w:left="567" w:hanging="567"/>
        <w:rPr>
          <w:lang w:val="lv-LV"/>
        </w:rPr>
      </w:pPr>
      <w:r>
        <w:rPr>
          <w:lang w:val="nb-NO"/>
        </w:rPr>
        <w:sym w:font="Symbol" w:char="F0B7"/>
      </w:r>
      <w:r>
        <w:rPr>
          <w:lang w:val="nb-NO"/>
        </w:rPr>
        <w:tab/>
      </w:r>
      <w:r w:rsidR="00F47ADA" w:rsidRPr="00A75D33">
        <w:rPr>
          <w:lang w:val="lv-LV"/>
        </w:rPr>
        <w:t>nogurums;</w:t>
      </w:r>
    </w:p>
    <w:p w14:paraId="45EB707D" w14:textId="4F387A20" w:rsidR="00F47ADA" w:rsidRPr="00A75D33" w:rsidRDefault="006334B7" w:rsidP="00707120">
      <w:pPr>
        <w:pStyle w:val="ListParagraph"/>
        <w:ind w:left="567" w:hanging="567"/>
        <w:rPr>
          <w:lang w:val="lv-LV"/>
        </w:rPr>
      </w:pPr>
      <w:r>
        <w:rPr>
          <w:lang w:val="nb-NO"/>
        </w:rPr>
        <w:sym w:font="Symbol" w:char="F0B7"/>
      </w:r>
      <w:r>
        <w:rPr>
          <w:lang w:val="nb-NO"/>
        </w:rPr>
        <w:tab/>
      </w:r>
      <w:r w:rsidR="00F47ADA" w:rsidRPr="00A75D33">
        <w:rPr>
          <w:lang w:val="lv-LV"/>
        </w:rPr>
        <w:t>sāpes vēderā;</w:t>
      </w:r>
    </w:p>
    <w:p w14:paraId="74474745" w14:textId="7CC26721" w:rsidR="00F47ADA" w:rsidRPr="00A75D33" w:rsidRDefault="006334B7" w:rsidP="00707120">
      <w:pPr>
        <w:pStyle w:val="ListParagraph"/>
        <w:ind w:left="567" w:hanging="567"/>
        <w:rPr>
          <w:lang w:val="lv-LV"/>
        </w:rPr>
      </w:pPr>
      <w:r>
        <w:rPr>
          <w:lang w:val="nb-NO"/>
        </w:rPr>
        <w:sym w:font="Symbol" w:char="F0B7"/>
      </w:r>
      <w:r>
        <w:rPr>
          <w:lang w:val="nb-NO"/>
        </w:rPr>
        <w:tab/>
      </w:r>
      <w:r w:rsidR="00F47ADA" w:rsidRPr="00A75D33">
        <w:rPr>
          <w:lang w:val="lv-LV"/>
        </w:rPr>
        <w:t>dzelte (dzeltena ādas vai acu nokrāsa).</w:t>
      </w:r>
    </w:p>
    <w:p w14:paraId="6D86166D" w14:textId="77777777" w:rsidR="00F47ADA" w:rsidRDefault="00F47ADA" w:rsidP="00F47ADA">
      <w:pPr>
        <w:rPr>
          <w:lang w:val="lv-LV"/>
        </w:rPr>
      </w:pPr>
    </w:p>
    <w:p w14:paraId="4C17573F" w14:textId="77777777" w:rsidR="00F47ADA" w:rsidRPr="00707120" w:rsidRDefault="00F47ADA" w:rsidP="00F47ADA">
      <w:pPr>
        <w:rPr>
          <w:b/>
          <w:bCs/>
          <w:lang w:val="lv-LV"/>
        </w:rPr>
      </w:pPr>
      <w:r>
        <w:rPr>
          <w:b/>
          <w:bCs/>
          <w:lang w:val="lv-LV"/>
        </w:rPr>
        <w:t>Citu iespējamo blakusparādību saraksts</w:t>
      </w:r>
    </w:p>
    <w:p w14:paraId="367AEB45" w14:textId="77777777" w:rsidR="00F47ADA" w:rsidRDefault="00F47ADA" w:rsidP="00F47ADA">
      <w:pPr>
        <w:rPr>
          <w:szCs w:val="22"/>
          <w:lang w:val="lv-LV"/>
        </w:rPr>
      </w:pPr>
      <w:r>
        <w:rPr>
          <w:lang w:val="lv-LV"/>
        </w:rPr>
        <w:t xml:space="preserve">Ja pamanāt jebkuras no šīm pazīmēm, pastāstiet ārstam, </w:t>
      </w:r>
      <w:r>
        <w:rPr>
          <w:b/>
          <w:lang w:val="lv-LV"/>
        </w:rPr>
        <w:t>cik drīz vien iespējams</w:t>
      </w:r>
      <w:r>
        <w:rPr>
          <w:lang w:val="lv-LV"/>
        </w:rPr>
        <w:t>.</w:t>
      </w:r>
    </w:p>
    <w:p w14:paraId="24A098AD" w14:textId="77777777" w:rsidR="00F47ADA" w:rsidRDefault="00F47ADA" w:rsidP="00F47ADA">
      <w:pPr>
        <w:ind w:right="-2"/>
        <w:rPr>
          <w:szCs w:val="22"/>
          <w:lang w:val="lv-LV"/>
        </w:rPr>
      </w:pPr>
    </w:p>
    <w:p w14:paraId="400DD9D3" w14:textId="6CC5E2E5" w:rsidR="00F47ADA" w:rsidRPr="00BC66E2" w:rsidRDefault="00F47ADA" w:rsidP="00F47ADA">
      <w:pPr>
        <w:keepNext/>
        <w:keepLines/>
        <w:rPr>
          <w:b/>
          <w:i/>
          <w:szCs w:val="22"/>
          <w:lang w:val="lv-LV"/>
        </w:rPr>
      </w:pPr>
      <w:r w:rsidRPr="00BC66E2">
        <w:rPr>
          <w:b/>
          <w:szCs w:val="22"/>
          <w:lang w:val="lv-LV"/>
        </w:rPr>
        <w:t>Ļoti biežas blakusparādības</w:t>
      </w:r>
    </w:p>
    <w:p w14:paraId="6E6A373C" w14:textId="40A3B9E7" w:rsidR="00F47ADA" w:rsidRPr="00552EF9" w:rsidRDefault="00F47ADA" w:rsidP="00F47ADA">
      <w:pPr>
        <w:keepNext/>
        <w:keepLines/>
        <w:ind w:left="567" w:hanging="567"/>
        <w:rPr>
          <w:rFonts w:ascii="Symbol" w:hAnsi="Symbol" w:cs="Symbol"/>
          <w:szCs w:val="22"/>
          <w:lang w:val="lv-LV"/>
        </w:rPr>
      </w:pPr>
      <w:r>
        <w:rPr>
          <w:i/>
          <w:lang w:val="lv-LV"/>
        </w:rPr>
        <w:t>T</w:t>
      </w:r>
      <w:r w:rsidRPr="00552EF9">
        <w:rPr>
          <w:i/>
          <w:lang w:val="lv-LV"/>
        </w:rPr>
        <w:t>ās var rasties vairāk nekā 1</w:t>
      </w:r>
      <w:r>
        <w:rPr>
          <w:i/>
          <w:lang w:val="lv-LV"/>
        </w:rPr>
        <w:t> </w:t>
      </w:r>
      <w:r w:rsidRPr="00552EF9">
        <w:rPr>
          <w:i/>
          <w:lang w:val="lv-LV"/>
        </w:rPr>
        <w:t>no 10 </w:t>
      </w:r>
      <w:r>
        <w:rPr>
          <w:i/>
          <w:lang w:val="lv-LV"/>
        </w:rPr>
        <w:t>cilvēkiem</w:t>
      </w:r>
      <w:r w:rsidRPr="00552EF9">
        <w:rPr>
          <w:i/>
          <w:lang w:val="lv-LV"/>
        </w:rPr>
        <w:t>:</w:t>
      </w:r>
    </w:p>
    <w:p w14:paraId="7BD5F2DA" w14:textId="2D982722" w:rsidR="00F47ADA" w:rsidRPr="00707120" w:rsidRDefault="006334B7" w:rsidP="00707120">
      <w:pPr>
        <w:pStyle w:val="ListParagraph"/>
        <w:ind w:left="567" w:hanging="567"/>
        <w:rPr>
          <w:szCs w:val="22"/>
          <w:lang w:val="lv-LV"/>
        </w:rPr>
      </w:pPr>
      <w:r>
        <w:rPr>
          <w:lang w:val="nb-NO"/>
        </w:rPr>
        <w:sym w:font="Symbol" w:char="F0B7"/>
      </w:r>
      <w:r>
        <w:rPr>
          <w:lang w:val="nb-NO"/>
        </w:rPr>
        <w:tab/>
      </w:r>
      <w:r w:rsidR="00F47ADA" w:rsidRPr="00A75D33">
        <w:rPr>
          <w:bCs/>
          <w:szCs w:val="22"/>
          <w:lang w:val="lv-LV"/>
        </w:rPr>
        <w:t xml:space="preserve">augšējo elpceļu infekcijas </w:t>
      </w:r>
      <w:r w:rsidR="00F47ADA" w:rsidRPr="00A75D33">
        <w:rPr>
          <w:szCs w:val="22"/>
          <w:lang w:val="lv-LV"/>
        </w:rPr>
        <w:t>ar tipiskiem simptomiem, piemēram, klepu, aizliktu degunu, iesnām, rīkles iekaisumu un galvassāpēm</w:t>
      </w:r>
      <w:r w:rsidR="00F47ADA" w:rsidRPr="00A75D33">
        <w:rPr>
          <w:bCs/>
          <w:szCs w:val="22"/>
          <w:lang w:val="lv-LV"/>
        </w:rPr>
        <w:t>;</w:t>
      </w:r>
    </w:p>
    <w:p w14:paraId="59D2915A" w14:textId="53904070" w:rsidR="00F47ADA" w:rsidRPr="00A75D33" w:rsidRDefault="006334B7" w:rsidP="00707120">
      <w:pPr>
        <w:pStyle w:val="ListParagraph"/>
        <w:ind w:left="567" w:hanging="567"/>
        <w:rPr>
          <w:szCs w:val="22"/>
          <w:lang w:val="lv-LV"/>
        </w:rPr>
      </w:pPr>
      <w:r>
        <w:rPr>
          <w:lang w:val="nb-NO"/>
        </w:rPr>
        <w:sym w:font="Symbol" w:char="F0B7"/>
      </w:r>
      <w:r>
        <w:rPr>
          <w:lang w:val="nb-NO"/>
        </w:rPr>
        <w:tab/>
      </w:r>
      <w:r w:rsidR="00F47ADA" w:rsidRPr="00A75D33">
        <w:rPr>
          <w:bCs/>
          <w:szCs w:val="22"/>
          <w:lang w:val="lv-LV"/>
        </w:rPr>
        <w:t>paaugstināts tauku (holesterīna) līmenis asinīs.</w:t>
      </w:r>
    </w:p>
    <w:p w14:paraId="7E1F02C8" w14:textId="77777777" w:rsidR="00F47ADA" w:rsidRDefault="00F47ADA" w:rsidP="00F47ADA">
      <w:pPr>
        <w:ind w:right="-2"/>
        <w:rPr>
          <w:szCs w:val="22"/>
          <w:lang w:val="lv-LV"/>
        </w:rPr>
      </w:pPr>
    </w:p>
    <w:p w14:paraId="06BAB1BD" w14:textId="39D73FA9" w:rsidR="00F47ADA" w:rsidRPr="00BC66E2" w:rsidRDefault="00F47ADA" w:rsidP="00F47ADA">
      <w:pPr>
        <w:keepNext/>
        <w:keepLines/>
        <w:ind w:right="-2"/>
        <w:rPr>
          <w:b/>
          <w:i/>
          <w:szCs w:val="22"/>
          <w:lang w:val="lv-LV"/>
        </w:rPr>
      </w:pPr>
      <w:r w:rsidRPr="00BC66E2">
        <w:rPr>
          <w:b/>
          <w:szCs w:val="22"/>
          <w:lang w:val="lv-LV"/>
        </w:rPr>
        <w:t>Biežas blakusparādības</w:t>
      </w:r>
    </w:p>
    <w:p w14:paraId="43415589" w14:textId="7FA1BDCD" w:rsidR="00F47ADA" w:rsidRPr="00552EF9" w:rsidRDefault="00F47ADA" w:rsidP="00F47ADA">
      <w:pPr>
        <w:keepNext/>
        <w:keepLines/>
        <w:ind w:left="567" w:hanging="567"/>
        <w:rPr>
          <w:rFonts w:ascii="Symbol" w:hAnsi="Symbol" w:cs="Symbol"/>
          <w:szCs w:val="22"/>
          <w:lang w:val="lv-LV"/>
        </w:rPr>
      </w:pPr>
      <w:r>
        <w:rPr>
          <w:i/>
          <w:lang w:val="lv-LV"/>
        </w:rPr>
        <w:t>T</w:t>
      </w:r>
      <w:r w:rsidRPr="00552EF9">
        <w:rPr>
          <w:i/>
          <w:lang w:val="lv-LV"/>
        </w:rPr>
        <w:t>ās var rasties līdz 1</w:t>
      </w:r>
      <w:r>
        <w:rPr>
          <w:i/>
          <w:lang w:val="lv-LV"/>
        </w:rPr>
        <w:t> </w:t>
      </w:r>
      <w:r w:rsidRPr="00552EF9">
        <w:rPr>
          <w:i/>
          <w:lang w:val="lv-LV"/>
        </w:rPr>
        <w:t>no 10 </w:t>
      </w:r>
      <w:r>
        <w:rPr>
          <w:i/>
          <w:lang w:val="lv-LV"/>
        </w:rPr>
        <w:t>cilvēkiem</w:t>
      </w:r>
      <w:r w:rsidRPr="00552EF9">
        <w:rPr>
          <w:i/>
          <w:lang w:val="lv-LV"/>
        </w:rPr>
        <w:t>:</w:t>
      </w:r>
    </w:p>
    <w:p w14:paraId="3C7B3340" w14:textId="1982D427" w:rsidR="00F47ADA" w:rsidRPr="00707120" w:rsidRDefault="006334B7" w:rsidP="00707120">
      <w:pPr>
        <w:pStyle w:val="ListParagraph"/>
        <w:keepNext/>
        <w:keepLines/>
        <w:ind w:left="567" w:hanging="567"/>
        <w:rPr>
          <w:szCs w:val="22"/>
          <w:lang w:val="lv-LV"/>
        </w:rPr>
      </w:pPr>
      <w:r>
        <w:rPr>
          <w:lang w:val="nb-NO"/>
        </w:rPr>
        <w:sym w:font="Symbol" w:char="F0B7"/>
      </w:r>
      <w:r>
        <w:rPr>
          <w:lang w:val="nb-NO"/>
        </w:rPr>
        <w:tab/>
      </w:r>
      <w:r w:rsidR="00F47ADA" w:rsidRPr="00A75D33">
        <w:rPr>
          <w:szCs w:val="22"/>
          <w:lang w:val="lv-LV"/>
        </w:rPr>
        <w:t>plaušu infekcija (pneimonija);</w:t>
      </w:r>
    </w:p>
    <w:p w14:paraId="5D69E6DB" w14:textId="7AFD0767" w:rsidR="00F47ADA" w:rsidRPr="00707120" w:rsidRDefault="006334B7" w:rsidP="00707120">
      <w:pPr>
        <w:pStyle w:val="ListParagraph"/>
        <w:ind w:left="567" w:hanging="567"/>
        <w:rPr>
          <w:szCs w:val="22"/>
          <w:lang w:val="lv-LV"/>
        </w:rPr>
      </w:pPr>
      <w:r>
        <w:rPr>
          <w:lang w:val="nb-NO"/>
        </w:rPr>
        <w:sym w:font="Symbol" w:char="F0B7"/>
      </w:r>
      <w:r>
        <w:rPr>
          <w:lang w:val="nb-NO"/>
        </w:rPr>
        <w:tab/>
      </w:r>
      <w:r w:rsidR="00F47ADA" w:rsidRPr="00A75D33">
        <w:rPr>
          <w:szCs w:val="22"/>
          <w:lang w:val="lv-LV"/>
        </w:rPr>
        <w:t>jostas roze (herpes zoster);</w:t>
      </w:r>
    </w:p>
    <w:p w14:paraId="42CA39C6" w14:textId="4677A41C" w:rsidR="00F47ADA" w:rsidRPr="00707120" w:rsidRDefault="006334B7" w:rsidP="00707120">
      <w:pPr>
        <w:pStyle w:val="ListParagraph"/>
        <w:ind w:left="567" w:hanging="567"/>
        <w:rPr>
          <w:szCs w:val="22"/>
          <w:lang w:val="lv-LV"/>
        </w:rPr>
      </w:pPr>
      <w:r>
        <w:rPr>
          <w:lang w:val="nb-NO"/>
        </w:rPr>
        <w:sym w:font="Symbol" w:char="F0B7"/>
      </w:r>
      <w:r>
        <w:rPr>
          <w:lang w:val="nb-NO"/>
        </w:rPr>
        <w:tab/>
      </w:r>
      <w:r w:rsidR="00F47ADA" w:rsidRPr="00A75D33">
        <w:rPr>
          <w:szCs w:val="22"/>
          <w:lang w:val="lv-LV"/>
        </w:rPr>
        <w:t>aukstumpumpas (mutes dobuma herpes simplex), bullas;</w:t>
      </w:r>
    </w:p>
    <w:p w14:paraId="63172F14" w14:textId="7C5DC102" w:rsidR="00F47ADA" w:rsidRPr="00707120" w:rsidRDefault="006334B7" w:rsidP="00707120">
      <w:pPr>
        <w:pStyle w:val="ListParagraph"/>
        <w:ind w:left="567" w:hanging="567"/>
        <w:rPr>
          <w:szCs w:val="22"/>
          <w:lang w:val="lv-LV"/>
        </w:rPr>
      </w:pPr>
      <w:r>
        <w:rPr>
          <w:lang w:val="nb-NO"/>
        </w:rPr>
        <w:sym w:font="Symbol" w:char="F0B7"/>
      </w:r>
      <w:r>
        <w:rPr>
          <w:lang w:val="nb-NO"/>
        </w:rPr>
        <w:tab/>
      </w:r>
      <w:r w:rsidR="00F47ADA" w:rsidRPr="00A75D33">
        <w:rPr>
          <w:szCs w:val="22"/>
          <w:lang w:val="lv-LV"/>
        </w:rPr>
        <w:t>ādas infekcija (celulīts), dažkārt ar drudzi un drebuļiem;</w:t>
      </w:r>
    </w:p>
    <w:p w14:paraId="0B75FD6B" w14:textId="43AEA97C" w:rsidR="00F47ADA" w:rsidRPr="00707120" w:rsidRDefault="006334B7" w:rsidP="00707120">
      <w:pPr>
        <w:pStyle w:val="ListParagraph"/>
        <w:ind w:left="567" w:hanging="567"/>
        <w:rPr>
          <w:szCs w:val="22"/>
          <w:lang w:val="lv-LV"/>
        </w:rPr>
      </w:pPr>
      <w:r>
        <w:rPr>
          <w:lang w:val="nb-NO"/>
        </w:rPr>
        <w:sym w:font="Symbol" w:char="F0B7"/>
      </w:r>
      <w:r>
        <w:rPr>
          <w:lang w:val="nb-NO"/>
        </w:rPr>
        <w:tab/>
      </w:r>
      <w:r w:rsidR="00F47ADA" w:rsidRPr="00A75D33">
        <w:rPr>
          <w:szCs w:val="22"/>
          <w:lang w:val="lv-LV"/>
        </w:rPr>
        <w:t>izsitumi un nieze, nātrene;</w:t>
      </w:r>
    </w:p>
    <w:p w14:paraId="48879B9B" w14:textId="4E179A29" w:rsidR="00F47ADA" w:rsidRPr="00707120" w:rsidRDefault="006334B7" w:rsidP="00707120">
      <w:pPr>
        <w:pStyle w:val="ListParagraph"/>
        <w:ind w:left="567" w:hanging="567"/>
        <w:rPr>
          <w:szCs w:val="22"/>
          <w:lang w:val="lv-LV"/>
        </w:rPr>
      </w:pPr>
      <w:r>
        <w:rPr>
          <w:lang w:val="nb-NO"/>
        </w:rPr>
        <w:sym w:font="Symbol" w:char="F0B7"/>
      </w:r>
      <w:r>
        <w:rPr>
          <w:lang w:val="nb-NO"/>
        </w:rPr>
        <w:tab/>
      </w:r>
      <w:r w:rsidR="00F47ADA" w:rsidRPr="00A75D33">
        <w:rPr>
          <w:szCs w:val="22"/>
          <w:lang w:val="lv-LV"/>
        </w:rPr>
        <w:t>alerģiskas (paaugstinātas jutības) reakcijas;</w:t>
      </w:r>
    </w:p>
    <w:p w14:paraId="156969D2" w14:textId="68F6EBB2" w:rsidR="00F47ADA" w:rsidRPr="00707120" w:rsidRDefault="00E2273F" w:rsidP="00707120">
      <w:pPr>
        <w:pStyle w:val="ListParagraph"/>
        <w:ind w:left="567" w:hanging="567"/>
        <w:rPr>
          <w:szCs w:val="22"/>
          <w:lang w:val="lv-LV"/>
        </w:rPr>
      </w:pPr>
      <w:r>
        <w:rPr>
          <w:lang w:val="nb-NO"/>
        </w:rPr>
        <w:sym w:font="Symbol" w:char="F0B7"/>
      </w:r>
      <w:r>
        <w:rPr>
          <w:lang w:val="nb-NO"/>
        </w:rPr>
        <w:tab/>
      </w:r>
      <w:r w:rsidR="00F47ADA" w:rsidRPr="00A75D33">
        <w:rPr>
          <w:szCs w:val="22"/>
          <w:lang w:val="lv-LV"/>
        </w:rPr>
        <w:t>acu infekcija (konjunktivīts);</w:t>
      </w:r>
    </w:p>
    <w:p w14:paraId="080D4EF8" w14:textId="63BFB4E0" w:rsidR="00F47ADA" w:rsidRPr="00707120" w:rsidRDefault="00E2273F" w:rsidP="00707120">
      <w:pPr>
        <w:pStyle w:val="ListParagraph"/>
        <w:ind w:left="567" w:hanging="567"/>
        <w:rPr>
          <w:szCs w:val="22"/>
          <w:lang w:val="lv-LV"/>
        </w:rPr>
      </w:pPr>
      <w:r>
        <w:rPr>
          <w:lang w:val="nb-NO"/>
        </w:rPr>
        <w:sym w:font="Symbol" w:char="F0B7"/>
      </w:r>
      <w:r>
        <w:rPr>
          <w:lang w:val="nb-NO"/>
        </w:rPr>
        <w:tab/>
      </w:r>
      <w:r w:rsidR="00F47ADA" w:rsidRPr="00A75D33">
        <w:rPr>
          <w:szCs w:val="22"/>
          <w:lang w:val="lv-LV"/>
        </w:rPr>
        <w:t>galvassāpes, reibonis, paaugstināts asinsspiediens;</w:t>
      </w:r>
    </w:p>
    <w:p w14:paraId="019B43FC" w14:textId="05617577" w:rsidR="00F47ADA" w:rsidRPr="00707120" w:rsidRDefault="00E2273F" w:rsidP="00707120">
      <w:pPr>
        <w:pStyle w:val="ListParagraph"/>
        <w:ind w:left="567" w:hanging="567"/>
        <w:rPr>
          <w:szCs w:val="22"/>
          <w:lang w:val="lv-LV"/>
        </w:rPr>
      </w:pPr>
      <w:r>
        <w:rPr>
          <w:lang w:val="nb-NO"/>
        </w:rPr>
        <w:sym w:font="Symbol" w:char="F0B7"/>
      </w:r>
      <w:r>
        <w:rPr>
          <w:lang w:val="nb-NO"/>
        </w:rPr>
        <w:tab/>
      </w:r>
      <w:r w:rsidR="00F47ADA" w:rsidRPr="00A75D33">
        <w:rPr>
          <w:szCs w:val="22"/>
          <w:lang w:val="lv-LV"/>
        </w:rPr>
        <w:t>čūlas mutes dobumā, sāpes kuņģī;</w:t>
      </w:r>
    </w:p>
    <w:p w14:paraId="3C8BBD64" w14:textId="7583345B" w:rsidR="00F47ADA" w:rsidRPr="00707120" w:rsidRDefault="00E2273F" w:rsidP="00707120">
      <w:pPr>
        <w:pStyle w:val="ListParagraph"/>
        <w:ind w:left="567" w:hanging="567"/>
        <w:rPr>
          <w:szCs w:val="22"/>
          <w:lang w:val="lv-LV"/>
        </w:rPr>
      </w:pPr>
      <w:r>
        <w:rPr>
          <w:lang w:val="nb-NO"/>
        </w:rPr>
        <w:sym w:font="Symbol" w:char="F0B7"/>
      </w:r>
      <w:r>
        <w:rPr>
          <w:lang w:val="nb-NO"/>
        </w:rPr>
        <w:tab/>
      </w:r>
      <w:r w:rsidR="00F47ADA" w:rsidRPr="00A75D33">
        <w:rPr>
          <w:szCs w:val="22"/>
          <w:lang w:val="lv-LV"/>
        </w:rPr>
        <w:t>šķidruma aizture (tūska) kāju apakšdaļā, ķermeņa masas palielināšanās;</w:t>
      </w:r>
    </w:p>
    <w:p w14:paraId="57ED6A90" w14:textId="512AD774" w:rsidR="00F47ADA" w:rsidRPr="00707120" w:rsidRDefault="00E2273F" w:rsidP="00707120">
      <w:pPr>
        <w:pStyle w:val="ListParagraph"/>
        <w:ind w:left="567" w:hanging="567"/>
        <w:rPr>
          <w:szCs w:val="22"/>
          <w:lang w:val="lv-LV"/>
        </w:rPr>
      </w:pPr>
      <w:r>
        <w:rPr>
          <w:lang w:val="nb-NO"/>
        </w:rPr>
        <w:sym w:font="Symbol" w:char="F0B7"/>
      </w:r>
      <w:r>
        <w:rPr>
          <w:lang w:val="nb-NO"/>
        </w:rPr>
        <w:tab/>
      </w:r>
      <w:r w:rsidR="00F47ADA" w:rsidRPr="00A75D33">
        <w:rPr>
          <w:szCs w:val="22"/>
          <w:lang w:val="lv-LV"/>
        </w:rPr>
        <w:t>klepus, elpas trūkums;</w:t>
      </w:r>
    </w:p>
    <w:p w14:paraId="4A1DF552" w14:textId="384A75F7" w:rsidR="00F47ADA" w:rsidRPr="00707120" w:rsidRDefault="00E2273F" w:rsidP="00707120">
      <w:pPr>
        <w:pStyle w:val="ListParagraph"/>
        <w:ind w:left="567" w:hanging="567"/>
        <w:rPr>
          <w:szCs w:val="22"/>
          <w:lang w:val="lv-LV"/>
        </w:rPr>
      </w:pPr>
      <w:r>
        <w:rPr>
          <w:lang w:val="nb-NO"/>
        </w:rPr>
        <w:sym w:font="Symbol" w:char="F0B7"/>
      </w:r>
      <w:r>
        <w:rPr>
          <w:lang w:val="nb-NO"/>
        </w:rPr>
        <w:tab/>
      </w:r>
      <w:r w:rsidR="00F47ADA" w:rsidRPr="000B68D9">
        <w:rPr>
          <w:szCs w:val="22"/>
          <w:lang w:val="lv-LV"/>
        </w:rPr>
        <w:t>mazs balto asins šūnu skaits, ko konstatē asinsanalīzēs (neitropēnija, leikopēnija);</w:t>
      </w:r>
    </w:p>
    <w:p w14:paraId="7A5930EA" w14:textId="58C25A43" w:rsidR="00F47ADA" w:rsidRPr="00707120" w:rsidRDefault="00E2273F" w:rsidP="00707120">
      <w:pPr>
        <w:pStyle w:val="ListParagraph"/>
        <w:ind w:left="567" w:hanging="567"/>
        <w:rPr>
          <w:szCs w:val="22"/>
          <w:lang w:val="lv-LV"/>
        </w:rPr>
      </w:pPr>
      <w:r>
        <w:rPr>
          <w:lang w:val="nb-NO"/>
        </w:rPr>
        <w:sym w:font="Symbol" w:char="F0B7"/>
      </w:r>
      <w:r>
        <w:rPr>
          <w:lang w:val="nb-NO"/>
        </w:rPr>
        <w:tab/>
      </w:r>
      <w:r w:rsidR="00F47ADA" w:rsidRPr="00A75D33">
        <w:rPr>
          <w:szCs w:val="22"/>
          <w:lang w:val="lv-LV"/>
        </w:rPr>
        <w:t>aknu funkcionālo rādītāju novirzes (paaugstināts transamināžu līmenis);</w:t>
      </w:r>
    </w:p>
    <w:p w14:paraId="4AB670F3" w14:textId="2CDF6205" w:rsidR="00F47ADA" w:rsidRPr="00A75D33" w:rsidRDefault="00E2273F" w:rsidP="00707120">
      <w:pPr>
        <w:pStyle w:val="ListParagraph"/>
        <w:ind w:left="567" w:hanging="567"/>
        <w:rPr>
          <w:szCs w:val="22"/>
          <w:lang w:val="lv-LV"/>
        </w:rPr>
      </w:pPr>
      <w:r>
        <w:rPr>
          <w:lang w:val="nb-NO"/>
        </w:rPr>
        <w:sym w:font="Symbol" w:char="F0B7"/>
      </w:r>
      <w:r>
        <w:rPr>
          <w:lang w:val="nb-NO"/>
        </w:rPr>
        <w:tab/>
      </w:r>
      <w:r w:rsidR="00F47ADA" w:rsidRPr="00A75D33">
        <w:rPr>
          <w:szCs w:val="22"/>
          <w:lang w:val="lv-LV"/>
        </w:rPr>
        <w:t>paaugstināts bilirubīna līmenis, ko konstatē asinsanalīzēs;</w:t>
      </w:r>
    </w:p>
    <w:p w14:paraId="54180280" w14:textId="3703974B" w:rsidR="00F47ADA" w:rsidRPr="00A75D33" w:rsidRDefault="00E2273F" w:rsidP="00707120">
      <w:pPr>
        <w:pStyle w:val="ListParagraph"/>
        <w:ind w:left="567" w:hanging="567"/>
        <w:rPr>
          <w:szCs w:val="22"/>
          <w:lang w:val="lv-LV"/>
        </w:rPr>
      </w:pPr>
      <w:r>
        <w:rPr>
          <w:lang w:val="nb-NO"/>
        </w:rPr>
        <w:sym w:font="Symbol" w:char="F0B7"/>
      </w:r>
      <w:r>
        <w:rPr>
          <w:lang w:val="nb-NO"/>
        </w:rPr>
        <w:tab/>
      </w:r>
      <w:r w:rsidR="00F47ADA" w:rsidRPr="00A75D33">
        <w:rPr>
          <w:szCs w:val="22"/>
          <w:lang w:val="lv-LV"/>
        </w:rPr>
        <w:t>pazemināts fibrogēna līmenis asinīs (proteīns, kas veicina asins recēšanu).</w:t>
      </w:r>
    </w:p>
    <w:p w14:paraId="3824DBBE" w14:textId="77777777" w:rsidR="00F47ADA" w:rsidRDefault="00F47ADA" w:rsidP="00F47ADA">
      <w:pPr>
        <w:ind w:left="720" w:right="-2" w:hanging="720"/>
        <w:rPr>
          <w:szCs w:val="22"/>
          <w:lang w:val="lv-LV"/>
        </w:rPr>
      </w:pPr>
    </w:p>
    <w:p w14:paraId="790EC96F" w14:textId="0536E24F" w:rsidR="00F47ADA" w:rsidRPr="00FB00E4" w:rsidRDefault="00F47ADA" w:rsidP="00F47ADA">
      <w:pPr>
        <w:keepNext/>
        <w:keepLines/>
        <w:ind w:right="-2"/>
        <w:rPr>
          <w:b/>
          <w:i/>
          <w:szCs w:val="22"/>
          <w:lang w:val="lv-LV"/>
        </w:rPr>
      </w:pPr>
      <w:r w:rsidRPr="00FB00E4">
        <w:rPr>
          <w:b/>
          <w:szCs w:val="22"/>
          <w:lang w:val="lv-LV"/>
        </w:rPr>
        <w:t>Retākas blakusparādības</w:t>
      </w:r>
    </w:p>
    <w:p w14:paraId="4752971E" w14:textId="655164A5" w:rsidR="00F47ADA" w:rsidRPr="00552EF9" w:rsidRDefault="00F47ADA" w:rsidP="00F47ADA">
      <w:pPr>
        <w:keepNext/>
        <w:keepLines/>
        <w:ind w:left="567" w:hanging="567"/>
        <w:rPr>
          <w:rFonts w:ascii="Symbol" w:hAnsi="Symbol" w:cs="Symbol"/>
          <w:szCs w:val="22"/>
          <w:lang w:val="lv-LV"/>
        </w:rPr>
      </w:pPr>
      <w:r>
        <w:rPr>
          <w:i/>
          <w:lang w:val="lv-LV"/>
        </w:rPr>
        <w:t>T</w:t>
      </w:r>
      <w:r w:rsidRPr="00552EF9">
        <w:rPr>
          <w:i/>
          <w:lang w:val="lv-LV"/>
        </w:rPr>
        <w:t>ās var rasties līdz 1</w:t>
      </w:r>
      <w:r>
        <w:rPr>
          <w:i/>
          <w:lang w:val="lv-LV"/>
        </w:rPr>
        <w:t> </w:t>
      </w:r>
      <w:r w:rsidRPr="00552EF9">
        <w:rPr>
          <w:i/>
          <w:lang w:val="lv-LV"/>
        </w:rPr>
        <w:t>no 100 </w:t>
      </w:r>
      <w:r>
        <w:rPr>
          <w:i/>
          <w:lang w:val="lv-LV"/>
        </w:rPr>
        <w:t>cilvēkiem</w:t>
      </w:r>
      <w:r w:rsidRPr="00552EF9">
        <w:rPr>
          <w:i/>
          <w:lang w:val="lv-LV"/>
        </w:rPr>
        <w:t>:</w:t>
      </w:r>
    </w:p>
    <w:p w14:paraId="467C3409" w14:textId="4C16AD0D" w:rsidR="00F47ADA" w:rsidRPr="009037A9" w:rsidRDefault="001036DD" w:rsidP="00707120">
      <w:pPr>
        <w:pStyle w:val="ListParagraph"/>
        <w:keepNext/>
        <w:keepLines/>
        <w:ind w:left="567" w:hanging="567"/>
        <w:rPr>
          <w:rFonts w:ascii="Symbol" w:hAnsi="Symbol" w:cs="Symbol"/>
          <w:szCs w:val="22"/>
          <w:lang w:val="lv-LV"/>
        </w:rPr>
      </w:pPr>
      <w:r>
        <w:rPr>
          <w:lang w:val="nb-NO"/>
        </w:rPr>
        <w:sym w:font="Symbol" w:char="F0B7"/>
      </w:r>
      <w:r>
        <w:rPr>
          <w:lang w:val="nb-NO"/>
        </w:rPr>
        <w:tab/>
      </w:r>
      <w:r w:rsidR="00F47ADA" w:rsidRPr="009037A9">
        <w:rPr>
          <w:szCs w:val="22"/>
          <w:lang w:val="lv-LV"/>
        </w:rPr>
        <w:t>divertikulīts (drudzis, slikta dūša, caureja, aizcietējums, vēdersāpes);</w:t>
      </w:r>
    </w:p>
    <w:p w14:paraId="25E52AD1" w14:textId="30FDCF3A" w:rsidR="00F47ADA" w:rsidRPr="009037A9" w:rsidRDefault="001036DD" w:rsidP="00707120">
      <w:pPr>
        <w:pStyle w:val="ListParagraph"/>
        <w:keepNext/>
        <w:keepLines/>
        <w:ind w:left="567" w:hanging="567"/>
        <w:rPr>
          <w:rFonts w:ascii="Symbol" w:hAnsi="Symbol" w:cs="Symbol"/>
          <w:szCs w:val="22"/>
          <w:lang w:val="lv-LV"/>
        </w:rPr>
      </w:pPr>
      <w:r>
        <w:rPr>
          <w:lang w:val="nb-NO"/>
        </w:rPr>
        <w:sym w:font="Symbol" w:char="F0B7"/>
      </w:r>
      <w:r>
        <w:rPr>
          <w:lang w:val="nb-NO"/>
        </w:rPr>
        <w:tab/>
      </w:r>
      <w:r w:rsidR="00F47ADA" w:rsidRPr="009037A9">
        <w:rPr>
          <w:szCs w:val="22"/>
          <w:lang w:val="lv-LV"/>
        </w:rPr>
        <w:t>sarkani, pietūkuši apvidi mutē;</w:t>
      </w:r>
    </w:p>
    <w:p w14:paraId="63A85CD4" w14:textId="6BF8C394" w:rsidR="00F47ADA" w:rsidRPr="009037A9" w:rsidRDefault="001036DD" w:rsidP="00707120">
      <w:pPr>
        <w:pStyle w:val="ListParagraph"/>
        <w:keepNext/>
        <w:keepLines/>
        <w:ind w:left="567" w:hanging="567"/>
        <w:rPr>
          <w:rFonts w:ascii="Symbol" w:hAnsi="Symbol" w:cs="Symbol"/>
          <w:szCs w:val="22"/>
          <w:lang w:val="lv-LV"/>
        </w:rPr>
      </w:pPr>
      <w:r>
        <w:rPr>
          <w:lang w:val="nb-NO"/>
        </w:rPr>
        <w:sym w:font="Symbol" w:char="F0B7"/>
      </w:r>
      <w:r>
        <w:rPr>
          <w:lang w:val="nb-NO"/>
        </w:rPr>
        <w:tab/>
      </w:r>
      <w:r w:rsidR="00F47ADA" w:rsidRPr="009037A9">
        <w:rPr>
          <w:szCs w:val="22"/>
          <w:lang w:val="lv-LV"/>
        </w:rPr>
        <w:t>augsts tauku (triglicerīdu) līmenis asinīs;</w:t>
      </w:r>
    </w:p>
    <w:p w14:paraId="4CFE271A" w14:textId="15E7A9C8" w:rsidR="00F47ADA" w:rsidRPr="009037A9" w:rsidRDefault="001036DD" w:rsidP="00707120">
      <w:pPr>
        <w:pStyle w:val="ListParagraph"/>
        <w:keepNext/>
        <w:keepLines/>
        <w:ind w:left="567" w:hanging="567"/>
        <w:rPr>
          <w:rFonts w:ascii="Symbol" w:hAnsi="Symbol" w:cs="Symbol"/>
          <w:szCs w:val="22"/>
          <w:lang w:val="lv-LV"/>
        </w:rPr>
      </w:pPr>
      <w:r>
        <w:rPr>
          <w:lang w:val="nb-NO"/>
        </w:rPr>
        <w:sym w:font="Symbol" w:char="F0B7"/>
      </w:r>
      <w:r>
        <w:rPr>
          <w:lang w:val="nb-NO"/>
        </w:rPr>
        <w:tab/>
      </w:r>
      <w:r w:rsidR="00F47ADA" w:rsidRPr="009037A9">
        <w:rPr>
          <w:szCs w:val="22"/>
          <w:lang w:val="lv-LV"/>
        </w:rPr>
        <w:t>kuņģa čūla;</w:t>
      </w:r>
    </w:p>
    <w:p w14:paraId="4D2EF479" w14:textId="2275237F" w:rsidR="00F47ADA" w:rsidRPr="009037A9" w:rsidRDefault="001036DD" w:rsidP="00707120">
      <w:pPr>
        <w:pStyle w:val="ListParagraph"/>
        <w:keepNext/>
        <w:keepLines/>
        <w:ind w:left="567" w:hanging="567"/>
        <w:rPr>
          <w:rFonts w:ascii="Symbol" w:hAnsi="Symbol" w:cs="Symbol"/>
          <w:szCs w:val="22"/>
          <w:lang w:val="lv-LV"/>
        </w:rPr>
      </w:pPr>
      <w:r>
        <w:rPr>
          <w:lang w:val="nb-NO"/>
        </w:rPr>
        <w:sym w:font="Symbol" w:char="F0B7"/>
      </w:r>
      <w:r>
        <w:rPr>
          <w:lang w:val="nb-NO"/>
        </w:rPr>
        <w:tab/>
      </w:r>
      <w:r w:rsidR="00F47ADA" w:rsidRPr="009037A9">
        <w:rPr>
          <w:szCs w:val="22"/>
          <w:lang w:val="lv-LV"/>
        </w:rPr>
        <w:t>nierakmeņi;</w:t>
      </w:r>
    </w:p>
    <w:p w14:paraId="1D65B29B" w14:textId="55A94FC0" w:rsidR="00F47ADA" w:rsidRPr="009037A9" w:rsidRDefault="001036DD" w:rsidP="00707120">
      <w:pPr>
        <w:pStyle w:val="ListParagraph"/>
        <w:keepNext/>
        <w:keepLines/>
        <w:ind w:left="567" w:hanging="567"/>
        <w:rPr>
          <w:szCs w:val="22"/>
          <w:lang w:val="lv-LV"/>
        </w:rPr>
      </w:pPr>
      <w:r>
        <w:rPr>
          <w:lang w:val="nb-NO"/>
        </w:rPr>
        <w:sym w:font="Symbol" w:char="F0B7"/>
      </w:r>
      <w:r>
        <w:rPr>
          <w:lang w:val="nb-NO"/>
        </w:rPr>
        <w:tab/>
      </w:r>
      <w:r w:rsidR="00F47ADA" w:rsidRPr="009037A9">
        <w:rPr>
          <w:szCs w:val="22"/>
          <w:lang w:val="lv-LV"/>
        </w:rPr>
        <w:t>pavājināta vairogdziedzera darbība.</w:t>
      </w:r>
    </w:p>
    <w:p w14:paraId="6181A652" w14:textId="77777777" w:rsidR="00F47ADA" w:rsidRDefault="00F47ADA">
      <w:pPr>
        <w:ind w:left="720" w:hanging="720"/>
        <w:rPr>
          <w:szCs w:val="22"/>
          <w:lang w:val="lv-LV"/>
        </w:rPr>
        <w:pPrChange w:id="1602" w:author="Author">
          <w:pPr>
            <w:keepNext/>
            <w:keepLines/>
            <w:ind w:left="720" w:right="-2" w:hanging="720"/>
          </w:pPr>
        </w:pPrChange>
      </w:pPr>
    </w:p>
    <w:p w14:paraId="45D6729A" w14:textId="5B656C11" w:rsidR="00F47ADA" w:rsidRDefault="00F47ADA" w:rsidP="00F47ADA">
      <w:pPr>
        <w:keepNext/>
        <w:keepLines/>
        <w:ind w:right="-2"/>
        <w:rPr>
          <w:b/>
          <w:szCs w:val="22"/>
          <w:lang w:val="lv-LV"/>
        </w:rPr>
      </w:pPr>
      <w:r>
        <w:rPr>
          <w:b/>
          <w:szCs w:val="22"/>
          <w:lang w:val="lv-LV"/>
        </w:rPr>
        <w:t>Retas blakusparādības</w:t>
      </w:r>
    </w:p>
    <w:p w14:paraId="4EF75D7A" w14:textId="0AC9B4C3" w:rsidR="00F47ADA" w:rsidRPr="00552EF9" w:rsidRDefault="00F47ADA" w:rsidP="00F47ADA">
      <w:pPr>
        <w:keepNext/>
        <w:keepLines/>
        <w:ind w:left="567" w:hanging="567"/>
        <w:rPr>
          <w:rFonts w:ascii="Symbol" w:hAnsi="Symbol" w:cs="Symbol"/>
          <w:szCs w:val="22"/>
          <w:lang w:val="lv-LV"/>
        </w:rPr>
      </w:pPr>
      <w:r>
        <w:rPr>
          <w:i/>
          <w:lang w:val="lv-LV"/>
        </w:rPr>
        <w:t>T</w:t>
      </w:r>
      <w:r w:rsidRPr="00552EF9">
        <w:rPr>
          <w:i/>
          <w:lang w:val="lv-LV"/>
        </w:rPr>
        <w:t>ās var rasties līdz 1</w:t>
      </w:r>
      <w:r>
        <w:rPr>
          <w:i/>
          <w:lang w:val="lv-LV"/>
        </w:rPr>
        <w:t> </w:t>
      </w:r>
      <w:r w:rsidRPr="00552EF9">
        <w:rPr>
          <w:i/>
          <w:lang w:val="lv-LV"/>
        </w:rPr>
        <w:t>no 10</w:t>
      </w:r>
      <w:r>
        <w:rPr>
          <w:i/>
          <w:lang w:val="lv-LV"/>
        </w:rPr>
        <w:t>0</w:t>
      </w:r>
      <w:r w:rsidRPr="00552EF9">
        <w:rPr>
          <w:i/>
          <w:lang w:val="lv-LV"/>
        </w:rPr>
        <w:t>0 </w:t>
      </w:r>
      <w:r>
        <w:rPr>
          <w:i/>
          <w:lang w:val="lv-LV"/>
        </w:rPr>
        <w:t>cilvēkiem</w:t>
      </w:r>
      <w:r w:rsidRPr="00552EF9">
        <w:rPr>
          <w:i/>
          <w:lang w:val="lv-LV"/>
        </w:rPr>
        <w:t>:</w:t>
      </w:r>
    </w:p>
    <w:p w14:paraId="02CA01DE" w14:textId="60BDA3AC" w:rsidR="00F47ADA" w:rsidRPr="009037A9" w:rsidRDefault="001036DD" w:rsidP="00707120">
      <w:pPr>
        <w:pStyle w:val="ListParagraph"/>
        <w:keepNext/>
        <w:keepLines/>
        <w:ind w:left="567" w:hanging="567"/>
        <w:rPr>
          <w:szCs w:val="22"/>
          <w:lang w:val="lv-LV"/>
        </w:rPr>
      </w:pPr>
      <w:r>
        <w:rPr>
          <w:lang w:val="nb-NO"/>
        </w:rPr>
        <w:sym w:font="Symbol" w:char="F0B7"/>
      </w:r>
      <w:r>
        <w:rPr>
          <w:lang w:val="nb-NO"/>
        </w:rPr>
        <w:tab/>
      </w:r>
      <w:r w:rsidR="00F47ADA" w:rsidRPr="009037A9">
        <w:rPr>
          <w:szCs w:val="22"/>
          <w:lang w:val="lv-LV"/>
        </w:rPr>
        <w:t>Stīvensa-Džonsona sindroms (izsitumi uz ādas, no kā var veidoties pūšļi un ādas lobīšanās);</w:t>
      </w:r>
    </w:p>
    <w:p w14:paraId="1AB64E62" w14:textId="225E22C7" w:rsidR="00F47ADA" w:rsidRPr="009037A9" w:rsidRDefault="001036DD" w:rsidP="00707120">
      <w:pPr>
        <w:pStyle w:val="ListParagraph"/>
        <w:keepNext/>
        <w:keepLines/>
        <w:ind w:left="567" w:hanging="567"/>
        <w:rPr>
          <w:szCs w:val="22"/>
          <w:lang w:val="lv-LV"/>
        </w:rPr>
      </w:pPr>
      <w:r>
        <w:rPr>
          <w:lang w:val="nb-NO"/>
        </w:rPr>
        <w:sym w:font="Symbol" w:char="F0B7"/>
      </w:r>
      <w:r>
        <w:rPr>
          <w:lang w:val="nb-NO"/>
        </w:rPr>
        <w:tab/>
      </w:r>
      <w:r w:rsidR="00F47ADA" w:rsidRPr="009037A9">
        <w:rPr>
          <w:szCs w:val="22"/>
          <w:lang w:val="lv-LV"/>
        </w:rPr>
        <w:t>alerģiskas reakcijas ar letālu iznākumu (anafilakse);</w:t>
      </w:r>
    </w:p>
    <w:p w14:paraId="5EE9C9F0" w14:textId="269EC93A" w:rsidR="00F47ADA" w:rsidRPr="009037A9" w:rsidRDefault="001036DD" w:rsidP="00707120">
      <w:pPr>
        <w:pStyle w:val="ListParagraph"/>
        <w:keepNext/>
        <w:keepLines/>
        <w:ind w:left="567" w:hanging="567"/>
        <w:rPr>
          <w:szCs w:val="22"/>
          <w:lang w:val="lv-LV"/>
        </w:rPr>
      </w:pPr>
      <w:r>
        <w:rPr>
          <w:lang w:val="nb-NO"/>
        </w:rPr>
        <w:sym w:font="Symbol" w:char="F0B7"/>
      </w:r>
      <w:r>
        <w:rPr>
          <w:lang w:val="nb-NO"/>
        </w:rPr>
        <w:tab/>
      </w:r>
      <w:r w:rsidR="00F47ADA" w:rsidRPr="009037A9">
        <w:rPr>
          <w:szCs w:val="22"/>
          <w:lang w:val="lv-LV"/>
        </w:rPr>
        <w:t>aknu iekaisums (hepatīts), dzelte.</w:t>
      </w:r>
    </w:p>
    <w:p w14:paraId="49F4DFD8" w14:textId="77777777" w:rsidR="00F47ADA" w:rsidRDefault="00F47ADA" w:rsidP="00707120">
      <w:pPr>
        <w:ind w:left="567" w:hanging="567"/>
        <w:rPr>
          <w:b/>
          <w:szCs w:val="22"/>
          <w:lang w:val="lv-LV"/>
        </w:rPr>
      </w:pPr>
    </w:p>
    <w:p w14:paraId="523C2B46" w14:textId="349A741D" w:rsidR="00F47ADA" w:rsidRPr="00FB00E4" w:rsidRDefault="00F47ADA" w:rsidP="00F47ADA">
      <w:pPr>
        <w:ind w:right="-2"/>
        <w:rPr>
          <w:b/>
          <w:i/>
          <w:szCs w:val="22"/>
          <w:lang w:val="lv-LV"/>
        </w:rPr>
      </w:pPr>
      <w:r w:rsidRPr="00FB00E4">
        <w:rPr>
          <w:b/>
          <w:szCs w:val="22"/>
          <w:lang w:val="lv-LV"/>
        </w:rPr>
        <w:t>Ļoti retas blakusparādības</w:t>
      </w:r>
    </w:p>
    <w:p w14:paraId="6954F30B" w14:textId="1F4D556D" w:rsidR="00F47ADA" w:rsidRPr="00552EF9" w:rsidRDefault="00F47ADA" w:rsidP="00F47ADA">
      <w:pPr>
        <w:ind w:left="567" w:hanging="567"/>
        <w:rPr>
          <w:rFonts w:ascii="Symbol" w:hAnsi="Symbol" w:cs="Symbol"/>
          <w:szCs w:val="22"/>
          <w:lang w:val="lv-LV"/>
        </w:rPr>
      </w:pPr>
      <w:r>
        <w:rPr>
          <w:i/>
          <w:lang w:val="lv-LV"/>
        </w:rPr>
        <w:t>T</w:t>
      </w:r>
      <w:r w:rsidRPr="00552EF9">
        <w:rPr>
          <w:i/>
          <w:lang w:val="lv-LV"/>
        </w:rPr>
        <w:t>ās var rasties līdz 1</w:t>
      </w:r>
      <w:r>
        <w:rPr>
          <w:i/>
          <w:lang w:val="lv-LV"/>
        </w:rPr>
        <w:t> </w:t>
      </w:r>
      <w:r w:rsidRPr="00552EF9">
        <w:rPr>
          <w:i/>
          <w:lang w:val="lv-LV"/>
        </w:rPr>
        <w:t>no 10 000 </w:t>
      </w:r>
      <w:r>
        <w:rPr>
          <w:i/>
          <w:lang w:val="lv-LV"/>
        </w:rPr>
        <w:t>cilvēkiem</w:t>
      </w:r>
      <w:r w:rsidRPr="00552EF9">
        <w:rPr>
          <w:i/>
          <w:lang w:val="lv-LV"/>
        </w:rPr>
        <w:t>:</w:t>
      </w:r>
    </w:p>
    <w:p w14:paraId="7AFCEC4C" w14:textId="5AD227EB" w:rsidR="00F47ADA" w:rsidRPr="009037A9" w:rsidRDefault="001036DD" w:rsidP="00707120">
      <w:pPr>
        <w:pStyle w:val="ListParagraph"/>
        <w:ind w:left="567" w:hanging="567"/>
        <w:rPr>
          <w:b/>
          <w:szCs w:val="22"/>
          <w:lang w:val="lv-LV"/>
        </w:rPr>
      </w:pPr>
      <w:r>
        <w:rPr>
          <w:lang w:val="nb-NO"/>
        </w:rPr>
        <w:sym w:font="Symbol" w:char="F0B7"/>
      </w:r>
      <w:r>
        <w:rPr>
          <w:lang w:val="nb-NO"/>
        </w:rPr>
        <w:tab/>
      </w:r>
      <w:r w:rsidR="00F47ADA" w:rsidRPr="009037A9">
        <w:rPr>
          <w:szCs w:val="22"/>
          <w:lang w:val="lv-LV"/>
        </w:rPr>
        <w:t>mazs balto asins šūnu skaits, mazs sarkano asins šūnu skaits vai mazs trombocītu skaits asinsanalīzēs;</w:t>
      </w:r>
    </w:p>
    <w:p w14:paraId="540210C0" w14:textId="2D94AD03" w:rsidR="00F47ADA" w:rsidRPr="009037A9" w:rsidRDefault="001036DD" w:rsidP="00707120">
      <w:pPr>
        <w:pStyle w:val="ListParagraph"/>
        <w:ind w:left="567" w:hanging="567"/>
        <w:rPr>
          <w:b/>
          <w:szCs w:val="22"/>
          <w:lang w:val="lv-LV"/>
        </w:rPr>
      </w:pPr>
      <w:r>
        <w:rPr>
          <w:lang w:val="nb-NO"/>
        </w:rPr>
        <w:sym w:font="Symbol" w:char="F0B7"/>
      </w:r>
      <w:r>
        <w:rPr>
          <w:lang w:val="nb-NO"/>
        </w:rPr>
        <w:tab/>
      </w:r>
      <w:r w:rsidR="00F47ADA" w:rsidRPr="009037A9">
        <w:rPr>
          <w:szCs w:val="22"/>
          <w:lang w:val="lv-LV"/>
        </w:rPr>
        <w:t>aknu mazspēja.</w:t>
      </w:r>
    </w:p>
    <w:p w14:paraId="6E497A60" w14:textId="77777777" w:rsidR="00F47ADA" w:rsidRPr="00FB00E4" w:rsidRDefault="00F47ADA" w:rsidP="00F47ADA">
      <w:pPr>
        <w:ind w:right="-2"/>
        <w:rPr>
          <w:bCs/>
          <w:szCs w:val="22"/>
          <w:lang w:val="lv-LV"/>
        </w:rPr>
      </w:pPr>
    </w:p>
    <w:p w14:paraId="13E8B2E8" w14:textId="77777777" w:rsidR="00F47ADA" w:rsidRPr="00FB00E4" w:rsidRDefault="00F47ADA" w:rsidP="00F47ADA">
      <w:pPr>
        <w:numPr>
          <w:ilvl w:val="12"/>
          <w:numId w:val="0"/>
        </w:numPr>
        <w:tabs>
          <w:tab w:val="left" w:pos="567"/>
        </w:tabs>
        <w:suppressAutoHyphens w:val="0"/>
        <w:outlineLvl w:val="0"/>
        <w:rPr>
          <w:b/>
          <w:snapToGrid w:val="0"/>
          <w:szCs w:val="22"/>
          <w:lang w:val="lv-LV" w:eastAsia="zh-CN"/>
        </w:rPr>
      </w:pPr>
      <w:r w:rsidRPr="00FB00E4">
        <w:rPr>
          <w:b/>
          <w:snapToGrid w:val="0"/>
          <w:szCs w:val="22"/>
          <w:lang w:val="lv-LV" w:eastAsia="zh-CN"/>
        </w:rPr>
        <w:t>Ziņošana par blakusparādībām</w:t>
      </w:r>
    </w:p>
    <w:p w14:paraId="45323E7D" w14:textId="0968A5A3" w:rsidR="00F47ADA" w:rsidRDefault="00F47ADA" w:rsidP="00707120">
      <w:pPr>
        <w:ind w:right="-2"/>
        <w:rPr>
          <w:snapToGrid w:val="0"/>
          <w:lang w:val="lv-LV" w:eastAsia="zh-CN"/>
        </w:rPr>
      </w:pPr>
      <w:r w:rsidRPr="00552EF9">
        <w:rPr>
          <w:bCs/>
          <w:szCs w:val="22"/>
          <w:lang w:val="lv-LV"/>
        </w:rPr>
        <w:t xml:space="preserve">Ja Jums rodas jebkādas blakusparādības, konsultējieties ar ārstu, farmaceitu vai medmāsu. Tas attiecas arī uz iespējamām blakusparādībām, kas nav minētas šajā instrukcijā. </w:t>
      </w:r>
      <w:r w:rsidRPr="00552EF9">
        <w:rPr>
          <w:snapToGrid w:val="0"/>
          <w:szCs w:val="22"/>
          <w:lang w:val="lv-LV" w:eastAsia="zh-CN"/>
        </w:rPr>
        <w:t xml:space="preserve">Jūs varat ziņot par blakusparādībām arī tieši, izmantojot </w:t>
      </w:r>
      <w:r w:rsidR="007E17F8">
        <w:fldChar w:fldCharType="begin"/>
      </w:r>
      <w:r w:rsidR="007E17F8" w:rsidRPr="00DD58C9">
        <w:rPr>
          <w:lang w:val="lv-LV"/>
          <w:rPrChange w:id="1603" w:author="Author">
            <w:rPr/>
          </w:rPrChange>
        </w:rPr>
        <w:instrText xml:space="preserve"> HYPERLINK "https://www.ema.europa.eu/documents/template-form/qrd-appendix-v-adverse-drug-reaction-reporting-details_en.docx" </w:instrText>
      </w:r>
      <w:r w:rsidR="007E17F8">
        <w:fldChar w:fldCharType="separate"/>
      </w:r>
      <w:r w:rsidRPr="00BB4769">
        <w:rPr>
          <w:snapToGrid w:val="0"/>
          <w:color w:val="0000FF"/>
          <w:highlight w:val="lightGray"/>
          <w:u w:val="single"/>
          <w:lang w:val="lv-LV" w:eastAsia="zh-CN"/>
        </w:rPr>
        <w:t>V pielikumā</w:t>
      </w:r>
      <w:r w:rsidR="007E17F8">
        <w:rPr>
          <w:snapToGrid w:val="0"/>
          <w:color w:val="0000FF"/>
          <w:highlight w:val="lightGray"/>
          <w:u w:val="single"/>
          <w:lang w:val="lv-LV" w:eastAsia="zh-CN"/>
        </w:rPr>
        <w:fldChar w:fldCharType="end"/>
      </w:r>
      <w:r w:rsidRPr="00BB4769">
        <w:rPr>
          <w:snapToGrid w:val="0"/>
          <w:szCs w:val="22"/>
          <w:highlight w:val="lightGray"/>
          <w:lang w:val="lv-LV" w:eastAsia="zh-CN"/>
        </w:rPr>
        <w:t xml:space="preserve"> minēto nacionālās ziņošanas sistēmas kontaktinformāciju</w:t>
      </w:r>
      <w:r w:rsidRPr="00552EF9">
        <w:rPr>
          <w:snapToGrid w:val="0"/>
          <w:szCs w:val="22"/>
          <w:lang w:val="lv-LV" w:eastAsia="zh-CN"/>
        </w:rPr>
        <w:t>. Ziņojot par blakusparādībām, Jūs varat palīdzēt nodrošināt daudz plašāku informāciju par šo zāļu drošumu</w:t>
      </w:r>
      <w:r w:rsidRPr="00552EF9">
        <w:rPr>
          <w:snapToGrid w:val="0"/>
          <w:lang w:val="lv-LV" w:eastAsia="zh-CN"/>
        </w:rPr>
        <w:t>.</w:t>
      </w:r>
    </w:p>
    <w:p w14:paraId="339422E5" w14:textId="77777777" w:rsidR="00F47ADA" w:rsidRDefault="00F47ADA" w:rsidP="00F47ADA">
      <w:pPr>
        <w:rPr>
          <w:szCs w:val="22"/>
          <w:lang w:val="lv-LV"/>
        </w:rPr>
      </w:pPr>
    </w:p>
    <w:p w14:paraId="550B6ABB" w14:textId="77777777" w:rsidR="00F47ADA" w:rsidRPr="00720884" w:rsidRDefault="00F47ADA" w:rsidP="00F47ADA">
      <w:pPr>
        <w:rPr>
          <w:szCs w:val="22"/>
          <w:lang w:val="lv-LV"/>
        </w:rPr>
      </w:pPr>
      <w:r w:rsidRPr="00E1075D">
        <w:rPr>
          <w:b/>
          <w:bCs/>
          <w:szCs w:val="22"/>
          <w:lang w:val="lv-LV"/>
        </w:rPr>
        <w:t>Bērni ar sJIA</w:t>
      </w:r>
    </w:p>
    <w:p w14:paraId="320A62F9" w14:textId="77777777" w:rsidR="00F47ADA" w:rsidRDefault="00F47ADA" w:rsidP="00F47ADA">
      <w:pPr>
        <w:ind w:right="-2"/>
        <w:rPr>
          <w:szCs w:val="22"/>
          <w:lang w:val="lv-LV"/>
        </w:rPr>
      </w:pPr>
      <w:r>
        <w:rPr>
          <w:szCs w:val="22"/>
          <w:lang w:val="lv-LV"/>
        </w:rPr>
        <w:t>Kopumā pacientiem ar sJIA nevēlamās blakusparādības bija līdzīgas tām, kādas novērotas pieaugušajiem ar RA. Dažas blakusparādības tika novērotas biežāk: deguna un rīkles iekaisums, caureja, samazināts leikocītu skaits un paaugstināts aknu enzīmu līmenis.</w:t>
      </w:r>
    </w:p>
    <w:p w14:paraId="5383B888" w14:textId="77777777" w:rsidR="00F47ADA" w:rsidRDefault="00F47ADA" w:rsidP="00F47ADA">
      <w:pPr>
        <w:ind w:right="-2"/>
        <w:rPr>
          <w:szCs w:val="22"/>
          <w:lang w:val="lv-LV"/>
        </w:rPr>
      </w:pPr>
    </w:p>
    <w:p w14:paraId="7F4B1D95" w14:textId="77777777" w:rsidR="00F47ADA" w:rsidRPr="00720884" w:rsidRDefault="00F47ADA" w:rsidP="00F47ADA">
      <w:pPr>
        <w:rPr>
          <w:szCs w:val="22"/>
          <w:lang w:val="lv-LV"/>
        </w:rPr>
      </w:pPr>
      <w:r w:rsidRPr="00E1075D">
        <w:rPr>
          <w:b/>
          <w:bCs/>
          <w:szCs w:val="22"/>
          <w:lang w:val="lv-LV"/>
        </w:rPr>
        <w:t>Bērni ar pJIA</w:t>
      </w:r>
    </w:p>
    <w:p w14:paraId="7FBAD7B5" w14:textId="77777777" w:rsidR="00F47ADA" w:rsidRDefault="00F47ADA" w:rsidP="00F47ADA">
      <w:pPr>
        <w:ind w:right="-2"/>
        <w:rPr>
          <w:szCs w:val="22"/>
          <w:lang w:val="lv-LV"/>
        </w:rPr>
      </w:pPr>
      <w:r>
        <w:rPr>
          <w:szCs w:val="22"/>
          <w:lang w:val="lv-LV"/>
        </w:rPr>
        <w:t>Kopumā pacientiem ar pJIA nevēlamās blakusparādības bija līdzīgas tām, kādas novērotas pieaugušajiem ar RA. Dažas blakusparādības tika novērotas biežāk:deguna un rīkles iekaisums, galvassāpes, slikta dūša un samazināts leikocītu skaits.</w:t>
      </w:r>
    </w:p>
    <w:p w14:paraId="3DF24140" w14:textId="77777777" w:rsidR="00F47ADA" w:rsidRDefault="00F47ADA" w:rsidP="00F47ADA">
      <w:pPr>
        <w:ind w:right="-2"/>
        <w:rPr>
          <w:szCs w:val="22"/>
          <w:lang w:val="lv-LV"/>
        </w:rPr>
      </w:pPr>
    </w:p>
    <w:p w14:paraId="11BE0FE4" w14:textId="77777777" w:rsidR="00F47ADA" w:rsidRDefault="00F47ADA" w:rsidP="00F47ADA">
      <w:pPr>
        <w:ind w:right="-2"/>
        <w:rPr>
          <w:szCs w:val="22"/>
          <w:lang w:val="lv-LV"/>
        </w:rPr>
      </w:pPr>
    </w:p>
    <w:p w14:paraId="437456EC" w14:textId="77777777" w:rsidR="00F47ADA" w:rsidRPr="00980DD8" w:rsidRDefault="00F47ADA" w:rsidP="00F47ADA">
      <w:pPr>
        <w:keepNext/>
        <w:keepLines/>
        <w:ind w:left="562" w:hanging="562"/>
        <w:rPr>
          <w:szCs w:val="22"/>
          <w:lang w:val="lv-LV"/>
        </w:rPr>
      </w:pPr>
      <w:r w:rsidRPr="00980DD8">
        <w:rPr>
          <w:b/>
          <w:szCs w:val="22"/>
          <w:lang w:val="lv-LV"/>
        </w:rPr>
        <w:t>5.</w:t>
      </w:r>
      <w:r w:rsidRPr="00980DD8">
        <w:rPr>
          <w:b/>
          <w:szCs w:val="22"/>
          <w:lang w:val="lv-LV"/>
        </w:rPr>
        <w:tab/>
        <w:t>Kā uzglabāt RoActemra</w:t>
      </w:r>
    </w:p>
    <w:p w14:paraId="6137854E" w14:textId="77777777" w:rsidR="00F47ADA" w:rsidRDefault="00F47ADA" w:rsidP="00F47ADA">
      <w:pPr>
        <w:keepNext/>
        <w:ind w:right="-2"/>
        <w:rPr>
          <w:szCs w:val="22"/>
          <w:lang w:val="lv-LV"/>
        </w:rPr>
      </w:pPr>
    </w:p>
    <w:p w14:paraId="2A01FEEB" w14:textId="0EA70867" w:rsidR="00F47ADA" w:rsidRDefault="00F47ADA" w:rsidP="00F47ADA">
      <w:pPr>
        <w:keepNext/>
        <w:ind w:right="-2"/>
        <w:rPr>
          <w:szCs w:val="22"/>
          <w:lang w:val="lv-LV"/>
        </w:rPr>
      </w:pPr>
      <w:r>
        <w:rPr>
          <w:szCs w:val="22"/>
          <w:lang w:val="lv-LV"/>
        </w:rPr>
        <w:t>Uzglabāt šīs zāles bērniem neredzamā un nepieejamā vietā.</w:t>
      </w:r>
    </w:p>
    <w:p w14:paraId="299D4155" w14:textId="77777777" w:rsidR="00F47ADA" w:rsidRDefault="00F47ADA" w:rsidP="00F47ADA">
      <w:pPr>
        <w:rPr>
          <w:lang w:val="lv-LV"/>
        </w:rPr>
      </w:pPr>
    </w:p>
    <w:p w14:paraId="10E02A0E" w14:textId="0A6CE149" w:rsidR="00F47ADA" w:rsidRDefault="00F47ADA" w:rsidP="00F47ADA">
      <w:pPr>
        <w:rPr>
          <w:szCs w:val="22"/>
          <w:lang w:val="lv-LV"/>
        </w:rPr>
      </w:pPr>
      <w:r>
        <w:rPr>
          <w:lang w:val="lv-LV"/>
        </w:rPr>
        <w:t xml:space="preserve">Nelietot šīs zāles pēc derīguma termiņa beigām, kas norādīts uz kastītes </w:t>
      </w:r>
      <w:r w:rsidR="00884395">
        <w:rPr>
          <w:lang w:val="lv-LV"/>
        </w:rPr>
        <w:t>pēc</w:t>
      </w:r>
      <w:r>
        <w:rPr>
          <w:lang w:val="lv-LV"/>
        </w:rPr>
        <w:t xml:space="preserve"> “</w:t>
      </w:r>
      <w:r w:rsidR="00884395">
        <w:rPr>
          <w:lang w:val="lv-LV"/>
        </w:rPr>
        <w:t>EXP</w:t>
      </w:r>
      <w:r>
        <w:rPr>
          <w:lang w:val="lv-LV"/>
        </w:rPr>
        <w:t>”. Derīguma termiņš attiecas uz norādītā mēneša pēdējo dienu.</w:t>
      </w:r>
    </w:p>
    <w:p w14:paraId="02BA1C34" w14:textId="77777777" w:rsidR="00F47ADA" w:rsidRDefault="00F47ADA" w:rsidP="00F47ADA">
      <w:pPr>
        <w:ind w:right="-2"/>
        <w:rPr>
          <w:szCs w:val="22"/>
          <w:lang w:val="lv-LV"/>
        </w:rPr>
      </w:pPr>
    </w:p>
    <w:p w14:paraId="38D8A473" w14:textId="6D04D367" w:rsidR="00F47ADA" w:rsidRDefault="00F47ADA" w:rsidP="00F47ADA">
      <w:pPr>
        <w:rPr>
          <w:szCs w:val="22"/>
          <w:lang w:val="lv-LV"/>
        </w:rPr>
      </w:pPr>
      <w:r>
        <w:rPr>
          <w:szCs w:val="22"/>
          <w:lang w:val="lv-LV"/>
        </w:rPr>
        <w:t>Uzglabāt ledusskapī (2 °C</w:t>
      </w:r>
      <w:r w:rsidRPr="00E1075D">
        <w:rPr>
          <w:szCs w:val="22"/>
          <w:lang w:val="lv-LV"/>
        </w:rPr>
        <w:t>-</w:t>
      </w:r>
      <w:r>
        <w:rPr>
          <w:szCs w:val="22"/>
          <w:lang w:val="lv-LV"/>
        </w:rPr>
        <w:t xml:space="preserve">8 °C). Nesasaldēt. </w:t>
      </w:r>
    </w:p>
    <w:p w14:paraId="6A29940A" w14:textId="77777777" w:rsidR="00F47ADA" w:rsidRDefault="00F47ADA" w:rsidP="00F47ADA">
      <w:pPr>
        <w:rPr>
          <w:szCs w:val="22"/>
          <w:lang w:val="lv-LV"/>
        </w:rPr>
      </w:pPr>
    </w:p>
    <w:p w14:paraId="58212051" w14:textId="77777777" w:rsidR="00F47ADA" w:rsidRDefault="00F47ADA" w:rsidP="00F47ADA">
      <w:pPr>
        <w:rPr>
          <w:lang w:val="lv-LV"/>
        </w:rPr>
      </w:pPr>
      <w:r>
        <w:rPr>
          <w:szCs w:val="22"/>
          <w:lang w:val="lv-LV"/>
        </w:rPr>
        <w:t>Uzglabāt flakonu ārējā kastītē, lai pasargātu no gaismas.</w:t>
      </w:r>
    </w:p>
    <w:p w14:paraId="09E1B7B8" w14:textId="77777777" w:rsidR="00F47ADA" w:rsidRDefault="00F47ADA" w:rsidP="00F47ADA">
      <w:pPr>
        <w:ind w:left="567" w:right="-2" w:hanging="567"/>
        <w:rPr>
          <w:szCs w:val="22"/>
          <w:lang w:val="lv-LV"/>
        </w:rPr>
      </w:pPr>
    </w:p>
    <w:p w14:paraId="3351BDB9" w14:textId="77777777" w:rsidR="00F47ADA" w:rsidRDefault="00F47ADA" w:rsidP="00F47ADA">
      <w:pPr>
        <w:ind w:left="567" w:right="-2" w:hanging="567"/>
        <w:rPr>
          <w:szCs w:val="22"/>
          <w:lang w:val="lv-LV"/>
        </w:rPr>
      </w:pPr>
    </w:p>
    <w:p w14:paraId="61E83EAB" w14:textId="77777777" w:rsidR="00F47ADA" w:rsidRPr="00980DD8" w:rsidRDefault="00F47ADA" w:rsidP="00F47ADA">
      <w:pPr>
        <w:keepNext/>
        <w:keepLines/>
        <w:ind w:left="567" w:hanging="567"/>
        <w:rPr>
          <w:b/>
          <w:bCs/>
          <w:szCs w:val="22"/>
          <w:lang w:val="lv-LV"/>
        </w:rPr>
      </w:pPr>
      <w:r w:rsidRPr="00980DD8">
        <w:rPr>
          <w:b/>
          <w:szCs w:val="22"/>
          <w:lang w:val="lv-LV"/>
        </w:rPr>
        <w:t>6.</w:t>
      </w:r>
      <w:r w:rsidRPr="00980DD8">
        <w:rPr>
          <w:b/>
          <w:szCs w:val="22"/>
          <w:lang w:val="lv-LV"/>
        </w:rPr>
        <w:tab/>
        <w:t>Iepakojuma saturs un cita informācija</w:t>
      </w:r>
    </w:p>
    <w:p w14:paraId="25B90582" w14:textId="77777777" w:rsidR="00F47ADA" w:rsidRDefault="00F47ADA" w:rsidP="00F47ADA">
      <w:pPr>
        <w:keepNext/>
        <w:keepLines/>
        <w:ind w:left="567" w:right="-2" w:hanging="567"/>
        <w:rPr>
          <w:b/>
          <w:bCs/>
          <w:szCs w:val="22"/>
          <w:lang w:val="lv-LV"/>
        </w:rPr>
      </w:pPr>
    </w:p>
    <w:p w14:paraId="46150878" w14:textId="77777777" w:rsidR="00F47ADA" w:rsidRPr="00C4474A" w:rsidRDefault="00F47ADA" w:rsidP="00F47ADA">
      <w:pPr>
        <w:keepNext/>
        <w:keepLines/>
        <w:ind w:left="567" w:right="-2" w:hanging="567"/>
        <w:rPr>
          <w:rFonts w:ascii="Symbol" w:hAnsi="Symbol" w:cs="Symbol"/>
          <w:szCs w:val="22"/>
          <w:lang w:val="lv-LV"/>
        </w:rPr>
      </w:pPr>
      <w:r w:rsidRPr="00C4474A">
        <w:rPr>
          <w:b/>
          <w:bCs/>
          <w:szCs w:val="22"/>
          <w:lang w:val="lv-LV"/>
        </w:rPr>
        <w:t>Ko RoActemra satur</w:t>
      </w:r>
    </w:p>
    <w:p w14:paraId="2FF2BEEF" w14:textId="3F8FA572" w:rsidR="00F47ADA" w:rsidRPr="00A75D33" w:rsidRDefault="001036DD" w:rsidP="00707120">
      <w:pPr>
        <w:pStyle w:val="ListParagraph"/>
        <w:keepNext/>
        <w:keepLines/>
        <w:ind w:left="567" w:hanging="567"/>
        <w:rPr>
          <w:szCs w:val="22"/>
          <w:lang w:val="lv-LV"/>
        </w:rPr>
      </w:pPr>
      <w:r>
        <w:rPr>
          <w:lang w:val="nb-NO"/>
        </w:rPr>
        <w:sym w:font="Symbol" w:char="F0B7"/>
      </w:r>
      <w:r>
        <w:rPr>
          <w:lang w:val="nb-NO"/>
        </w:rPr>
        <w:tab/>
      </w:r>
      <w:r w:rsidR="00F47ADA" w:rsidRPr="00A75D33">
        <w:rPr>
          <w:szCs w:val="22"/>
          <w:lang w:val="lv-LV"/>
        </w:rPr>
        <w:t xml:space="preserve">Aktīvā viela ir tocilizumabs. </w:t>
      </w:r>
    </w:p>
    <w:p w14:paraId="0E939A6A" w14:textId="04CAE98C" w:rsidR="00F47ADA" w:rsidRDefault="00F47ADA" w:rsidP="00F47ADA">
      <w:pPr>
        <w:keepNext/>
        <w:keepLines/>
        <w:ind w:left="567" w:hanging="567"/>
        <w:rPr>
          <w:szCs w:val="22"/>
          <w:lang w:val="lv-LV"/>
        </w:rPr>
      </w:pPr>
      <w:r>
        <w:rPr>
          <w:szCs w:val="22"/>
          <w:lang w:val="lv-LV"/>
        </w:rPr>
        <w:tab/>
      </w:r>
      <w:r>
        <w:rPr>
          <w:szCs w:val="22"/>
          <w:lang w:val="lv-LV"/>
        </w:rPr>
        <w:tab/>
      </w:r>
      <w:r w:rsidR="00A24F77">
        <w:rPr>
          <w:szCs w:val="22"/>
          <w:lang w:val="lv-LV"/>
        </w:rPr>
        <w:t xml:space="preserve">Katrs </w:t>
      </w:r>
      <w:r>
        <w:rPr>
          <w:szCs w:val="22"/>
          <w:lang w:val="lv-LV"/>
        </w:rPr>
        <w:t>4 ml flakons satur 80 mg tocilizumaba (20 mg/ml).</w:t>
      </w:r>
    </w:p>
    <w:p w14:paraId="4F9781D7" w14:textId="776E5F3F" w:rsidR="00F47ADA" w:rsidRDefault="00F47ADA" w:rsidP="00F47ADA">
      <w:pPr>
        <w:keepNext/>
        <w:keepLines/>
        <w:ind w:left="567" w:hanging="567"/>
        <w:rPr>
          <w:szCs w:val="22"/>
          <w:lang w:val="lv-LV"/>
        </w:rPr>
      </w:pPr>
      <w:r>
        <w:rPr>
          <w:szCs w:val="22"/>
          <w:lang w:val="lv-LV"/>
        </w:rPr>
        <w:tab/>
      </w:r>
      <w:r>
        <w:rPr>
          <w:szCs w:val="22"/>
          <w:lang w:val="lv-LV"/>
        </w:rPr>
        <w:tab/>
      </w:r>
      <w:r w:rsidR="00A24F77">
        <w:rPr>
          <w:szCs w:val="22"/>
          <w:lang w:val="lv-LV"/>
        </w:rPr>
        <w:t xml:space="preserve">Katrs </w:t>
      </w:r>
      <w:r>
        <w:rPr>
          <w:szCs w:val="22"/>
          <w:lang w:val="lv-LV"/>
        </w:rPr>
        <w:t>10 ml flakons satur 200 mg tocilizumaba (20 mg/ml).</w:t>
      </w:r>
    </w:p>
    <w:p w14:paraId="025CEAD4" w14:textId="6048E759" w:rsidR="00F47ADA" w:rsidRDefault="00F47ADA" w:rsidP="00F47ADA">
      <w:pPr>
        <w:keepNext/>
        <w:keepLines/>
        <w:ind w:left="567" w:hanging="567"/>
        <w:rPr>
          <w:rFonts w:ascii="Symbol" w:hAnsi="Symbol" w:cs="Symbol"/>
          <w:szCs w:val="22"/>
          <w:lang w:val="lv-LV"/>
        </w:rPr>
      </w:pPr>
      <w:r>
        <w:rPr>
          <w:szCs w:val="22"/>
          <w:lang w:val="lv-LV"/>
        </w:rPr>
        <w:tab/>
      </w:r>
      <w:r>
        <w:rPr>
          <w:szCs w:val="22"/>
          <w:lang w:val="lv-LV"/>
        </w:rPr>
        <w:tab/>
      </w:r>
      <w:r w:rsidR="00A24F77">
        <w:rPr>
          <w:szCs w:val="22"/>
          <w:lang w:val="lv-LV"/>
        </w:rPr>
        <w:t xml:space="preserve">Katrs </w:t>
      </w:r>
      <w:r>
        <w:rPr>
          <w:szCs w:val="22"/>
          <w:lang w:val="lv-LV"/>
        </w:rPr>
        <w:t>20 ml flakons satur 400 mg tocilizumaba (20 mg/ml).</w:t>
      </w:r>
    </w:p>
    <w:p w14:paraId="41A972B3" w14:textId="07E4644B" w:rsidR="00F47ADA" w:rsidRPr="006A3A4F" w:rsidRDefault="001036DD" w:rsidP="00707120">
      <w:pPr>
        <w:pStyle w:val="ListParagraph"/>
        <w:ind w:left="567" w:hanging="567"/>
        <w:rPr>
          <w:b/>
          <w:bCs/>
          <w:szCs w:val="22"/>
          <w:lang w:val="lv-LV"/>
        </w:rPr>
      </w:pPr>
      <w:r>
        <w:rPr>
          <w:lang w:val="nb-NO"/>
        </w:rPr>
        <w:sym w:font="Symbol" w:char="F0B7"/>
      </w:r>
      <w:r>
        <w:rPr>
          <w:lang w:val="nb-NO"/>
        </w:rPr>
        <w:tab/>
      </w:r>
      <w:r w:rsidR="00F47ADA" w:rsidRPr="006A3A4F">
        <w:rPr>
          <w:szCs w:val="22"/>
          <w:lang w:val="lv-LV"/>
        </w:rPr>
        <w:t>Citas sastāvdaļas ir saharoze, polisorbāts</w:t>
      </w:r>
      <w:r w:rsidR="00F47ADA">
        <w:rPr>
          <w:szCs w:val="22"/>
          <w:lang w:val="lv-LV"/>
        </w:rPr>
        <w:t> </w:t>
      </w:r>
      <w:r w:rsidR="00F47ADA" w:rsidRPr="006A3A4F">
        <w:rPr>
          <w:szCs w:val="22"/>
          <w:lang w:val="lv-LV"/>
        </w:rPr>
        <w:t>80, nātrija hidrogēnfosfāta dodekahidrāts, nātrija dihidrogēnfosfāta dihidrāts un ūdens injekcijām</w:t>
      </w:r>
      <w:r w:rsidR="00F47ADA">
        <w:rPr>
          <w:szCs w:val="22"/>
          <w:lang w:val="lv-LV"/>
        </w:rPr>
        <w:t xml:space="preserve"> (skatīt 2. punktu “RoActemra satur nātriju” un “RoActemra satur polisorbātu</w:t>
      </w:r>
      <w:ins w:id="1604" w:author="Author">
        <w:r w:rsidR="009B0C55">
          <w:rPr>
            <w:szCs w:val="22"/>
            <w:lang w:val="lv-LV"/>
          </w:rPr>
          <w:t> 80 (E 433)</w:t>
        </w:r>
      </w:ins>
      <w:r w:rsidR="00F47ADA">
        <w:rPr>
          <w:szCs w:val="22"/>
          <w:lang w:val="lv-LV"/>
        </w:rPr>
        <w:t>”)</w:t>
      </w:r>
      <w:r w:rsidR="00F47ADA" w:rsidRPr="006A3A4F">
        <w:rPr>
          <w:szCs w:val="22"/>
          <w:lang w:val="lv-LV"/>
        </w:rPr>
        <w:t>.</w:t>
      </w:r>
    </w:p>
    <w:p w14:paraId="1CA212E6" w14:textId="77777777" w:rsidR="00F47ADA" w:rsidRDefault="00F47ADA" w:rsidP="00F47ADA">
      <w:pPr>
        <w:ind w:right="-2"/>
        <w:rPr>
          <w:b/>
          <w:bCs/>
          <w:szCs w:val="22"/>
          <w:lang w:val="lv-LV"/>
        </w:rPr>
      </w:pPr>
    </w:p>
    <w:p w14:paraId="10BBD22E" w14:textId="77777777" w:rsidR="00F47ADA" w:rsidRPr="00C4474A" w:rsidRDefault="00F47ADA" w:rsidP="00F47ADA">
      <w:pPr>
        <w:rPr>
          <w:szCs w:val="22"/>
          <w:lang w:val="lv-LV"/>
        </w:rPr>
      </w:pPr>
      <w:r w:rsidRPr="00C4474A">
        <w:rPr>
          <w:b/>
          <w:bCs/>
          <w:szCs w:val="22"/>
          <w:lang w:val="lv-LV"/>
        </w:rPr>
        <w:t>RoActemra ārējais izskats un iepakojums</w:t>
      </w:r>
    </w:p>
    <w:p w14:paraId="107AF346" w14:textId="77777777" w:rsidR="00F47ADA" w:rsidRDefault="00F47ADA" w:rsidP="00F47ADA">
      <w:pPr>
        <w:rPr>
          <w:szCs w:val="22"/>
          <w:lang w:val="lv-LV"/>
        </w:rPr>
      </w:pPr>
      <w:r>
        <w:rPr>
          <w:szCs w:val="22"/>
          <w:lang w:val="lv-LV"/>
        </w:rPr>
        <w:t xml:space="preserve">RoActemra ir koncentrāts infūziju šķīduma pagatavošanai. Koncentrāts ir dzidrs vai opalescējošs, bezkrāsains vai gaiši dzeltens šķīdums. </w:t>
      </w:r>
    </w:p>
    <w:p w14:paraId="57D37F9F" w14:textId="68F621F2" w:rsidR="00F47ADA" w:rsidRDefault="00F47ADA" w:rsidP="00F47ADA">
      <w:pPr>
        <w:rPr>
          <w:szCs w:val="22"/>
          <w:u w:val="single"/>
          <w:lang w:val="lv-LV"/>
        </w:rPr>
      </w:pPr>
      <w:r>
        <w:rPr>
          <w:szCs w:val="22"/>
          <w:lang w:val="lv-LV"/>
        </w:rPr>
        <w:t xml:space="preserve">RoActemra tiek piegādāts </w:t>
      </w:r>
      <w:r>
        <w:rPr>
          <w:iCs/>
          <w:szCs w:val="22"/>
          <w:lang w:val="lv-LV"/>
        </w:rPr>
        <w:t xml:space="preserve">4 ml, 10 ml un 20 ml flakonos ar koncentrātu infūzijas šķīduma pagatavošanai. </w:t>
      </w:r>
      <w:r>
        <w:rPr>
          <w:szCs w:val="22"/>
          <w:lang w:val="lv-LV"/>
        </w:rPr>
        <w:t xml:space="preserve">Iepakojumi pa </w:t>
      </w:r>
      <w:r>
        <w:rPr>
          <w:iCs/>
          <w:szCs w:val="22"/>
          <w:lang w:val="lv-LV"/>
        </w:rPr>
        <w:t>1 vai 4</w:t>
      </w:r>
      <w:r w:rsidR="009037A9">
        <w:rPr>
          <w:iCs/>
          <w:szCs w:val="22"/>
          <w:lang w:val="lv-LV"/>
        </w:rPr>
        <w:t> </w:t>
      </w:r>
      <w:r>
        <w:rPr>
          <w:iCs/>
          <w:szCs w:val="22"/>
          <w:lang w:val="lv-LV"/>
        </w:rPr>
        <w:t>flakoniem. Visi iepakojuma lielumi tirgū var nebūt pieejami.</w:t>
      </w:r>
    </w:p>
    <w:p w14:paraId="67D3E3A1" w14:textId="77777777" w:rsidR="00F47ADA" w:rsidRPr="00C4474A" w:rsidRDefault="00F47ADA" w:rsidP="00F47ADA">
      <w:pPr>
        <w:ind w:right="-2"/>
        <w:rPr>
          <w:szCs w:val="22"/>
          <w:u w:val="single"/>
          <w:lang w:val="lv-LV"/>
        </w:rPr>
      </w:pPr>
    </w:p>
    <w:p w14:paraId="46D094C5" w14:textId="77777777" w:rsidR="00F47ADA" w:rsidRPr="00C4474A" w:rsidRDefault="00F47ADA" w:rsidP="00F47ADA">
      <w:pPr>
        <w:keepNext/>
        <w:rPr>
          <w:szCs w:val="22"/>
          <w:lang w:val="lv-LV"/>
        </w:rPr>
      </w:pPr>
      <w:r w:rsidRPr="00C4474A">
        <w:rPr>
          <w:b/>
          <w:bCs/>
          <w:szCs w:val="22"/>
          <w:lang w:val="lv-LV"/>
        </w:rPr>
        <w:t>Reģistrācijas apliecības īpašnieks</w:t>
      </w:r>
    </w:p>
    <w:p w14:paraId="4AE81804" w14:textId="77777777" w:rsidR="00F47ADA" w:rsidRPr="00F1131A" w:rsidRDefault="00F47ADA" w:rsidP="00F47ADA">
      <w:pPr>
        <w:rPr>
          <w:szCs w:val="22"/>
          <w:lang w:val="lv-LV"/>
        </w:rPr>
      </w:pPr>
      <w:r w:rsidRPr="00F1131A">
        <w:rPr>
          <w:szCs w:val="22"/>
          <w:lang w:val="lv-LV"/>
        </w:rPr>
        <w:t xml:space="preserve">Roche Registration GmbH </w:t>
      </w:r>
    </w:p>
    <w:p w14:paraId="44EE321C" w14:textId="77777777" w:rsidR="00F47ADA" w:rsidRPr="00F1131A" w:rsidRDefault="00F47ADA" w:rsidP="00F47ADA">
      <w:pPr>
        <w:rPr>
          <w:szCs w:val="22"/>
          <w:lang w:val="lv-LV"/>
        </w:rPr>
      </w:pPr>
      <w:r w:rsidRPr="00F1131A">
        <w:rPr>
          <w:szCs w:val="22"/>
          <w:lang w:val="lv-LV"/>
        </w:rPr>
        <w:t>Emil-Barell-Strasse 1</w:t>
      </w:r>
    </w:p>
    <w:p w14:paraId="01054227" w14:textId="77777777" w:rsidR="00F47ADA" w:rsidRPr="00F1131A" w:rsidRDefault="00F47ADA" w:rsidP="00F47ADA">
      <w:pPr>
        <w:rPr>
          <w:szCs w:val="22"/>
          <w:lang w:val="lv-LV"/>
        </w:rPr>
      </w:pPr>
      <w:r w:rsidRPr="00F1131A">
        <w:rPr>
          <w:szCs w:val="22"/>
          <w:lang w:val="lv-LV"/>
        </w:rPr>
        <w:t>79639 Grenzach-Wyhlen</w:t>
      </w:r>
    </w:p>
    <w:p w14:paraId="41C78DD0" w14:textId="77777777" w:rsidR="00F47ADA" w:rsidRDefault="00F47ADA" w:rsidP="00F47ADA">
      <w:pPr>
        <w:rPr>
          <w:b/>
          <w:bCs/>
          <w:szCs w:val="22"/>
          <w:lang w:val="lv-LV"/>
        </w:rPr>
      </w:pPr>
      <w:r w:rsidRPr="00F1131A">
        <w:rPr>
          <w:szCs w:val="22"/>
          <w:lang w:val="lv-LV"/>
        </w:rPr>
        <w:t>Vācija</w:t>
      </w:r>
    </w:p>
    <w:p w14:paraId="1F982E85" w14:textId="77777777" w:rsidR="00F47ADA" w:rsidRDefault="00F47ADA" w:rsidP="00F47ADA">
      <w:pPr>
        <w:ind w:right="-2"/>
        <w:rPr>
          <w:b/>
          <w:bCs/>
          <w:szCs w:val="22"/>
          <w:lang w:val="lv-LV"/>
        </w:rPr>
      </w:pPr>
    </w:p>
    <w:p w14:paraId="2C3D6DF9" w14:textId="77777777" w:rsidR="00F47ADA" w:rsidRPr="00C4474A" w:rsidRDefault="00F47ADA" w:rsidP="00F47ADA">
      <w:pPr>
        <w:keepNext/>
        <w:keepLines/>
        <w:rPr>
          <w:szCs w:val="22"/>
          <w:lang w:val="lv-LV"/>
        </w:rPr>
      </w:pPr>
      <w:r w:rsidRPr="00C4474A">
        <w:rPr>
          <w:b/>
          <w:szCs w:val="22"/>
          <w:lang w:val="lv-LV"/>
        </w:rPr>
        <w:t>Ražotājs</w:t>
      </w:r>
    </w:p>
    <w:p w14:paraId="4BB0B223" w14:textId="77777777" w:rsidR="00F47ADA" w:rsidRDefault="00F47ADA" w:rsidP="00F47ADA">
      <w:pPr>
        <w:keepNext/>
        <w:keepLines/>
        <w:rPr>
          <w:szCs w:val="22"/>
          <w:lang w:val="lv-LV"/>
        </w:rPr>
      </w:pPr>
      <w:r>
        <w:rPr>
          <w:szCs w:val="22"/>
          <w:lang w:val="lv-LV"/>
        </w:rPr>
        <w:t>Roche Pharma AG</w:t>
      </w:r>
    </w:p>
    <w:p w14:paraId="54AEC9E5" w14:textId="77777777" w:rsidR="00F47ADA" w:rsidRDefault="00F47ADA" w:rsidP="00F47ADA">
      <w:pPr>
        <w:ind w:right="-2"/>
        <w:rPr>
          <w:szCs w:val="22"/>
          <w:lang w:val="lv-LV"/>
        </w:rPr>
      </w:pPr>
      <w:r>
        <w:rPr>
          <w:szCs w:val="22"/>
          <w:lang w:val="lv-LV"/>
        </w:rPr>
        <w:t>Emil-Barell-Str. 1</w:t>
      </w:r>
    </w:p>
    <w:p w14:paraId="50844695" w14:textId="45813B92" w:rsidR="00F47ADA" w:rsidRDefault="00F47ADA" w:rsidP="00F47ADA">
      <w:pPr>
        <w:ind w:right="-2"/>
        <w:rPr>
          <w:szCs w:val="22"/>
          <w:lang w:val="lv-LV"/>
        </w:rPr>
      </w:pPr>
      <w:r>
        <w:rPr>
          <w:szCs w:val="22"/>
          <w:lang w:val="lv-LV"/>
        </w:rPr>
        <w:t>79639 Grenzach-Wyhlen</w:t>
      </w:r>
    </w:p>
    <w:p w14:paraId="7D94ADA6" w14:textId="77777777" w:rsidR="00F47ADA" w:rsidRDefault="00F47ADA" w:rsidP="00F47ADA">
      <w:pPr>
        <w:ind w:right="-2"/>
        <w:rPr>
          <w:szCs w:val="22"/>
          <w:lang w:val="lv-LV"/>
        </w:rPr>
      </w:pPr>
      <w:r>
        <w:rPr>
          <w:szCs w:val="22"/>
          <w:lang w:val="lv-LV"/>
        </w:rPr>
        <w:t>Vācija</w:t>
      </w:r>
    </w:p>
    <w:p w14:paraId="4BD6AC3F" w14:textId="77777777" w:rsidR="00F47ADA" w:rsidRDefault="00F47ADA" w:rsidP="00F47ADA">
      <w:pPr>
        <w:ind w:right="-2"/>
        <w:rPr>
          <w:szCs w:val="22"/>
          <w:lang w:val="lv-LV"/>
        </w:rPr>
      </w:pPr>
    </w:p>
    <w:p w14:paraId="059AB8F1" w14:textId="77777777" w:rsidR="00F47ADA" w:rsidRDefault="00F47ADA" w:rsidP="00F47ADA">
      <w:pPr>
        <w:keepNext/>
        <w:keepLines/>
        <w:rPr>
          <w:lang w:val="lv-LV"/>
        </w:rPr>
      </w:pPr>
      <w:r>
        <w:rPr>
          <w:szCs w:val="22"/>
          <w:lang w:val="lv-LV"/>
        </w:rPr>
        <w:t>Lai saņemtu papildu informāciju par šīm zālēm, lūdzam sazināties ar reģistrācijas apliecības īpašnieka vietējo pārstāvniecību:</w:t>
      </w:r>
    </w:p>
    <w:p w14:paraId="1BB5B70A" w14:textId="77777777" w:rsidR="00F47ADA" w:rsidRDefault="00F47ADA" w:rsidP="00F47ADA">
      <w:pPr>
        <w:keepNext/>
        <w:keepLines/>
        <w:rPr>
          <w:lang w:val="lv-LV"/>
        </w:rPr>
      </w:pPr>
    </w:p>
    <w:tbl>
      <w:tblPr>
        <w:tblW w:w="9180" w:type="dxa"/>
        <w:tblLayout w:type="fixed"/>
        <w:tblLook w:val="0000" w:firstRow="0" w:lastRow="0" w:firstColumn="0" w:lastColumn="0" w:noHBand="0" w:noVBand="0"/>
        <w:tblPrChange w:id="1605" w:author="Author">
          <w:tblPr>
            <w:tblW w:w="0" w:type="auto"/>
            <w:tblLayout w:type="fixed"/>
            <w:tblLook w:val="0000" w:firstRow="0" w:lastRow="0" w:firstColumn="0" w:lastColumn="0" w:noHBand="0" w:noVBand="0"/>
          </w:tblPr>
        </w:tblPrChange>
      </w:tblPr>
      <w:tblGrid>
        <w:gridCol w:w="4536"/>
        <w:gridCol w:w="4537"/>
        <w:gridCol w:w="107"/>
        <w:tblGridChange w:id="1606">
          <w:tblGrid>
            <w:gridCol w:w="4536"/>
            <w:gridCol w:w="54"/>
            <w:gridCol w:w="4483"/>
            <w:gridCol w:w="107"/>
          </w:tblGrid>
        </w:tblGridChange>
      </w:tblGrid>
      <w:tr w:rsidR="00F47ADA" w:rsidRPr="00707120" w14:paraId="7EB9E423" w14:textId="77777777" w:rsidTr="00DD58C9">
        <w:trPr>
          <w:gridAfter w:val="1"/>
          <w:wAfter w:w="108" w:type="dxa"/>
          <w:cantSplit/>
          <w:trPrChange w:id="1607" w:author="Author">
            <w:trPr>
              <w:cantSplit/>
            </w:trPr>
          </w:trPrChange>
        </w:trPr>
        <w:tc>
          <w:tcPr>
            <w:tcW w:w="4590" w:type="dxa"/>
            <w:tcPrChange w:id="1608" w:author="Author">
              <w:tcPr>
                <w:tcW w:w="4590" w:type="dxa"/>
                <w:gridSpan w:val="2"/>
              </w:tcPr>
            </w:tcPrChange>
          </w:tcPr>
          <w:p w14:paraId="599845A6" w14:textId="77777777" w:rsidR="006B2B07" w:rsidRPr="00750860" w:rsidRDefault="00F47ADA" w:rsidP="006B2B07">
            <w:pPr>
              <w:pStyle w:val="Standard1"/>
              <w:rPr>
                <w:ins w:id="1609" w:author="Author"/>
                <w:b/>
                <w:szCs w:val="22"/>
                <w:lang w:val="fr-FR"/>
              </w:rPr>
            </w:pPr>
            <w:r>
              <w:rPr>
                <w:b/>
              </w:rPr>
              <w:t>België/Belgique/Belgien</w:t>
            </w:r>
            <w:ins w:id="1610" w:author="Author">
              <w:r w:rsidR="006B2B07" w:rsidRPr="00750860">
                <w:rPr>
                  <w:b/>
                  <w:noProof/>
                  <w:szCs w:val="22"/>
                  <w:lang w:val="fr-FR"/>
                </w:rPr>
                <w:t>,</w:t>
              </w:r>
            </w:ins>
          </w:p>
          <w:p w14:paraId="253BCB08" w14:textId="41B4D196" w:rsidR="00F47ADA" w:rsidRDefault="006B2B07" w:rsidP="006B2B07">
            <w:pPr>
              <w:keepNext/>
              <w:keepLines/>
              <w:rPr>
                <w:lang w:val="lv-LV"/>
              </w:rPr>
            </w:pPr>
            <w:ins w:id="1611" w:author="Author">
              <w:r w:rsidRPr="00231BF8">
                <w:rPr>
                  <w:b/>
                  <w:noProof/>
                  <w:szCs w:val="22"/>
                  <w:lang w:val="de-DE"/>
                </w:rPr>
                <w:t>Luxembourg/Luxemburg</w:t>
              </w:r>
            </w:ins>
          </w:p>
          <w:p w14:paraId="01E8C7EE" w14:textId="248C0CC3" w:rsidR="00F47ADA" w:rsidRDefault="00F47ADA" w:rsidP="0067693D">
            <w:pPr>
              <w:keepNext/>
              <w:keepLines/>
              <w:rPr>
                <w:ins w:id="1612" w:author="Author"/>
                <w:lang w:val="lv-LV"/>
              </w:rPr>
            </w:pPr>
            <w:r>
              <w:rPr>
                <w:lang w:val="lv-LV"/>
              </w:rPr>
              <w:t>N.V. Roche S.A.</w:t>
            </w:r>
          </w:p>
          <w:p w14:paraId="2BD264A4" w14:textId="105A7E77" w:rsidR="006B2B07" w:rsidRDefault="006B2B07" w:rsidP="0067693D">
            <w:pPr>
              <w:keepNext/>
              <w:keepLines/>
              <w:rPr>
                <w:lang w:val="lv-LV"/>
              </w:rPr>
            </w:pPr>
            <w:ins w:id="1613" w:author="Author">
              <w:r w:rsidRPr="006338D4">
                <w:rPr>
                  <w:bCs/>
                  <w:noProof/>
                  <w:szCs w:val="22"/>
                  <w:lang w:val="fr-FR"/>
                </w:rPr>
                <w:t>België/Belgique/Belgien</w:t>
              </w:r>
            </w:ins>
          </w:p>
          <w:p w14:paraId="5A4A96A7" w14:textId="77777777" w:rsidR="00F47ADA" w:rsidRDefault="00F47ADA" w:rsidP="0067693D">
            <w:pPr>
              <w:keepNext/>
              <w:keepLines/>
              <w:rPr>
                <w:b/>
                <w:lang w:val="lv-LV"/>
              </w:rPr>
            </w:pPr>
            <w:r>
              <w:rPr>
                <w:lang w:val="lv-LV"/>
              </w:rPr>
              <w:t>Tél/Tel: +32 (0) 2 525 82 11</w:t>
            </w:r>
          </w:p>
          <w:p w14:paraId="7A82706A" w14:textId="77777777" w:rsidR="00F47ADA" w:rsidRDefault="00F47ADA" w:rsidP="0067693D">
            <w:pPr>
              <w:keepNext/>
              <w:keepLines/>
              <w:rPr>
                <w:b/>
                <w:lang w:val="lv-LV"/>
              </w:rPr>
            </w:pPr>
          </w:p>
        </w:tc>
        <w:tc>
          <w:tcPr>
            <w:tcW w:w="4590" w:type="dxa"/>
            <w:tcPrChange w:id="1614" w:author="Author">
              <w:tcPr>
                <w:tcW w:w="4590" w:type="dxa"/>
                <w:gridSpan w:val="2"/>
              </w:tcPr>
            </w:tcPrChange>
          </w:tcPr>
          <w:p w14:paraId="0863E555" w14:textId="77777777" w:rsidR="007B3872" w:rsidRPr="00231BF8" w:rsidRDefault="007B3872" w:rsidP="007B3872">
            <w:pPr>
              <w:pStyle w:val="Standard1"/>
              <w:rPr>
                <w:ins w:id="1615" w:author="Author"/>
                <w:b/>
                <w:noProof/>
                <w:szCs w:val="22"/>
                <w:lang w:val="it-IT"/>
              </w:rPr>
            </w:pPr>
            <w:ins w:id="1616" w:author="Author">
              <w:r w:rsidRPr="00231BF8">
                <w:rPr>
                  <w:b/>
                  <w:noProof/>
                  <w:szCs w:val="22"/>
                  <w:lang w:val="it-IT"/>
                </w:rPr>
                <w:t>Latvija</w:t>
              </w:r>
            </w:ins>
          </w:p>
          <w:p w14:paraId="7B619297" w14:textId="77777777" w:rsidR="007B3872" w:rsidRPr="00231BF8" w:rsidRDefault="007B3872" w:rsidP="007B3872">
            <w:pPr>
              <w:pStyle w:val="Standard1"/>
              <w:rPr>
                <w:ins w:id="1617" w:author="Author"/>
                <w:noProof/>
                <w:szCs w:val="22"/>
                <w:lang w:val="it-IT"/>
              </w:rPr>
            </w:pPr>
            <w:ins w:id="1618" w:author="Author">
              <w:r w:rsidRPr="00231BF8">
                <w:rPr>
                  <w:bCs/>
                  <w:noProof/>
                  <w:szCs w:val="22"/>
                  <w:lang w:val="it-IT"/>
                </w:rPr>
                <w:t>Roche Latvija SIA</w:t>
              </w:r>
            </w:ins>
          </w:p>
          <w:p w14:paraId="17BA0699" w14:textId="77777777" w:rsidR="006338D4" w:rsidRDefault="007B3872" w:rsidP="007B3872">
            <w:pPr>
              <w:keepNext/>
              <w:keepLines/>
              <w:rPr>
                <w:ins w:id="1619" w:author="Author"/>
                <w:noProof/>
                <w:szCs w:val="22"/>
                <w:lang w:val="it-IT"/>
              </w:rPr>
            </w:pPr>
            <w:ins w:id="1620" w:author="Author">
              <w:r w:rsidRPr="00231BF8">
                <w:rPr>
                  <w:noProof/>
                  <w:szCs w:val="22"/>
                  <w:lang w:val="it-IT"/>
                </w:rPr>
                <w:t>Tel: +371 - 6 7039831</w:t>
              </w:r>
            </w:ins>
          </w:p>
          <w:p w14:paraId="791F8AFD" w14:textId="66EC710E" w:rsidR="00F47ADA" w:rsidDel="007B3872" w:rsidRDefault="00F47ADA" w:rsidP="007B3872">
            <w:pPr>
              <w:keepNext/>
              <w:keepLines/>
              <w:rPr>
                <w:del w:id="1621" w:author="Author"/>
                <w:lang w:val="lv-LV"/>
              </w:rPr>
            </w:pPr>
            <w:del w:id="1622" w:author="Author">
              <w:r w:rsidDel="007B3872">
                <w:rPr>
                  <w:b/>
                  <w:lang w:val="lv-LV"/>
                </w:rPr>
                <w:delText>Luxembourg/Luxemburg</w:delText>
              </w:r>
            </w:del>
          </w:p>
          <w:p w14:paraId="4A240F1C" w14:textId="52AB157B" w:rsidR="00F47ADA" w:rsidRDefault="00F47ADA" w:rsidP="0067693D">
            <w:pPr>
              <w:keepNext/>
              <w:keepLines/>
              <w:rPr>
                <w:b/>
                <w:lang w:val="lv-LV"/>
              </w:rPr>
            </w:pPr>
            <w:del w:id="1623" w:author="Author">
              <w:r w:rsidDel="007B3872">
                <w:rPr>
                  <w:lang w:val="lv-LV"/>
                </w:rPr>
                <w:delText>(Voir/siehe Belgique/Belgien)</w:delText>
              </w:r>
            </w:del>
          </w:p>
          <w:p w14:paraId="6464811B" w14:textId="77777777" w:rsidR="00F47ADA" w:rsidRDefault="00F47ADA" w:rsidP="0067693D">
            <w:pPr>
              <w:keepNext/>
              <w:keepLines/>
              <w:rPr>
                <w:b/>
                <w:lang w:val="lv-LV"/>
              </w:rPr>
            </w:pPr>
          </w:p>
        </w:tc>
      </w:tr>
      <w:tr w:rsidR="00F47ADA" w:rsidRPr="00270F12" w14:paraId="00270F0F" w14:textId="77777777" w:rsidTr="005C62C1">
        <w:trPr>
          <w:gridAfter w:val="1"/>
          <w:wAfter w:w="108" w:type="dxa"/>
          <w:cantSplit/>
        </w:trPr>
        <w:tc>
          <w:tcPr>
            <w:tcW w:w="4590" w:type="dxa"/>
          </w:tcPr>
          <w:p w14:paraId="3C72122B" w14:textId="77777777" w:rsidR="00F47ADA" w:rsidRDefault="00F47ADA">
            <w:pPr>
              <w:autoSpaceDE w:val="0"/>
              <w:rPr>
                <w:lang w:val="lv-LV"/>
              </w:rPr>
              <w:pPrChange w:id="1624" w:author="Author">
                <w:pPr>
                  <w:keepNext/>
                  <w:keepLines/>
                  <w:autoSpaceDE w:val="0"/>
                </w:pPr>
              </w:pPrChange>
            </w:pPr>
            <w:r>
              <w:rPr>
                <w:b/>
                <w:bCs/>
                <w:szCs w:val="22"/>
                <w:lang w:val="lv-LV"/>
              </w:rPr>
              <w:t>България</w:t>
            </w:r>
          </w:p>
          <w:p w14:paraId="7F2FD468" w14:textId="77777777" w:rsidR="00F47ADA" w:rsidRDefault="00F47ADA">
            <w:pPr>
              <w:rPr>
                <w:lang w:val="lv-LV"/>
              </w:rPr>
              <w:pPrChange w:id="1625" w:author="Author">
                <w:pPr>
                  <w:keepNext/>
                  <w:keepLines/>
                </w:pPr>
              </w:pPrChange>
            </w:pPr>
            <w:r>
              <w:rPr>
                <w:lang w:val="lv-LV"/>
              </w:rPr>
              <w:t>Рош България ЕООД</w:t>
            </w:r>
          </w:p>
          <w:p w14:paraId="68F4A359" w14:textId="206B3786" w:rsidR="00F47ADA" w:rsidRDefault="00F47ADA">
            <w:pPr>
              <w:rPr>
                <w:lang w:val="lv-LV"/>
              </w:rPr>
              <w:pPrChange w:id="1626" w:author="Author">
                <w:pPr>
                  <w:keepNext/>
                  <w:keepLines/>
                </w:pPr>
              </w:pPrChange>
            </w:pPr>
            <w:r w:rsidRPr="00976261">
              <w:rPr>
                <w:noProof/>
                <w:szCs w:val="22"/>
                <w:lang w:val="ru-RU"/>
              </w:rPr>
              <w:t>Тел: +359 2 474 5444</w:t>
            </w:r>
          </w:p>
          <w:p w14:paraId="0C2B7A0E" w14:textId="77777777" w:rsidR="00F47ADA" w:rsidRDefault="00F47ADA">
            <w:pPr>
              <w:rPr>
                <w:lang w:val="lv-LV"/>
              </w:rPr>
              <w:pPrChange w:id="1627" w:author="Author">
                <w:pPr>
                  <w:keepNext/>
                  <w:keepLines/>
                </w:pPr>
              </w:pPrChange>
            </w:pPr>
          </w:p>
        </w:tc>
        <w:tc>
          <w:tcPr>
            <w:tcW w:w="4590" w:type="dxa"/>
          </w:tcPr>
          <w:p w14:paraId="2571F307" w14:textId="77777777" w:rsidR="005C62C1" w:rsidRPr="005C62C1" w:rsidRDefault="005C62C1" w:rsidP="005C62C1">
            <w:pPr>
              <w:rPr>
                <w:ins w:id="1628" w:author="Author"/>
                <w:b/>
                <w:noProof/>
                <w:szCs w:val="22"/>
                <w:lang w:val="en-GB" w:eastAsia="ja-JP"/>
              </w:rPr>
            </w:pPr>
            <w:ins w:id="1629" w:author="Author">
              <w:r w:rsidRPr="005C62C1">
                <w:rPr>
                  <w:b/>
                  <w:noProof/>
                  <w:szCs w:val="22"/>
                  <w:lang w:val="en-GB" w:eastAsia="ja-JP"/>
                </w:rPr>
                <w:t>Lietuva</w:t>
              </w:r>
            </w:ins>
          </w:p>
          <w:p w14:paraId="1F8518A1" w14:textId="77777777" w:rsidR="005C62C1" w:rsidRPr="005C62C1" w:rsidRDefault="005C62C1" w:rsidP="005C62C1">
            <w:pPr>
              <w:rPr>
                <w:ins w:id="1630" w:author="Author"/>
                <w:noProof/>
                <w:szCs w:val="22"/>
                <w:lang w:val="en-GB" w:eastAsia="ja-JP"/>
              </w:rPr>
            </w:pPr>
            <w:ins w:id="1631" w:author="Author">
              <w:r w:rsidRPr="005C62C1">
                <w:rPr>
                  <w:noProof/>
                  <w:szCs w:val="22"/>
                  <w:lang w:val="en-GB" w:eastAsia="ja-JP"/>
                </w:rPr>
                <w:t>UAB “Roche Lietuva”</w:t>
              </w:r>
            </w:ins>
          </w:p>
          <w:p w14:paraId="004E3E4D" w14:textId="77777777" w:rsidR="005C62C1" w:rsidRDefault="005C62C1" w:rsidP="005C62C1">
            <w:pPr>
              <w:keepNext/>
              <w:keepLines/>
              <w:rPr>
                <w:ins w:id="1632" w:author="Author"/>
                <w:noProof/>
                <w:szCs w:val="22"/>
                <w:lang w:val="en-GB" w:eastAsia="ja-JP"/>
              </w:rPr>
            </w:pPr>
            <w:ins w:id="1633" w:author="Author">
              <w:r w:rsidRPr="005C62C1">
                <w:rPr>
                  <w:noProof/>
                  <w:szCs w:val="22"/>
                  <w:lang w:val="en-GB" w:eastAsia="ja-JP"/>
                </w:rPr>
                <w:t>Tel: +370 5 2546799</w:t>
              </w:r>
            </w:ins>
          </w:p>
          <w:p w14:paraId="7AF63410" w14:textId="1C765FFC" w:rsidR="00F47ADA" w:rsidDel="005C62C1" w:rsidRDefault="00F47ADA" w:rsidP="005C62C1">
            <w:pPr>
              <w:keepNext/>
              <w:keepLines/>
              <w:rPr>
                <w:del w:id="1634" w:author="Author"/>
                <w:lang w:val="lv-LV"/>
              </w:rPr>
            </w:pPr>
            <w:del w:id="1635" w:author="Author">
              <w:r w:rsidDel="005C62C1">
                <w:rPr>
                  <w:b/>
                  <w:lang w:val="lv-LV"/>
                </w:rPr>
                <w:delText>Magyarország</w:delText>
              </w:r>
            </w:del>
          </w:p>
          <w:p w14:paraId="523846DE" w14:textId="41BC8A12" w:rsidR="00F47ADA" w:rsidDel="005C62C1" w:rsidRDefault="00F47ADA" w:rsidP="005C62C1">
            <w:pPr>
              <w:keepNext/>
              <w:keepLines/>
              <w:rPr>
                <w:del w:id="1636" w:author="Author"/>
                <w:lang w:val="lv-LV"/>
              </w:rPr>
            </w:pPr>
            <w:del w:id="1637" w:author="Author">
              <w:r w:rsidDel="005C62C1">
                <w:rPr>
                  <w:lang w:val="lv-LV"/>
                </w:rPr>
                <w:delText>Roche (Magyarország) Kft.</w:delText>
              </w:r>
            </w:del>
          </w:p>
          <w:p w14:paraId="540392A1" w14:textId="77E3816F" w:rsidR="00F47ADA" w:rsidDel="005C62C1" w:rsidRDefault="00F47ADA" w:rsidP="005C62C1">
            <w:pPr>
              <w:keepNext/>
              <w:keepLines/>
              <w:rPr>
                <w:del w:id="1638" w:author="Author"/>
                <w:lang w:val="lv-LV"/>
              </w:rPr>
            </w:pPr>
            <w:del w:id="1639" w:author="Author">
              <w:r w:rsidDel="005C62C1">
                <w:rPr>
                  <w:lang w:val="lv-LV"/>
                </w:rPr>
                <w:delText xml:space="preserve">Tel: +36 - </w:delText>
              </w:r>
              <w:r w:rsidRPr="000C4151" w:rsidDel="005C62C1">
                <w:rPr>
                  <w:noProof/>
                  <w:szCs w:val="22"/>
                  <w:lang w:val="cs-CZ"/>
                </w:rPr>
                <w:delText>1 279 4500</w:delText>
              </w:r>
            </w:del>
          </w:p>
          <w:p w14:paraId="281D1E7B" w14:textId="77777777" w:rsidR="00F47ADA" w:rsidRDefault="00F47ADA" w:rsidP="005C62C1">
            <w:pPr>
              <w:keepNext/>
              <w:keepLines/>
              <w:rPr>
                <w:lang w:val="lv-LV"/>
              </w:rPr>
            </w:pPr>
          </w:p>
        </w:tc>
      </w:tr>
      <w:tr w:rsidR="00F47ADA" w14:paraId="1935848E" w14:textId="77777777" w:rsidTr="005C62C1">
        <w:trPr>
          <w:gridAfter w:val="1"/>
          <w:wAfter w:w="108" w:type="dxa"/>
          <w:cantSplit/>
        </w:trPr>
        <w:tc>
          <w:tcPr>
            <w:tcW w:w="4590" w:type="dxa"/>
          </w:tcPr>
          <w:p w14:paraId="757952AA" w14:textId="77777777" w:rsidR="00F47ADA" w:rsidRDefault="00F47ADA">
            <w:pPr>
              <w:rPr>
                <w:bCs/>
                <w:szCs w:val="22"/>
                <w:lang w:val="lv-LV"/>
              </w:rPr>
              <w:pPrChange w:id="1640" w:author="Author">
                <w:pPr>
                  <w:keepNext/>
                  <w:keepLines/>
                </w:pPr>
              </w:pPrChange>
            </w:pPr>
            <w:r>
              <w:rPr>
                <w:b/>
                <w:lang w:val="lv-LV"/>
              </w:rPr>
              <w:t>Česká republika</w:t>
            </w:r>
          </w:p>
          <w:p w14:paraId="4A654802" w14:textId="77777777" w:rsidR="00F47ADA" w:rsidRDefault="00F47ADA">
            <w:pPr>
              <w:rPr>
                <w:lang w:val="lv-LV"/>
              </w:rPr>
              <w:pPrChange w:id="1641" w:author="Author">
                <w:pPr>
                  <w:keepNext/>
                  <w:keepLines/>
                </w:pPr>
              </w:pPrChange>
            </w:pPr>
            <w:r>
              <w:rPr>
                <w:bCs/>
                <w:szCs w:val="22"/>
                <w:lang w:val="lv-LV"/>
              </w:rPr>
              <w:t>Roche s. r. o.</w:t>
            </w:r>
          </w:p>
          <w:p w14:paraId="2A884D85" w14:textId="77777777" w:rsidR="00F47ADA" w:rsidRDefault="00F47ADA">
            <w:pPr>
              <w:rPr>
                <w:lang w:val="lv-LV"/>
              </w:rPr>
              <w:pPrChange w:id="1642" w:author="Author">
                <w:pPr>
                  <w:keepNext/>
                  <w:keepLines/>
                </w:pPr>
              </w:pPrChange>
            </w:pPr>
            <w:r>
              <w:rPr>
                <w:lang w:val="lv-LV"/>
              </w:rPr>
              <w:t>Tel: +420 - 2 20382111</w:t>
            </w:r>
          </w:p>
          <w:p w14:paraId="4A12A428" w14:textId="77777777" w:rsidR="00F47ADA" w:rsidRDefault="00F47ADA">
            <w:pPr>
              <w:rPr>
                <w:b/>
                <w:lang w:val="lv-LV"/>
              </w:rPr>
              <w:pPrChange w:id="1643" w:author="Author">
                <w:pPr>
                  <w:keepNext/>
                  <w:keepLines/>
                </w:pPr>
              </w:pPrChange>
            </w:pPr>
          </w:p>
        </w:tc>
        <w:tc>
          <w:tcPr>
            <w:tcW w:w="4590" w:type="dxa"/>
          </w:tcPr>
          <w:p w14:paraId="7CA8F3C4" w14:textId="77777777" w:rsidR="00900EB9" w:rsidRPr="00750860" w:rsidRDefault="00900EB9" w:rsidP="006338D4">
            <w:pPr>
              <w:pStyle w:val="Standard1"/>
              <w:rPr>
                <w:ins w:id="1644" w:author="Author"/>
                <w:b/>
                <w:szCs w:val="22"/>
              </w:rPr>
            </w:pPr>
            <w:ins w:id="1645" w:author="Author">
              <w:r w:rsidRPr="00750860">
                <w:rPr>
                  <w:b/>
                  <w:szCs w:val="22"/>
                </w:rPr>
                <w:t>Magyarország</w:t>
              </w:r>
            </w:ins>
          </w:p>
          <w:p w14:paraId="789C947F" w14:textId="77777777" w:rsidR="00900EB9" w:rsidRPr="00750860" w:rsidRDefault="00900EB9" w:rsidP="006338D4">
            <w:pPr>
              <w:pStyle w:val="Standard1"/>
              <w:rPr>
                <w:ins w:id="1646" w:author="Author"/>
                <w:szCs w:val="22"/>
              </w:rPr>
            </w:pPr>
            <w:ins w:id="1647" w:author="Author">
              <w:r w:rsidRPr="00750860">
                <w:rPr>
                  <w:szCs w:val="22"/>
                </w:rPr>
                <w:t>Roche (Magyarország) Kft.</w:t>
              </w:r>
            </w:ins>
          </w:p>
          <w:p w14:paraId="4DB34FE4" w14:textId="77777777" w:rsidR="005C62C1" w:rsidRDefault="00900EB9" w:rsidP="006338D4">
            <w:pPr>
              <w:pStyle w:val="Standard1"/>
              <w:autoSpaceDE w:val="0"/>
              <w:autoSpaceDN w:val="0"/>
              <w:adjustRightInd w:val="0"/>
              <w:rPr>
                <w:ins w:id="1648" w:author="Author"/>
                <w:szCs w:val="22"/>
              </w:rPr>
            </w:pPr>
            <w:ins w:id="1649" w:author="Author">
              <w:r w:rsidRPr="00750860">
                <w:rPr>
                  <w:szCs w:val="22"/>
                </w:rPr>
                <w:t>Tel: +36 - 1 279 4500</w:t>
              </w:r>
            </w:ins>
          </w:p>
          <w:p w14:paraId="48307F41" w14:textId="348671A6" w:rsidR="00F47ADA" w:rsidDel="005C62C1" w:rsidRDefault="00F47ADA" w:rsidP="005C62C1">
            <w:pPr>
              <w:keepNext/>
              <w:keepLines/>
              <w:rPr>
                <w:del w:id="1650" w:author="Author"/>
                <w:lang w:val="lv-LV"/>
              </w:rPr>
            </w:pPr>
            <w:del w:id="1651" w:author="Author">
              <w:r w:rsidDel="005C62C1">
                <w:rPr>
                  <w:b/>
                  <w:lang w:val="lv-LV"/>
                </w:rPr>
                <w:delText>Malta</w:delText>
              </w:r>
            </w:del>
          </w:p>
          <w:p w14:paraId="078EA999" w14:textId="5D817D94" w:rsidR="00F47ADA" w:rsidDel="005C62C1" w:rsidRDefault="00F47ADA" w:rsidP="005C62C1">
            <w:pPr>
              <w:keepNext/>
              <w:keepLines/>
              <w:autoSpaceDE w:val="0"/>
              <w:rPr>
                <w:del w:id="1652" w:author="Author"/>
                <w:lang w:val="lv-LV"/>
              </w:rPr>
            </w:pPr>
            <w:del w:id="1653" w:author="Author">
              <w:r w:rsidRPr="001D0DCE" w:rsidDel="005C62C1">
                <w:rPr>
                  <w:noProof/>
                </w:rPr>
                <w:delText>(See Ireland)</w:delText>
              </w:r>
            </w:del>
          </w:p>
          <w:p w14:paraId="070D02EA" w14:textId="77777777" w:rsidR="00F47ADA" w:rsidRDefault="00F47ADA" w:rsidP="005C62C1">
            <w:pPr>
              <w:keepNext/>
              <w:keepLines/>
              <w:autoSpaceDE w:val="0"/>
              <w:rPr>
                <w:lang w:val="lv-LV"/>
              </w:rPr>
            </w:pPr>
          </w:p>
        </w:tc>
      </w:tr>
      <w:tr w:rsidR="00F47ADA" w14:paraId="694BB300" w14:textId="77777777" w:rsidTr="005C62C1">
        <w:trPr>
          <w:gridAfter w:val="1"/>
          <w:wAfter w:w="108" w:type="dxa"/>
          <w:cantSplit/>
        </w:trPr>
        <w:tc>
          <w:tcPr>
            <w:tcW w:w="4590" w:type="dxa"/>
          </w:tcPr>
          <w:p w14:paraId="352B023F" w14:textId="77777777" w:rsidR="00F47ADA" w:rsidRDefault="00F47ADA" w:rsidP="0067693D">
            <w:pPr>
              <w:rPr>
                <w:lang w:val="lv-LV"/>
              </w:rPr>
            </w:pPr>
            <w:r>
              <w:rPr>
                <w:b/>
                <w:lang w:val="lv-LV"/>
              </w:rPr>
              <w:t>Danmark</w:t>
            </w:r>
          </w:p>
          <w:p w14:paraId="4E01E960" w14:textId="77777777" w:rsidR="00F47ADA" w:rsidRDefault="00F47ADA" w:rsidP="0067693D">
            <w:pPr>
              <w:rPr>
                <w:lang w:val="lv-LV"/>
              </w:rPr>
            </w:pPr>
            <w:r>
              <w:rPr>
                <w:lang w:val="lv-LV"/>
              </w:rPr>
              <w:t xml:space="preserve">Roche </w:t>
            </w:r>
            <w:r>
              <w:rPr>
                <w:noProof/>
              </w:rPr>
              <w:t>Pharmaceuticals A/S</w:t>
            </w:r>
          </w:p>
          <w:p w14:paraId="3A62F472" w14:textId="5C1101F6" w:rsidR="00F47ADA" w:rsidRDefault="00F47ADA" w:rsidP="0067693D">
            <w:pPr>
              <w:rPr>
                <w:b/>
                <w:lang w:val="lv-LV"/>
              </w:rPr>
            </w:pPr>
            <w:r>
              <w:rPr>
                <w:lang w:val="lv-LV"/>
              </w:rPr>
              <w:t>Tlf</w:t>
            </w:r>
            <w:r w:rsidR="00C82D7C">
              <w:rPr>
                <w:lang w:val="lv-LV"/>
              </w:rPr>
              <w:t>.</w:t>
            </w:r>
            <w:r>
              <w:rPr>
                <w:lang w:val="lv-LV"/>
              </w:rPr>
              <w:t>: +45 - 36 39 99 99</w:t>
            </w:r>
          </w:p>
          <w:p w14:paraId="01489AD3" w14:textId="77777777" w:rsidR="00F47ADA" w:rsidRDefault="00F47ADA" w:rsidP="0067693D">
            <w:pPr>
              <w:rPr>
                <w:b/>
                <w:lang w:val="lv-LV"/>
              </w:rPr>
            </w:pPr>
          </w:p>
        </w:tc>
        <w:tc>
          <w:tcPr>
            <w:tcW w:w="4590" w:type="dxa"/>
          </w:tcPr>
          <w:p w14:paraId="59684939" w14:textId="2D805EB4" w:rsidR="00F47ADA" w:rsidRDefault="00F47ADA" w:rsidP="0067693D">
            <w:pPr>
              <w:rPr>
                <w:lang w:val="lv-LV"/>
              </w:rPr>
            </w:pPr>
            <w:r>
              <w:rPr>
                <w:b/>
                <w:lang w:val="lv-LV"/>
              </w:rPr>
              <w:t>Nederland</w:t>
            </w:r>
          </w:p>
          <w:p w14:paraId="10CDEEDF" w14:textId="30BDF0EA" w:rsidR="00F47ADA" w:rsidRDefault="00F47ADA" w:rsidP="0067693D">
            <w:pPr>
              <w:rPr>
                <w:lang w:val="lv-LV"/>
              </w:rPr>
            </w:pPr>
            <w:r>
              <w:rPr>
                <w:lang w:val="lv-LV"/>
              </w:rPr>
              <w:t>Roche Nederland B.V.</w:t>
            </w:r>
          </w:p>
          <w:p w14:paraId="475193D0" w14:textId="01D00C77" w:rsidR="00F47ADA" w:rsidRDefault="00F47ADA" w:rsidP="0067693D">
            <w:pPr>
              <w:rPr>
                <w:lang w:val="lv-LV"/>
              </w:rPr>
            </w:pPr>
            <w:r>
              <w:rPr>
                <w:lang w:val="lv-LV"/>
              </w:rPr>
              <w:t>Tel: +31 (0) 348 438050</w:t>
            </w:r>
          </w:p>
          <w:p w14:paraId="1FA07240" w14:textId="77777777" w:rsidR="00F47ADA" w:rsidRDefault="00F47ADA" w:rsidP="0067693D">
            <w:pPr>
              <w:rPr>
                <w:lang w:val="lv-LV"/>
              </w:rPr>
            </w:pPr>
          </w:p>
        </w:tc>
      </w:tr>
      <w:tr w:rsidR="00F47ADA" w14:paraId="2423BB7B" w14:textId="77777777" w:rsidTr="005C62C1">
        <w:trPr>
          <w:gridAfter w:val="1"/>
          <w:wAfter w:w="108" w:type="dxa"/>
          <w:cantSplit/>
        </w:trPr>
        <w:tc>
          <w:tcPr>
            <w:tcW w:w="4590" w:type="dxa"/>
          </w:tcPr>
          <w:p w14:paraId="181EF838" w14:textId="77777777" w:rsidR="00F47ADA" w:rsidRDefault="00F47ADA" w:rsidP="0067693D">
            <w:pPr>
              <w:rPr>
                <w:lang w:val="lv-LV"/>
              </w:rPr>
            </w:pPr>
            <w:r>
              <w:rPr>
                <w:b/>
                <w:lang w:val="lv-LV"/>
              </w:rPr>
              <w:t>Deutschland</w:t>
            </w:r>
          </w:p>
          <w:p w14:paraId="7725416D" w14:textId="77777777" w:rsidR="00F47ADA" w:rsidRDefault="00F47ADA" w:rsidP="0067693D">
            <w:pPr>
              <w:rPr>
                <w:lang w:val="lv-LV"/>
              </w:rPr>
            </w:pPr>
            <w:r>
              <w:rPr>
                <w:lang w:val="lv-LV"/>
              </w:rPr>
              <w:t>Roche Pharma AG</w:t>
            </w:r>
          </w:p>
          <w:p w14:paraId="6B4BDE91" w14:textId="77777777" w:rsidR="00F47ADA" w:rsidRDefault="00F47ADA" w:rsidP="0067693D">
            <w:pPr>
              <w:rPr>
                <w:lang w:val="lv-LV"/>
              </w:rPr>
            </w:pPr>
            <w:r>
              <w:rPr>
                <w:lang w:val="lv-LV"/>
              </w:rPr>
              <w:t>Tel: +49 (0) 7624 140</w:t>
            </w:r>
            <w:r>
              <w:rPr>
                <w:lang w:val="de-CH"/>
              </w:rPr>
              <w:t xml:space="preserve"> </w:t>
            </w:r>
          </w:p>
          <w:p w14:paraId="58A65723" w14:textId="740E7BB5" w:rsidR="00F47ADA" w:rsidRPr="00707120" w:rsidDel="0048564E" w:rsidRDefault="00F47ADA" w:rsidP="0067693D">
            <w:pPr>
              <w:rPr>
                <w:del w:id="1654" w:author="Author"/>
                <w:rFonts w:eastAsia="MS PGothic"/>
                <w:bCs/>
                <w:szCs w:val="22"/>
                <w:lang w:val="pt-PT"/>
              </w:rPr>
            </w:pPr>
            <w:del w:id="1655" w:author="Author">
              <w:r w:rsidDel="0048564E">
                <w:rPr>
                  <w:lang w:val="lv-LV"/>
                </w:rPr>
                <w:delText>oder</w:delText>
              </w:r>
            </w:del>
          </w:p>
          <w:p w14:paraId="0069BA4D" w14:textId="73CC9861" w:rsidR="00F47ADA" w:rsidRPr="00707120" w:rsidDel="0048564E" w:rsidRDefault="00F47ADA" w:rsidP="0067693D">
            <w:pPr>
              <w:rPr>
                <w:del w:id="1656" w:author="Author"/>
                <w:rFonts w:eastAsia="MS PGothic"/>
                <w:bCs/>
                <w:szCs w:val="22"/>
                <w:lang w:val="pt-PT"/>
              </w:rPr>
            </w:pPr>
            <w:del w:id="1657" w:author="Author">
              <w:r w:rsidRPr="00707120" w:rsidDel="0048564E">
                <w:rPr>
                  <w:rFonts w:eastAsia="MS PGothic"/>
                  <w:bCs/>
                  <w:szCs w:val="22"/>
                  <w:lang w:val="pt-PT"/>
                </w:rPr>
                <w:delText>Chugai Pharma Europe Ltd.</w:delText>
              </w:r>
              <w:bookmarkStart w:id="1658" w:name="OLE_LINK2"/>
              <w:bookmarkStart w:id="1659" w:name="OLE_LINK1"/>
            </w:del>
          </w:p>
          <w:p w14:paraId="731CD49E" w14:textId="66AF677E" w:rsidR="00F47ADA" w:rsidDel="0048564E" w:rsidRDefault="00F47ADA" w:rsidP="0067693D">
            <w:pPr>
              <w:rPr>
                <w:del w:id="1660" w:author="Author"/>
                <w:rFonts w:eastAsia="MS PGothic"/>
                <w:bCs/>
                <w:szCs w:val="22"/>
                <w:lang w:val="de-DE"/>
              </w:rPr>
            </w:pPr>
            <w:del w:id="1661" w:author="Author">
              <w:r w:rsidDel="0048564E">
                <w:rPr>
                  <w:rFonts w:eastAsia="MS PGothic"/>
                  <w:bCs/>
                  <w:szCs w:val="22"/>
                  <w:lang w:val="de-DE"/>
                </w:rPr>
                <w:delText>Zweigniederlassung Deutschland</w:delText>
              </w:r>
            </w:del>
          </w:p>
          <w:p w14:paraId="34159787" w14:textId="27211951" w:rsidR="00F47ADA" w:rsidDel="0048564E" w:rsidRDefault="00F47ADA" w:rsidP="0067693D">
            <w:pPr>
              <w:rPr>
                <w:del w:id="1662" w:author="Author"/>
                <w:b/>
                <w:lang w:val="lv-LV"/>
              </w:rPr>
            </w:pPr>
            <w:del w:id="1663" w:author="Author">
              <w:r w:rsidDel="0048564E">
                <w:rPr>
                  <w:rFonts w:eastAsia="MS PGothic"/>
                  <w:bCs/>
                  <w:szCs w:val="22"/>
                  <w:lang w:val="de-DE"/>
                </w:rPr>
                <w:delText>Tel: +49 (0) 69 663000 0</w:delText>
              </w:r>
              <w:bookmarkEnd w:id="1658"/>
              <w:bookmarkEnd w:id="1659"/>
            </w:del>
          </w:p>
          <w:p w14:paraId="3B62EE16" w14:textId="77777777" w:rsidR="00F47ADA" w:rsidRDefault="00F47ADA">
            <w:pPr>
              <w:rPr>
                <w:b/>
                <w:lang w:val="lv-LV"/>
              </w:rPr>
            </w:pPr>
          </w:p>
        </w:tc>
        <w:tc>
          <w:tcPr>
            <w:tcW w:w="4590" w:type="dxa"/>
          </w:tcPr>
          <w:p w14:paraId="5D5485E0" w14:textId="39EA0CA9" w:rsidR="00F47ADA" w:rsidRDefault="00F47ADA" w:rsidP="0067693D">
            <w:pPr>
              <w:rPr>
                <w:lang w:val="lv-LV"/>
              </w:rPr>
            </w:pPr>
            <w:r>
              <w:rPr>
                <w:b/>
                <w:lang w:val="lv-LV"/>
              </w:rPr>
              <w:t>Norge</w:t>
            </w:r>
          </w:p>
          <w:p w14:paraId="0EA0D1F2" w14:textId="62F4942C" w:rsidR="00F47ADA" w:rsidRDefault="00F47ADA" w:rsidP="0067693D">
            <w:pPr>
              <w:rPr>
                <w:lang w:val="lv-LV"/>
              </w:rPr>
            </w:pPr>
            <w:r>
              <w:rPr>
                <w:lang w:val="lv-LV"/>
              </w:rPr>
              <w:t>Roche Norge AS</w:t>
            </w:r>
          </w:p>
          <w:p w14:paraId="4AA2F626" w14:textId="5BE54196" w:rsidR="00F47ADA" w:rsidRDefault="00F47ADA" w:rsidP="0067693D">
            <w:pPr>
              <w:rPr>
                <w:lang w:val="lv-LV"/>
              </w:rPr>
            </w:pPr>
            <w:r>
              <w:rPr>
                <w:lang w:val="lv-LV"/>
              </w:rPr>
              <w:t>Tlf: +47 - 22 78 90 00</w:t>
            </w:r>
          </w:p>
          <w:p w14:paraId="68C9E359" w14:textId="77777777" w:rsidR="00F47ADA" w:rsidRDefault="00F47ADA" w:rsidP="0067693D">
            <w:pPr>
              <w:rPr>
                <w:lang w:val="lv-LV"/>
              </w:rPr>
            </w:pPr>
          </w:p>
        </w:tc>
      </w:tr>
      <w:tr w:rsidR="00F47ADA" w:rsidRPr="00707120" w14:paraId="505A89FF" w14:textId="77777777" w:rsidTr="005C62C1">
        <w:trPr>
          <w:gridAfter w:val="1"/>
          <w:wAfter w:w="108" w:type="dxa"/>
          <w:cantSplit/>
        </w:trPr>
        <w:tc>
          <w:tcPr>
            <w:tcW w:w="4590" w:type="dxa"/>
          </w:tcPr>
          <w:p w14:paraId="09DC119D" w14:textId="77777777" w:rsidR="00F47ADA" w:rsidRDefault="00F47ADA" w:rsidP="0067693D">
            <w:pPr>
              <w:rPr>
                <w:bCs/>
                <w:lang w:val="lv-LV"/>
              </w:rPr>
            </w:pPr>
            <w:r>
              <w:rPr>
                <w:b/>
                <w:lang w:val="lv-LV"/>
              </w:rPr>
              <w:t>Eesti</w:t>
            </w:r>
          </w:p>
          <w:p w14:paraId="5A9C62CA" w14:textId="77777777" w:rsidR="00F47ADA" w:rsidRDefault="00F47ADA" w:rsidP="0067693D">
            <w:pPr>
              <w:rPr>
                <w:lang w:val="lv-LV"/>
              </w:rPr>
            </w:pPr>
            <w:r>
              <w:rPr>
                <w:bCs/>
                <w:lang w:val="lv-LV"/>
              </w:rPr>
              <w:t>Roche Eesti OÜ</w:t>
            </w:r>
          </w:p>
          <w:p w14:paraId="3C86C669" w14:textId="77777777" w:rsidR="00F47ADA" w:rsidRDefault="00F47ADA" w:rsidP="0067693D">
            <w:pPr>
              <w:rPr>
                <w:lang w:val="lv-LV"/>
              </w:rPr>
            </w:pPr>
            <w:r>
              <w:rPr>
                <w:lang w:val="lv-LV"/>
              </w:rPr>
              <w:t>Tel: + 372 - 6 177 380</w:t>
            </w:r>
          </w:p>
          <w:p w14:paraId="19767A9F" w14:textId="77777777" w:rsidR="00F47ADA" w:rsidRDefault="00F47ADA" w:rsidP="0067693D">
            <w:pPr>
              <w:rPr>
                <w:lang w:val="lv-LV"/>
              </w:rPr>
            </w:pPr>
          </w:p>
        </w:tc>
        <w:tc>
          <w:tcPr>
            <w:tcW w:w="4590" w:type="dxa"/>
          </w:tcPr>
          <w:p w14:paraId="714ADC62" w14:textId="52EF9475" w:rsidR="00F47ADA" w:rsidRDefault="00F47ADA" w:rsidP="0067693D">
            <w:pPr>
              <w:rPr>
                <w:lang w:val="lv-LV"/>
              </w:rPr>
            </w:pPr>
            <w:r>
              <w:rPr>
                <w:b/>
                <w:lang w:val="lv-LV"/>
              </w:rPr>
              <w:t>Österreich</w:t>
            </w:r>
          </w:p>
          <w:p w14:paraId="5FF58566" w14:textId="4C1F2B36" w:rsidR="00F47ADA" w:rsidRDefault="00F47ADA" w:rsidP="0067693D">
            <w:pPr>
              <w:rPr>
                <w:lang w:val="lv-LV"/>
              </w:rPr>
            </w:pPr>
            <w:r>
              <w:rPr>
                <w:lang w:val="lv-LV"/>
              </w:rPr>
              <w:t>Roche Austria GmbH</w:t>
            </w:r>
          </w:p>
          <w:p w14:paraId="690B862D" w14:textId="62C9A73C" w:rsidR="00F47ADA" w:rsidRDefault="00F47ADA" w:rsidP="0067693D">
            <w:pPr>
              <w:rPr>
                <w:lang w:val="lv-LV"/>
              </w:rPr>
            </w:pPr>
            <w:r>
              <w:rPr>
                <w:lang w:val="lv-LV"/>
              </w:rPr>
              <w:t>Tel: +43 (0) 1 27739</w:t>
            </w:r>
          </w:p>
          <w:p w14:paraId="7A274A4E" w14:textId="77777777" w:rsidR="00F47ADA" w:rsidRDefault="00F47ADA" w:rsidP="0067693D">
            <w:pPr>
              <w:rPr>
                <w:lang w:val="lv-LV"/>
              </w:rPr>
            </w:pPr>
          </w:p>
        </w:tc>
      </w:tr>
      <w:tr w:rsidR="00F47ADA" w14:paraId="3F43A9A9" w14:textId="77777777" w:rsidTr="005C62C1">
        <w:trPr>
          <w:gridAfter w:val="1"/>
          <w:wAfter w:w="108" w:type="dxa"/>
          <w:cantSplit/>
        </w:trPr>
        <w:tc>
          <w:tcPr>
            <w:tcW w:w="4590" w:type="dxa"/>
          </w:tcPr>
          <w:p w14:paraId="3C6CD8A0" w14:textId="24487AC6" w:rsidR="00F47ADA" w:rsidRDefault="00F47ADA" w:rsidP="0067693D">
            <w:pPr>
              <w:rPr>
                <w:lang w:val="lv-LV"/>
              </w:rPr>
            </w:pPr>
            <w:r>
              <w:rPr>
                <w:b/>
                <w:lang w:val="lv-LV"/>
              </w:rPr>
              <w:t>Ελλάδα</w:t>
            </w:r>
            <w:ins w:id="1664" w:author="Author">
              <w:r w:rsidR="00AD2889" w:rsidRPr="00750860">
                <w:rPr>
                  <w:b/>
                  <w:noProof/>
                  <w:szCs w:val="22"/>
                  <w:lang w:val="en-GB"/>
                </w:rPr>
                <w:t xml:space="preserve">, </w:t>
              </w:r>
              <w:r w:rsidR="00AD2889" w:rsidRPr="00750860">
                <w:rPr>
                  <w:b/>
                  <w:szCs w:val="22"/>
                  <w:lang w:val="en-GB"/>
                </w:rPr>
                <w:t>K</w:t>
              </w:r>
              <w:r w:rsidR="00AD2889" w:rsidRPr="00231BF8">
                <w:rPr>
                  <w:b/>
                  <w:noProof/>
                  <w:szCs w:val="22"/>
                  <w:lang w:val="en-GB"/>
                </w:rPr>
                <w:t>ύπρος</w:t>
              </w:r>
            </w:ins>
          </w:p>
          <w:p w14:paraId="36BF3590" w14:textId="3D3D629F" w:rsidR="00F47ADA" w:rsidRDefault="00F47ADA" w:rsidP="0067693D">
            <w:pPr>
              <w:rPr>
                <w:ins w:id="1665" w:author="Author"/>
                <w:lang w:val="lv-LV"/>
              </w:rPr>
            </w:pPr>
            <w:r>
              <w:rPr>
                <w:lang w:val="lv-LV"/>
              </w:rPr>
              <w:t xml:space="preserve">Roche (Hellas) A.E. </w:t>
            </w:r>
          </w:p>
          <w:p w14:paraId="76FD517D" w14:textId="164009E1" w:rsidR="00AD2889" w:rsidRDefault="00AD2889" w:rsidP="0067693D">
            <w:pPr>
              <w:rPr>
                <w:lang w:val="lv-LV"/>
              </w:rPr>
            </w:pPr>
            <w:ins w:id="1666" w:author="Author">
              <w:r w:rsidRPr="00DD58C9">
                <w:rPr>
                  <w:bCs/>
                  <w:noProof/>
                  <w:szCs w:val="22"/>
                  <w:lang w:val="en-GB"/>
                  <w:rPrChange w:id="1667" w:author="Author">
                    <w:rPr>
                      <w:b/>
                      <w:noProof/>
                      <w:szCs w:val="22"/>
                      <w:lang w:val="en-GB"/>
                    </w:rPr>
                  </w:rPrChange>
                </w:rPr>
                <w:t>Ελλάδα</w:t>
              </w:r>
            </w:ins>
          </w:p>
          <w:p w14:paraId="60769B12" w14:textId="77777777" w:rsidR="00F47ADA" w:rsidRDefault="00F47ADA" w:rsidP="0067693D">
            <w:pPr>
              <w:rPr>
                <w:lang w:val="lv-LV"/>
              </w:rPr>
            </w:pPr>
            <w:r>
              <w:rPr>
                <w:lang w:val="lv-LV"/>
              </w:rPr>
              <w:t>Τηλ: +30 210 61 66 100</w:t>
            </w:r>
          </w:p>
          <w:p w14:paraId="4127DF80" w14:textId="77777777" w:rsidR="00F47ADA" w:rsidRDefault="00F47ADA" w:rsidP="0067693D">
            <w:pPr>
              <w:rPr>
                <w:lang w:val="lv-LV"/>
              </w:rPr>
            </w:pPr>
          </w:p>
        </w:tc>
        <w:tc>
          <w:tcPr>
            <w:tcW w:w="4590" w:type="dxa"/>
          </w:tcPr>
          <w:p w14:paraId="31B602CC" w14:textId="1F703BA6" w:rsidR="00F47ADA" w:rsidRDefault="00F47ADA" w:rsidP="0067693D">
            <w:pPr>
              <w:rPr>
                <w:lang w:val="lv-LV"/>
              </w:rPr>
            </w:pPr>
            <w:r>
              <w:rPr>
                <w:b/>
                <w:lang w:val="lv-LV"/>
              </w:rPr>
              <w:t>Polska</w:t>
            </w:r>
          </w:p>
          <w:p w14:paraId="2E962906" w14:textId="2FAD0F38" w:rsidR="00F47ADA" w:rsidRDefault="00F47ADA" w:rsidP="0067693D">
            <w:pPr>
              <w:rPr>
                <w:lang w:val="lv-LV"/>
              </w:rPr>
            </w:pPr>
            <w:r>
              <w:rPr>
                <w:lang w:val="lv-LV"/>
              </w:rPr>
              <w:t>Roche Polska Sp.z o.o.</w:t>
            </w:r>
          </w:p>
          <w:p w14:paraId="51B087A5" w14:textId="1D2DAEDD" w:rsidR="00F47ADA" w:rsidRDefault="00F47ADA" w:rsidP="0067693D">
            <w:pPr>
              <w:rPr>
                <w:lang w:val="lv-LV"/>
              </w:rPr>
            </w:pPr>
            <w:r>
              <w:rPr>
                <w:lang w:val="lv-LV"/>
              </w:rPr>
              <w:t>Tel: +48 - 22 345 18 88</w:t>
            </w:r>
          </w:p>
          <w:p w14:paraId="7C50B52E" w14:textId="77777777" w:rsidR="00F47ADA" w:rsidRDefault="00F47ADA" w:rsidP="0067693D">
            <w:pPr>
              <w:rPr>
                <w:lang w:val="lv-LV"/>
              </w:rPr>
            </w:pPr>
          </w:p>
        </w:tc>
      </w:tr>
      <w:tr w:rsidR="00F47ADA" w:rsidRPr="00707120" w14:paraId="7214D798" w14:textId="77777777" w:rsidTr="005C62C1">
        <w:trPr>
          <w:gridAfter w:val="1"/>
          <w:wAfter w:w="108" w:type="dxa"/>
          <w:cantSplit/>
        </w:trPr>
        <w:tc>
          <w:tcPr>
            <w:tcW w:w="4590" w:type="dxa"/>
          </w:tcPr>
          <w:p w14:paraId="21D08D4A" w14:textId="77777777" w:rsidR="00F47ADA" w:rsidRDefault="00F47ADA" w:rsidP="0067693D">
            <w:pPr>
              <w:rPr>
                <w:lang w:val="lv-LV"/>
              </w:rPr>
            </w:pPr>
            <w:r>
              <w:rPr>
                <w:b/>
                <w:lang w:val="lv-LV"/>
              </w:rPr>
              <w:t>España</w:t>
            </w:r>
          </w:p>
          <w:p w14:paraId="58C92201" w14:textId="77777777" w:rsidR="00F47ADA" w:rsidRDefault="00F47ADA" w:rsidP="0067693D">
            <w:pPr>
              <w:rPr>
                <w:lang w:val="lv-LV"/>
              </w:rPr>
            </w:pPr>
            <w:r>
              <w:rPr>
                <w:lang w:val="lv-LV"/>
              </w:rPr>
              <w:t>Roche Farma S.A.</w:t>
            </w:r>
          </w:p>
          <w:p w14:paraId="372A5D33" w14:textId="77777777" w:rsidR="00F47ADA" w:rsidRDefault="00F47ADA" w:rsidP="0067693D">
            <w:pPr>
              <w:rPr>
                <w:lang w:val="lv-LV"/>
              </w:rPr>
            </w:pPr>
            <w:r>
              <w:rPr>
                <w:lang w:val="lv-LV"/>
              </w:rPr>
              <w:t>Tel: +34 - 91 324 81 00</w:t>
            </w:r>
          </w:p>
          <w:p w14:paraId="6F464963" w14:textId="77777777" w:rsidR="00F47ADA" w:rsidRDefault="00F47ADA" w:rsidP="0067693D">
            <w:pPr>
              <w:rPr>
                <w:lang w:val="lv-LV"/>
              </w:rPr>
            </w:pPr>
          </w:p>
        </w:tc>
        <w:tc>
          <w:tcPr>
            <w:tcW w:w="4590" w:type="dxa"/>
          </w:tcPr>
          <w:p w14:paraId="767A4F53" w14:textId="43C32D78" w:rsidR="00F47ADA" w:rsidRDefault="00F47ADA" w:rsidP="0067693D">
            <w:pPr>
              <w:rPr>
                <w:lang w:val="lv-LV"/>
              </w:rPr>
            </w:pPr>
            <w:r>
              <w:rPr>
                <w:b/>
                <w:lang w:val="lv-LV"/>
              </w:rPr>
              <w:t>Portugal</w:t>
            </w:r>
          </w:p>
          <w:p w14:paraId="4D4226CD" w14:textId="31B42CEF" w:rsidR="00F47ADA" w:rsidRDefault="00F47ADA" w:rsidP="0067693D">
            <w:pPr>
              <w:rPr>
                <w:lang w:val="lv-LV"/>
              </w:rPr>
            </w:pPr>
            <w:r>
              <w:rPr>
                <w:lang w:val="lv-LV"/>
              </w:rPr>
              <w:t>Roche Farmacêutica Química, Lda</w:t>
            </w:r>
          </w:p>
          <w:p w14:paraId="7DD765DA" w14:textId="682CAC95" w:rsidR="00F47ADA" w:rsidRDefault="00F47ADA" w:rsidP="0067693D">
            <w:pPr>
              <w:rPr>
                <w:lang w:val="lv-LV"/>
              </w:rPr>
            </w:pPr>
            <w:r>
              <w:rPr>
                <w:lang w:val="lv-LV"/>
              </w:rPr>
              <w:t>Tel: +351 - 21 425 70 00</w:t>
            </w:r>
          </w:p>
          <w:p w14:paraId="4B6B652A" w14:textId="77777777" w:rsidR="00F47ADA" w:rsidRDefault="00F47ADA" w:rsidP="0067693D">
            <w:pPr>
              <w:rPr>
                <w:lang w:val="lv-LV"/>
              </w:rPr>
            </w:pPr>
          </w:p>
        </w:tc>
      </w:tr>
      <w:tr w:rsidR="00F47ADA" w14:paraId="15F6611A" w14:textId="77777777" w:rsidTr="005C62C1">
        <w:trPr>
          <w:gridAfter w:val="1"/>
          <w:wAfter w:w="108" w:type="dxa"/>
          <w:cantSplit/>
        </w:trPr>
        <w:tc>
          <w:tcPr>
            <w:tcW w:w="4590" w:type="dxa"/>
          </w:tcPr>
          <w:p w14:paraId="249FCC2B" w14:textId="77777777" w:rsidR="00F47ADA" w:rsidRDefault="00F47ADA" w:rsidP="0067693D">
            <w:pPr>
              <w:rPr>
                <w:lang w:val="lv-LV"/>
              </w:rPr>
            </w:pPr>
            <w:r>
              <w:rPr>
                <w:b/>
                <w:lang w:val="lv-LV"/>
              </w:rPr>
              <w:t>France</w:t>
            </w:r>
          </w:p>
          <w:p w14:paraId="21686178" w14:textId="77777777" w:rsidR="00F47ADA" w:rsidRDefault="00F47ADA" w:rsidP="0067693D">
            <w:pPr>
              <w:rPr>
                <w:lang w:val="lv-LV"/>
              </w:rPr>
            </w:pPr>
            <w:r>
              <w:rPr>
                <w:lang w:val="lv-LV"/>
              </w:rPr>
              <w:t>Roche</w:t>
            </w:r>
          </w:p>
          <w:p w14:paraId="3C6FF5E3" w14:textId="77777777" w:rsidR="00F47ADA" w:rsidRDefault="00F47ADA" w:rsidP="0067693D">
            <w:pPr>
              <w:rPr>
                <w:rFonts w:eastAsia="PMingLiU"/>
                <w:szCs w:val="22"/>
                <w:lang w:val="fr-FR"/>
              </w:rPr>
            </w:pPr>
            <w:r>
              <w:rPr>
                <w:lang w:val="lv-LV"/>
              </w:rPr>
              <w:t xml:space="preserve">Tél: +33 (0) </w:t>
            </w:r>
            <w:r>
              <w:rPr>
                <w:lang w:val="fr-FR"/>
              </w:rPr>
              <w:t>1 47 61 40 00</w:t>
            </w:r>
          </w:p>
          <w:p w14:paraId="2E38CF45" w14:textId="5EC9D94A" w:rsidR="00F47ADA" w:rsidDel="00D26ACC" w:rsidRDefault="00F47ADA" w:rsidP="0067693D">
            <w:pPr>
              <w:rPr>
                <w:del w:id="1668" w:author="Author"/>
                <w:rFonts w:eastAsia="PMingLiU"/>
                <w:szCs w:val="22"/>
                <w:lang w:val="fr-FR"/>
              </w:rPr>
            </w:pPr>
            <w:del w:id="1669" w:author="Author">
              <w:r w:rsidDel="00D26ACC">
                <w:rPr>
                  <w:rFonts w:eastAsia="PMingLiU"/>
                  <w:szCs w:val="22"/>
                  <w:lang w:val="fr-FR"/>
                </w:rPr>
                <w:delText>ou</w:delText>
              </w:r>
            </w:del>
          </w:p>
          <w:p w14:paraId="547460AF" w14:textId="00A1D8D5" w:rsidR="00F47ADA" w:rsidDel="00D26ACC" w:rsidRDefault="00F47ADA" w:rsidP="0067693D">
            <w:pPr>
              <w:rPr>
                <w:del w:id="1670" w:author="Author"/>
                <w:rFonts w:eastAsia="PMingLiU"/>
                <w:szCs w:val="22"/>
                <w:lang w:val="fr-FR"/>
              </w:rPr>
            </w:pPr>
            <w:del w:id="1671" w:author="Author">
              <w:r w:rsidDel="00D26ACC">
                <w:rPr>
                  <w:rFonts w:eastAsia="PMingLiU"/>
                  <w:szCs w:val="22"/>
                  <w:lang w:val="fr-FR"/>
                </w:rPr>
                <w:delText>Chugai Pharma France</w:delText>
              </w:r>
            </w:del>
          </w:p>
          <w:p w14:paraId="0FADF284" w14:textId="3DFCDA40" w:rsidR="00F47ADA" w:rsidRPr="00C74D1A" w:rsidDel="00D26ACC" w:rsidRDefault="00F47ADA" w:rsidP="0067693D">
            <w:pPr>
              <w:rPr>
                <w:del w:id="1672" w:author="Author"/>
                <w:rFonts w:eastAsia="PMingLiU"/>
                <w:szCs w:val="22"/>
                <w:lang w:val="fr-FR"/>
              </w:rPr>
            </w:pPr>
            <w:del w:id="1673" w:author="Author">
              <w:r w:rsidRPr="00C74D1A" w:rsidDel="00D26ACC">
                <w:rPr>
                  <w:rFonts w:eastAsia="PMingLiU"/>
                  <w:szCs w:val="22"/>
                  <w:lang w:val="fr-FR"/>
                </w:rPr>
                <w:delText>Tél: +33 (0) 1 56 37 05 20</w:delText>
              </w:r>
            </w:del>
          </w:p>
          <w:p w14:paraId="1F3D7CBC" w14:textId="284D8F62" w:rsidR="00F47ADA" w:rsidDel="00D26ACC" w:rsidRDefault="00F47ADA" w:rsidP="0067693D">
            <w:pPr>
              <w:rPr>
                <w:del w:id="1674" w:author="Author"/>
                <w:b/>
                <w:lang w:val="lv-LV"/>
              </w:rPr>
            </w:pPr>
          </w:p>
          <w:p w14:paraId="14E6F66A" w14:textId="42827D0A" w:rsidR="00F47ADA" w:rsidRPr="00C74D1A" w:rsidDel="00D26ACC" w:rsidRDefault="00F47ADA" w:rsidP="0067693D">
            <w:pPr>
              <w:suppressAutoHyphens w:val="0"/>
              <w:rPr>
                <w:del w:id="1675" w:author="Author"/>
                <w:b/>
                <w:noProof/>
                <w:lang w:val="fr-FR" w:eastAsia="ja-JP"/>
              </w:rPr>
            </w:pPr>
            <w:del w:id="1676" w:author="Author">
              <w:r w:rsidRPr="00C74D1A" w:rsidDel="00D26ACC">
                <w:rPr>
                  <w:b/>
                  <w:noProof/>
                  <w:lang w:val="fr-FR" w:eastAsia="ja-JP"/>
                </w:rPr>
                <w:delText>Hrvatska</w:delText>
              </w:r>
            </w:del>
          </w:p>
          <w:p w14:paraId="7B880A3C" w14:textId="2303CBB1" w:rsidR="00F47ADA" w:rsidRPr="00C74D1A" w:rsidDel="00D26ACC" w:rsidRDefault="00F47ADA" w:rsidP="0067693D">
            <w:pPr>
              <w:suppressAutoHyphens w:val="0"/>
              <w:rPr>
                <w:del w:id="1677" w:author="Author"/>
                <w:noProof/>
                <w:lang w:val="fr-FR" w:eastAsia="ja-JP"/>
              </w:rPr>
            </w:pPr>
            <w:del w:id="1678" w:author="Author">
              <w:r w:rsidRPr="00C74D1A" w:rsidDel="00D26ACC">
                <w:rPr>
                  <w:noProof/>
                  <w:lang w:val="fr-FR" w:eastAsia="ja-JP"/>
                </w:rPr>
                <w:delText>Roche d.o.o</w:delText>
              </w:r>
            </w:del>
          </w:p>
          <w:p w14:paraId="2CFD95CF" w14:textId="63A9FDB8" w:rsidR="00F47ADA" w:rsidRDefault="00F47ADA" w:rsidP="0067693D">
            <w:pPr>
              <w:rPr>
                <w:b/>
                <w:lang w:val="lv-LV"/>
              </w:rPr>
            </w:pPr>
            <w:del w:id="1679" w:author="Author">
              <w:r w:rsidDel="00D26ACC">
                <w:rPr>
                  <w:noProof/>
                  <w:lang w:val="de-CH" w:eastAsia="ja-JP"/>
                </w:rPr>
                <w:delText>Tel: +385 1 47 22 333</w:delText>
              </w:r>
            </w:del>
          </w:p>
        </w:tc>
        <w:tc>
          <w:tcPr>
            <w:tcW w:w="4590" w:type="dxa"/>
          </w:tcPr>
          <w:p w14:paraId="17690356" w14:textId="2A83EF5E" w:rsidR="00F47ADA" w:rsidRDefault="00F47ADA" w:rsidP="0067693D">
            <w:pPr>
              <w:tabs>
                <w:tab w:val="left" w:pos="-720"/>
                <w:tab w:val="left" w:pos="567"/>
                <w:tab w:val="left" w:pos="4536"/>
              </w:tabs>
              <w:spacing w:line="260" w:lineRule="exact"/>
              <w:rPr>
                <w:szCs w:val="22"/>
                <w:lang w:val="lv-LV"/>
              </w:rPr>
            </w:pPr>
            <w:r>
              <w:rPr>
                <w:b/>
                <w:szCs w:val="22"/>
                <w:lang w:val="lv-LV"/>
              </w:rPr>
              <w:t>România</w:t>
            </w:r>
          </w:p>
          <w:p w14:paraId="32B1CB9E" w14:textId="2282BF3E" w:rsidR="00F47ADA" w:rsidRDefault="00F47ADA" w:rsidP="0067693D">
            <w:pPr>
              <w:tabs>
                <w:tab w:val="left" w:pos="-720"/>
                <w:tab w:val="left" w:pos="4536"/>
              </w:tabs>
              <w:rPr>
                <w:szCs w:val="22"/>
                <w:lang w:val="lv-LV"/>
              </w:rPr>
            </w:pPr>
            <w:r>
              <w:rPr>
                <w:szCs w:val="22"/>
                <w:lang w:val="lv-LV"/>
              </w:rPr>
              <w:t>Roche România S.R.L.</w:t>
            </w:r>
          </w:p>
          <w:p w14:paraId="69DD29EA" w14:textId="5A76BFFC" w:rsidR="00F47ADA" w:rsidRDefault="00F47ADA" w:rsidP="0067693D">
            <w:pPr>
              <w:tabs>
                <w:tab w:val="left" w:pos="-720"/>
                <w:tab w:val="left" w:pos="4536"/>
              </w:tabs>
              <w:rPr>
                <w:lang w:val="lv-LV"/>
              </w:rPr>
            </w:pPr>
            <w:r>
              <w:rPr>
                <w:szCs w:val="22"/>
                <w:lang w:val="lv-LV"/>
              </w:rPr>
              <w:t>Tel: +40 21 206 47 01</w:t>
            </w:r>
          </w:p>
          <w:p w14:paraId="649DD4B7" w14:textId="77777777" w:rsidR="00F47ADA" w:rsidRDefault="00F47ADA" w:rsidP="0067693D">
            <w:pPr>
              <w:tabs>
                <w:tab w:val="left" w:pos="-720"/>
                <w:tab w:val="left" w:pos="4536"/>
              </w:tabs>
              <w:rPr>
                <w:lang w:val="lv-LV"/>
              </w:rPr>
            </w:pPr>
          </w:p>
        </w:tc>
      </w:tr>
      <w:tr w:rsidR="00F47ADA" w14:paraId="698A1F3D" w14:textId="77777777" w:rsidTr="005C62C1">
        <w:trPr>
          <w:gridAfter w:val="1"/>
          <w:wAfter w:w="108" w:type="dxa"/>
          <w:cantSplit/>
        </w:trPr>
        <w:tc>
          <w:tcPr>
            <w:tcW w:w="4590" w:type="dxa"/>
          </w:tcPr>
          <w:p w14:paraId="6A846040" w14:textId="77777777" w:rsidR="00D26ACC" w:rsidRPr="00750860" w:rsidRDefault="00D26ACC" w:rsidP="00D26ACC">
            <w:pPr>
              <w:pStyle w:val="Standard1"/>
              <w:rPr>
                <w:ins w:id="1680" w:author="Author"/>
                <w:b/>
                <w:szCs w:val="22"/>
                <w:lang w:val="fr-FR"/>
              </w:rPr>
            </w:pPr>
            <w:ins w:id="1681" w:author="Author">
              <w:r w:rsidRPr="00750860">
                <w:rPr>
                  <w:b/>
                  <w:szCs w:val="22"/>
                  <w:lang w:val="fr-FR"/>
                </w:rPr>
                <w:t>Hrvatska</w:t>
              </w:r>
            </w:ins>
          </w:p>
          <w:p w14:paraId="736D7487" w14:textId="77777777" w:rsidR="00D26ACC" w:rsidRPr="00750860" w:rsidRDefault="00D26ACC" w:rsidP="00D26ACC">
            <w:pPr>
              <w:pStyle w:val="Standard1"/>
              <w:rPr>
                <w:ins w:id="1682" w:author="Author"/>
                <w:szCs w:val="22"/>
                <w:lang w:val="en-GB"/>
              </w:rPr>
            </w:pPr>
            <w:ins w:id="1683" w:author="Author">
              <w:r w:rsidRPr="00750860">
                <w:rPr>
                  <w:szCs w:val="22"/>
                  <w:lang w:val="fr-FR"/>
                </w:rPr>
                <w:t>Roche d.o.o</w:t>
              </w:r>
            </w:ins>
          </w:p>
          <w:p w14:paraId="491C53DB" w14:textId="77777777" w:rsidR="00D26ACC" w:rsidRPr="00750860" w:rsidRDefault="00D26ACC" w:rsidP="00D26ACC">
            <w:pPr>
              <w:pStyle w:val="Standard1"/>
              <w:rPr>
                <w:ins w:id="1684" w:author="Author"/>
                <w:szCs w:val="22"/>
                <w:lang w:val="en-GB"/>
              </w:rPr>
            </w:pPr>
            <w:ins w:id="1685" w:author="Author">
              <w:r w:rsidRPr="00750860">
                <w:rPr>
                  <w:szCs w:val="22"/>
                  <w:lang w:val="en-GB"/>
                </w:rPr>
                <w:t>Tel: +385 1 47 22 333</w:t>
              </w:r>
            </w:ins>
          </w:p>
          <w:p w14:paraId="27F7D626" w14:textId="1FD85981" w:rsidR="00F47ADA" w:rsidDel="00D26ACC" w:rsidRDefault="00F47ADA" w:rsidP="0067693D">
            <w:pPr>
              <w:rPr>
                <w:del w:id="1686" w:author="Author"/>
                <w:lang w:val="lv-LV"/>
              </w:rPr>
            </w:pPr>
            <w:del w:id="1687" w:author="Author">
              <w:r w:rsidDel="00D26ACC">
                <w:rPr>
                  <w:b/>
                  <w:lang w:val="lv-LV"/>
                </w:rPr>
                <w:delText>Ireland</w:delText>
              </w:r>
            </w:del>
          </w:p>
          <w:p w14:paraId="69DF3004" w14:textId="49EE6E6C" w:rsidR="00F47ADA" w:rsidDel="00D26ACC" w:rsidRDefault="00F47ADA" w:rsidP="0067693D">
            <w:pPr>
              <w:rPr>
                <w:del w:id="1688" w:author="Author"/>
                <w:lang w:val="lv-LV"/>
              </w:rPr>
            </w:pPr>
            <w:del w:id="1689" w:author="Author">
              <w:r w:rsidDel="00D26ACC">
                <w:rPr>
                  <w:lang w:val="lv-LV"/>
                </w:rPr>
                <w:delText>Roche Products (Ireland) Ltd.</w:delText>
              </w:r>
            </w:del>
          </w:p>
          <w:p w14:paraId="3241FCD8" w14:textId="057B58CA" w:rsidR="00F47ADA" w:rsidDel="005C62C1" w:rsidRDefault="00F47ADA" w:rsidP="005C62C1">
            <w:pPr>
              <w:rPr>
                <w:del w:id="1690" w:author="Author"/>
                <w:lang w:val="lv-LV"/>
              </w:rPr>
            </w:pPr>
            <w:del w:id="1691" w:author="Author">
              <w:r w:rsidDel="00D26ACC">
                <w:rPr>
                  <w:lang w:val="lv-LV"/>
                </w:rPr>
                <w:delText>Tel: +353 (0) 1 469 0700</w:delText>
              </w:r>
            </w:del>
          </w:p>
          <w:p w14:paraId="288DB9D2" w14:textId="77777777" w:rsidR="00F47ADA" w:rsidRDefault="00F47ADA" w:rsidP="0067693D">
            <w:pPr>
              <w:rPr>
                <w:lang w:val="lv-LV"/>
              </w:rPr>
            </w:pPr>
          </w:p>
        </w:tc>
        <w:tc>
          <w:tcPr>
            <w:tcW w:w="4590" w:type="dxa"/>
          </w:tcPr>
          <w:p w14:paraId="601E6E7A" w14:textId="509240BE" w:rsidR="00F47ADA" w:rsidRDefault="00F47ADA" w:rsidP="0067693D">
            <w:pPr>
              <w:rPr>
                <w:lang w:val="lv-LV"/>
              </w:rPr>
            </w:pPr>
            <w:r>
              <w:rPr>
                <w:b/>
                <w:lang w:val="lv-LV"/>
              </w:rPr>
              <w:t>Slovenija</w:t>
            </w:r>
          </w:p>
          <w:p w14:paraId="0A811936" w14:textId="1981E22A" w:rsidR="00F47ADA" w:rsidRDefault="00F47ADA" w:rsidP="0067693D">
            <w:pPr>
              <w:rPr>
                <w:rFonts w:eastAsia="MS Mincho"/>
                <w:lang w:val="lv-LV"/>
              </w:rPr>
            </w:pPr>
            <w:r>
              <w:rPr>
                <w:lang w:val="lv-LV"/>
              </w:rPr>
              <w:t>Roche farmacevtska družba d.o.o.</w:t>
            </w:r>
          </w:p>
          <w:p w14:paraId="15B0ECC2" w14:textId="4CDF673A" w:rsidR="00F47ADA" w:rsidRDefault="00F47ADA" w:rsidP="0067693D">
            <w:pPr>
              <w:rPr>
                <w:lang w:val="lv-LV"/>
              </w:rPr>
            </w:pPr>
            <w:r>
              <w:rPr>
                <w:rFonts w:eastAsia="MS Mincho"/>
                <w:lang w:val="lv-LV"/>
              </w:rPr>
              <w:t>Tel: +386 - 1 360 26 00</w:t>
            </w:r>
          </w:p>
          <w:p w14:paraId="3F779489" w14:textId="77777777" w:rsidR="00F47ADA" w:rsidRDefault="00F47ADA" w:rsidP="0067693D">
            <w:pPr>
              <w:rPr>
                <w:lang w:val="lv-LV"/>
              </w:rPr>
            </w:pPr>
          </w:p>
        </w:tc>
      </w:tr>
      <w:tr w:rsidR="004C5DE8" w14:paraId="63DD6D30" w14:textId="77777777" w:rsidTr="000007DA">
        <w:trPr>
          <w:cantSplit/>
          <w:ins w:id="1692" w:author="Author"/>
        </w:trPr>
        <w:tc>
          <w:tcPr>
            <w:tcW w:w="4590" w:type="dxa"/>
          </w:tcPr>
          <w:p w14:paraId="2EB7607F" w14:textId="77777777" w:rsidR="004C5DE8" w:rsidRPr="00E725B3" w:rsidRDefault="004C5DE8" w:rsidP="004C5DE8">
            <w:pPr>
              <w:pStyle w:val="Standard1"/>
              <w:rPr>
                <w:ins w:id="1693" w:author="Author"/>
                <w:b/>
                <w:noProof/>
                <w:szCs w:val="22"/>
                <w:lang w:val="en-GB"/>
              </w:rPr>
            </w:pPr>
            <w:ins w:id="1694" w:author="Author">
              <w:r w:rsidRPr="00E725B3">
                <w:rPr>
                  <w:b/>
                  <w:noProof/>
                  <w:szCs w:val="22"/>
                  <w:lang w:val="en-GB"/>
                </w:rPr>
                <w:t>Ireland</w:t>
              </w:r>
              <w:r w:rsidRPr="00231BF8">
                <w:rPr>
                  <w:b/>
                  <w:noProof/>
                  <w:szCs w:val="22"/>
                  <w:lang w:val="en-GB"/>
                </w:rPr>
                <w:t>, Malta</w:t>
              </w:r>
            </w:ins>
          </w:p>
          <w:p w14:paraId="4BFDB17E" w14:textId="77777777" w:rsidR="004C5DE8" w:rsidRPr="00231BF8" w:rsidRDefault="004C5DE8" w:rsidP="004C5DE8">
            <w:pPr>
              <w:pStyle w:val="Standard1"/>
              <w:rPr>
                <w:ins w:id="1695" w:author="Author"/>
                <w:noProof/>
                <w:szCs w:val="22"/>
                <w:lang w:val="en-GB"/>
              </w:rPr>
            </w:pPr>
            <w:ins w:id="1696" w:author="Author">
              <w:r w:rsidRPr="00E725B3">
                <w:rPr>
                  <w:noProof/>
                  <w:szCs w:val="22"/>
                  <w:lang w:val="en-GB"/>
                </w:rPr>
                <w:t>Roche Products (Ireland) Ltd.</w:t>
              </w:r>
            </w:ins>
          </w:p>
          <w:p w14:paraId="5E8F01F1" w14:textId="77777777" w:rsidR="004C5DE8" w:rsidRPr="00231BF8" w:rsidRDefault="004C5DE8" w:rsidP="004C5DE8">
            <w:pPr>
              <w:pStyle w:val="Standard1"/>
              <w:rPr>
                <w:ins w:id="1697" w:author="Author"/>
                <w:noProof/>
                <w:szCs w:val="22"/>
                <w:lang w:val="en-GB"/>
              </w:rPr>
            </w:pPr>
            <w:ins w:id="1698" w:author="Author">
              <w:r w:rsidRPr="00231BF8">
                <w:rPr>
                  <w:noProof/>
                  <w:szCs w:val="22"/>
                  <w:lang w:val="en-GB"/>
                </w:rPr>
                <w:t>Ireland/L-Irlanda</w:t>
              </w:r>
            </w:ins>
          </w:p>
          <w:p w14:paraId="2F4A6C38" w14:textId="77777777" w:rsidR="004C5DE8" w:rsidRPr="00E725B3" w:rsidRDefault="004C5DE8" w:rsidP="004C5DE8">
            <w:pPr>
              <w:pStyle w:val="Standard1"/>
              <w:rPr>
                <w:ins w:id="1699" w:author="Author"/>
                <w:noProof/>
                <w:szCs w:val="22"/>
                <w:lang w:val="en-GB"/>
              </w:rPr>
            </w:pPr>
            <w:ins w:id="1700" w:author="Author">
              <w:r w:rsidRPr="00E725B3">
                <w:rPr>
                  <w:noProof/>
                  <w:szCs w:val="22"/>
                  <w:lang w:val="en-GB"/>
                </w:rPr>
                <w:t>Tel: +353 (0) 1 469 0700</w:t>
              </w:r>
            </w:ins>
          </w:p>
          <w:p w14:paraId="210C92C4" w14:textId="77777777" w:rsidR="004C5DE8" w:rsidRDefault="004C5DE8" w:rsidP="004C5DE8">
            <w:pPr>
              <w:tabs>
                <w:tab w:val="left" w:pos="720"/>
              </w:tabs>
              <w:rPr>
                <w:ins w:id="1701" w:author="Author"/>
                <w:b/>
                <w:lang w:val="lv-LV"/>
              </w:rPr>
            </w:pPr>
          </w:p>
        </w:tc>
        <w:tc>
          <w:tcPr>
            <w:tcW w:w="4590" w:type="dxa"/>
            <w:gridSpan w:val="2"/>
          </w:tcPr>
          <w:p w14:paraId="6541370C" w14:textId="77777777" w:rsidR="004C5DE8" w:rsidRPr="00231BF8" w:rsidRDefault="004C5DE8" w:rsidP="004C5DE8">
            <w:pPr>
              <w:pStyle w:val="Standard1"/>
              <w:rPr>
                <w:ins w:id="1702" w:author="Author"/>
                <w:b/>
                <w:szCs w:val="22"/>
                <w:lang w:val="it-IT"/>
              </w:rPr>
            </w:pPr>
            <w:ins w:id="1703" w:author="Author">
              <w:r w:rsidRPr="00231BF8">
                <w:rPr>
                  <w:b/>
                  <w:szCs w:val="22"/>
                  <w:lang w:val="it-IT"/>
                </w:rPr>
                <w:t xml:space="preserve">Slovenská republika </w:t>
              </w:r>
            </w:ins>
          </w:p>
          <w:p w14:paraId="11E9BFFF" w14:textId="77777777" w:rsidR="004C5DE8" w:rsidRPr="00231BF8" w:rsidRDefault="004C5DE8" w:rsidP="004C5DE8">
            <w:pPr>
              <w:pStyle w:val="Standard1"/>
              <w:rPr>
                <w:ins w:id="1704" w:author="Author"/>
                <w:szCs w:val="22"/>
                <w:lang w:val="it-IT"/>
              </w:rPr>
            </w:pPr>
            <w:ins w:id="1705" w:author="Author">
              <w:r w:rsidRPr="00231BF8">
                <w:rPr>
                  <w:noProof/>
                  <w:szCs w:val="22"/>
                  <w:lang w:val="it-IT"/>
                </w:rPr>
                <w:t>Roche Slovensko, s.r.o.</w:t>
              </w:r>
            </w:ins>
          </w:p>
          <w:p w14:paraId="4F775E0C" w14:textId="77777777" w:rsidR="004C5DE8" w:rsidRPr="00231BF8" w:rsidRDefault="004C5DE8" w:rsidP="004C5DE8">
            <w:pPr>
              <w:pStyle w:val="Standard1"/>
              <w:rPr>
                <w:ins w:id="1706" w:author="Author"/>
                <w:noProof/>
                <w:szCs w:val="22"/>
                <w:lang w:val="en-GB"/>
              </w:rPr>
            </w:pPr>
            <w:ins w:id="1707" w:author="Author">
              <w:r w:rsidRPr="00231BF8">
                <w:rPr>
                  <w:noProof/>
                  <w:szCs w:val="22"/>
                  <w:lang w:val="en-GB"/>
                </w:rPr>
                <w:t>Tel: +421 - 2 52638201</w:t>
              </w:r>
            </w:ins>
          </w:p>
          <w:p w14:paraId="7A67315B" w14:textId="77777777" w:rsidR="004C5DE8" w:rsidRDefault="004C5DE8" w:rsidP="004C5DE8">
            <w:pPr>
              <w:rPr>
                <w:ins w:id="1708" w:author="Author"/>
                <w:b/>
                <w:lang w:val="lv-LV"/>
              </w:rPr>
            </w:pPr>
          </w:p>
        </w:tc>
      </w:tr>
      <w:tr w:rsidR="004C5DE8" w14:paraId="1C93554E" w14:textId="77777777" w:rsidTr="00DD58C9">
        <w:trPr>
          <w:gridAfter w:val="1"/>
          <w:wAfter w:w="108" w:type="dxa"/>
          <w:cantSplit/>
          <w:trPrChange w:id="1709" w:author="Author">
            <w:trPr>
              <w:cantSplit/>
            </w:trPr>
          </w:trPrChange>
        </w:trPr>
        <w:tc>
          <w:tcPr>
            <w:tcW w:w="4590" w:type="dxa"/>
            <w:tcPrChange w:id="1710" w:author="Author">
              <w:tcPr>
                <w:tcW w:w="4590" w:type="dxa"/>
                <w:gridSpan w:val="2"/>
              </w:tcPr>
            </w:tcPrChange>
          </w:tcPr>
          <w:p w14:paraId="72DD4E55" w14:textId="77777777" w:rsidR="004C5DE8" w:rsidRDefault="004C5DE8" w:rsidP="004C5DE8">
            <w:pPr>
              <w:tabs>
                <w:tab w:val="left" w:pos="720"/>
              </w:tabs>
              <w:rPr>
                <w:lang w:val="lv-LV"/>
              </w:rPr>
            </w:pPr>
            <w:r>
              <w:rPr>
                <w:b/>
                <w:lang w:val="lv-LV"/>
              </w:rPr>
              <w:t xml:space="preserve">Ísland </w:t>
            </w:r>
          </w:p>
          <w:p w14:paraId="2F1317A7" w14:textId="77777777" w:rsidR="004C5DE8" w:rsidRDefault="004C5DE8" w:rsidP="004C5DE8">
            <w:pPr>
              <w:tabs>
                <w:tab w:val="left" w:pos="720"/>
              </w:tabs>
              <w:rPr>
                <w:szCs w:val="22"/>
                <w:lang w:val="lv-LV"/>
              </w:rPr>
            </w:pPr>
            <w:r>
              <w:rPr>
                <w:lang w:val="lv-LV"/>
              </w:rPr>
              <w:t xml:space="preserve">Roche </w:t>
            </w:r>
            <w:r>
              <w:rPr>
                <w:noProof/>
              </w:rPr>
              <w:t>Pharmaceuticals A/S</w:t>
            </w:r>
          </w:p>
          <w:p w14:paraId="0A7F366A" w14:textId="77777777" w:rsidR="004C5DE8" w:rsidRDefault="004C5DE8" w:rsidP="004C5DE8">
            <w:pPr>
              <w:tabs>
                <w:tab w:val="left" w:pos="720"/>
              </w:tabs>
              <w:rPr>
                <w:lang w:val="lv-LV"/>
              </w:rPr>
            </w:pPr>
            <w:r>
              <w:rPr>
                <w:szCs w:val="22"/>
                <w:lang w:val="lv-LV"/>
              </w:rPr>
              <w:t>c/o Icepharma hf</w:t>
            </w:r>
          </w:p>
          <w:p w14:paraId="4D5744B1" w14:textId="77777777" w:rsidR="004C5DE8" w:rsidRDefault="004C5DE8" w:rsidP="004C5DE8">
            <w:pPr>
              <w:rPr>
                <w:b/>
                <w:lang w:val="lv-LV"/>
              </w:rPr>
            </w:pPr>
            <w:r>
              <w:rPr>
                <w:lang w:val="lv-LV"/>
              </w:rPr>
              <w:t>Sími: +354 540 8000</w:t>
            </w:r>
          </w:p>
          <w:p w14:paraId="27F31F61" w14:textId="77777777" w:rsidR="004C5DE8" w:rsidRDefault="004C5DE8" w:rsidP="004C5DE8">
            <w:pPr>
              <w:tabs>
                <w:tab w:val="left" w:pos="720"/>
              </w:tabs>
              <w:autoSpaceDE w:val="0"/>
              <w:rPr>
                <w:b/>
                <w:lang w:val="lv-LV"/>
              </w:rPr>
            </w:pPr>
          </w:p>
        </w:tc>
        <w:tc>
          <w:tcPr>
            <w:tcW w:w="4590" w:type="dxa"/>
            <w:tcPrChange w:id="1711" w:author="Author">
              <w:tcPr>
                <w:tcW w:w="4590" w:type="dxa"/>
                <w:gridSpan w:val="2"/>
              </w:tcPr>
            </w:tcPrChange>
          </w:tcPr>
          <w:p w14:paraId="2CD7EB52" w14:textId="77777777" w:rsidR="004C5DE8" w:rsidRPr="00231BF8" w:rsidRDefault="004C5DE8" w:rsidP="004C5DE8">
            <w:pPr>
              <w:pStyle w:val="Standard1"/>
              <w:rPr>
                <w:ins w:id="1712" w:author="Author"/>
                <w:b/>
                <w:noProof/>
                <w:szCs w:val="22"/>
                <w:lang w:val="de-DE"/>
              </w:rPr>
            </w:pPr>
            <w:ins w:id="1713" w:author="Author">
              <w:r w:rsidRPr="00231BF8">
                <w:rPr>
                  <w:b/>
                  <w:noProof/>
                  <w:szCs w:val="22"/>
                  <w:lang w:val="de-DE"/>
                </w:rPr>
                <w:t>Suomi/Finland</w:t>
              </w:r>
            </w:ins>
          </w:p>
          <w:p w14:paraId="726B7297" w14:textId="77777777" w:rsidR="004C5DE8" w:rsidRPr="00231BF8" w:rsidRDefault="004C5DE8" w:rsidP="004C5DE8">
            <w:pPr>
              <w:pStyle w:val="Standard1"/>
              <w:rPr>
                <w:ins w:id="1714" w:author="Author"/>
                <w:noProof/>
                <w:snapToGrid w:val="0"/>
                <w:szCs w:val="22"/>
                <w:lang w:val="de-DE"/>
              </w:rPr>
            </w:pPr>
            <w:ins w:id="1715" w:author="Author">
              <w:r w:rsidRPr="00231BF8">
                <w:rPr>
                  <w:noProof/>
                  <w:szCs w:val="22"/>
                  <w:lang w:val="de-DE"/>
                </w:rPr>
                <w:t>Roche Oy</w:t>
              </w:r>
              <w:r w:rsidRPr="00231BF8">
                <w:rPr>
                  <w:noProof/>
                  <w:snapToGrid w:val="0"/>
                  <w:szCs w:val="22"/>
                  <w:lang w:val="de-DE"/>
                </w:rPr>
                <w:t xml:space="preserve"> </w:t>
              </w:r>
            </w:ins>
          </w:p>
          <w:p w14:paraId="1F1807D7" w14:textId="77777777" w:rsidR="004C5DE8" w:rsidRPr="00231BF8" w:rsidRDefault="004C5DE8" w:rsidP="004C5DE8">
            <w:pPr>
              <w:pStyle w:val="Standard1"/>
              <w:rPr>
                <w:ins w:id="1716" w:author="Author"/>
                <w:noProof/>
                <w:szCs w:val="22"/>
                <w:lang w:val="de-DE"/>
              </w:rPr>
            </w:pPr>
            <w:ins w:id="1717" w:author="Author">
              <w:r w:rsidRPr="00231BF8">
                <w:rPr>
                  <w:noProof/>
                  <w:szCs w:val="22"/>
                  <w:lang w:val="de-DE"/>
                </w:rPr>
                <w:t>Puh/Tel: +358 (0) 10 554 500</w:t>
              </w:r>
            </w:ins>
          </w:p>
          <w:p w14:paraId="3507A75A" w14:textId="08C03F5A" w:rsidR="004C5DE8" w:rsidDel="004C5DE8" w:rsidRDefault="004C5DE8" w:rsidP="004C5DE8">
            <w:pPr>
              <w:rPr>
                <w:del w:id="1718" w:author="Author"/>
                <w:lang w:val="lv-LV"/>
              </w:rPr>
            </w:pPr>
            <w:del w:id="1719" w:author="Author">
              <w:r w:rsidDel="004C5DE8">
                <w:rPr>
                  <w:b/>
                  <w:lang w:val="lv-LV"/>
                </w:rPr>
                <w:delText xml:space="preserve">Slovenská republika </w:delText>
              </w:r>
            </w:del>
          </w:p>
          <w:p w14:paraId="01ABFCBE" w14:textId="524B21A2" w:rsidR="004C5DE8" w:rsidDel="004C5DE8" w:rsidRDefault="004C5DE8" w:rsidP="004C5DE8">
            <w:pPr>
              <w:rPr>
                <w:del w:id="1720" w:author="Author"/>
                <w:lang w:val="lv-LV"/>
              </w:rPr>
            </w:pPr>
            <w:del w:id="1721" w:author="Author">
              <w:r w:rsidDel="004C5DE8">
                <w:rPr>
                  <w:lang w:val="lv-LV"/>
                </w:rPr>
                <w:delText>Roche Slovensko, s.r.o.</w:delText>
              </w:r>
            </w:del>
          </w:p>
          <w:p w14:paraId="3E0BBEB8" w14:textId="2032DB05" w:rsidR="004C5DE8" w:rsidDel="005C62C1" w:rsidRDefault="004C5DE8" w:rsidP="005C62C1">
            <w:pPr>
              <w:rPr>
                <w:del w:id="1722" w:author="Author"/>
                <w:b/>
                <w:lang w:val="lv-LV"/>
              </w:rPr>
            </w:pPr>
            <w:del w:id="1723" w:author="Author">
              <w:r w:rsidDel="004C5DE8">
                <w:rPr>
                  <w:lang w:val="lv-LV"/>
                </w:rPr>
                <w:delText>Tel: +421 - 2 52638201</w:delText>
              </w:r>
            </w:del>
          </w:p>
          <w:p w14:paraId="63A06D70" w14:textId="77777777" w:rsidR="004C5DE8" w:rsidRDefault="004C5DE8" w:rsidP="004C5DE8">
            <w:pPr>
              <w:rPr>
                <w:b/>
                <w:lang w:val="lv-LV"/>
              </w:rPr>
            </w:pPr>
          </w:p>
        </w:tc>
      </w:tr>
      <w:tr w:rsidR="004C5DE8" w:rsidRPr="00707120" w14:paraId="45309A82" w14:textId="77777777" w:rsidTr="00DD58C9">
        <w:trPr>
          <w:gridAfter w:val="1"/>
          <w:wAfter w:w="108" w:type="dxa"/>
          <w:cantSplit/>
          <w:trPrChange w:id="1724" w:author="Author">
            <w:trPr>
              <w:cantSplit/>
            </w:trPr>
          </w:trPrChange>
        </w:trPr>
        <w:tc>
          <w:tcPr>
            <w:tcW w:w="4590" w:type="dxa"/>
            <w:tcPrChange w:id="1725" w:author="Author">
              <w:tcPr>
                <w:tcW w:w="4590" w:type="dxa"/>
                <w:gridSpan w:val="2"/>
              </w:tcPr>
            </w:tcPrChange>
          </w:tcPr>
          <w:p w14:paraId="5B3C4F3A" w14:textId="77777777" w:rsidR="004C5DE8" w:rsidRDefault="004C5DE8" w:rsidP="004C5DE8">
            <w:pPr>
              <w:rPr>
                <w:lang w:val="lv-LV"/>
              </w:rPr>
            </w:pPr>
            <w:r>
              <w:rPr>
                <w:b/>
                <w:lang w:val="lv-LV"/>
              </w:rPr>
              <w:t>Italia</w:t>
            </w:r>
          </w:p>
          <w:p w14:paraId="33B83F42" w14:textId="77777777" w:rsidR="004C5DE8" w:rsidRDefault="004C5DE8" w:rsidP="004C5DE8">
            <w:pPr>
              <w:rPr>
                <w:lang w:val="lv-LV"/>
              </w:rPr>
            </w:pPr>
            <w:r>
              <w:rPr>
                <w:lang w:val="lv-LV"/>
              </w:rPr>
              <w:t>Roche S.p.A.</w:t>
            </w:r>
          </w:p>
          <w:p w14:paraId="3E5FA2FD" w14:textId="77777777" w:rsidR="004C5DE8" w:rsidRDefault="004C5DE8" w:rsidP="004C5DE8">
            <w:pPr>
              <w:rPr>
                <w:b/>
                <w:lang w:val="lv-LV"/>
              </w:rPr>
            </w:pPr>
            <w:r>
              <w:rPr>
                <w:lang w:val="lv-LV"/>
              </w:rPr>
              <w:t>Tel: +39 - 039 2471</w:t>
            </w:r>
          </w:p>
        </w:tc>
        <w:tc>
          <w:tcPr>
            <w:tcW w:w="4590" w:type="dxa"/>
            <w:tcPrChange w:id="1726" w:author="Author">
              <w:tcPr>
                <w:tcW w:w="4590" w:type="dxa"/>
                <w:gridSpan w:val="2"/>
              </w:tcPr>
            </w:tcPrChange>
          </w:tcPr>
          <w:p w14:paraId="53963235" w14:textId="77777777" w:rsidR="004C5DE8" w:rsidRPr="00231BF8" w:rsidRDefault="004C5DE8" w:rsidP="004C5DE8">
            <w:pPr>
              <w:pStyle w:val="Standard1"/>
              <w:rPr>
                <w:ins w:id="1727" w:author="Author"/>
                <w:noProof/>
                <w:szCs w:val="22"/>
                <w:lang w:val="en-GB"/>
              </w:rPr>
            </w:pPr>
            <w:ins w:id="1728" w:author="Author">
              <w:r w:rsidRPr="00231BF8">
                <w:rPr>
                  <w:b/>
                  <w:noProof/>
                  <w:szCs w:val="22"/>
                  <w:lang w:val="en-GB"/>
                </w:rPr>
                <w:t>Sverige</w:t>
              </w:r>
            </w:ins>
          </w:p>
          <w:p w14:paraId="4410EBE0" w14:textId="77777777" w:rsidR="004C5DE8" w:rsidRPr="00231BF8" w:rsidRDefault="004C5DE8" w:rsidP="004C5DE8">
            <w:pPr>
              <w:pStyle w:val="Standard1"/>
              <w:rPr>
                <w:ins w:id="1729" w:author="Author"/>
                <w:noProof/>
                <w:szCs w:val="22"/>
                <w:lang w:val="en-GB"/>
              </w:rPr>
            </w:pPr>
            <w:ins w:id="1730" w:author="Author">
              <w:r w:rsidRPr="00231BF8">
                <w:rPr>
                  <w:noProof/>
                  <w:szCs w:val="22"/>
                  <w:lang w:val="en-GB"/>
                </w:rPr>
                <w:t>Roche AB</w:t>
              </w:r>
            </w:ins>
          </w:p>
          <w:p w14:paraId="5835DB4C" w14:textId="77777777" w:rsidR="004C5DE8" w:rsidRPr="00231BF8" w:rsidRDefault="004C5DE8" w:rsidP="004C5DE8">
            <w:pPr>
              <w:pStyle w:val="Standard1"/>
              <w:suppressAutoHyphens/>
              <w:rPr>
                <w:ins w:id="1731" w:author="Author"/>
                <w:noProof/>
                <w:szCs w:val="22"/>
                <w:lang w:val="en-GB"/>
              </w:rPr>
            </w:pPr>
            <w:ins w:id="1732" w:author="Author">
              <w:r w:rsidRPr="00231BF8">
                <w:rPr>
                  <w:noProof/>
                  <w:szCs w:val="22"/>
                  <w:lang w:val="en-GB"/>
                </w:rPr>
                <w:t>Tel: +46 (0) 8 726 1200</w:t>
              </w:r>
            </w:ins>
          </w:p>
          <w:p w14:paraId="75FC9FD8" w14:textId="14AD7F9C" w:rsidR="004C5DE8" w:rsidDel="004C5DE8" w:rsidRDefault="004C5DE8" w:rsidP="004C5DE8">
            <w:pPr>
              <w:rPr>
                <w:del w:id="1733" w:author="Author"/>
                <w:lang w:val="lv-LV"/>
              </w:rPr>
            </w:pPr>
            <w:del w:id="1734" w:author="Author">
              <w:r w:rsidDel="004C5DE8">
                <w:rPr>
                  <w:b/>
                  <w:lang w:val="lv-LV"/>
                </w:rPr>
                <w:delText>Suomi/Finland</w:delText>
              </w:r>
            </w:del>
          </w:p>
          <w:p w14:paraId="778D1CCC" w14:textId="5F052FF4" w:rsidR="004C5DE8" w:rsidDel="004C5DE8" w:rsidRDefault="004C5DE8" w:rsidP="004C5DE8">
            <w:pPr>
              <w:rPr>
                <w:del w:id="1735" w:author="Author"/>
                <w:lang w:val="lv-LV"/>
              </w:rPr>
            </w:pPr>
            <w:del w:id="1736" w:author="Author">
              <w:r w:rsidDel="004C5DE8">
                <w:rPr>
                  <w:lang w:val="lv-LV"/>
                </w:rPr>
                <w:delText xml:space="preserve">Roche Oy </w:delText>
              </w:r>
            </w:del>
          </w:p>
          <w:p w14:paraId="7B96BDB5" w14:textId="650D8AE4" w:rsidR="004C5DE8" w:rsidDel="004C5DE8" w:rsidRDefault="004C5DE8" w:rsidP="004C5DE8">
            <w:pPr>
              <w:rPr>
                <w:del w:id="1737" w:author="Author"/>
                <w:lang w:val="lv-LV"/>
              </w:rPr>
            </w:pPr>
            <w:del w:id="1738" w:author="Author">
              <w:r w:rsidDel="004C5DE8">
                <w:rPr>
                  <w:lang w:val="lv-LV"/>
                </w:rPr>
                <w:delText>Puh/Tel: +358 (0) 10 554 500</w:delText>
              </w:r>
            </w:del>
          </w:p>
          <w:p w14:paraId="60F8D5D8" w14:textId="77777777" w:rsidR="004C5DE8" w:rsidRDefault="004C5DE8" w:rsidP="004C5DE8">
            <w:pPr>
              <w:rPr>
                <w:lang w:val="lv-LV"/>
              </w:rPr>
            </w:pPr>
          </w:p>
        </w:tc>
      </w:tr>
      <w:tr w:rsidR="004C5DE8" w:rsidDel="000007DA" w14:paraId="1D456643" w14:textId="68304D7B" w:rsidTr="00DD58C9">
        <w:trPr>
          <w:cantSplit/>
          <w:del w:id="1739" w:author="Author"/>
          <w:trPrChange w:id="1740" w:author="Author">
            <w:trPr>
              <w:cantSplit/>
            </w:trPr>
          </w:trPrChange>
        </w:trPr>
        <w:tc>
          <w:tcPr>
            <w:tcW w:w="4590" w:type="dxa"/>
            <w:tcPrChange w:id="1741" w:author="Author">
              <w:tcPr>
                <w:tcW w:w="4590" w:type="dxa"/>
                <w:gridSpan w:val="2"/>
              </w:tcPr>
            </w:tcPrChange>
          </w:tcPr>
          <w:p w14:paraId="74A43B4D" w14:textId="4AD786E8" w:rsidR="004C5DE8" w:rsidDel="000007DA" w:rsidRDefault="004C5DE8" w:rsidP="004C5DE8">
            <w:pPr>
              <w:rPr>
                <w:del w:id="1742" w:author="Author"/>
                <w:lang w:val="lv-LV"/>
              </w:rPr>
            </w:pPr>
            <w:del w:id="1743" w:author="Author">
              <w:r w:rsidDel="000007DA">
                <w:rPr>
                  <w:b/>
                  <w:lang w:val="lv-LV"/>
                </w:rPr>
                <w:delText>Kύπρος</w:delText>
              </w:r>
              <w:r w:rsidDel="000007DA">
                <w:rPr>
                  <w:rFonts w:ascii="Arial" w:hAnsi="Arial" w:cs="Arial"/>
                  <w:sz w:val="20"/>
                  <w:lang w:val="lv-LV"/>
                </w:rPr>
                <w:delText xml:space="preserve"> </w:delText>
              </w:r>
            </w:del>
          </w:p>
          <w:p w14:paraId="5B83DD27" w14:textId="495F5B2E" w:rsidR="004C5DE8" w:rsidRPr="00960D01" w:rsidDel="000007DA" w:rsidRDefault="004C5DE8" w:rsidP="004C5DE8">
            <w:pPr>
              <w:pStyle w:val="Standard1"/>
              <w:rPr>
                <w:del w:id="1744" w:author="Author"/>
                <w:noProof/>
                <w:szCs w:val="22"/>
                <w:lang w:val="en-GB"/>
              </w:rPr>
            </w:pPr>
            <w:del w:id="1745" w:author="Author">
              <w:r w:rsidRPr="00960D01" w:rsidDel="000007DA">
                <w:rPr>
                  <w:noProof/>
                  <w:szCs w:val="22"/>
                  <w:lang w:val="en-GB"/>
                </w:rPr>
                <w:delText>Roche (Hellas) A.E.</w:delText>
              </w:r>
            </w:del>
          </w:p>
          <w:p w14:paraId="534C7F89" w14:textId="7DB921CA" w:rsidR="004C5DE8" w:rsidDel="000007DA" w:rsidRDefault="004C5DE8" w:rsidP="004C5DE8">
            <w:pPr>
              <w:rPr>
                <w:del w:id="1746" w:author="Author"/>
                <w:lang w:val="lv-LV"/>
              </w:rPr>
            </w:pPr>
            <w:del w:id="1747" w:author="Author">
              <w:r w:rsidRPr="00960D01" w:rsidDel="000007DA">
                <w:rPr>
                  <w:noProof/>
                  <w:szCs w:val="22"/>
                  <w:lang w:val="en-GB"/>
                </w:rPr>
                <w:delText>Τηλ: +30 210 61 66 100</w:delText>
              </w:r>
            </w:del>
          </w:p>
        </w:tc>
        <w:tc>
          <w:tcPr>
            <w:tcW w:w="4590" w:type="dxa"/>
            <w:gridSpan w:val="2"/>
            <w:tcPrChange w:id="1748" w:author="Author">
              <w:tcPr>
                <w:tcW w:w="4590" w:type="dxa"/>
                <w:gridSpan w:val="2"/>
              </w:tcPr>
            </w:tcPrChange>
          </w:tcPr>
          <w:p w14:paraId="38C583A3" w14:textId="1698B9DD" w:rsidR="004C5DE8" w:rsidDel="000007DA" w:rsidRDefault="004C5DE8" w:rsidP="004C5DE8">
            <w:pPr>
              <w:rPr>
                <w:del w:id="1749" w:author="Author"/>
                <w:lang w:val="lv-LV"/>
              </w:rPr>
            </w:pPr>
            <w:del w:id="1750" w:author="Author">
              <w:r w:rsidDel="000007DA">
                <w:rPr>
                  <w:b/>
                  <w:lang w:val="lv-LV"/>
                </w:rPr>
                <w:delText>Sverige</w:delText>
              </w:r>
            </w:del>
          </w:p>
          <w:p w14:paraId="0C57C807" w14:textId="7C1F166B" w:rsidR="004C5DE8" w:rsidDel="000007DA" w:rsidRDefault="004C5DE8" w:rsidP="004C5DE8">
            <w:pPr>
              <w:rPr>
                <w:del w:id="1751" w:author="Author"/>
                <w:lang w:val="lv-LV"/>
              </w:rPr>
            </w:pPr>
            <w:del w:id="1752" w:author="Author">
              <w:r w:rsidDel="000007DA">
                <w:rPr>
                  <w:lang w:val="lv-LV"/>
                </w:rPr>
                <w:delText>Roche AB</w:delText>
              </w:r>
            </w:del>
          </w:p>
          <w:p w14:paraId="1EA176C8" w14:textId="4FABFD7B" w:rsidR="004C5DE8" w:rsidDel="000007DA" w:rsidRDefault="004C5DE8" w:rsidP="004C5DE8">
            <w:pPr>
              <w:rPr>
                <w:del w:id="1753" w:author="Author"/>
                <w:lang w:val="lv-LV"/>
              </w:rPr>
            </w:pPr>
            <w:del w:id="1754" w:author="Author">
              <w:r w:rsidDel="000007DA">
                <w:rPr>
                  <w:lang w:val="lv-LV"/>
                </w:rPr>
                <w:delText>Tel: +46 (0) 8 726 1200</w:delText>
              </w:r>
            </w:del>
          </w:p>
          <w:p w14:paraId="3356A003" w14:textId="42523E64" w:rsidR="004C5DE8" w:rsidDel="000007DA" w:rsidRDefault="004C5DE8" w:rsidP="004C5DE8">
            <w:pPr>
              <w:rPr>
                <w:del w:id="1755" w:author="Author"/>
                <w:lang w:val="lv-LV"/>
              </w:rPr>
            </w:pPr>
          </w:p>
        </w:tc>
      </w:tr>
      <w:tr w:rsidR="004C5DE8" w:rsidRPr="00707120" w:rsidDel="000007DA" w14:paraId="42D7984C" w14:textId="1C2438B3" w:rsidTr="00DD58C9">
        <w:trPr>
          <w:cantSplit/>
          <w:del w:id="1756" w:author="Author"/>
          <w:trPrChange w:id="1757" w:author="Author">
            <w:trPr>
              <w:cantSplit/>
            </w:trPr>
          </w:trPrChange>
        </w:trPr>
        <w:tc>
          <w:tcPr>
            <w:tcW w:w="4590" w:type="dxa"/>
            <w:tcPrChange w:id="1758" w:author="Author">
              <w:tcPr>
                <w:tcW w:w="4590" w:type="dxa"/>
                <w:gridSpan w:val="2"/>
              </w:tcPr>
            </w:tcPrChange>
          </w:tcPr>
          <w:p w14:paraId="0A70E3A5" w14:textId="0E6B062E" w:rsidR="004C5DE8" w:rsidDel="000007DA" w:rsidRDefault="004C5DE8" w:rsidP="004C5DE8">
            <w:pPr>
              <w:rPr>
                <w:del w:id="1759" w:author="Author"/>
                <w:bCs/>
                <w:lang w:val="lv-LV"/>
              </w:rPr>
            </w:pPr>
            <w:del w:id="1760" w:author="Author">
              <w:r w:rsidDel="000007DA">
                <w:rPr>
                  <w:b/>
                  <w:lang w:val="lv-LV"/>
                </w:rPr>
                <w:delText>Latvija</w:delText>
              </w:r>
            </w:del>
          </w:p>
          <w:p w14:paraId="27D9F979" w14:textId="276091D2" w:rsidR="004C5DE8" w:rsidDel="000007DA" w:rsidRDefault="004C5DE8" w:rsidP="004C5DE8">
            <w:pPr>
              <w:rPr>
                <w:del w:id="1761" w:author="Author"/>
                <w:lang w:val="lv-LV"/>
              </w:rPr>
            </w:pPr>
            <w:del w:id="1762" w:author="Author">
              <w:r w:rsidDel="000007DA">
                <w:rPr>
                  <w:bCs/>
                  <w:lang w:val="lv-LV"/>
                </w:rPr>
                <w:delText>Roche Latvija SIA</w:delText>
              </w:r>
            </w:del>
          </w:p>
          <w:p w14:paraId="70446A33" w14:textId="73224790" w:rsidR="004C5DE8" w:rsidDel="000007DA" w:rsidRDefault="004C5DE8" w:rsidP="004C5DE8">
            <w:pPr>
              <w:rPr>
                <w:del w:id="1763" w:author="Author"/>
                <w:b/>
                <w:lang w:val="lv-LV"/>
              </w:rPr>
            </w:pPr>
            <w:del w:id="1764" w:author="Author">
              <w:r w:rsidDel="000007DA">
                <w:rPr>
                  <w:lang w:val="lv-LV"/>
                </w:rPr>
                <w:delText>Tel: +371 - 6 7039831</w:delText>
              </w:r>
            </w:del>
          </w:p>
          <w:p w14:paraId="0BAB1F2A" w14:textId="201948A5" w:rsidR="004C5DE8" w:rsidDel="000007DA" w:rsidRDefault="004C5DE8" w:rsidP="004C5DE8">
            <w:pPr>
              <w:rPr>
                <w:del w:id="1765" w:author="Author"/>
                <w:b/>
                <w:lang w:val="lv-LV"/>
              </w:rPr>
            </w:pPr>
          </w:p>
        </w:tc>
        <w:tc>
          <w:tcPr>
            <w:tcW w:w="4590" w:type="dxa"/>
            <w:gridSpan w:val="2"/>
            <w:tcPrChange w:id="1766" w:author="Author">
              <w:tcPr>
                <w:tcW w:w="4590" w:type="dxa"/>
                <w:gridSpan w:val="2"/>
              </w:tcPr>
            </w:tcPrChange>
          </w:tcPr>
          <w:p w14:paraId="496856D2" w14:textId="05049712" w:rsidR="004C5DE8" w:rsidDel="000007DA" w:rsidRDefault="004C5DE8" w:rsidP="004C5DE8">
            <w:pPr>
              <w:rPr>
                <w:del w:id="1767" w:author="Author"/>
                <w:lang w:val="lv-LV"/>
              </w:rPr>
            </w:pPr>
          </w:p>
        </w:tc>
      </w:tr>
      <w:tr w:rsidR="004C5DE8" w:rsidRPr="00707120" w:rsidDel="000007DA" w14:paraId="6CF5BC60" w14:textId="0DE2DA2D" w:rsidTr="00DD58C9">
        <w:trPr>
          <w:cantSplit/>
          <w:del w:id="1768" w:author="Author"/>
          <w:trPrChange w:id="1769" w:author="Author">
            <w:trPr>
              <w:cantSplit/>
            </w:trPr>
          </w:trPrChange>
        </w:trPr>
        <w:tc>
          <w:tcPr>
            <w:tcW w:w="4590" w:type="dxa"/>
            <w:tcPrChange w:id="1770" w:author="Author">
              <w:tcPr>
                <w:tcW w:w="4590" w:type="dxa"/>
                <w:gridSpan w:val="2"/>
              </w:tcPr>
            </w:tcPrChange>
          </w:tcPr>
          <w:p w14:paraId="63FA6590" w14:textId="447ECDFA" w:rsidR="004C5DE8" w:rsidDel="000007DA" w:rsidRDefault="004C5DE8" w:rsidP="004C5DE8">
            <w:pPr>
              <w:rPr>
                <w:del w:id="1771" w:author="Author"/>
                <w:lang w:val="lv-LV"/>
              </w:rPr>
            </w:pPr>
            <w:del w:id="1772" w:author="Author">
              <w:r w:rsidDel="000007DA">
                <w:rPr>
                  <w:b/>
                  <w:lang w:val="lv-LV"/>
                </w:rPr>
                <w:delText>Lietuva</w:delText>
              </w:r>
            </w:del>
          </w:p>
          <w:p w14:paraId="181729DE" w14:textId="4FB0BBCC" w:rsidR="004C5DE8" w:rsidDel="000007DA" w:rsidRDefault="004C5DE8" w:rsidP="004C5DE8">
            <w:pPr>
              <w:rPr>
                <w:del w:id="1773" w:author="Author"/>
                <w:lang w:val="lv-LV"/>
              </w:rPr>
            </w:pPr>
            <w:del w:id="1774" w:author="Author">
              <w:r w:rsidDel="000007DA">
                <w:rPr>
                  <w:lang w:val="lv-LV"/>
                </w:rPr>
                <w:delText>UAB “Roche Lietuva”</w:delText>
              </w:r>
            </w:del>
          </w:p>
          <w:p w14:paraId="4BADFA59" w14:textId="4A2161FE" w:rsidR="004C5DE8" w:rsidDel="000007DA" w:rsidRDefault="004C5DE8" w:rsidP="004C5DE8">
            <w:pPr>
              <w:rPr>
                <w:del w:id="1775" w:author="Author"/>
                <w:lang w:val="lv-LV"/>
              </w:rPr>
            </w:pPr>
            <w:del w:id="1776" w:author="Author">
              <w:r w:rsidDel="000007DA">
                <w:rPr>
                  <w:lang w:val="lv-LV"/>
                </w:rPr>
                <w:delText>Tel: +370 5 2546799</w:delText>
              </w:r>
            </w:del>
          </w:p>
          <w:p w14:paraId="6C69F3DB" w14:textId="349FF67B" w:rsidR="004C5DE8" w:rsidDel="000007DA" w:rsidRDefault="004C5DE8" w:rsidP="004C5DE8">
            <w:pPr>
              <w:rPr>
                <w:del w:id="1777" w:author="Author"/>
                <w:lang w:val="lv-LV"/>
              </w:rPr>
            </w:pPr>
          </w:p>
        </w:tc>
        <w:tc>
          <w:tcPr>
            <w:tcW w:w="4590" w:type="dxa"/>
            <w:gridSpan w:val="2"/>
            <w:tcPrChange w:id="1778" w:author="Author">
              <w:tcPr>
                <w:tcW w:w="4590" w:type="dxa"/>
                <w:gridSpan w:val="2"/>
              </w:tcPr>
            </w:tcPrChange>
          </w:tcPr>
          <w:p w14:paraId="37BD1C5C" w14:textId="77BFA326" w:rsidR="004C5DE8" w:rsidDel="000007DA" w:rsidRDefault="004C5DE8" w:rsidP="004C5DE8">
            <w:pPr>
              <w:snapToGrid w:val="0"/>
              <w:rPr>
                <w:del w:id="1779" w:author="Author"/>
                <w:lang w:val="lv-LV"/>
              </w:rPr>
            </w:pPr>
          </w:p>
        </w:tc>
      </w:tr>
    </w:tbl>
    <w:p w14:paraId="2A48AF9A" w14:textId="77777777" w:rsidR="00F47ADA" w:rsidRDefault="00F47ADA" w:rsidP="00F47ADA">
      <w:pPr>
        <w:ind w:right="-449"/>
        <w:rPr>
          <w:lang w:val="fi-FI"/>
        </w:rPr>
      </w:pPr>
    </w:p>
    <w:p w14:paraId="4185832F" w14:textId="77777777" w:rsidR="00F47ADA" w:rsidRDefault="00F47ADA" w:rsidP="00F47ADA">
      <w:pPr>
        <w:keepNext/>
        <w:keepLines/>
        <w:rPr>
          <w:b/>
          <w:szCs w:val="22"/>
          <w:lang w:val="lv-LV"/>
        </w:rPr>
      </w:pPr>
      <w:r>
        <w:rPr>
          <w:b/>
          <w:szCs w:val="22"/>
          <w:lang w:val="lv-LV"/>
        </w:rPr>
        <w:t xml:space="preserve">Šī lietošanas instrukcija pēdējo reizi pārskatīta </w:t>
      </w:r>
    </w:p>
    <w:p w14:paraId="3A066C8E" w14:textId="77777777" w:rsidR="00F47ADA" w:rsidRDefault="00F47ADA" w:rsidP="00F47ADA">
      <w:pPr>
        <w:ind w:right="-2"/>
        <w:rPr>
          <w:b/>
          <w:szCs w:val="22"/>
          <w:lang w:val="lv-LV"/>
        </w:rPr>
      </w:pPr>
    </w:p>
    <w:p w14:paraId="237F4C32" w14:textId="77777777" w:rsidR="00F47ADA" w:rsidRDefault="00F47ADA" w:rsidP="00707120">
      <w:pPr>
        <w:keepNext/>
        <w:rPr>
          <w:bCs/>
          <w:szCs w:val="22"/>
          <w:lang w:val="lv-LV"/>
        </w:rPr>
      </w:pPr>
      <w:r>
        <w:rPr>
          <w:b/>
          <w:szCs w:val="22"/>
          <w:lang w:val="lv-LV"/>
        </w:rPr>
        <w:t>Citi informācijas avoti</w:t>
      </w:r>
    </w:p>
    <w:p w14:paraId="659ACE03" w14:textId="355127E3" w:rsidR="00F47ADA" w:rsidRDefault="00F47ADA" w:rsidP="00F47ADA">
      <w:pPr>
        <w:ind w:right="-2"/>
        <w:rPr>
          <w:lang w:val="lv-LV"/>
        </w:rPr>
      </w:pPr>
      <w:r>
        <w:rPr>
          <w:bCs/>
          <w:szCs w:val="22"/>
          <w:lang w:val="lv-LV"/>
        </w:rPr>
        <w:t>Sīkāka informācija par šīm zālēm ir pieejama Eiropas Zāļu aģentūras tīmekļa vietnē</w:t>
      </w:r>
      <w:r>
        <w:rPr>
          <w:b/>
          <w:bCs/>
          <w:szCs w:val="22"/>
          <w:lang w:val="lv-LV"/>
        </w:rPr>
        <w:t xml:space="preserve"> </w:t>
      </w:r>
      <w:r w:rsidR="007E17F8">
        <w:fldChar w:fldCharType="begin"/>
      </w:r>
      <w:r w:rsidR="007E17F8" w:rsidRPr="00DD58C9">
        <w:rPr>
          <w:lang w:val="lv-LV"/>
          <w:rPrChange w:id="1780" w:author="Author">
            <w:rPr/>
          </w:rPrChange>
        </w:rPr>
        <w:instrText xml:space="preserve"> HYPERLINK "https://www.ema.europa.eu/" </w:instrText>
      </w:r>
      <w:r w:rsidR="007E17F8">
        <w:fldChar w:fldCharType="separate"/>
      </w:r>
      <w:r w:rsidRPr="00707120">
        <w:rPr>
          <w:rStyle w:val="Hyperlink"/>
          <w:szCs w:val="22"/>
        </w:rPr>
        <w:t>https://www.ema.europa.eu</w:t>
      </w:r>
      <w:r w:rsidR="007E17F8">
        <w:rPr>
          <w:rStyle w:val="Hyperlink"/>
          <w:szCs w:val="22"/>
        </w:rPr>
        <w:fldChar w:fldCharType="end"/>
      </w:r>
      <w:r>
        <w:rPr>
          <w:lang w:val="lv-LV"/>
        </w:rPr>
        <w:t>.</w:t>
      </w:r>
    </w:p>
    <w:p w14:paraId="7EDE3D9A" w14:textId="77777777" w:rsidR="00F47ADA" w:rsidRDefault="00F47ADA" w:rsidP="00F47ADA">
      <w:pPr>
        <w:ind w:right="-449"/>
        <w:rPr>
          <w:lang w:val="lv-LV"/>
        </w:rPr>
      </w:pPr>
      <w:r>
        <w:rPr>
          <w:lang w:val="lv-LV"/>
        </w:rPr>
        <w:br w:type="page"/>
      </w:r>
    </w:p>
    <w:p w14:paraId="2EEE2818" w14:textId="77777777" w:rsidR="00F47ADA" w:rsidRDefault="00F47ADA" w:rsidP="00F47ADA">
      <w:pPr>
        <w:ind w:right="-2"/>
        <w:rPr>
          <w:b/>
          <w:szCs w:val="22"/>
          <w:lang w:val="lv-LV"/>
        </w:rPr>
      </w:pPr>
      <w:r>
        <w:rPr>
          <w:b/>
          <w:bCs/>
          <w:szCs w:val="22"/>
          <w:lang w:val="lv-LV"/>
        </w:rPr>
        <w:t>Tālāk sniegtā informācija paredzēta tikai veselības aprūpes speciālistiem:</w:t>
      </w:r>
    </w:p>
    <w:p w14:paraId="0184F0F9" w14:textId="77777777" w:rsidR="00F47ADA" w:rsidRDefault="00F47ADA" w:rsidP="00F47ADA">
      <w:pPr>
        <w:ind w:left="567" w:hanging="567"/>
        <w:rPr>
          <w:b/>
          <w:szCs w:val="22"/>
          <w:lang w:val="lv-LV"/>
        </w:rPr>
      </w:pPr>
    </w:p>
    <w:p w14:paraId="641D222C" w14:textId="77777777" w:rsidR="00F47ADA" w:rsidRDefault="00F47ADA" w:rsidP="00F47ADA">
      <w:pPr>
        <w:rPr>
          <w:b/>
          <w:bCs/>
          <w:lang w:val="lv-LV"/>
        </w:rPr>
      </w:pPr>
      <w:r>
        <w:rPr>
          <w:b/>
          <w:bCs/>
          <w:lang w:val="lv-LV"/>
        </w:rPr>
        <w:t>Norādījumi par atšķaidīšanu pirms ievadīšanas</w:t>
      </w:r>
    </w:p>
    <w:p w14:paraId="4CB4E826" w14:textId="77777777" w:rsidR="00F47ADA" w:rsidRDefault="00F47ADA" w:rsidP="00F47ADA">
      <w:pPr>
        <w:rPr>
          <w:lang w:val="lv-LV"/>
        </w:rPr>
      </w:pPr>
      <w:r>
        <w:rPr>
          <w:lang w:val="lv-LV"/>
        </w:rPr>
        <w:t>Parenterāli lietojamās zāles pirms to ievadīšanas ir vizuāli jāpārbauda attiecībā uz daļiņu klātbūtni vai krāsas maiņu. Atšķaidīt ir atļauts tikai dzidrus vai opalescējošus, bezkrāsainus vai iedzeltenus šķīdumus, kuros nav redzamas daļiņas.</w:t>
      </w:r>
      <w:r w:rsidRPr="000A3DE0">
        <w:rPr>
          <w:lang w:val="lv-LV"/>
        </w:rPr>
        <w:t xml:space="preserve"> Jāizmanto sterila adata un šļirce, lai sagatavotu </w:t>
      </w:r>
      <w:r>
        <w:rPr>
          <w:lang w:val="lv-LV"/>
        </w:rPr>
        <w:t>RoActemra</w:t>
      </w:r>
      <w:r w:rsidRPr="000A3DE0">
        <w:rPr>
          <w:lang w:val="lv-LV"/>
        </w:rPr>
        <w:t>.</w:t>
      </w:r>
    </w:p>
    <w:p w14:paraId="533AC9E7" w14:textId="77777777" w:rsidR="00F47ADA" w:rsidRDefault="00F47ADA" w:rsidP="00F47ADA">
      <w:pPr>
        <w:rPr>
          <w:lang w:val="lv-LV"/>
        </w:rPr>
      </w:pPr>
    </w:p>
    <w:p w14:paraId="1160836E" w14:textId="50817C67" w:rsidR="00F47ADA" w:rsidRDefault="00F47ADA" w:rsidP="00F47ADA">
      <w:pPr>
        <w:rPr>
          <w:b/>
          <w:bCs/>
          <w:lang w:val="lv-LV"/>
        </w:rPr>
      </w:pPr>
      <w:r>
        <w:rPr>
          <w:b/>
          <w:bCs/>
          <w:szCs w:val="22"/>
          <w:lang w:val="lv-LV"/>
        </w:rPr>
        <w:t>Pieauguši pacienti ar RA, COVID</w:t>
      </w:r>
      <w:r>
        <w:rPr>
          <w:b/>
          <w:bCs/>
          <w:szCs w:val="22"/>
          <w:lang w:val="lv-LV"/>
        </w:rPr>
        <w:noBreakHyphen/>
        <w:t>19 vai CRS, kuru ķermeņa masa ir</w:t>
      </w:r>
      <w:r>
        <w:rPr>
          <w:b/>
          <w:szCs w:val="22"/>
          <w:lang w:val="lv-LV"/>
        </w:rPr>
        <w:t xml:space="preserve"> </w:t>
      </w:r>
      <w:r w:rsidRPr="00E1075D">
        <w:rPr>
          <w:b/>
          <w:lang w:val="lv-LV"/>
        </w:rPr>
        <w:t>≥</w:t>
      </w:r>
      <w:r>
        <w:rPr>
          <w:b/>
          <w:lang w:val="lv-LV"/>
        </w:rPr>
        <w:t> </w:t>
      </w:r>
      <w:r w:rsidRPr="00E1075D">
        <w:rPr>
          <w:b/>
          <w:lang w:val="lv-LV"/>
        </w:rPr>
        <w:t>30 kg</w:t>
      </w:r>
    </w:p>
    <w:p w14:paraId="3E9EC4A4" w14:textId="77777777" w:rsidR="00F47ADA" w:rsidRDefault="00F47ADA" w:rsidP="00F47ADA">
      <w:pPr>
        <w:rPr>
          <w:szCs w:val="22"/>
          <w:lang w:val="lv-LV"/>
        </w:rPr>
      </w:pPr>
      <w:r>
        <w:rPr>
          <w:lang w:val="lv-LV"/>
        </w:rPr>
        <w:t>Aseptiskos apstākļos no 100 ml tilpuma infūziju maisa paņem sterilu, apirogēnu nātrija hlorīda 9 mg/ml (0,9%) šķīdumu injekcijām, kura tilpums ir vienāds ar RoActemra koncentrāta tilpumu, kas nepieciešams vienai pacienta devai. Nepieciešamais RoActemra koncentrāta daudzums (</w:t>
      </w:r>
      <w:r w:rsidRPr="00707120">
        <w:rPr>
          <w:b/>
          <w:lang w:val="lv-LV"/>
        </w:rPr>
        <w:t>0,4 ml/kg</w:t>
      </w:r>
      <w:r>
        <w:rPr>
          <w:lang w:val="lv-LV"/>
        </w:rPr>
        <w:t>) ir jāpaņem no flakona un jāievada 100 ml tilpuma infūziju maisā ar apirogēnu nātrija hlorīda 9 mg/ml (0,9%) šķīdumu injekcijām. Tam (100 ml) ir jābūt galīgajam tilpumam.</w:t>
      </w:r>
      <w:r>
        <w:rPr>
          <w:rFonts w:eastAsia="PMingLiU"/>
          <w:szCs w:val="22"/>
          <w:lang w:val="lv-LV"/>
        </w:rPr>
        <w:t xml:space="preserve"> Lai sajauktu šķīdumu, viegli apgrieziet infūziju maisu, lai neizraisītu putu veidošanos</w:t>
      </w:r>
      <w:r>
        <w:rPr>
          <w:szCs w:val="22"/>
          <w:lang w:val="lv-LV"/>
        </w:rPr>
        <w:t xml:space="preserve">. </w:t>
      </w:r>
    </w:p>
    <w:p w14:paraId="6BEA8B76" w14:textId="77777777" w:rsidR="00F47ADA" w:rsidRDefault="00F47ADA" w:rsidP="00F47ADA">
      <w:pPr>
        <w:rPr>
          <w:szCs w:val="22"/>
          <w:lang w:val="lv-LV"/>
        </w:rPr>
      </w:pPr>
    </w:p>
    <w:p w14:paraId="1FF51D70" w14:textId="77777777" w:rsidR="00F47ADA" w:rsidRDefault="00F47ADA" w:rsidP="00F47ADA">
      <w:pPr>
        <w:rPr>
          <w:b/>
          <w:bCs/>
          <w:szCs w:val="22"/>
          <w:lang w:val="lv-LV"/>
        </w:rPr>
      </w:pPr>
      <w:r>
        <w:rPr>
          <w:b/>
          <w:bCs/>
          <w:szCs w:val="22"/>
          <w:lang w:val="lv-LV"/>
        </w:rPr>
        <w:t>Lietošana pediatriskajā populācijā</w:t>
      </w:r>
    </w:p>
    <w:p w14:paraId="19771700" w14:textId="77777777" w:rsidR="00F47ADA" w:rsidRDefault="00F47ADA" w:rsidP="00F47ADA">
      <w:pPr>
        <w:rPr>
          <w:b/>
          <w:bCs/>
          <w:szCs w:val="22"/>
          <w:lang w:val="lv-LV"/>
        </w:rPr>
      </w:pPr>
    </w:p>
    <w:p w14:paraId="08BA0F27" w14:textId="77777777" w:rsidR="00F47ADA" w:rsidRDefault="00F47ADA" w:rsidP="00F47ADA">
      <w:pPr>
        <w:rPr>
          <w:lang w:val="lv-LV"/>
        </w:rPr>
      </w:pPr>
      <w:r>
        <w:rPr>
          <w:b/>
          <w:bCs/>
          <w:lang w:val="lv-LV"/>
        </w:rPr>
        <w:t>Pacienti ar sJIA, pJIA vai CRS, kuru ķermeņa masa ir ≥ 30 kg</w:t>
      </w:r>
    </w:p>
    <w:p w14:paraId="64E40ED4" w14:textId="77777777" w:rsidR="00F47ADA" w:rsidRDefault="00F47ADA" w:rsidP="00F47ADA">
      <w:pPr>
        <w:rPr>
          <w:szCs w:val="22"/>
          <w:lang w:val="lv-LV"/>
        </w:rPr>
      </w:pPr>
      <w:r>
        <w:rPr>
          <w:lang w:val="lv-LV"/>
        </w:rPr>
        <w:t>Aseptiskos apstākļos no 100 ml tilpuma infūzijas maisa ar šļirci jāpaņem sterila, apirogēna 9 mg/ml (0,9%) nātrija hlorīda injekciju šķīduma tilpums, kas atbilst pacienta devai nepieciešamā RoActemra koncentrāta tilpumam. No flakona jāpaņem nepieciešamais RoActemra koncentrāta daudzums (</w:t>
      </w:r>
      <w:r>
        <w:rPr>
          <w:b/>
          <w:lang w:val="lv-LV"/>
        </w:rPr>
        <w:t>0,4 ml/kg</w:t>
      </w:r>
      <w:r>
        <w:rPr>
          <w:lang w:val="lv-LV"/>
        </w:rPr>
        <w:t>) un jāievada infūzijas maisā. Nepieciešamais galīgais tilpums ir 100 ml. Lai samaisītu šķīdumu, infūzijas maiss uzmanīgi jāapgroza, lai izvairītos no putu veidošanās.</w:t>
      </w:r>
      <w:r>
        <w:rPr>
          <w:szCs w:val="22"/>
          <w:lang w:val="lv-LV"/>
        </w:rPr>
        <w:t xml:space="preserve"> </w:t>
      </w:r>
    </w:p>
    <w:p w14:paraId="1C19B5AE" w14:textId="77777777" w:rsidR="00F47ADA" w:rsidRDefault="00F47ADA" w:rsidP="00F47ADA">
      <w:pPr>
        <w:rPr>
          <w:szCs w:val="22"/>
          <w:lang w:val="lv-LV"/>
        </w:rPr>
      </w:pPr>
    </w:p>
    <w:p w14:paraId="215BA5CF" w14:textId="77777777" w:rsidR="00F47ADA" w:rsidRDefault="00F47ADA" w:rsidP="00F47ADA">
      <w:pPr>
        <w:rPr>
          <w:b/>
          <w:bCs/>
          <w:szCs w:val="22"/>
          <w:lang w:val="lv-LV"/>
        </w:rPr>
      </w:pPr>
      <w:r>
        <w:rPr>
          <w:b/>
          <w:bCs/>
          <w:szCs w:val="22"/>
          <w:lang w:val="lv-LV"/>
        </w:rPr>
        <w:t>Pacienti ar sJIA vai CRS, kuru ķermeņa masa ir &lt; 30 kg</w:t>
      </w:r>
    </w:p>
    <w:p w14:paraId="53F4C89F" w14:textId="77777777" w:rsidR="00F47ADA" w:rsidRDefault="00F47ADA" w:rsidP="00F47ADA">
      <w:pPr>
        <w:rPr>
          <w:szCs w:val="22"/>
          <w:lang w:val="lv-LV"/>
        </w:rPr>
      </w:pPr>
      <w:r>
        <w:rPr>
          <w:szCs w:val="22"/>
          <w:lang w:val="lv-LV"/>
        </w:rPr>
        <w:t>Aseptiskos apstākļos no 50 ml tilpuma infūzijas maisa ar šļirci jāpaņem sterila, apirogēna 9 mg/ml (0,9%) nātrija hlorīda injekciju šķīduma tilpums, kas atbilst pacienta devai nepieciešamā RoActemra koncentrāta tilpumam. No flakona jāpaņem nepieciešamais RoActemra koncentrāta daudzums (</w:t>
      </w:r>
      <w:r>
        <w:rPr>
          <w:b/>
          <w:szCs w:val="22"/>
          <w:lang w:val="lv-LV"/>
        </w:rPr>
        <w:t>0,6 ml/kg</w:t>
      </w:r>
      <w:r>
        <w:rPr>
          <w:szCs w:val="22"/>
          <w:lang w:val="lv-LV"/>
        </w:rPr>
        <w:t>) un jāievada infūzijas maisā. Nepieciešamais galīgais tilpums ir 50 ml. Lai samaisītu šķīdumu, infūzijas maiss uzmanīgi jāapgroza, lai izvairītos no putu veidošanās</w:t>
      </w:r>
      <w:r>
        <w:rPr>
          <w:lang w:val="lv-LV"/>
        </w:rPr>
        <w:t>.</w:t>
      </w:r>
    </w:p>
    <w:p w14:paraId="70C14E1B" w14:textId="77777777" w:rsidR="00F47ADA" w:rsidRDefault="00F47ADA" w:rsidP="00F47ADA">
      <w:pPr>
        <w:rPr>
          <w:szCs w:val="22"/>
          <w:lang w:val="lv-LV"/>
        </w:rPr>
      </w:pPr>
    </w:p>
    <w:p w14:paraId="42DE538D" w14:textId="77777777" w:rsidR="00F47ADA" w:rsidRDefault="00F47ADA" w:rsidP="00F47ADA">
      <w:pPr>
        <w:rPr>
          <w:b/>
          <w:bCs/>
          <w:szCs w:val="22"/>
          <w:lang w:val="lv-LV"/>
        </w:rPr>
      </w:pPr>
      <w:r>
        <w:rPr>
          <w:b/>
          <w:bCs/>
          <w:szCs w:val="22"/>
          <w:lang w:val="lv-LV"/>
        </w:rPr>
        <w:t>Pacienti ar pJIA, kuru ķermeņa masa ir &lt; 30 kg</w:t>
      </w:r>
    </w:p>
    <w:p w14:paraId="663817DF" w14:textId="77777777" w:rsidR="00F47ADA" w:rsidRDefault="00F47ADA" w:rsidP="00F47ADA">
      <w:pPr>
        <w:rPr>
          <w:szCs w:val="22"/>
          <w:lang w:val="lv-LV"/>
        </w:rPr>
      </w:pPr>
      <w:r>
        <w:rPr>
          <w:szCs w:val="22"/>
          <w:lang w:val="lv-LV"/>
        </w:rPr>
        <w:t>Aseptiskos apstākļos no 50 ml tilpuma infūzijas maisa jāpaņem sterila, apirogēna 9 mg/ml (0,9%) nātrija hlorīda injekciju šķīduma tilpums, kas atbilst pacienta devai nepieciešamā RoActemra koncentrāta tilpumam. No flakona jāpaņem nepieciešamais RoActemra koncentrāta daudzums (</w:t>
      </w:r>
      <w:r>
        <w:rPr>
          <w:b/>
          <w:szCs w:val="22"/>
          <w:lang w:val="lv-LV"/>
        </w:rPr>
        <w:t>0,5 ml/kg</w:t>
      </w:r>
      <w:r>
        <w:rPr>
          <w:szCs w:val="22"/>
          <w:lang w:val="lv-LV"/>
        </w:rPr>
        <w:t>) un jāievada 50 ml tilpuma infūzijas maisā. Nepieciešamais galīgais tilpums ir 50 ml. Lai samaisītu šķīdumu, infūzijas maiss uzmanīgi jāapgroza, lai izvairītos no putu veidošanās.</w:t>
      </w:r>
    </w:p>
    <w:p w14:paraId="10F8A313" w14:textId="77777777" w:rsidR="00F47ADA" w:rsidRDefault="00F47ADA" w:rsidP="00F47ADA">
      <w:pPr>
        <w:rPr>
          <w:szCs w:val="22"/>
          <w:lang w:val="lv-LV"/>
        </w:rPr>
      </w:pPr>
    </w:p>
    <w:p w14:paraId="2D94DA4F" w14:textId="77777777" w:rsidR="00F47ADA" w:rsidRDefault="00F47ADA" w:rsidP="00F47ADA">
      <w:pPr>
        <w:rPr>
          <w:szCs w:val="22"/>
          <w:lang w:val="lv-LV"/>
        </w:rPr>
      </w:pPr>
      <w:r>
        <w:rPr>
          <w:szCs w:val="22"/>
          <w:lang w:val="lv-LV"/>
        </w:rPr>
        <w:t xml:space="preserve">RoActemra ir paredzēts tikai vienreizējai lietošanai. </w:t>
      </w:r>
    </w:p>
    <w:p w14:paraId="4287CA56" w14:textId="77777777" w:rsidR="00F47ADA" w:rsidRDefault="00F47ADA" w:rsidP="00F47ADA">
      <w:pPr>
        <w:rPr>
          <w:szCs w:val="22"/>
          <w:lang w:val="lv-LV"/>
        </w:rPr>
      </w:pPr>
    </w:p>
    <w:p w14:paraId="6E6A2393" w14:textId="77777777" w:rsidR="00F47ADA" w:rsidRDefault="00F47ADA" w:rsidP="00F47ADA">
      <w:pPr>
        <w:rPr>
          <w:lang w:val="lv-LV"/>
        </w:rPr>
      </w:pPr>
      <w:r>
        <w:rPr>
          <w:szCs w:val="22"/>
          <w:lang w:val="lv-LV"/>
        </w:rPr>
        <w:t>Neizlietotās zāles vai izlietotie materiāli jāiznīcina atbilstoši vietējām prasībām.</w:t>
      </w:r>
    </w:p>
    <w:p w14:paraId="78E3B28A" w14:textId="77777777" w:rsidR="00F47ADA" w:rsidRDefault="00F47ADA" w:rsidP="00F47ADA">
      <w:pPr>
        <w:ind w:right="-449"/>
        <w:rPr>
          <w:lang w:val="lv-LV"/>
        </w:rPr>
      </w:pPr>
    </w:p>
    <w:p w14:paraId="524546F3" w14:textId="77777777" w:rsidR="00F47ADA" w:rsidRDefault="00F47ADA" w:rsidP="00F47ADA">
      <w:pPr>
        <w:jc w:val="center"/>
        <w:rPr>
          <w:b/>
          <w:szCs w:val="22"/>
          <w:lang w:val="lv-LV"/>
        </w:rPr>
      </w:pPr>
      <w:r>
        <w:rPr>
          <w:spacing w:val="108"/>
          <w:lang w:val="lv-LV"/>
        </w:rPr>
        <w:br w:type="page"/>
      </w:r>
      <w:r>
        <w:rPr>
          <w:b/>
          <w:szCs w:val="22"/>
          <w:lang w:val="lv-LV"/>
        </w:rPr>
        <w:t>Lietošanas instrukcija: informācija lietotājam</w:t>
      </w:r>
    </w:p>
    <w:p w14:paraId="46BFCAFE" w14:textId="77777777" w:rsidR="00F47ADA" w:rsidRDefault="00F47ADA" w:rsidP="00707120">
      <w:pPr>
        <w:rPr>
          <w:b/>
          <w:szCs w:val="22"/>
          <w:lang w:val="lv-LV"/>
        </w:rPr>
      </w:pPr>
    </w:p>
    <w:p w14:paraId="46DB4FA2" w14:textId="77777777" w:rsidR="00F47ADA" w:rsidRDefault="00F47ADA" w:rsidP="00F47ADA">
      <w:pPr>
        <w:jc w:val="center"/>
        <w:rPr>
          <w:iCs/>
          <w:szCs w:val="22"/>
          <w:lang w:val="lv-LV"/>
        </w:rPr>
      </w:pPr>
      <w:r>
        <w:rPr>
          <w:b/>
          <w:bCs/>
          <w:szCs w:val="22"/>
          <w:lang w:val="lv-LV"/>
        </w:rPr>
        <w:t xml:space="preserve">RoActemra 162 mg šķīdums injekcijām pilnšļircē </w:t>
      </w:r>
    </w:p>
    <w:p w14:paraId="668AE020" w14:textId="77777777" w:rsidR="00F47ADA" w:rsidRDefault="00F47ADA" w:rsidP="00F47ADA">
      <w:pPr>
        <w:jc w:val="center"/>
        <w:rPr>
          <w:i/>
          <w:szCs w:val="22"/>
          <w:lang w:val="lv-LV"/>
        </w:rPr>
      </w:pPr>
      <w:r>
        <w:rPr>
          <w:szCs w:val="22"/>
          <w:lang w:val="lv-LV"/>
        </w:rPr>
        <w:t>tocilizumab</w:t>
      </w:r>
    </w:p>
    <w:p w14:paraId="78C52980" w14:textId="77777777" w:rsidR="00F47ADA" w:rsidRDefault="00F47ADA" w:rsidP="00707120">
      <w:pPr>
        <w:rPr>
          <w:szCs w:val="22"/>
          <w:lang w:val="lv-LV"/>
        </w:rPr>
      </w:pPr>
    </w:p>
    <w:p w14:paraId="3ED619B2" w14:textId="77777777" w:rsidR="00F47ADA" w:rsidRDefault="00F47ADA" w:rsidP="00F47ADA">
      <w:pPr>
        <w:ind w:left="567" w:hanging="567"/>
        <w:rPr>
          <w:b/>
          <w:szCs w:val="22"/>
          <w:lang w:val="lv-LV"/>
        </w:rPr>
      </w:pPr>
      <w:r>
        <w:rPr>
          <w:b/>
          <w:szCs w:val="22"/>
          <w:lang w:val="lv-LV"/>
        </w:rPr>
        <w:t>Pirms zāļu lietošanas uzmanīgi izlasiet visu instrukciju</w:t>
      </w:r>
      <w:r>
        <w:rPr>
          <w:b/>
          <w:szCs w:val="24"/>
          <w:lang w:val="lv-LV"/>
        </w:rPr>
        <w:t>, jo tā satur Jums svarīgu informāciju</w:t>
      </w:r>
      <w:r>
        <w:rPr>
          <w:b/>
          <w:szCs w:val="22"/>
          <w:lang w:val="lv-LV"/>
        </w:rPr>
        <w:t>.</w:t>
      </w:r>
    </w:p>
    <w:p w14:paraId="36A4A7CB" w14:textId="77777777" w:rsidR="00F47ADA" w:rsidRDefault="00F47ADA" w:rsidP="00F47ADA">
      <w:pPr>
        <w:ind w:left="567" w:hanging="567"/>
        <w:rPr>
          <w:b/>
          <w:szCs w:val="22"/>
          <w:lang w:val="lv-LV"/>
        </w:rPr>
      </w:pPr>
    </w:p>
    <w:p w14:paraId="65C5E053" w14:textId="7A720ABF" w:rsidR="00F47ADA" w:rsidRPr="00707120" w:rsidRDefault="00CF30FF" w:rsidP="00707120">
      <w:pPr>
        <w:pStyle w:val="ListParagraph"/>
        <w:ind w:left="567" w:hanging="567"/>
        <w:rPr>
          <w:szCs w:val="22"/>
          <w:lang w:val="lv-LV"/>
        </w:rPr>
      </w:pPr>
      <w:r>
        <w:rPr>
          <w:lang w:val="nb-NO"/>
        </w:rPr>
        <w:sym w:font="Symbol" w:char="F0B7"/>
      </w:r>
      <w:r>
        <w:rPr>
          <w:lang w:val="nb-NO"/>
        </w:rPr>
        <w:tab/>
      </w:r>
      <w:r w:rsidR="00F47ADA" w:rsidRPr="006A3A4F">
        <w:rPr>
          <w:szCs w:val="22"/>
          <w:lang w:val="lv-LV"/>
        </w:rPr>
        <w:t>Saglabājiet šo instrukciju! Iespējams, ka vēlāk to vajadzēs pārlasīt.</w:t>
      </w:r>
    </w:p>
    <w:p w14:paraId="733BB83A" w14:textId="7263489E" w:rsidR="00F47ADA" w:rsidRPr="00707120" w:rsidRDefault="00CF30FF" w:rsidP="00707120">
      <w:pPr>
        <w:pStyle w:val="ListParagraph"/>
        <w:ind w:left="567" w:hanging="567"/>
        <w:rPr>
          <w:szCs w:val="22"/>
          <w:lang w:val="lv-LV"/>
        </w:rPr>
      </w:pPr>
      <w:r>
        <w:rPr>
          <w:lang w:val="nb-NO"/>
        </w:rPr>
        <w:sym w:font="Symbol" w:char="F0B7"/>
      </w:r>
      <w:r>
        <w:rPr>
          <w:lang w:val="nb-NO"/>
        </w:rPr>
        <w:tab/>
      </w:r>
      <w:r w:rsidR="00F47ADA" w:rsidRPr="006A3A4F">
        <w:rPr>
          <w:szCs w:val="22"/>
          <w:lang w:val="lv-LV"/>
        </w:rPr>
        <w:t>Ja Jums rodas jebkādi jautājumi, vaicājiet ārstam, farmaceitam vai medmāsai.</w:t>
      </w:r>
    </w:p>
    <w:p w14:paraId="55176E5F" w14:textId="399FD064" w:rsidR="00F47ADA" w:rsidRPr="00707120" w:rsidRDefault="00CF30FF" w:rsidP="00707120">
      <w:pPr>
        <w:pStyle w:val="ListParagraph"/>
        <w:ind w:left="567" w:hanging="567"/>
        <w:rPr>
          <w:szCs w:val="22"/>
          <w:lang w:val="lv-LV"/>
        </w:rPr>
      </w:pPr>
      <w:r>
        <w:rPr>
          <w:lang w:val="nb-NO"/>
        </w:rPr>
        <w:sym w:font="Symbol" w:char="F0B7"/>
      </w:r>
      <w:r>
        <w:rPr>
          <w:lang w:val="nb-NO"/>
        </w:rPr>
        <w:tab/>
      </w:r>
      <w:r w:rsidR="00F47ADA" w:rsidRPr="006A3A4F">
        <w:rPr>
          <w:szCs w:val="22"/>
          <w:lang w:val="lv-LV"/>
        </w:rPr>
        <w:t xml:space="preserve">Šīs zāles ir parakstītas tikai Jums. Nedodiet tās citiem. Tās var nodarīt ļaunumu pat tad, ja šiem cilvēkiem ir līdzīgas slimības pazīmes. </w:t>
      </w:r>
    </w:p>
    <w:p w14:paraId="7EF22287" w14:textId="5D38EB3D" w:rsidR="00F47ADA" w:rsidRPr="006A3A4F" w:rsidRDefault="00CF30FF" w:rsidP="00707120">
      <w:pPr>
        <w:pStyle w:val="ListParagraph"/>
        <w:ind w:left="567" w:hanging="567"/>
        <w:rPr>
          <w:b/>
          <w:szCs w:val="22"/>
          <w:lang w:val="lv-LV"/>
        </w:rPr>
      </w:pPr>
      <w:r>
        <w:rPr>
          <w:lang w:val="nb-NO"/>
        </w:rPr>
        <w:sym w:font="Symbol" w:char="F0B7"/>
      </w:r>
      <w:r>
        <w:rPr>
          <w:lang w:val="nb-NO"/>
        </w:rPr>
        <w:tab/>
      </w:r>
      <w:r w:rsidR="00F47ADA" w:rsidRPr="006A3A4F">
        <w:rPr>
          <w:lang w:val="lv-LV"/>
        </w:rPr>
        <w:t>Ja Jums rodas jebkādas blakusparādības, konsultējieties ar ārstu, farmaceitu vai medmāsu. Tas attiecas arī uz iespējamām blakusparādībām, kas nav minētas šajā instrukcijā. Skatīt 4.</w:t>
      </w:r>
      <w:r w:rsidR="00B97BA2">
        <w:rPr>
          <w:lang w:val="lv-LV"/>
        </w:rPr>
        <w:t> </w:t>
      </w:r>
      <w:r w:rsidR="00F47ADA" w:rsidRPr="006A3A4F">
        <w:rPr>
          <w:lang w:val="lv-LV"/>
        </w:rPr>
        <w:t>punktu.</w:t>
      </w:r>
    </w:p>
    <w:p w14:paraId="2A238417" w14:textId="48E38DE0" w:rsidR="00F47ADA" w:rsidRDefault="00F47ADA" w:rsidP="00F47ADA">
      <w:pPr>
        <w:ind w:left="567" w:hanging="567"/>
        <w:rPr>
          <w:b/>
          <w:szCs w:val="22"/>
          <w:lang w:val="lv-LV"/>
        </w:rPr>
      </w:pPr>
    </w:p>
    <w:p w14:paraId="2F8F2153" w14:textId="6F17183A" w:rsidR="00F47ADA" w:rsidRDefault="00F47ADA" w:rsidP="00F47ADA">
      <w:pPr>
        <w:rPr>
          <w:szCs w:val="22"/>
          <w:lang w:val="lv-LV"/>
        </w:rPr>
      </w:pPr>
      <w:r>
        <w:rPr>
          <w:szCs w:val="22"/>
          <w:lang w:val="lv-LV"/>
        </w:rPr>
        <w:t xml:space="preserve">Papildus šai instrukcijai Jums izsniegs </w:t>
      </w:r>
      <w:r>
        <w:rPr>
          <w:b/>
          <w:szCs w:val="22"/>
          <w:lang w:val="lv-LV"/>
        </w:rPr>
        <w:t>pacienta kartīti</w:t>
      </w:r>
      <w:r>
        <w:rPr>
          <w:szCs w:val="22"/>
          <w:lang w:val="lv-LV"/>
        </w:rPr>
        <w:t>, kurā ir iekļauta svarīga informācija par drošumu, kas Jums jāzina pirms RoActemra lietošanas un ārstēšanas laikā ar RoActemra.</w:t>
      </w:r>
    </w:p>
    <w:p w14:paraId="20FE451F" w14:textId="77777777" w:rsidR="00F47ADA" w:rsidRDefault="00F47ADA" w:rsidP="00F47ADA">
      <w:pPr>
        <w:ind w:right="-2"/>
        <w:rPr>
          <w:szCs w:val="22"/>
          <w:lang w:val="lv-LV"/>
        </w:rPr>
      </w:pPr>
    </w:p>
    <w:p w14:paraId="55AE732D" w14:textId="77777777" w:rsidR="00F47ADA" w:rsidRDefault="00F47ADA" w:rsidP="00F47ADA">
      <w:pPr>
        <w:ind w:right="-2"/>
        <w:rPr>
          <w:szCs w:val="22"/>
          <w:lang w:val="lv-LV"/>
        </w:rPr>
      </w:pPr>
      <w:r>
        <w:rPr>
          <w:b/>
          <w:bCs/>
          <w:szCs w:val="22"/>
          <w:lang w:val="lv-LV"/>
        </w:rPr>
        <w:t xml:space="preserve">Šajā instrukcijā varat uzzināt: </w:t>
      </w:r>
    </w:p>
    <w:p w14:paraId="2085790A" w14:textId="77777777" w:rsidR="00F47ADA" w:rsidRDefault="00F47ADA" w:rsidP="00F47ADA">
      <w:pPr>
        <w:ind w:left="567" w:right="-29" w:hanging="567"/>
        <w:rPr>
          <w:bCs/>
          <w:szCs w:val="22"/>
          <w:lang w:val="lv-LV"/>
        </w:rPr>
      </w:pPr>
      <w:r>
        <w:rPr>
          <w:bCs/>
          <w:szCs w:val="22"/>
          <w:lang w:val="lv-LV"/>
        </w:rPr>
        <w:t>1.</w:t>
      </w:r>
      <w:r>
        <w:rPr>
          <w:bCs/>
          <w:szCs w:val="22"/>
          <w:lang w:val="lv-LV"/>
        </w:rPr>
        <w:tab/>
        <w:t>Kas ir RoActemra un kādam nolūkam to lieto</w:t>
      </w:r>
    </w:p>
    <w:p w14:paraId="3B81397E" w14:textId="77777777" w:rsidR="00F47ADA" w:rsidRDefault="00F47ADA" w:rsidP="00F47ADA">
      <w:pPr>
        <w:ind w:left="567" w:right="-29" w:hanging="567"/>
        <w:rPr>
          <w:bCs/>
          <w:szCs w:val="22"/>
          <w:lang w:val="lv-LV"/>
        </w:rPr>
      </w:pPr>
      <w:r>
        <w:rPr>
          <w:bCs/>
          <w:szCs w:val="22"/>
          <w:lang w:val="lv-LV"/>
        </w:rPr>
        <w:t>2.</w:t>
      </w:r>
      <w:r>
        <w:rPr>
          <w:bCs/>
          <w:szCs w:val="22"/>
          <w:lang w:val="lv-LV"/>
        </w:rPr>
        <w:tab/>
        <w:t>Kas Jums jāzina pirms RoActemra lietošanas</w:t>
      </w:r>
    </w:p>
    <w:p w14:paraId="67876DD7" w14:textId="77777777" w:rsidR="00F47ADA" w:rsidRDefault="00F47ADA" w:rsidP="00F47ADA">
      <w:pPr>
        <w:ind w:left="567" w:right="-29" w:hanging="567"/>
        <w:rPr>
          <w:bCs/>
          <w:szCs w:val="22"/>
          <w:lang w:val="lv-LV"/>
        </w:rPr>
      </w:pPr>
      <w:r>
        <w:rPr>
          <w:bCs/>
          <w:szCs w:val="22"/>
          <w:lang w:val="lv-LV"/>
        </w:rPr>
        <w:t>3.</w:t>
      </w:r>
      <w:r>
        <w:rPr>
          <w:bCs/>
          <w:szCs w:val="22"/>
          <w:lang w:val="lv-LV"/>
        </w:rPr>
        <w:tab/>
        <w:t>Kā lietot RoActemra</w:t>
      </w:r>
    </w:p>
    <w:p w14:paraId="518DAD7E" w14:textId="77777777" w:rsidR="00F47ADA" w:rsidRDefault="00F47ADA" w:rsidP="00F47ADA">
      <w:pPr>
        <w:ind w:left="567" w:right="-29" w:hanging="567"/>
        <w:rPr>
          <w:bCs/>
          <w:szCs w:val="22"/>
          <w:lang w:val="lv-LV"/>
        </w:rPr>
      </w:pPr>
      <w:r>
        <w:rPr>
          <w:bCs/>
          <w:szCs w:val="22"/>
          <w:lang w:val="lv-LV"/>
        </w:rPr>
        <w:t>4.</w:t>
      </w:r>
      <w:r>
        <w:rPr>
          <w:bCs/>
          <w:szCs w:val="22"/>
          <w:lang w:val="lv-LV"/>
        </w:rPr>
        <w:tab/>
        <w:t>Iespējamās blakusparādības</w:t>
      </w:r>
    </w:p>
    <w:p w14:paraId="43459330" w14:textId="77777777" w:rsidR="00F47ADA" w:rsidRDefault="00F47ADA" w:rsidP="00F47ADA">
      <w:pPr>
        <w:ind w:left="567" w:right="-29" w:hanging="567"/>
        <w:rPr>
          <w:bCs/>
          <w:szCs w:val="22"/>
          <w:lang w:val="lv-LV"/>
        </w:rPr>
      </w:pPr>
      <w:r>
        <w:rPr>
          <w:bCs/>
          <w:szCs w:val="22"/>
          <w:lang w:val="lv-LV"/>
        </w:rPr>
        <w:t>5.</w:t>
      </w:r>
      <w:r>
        <w:rPr>
          <w:bCs/>
          <w:szCs w:val="22"/>
          <w:lang w:val="lv-LV"/>
        </w:rPr>
        <w:tab/>
        <w:t>Kā uzglabāt RoActemra</w:t>
      </w:r>
    </w:p>
    <w:p w14:paraId="5F2C7F2A" w14:textId="77777777" w:rsidR="00F47ADA" w:rsidRDefault="00F47ADA" w:rsidP="00F47ADA">
      <w:pPr>
        <w:ind w:left="567" w:right="-29" w:hanging="567"/>
        <w:rPr>
          <w:bCs/>
          <w:szCs w:val="22"/>
          <w:lang w:val="lv-LV"/>
        </w:rPr>
      </w:pPr>
      <w:r>
        <w:rPr>
          <w:bCs/>
          <w:szCs w:val="22"/>
          <w:lang w:val="lv-LV"/>
        </w:rPr>
        <w:t>6.</w:t>
      </w:r>
      <w:r>
        <w:rPr>
          <w:bCs/>
          <w:szCs w:val="22"/>
          <w:lang w:val="lv-LV"/>
        </w:rPr>
        <w:tab/>
        <w:t>Iepakojuma saturs un cita informācija</w:t>
      </w:r>
    </w:p>
    <w:p w14:paraId="49174938" w14:textId="77777777" w:rsidR="00F47ADA" w:rsidRDefault="00F47ADA" w:rsidP="00F47ADA">
      <w:pPr>
        <w:rPr>
          <w:szCs w:val="22"/>
          <w:lang w:val="lv-LV"/>
        </w:rPr>
      </w:pPr>
    </w:p>
    <w:p w14:paraId="1D60D6D1" w14:textId="77777777" w:rsidR="00F47ADA" w:rsidRDefault="00F47ADA" w:rsidP="00F47ADA">
      <w:pPr>
        <w:rPr>
          <w:szCs w:val="22"/>
          <w:lang w:val="lv-LV"/>
        </w:rPr>
      </w:pPr>
    </w:p>
    <w:p w14:paraId="271DD1DD" w14:textId="77777777" w:rsidR="00F47ADA" w:rsidRDefault="00F47ADA" w:rsidP="00F47ADA">
      <w:pPr>
        <w:ind w:left="567" w:right="-2" w:hanging="567"/>
        <w:rPr>
          <w:b/>
          <w:szCs w:val="22"/>
          <w:lang w:val="lv-LV"/>
        </w:rPr>
      </w:pPr>
      <w:r w:rsidRPr="00980DD8">
        <w:rPr>
          <w:b/>
          <w:szCs w:val="22"/>
          <w:lang w:val="lv-LV"/>
        </w:rPr>
        <w:t>1.</w:t>
      </w:r>
      <w:r w:rsidRPr="00980DD8">
        <w:rPr>
          <w:b/>
          <w:szCs w:val="22"/>
          <w:lang w:val="lv-LV"/>
        </w:rPr>
        <w:tab/>
        <w:t>Kas ir RoActemra un kādam nolūkam to lieto</w:t>
      </w:r>
    </w:p>
    <w:p w14:paraId="3E08DF21" w14:textId="77777777" w:rsidR="00F47ADA" w:rsidRPr="00980DD8" w:rsidRDefault="00F47ADA" w:rsidP="00F47ADA">
      <w:pPr>
        <w:ind w:left="567" w:right="-2" w:hanging="567"/>
        <w:rPr>
          <w:szCs w:val="22"/>
          <w:lang w:val="lv-LV"/>
        </w:rPr>
      </w:pPr>
    </w:p>
    <w:p w14:paraId="7564D8A4" w14:textId="77777777" w:rsidR="00F47ADA" w:rsidRDefault="00F47ADA" w:rsidP="00F47ADA">
      <w:pPr>
        <w:autoSpaceDE w:val="0"/>
        <w:rPr>
          <w:szCs w:val="22"/>
          <w:lang w:val="lv-LV"/>
        </w:rPr>
      </w:pPr>
      <w:r>
        <w:rPr>
          <w:szCs w:val="22"/>
          <w:lang w:val="lv-LV"/>
        </w:rPr>
        <w:t>RoActemra satur aktīvo vielu tocilizumabu – olbaltumvielu, kas iegūta no specifiskām imūnām šūnām (monoklonālu antivielu), kas bloķē specifiskas olbaltumvielas (citokīna), ko sauc par interleikīnu-6, iedarbību. Šī olbaltumviela organismā ir saistīta ar iekaisuma procesiem un tās blokāde Jūsu organismā var mazināt iekaisumu. RoActemra lieto, lai ārstētu:</w:t>
      </w:r>
    </w:p>
    <w:p w14:paraId="38D7FBBF" w14:textId="77777777" w:rsidR="00F47ADA" w:rsidRDefault="00F47ADA" w:rsidP="00F47ADA">
      <w:pPr>
        <w:autoSpaceDE w:val="0"/>
        <w:rPr>
          <w:szCs w:val="22"/>
          <w:lang w:val="lv-LV"/>
        </w:rPr>
      </w:pPr>
    </w:p>
    <w:p w14:paraId="50E1A514" w14:textId="64EE0B06" w:rsidR="00F47ADA" w:rsidRPr="006A3A4F" w:rsidRDefault="00CF30FF" w:rsidP="00707120">
      <w:pPr>
        <w:pStyle w:val="ListParagraph"/>
        <w:autoSpaceDE w:val="0"/>
        <w:ind w:left="567" w:hanging="567"/>
        <w:rPr>
          <w:szCs w:val="22"/>
          <w:lang w:val="lv-LV"/>
        </w:rPr>
      </w:pPr>
      <w:r>
        <w:rPr>
          <w:lang w:val="nb-NO"/>
        </w:rPr>
        <w:sym w:font="Symbol" w:char="F0B7"/>
      </w:r>
      <w:r>
        <w:rPr>
          <w:lang w:val="nb-NO"/>
        </w:rPr>
        <w:tab/>
      </w:r>
      <w:r w:rsidR="00F47ADA" w:rsidRPr="006A3A4F">
        <w:rPr>
          <w:b/>
          <w:szCs w:val="22"/>
          <w:lang w:val="lv-LV"/>
        </w:rPr>
        <w:t>pieaugušos</w:t>
      </w:r>
      <w:r w:rsidR="00F47ADA" w:rsidRPr="00707120">
        <w:rPr>
          <w:b/>
          <w:szCs w:val="22"/>
          <w:lang w:val="lv-LV"/>
        </w:rPr>
        <w:t xml:space="preserve"> ar vidēji smagu vai smagu aktīvu autoimūno slimību reimatoīdo artrītu (RA)</w:t>
      </w:r>
      <w:r w:rsidR="00F47ADA" w:rsidRPr="006A3A4F">
        <w:rPr>
          <w:szCs w:val="22"/>
          <w:lang w:val="lv-LV"/>
        </w:rPr>
        <w:t>, ja iepriekš lietoto zāļu iedarbība nav bijusi pietiekami efektīva.</w:t>
      </w:r>
    </w:p>
    <w:p w14:paraId="7B86D02C" w14:textId="77777777" w:rsidR="00F47ADA" w:rsidRDefault="00F47ADA" w:rsidP="00707120">
      <w:pPr>
        <w:autoSpaceDE w:val="0"/>
        <w:ind w:left="561" w:hanging="561"/>
        <w:rPr>
          <w:szCs w:val="22"/>
          <w:lang w:val="lv-LV"/>
        </w:rPr>
      </w:pPr>
      <w:r>
        <w:rPr>
          <w:szCs w:val="22"/>
          <w:lang w:val="lv-LV"/>
        </w:rPr>
        <w:t xml:space="preserve"> </w:t>
      </w:r>
    </w:p>
    <w:p w14:paraId="7DED1500" w14:textId="0AEB8F4D" w:rsidR="00F47ADA" w:rsidRPr="006A3A4F" w:rsidRDefault="00CF30FF" w:rsidP="00707120">
      <w:pPr>
        <w:pStyle w:val="ListParagraph"/>
        <w:autoSpaceDE w:val="0"/>
        <w:ind w:left="567" w:hanging="567"/>
        <w:rPr>
          <w:szCs w:val="22"/>
          <w:lang w:val="lv-LV"/>
        </w:rPr>
      </w:pPr>
      <w:bookmarkStart w:id="1781" w:name="_Hlk176168886"/>
      <w:r>
        <w:rPr>
          <w:lang w:val="nb-NO"/>
        </w:rPr>
        <w:sym w:font="Symbol" w:char="F0B7"/>
      </w:r>
      <w:r>
        <w:rPr>
          <w:lang w:val="nb-NO"/>
        </w:rPr>
        <w:tab/>
      </w:r>
      <w:bookmarkEnd w:id="1781"/>
      <w:r w:rsidR="00F47ADA" w:rsidRPr="00707120">
        <w:rPr>
          <w:b/>
          <w:szCs w:val="22"/>
          <w:lang w:val="lv-LV"/>
        </w:rPr>
        <w:t>pieaugušos ar smagu, aktīvu un progresējošu reimatoīdo artrītu (RA)</w:t>
      </w:r>
      <w:r w:rsidR="00F47ADA" w:rsidRPr="006A3A4F">
        <w:rPr>
          <w:szCs w:val="22"/>
          <w:lang w:val="lv-LV"/>
        </w:rPr>
        <w:t>, ja iepriekš nav veikta terapija ar metotreksātu.</w:t>
      </w:r>
    </w:p>
    <w:p w14:paraId="0B4BAC4C" w14:textId="77777777" w:rsidR="00F47ADA" w:rsidRDefault="00F47ADA" w:rsidP="00707120">
      <w:pPr>
        <w:autoSpaceDE w:val="0"/>
        <w:ind w:left="561" w:hanging="561"/>
        <w:rPr>
          <w:szCs w:val="22"/>
          <w:lang w:val="lv-LV"/>
        </w:rPr>
      </w:pPr>
    </w:p>
    <w:p w14:paraId="711D867F" w14:textId="77777777" w:rsidR="00F47ADA" w:rsidRDefault="00F47ADA" w:rsidP="00707120">
      <w:pPr>
        <w:autoSpaceDE w:val="0"/>
        <w:ind w:left="561" w:firstLine="6"/>
        <w:rPr>
          <w:szCs w:val="22"/>
          <w:lang w:val="lv-LV"/>
        </w:rPr>
      </w:pPr>
      <w:r>
        <w:rPr>
          <w:szCs w:val="22"/>
          <w:lang w:val="lv-LV"/>
        </w:rPr>
        <w:t>RoActemra palīdz mazināt tādus RA simptomus kā locītavu sāpes un pietūkumu, un var arī uzlabot Jūsu spēju veikt ikdienas uzdevumus. Ir pierādīts, ka RoActemra palēnina slimības izraisīto locītavu skrimšļaudu un kaulu bojājumu attīstību un uzlabo Jūsu spēju veikt parastās ikdienas aktivitātes.</w:t>
      </w:r>
    </w:p>
    <w:p w14:paraId="14BD9A65" w14:textId="77777777" w:rsidR="00F47ADA" w:rsidRDefault="00F47ADA" w:rsidP="00707120">
      <w:pPr>
        <w:autoSpaceDE w:val="0"/>
        <w:ind w:left="561" w:firstLine="6"/>
        <w:rPr>
          <w:szCs w:val="22"/>
          <w:lang w:val="lv-LV"/>
        </w:rPr>
      </w:pPr>
    </w:p>
    <w:p w14:paraId="48D8C9AA" w14:textId="77777777" w:rsidR="00F47ADA" w:rsidRDefault="00F47ADA" w:rsidP="00707120">
      <w:pPr>
        <w:autoSpaceDE w:val="0"/>
        <w:ind w:left="561" w:firstLine="6"/>
        <w:rPr>
          <w:szCs w:val="22"/>
          <w:lang w:val="lv-LV"/>
        </w:rPr>
      </w:pPr>
      <w:r>
        <w:rPr>
          <w:szCs w:val="22"/>
          <w:lang w:val="lv-LV"/>
        </w:rPr>
        <w:t>RoActemra parasti lieto kombinācijā ar citām RA ārstēšanai paredzētām zālēm, ko sauc par metotreksātu. Tomēr tad, ja Jūsu ārsts ir konstatējis, ka metotreksāts nav piemērots, RoActemra var nozīmēt vienu pašu;</w:t>
      </w:r>
    </w:p>
    <w:p w14:paraId="3FBD68B5" w14:textId="77777777" w:rsidR="00F47ADA" w:rsidRDefault="00F47ADA" w:rsidP="00707120">
      <w:pPr>
        <w:autoSpaceDE w:val="0"/>
        <w:ind w:left="561" w:hanging="561"/>
        <w:rPr>
          <w:szCs w:val="22"/>
          <w:lang w:val="lv-LV"/>
        </w:rPr>
      </w:pPr>
    </w:p>
    <w:p w14:paraId="6066BB72" w14:textId="392735F3" w:rsidR="00F47ADA" w:rsidRPr="006A3A4F" w:rsidRDefault="00CF30FF" w:rsidP="00707120">
      <w:pPr>
        <w:pStyle w:val="ListParagraph"/>
        <w:keepNext/>
        <w:keepLines/>
        <w:ind w:left="567" w:hanging="567"/>
        <w:rPr>
          <w:szCs w:val="22"/>
          <w:lang w:val="lv-LV"/>
        </w:rPr>
      </w:pPr>
      <w:r>
        <w:rPr>
          <w:lang w:val="nb-NO"/>
        </w:rPr>
        <w:sym w:font="Symbol" w:char="F0B7"/>
      </w:r>
      <w:r>
        <w:rPr>
          <w:lang w:val="nb-NO"/>
        </w:rPr>
        <w:tab/>
      </w:r>
      <w:r w:rsidR="00F47ADA" w:rsidRPr="006A3A4F">
        <w:rPr>
          <w:b/>
          <w:szCs w:val="22"/>
          <w:lang w:val="lv-LV"/>
        </w:rPr>
        <w:t>pieaugušos ar artēriju slimību, ko sauc par milzšūnu arterītu</w:t>
      </w:r>
      <w:r w:rsidR="00F47ADA" w:rsidRPr="006A3A4F">
        <w:rPr>
          <w:szCs w:val="22"/>
          <w:lang w:val="lv-LV"/>
        </w:rPr>
        <w:t xml:space="preserve"> (</w:t>
      </w:r>
      <w:r w:rsidR="00F47ADA" w:rsidRPr="006A3A4F">
        <w:rPr>
          <w:b/>
          <w:i/>
          <w:lang w:val="lv-LV"/>
        </w:rPr>
        <w:t>giant cell arteritis</w:t>
      </w:r>
      <w:r w:rsidR="00F47ADA" w:rsidRPr="006A3A4F">
        <w:rPr>
          <w:b/>
          <w:lang w:val="lv-LV"/>
        </w:rPr>
        <w:t>,</w:t>
      </w:r>
      <w:r w:rsidR="00F47ADA" w:rsidRPr="006A3A4F">
        <w:rPr>
          <w:lang w:val="lv-LV"/>
        </w:rPr>
        <w:t xml:space="preserve"> </w:t>
      </w:r>
      <w:r w:rsidR="00F47ADA" w:rsidRPr="006A3A4F">
        <w:rPr>
          <w:b/>
          <w:lang w:val="lv-LV"/>
        </w:rPr>
        <w:t>GCA</w:t>
      </w:r>
      <w:r w:rsidR="00F47ADA" w:rsidRPr="006A3A4F">
        <w:rPr>
          <w:lang w:val="lv-LV"/>
        </w:rPr>
        <w:t>) un ko izraisa iekaisums organisma lielākajās artērijās, it īpaši tajās, kas nodrošina galvas un kakla asinsapgādi. Simptomi ietver galvassāpes, nogurumu un sāpes žoklī. Slimības sekas var būt insults un aklums.</w:t>
      </w:r>
      <w:r w:rsidR="00F47ADA" w:rsidRPr="006A3A4F">
        <w:rPr>
          <w:szCs w:val="22"/>
          <w:lang w:val="lv-LV"/>
        </w:rPr>
        <w:t xml:space="preserve"> </w:t>
      </w:r>
    </w:p>
    <w:p w14:paraId="6032007E" w14:textId="77777777" w:rsidR="00F47ADA" w:rsidRPr="00D30C7D" w:rsidRDefault="00F47ADA">
      <w:pPr>
        <w:autoSpaceDE w:val="0"/>
        <w:rPr>
          <w:szCs w:val="22"/>
          <w:lang w:val="lv-LV"/>
        </w:rPr>
        <w:pPrChange w:id="1782" w:author="Author">
          <w:pPr>
            <w:keepNext/>
            <w:keepLines/>
            <w:autoSpaceDE w:val="0"/>
          </w:pPr>
        </w:pPrChange>
      </w:pPr>
    </w:p>
    <w:p w14:paraId="7949DA2E" w14:textId="77777777" w:rsidR="00F47ADA" w:rsidRPr="00574205" w:rsidRDefault="00F47ADA" w:rsidP="00707120">
      <w:pPr>
        <w:keepNext/>
        <w:keepLines/>
        <w:ind w:left="561"/>
        <w:rPr>
          <w:lang w:val="lv-LV"/>
        </w:rPr>
      </w:pPr>
      <w:r w:rsidRPr="00574205">
        <w:rPr>
          <w:lang w:val="lv-LV"/>
        </w:rPr>
        <w:t xml:space="preserve">RoActemra var mazināt sāpes un pietūkumu galvas, kakla un roku artērijās un vēnās. </w:t>
      </w:r>
    </w:p>
    <w:p w14:paraId="214412F2" w14:textId="77777777" w:rsidR="00F47ADA" w:rsidRPr="00574205" w:rsidRDefault="00F47ADA" w:rsidP="00F47ADA">
      <w:pPr>
        <w:keepNext/>
        <w:keepLines/>
        <w:rPr>
          <w:lang w:val="lv-LV"/>
        </w:rPr>
      </w:pPr>
    </w:p>
    <w:p w14:paraId="4B9787AF" w14:textId="77777777" w:rsidR="00F47ADA" w:rsidRDefault="00F47ADA" w:rsidP="00707120">
      <w:pPr>
        <w:keepNext/>
        <w:keepLines/>
        <w:ind w:left="561"/>
        <w:rPr>
          <w:lang w:val="lv-LV"/>
        </w:rPr>
      </w:pPr>
      <w:r w:rsidRPr="00574205">
        <w:rPr>
          <w:lang w:val="lv-LV"/>
        </w:rPr>
        <w:t xml:space="preserve">GCA bieži ārstē ar zālēm, ko sauc par steroīdiem. </w:t>
      </w:r>
      <w:r w:rsidRPr="00C74D1A">
        <w:rPr>
          <w:lang w:val="lv-LV"/>
        </w:rPr>
        <w:t>Tie parasti ir efektīvi, taču ar blakusparādībām, ja ilgstoši tiek lietotas lielas devas. Steroīdu devas samazināšana var izraisīt arī GCA uzliesmojumu. RoActemra pievienošana ārstēšanai nozīmē, ka steroīdus var lietot īsāku laiku, saglabājot kontroli pār GCA.</w:t>
      </w:r>
    </w:p>
    <w:p w14:paraId="0F3D2024" w14:textId="77777777" w:rsidR="00F47ADA" w:rsidRDefault="00F47ADA" w:rsidP="00F47ADA">
      <w:pPr>
        <w:keepNext/>
        <w:keepLines/>
        <w:ind w:left="357"/>
        <w:rPr>
          <w:lang w:val="lv-LV"/>
        </w:rPr>
      </w:pPr>
    </w:p>
    <w:p w14:paraId="3706B735" w14:textId="7B3FECFC" w:rsidR="00F47ADA" w:rsidRPr="006A3A4F" w:rsidRDefault="00CF30FF" w:rsidP="00707120">
      <w:pPr>
        <w:pStyle w:val="ListParagraph"/>
        <w:keepNext/>
        <w:keepLines/>
        <w:ind w:left="567" w:hanging="567"/>
        <w:rPr>
          <w:lang w:val="lv-LV"/>
        </w:rPr>
      </w:pPr>
      <w:r>
        <w:rPr>
          <w:lang w:val="nb-NO"/>
        </w:rPr>
        <w:sym w:font="Symbol" w:char="F0B7"/>
      </w:r>
      <w:r>
        <w:rPr>
          <w:lang w:val="nb-NO"/>
        </w:rPr>
        <w:tab/>
      </w:r>
      <w:r w:rsidR="00F47ADA" w:rsidRPr="006A3A4F">
        <w:rPr>
          <w:b/>
          <w:lang w:val="lv-LV"/>
        </w:rPr>
        <w:t>bērnus un pusaudžus no 1</w:t>
      </w:r>
      <w:r w:rsidR="00F47ADA">
        <w:rPr>
          <w:b/>
          <w:lang w:val="lv-LV"/>
        </w:rPr>
        <w:t> </w:t>
      </w:r>
      <w:r w:rsidR="00F47ADA" w:rsidRPr="006A3A4F">
        <w:rPr>
          <w:b/>
          <w:lang w:val="lv-LV"/>
        </w:rPr>
        <w:t xml:space="preserve">gada vecuma ar aktīvu </w:t>
      </w:r>
      <w:r w:rsidR="00F47ADA" w:rsidRPr="00707120">
        <w:rPr>
          <w:b/>
          <w:i/>
          <w:iCs/>
          <w:lang w:val="lv-LV"/>
        </w:rPr>
        <w:t>sistēmisku juvenilu idiopātisko artrītu (sJIA)</w:t>
      </w:r>
      <w:r w:rsidR="00F47ADA" w:rsidRPr="006A3A4F">
        <w:rPr>
          <w:b/>
          <w:lang w:val="lv-LV"/>
        </w:rPr>
        <w:t>,</w:t>
      </w:r>
      <w:r w:rsidR="00F47ADA" w:rsidRPr="006A3A4F">
        <w:rPr>
          <w:lang w:val="lv-LV"/>
        </w:rPr>
        <w:t xml:space="preserve"> iekaisuma slimību, kas izraisa sāpes un pietūkumu vienā vai vairākās locītavās, kā arī drudzi un izsitumus. </w:t>
      </w:r>
      <w:r w:rsidR="00F47ADA" w:rsidRPr="006A3A4F">
        <w:rPr>
          <w:lang w:val="lv-LV"/>
        </w:rPr>
        <w:br/>
      </w:r>
      <w:r w:rsidR="00F47ADA" w:rsidRPr="006A3A4F">
        <w:rPr>
          <w:lang w:val="lv-LV"/>
        </w:rPr>
        <w:br/>
        <w:t xml:space="preserve">RoActemra lieto sJIA simptomu mazināšanai. To var lietot kombinācijā ar metotreksātu vai vienu pašu. </w:t>
      </w:r>
    </w:p>
    <w:p w14:paraId="17AF3397" w14:textId="77777777" w:rsidR="00F47ADA" w:rsidRPr="00C74D1A" w:rsidRDefault="00F47ADA" w:rsidP="00F47ADA">
      <w:pPr>
        <w:ind w:left="357"/>
        <w:rPr>
          <w:lang w:val="lv-LV"/>
        </w:rPr>
      </w:pPr>
    </w:p>
    <w:p w14:paraId="375AD856" w14:textId="52165506" w:rsidR="00F47ADA" w:rsidRPr="006A3A4F" w:rsidRDefault="00CF30FF" w:rsidP="00707120">
      <w:pPr>
        <w:pStyle w:val="ListParagraph"/>
        <w:suppressAutoHyphens w:val="0"/>
        <w:ind w:left="567" w:hanging="567"/>
        <w:rPr>
          <w:szCs w:val="22"/>
          <w:lang w:val="lv-LV"/>
        </w:rPr>
      </w:pPr>
      <w:r>
        <w:rPr>
          <w:lang w:val="nb-NO"/>
        </w:rPr>
        <w:sym w:font="Symbol" w:char="F0B7"/>
      </w:r>
      <w:r>
        <w:rPr>
          <w:lang w:val="nb-NO"/>
        </w:rPr>
        <w:tab/>
      </w:r>
      <w:r w:rsidR="00F47ADA" w:rsidRPr="00707120">
        <w:rPr>
          <w:b/>
          <w:szCs w:val="22"/>
          <w:lang w:val="lv-LV"/>
        </w:rPr>
        <w:t xml:space="preserve">bērnus un pusaudžus no 2 gadu vecuma ar aktīvu </w:t>
      </w:r>
      <w:r w:rsidR="00F47ADA" w:rsidRPr="00707120">
        <w:rPr>
          <w:b/>
          <w:i/>
          <w:szCs w:val="22"/>
          <w:lang w:val="lv-LV"/>
        </w:rPr>
        <w:t>juvenilu idiopātisk</w:t>
      </w:r>
      <w:r w:rsidR="00206A3C">
        <w:rPr>
          <w:b/>
          <w:i/>
          <w:szCs w:val="22"/>
          <w:lang w:val="lv-LV"/>
        </w:rPr>
        <w:t>u</w:t>
      </w:r>
      <w:r w:rsidR="00F47ADA" w:rsidRPr="00707120">
        <w:rPr>
          <w:b/>
          <w:i/>
          <w:szCs w:val="22"/>
          <w:lang w:val="lv-LV"/>
        </w:rPr>
        <w:t xml:space="preserve"> </w:t>
      </w:r>
      <w:r w:rsidR="00206A3C">
        <w:rPr>
          <w:b/>
          <w:i/>
          <w:szCs w:val="22"/>
          <w:lang w:val="lv-LV"/>
        </w:rPr>
        <w:t>poli</w:t>
      </w:r>
      <w:r w:rsidR="00F47ADA" w:rsidRPr="00707120">
        <w:rPr>
          <w:b/>
          <w:i/>
          <w:szCs w:val="22"/>
          <w:lang w:val="lv-LV"/>
        </w:rPr>
        <w:t xml:space="preserve">artrītu </w:t>
      </w:r>
      <w:r w:rsidR="00F47ADA" w:rsidRPr="00707120">
        <w:rPr>
          <w:b/>
          <w:szCs w:val="22"/>
          <w:lang w:val="lv-LV"/>
        </w:rPr>
        <w:t>(</w:t>
      </w:r>
      <w:r w:rsidR="00F47ADA" w:rsidRPr="00707120">
        <w:rPr>
          <w:b/>
          <w:i/>
          <w:szCs w:val="22"/>
          <w:lang w:val="lv-LV"/>
        </w:rPr>
        <w:t>pJIA</w:t>
      </w:r>
      <w:r w:rsidR="00F47ADA" w:rsidRPr="00707120">
        <w:rPr>
          <w:b/>
          <w:szCs w:val="22"/>
          <w:lang w:val="lv-LV"/>
        </w:rPr>
        <w:t xml:space="preserve">). </w:t>
      </w:r>
      <w:r w:rsidR="00F47ADA" w:rsidRPr="006A3A4F">
        <w:rPr>
          <w:szCs w:val="22"/>
          <w:lang w:val="lv-LV"/>
        </w:rPr>
        <w:t xml:space="preserve">Tā ir iekaisuma slimība, kas izraisa sāpes un pietūkumu vienā vai vairākās locītavās. </w:t>
      </w:r>
    </w:p>
    <w:p w14:paraId="332A22BA" w14:textId="77777777" w:rsidR="00F47ADA" w:rsidRPr="00C74D1A" w:rsidRDefault="00F47ADA" w:rsidP="00F47ADA">
      <w:pPr>
        <w:ind w:left="567"/>
        <w:rPr>
          <w:lang w:val="lv-LV"/>
        </w:rPr>
      </w:pPr>
      <w:r w:rsidRPr="00C74D1A">
        <w:rPr>
          <w:b/>
          <w:szCs w:val="22"/>
          <w:lang w:val="lv-LV"/>
        </w:rPr>
        <w:br/>
      </w:r>
      <w:r w:rsidRPr="00C74D1A">
        <w:rPr>
          <w:szCs w:val="22"/>
          <w:lang w:val="lv-LV"/>
        </w:rPr>
        <w:t>RoActemra lieto pJIA simptomu samazināšanai. To var lietot kombinācijā ar metotreksātu vai vienu pašu</w:t>
      </w:r>
      <w:r w:rsidRPr="00C74D1A">
        <w:rPr>
          <w:b/>
          <w:szCs w:val="22"/>
          <w:lang w:val="lv-LV"/>
        </w:rPr>
        <w:t>.</w:t>
      </w:r>
      <w:r w:rsidRPr="00C74D1A">
        <w:rPr>
          <w:szCs w:val="22"/>
          <w:lang w:val="lv-LV"/>
        </w:rPr>
        <w:t xml:space="preserve"> </w:t>
      </w:r>
    </w:p>
    <w:p w14:paraId="7282F7FC" w14:textId="77777777" w:rsidR="00F47ADA" w:rsidRPr="00C74D1A" w:rsidRDefault="00F47ADA" w:rsidP="00F47ADA">
      <w:pPr>
        <w:rPr>
          <w:lang w:val="lv-LV"/>
        </w:rPr>
      </w:pPr>
    </w:p>
    <w:p w14:paraId="25706427" w14:textId="77777777" w:rsidR="00F47ADA" w:rsidRPr="00D30C7D" w:rsidRDefault="00F47ADA" w:rsidP="00F47ADA">
      <w:pPr>
        <w:autoSpaceDE w:val="0"/>
        <w:rPr>
          <w:szCs w:val="22"/>
          <w:lang w:val="lv-LV"/>
        </w:rPr>
      </w:pPr>
    </w:p>
    <w:p w14:paraId="63BEEB55" w14:textId="77777777" w:rsidR="00F47ADA" w:rsidRPr="00980DD8" w:rsidRDefault="00F47ADA" w:rsidP="00F47ADA">
      <w:pPr>
        <w:keepNext/>
        <w:keepLines/>
        <w:ind w:left="567" w:right="-2" w:hanging="567"/>
        <w:rPr>
          <w:b/>
          <w:szCs w:val="22"/>
          <w:lang w:val="lv-LV"/>
        </w:rPr>
      </w:pPr>
      <w:r w:rsidRPr="00980DD8">
        <w:rPr>
          <w:b/>
          <w:szCs w:val="22"/>
          <w:lang w:val="lv-LV"/>
        </w:rPr>
        <w:t>2.</w:t>
      </w:r>
      <w:r w:rsidRPr="00980DD8">
        <w:rPr>
          <w:b/>
          <w:szCs w:val="22"/>
          <w:lang w:val="lv-LV"/>
        </w:rPr>
        <w:tab/>
        <w:t xml:space="preserve">Kas </w:t>
      </w:r>
      <w:r>
        <w:rPr>
          <w:b/>
          <w:szCs w:val="22"/>
          <w:lang w:val="lv-LV"/>
        </w:rPr>
        <w:t xml:space="preserve">Jums </w:t>
      </w:r>
      <w:r w:rsidRPr="00980DD8">
        <w:rPr>
          <w:b/>
          <w:szCs w:val="22"/>
          <w:lang w:val="lv-LV"/>
        </w:rPr>
        <w:t>jāzina pirms RoActemra lietošanas</w:t>
      </w:r>
    </w:p>
    <w:p w14:paraId="2E56FA71" w14:textId="77777777" w:rsidR="00F47ADA" w:rsidRDefault="00F47ADA" w:rsidP="00F47ADA">
      <w:pPr>
        <w:keepNext/>
        <w:keepLines/>
        <w:ind w:left="567" w:right="-2" w:hanging="567"/>
        <w:rPr>
          <w:szCs w:val="22"/>
          <w:lang w:val="lv-LV"/>
        </w:rPr>
      </w:pPr>
    </w:p>
    <w:p w14:paraId="59D27D5E" w14:textId="77777777" w:rsidR="00F47ADA" w:rsidRPr="00285349" w:rsidRDefault="00F47ADA" w:rsidP="00F47ADA">
      <w:pPr>
        <w:keepNext/>
        <w:keepLines/>
        <w:rPr>
          <w:rFonts w:ascii="Symbol" w:hAnsi="Symbol" w:cs="Symbol"/>
          <w:szCs w:val="22"/>
          <w:lang w:val="lv-LV"/>
        </w:rPr>
      </w:pPr>
      <w:r w:rsidRPr="00285349">
        <w:rPr>
          <w:b/>
          <w:szCs w:val="22"/>
          <w:lang w:val="lv-LV"/>
        </w:rPr>
        <w:t xml:space="preserve">Nelietojiet RoActemra šādos gadījumos: </w:t>
      </w:r>
    </w:p>
    <w:p w14:paraId="28F8A52A" w14:textId="4D287377" w:rsidR="007A7B29" w:rsidRPr="006A3A4F" w:rsidRDefault="00CF30FF" w:rsidP="00707120">
      <w:pPr>
        <w:pStyle w:val="ListParagraph"/>
        <w:keepNext/>
        <w:keepLines/>
        <w:ind w:left="567" w:hanging="567"/>
        <w:rPr>
          <w:szCs w:val="22"/>
          <w:lang w:val="lv-LV"/>
        </w:rPr>
      </w:pPr>
      <w:r>
        <w:rPr>
          <w:lang w:val="nb-NO"/>
        </w:rPr>
        <w:sym w:font="Symbol" w:char="F0B7"/>
      </w:r>
      <w:r>
        <w:rPr>
          <w:lang w:val="nb-NO"/>
        </w:rPr>
        <w:tab/>
      </w:r>
      <w:r w:rsidR="00F47ADA" w:rsidRPr="006A3A4F">
        <w:rPr>
          <w:szCs w:val="22"/>
          <w:lang w:val="lv-LV"/>
        </w:rPr>
        <w:t>ja Jums vai pacientam-bērnam, par kuru Jūs rūpējaties, ir alerģija pret tocilizumabu vai kādu citu (6.</w:t>
      </w:r>
      <w:r w:rsidR="00F47ADA">
        <w:rPr>
          <w:szCs w:val="22"/>
          <w:lang w:val="lv-LV"/>
        </w:rPr>
        <w:t> </w:t>
      </w:r>
      <w:r w:rsidR="00F47ADA" w:rsidRPr="006A3A4F">
        <w:rPr>
          <w:szCs w:val="22"/>
          <w:lang w:val="lv-LV"/>
        </w:rPr>
        <w:t>punktā minēto) šo zāļu sastāvdaļu;</w:t>
      </w:r>
    </w:p>
    <w:p w14:paraId="244784F8" w14:textId="6180BC85" w:rsidR="00F47ADA" w:rsidRPr="006A3A4F" w:rsidDel="007A7B29" w:rsidRDefault="00CF30FF" w:rsidP="007A7B29">
      <w:pPr>
        <w:pStyle w:val="ListParagraph"/>
        <w:ind w:left="567" w:hanging="567"/>
        <w:rPr>
          <w:szCs w:val="22"/>
          <w:lang w:val="lv-LV"/>
        </w:rPr>
      </w:pPr>
      <w:r>
        <w:rPr>
          <w:lang w:val="nb-NO"/>
        </w:rPr>
        <w:sym w:font="Symbol" w:char="F0B7"/>
      </w:r>
      <w:r>
        <w:rPr>
          <w:lang w:val="nb-NO"/>
        </w:rPr>
        <w:tab/>
      </w:r>
      <w:r w:rsidR="00F47ADA" w:rsidRPr="006A3A4F" w:rsidDel="007A7B29">
        <w:rPr>
          <w:szCs w:val="22"/>
          <w:lang w:val="lv-LV"/>
        </w:rPr>
        <w:t>ja Jums vai bērnam, par kuru Jūs rūpējaties, ir aktīva smaga infekcija.</w:t>
      </w:r>
    </w:p>
    <w:p w14:paraId="66C4F23C" w14:textId="59FD292F" w:rsidR="00F47ADA" w:rsidDel="007A7B29" w:rsidRDefault="00F47ADA">
      <w:pPr>
        <w:pStyle w:val="ListParagraph"/>
        <w:ind w:left="567" w:hanging="567"/>
        <w:rPr>
          <w:szCs w:val="22"/>
          <w:lang w:val="lv-LV"/>
        </w:rPr>
        <w:pPrChange w:id="1783" w:author="Author">
          <w:pPr>
            <w:ind w:right="-2"/>
          </w:pPr>
        </w:pPrChange>
      </w:pPr>
    </w:p>
    <w:p w14:paraId="2C8DE754" w14:textId="2842B4FF" w:rsidR="00F47ADA" w:rsidRDefault="00F47ADA">
      <w:pPr>
        <w:pStyle w:val="ListParagraph"/>
        <w:ind w:left="567" w:hanging="567"/>
        <w:rPr>
          <w:b/>
          <w:lang w:val="lv-LV"/>
        </w:rPr>
        <w:pPrChange w:id="1784" w:author="Author">
          <w:pPr/>
        </w:pPrChange>
      </w:pPr>
      <w:r w:rsidDel="007A7B29">
        <w:rPr>
          <w:lang w:val="lv-LV"/>
        </w:rPr>
        <w:t>Ja kaut kas no minētā attiecas uz Jums, informējiet par to ārstu. Nelietojiet RoActemra.</w:t>
      </w:r>
    </w:p>
    <w:p w14:paraId="5AF03AD6" w14:textId="2FD49428" w:rsidR="00F47ADA" w:rsidRDefault="00F47ADA">
      <w:pPr>
        <w:pStyle w:val="ListParagraph"/>
        <w:ind w:left="567" w:hanging="567"/>
        <w:rPr>
          <w:b/>
          <w:lang w:val="lv-LV"/>
        </w:rPr>
        <w:pPrChange w:id="1785" w:author="Author">
          <w:pPr/>
        </w:pPrChange>
      </w:pPr>
    </w:p>
    <w:p w14:paraId="4D0DFBDB" w14:textId="5B43C0F2" w:rsidR="00F47ADA" w:rsidRPr="005531FC" w:rsidRDefault="00F47ADA" w:rsidP="00F47ADA">
      <w:pPr>
        <w:keepNext/>
        <w:keepLines/>
        <w:rPr>
          <w:b/>
          <w:szCs w:val="22"/>
          <w:lang w:val="lv-LV"/>
        </w:rPr>
      </w:pPr>
      <w:r w:rsidRPr="005531FC">
        <w:rPr>
          <w:b/>
          <w:szCs w:val="22"/>
          <w:lang w:val="lv-LV"/>
        </w:rPr>
        <w:t>Brīdinājumi un piesardzība lietošanā</w:t>
      </w:r>
    </w:p>
    <w:p w14:paraId="2C83F1C7" w14:textId="514DE7F1" w:rsidR="00F47ADA" w:rsidRDefault="00F47ADA" w:rsidP="00F47ADA">
      <w:pPr>
        <w:keepNext/>
        <w:keepLines/>
        <w:rPr>
          <w:b/>
          <w:szCs w:val="22"/>
          <w:lang w:val="lv-LV"/>
        </w:rPr>
      </w:pPr>
    </w:p>
    <w:p w14:paraId="5CDF2460" w14:textId="34C7F533" w:rsidR="00F47ADA" w:rsidRDefault="00F47ADA" w:rsidP="00F47ADA">
      <w:pPr>
        <w:keepNext/>
        <w:keepLines/>
        <w:rPr>
          <w:lang w:val="lv-LV"/>
        </w:rPr>
      </w:pPr>
      <w:r>
        <w:rPr>
          <w:lang w:val="lv-LV"/>
        </w:rPr>
        <w:t>Pirms RoActemra lietošanas konsultējieties ar ārstu, farmaceitu vai medmāsu.</w:t>
      </w:r>
    </w:p>
    <w:p w14:paraId="778362D8" w14:textId="77777777" w:rsidR="00F47ADA" w:rsidRDefault="00F47ADA" w:rsidP="00F47ADA">
      <w:pPr>
        <w:keepNext/>
        <w:keepLines/>
        <w:rPr>
          <w:lang w:val="lv-LV"/>
        </w:rPr>
      </w:pPr>
    </w:p>
    <w:p w14:paraId="0673EEDC" w14:textId="1085800D" w:rsidR="00F47ADA" w:rsidRPr="006A3A4F" w:rsidRDefault="00CF30FF" w:rsidP="00707120">
      <w:pPr>
        <w:pStyle w:val="ListParagraph"/>
        <w:keepNext/>
        <w:keepLines/>
        <w:ind w:left="567" w:hanging="567"/>
        <w:rPr>
          <w:b/>
          <w:szCs w:val="22"/>
          <w:lang w:val="lv-LV"/>
        </w:rPr>
      </w:pPr>
      <w:r>
        <w:rPr>
          <w:lang w:val="nb-NO"/>
        </w:rPr>
        <w:sym w:font="Symbol" w:char="F0B7"/>
      </w:r>
      <w:r>
        <w:rPr>
          <w:lang w:val="nb-NO"/>
        </w:rPr>
        <w:tab/>
      </w:r>
      <w:r w:rsidR="00F47ADA" w:rsidRPr="006A3A4F">
        <w:rPr>
          <w:szCs w:val="22"/>
          <w:lang w:val="lv-LV"/>
        </w:rPr>
        <w:t xml:space="preserve">Ja Jums rodas </w:t>
      </w:r>
      <w:r w:rsidR="00F47ADA" w:rsidRPr="006A3A4F">
        <w:rPr>
          <w:b/>
          <w:szCs w:val="22"/>
          <w:lang w:val="lv-LV"/>
        </w:rPr>
        <w:t>alerģiskas reakcijas</w:t>
      </w:r>
      <w:r w:rsidR="00F47ADA" w:rsidRPr="006A3A4F">
        <w:rPr>
          <w:bCs/>
          <w:szCs w:val="22"/>
          <w:lang w:val="lv-LV"/>
        </w:rPr>
        <w:t xml:space="preserve">, piemēram, saspringuma sajūta krūtīs, sēkšana, stiprs reibonis vai neskaidra sajūta galvā, lūpu, sejas, mēles pietūkums vai ādas nieze, nātrene vai izsitumi injekcijas laikā vai pēc tās, </w:t>
      </w:r>
      <w:r w:rsidR="00F47ADA" w:rsidRPr="006A3A4F">
        <w:rPr>
          <w:b/>
          <w:szCs w:val="22"/>
          <w:lang w:val="lv-LV"/>
        </w:rPr>
        <w:t>nekavējoties informējiet ārstu</w:t>
      </w:r>
      <w:r w:rsidR="00F47ADA" w:rsidRPr="006A3A4F">
        <w:rPr>
          <w:szCs w:val="22"/>
          <w:lang w:val="lv-LV"/>
        </w:rPr>
        <w:t>.</w:t>
      </w:r>
    </w:p>
    <w:p w14:paraId="289F211A" w14:textId="77777777" w:rsidR="00F47ADA" w:rsidRDefault="00F47ADA">
      <w:pPr>
        <w:ind w:left="567" w:hanging="567"/>
        <w:rPr>
          <w:b/>
          <w:szCs w:val="22"/>
          <w:lang w:val="lv-LV"/>
        </w:rPr>
        <w:pPrChange w:id="1786" w:author="Author">
          <w:pPr>
            <w:keepNext/>
            <w:keepLines/>
            <w:ind w:left="567" w:hanging="567"/>
          </w:pPr>
        </w:pPrChange>
      </w:pPr>
    </w:p>
    <w:p w14:paraId="24EF9773" w14:textId="782D8EED" w:rsidR="007A7B29" w:rsidRPr="006A3A4F" w:rsidRDefault="00CF30FF">
      <w:pPr>
        <w:pStyle w:val="ListParagraph"/>
        <w:ind w:left="567" w:hanging="567"/>
        <w:rPr>
          <w:b/>
          <w:szCs w:val="22"/>
          <w:lang w:val="lv-LV"/>
        </w:rPr>
        <w:pPrChange w:id="1787" w:author="Author">
          <w:pPr>
            <w:pStyle w:val="ListParagraph"/>
            <w:keepNext/>
            <w:keepLines/>
            <w:ind w:left="567" w:hanging="567"/>
          </w:pPr>
        </w:pPrChange>
      </w:pPr>
      <w:r>
        <w:rPr>
          <w:lang w:val="nb-NO"/>
        </w:rPr>
        <w:sym w:font="Symbol" w:char="F0B7"/>
      </w:r>
      <w:r>
        <w:rPr>
          <w:lang w:val="nb-NO"/>
        </w:rPr>
        <w:tab/>
      </w:r>
      <w:r w:rsidR="00F47ADA" w:rsidRPr="006A3A4F">
        <w:rPr>
          <w:szCs w:val="22"/>
          <w:lang w:val="lv-LV"/>
        </w:rPr>
        <w:t xml:space="preserve">Ja pēc RoActemra lietošanas Jums ir radušies jebkādi alerģiskas reakcijas simptomi, nelietojiet nākamo devu, līdz par alerģisko reakciju neesat informējis ārstu UN ārsts nav Jums ieteicis lietot nākamo devu. </w:t>
      </w:r>
    </w:p>
    <w:p w14:paraId="666E6C65" w14:textId="77777777" w:rsidR="00F47ADA" w:rsidRDefault="00F47ADA">
      <w:pPr>
        <w:ind w:left="567" w:hanging="567"/>
        <w:rPr>
          <w:b/>
          <w:szCs w:val="22"/>
          <w:lang w:val="lv-LV"/>
        </w:rPr>
        <w:pPrChange w:id="1788" w:author="Author">
          <w:pPr>
            <w:keepNext/>
            <w:keepLines/>
            <w:ind w:left="567" w:hanging="567"/>
          </w:pPr>
        </w:pPrChange>
      </w:pPr>
    </w:p>
    <w:p w14:paraId="354151DB" w14:textId="3FF9B556" w:rsidR="00F47ADA" w:rsidRPr="006A3A4F" w:rsidRDefault="00CF30FF">
      <w:pPr>
        <w:pStyle w:val="ListParagraph"/>
        <w:ind w:left="567" w:hanging="567"/>
        <w:rPr>
          <w:szCs w:val="22"/>
          <w:lang w:val="lv-LV"/>
        </w:rPr>
        <w:pPrChange w:id="1789" w:author="Author">
          <w:pPr>
            <w:pStyle w:val="ListParagraph"/>
            <w:keepNext/>
            <w:keepLines/>
            <w:ind w:left="567" w:hanging="567"/>
          </w:pPr>
        </w:pPrChange>
      </w:pPr>
      <w:r>
        <w:rPr>
          <w:lang w:val="nb-NO"/>
        </w:rPr>
        <w:sym w:font="Symbol" w:char="F0B7"/>
      </w:r>
      <w:r>
        <w:rPr>
          <w:lang w:val="nb-NO"/>
        </w:rPr>
        <w:tab/>
      </w:r>
      <w:r w:rsidR="00F47ADA" w:rsidRPr="006A3A4F" w:rsidDel="007A7B29">
        <w:rPr>
          <w:lang w:val="lv-LV"/>
        </w:rPr>
        <w:t xml:space="preserve">Ja Jums ir kāda </w:t>
      </w:r>
      <w:r w:rsidR="00F47ADA" w:rsidRPr="006A3A4F" w:rsidDel="007A7B29">
        <w:rPr>
          <w:b/>
          <w:lang w:val="lv-LV"/>
        </w:rPr>
        <w:t>infekcija</w:t>
      </w:r>
      <w:r w:rsidR="00F47ADA" w:rsidRPr="006A3A4F" w:rsidDel="007A7B29">
        <w:rPr>
          <w:lang w:val="lv-LV"/>
        </w:rPr>
        <w:t xml:space="preserve">, arī īslaicīga, ilgstoša vai arī, ja infekcijas Jums rodas bieži. Ja Jūs nejūtaties labi, </w:t>
      </w:r>
      <w:r w:rsidR="00F47ADA" w:rsidRPr="006A3A4F" w:rsidDel="007A7B29">
        <w:rPr>
          <w:b/>
          <w:lang w:val="lv-LV"/>
        </w:rPr>
        <w:t>nekavējoties informējiet ārstu</w:t>
      </w:r>
      <w:r w:rsidR="00F47ADA" w:rsidRPr="006A3A4F" w:rsidDel="007A7B29">
        <w:rPr>
          <w:lang w:val="lv-LV"/>
        </w:rPr>
        <w:t>. RoActemra var mazināt Jūsu organisma spēju reaģēt uz infekcijām un var pasliktināt esošas infekcijas gaitu vai palielināt jaunas infekcijas iespējamību.</w:t>
      </w:r>
    </w:p>
    <w:p w14:paraId="25EE1F5E" w14:textId="77777777" w:rsidR="00F47ADA" w:rsidRDefault="00F47ADA" w:rsidP="00F47ADA">
      <w:pPr>
        <w:ind w:left="207" w:hanging="117"/>
        <w:rPr>
          <w:szCs w:val="22"/>
          <w:lang w:val="lv-LV"/>
        </w:rPr>
      </w:pPr>
    </w:p>
    <w:p w14:paraId="6BBBEC24" w14:textId="278BA751" w:rsidR="007A7B29" w:rsidRPr="006A3A4F" w:rsidRDefault="00CF30FF">
      <w:pPr>
        <w:pStyle w:val="ListParagraph"/>
        <w:ind w:left="567" w:hanging="567"/>
        <w:rPr>
          <w:szCs w:val="22"/>
          <w:lang w:val="lv-LV"/>
        </w:rPr>
        <w:pPrChange w:id="1790" w:author="Author">
          <w:pPr>
            <w:pStyle w:val="ListParagraph"/>
            <w:keepNext/>
            <w:keepLines/>
            <w:ind w:left="567" w:hanging="567"/>
          </w:pPr>
        </w:pPrChange>
      </w:pPr>
      <w:r>
        <w:rPr>
          <w:lang w:val="nb-NO"/>
        </w:rPr>
        <w:sym w:font="Symbol" w:char="F0B7"/>
      </w:r>
      <w:r>
        <w:rPr>
          <w:lang w:val="nb-NO"/>
        </w:rPr>
        <w:tab/>
      </w:r>
      <w:r w:rsidR="00F47ADA" w:rsidRPr="006A3A4F">
        <w:rPr>
          <w:lang w:val="lv-LV"/>
        </w:rPr>
        <w:t xml:space="preserve">Ja Jums ir bijusi </w:t>
      </w:r>
      <w:r w:rsidR="00F47ADA" w:rsidRPr="006A3A4F">
        <w:rPr>
          <w:b/>
          <w:lang w:val="lv-LV"/>
        </w:rPr>
        <w:t>tuberkuloze</w:t>
      </w:r>
      <w:r w:rsidR="00F47ADA" w:rsidRPr="006A3A4F">
        <w:rPr>
          <w:lang w:val="lv-LV"/>
        </w:rPr>
        <w:t xml:space="preserve">, pastāstiet par to ārstam. Jūsu ārsts pirms RoActemra lietošanas uzsākšanas pārbaudīs tuberkulozes simptomus. </w:t>
      </w:r>
      <w:r w:rsidR="00F47ADA" w:rsidRPr="006A3A4F">
        <w:rPr>
          <w:szCs w:val="24"/>
          <w:lang w:val="lv-LV"/>
        </w:rPr>
        <w:t>Ja ārstēšanas laikā vai pēc tās pārtraukšanas parādās tuberkulozes simptomi (pastāvīgs klepus, ķermeņa masas samazināšanās, nespēks vai viegls drudzis) vai jebkuras citas infekcijas simptomi, nekavējoties pastāstiet par tiem savam ārstam.</w:t>
      </w:r>
    </w:p>
    <w:p w14:paraId="27777ACB" w14:textId="77777777" w:rsidR="00F47ADA" w:rsidRDefault="00F47ADA" w:rsidP="00FC6A83">
      <w:pPr>
        <w:ind w:left="567" w:hanging="567"/>
        <w:rPr>
          <w:szCs w:val="22"/>
          <w:lang w:val="lv-LV"/>
        </w:rPr>
      </w:pPr>
    </w:p>
    <w:p w14:paraId="2DAE8873" w14:textId="23826B2E" w:rsidR="00F47ADA" w:rsidRPr="006A3A4F" w:rsidRDefault="00CF30FF">
      <w:pPr>
        <w:pStyle w:val="ListParagraph"/>
        <w:ind w:left="567" w:hanging="567"/>
        <w:rPr>
          <w:szCs w:val="22"/>
          <w:lang w:val="lv-LV"/>
        </w:rPr>
        <w:pPrChange w:id="1791" w:author="Author">
          <w:pPr>
            <w:pStyle w:val="ListParagraph"/>
            <w:keepNext/>
            <w:keepLines/>
            <w:ind w:left="567" w:hanging="567"/>
          </w:pPr>
        </w:pPrChange>
      </w:pPr>
      <w:r>
        <w:rPr>
          <w:lang w:val="nb-NO"/>
        </w:rPr>
        <w:sym w:font="Symbol" w:char="F0B7"/>
      </w:r>
      <w:r>
        <w:rPr>
          <w:lang w:val="nb-NO"/>
        </w:rPr>
        <w:tab/>
      </w:r>
      <w:r w:rsidR="00F47ADA" w:rsidRPr="006A3A4F">
        <w:rPr>
          <w:lang w:val="lv-LV"/>
        </w:rPr>
        <w:t xml:space="preserve">Ja Jums agrāk ir bijušas </w:t>
      </w:r>
      <w:r w:rsidR="00F47ADA" w:rsidRPr="006A3A4F">
        <w:rPr>
          <w:b/>
          <w:lang w:val="lv-LV"/>
        </w:rPr>
        <w:t>čūlas zarnu traktā</w:t>
      </w:r>
      <w:r w:rsidR="00F47ADA" w:rsidRPr="006A3A4F">
        <w:rPr>
          <w:lang w:val="lv-LV"/>
        </w:rPr>
        <w:t xml:space="preserve"> vai </w:t>
      </w:r>
      <w:r w:rsidR="00F47ADA" w:rsidRPr="006A3A4F">
        <w:rPr>
          <w:b/>
          <w:lang w:val="lv-LV"/>
        </w:rPr>
        <w:t>divertikulīts</w:t>
      </w:r>
      <w:r w:rsidR="00F47ADA" w:rsidRPr="006A3A4F">
        <w:rPr>
          <w:lang w:val="lv-LV"/>
        </w:rPr>
        <w:t>, pastāstiet savam ārstam. Simptomi varētu būt sāpes vēderā un neizskaidrojamas vēdera izejas pārmaiņas ar drudzi.</w:t>
      </w:r>
    </w:p>
    <w:p w14:paraId="1BB5814A" w14:textId="5D56820D" w:rsidR="00F47ADA" w:rsidRDefault="00F47ADA" w:rsidP="00FC6A83">
      <w:pPr>
        <w:ind w:left="567" w:hanging="567"/>
        <w:rPr>
          <w:szCs w:val="22"/>
          <w:lang w:val="lv-LV"/>
        </w:rPr>
      </w:pPr>
    </w:p>
    <w:p w14:paraId="1D2DC1BC" w14:textId="12C1325C" w:rsidR="00F47ADA" w:rsidRPr="006A3A4F" w:rsidRDefault="00CF30FF">
      <w:pPr>
        <w:pStyle w:val="ListParagraph"/>
        <w:ind w:left="567" w:hanging="567"/>
        <w:rPr>
          <w:szCs w:val="22"/>
          <w:lang w:val="lv-LV"/>
        </w:rPr>
        <w:pPrChange w:id="1792" w:author="Author">
          <w:pPr>
            <w:pStyle w:val="ListParagraph"/>
            <w:keepNext/>
            <w:keepLines/>
            <w:ind w:left="567" w:hanging="567"/>
          </w:pPr>
        </w:pPrChange>
      </w:pPr>
      <w:r>
        <w:rPr>
          <w:lang w:val="nb-NO"/>
        </w:rPr>
        <w:sym w:font="Symbol" w:char="F0B7"/>
      </w:r>
      <w:r>
        <w:rPr>
          <w:lang w:val="nb-NO"/>
        </w:rPr>
        <w:tab/>
      </w:r>
      <w:r w:rsidR="00F47ADA" w:rsidRPr="006A3A4F">
        <w:rPr>
          <w:lang w:val="lv-LV"/>
        </w:rPr>
        <w:t xml:space="preserve">Ja Jums ir </w:t>
      </w:r>
      <w:r w:rsidR="00F47ADA" w:rsidRPr="006A3A4F">
        <w:rPr>
          <w:b/>
          <w:lang w:val="lv-LV"/>
        </w:rPr>
        <w:t>aknu slimība</w:t>
      </w:r>
      <w:r w:rsidR="00F47ADA" w:rsidRPr="006A3A4F">
        <w:rPr>
          <w:lang w:val="lv-LV"/>
        </w:rPr>
        <w:t xml:space="preserve">, pastāstiet savam ārstam. Pirms RoActemra lietošanas Jūsu ārsts var veikt asins analīzes, lai novērtētu Jūsu aknu darbību. </w:t>
      </w:r>
    </w:p>
    <w:p w14:paraId="7F6E1891" w14:textId="77777777" w:rsidR="00F47ADA" w:rsidRDefault="00F47ADA" w:rsidP="00FC6A83">
      <w:pPr>
        <w:ind w:left="567" w:hanging="567"/>
        <w:rPr>
          <w:szCs w:val="22"/>
          <w:lang w:val="lv-LV"/>
        </w:rPr>
      </w:pPr>
    </w:p>
    <w:p w14:paraId="3DB1799F" w14:textId="0E93B76A" w:rsidR="00F47ADA" w:rsidRPr="006A3A4F" w:rsidRDefault="00CF30FF">
      <w:pPr>
        <w:pStyle w:val="ListParagraph"/>
        <w:ind w:left="567" w:hanging="567"/>
        <w:rPr>
          <w:szCs w:val="22"/>
          <w:lang w:val="lv-LV"/>
        </w:rPr>
        <w:pPrChange w:id="1793" w:author="Author">
          <w:pPr>
            <w:pStyle w:val="ListParagraph"/>
            <w:keepNext/>
            <w:keepLines/>
            <w:ind w:left="567" w:hanging="567"/>
          </w:pPr>
        </w:pPrChange>
      </w:pPr>
      <w:r>
        <w:rPr>
          <w:lang w:val="nb-NO"/>
        </w:rPr>
        <w:sym w:font="Symbol" w:char="F0B7"/>
      </w:r>
      <w:r>
        <w:rPr>
          <w:lang w:val="nb-NO"/>
        </w:rPr>
        <w:tab/>
      </w:r>
      <w:r w:rsidR="00F47ADA" w:rsidRPr="006A3A4F">
        <w:rPr>
          <w:b/>
          <w:lang w:val="lv-LV"/>
        </w:rPr>
        <w:t xml:space="preserve">Ja pacientam ir nesen veikta </w:t>
      </w:r>
      <w:r w:rsidR="00F47ADA" w:rsidRPr="006A3A4F">
        <w:rPr>
          <w:bCs/>
          <w:lang w:val="lv-LV"/>
        </w:rPr>
        <w:t xml:space="preserve">vai ir plānota </w:t>
      </w:r>
      <w:r w:rsidR="00F47ADA" w:rsidRPr="00707120">
        <w:rPr>
          <w:b/>
          <w:bCs/>
          <w:lang w:val="lv-LV"/>
        </w:rPr>
        <w:t>vakcinācija</w:t>
      </w:r>
      <w:r w:rsidR="00F47ADA" w:rsidRPr="006A3A4F">
        <w:rPr>
          <w:bCs/>
          <w:lang w:val="lv-LV"/>
        </w:rPr>
        <w:t>,</w:t>
      </w:r>
      <w:r w:rsidR="00F47ADA" w:rsidRPr="006A3A4F">
        <w:rPr>
          <w:lang w:val="lv-LV"/>
        </w:rPr>
        <w:t xml:space="preserve"> pastāstiet to ārstam. Visiem pacientiem pirms RoActemra lietošanas sākuma jābūt saņēmušiem visas paredzētās vakcīnas. RoActemra lietošanas laikā nedrīkst izmantot noteikta veida vakcīnas.</w:t>
      </w:r>
    </w:p>
    <w:p w14:paraId="5C93A7D8" w14:textId="77777777" w:rsidR="00F47ADA" w:rsidRDefault="00F47ADA" w:rsidP="00FC6A83">
      <w:pPr>
        <w:ind w:left="567" w:hanging="567"/>
        <w:rPr>
          <w:szCs w:val="22"/>
          <w:lang w:val="lv-LV"/>
        </w:rPr>
      </w:pPr>
    </w:p>
    <w:p w14:paraId="279AF691" w14:textId="3F043FF9" w:rsidR="00F47ADA" w:rsidRPr="006A3A4F" w:rsidRDefault="00CF30FF">
      <w:pPr>
        <w:pStyle w:val="ListParagraph"/>
        <w:ind w:left="567" w:hanging="567"/>
        <w:rPr>
          <w:szCs w:val="22"/>
          <w:lang w:val="lv-LV"/>
        </w:rPr>
        <w:pPrChange w:id="1794" w:author="Author">
          <w:pPr>
            <w:pStyle w:val="ListParagraph"/>
            <w:keepNext/>
            <w:keepLines/>
            <w:ind w:left="567" w:hanging="567"/>
          </w:pPr>
        </w:pPrChange>
      </w:pPr>
      <w:r>
        <w:rPr>
          <w:lang w:val="nb-NO"/>
        </w:rPr>
        <w:sym w:font="Symbol" w:char="F0B7"/>
      </w:r>
      <w:r>
        <w:rPr>
          <w:lang w:val="nb-NO"/>
        </w:rPr>
        <w:tab/>
      </w:r>
      <w:r w:rsidR="00F47ADA" w:rsidRPr="006A3A4F">
        <w:rPr>
          <w:lang w:val="lv-LV"/>
        </w:rPr>
        <w:t xml:space="preserve">Ja Jums ir </w:t>
      </w:r>
      <w:r w:rsidR="00F47ADA" w:rsidRPr="006A3A4F">
        <w:rPr>
          <w:b/>
          <w:lang w:val="lv-LV"/>
        </w:rPr>
        <w:t>vēzis</w:t>
      </w:r>
      <w:r w:rsidR="00F47ADA" w:rsidRPr="006A3A4F">
        <w:rPr>
          <w:lang w:val="lv-LV"/>
        </w:rPr>
        <w:t>, pastāstiet par to savam ārstam. Jūsu ārsts lems, vai Jūs joprojām drīkstat lietot RoActemra.</w:t>
      </w:r>
    </w:p>
    <w:p w14:paraId="7EF1DE21" w14:textId="77777777" w:rsidR="00F47ADA" w:rsidRDefault="00F47ADA" w:rsidP="00FC6A83">
      <w:pPr>
        <w:ind w:left="567" w:hanging="567"/>
        <w:rPr>
          <w:szCs w:val="22"/>
          <w:lang w:val="lv-LV"/>
        </w:rPr>
      </w:pPr>
    </w:p>
    <w:p w14:paraId="1FE3A6CE" w14:textId="5968035B" w:rsidR="00F47ADA" w:rsidRPr="005043A0" w:rsidRDefault="00CF30FF">
      <w:pPr>
        <w:pStyle w:val="ListParagraph"/>
        <w:ind w:left="567" w:hanging="567"/>
        <w:rPr>
          <w:szCs w:val="22"/>
          <w:lang w:val="lv-LV"/>
        </w:rPr>
        <w:pPrChange w:id="1795" w:author="Author">
          <w:pPr>
            <w:pStyle w:val="ListParagraph"/>
            <w:keepNext/>
            <w:keepLines/>
            <w:ind w:left="567" w:hanging="567"/>
          </w:pPr>
        </w:pPrChange>
      </w:pPr>
      <w:r>
        <w:rPr>
          <w:lang w:val="nb-NO"/>
        </w:rPr>
        <w:sym w:font="Symbol" w:char="F0B7"/>
      </w:r>
      <w:r>
        <w:rPr>
          <w:lang w:val="nb-NO"/>
        </w:rPr>
        <w:tab/>
      </w:r>
      <w:r w:rsidR="00F47ADA" w:rsidRPr="005043A0">
        <w:rPr>
          <w:lang w:val="lv-LV"/>
        </w:rPr>
        <w:t xml:space="preserve">Ja Jums ir </w:t>
      </w:r>
      <w:r w:rsidR="00F47ADA" w:rsidRPr="005043A0">
        <w:rPr>
          <w:b/>
          <w:lang w:val="lv-LV"/>
        </w:rPr>
        <w:t>sirds–asinsvadu sistēmas slimību riska faktori</w:t>
      </w:r>
      <w:r w:rsidR="00F47ADA" w:rsidRPr="005043A0">
        <w:rPr>
          <w:lang w:val="lv-LV"/>
        </w:rPr>
        <w:t>, piemēram, paaugstināts asinsspiediens vai paaugstināts holesterīna līmenis, pastāstiet par to savam ārstam. RoActemra lietošanas laikā šie faktori ir jākontrolē.</w:t>
      </w:r>
    </w:p>
    <w:p w14:paraId="7B82E867" w14:textId="77777777" w:rsidR="00F47ADA" w:rsidRDefault="00F47ADA" w:rsidP="00707120">
      <w:pPr>
        <w:ind w:left="567" w:hanging="567"/>
        <w:rPr>
          <w:szCs w:val="22"/>
          <w:lang w:val="lv-LV"/>
        </w:rPr>
      </w:pPr>
    </w:p>
    <w:p w14:paraId="681AA0C4" w14:textId="1D879FAD" w:rsidR="00F47ADA" w:rsidRPr="006A3A4F" w:rsidRDefault="00CF30FF" w:rsidP="00707120">
      <w:pPr>
        <w:pStyle w:val="ListParagraph"/>
        <w:ind w:left="567" w:hanging="567"/>
        <w:rPr>
          <w:szCs w:val="22"/>
          <w:lang w:val="lv-LV"/>
        </w:rPr>
      </w:pPr>
      <w:r>
        <w:rPr>
          <w:lang w:val="nb-NO"/>
        </w:rPr>
        <w:sym w:font="Symbol" w:char="F0B7"/>
      </w:r>
      <w:r>
        <w:rPr>
          <w:lang w:val="nb-NO"/>
        </w:rPr>
        <w:tab/>
      </w:r>
      <w:r w:rsidR="00F47ADA" w:rsidRPr="006A3A4F">
        <w:rPr>
          <w:szCs w:val="22"/>
          <w:lang w:val="lv-LV"/>
        </w:rPr>
        <w:t xml:space="preserve">Ja Jums ir vidēji smagi līdz smagi </w:t>
      </w:r>
      <w:r w:rsidR="00F47ADA" w:rsidRPr="006A3A4F">
        <w:rPr>
          <w:b/>
          <w:szCs w:val="22"/>
          <w:lang w:val="lv-LV"/>
        </w:rPr>
        <w:t>nieru darbības traucējumi</w:t>
      </w:r>
      <w:r w:rsidR="00F47ADA" w:rsidRPr="006A3A4F">
        <w:rPr>
          <w:szCs w:val="22"/>
          <w:lang w:val="lv-LV"/>
        </w:rPr>
        <w:t>, Jūsu ārsts Jūs novēros.</w:t>
      </w:r>
    </w:p>
    <w:p w14:paraId="60966807" w14:textId="77777777" w:rsidR="00F47ADA" w:rsidRDefault="00F47ADA" w:rsidP="00707120">
      <w:pPr>
        <w:ind w:left="567" w:hanging="567"/>
        <w:rPr>
          <w:szCs w:val="22"/>
          <w:lang w:val="lv-LV"/>
        </w:rPr>
      </w:pPr>
    </w:p>
    <w:p w14:paraId="0521B2CF" w14:textId="261EE90C" w:rsidR="00F47ADA" w:rsidRPr="006A3A4F" w:rsidRDefault="00CF30FF" w:rsidP="00707120">
      <w:pPr>
        <w:pStyle w:val="ListParagraph"/>
        <w:ind w:left="567" w:hanging="567"/>
        <w:rPr>
          <w:szCs w:val="22"/>
          <w:lang w:val="lv-LV"/>
        </w:rPr>
      </w:pPr>
      <w:r>
        <w:rPr>
          <w:lang w:val="nb-NO"/>
        </w:rPr>
        <w:sym w:font="Symbol" w:char="F0B7"/>
      </w:r>
      <w:r>
        <w:rPr>
          <w:lang w:val="nb-NO"/>
        </w:rPr>
        <w:tab/>
      </w:r>
      <w:r w:rsidR="00F47ADA" w:rsidRPr="006A3A4F">
        <w:rPr>
          <w:szCs w:val="22"/>
          <w:lang w:val="lv-LV"/>
        </w:rPr>
        <w:t xml:space="preserve">Ja Jums ir </w:t>
      </w:r>
      <w:r w:rsidR="00F47ADA" w:rsidRPr="00707120">
        <w:rPr>
          <w:b/>
          <w:bCs/>
          <w:szCs w:val="22"/>
          <w:lang w:val="lv-LV"/>
        </w:rPr>
        <w:t>nepārejošas galvassāpes</w:t>
      </w:r>
      <w:r w:rsidR="00F47ADA" w:rsidRPr="006A3A4F">
        <w:rPr>
          <w:szCs w:val="22"/>
          <w:lang w:val="lv-LV"/>
        </w:rPr>
        <w:t>.</w:t>
      </w:r>
    </w:p>
    <w:p w14:paraId="78D54FA4" w14:textId="77777777" w:rsidR="00F47ADA" w:rsidRDefault="00F47ADA" w:rsidP="00F47ADA">
      <w:pPr>
        <w:ind w:right="-2"/>
        <w:rPr>
          <w:szCs w:val="22"/>
          <w:lang w:val="lv-LV"/>
        </w:rPr>
      </w:pPr>
    </w:p>
    <w:p w14:paraId="2A5D395F" w14:textId="4156415A" w:rsidR="00F47ADA" w:rsidRDefault="00F47ADA" w:rsidP="00F47ADA">
      <w:pPr>
        <w:ind w:right="-2"/>
        <w:rPr>
          <w:b/>
          <w:bCs/>
          <w:lang w:val="lv-LV"/>
        </w:rPr>
      </w:pPr>
      <w:r>
        <w:rPr>
          <w:szCs w:val="22"/>
          <w:lang w:val="lv-LV"/>
        </w:rPr>
        <w:t>Pirms RoActemra lietošanas sākuma ārsts Jums veiks asins analīzes, lai noteiktu, vai Jums nav mazs balto asins šūnu skaits, mazs trombocītu skaits vai paaugstināts aknu enzīmu līmenis.</w:t>
      </w:r>
    </w:p>
    <w:p w14:paraId="556EAF7A" w14:textId="77777777" w:rsidR="00F47ADA" w:rsidRPr="005531FC" w:rsidRDefault="00F47ADA" w:rsidP="00F47ADA">
      <w:pPr>
        <w:rPr>
          <w:b/>
          <w:bCs/>
          <w:szCs w:val="22"/>
          <w:lang w:val="lv-LV"/>
        </w:rPr>
      </w:pPr>
    </w:p>
    <w:p w14:paraId="124EBD7B" w14:textId="77777777" w:rsidR="00F47ADA" w:rsidRPr="005531FC" w:rsidRDefault="00F47ADA" w:rsidP="00F47ADA">
      <w:pPr>
        <w:rPr>
          <w:szCs w:val="22"/>
          <w:lang w:val="lv-LV"/>
        </w:rPr>
      </w:pPr>
      <w:r w:rsidRPr="005531FC">
        <w:rPr>
          <w:b/>
          <w:bCs/>
          <w:szCs w:val="22"/>
          <w:lang w:val="lv-LV"/>
        </w:rPr>
        <w:t>Bērni un pusaudži</w:t>
      </w:r>
    </w:p>
    <w:p w14:paraId="71C7C935" w14:textId="0ADF46B5" w:rsidR="00F47ADA" w:rsidRDefault="00F47ADA" w:rsidP="00F47ADA">
      <w:pPr>
        <w:autoSpaceDE w:val="0"/>
        <w:rPr>
          <w:lang w:val="lv-LV"/>
        </w:rPr>
      </w:pPr>
      <w:r>
        <w:rPr>
          <w:szCs w:val="22"/>
          <w:lang w:val="lv-LV"/>
        </w:rPr>
        <w:t xml:space="preserve">RoActemra subkutānā injekcija nav ieteicama lietošanai bērniem līdz </w:t>
      </w:r>
      <w:r w:rsidRPr="0059465B">
        <w:rPr>
          <w:szCs w:val="22"/>
          <w:lang w:val="lv-LV"/>
        </w:rPr>
        <w:t>1</w:t>
      </w:r>
      <w:r>
        <w:rPr>
          <w:szCs w:val="22"/>
          <w:lang w:val="lv-LV"/>
        </w:rPr>
        <w:t> gada vecumam.</w:t>
      </w:r>
      <w:r w:rsidRPr="00A2445C">
        <w:rPr>
          <w:lang w:val="lv-LV"/>
        </w:rPr>
        <w:t xml:space="preserve"> RoActemr</w:t>
      </w:r>
      <w:r>
        <w:rPr>
          <w:lang w:val="lv-LV"/>
        </w:rPr>
        <w:t>a nedrīkst lietot bērniem ar sJIA</w:t>
      </w:r>
      <w:r w:rsidRPr="00A2445C">
        <w:rPr>
          <w:lang w:val="lv-LV"/>
        </w:rPr>
        <w:t>, kuru ķermeņa masa ir mazāka par 10</w:t>
      </w:r>
      <w:r>
        <w:rPr>
          <w:lang w:val="lv-LV"/>
        </w:rPr>
        <w:t> </w:t>
      </w:r>
      <w:r w:rsidRPr="00A2445C">
        <w:rPr>
          <w:lang w:val="lv-LV"/>
        </w:rPr>
        <w:t>kg.</w:t>
      </w:r>
    </w:p>
    <w:p w14:paraId="187EF8EE" w14:textId="77777777" w:rsidR="00F47ADA" w:rsidRDefault="00F47ADA" w:rsidP="00F47ADA">
      <w:pPr>
        <w:autoSpaceDE w:val="0"/>
        <w:rPr>
          <w:szCs w:val="22"/>
          <w:lang w:val="lv-LV"/>
        </w:rPr>
      </w:pPr>
    </w:p>
    <w:p w14:paraId="5A2093E8" w14:textId="77777777" w:rsidR="00F47ADA" w:rsidRDefault="00F47ADA" w:rsidP="00F47ADA">
      <w:pPr>
        <w:rPr>
          <w:szCs w:val="22"/>
          <w:lang w:val="lv-LV"/>
        </w:rPr>
      </w:pPr>
      <w:r w:rsidRPr="00A2445C">
        <w:rPr>
          <w:lang w:val="lv-LV"/>
        </w:rPr>
        <w:t xml:space="preserve">Ja bērnam anamnēzē ir </w:t>
      </w:r>
      <w:r w:rsidRPr="00A2445C">
        <w:rPr>
          <w:b/>
          <w:i/>
          <w:lang w:val="lv-LV"/>
        </w:rPr>
        <w:t xml:space="preserve">makrofāgu </w:t>
      </w:r>
      <w:r w:rsidRPr="00DD1CEF">
        <w:rPr>
          <w:b/>
          <w:i/>
          <w:lang w:val="lv-LV"/>
        </w:rPr>
        <w:t>aktivācijas</w:t>
      </w:r>
      <w:r w:rsidRPr="00A2445C">
        <w:rPr>
          <w:b/>
          <w:i/>
          <w:lang w:val="lv-LV"/>
        </w:rPr>
        <w:t xml:space="preserve"> sindroms</w:t>
      </w:r>
      <w:r w:rsidRPr="00A2445C">
        <w:rPr>
          <w:lang w:val="lv-LV"/>
        </w:rPr>
        <w:t xml:space="preserve"> (noteiktu asins šūnu aktivizēšanās un nekontrolēta proliferācija),</w:t>
      </w:r>
      <w:r w:rsidRPr="00A2445C">
        <w:rPr>
          <w:b/>
          <w:i/>
          <w:lang w:val="lv-LV"/>
        </w:rPr>
        <w:t xml:space="preserve"> </w:t>
      </w:r>
      <w:r w:rsidRPr="00A2445C">
        <w:rPr>
          <w:lang w:val="lv-LV"/>
        </w:rPr>
        <w:t xml:space="preserve">informējiet ārstu. </w:t>
      </w:r>
      <w:r w:rsidRPr="00E1075D">
        <w:rPr>
          <w:lang w:val="lv-LV"/>
        </w:rPr>
        <w:t>Ārstam vajadzēs lemt, vai bērnam tomēr var lietot RoActemra.</w:t>
      </w:r>
      <w:r>
        <w:rPr>
          <w:szCs w:val="22"/>
          <w:lang w:val="lv-LV"/>
        </w:rPr>
        <w:t xml:space="preserve"> </w:t>
      </w:r>
    </w:p>
    <w:p w14:paraId="2ED71621" w14:textId="77777777" w:rsidR="00F47ADA" w:rsidRDefault="00F47ADA" w:rsidP="00F47ADA">
      <w:pPr>
        <w:keepNext/>
        <w:keepLines/>
        <w:rPr>
          <w:b/>
          <w:lang w:val="lv-LV"/>
        </w:rPr>
      </w:pPr>
    </w:p>
    <w:p w14:paraId="0C78CA94" w14:textId="77777777" w:rsidR="00F47ADA" w:rsidRPr="005531FC" w:rsidRDefault="00F47ADA" w:rsidP="00F47ADA">
      <w:pPr>
        <w:keepNext/>
        <w:keepLines/>
        <w:rPr>
          <w:szCs w:val="22"/>
          <w:lang w:val="lv-LV"/>
        </w:rPr>
      </w:pPr>
      <w:r w:rsidRPr="005531FC">
        <w:rPr>
          <w:b/>
          <w:bCs/>
          <w:szCs w:val="22"/>
          <w:lang w:val="lv-LV"/>
        </w:rPr>
        <w:t>Citas zāles un RoActemra</w:t>
      </w:r>
    </w:p>
    <w:p w14:paraId="11005A66" w14:textId="77777777" w:rsidR="00F47ADA" w:rsidRDefault="00F47ADA" w:rsidP="00F47ADA">
      <w:pPr>
        <w:keepNext/>
        <w:keepLines/>
        <w:rPr>
          <w:szCs w:val="22"/>
          <w:lang w:val="lv-LV"/>
        </w:rPr>
      </w:pPr>
      <w:r>
        <w:rPr>
          <w:szCs w:val="22"/>
          <w:lang w:val="lv-LV"/>
        </w:rPr>
        <w:t xml:space="preserve">Pastāstiet ārstam par jebkurām citām zālēm, kuras lietojat vai esat lietojies pēdējā laikā. RoActemra var ietekmēt dažu zāļu iedarbības veidu un var būt jāpielāgo šo zāļu deva. Ja lietojat zāles, kuras satur kādu no turpmāk minētajām aktīvajām vielām, </w:t>
      </w:r>
      <w:r w:rsidRPr="00A9142C">
        <w:rPr>
          <w:b/>
          <w:szCs w:val="22"/>
          <w:lang w:val="lv-LV"/>
        </w:rPr>
        <w:t>informējiet par to ārstu</w:t>
      </w:r>
      <w:r>
        <w:rPr>
          <w:szCs w:val="22"/>
          <w:lang w:val="lv-LV"/>
        </w:rPr>
        <w:t>:</w:t>
      </w:r>
    </w:p>
    <w:p w14:paraId="5598AB3C" w14:textId="7B376D79" w:rsidR="00F47ADA" w:rsidRPr="00707120" w:rsidRDefault="00CF30FF" w:rsidP="00707120">
      <w:pPr>
        <w:pStyle w:val="ListParagraph"/>
        <w:keepNext/>
        <w:keepLines/>
        <w:ind w:left="567" w:hanging="567"/>
        <w:rPr>
          <w:lang w:val="lv-LV" w:eastAsia="th-TH" w:bidi="th-TH"/>
        </w:rPr>
      </w:pPr>
      <w:r>
        <w:rPr>
          <w:lang w:val="nb-NO"/>
        </w:rPr>
        <w:sym w:font="Symbol" w:char="F0B7"/>
      </w:r>
      <w:r>
        <w:rPr>
          <w:lang w:val="nb-NO"/>
        </w:rPr>
        <w:tab/>
      </w:r>
      <w:r w:rsidR="00F47ADA" w:rsidRPr="006A3A4F">
        <w:rPr>
          <w:rFonts w:eastAsia="SimSun"/>
          <w:lang w:val="lv-LV" w:eastAsia="th-TH" w:bidi="th-TH"/>
        </w:rPr>
        <w:t>metilprednizolonu, deksametazonu, ko lieto iekaisuma mazināšanai;</w:t>
      </w:r>
    </w:p>
    <w:p w14:paraId="5CEDEEC4" w14:textId="120FBE33" w:rsidR="00F47ADA" w:rsidRPr="00707120" w:rsidRDefault="00CF30FF" w:rsidP="00707120">
      <w:pPr>
        <w:pStyle w:val="ListParagraph"/>
        <w:keepNext/>
        <w:keepLines/>
        <w:ind w:left="567" w:hanging="567"/>
        <w:rPr>
          <w:lang w:val="lv-LV" w:eastAsia="th-TH" w:bidi="th-TH"/>
        </w:rPr>
      </w:pPr>
      <w:r>
        <w:rPr>
          <w:lang w:val="nb-NO"/>
        </w:rPr>
        <w:sym w:font="Symbol" w:char="F0B7"/>
      </w:r>
      <w:r>
        <w:rPr>
          <w:lang w:val="nb-NO"/>
        </w:rPr>
        <w:tab/>
      </w:r>
      <w:r w:rsidR="00F47ADA" w:rsidRPr="006A3A4F">
        <w:rPr>
          <w:rFonts w:eastAsia="SimSun"/>
          <w:lang w:val="lv-LV" w:eastAsia="th-TH" w:bidi="th-TH"/>
        </w:rPr>
        <w:t>simvastatīnu vai atorvastatīnu, ko lieto holesterīna līmeņa pazemināšanai;</w:t>
      </w:r>
    </w:p>
    <w:p w14:paraId="2EEDCA78" w14:textId="055CC6F6" w:rsidR="00F47ADA" w:rsidRPr="00707120" w:rsidRDefault="00CF30FF" w:rsidP="00707120">
      <w:pPr>
        <w:pStyle w:val="ListParagraph"/>
        <w:keepNext/>
        <w:keepLines/>
        <w:ind w:left="567" w:hanging="567"/>
        <w:rPr>
          <w:lang w:val="lv-LV" w:eastAsia="th-TH" w:bidi="th-TH"/>
        </w:rPr>
      </w:pPr>
      <w:r>
        <w:rPr>
          <w:lang w:val="nb-NO"/>
        </w:rPr>
        <w:sym w:font="Symbol" w:char="F0B7"/>
      </w:r>
      <w:r>
        <w:rPr>
          <w:lang w:val="nb-NO"/>
        </w:rPr>
        <w:tab/>
      </w:r>
      <w:r w:rsidR="00F47ADA" w:rsidRPr="006A3A4F">
        <w:rPr>
          <w:rFonts w:eastAsia="SimSun"/>
          <w:lang w:val="lv-LV" w:eastAsia="th-TH" w:bidi="th-TH"/>
        </w:rPr>
        <w:t>kalcija kanālu blokatorus (piemēram, amlodipīnu), ko lieto paaugstināta asinsspiediena ārstēšanai;</w:t>
      </w:r>
    </w:p>
    <w:p w14:paraId="737D1B55" w14:textId="47E14720" w:rsidR="00F47ADA" w:rsidRPr="00707120" w:rsidRDefault="00CF30FF" w:rsidP="00707120">
      <w:pPr>
        <w:pStyle w:val="ListParagraph"/>
        <w:keepNext/>
        <w:keepLines/>
        <w:ind w:left="567" w:hanging="567"/>
        <w:rPr>
          <w:lang w:val="lv-LV" w:eastAsia="th-TH" w:bidi="th-TH"/>
        </w:rPr>
      </w:pPr>
      <w:r>
        <w:rPr>
          <w:lang w:val="nb-NO"/>
        </w:rPr>
        <w:sym w:font="Symbol" w:char="F0B7"/>
      </w:r>
      <w:r>
        <w:rPr>
          <w:lang w:val="nb-NO"/>
        </w:rPr>
        <w:tab/>
      </w:r>
      <w:r w:rsidR="00F47ADA" w:rsidRPr="006A3A4F">
        <w:rPr>
          <w:rFonts w:eastAsia="SimSun"/>
          <w:lang w:val="lv-LV" w:eastAsia="th-TH" w:bidi="th-TH"/>
        </w:rPr>
        <w:t>teofilīnu, ko lieto astmas ārstēšanai;</w:t>
      </w:r>
    </w:p>
    <w:p w14:paraId="218E7F7F" w14:textId="4A2EACF2" w:rsidR="00F47ADA" w:rsidRPr="00F939AB" w:rsidRDefault="00CF30FF" w:rsidP="00707120">
      <w:pPr>
        <w:pStyle w:val="ListParagraph"/>
        <w:keepNext/>
        <w:keepLines/>
        <w:ind w:left="567" w:hanging="567"/>
        <w:rPr>
          <w:rFonts w:ascii="Symbol" w:hAnsi="Symbol" w:cs="Symbol"/>
          <w:lang w:val="lv-LV" w:eastAsia="th-TH" w:bidi="th-TH"/>
        </w:rPr>
      </w:pPr>
      <w:r>
        <w:rPr>
          <w:lang w:val="nb-NO"/>
        </w:rPr>
        <w:sym w:font="Symbol" w:char="F0B7"/>
      </w:r>
      <w:r>
        <w:rPr>
          <w:lang w:val="nb-NO"/>
        </w:rPr>
        <w:tab/>
      </w:r>
      <w:r w:rsidR="00F47ADA" w:rsidRPr="006A3A4F">
        <w:rPr>
          <w:rFonts w:eastAsia="SimSun"/>
          <w:lang w:val="lv-LV" w:eastAsia="th-TH" w:bidi="th-TH"/>
        </w:rPr>
        <w:t>varfarīnu vai fenprokumonu, ko lieto kā asinis šķidrinošus līdzekļus;</w:t>
      </w:r>
    </w:p>
    <w:p w14:paraId="72BDE91A" w14:textId="4C4F8589" w:rsidR="00F47ADA" w:rsidRPr="00707120" w:rsidRDefault="00CF30FF" w:rsidP="00707120">
      <w:pPr>
        <w:pStyle w:val="ListParagraph"/>
        <w:ind w:left="567" w:hanging="567"/>
        <w:rPr>
          <w:lang w:val="lv-LV" w:eastAsia="th-TH" w:bidi="th-TH"/>
        </w:rPr>
      </w:pPr>
      <w:r>
        <w:rPr>
          <w:lang w:val="nb-NO"/>
        </w:rPr>
        <w:sym w:font="Symbol" w:char="F0B7"/>
      </w:r>
      <w:r>
        <w:rPr>
          <w:lang w:val="nb-NO"/>
        </w:rPr>
        <w:tab/>
      </w:r>
      <w:r w:rsidR="00F47ADA" w:rsidRPr="006A3A4F">
        <w:rPr>
          <w:rFonts w:eastAsia="SimSun"/>
          <w:lang w:val="lv-LV" w:eastAsia="th-TH" w:bidi="th-TH"/>
        </w:rPr>
        <w:t>fenitoīnu, ko lieto krampju lēkmju ārstēšanai;</w:t>
      </w:r>
    </w:p>
    <w:p w14:paraId="7AA46C99" w14:textId="488C76D7" w:rsidR="00F47ADA" w:rsidRPr="00707120" w:rsidRDefault="00CF30FF" w:rsidP="00707120">
      <w:pPr>
        <w:pStyle w:val="ListParagraph"/>
        <w:ind w:left="567" w:hanging="567"/>
        <w:rPr>
          <w:lang w:val="lv-LV" w:eastAsia="th-TH" w:bidi="th-TH"/>
        </w:rPr>
      </w:pPr>
      <w:r>
        <w:rPr>
          <w:lang w:val="nb-NO"/>
        </w:rPr>
        <w:sym w:font="Symbol" w:char="F0B7"/>
      </w:r>
      <w:r>
        <w:rPr>
          <w:lang w:val="nb-NO"/>
        </w:rPr>
        <w:tab/>
      </w:r>
      <w:r w:rsidR="00F47ADA" w:rsidRPr="006A3A4F">
        <w:rPr>
          <w:rFonts w:eastAsia="SimSun"/>
          <w:lang w:val="lv-LV" w:eastAsia="th-TH" w:bidi="th-TH"/>
        </w:rPr>
        <w:t>ciklosporīnu, ko lieto Jūsu imūnās sistēmas darbības nomākšanai pēc orgānu transplantācijas;</w:t>
      </w:r>
    </w:p>
    <w:p w14:paraId="10E727FD" w14:textId="5D8B7373" w:rsidR="00F47ADA" w:rsidRPr="006A3A4F" w:rsidRDefault="00CF30FF" w:rsidP="00707120">
      <w:pPr>
        <w:pStyle w:val="ListParagraph"/>
        <w:ind w:left="567" w:hanging="567"/>
        <w:rPr>
          <w:szCs w:val="22"/>
          <w:lang w:val="lv-LV"/>
        </w:rPr>
      </w:pPr>
      <w:r>
        <w:rPr>
          <w:lang w:val="nb-NO"/>
        </w:rPr>
        <w:sym w:font="Symbol" w:char="F0B7"/>
      </w:r>
      <w:r>
        <w:rPr>
          <w:lang w:val="nb-NO"/>
        </w:rPr>
        <w:tab/>
      </w:r>
      <w:r w:rsidR="00F47ADA" w:rsidRPr="006A3A4F">
        <w:rPr>
          <w:rFonts w:eastAsia="SimSun"/>
          <w:lang w:val="lv-LV" w:eastAsia="th-TH" w:bidi="th-TH"/>
        </w:rPr>
        <w:t>benzodiazepīnus (piemēram, temazepāmu), ko lieto trauksmes mazināšanai.</w:t>
      </w:r>
    </w:p>
    <w:p w14:paraId="0EF5D8E0" w14:textId="77777777" w:rsidR="00F47ADA" w:rsidRDefault="00F47ADA" w:rsidP="00F47ADA">
      <w:pPr>
        <w:ind w:right="-2"/>
        <w:rPr>
          <w:szCs w:val="22"/>
          <w:lang w:val="lv-LV"/>
        </w:rPr>
      </w:pPr>
    </w:p>
    <w:p w14:paraId="088DB330" w14:textId="77777777" w:rsidR="00F47ADA" w:rsidRDefault="00F47ADA" w:rsidP="00F47ADA">
      <w:pPr>
        <w:ind w:right="-2"/>
        <w:rPr>
          <w:szCs w:val="22"/>
          <w:lang w:val="lv-LV"/>
        </w:rPr>
      </w:pPr>
      <w:r>
        <w:rPr>
          <w:szCs w:val="22"/>
          <w:lang w:val="lv-LV"/>
        </w:rPr>
        <w:t>Tā kā trūkst klīniskās pieredzes, RoActemra nav ieteicams lietot vienlaikus ar citām bioloģiskām zālēm, kuras izmanto RA, sJIA, pJIA vai GCA ārstēšanai.</w:t>
      </w:r>
    </w:p>
    <w:p w14:paraId="3F1FF98D" w14:textId="77777777" w:rsidR="00F47ADA" w:rsidRDefault="00F47ADA" w:rsidP="00F47ADA">
      <w:pPr>
        <w:ind w:right="-2"/>
        <w:rPr>
          <w:szCs w:val="22"/>
          <w:lang w:val="lv-LV"/>
        </w:rPr>
      </w:pPr>
    </w:p>
    <w:p w14:paraId="48B56A24" w14:textId="77777777" w:rsidR="00F47ADA" w:rsidRPr="005531FC" w:rsidRDefault="00F47ADA" w:rsidP="00F47ADA">
      <w:pPr>
        <w:keepNext/>
        <w:keepLines/>
        <w:rPr>
          <w:b/>
          <w:szCs w:val="22"/>
          <w:lang w:val="lv-LV"/>
        </w:rPr>
      </w:pPr>
      <w:r w:rsidRPr="005531FC">
        <w:rPr>
          <w:b/>
          <w:szCs w:val="22"/>
          <w:lang w:val="lv-LV"/>
        </w:rPr>
        <w:t>Grūtniecība</w:t>
      </w:r>
      <w:r>
        <w:rPr>
          <w:b/>
          <w:szCs w:val="22"/>
          <w:lang w:val="lv-LV"/>
        </w:rPr>
        <w:t>,</w:t>
      </w:r>
      <w:r w:rsidRPr="005531FC">
        <w:rPr>
          <w:b/>
          <w:szCs w:val="22"/>
          <w:lang w:val="lv-LV"/>
        </w:rPr>
        <w:t xml:space="preserve"> barošana ar krūti</w:t>
      </w:r>
      <w:r>
        <w:rPr>
          <w:b/>
          <w:szCs w:val="22"/>
          <w:lang w:val="lv-LV"/>
        </w:rPr>
        <w:t xml:space="preserve"> un fertilitāte</w:t>
      </w:r>
    </w:p>
    <w:p w14:paraId="72B5D1B3" w14:textId="77777777" w:rsidR="00F47ADA" w:rsidRDefault="00F47ADA" w:rsidP="00F47ADA">
      <w:pPr>
        <w:keepNext/>
        <w:keepLines/>
        <w:rPr>
          <w:b/>
          <w:iCs/>
          <w:szCs w:val="22"/>
          <w:lang w:val="lv-LV"/>
        </w:rPr>
      </w:pPr>
    </w:p>
    <w:p w14:paraId="443AAC13" w14:textId="77777777" w:rsidR="00F47ADA" w:rsidRDefault="00F47ADA" w:rsidP="00F47ADA">
      <w:pPr>
        <w:rPr>
          <w:iCs/>
          <w:szCs w:val="22"/>
          <w:lang w:val="lv-LV"/>
        </w:rPr>
      </w:pPr>
      <w:r>
        <w:rPr>
          <w:b/>
          <w:iCs/>
          <w:szCs w:val="22"/>
          <w:lang w:val="lv-LV"/>
        </w:rPr>
        <w:t>RoActemra nedrīkst lietot grūtniecības laikā</w:t>
      </w:r>
      <w:r>
        <w:rPr>
          <w:iCs/>
          <w:szCs w:val="22"/>
          <w:lang w:val="lv-LV"/>
        </w:rPr>
        <w:t xml:space="preserve">, ja vien tas nav absolūti nepieciešams. </w:t>
      </w:r>
      <w:r>
        <w:rPr>
          <w:szCs w:val="22"/>
          <w:lang w:val="lv-LV"/>
        </w:rPr>
        <w:t xml:space="preserve">Ja Jūs esat grūtniece, ja domājat, ka Jums varētu būt grūtniecība, vai plānojat grūtniecību, pirms šo zāļu lietošanas, </w:t>
      </w:r>
      <w:r>
        <w:rPr>
          <w:iCs/>
          <w:szCs w:val="22"/>
          <w:lang w:val="lv-LV"/>
        </w:rPr>
        <w:t xml:space="preserve">konsultējieties ar ārstu. </w:t>
      </w:r>
    </w:p>
    <w:p w14:paraId="19E82C0C" w14:textId="77777777" w:rsidR="00F47ADA" w:rsidRDefault="00F47ADA" w:rsidP="00F47ADA">
      <w:pPr>
        <w:rPr>
          <w:iCs/>
          <w:szCs w:val="22"/>
          <w:lang w:val="lv-LV"/>
        </w:rPr>
      </w:pPr>
    </w:p>
    <w:p w14:paraId="7AEE8559" w14:textId="3182E646" w:rsidR="00F47ADA" w:rsidRDefault="00F47ADA" w:rsidP="00F47ADA">
      <w:pPr>
        <w:rPr>
          <w:iCs/>
          <w:szCs w:val="22"/>
          <w:lang w:val="lv-LV"/>
        </w:rPr>
      </w:pPr>
      <w:r>
        <w:rPr>
          <w:b/>
          <w:iCs/>
          <w:szCs w:val="22"/>
          <w:lang w:val="lv-LV"/>
        </w:rPr>
        <w:t xml:space="preserve">Sievietēm </w:t>
      </w:r>
      <w:r w:rsidR="0081178F">
        <w:rPr>
          <w:b/>
          <w:iCs/>
          <w:szCs w:val="22"/>
          <w:lang w:val="lv-LV"/>
        </w:rPr>
        <w:t xml:space="preserve">ar </w:t>
      </w:r>
      <w:r>
        <w:rPr>
          <w:b/>
          <w:iCs/>
          <w:szCs w:val="22"/>
          <w:lang w:val="lv-LV"/>
        </w:rPr>
        <w:t>reproduktīv</w:t>
      </w:r>
      <w:r w:rsidR="0081178F">
        <w:rPr>
          <w:b/>
          <w:iCs/>
          <w:szCs w:val="22"/>
          <w:lang w:val="lv-LV"/>
        </w:rPr>
        <w:t>o potenciālu</w:t>
      </w:r>
      <w:r>
        <w:rPr>
          <w:b/>
          <w:iCs/>
          <w:szCs w:val="22"/>
          <w:lang w:val="lv-LV"/>
        </w:rPr>
        <w:t xml:space="preserve"> jālieto </w:t>
      </w:r>
      <w:r>
        <w:rPr>
          <w:iCs/>
          <w:szCs w:val="22"/>
          <w:lang w:val="lv-LV"/>
        </w:rPr>
        <w:t>efektīva kontracepcijas metode ārstēšanas laikā un līdz 3 mēnešiem pēc tās.</w:t>
      </w:r>
    </w:p>
    <w:p w14:paraId="2B7EA1FE" w14:textId="77777777" w:rsidR="00F47ADA" w:rsidRDefault="00F47ADA" w:rsidP="00F47ADA">
      <w:pPr>
        <w:rPr>
          <w:b/>
          <w:iCs/>
          <w:lang w:val="lv-LV"/>
        </w:rPr>
      </w:pPr>
    </w:p>
    <w:p w14:paraId="34194E16" w14:textId="413FD125" w:rsidR="00F47ADA" w:rsidRDefault="00F47ADA" w:rsidP="00F47ADA">
      <w:pPr>
        <w:rPr>
          <w:lang w:val="lv-LV"/>
        </w:rPr>
      </w:pPr>
      <w:r>
        <w:rPr>
          <w:b/>
          <w:iCs/>
          <w:lang w:val="lv-LV"/>
        </w:rPr>
        <w:t>Ja Jums paredzēts lietot RoActemra</w:t>
      </w:r>
      <w:r>
        <w:rPr>
          <w:iCs/>
          <w:lang w:val="lv-LV"/>
        </w:rPr>
        <w:t xml:space="preserve">, </w:t>
      </w:r>
      <w:r>
        <w:rPr>
          <w:b/>
          <w:bCs/>
          <w:iCs/>
          <w:lang w:val="lv-LV"/>
        </w:rPr>
        <w:t xml:space="preserve">pārtrauciet bērna barošanu ar krūti </w:t>
      </w:r>
      <w:r>
        <w:rPr>
          <w:iCs/>
          <w:lang w:val="lv-LV"/>
        </w:rPr>
        <w:t xml:space="preserve">un konsultējieties ar ārstu. Pirms bērna barošanas ar krūti uzsākšanas ievērojiet vismaz trīs mēnešu starplaiku pēc pēdējās zāļu lietošanas reizes. </w:t>
      </w:r>
      <w:r>
        <w:rPr>
          <w:szCs w:val="21"/>
          <w:lang w:val="lv-LV"/>
        </w:rPr>
        <w:t xml:space="preserve">Vai </w:t>
      </w:r>
      <w:r>
        <w:rPr>
          <w:iCs/>
          <w:lang w:val="lv-LV"/>
        </w:rPr>
        <w:t>RoActemra</w:t>
      </w:r>
      <w:r>
        <w:rPr>
          <w:szCs w:val="21"/>
          <w:lang w:val="lv-LV"/>
        </w:rPr>
        <w:t xml:space="preserve"> izdalās mātes pienā, nav zināms.</w:t>
      </w:r>
    </w:p>
    <w:p w14:paraId="49D58067" w14:textId="77777777" w:rsidR="00F47ADA" w:rsidRDefault="00F47ADA" w:rsidP="00F47ADA">
      <w:pPr>
        <w:rPr>
          <w:lang w:val="lv-LV"/>
        </w:rPr>
      </w:pPr>
    </w:p>
    <w:p w14:paraId="1EABC42A" w14:textId="77777777" w:rsidR="00F47ADA" w:rsidRDefault="00F47ADA" w:rsidP="00F47ADA">
      <w:pPr>
        <w:rPr>
          <w:lang w:val="lv-LV"/>
        </w:rPr>
      </w:pPr>
      <w:r>
        <w:rPr>
          <w:b/>
          <w:lang w:val="lv-LV"/>
        </w:rPr>
        <w:t>Transportlīdzekļu vadīšana un mehānismu apkalpošana</w:t>
      </w:r>
    </w:p>
    <w:p w14:paraId="3E914371" w14:textId="77777777" w:rsidR="00F47ADA" w:rsidRDefault="00F47ADA" w:rsidP="00F47ADA">
      <w:pPr>
        <w:rPr>
          <w:szCs w:val="22"/>
          <w:lang w:val="lv-LV"/>
        </w:rPr>
      </w:pPr>
      <w:r>
        <w:rPr>
          <w:lang w:val="lv-LV"/>
        </w:rPr>
        <w:t>Šīs zāles var izraisīt reiboni. Ja Jūs jūtaties apreibis, Jūs nedrīkstat vadīt transportlīdzekli vai apkalpot mehānismus.</w:t>
      </w:r>
    </w:p>
    <w:p w14:paraId="65D52B21" w14:textId="77777777" w:rsidR="00F47ADA" w:rsidRDefault="00F47ADA" w:rsidP="00F47ADA">
      <w:pPr>
        <w:rPr>
          <w:szCs w:val="22"/>
          <w:lang w:val="lv-LV"/>
        </w:rPr>
      </w:pPr>
    </w:p>
    <w:p w14:paraId="3DE46C1A" w14:textId="0B770588" w:rsidR="00F47ADA" w:rsidRDefault="00F47ADA" w:rsidP="00F47ADA">
      <w:pPr>
        <w:rPr>
          <w:szCs w:val="22"/>
          <w:lang w:val="lv-LV"/>
        </w:rPr>
      </w:pPr>
      <w:r>
        <w:rPr>
          <w:b/>
          <w:bCs/>
          <w:szCs w:val="22"/>
          <w:lang w:val="lv-LV"/>
        </w:rPr>
        <w:t>RoActemra satur polisorbātu</w:t>
      </w:r>
      <w:ins w:id="1796" w:author="Author">
        <w:r w:rsidR="00FC6A83">
          <w:rPr>
            <w:b/>
            <w:bCs/>
            <w:szCs w:val="22"/>
            <w:lang w:val="lv-LV"/>
          </w:rPr>
          <w:t> </w:t>
        </w:r>
        <w:r w:rsidR="007A7B29">
          <w:rPr>
            <w:b/>
            <w:bCs/>
            <w:szCs w:val="22"/>
            <w:lang w:val="lv-LV"/>
          </w:rPr>
          <w:t>80 (E</w:t>
        </w:r>
        <w:r w:rsidR="00FC6A83">
          <w:rPr>
            <w:b/>
            <w:bCs/>
            <w:szCs w:val="22"/>
            <w:lang w:val="lv-LV"/>
          </w:rPr>
          <w:t> </w:t>
        </w:r>
        <w:r w:rsidR="007A7B29">
          <w:rPr>
            <w:b/>
            <w:bCs/>
            <w:szCs w:val="22"/>
            <w:lang w:val="lv-LV"/>
          </w:rPr>
          <w:t>433)</w:t>
        </w:r>
      </w:ins>
    </w:p>
    <w:p w14:paraId="7F13F67C" w14:textId="17FF7119" w:rsidR="00F47ADA" w:rsidRPr="004A6295" w:rsidRDefault="00F47ADA" w:rsidP="00F47ADA">
      <w:pPr>
        <w:rPr>
          <w:szCs w:val="22"/>
          <w:lang w:val="lv-LV"/>
        </w:rPr>
      </w:pPr>
      <w:r>
        <w:rPr>
          <w:szCs w:val="22"/>
          <w:lang w:val="lv-LV"/>
        </w:rPr>
        <w:t>Šīs zāles satur 0,18 mg polisorbāta 80 katrā 162 mg/0,9 ml pilnšļircē</w:t>
      </w:r>
      <w:r w:rsidR="009175DD">
        <w:rPr>
          <w:szCs w:val="22"/>
          <w:lang w:val="lv-LV"/>
        </w:rPr>
        <w:t>, kas ir līdzvērtīgi</w:t>
      </w:r>
      <w:r>
        <w:rPr>
          <w:szCs w:val="22"/>
          <w:lang w:val="lv-LV"/>
        </w:rPr>
        <w:t xml:space="preserve"> 0,2 mg/ml. Polisorbāts var izraisīt alerģiskas reakcijas. Pastāstiet ārstam, ja Jums vai Jūsu bērnam ir kāda zināma alerģija.</w:t>
      </w:r>
    </w:p>
    <w:p w14:paraId="56D09A2E" w14:textId="77777777" w:rsidR="003C3ED2" w:rsidRDefault="003C3ED2" w:rsidP="00F47ADA">
      <w:pPr>
        <w:ind w:right="-2"/>
        <w:rPr>
          <w:ins w:id="1797" w:author="Author"/>
          <w:szCs w:val="22"/>
          <w:lang w:val="lv-LV"/>
        </w:rPr>
      </w:pPr>
    </w:p>
    <w:p w14:paraId="5AFE0DCB" w14:textId="77777777" w:rsidR="003C0702" w:rsidRDefault="003C0702" w:rsidP="00F47ADA">
      <w:pPr>
        <w:ind w:right="-2"/>
        <w:rPr>
          <w:szCs w:val="22"/>
          <w:lang w:val="lv-LV"/>
        </w:rPr>
      </w:pPr>
    </w:p>
    <w:p w14:paraId="33E64557" w14:textId="77777777" w:rsidR="00F47ADA" w:rsidRPr="00980DD8" w:rsidRDefault="00F47ADA" w:rsidP="00F47ADA">
      <w:pPr>
        <w:ind w:left="567" w:right="-2" w:hanging="567"/>
        <w:rPr>
          <w:b/>
          <w:szCs w:val="22"/>
          <w:lang w:val="lv-LV"/>
        </w:rPr>
      </w:pPr>
      <w:r w:rsidRPr="00980DD8">
        <w:rPr>
          <w:b/>
          <w:szCs w:val="22"/>
          <w:lang w:val="lv-LV"/>
        </w:rPr>
        <w:t>3.</w:t>
      </w:r>
      <w:r w:rsidRPr="00980DD8">
        <w:rPr>
          <w:b/>
          <w:szCs w:val="22"/>
          <w:lang w:val="lv-LV"/>
        </w:rPr>
        <w:tab/>
        <w:t>Kā lietot RoActemra</w:t>
      </w:r>
    </w:p>
    <w:p w14:paraId="23FEDECB" w14:textId="77777777" w:rsidR="00F47ADA" w:rsidRDefault="00F47ADA" w:rsidP="00F47ADA">
      <w:pPr>
        <w:ind w:left="567" w:right="-2" w:hanging="567"/>
        <w:rPr>
          <w:b/>
          <w:szCs w:val="22"/>
          <w:lang w:val="lv-LV"/>
        </w:rPr>
      </w:pPr>
    </w:p>
    <w:p w14:paraId="03B5D077" w14:textId="77777777" w:rsidR="00F47ADA" w:rsidRDefault="00F47ADA" w:rsidP="00F47ADA">
      <w:pPr>
        <w:rPr>
          <w:lang w:val="lv-LV"/>
        </w:rPr>
      </w:pPr>
      <w:r>
        <w:rPr>
          <w:lang w:val="lv-LV"/>
        </w:rPr>
        <w:t xml:space="preserve">Vienmēr lietojiet šīs zāles </w:t>
      </w:r>
      <w:r>
        <w:rPr>
          <w:szCs w:val="22"/>
          <w:lang w:val="lv-LV"/>
        </w:rPr>
        <w:t>tieši tā, kā ārsts,</w:t>
      </w:r>
      <w:r>
        <w:rPr>
          <w:lang w:val="lv-LV"/>
        </w:rPr>
        <w:t xml:space="preserve"> </w:t>
      </w:r>
      <w:r>
        <w:rPr>
          <w:szCs w:val="22"/>
          <w:lang w:val="lv-LV"/>
        </w:rPr>
        <w:t>farmaceits vai medmāsa Jums teikusi.</w:t>
      </w:r>
      <w:r>
        <w:rPr>
          <w:lang w:val="lv-LV"/>
        </w:rPr>
        <w:t xml:space="preserve"> Neskaidrību gadījumā vaicājiet ārstam, farmaceitam vai medmāsai. </w:t>
      </w:r>
    </w:p>
    <w:p w14:paraId="710B19FA" w14:textId="77777777" w:rsidR="00F47ADA" w:rsidRDefault="00F47ADA" w:rsidP="00F47ADA">
      <w:pPr>
        <w:rPr>
          <w:lang w:val="lv-LV"/>
        </w:rPr>
      </w:pPr>
    </w:p>
    <w:p w14:paraId="51F0873A" w14:textId="77777777" w:rsidR="00F47ADA" w:rsidRPr="00D30C7D" w:rsidRDefault="00F47ADA" w:rsidP="00F47ADA">
      <w:pPr>
        <w:rPr>
          <w:szCs w:val="22"/>
          <w:lang w:val="lv-LV"/>
        </w:rPr>
      </w:pPr>
      <w:r w:rsidRPr="00D30C7D">
        <w:rPr>
          <w:lang w:val="lv-LV"/>
        </w:rPr>
        <w:t xml:space="preserve">Šīs zāles </w:t>
      </w:r>
      <w:r>
        <w:rPr>
          <w:lang w:val="lv-LV"/>
        </w:rPr>
        <w:t>iz</w:t>
      </w:r>
      <w:r w:rsidRPr="00D30C7D">
        <w:rPr>
          <w:lang w:val="lv-LV"/>
        </w:rPr>
        <w:t xml:space="preserve">rakstīs un ārstēšanu </w:t>
      </w:r>
      <w:r>
        <w:rPr>
          <w:lang w:val="lv-LV"/>
        </w:rPr>
        <w:t>uz</w:t>
      </w:r>
      <w:r w:rsidRPr="00D30C7D">
        <w:rPr>
          <w:lang w:val="lv-LV"/>
        </w:rPr>
        <w:t>sāks veselības aprūpes speciālisti, kuriem ir pieredze RA</w:t>
      </w:r>
      <w:r>
        <w:rPr>
          <w:lang w:val="lv-LV"/>
        </w:rPr>
        <w:t>, sJIA, pJIA</w:t>
      </w:r>
      <w:r w:rsidRPr="00D30C7D">
        <w:rPr>
          <w:lang w:val="lv-LV"/>
        </w:rPr>
        <w:t xml:space="preserve"> vai GCA diagnostikā un ārstēšanā.</w:t>
      </w:r>
    </w:p>
    <w:p w14:paraId="13809C35" w14:textId="77777777" w:rsidR="00F47ADA" w:rsidRDefault="00F47ADA" w:rsidP="00F47ADA">
      <w:pPr>
        <w:rPr>
          <w:lang w:val="lv-LV"/>
        </w:rPr>
      </w:pPr>
    </w:p>
    <w:p w14:paraId="47F55274" w14:textId="77777777" w:rsidR="00F47ADA" w:rsidRDefault="00F47ADA" w:rsidP="00F47ADA">
      <w:pPr>
        <w:rPr>
          <w:lang w:val="lv-LV"/>
        </w:rPr>
      </w:pPr>
      <w:r>
        <w:rPr>
          <w:b/>
          <w:lang w:val="lv-LV"/>
        </w:rPr>
        <w:t>Ieteicamā deva</w:t>
      </w:r>
      <w:r>
        <w:rPr>
          <w:lang w:val="lv-LV"/>
        </w:rPr>
        <w:t xml:space="preserve"> </w:t>
      </w:r>
    </w:p>
    <w:p w14:paraId="296904A2" w14:textId="05C8DBE8" w:rsidR="00F47ADA" w:rsidRDefault="00F47ADA" w:rsidP="00F47ADA">
      <w:pPr>
        <w:rPr>
          <w:lang w:val="lv-LV"/>
        </w:rPr>
      </w:pPr>
      <w:r>
        <w:rPr>
          <w:lang w:val="lv-LV"/>
        </w:rPr>
        <w:t xml:space="preserve">Deva pieaugušajiem ar RA vai GCA ir 162 mg (1 pilnšļirces saturs), ko ievada vienu reizi nedēļā. </w:t>
      </w:r>
    </w:p>
    <w:p w14:paraId="3CE3822F" w14:textId="77777777" w:rsidR="00F47ADA" w:rsidRDefault="00F47ADA" w:rsidP="00F47ADA">
      <w:pPr>
        <w:rPr>
          <w:lang w:val="lv-LV"/>
        </w:rPr>
      </w:pPr>
    </w:p>
    <w:p w14:paraId="7F061BEA" w14:textId="05A909E8" w:rsidR="00F47ADA" w:rsidRPr="00707120" w:rsidRDefault="00F47ADA" w:rsidP="00F47ADA">
      <w:pPr>
        <w:rPr>
          <w:b/>
          <w:szCs w:val="22"/>
          <w:lang w:val="lv-LV"/>
        </w:rPr>
      </w:pPr>
      <w:r w:rsidRPr="00707120">
        <w:rPr>
          <w:b/>
          <w:szCs w:val="22"/>
          <w:lang w:val="lv-LV"/>
        </w:rPr>
        <w:t>Bērni un pusaudži ar sJIA (no 1</w:t>
      </w:r>
      <w:r>
        <w:rPr>
          <w:b/>
          <w:szCs w:val="22"/>
          <w:lang w:val="lv-LV"/>
        </w:rPr>
        <w:t> </w:t>
      </w:r>
      <w:r w:rsidRPr="00707120">
        <w:rPr>
          <w:b/>
          <w:szCs w:val="22"/>
          <w:lang w:val="lv-LV"/>
        </w:rPr>
        <w:t>gadu vecuma)</w:t>
      </w:r>
    </w:p>
    <w:p w14:paraId="2869CDDB" w14:textId="77777777" w:rsidR="00F47ADA" w:rsidRPr="00E1075D" w:rsidRDefault="00F47ADA" w:rsidP="00F47ADA">
      <w:pPr>
        <w:rPr>
          <w:b/>
          <w:lang w:val="lv-LV"/>
        </w:rPr>
      </w:pPr>
      <w:r w:rsidRPr="00E1075D">
        <w:rPr>
          <w:b/>
          <w:lang w:val="lv-LV"/>
        </w:rPr>
        <w:t xml:space="preserve">Parastā RoActemra deva ir atkarīga no pacienta ķermeņa masas. </w:t>
      </w:r>
    </w:p>
    <w:p w14:paraId="7E0B091F" w14:textId="40AE36BB" w:rsidR="00F47ADA" w:rsidRPr="004A6295" w:rsidRDefault="00CF30FF" w:rsidP="00707120">
      <w:pPr>
        <w:pStyle w:val="ListParagraph"/>
        <w:ind w:left="567" w:hanging="567"/>
        <w:rPr>
          <w:lang w:val="lv-LV"/>
        </w:rPr>
      </w:pPr>
      <w:r>
        <w:rPr>
          <w:lang w:val="nb-NO"/>
        </w:rPr>
        <w:sym w:font="Symbol" w:char="F0B7"/>
      </w:r>
      <w:r>
        <w:rPr>
          <w:lang w:val="nb-NO"/>
        </w:rPr>
        <w:tab/>
      </w:r>
      <w:r w:rsidR="00F47ADA" w:rsidRPr="004A6295">
        <w:rPr>
          <w:lang w:val="lv-LV"/>
        </w:rPr>
        <w:t xml:space="preserve">Ja pacienta ķermeņa masa ir </w:t>
      </w:r>
      <w:r w:rsidR="00F47ADA" w:rsidRPr="004A6295">
        <w:rPr>
          <w:b/>
          <w:lang w:val="lv-LV"/>
        </w:rPr>
        <w:t>mazāka par 30 kg</w:t>
      </w:r>
      <w:r w:rsidR="00F47ADA" w:rsidRPr="004A6295">
        <w:rPr>
          <w:lang w:val="lv-LV"/>
        </w:rPr>
        <w:t xml:space="preserve">: deva ir 162 mg (1 pilnšļirces saturs) reizi 2 nedēļās. </w:t>
      </w:r>
    </w:p>
    <w:p w14:paraId="0869DDCE" w14:textId="440E9892" w:rsidR="00F47ADA" w:rsidRPr="004A6295" w:rsidRDefault="00CF30FF" w:rsidP="00707120">
      <w:pPr>
        <w:pStyle w:val="ListParagraph"/>
        <w:ind w:left="567" w:hanging="567"/>
        <w:rPr>
          <w:lang w:val="lv-LV"/>
        </w:rPr>
      </w:pPr>
      <w:r>
        <w:rPr>
          <w:lang w:val="nb-NO"/>
        </w:rPr>
        <w:sym w:font="Symbol" w:char="F0B7"/>
      </w:r>
      <w:r>
        <w:rPr>
          <w:lang w:val="nb-NO"/>
        </w:rPr>
        <w:tab/>
      </w:r>
      <w:r w:rsidR="00F47ADA" w:rsidRPr="004A6295">
        <w:rPr>
          <w:lang w:val="lv-LV"/>
        </w:rPr>
        <w:t xml:space="preserve">Ja pacienta ķermeņa masa ir </w:t>
      </w:r>
      <w:r w:rsidR="00F47ADA" w:rsidRPr="004A6295">
        <w:rPr>
          <w:b/>
          <w:lang w:val="lv-LV"/>
        </w:rPr>
        <w:t>30 kg vai lielāka</w:t>
      </w:r>
      <w:r w:rsidR="00F47ADA" w:rsidRPr="004A6295">
        <w:rPr>
          <w:lang w:val="lv-LV"/>
        </w:rPr>
        <w:t>: deva ir 162 mg (1 pilnšļirces saturs) reizi nedēļā.</w:t>
      </w:r>
    </w:p>
    <w:p w14:paraId="606EDEE8" w14:textId="77777777" w:rsidR="00F47ADA" w:rsidRDefault="00F47ADA" w:rsidP="00F47ADA">
      <w:pPr>
        <w:rPr>
          <w:lang w:val="lv-LV"/>
        </w:rPr>
      </w:pPr>
    </w:p>
    <w:p w14:paraId="186A5788" w14:textId="77777777" w:rsidR="00F47ADA" w:rsidRPr="00707120" w:rsidRDefault="00F47ADA" w:rsidP="00F47ADA">
      <w:pPr>
        <w:keepNext/>
        <w:keepLines/>
        <w:rPr>
          <w:b/>
          <w:szCs w:val="22"/>
          <w:lang w:val="lv-LV"/>
        </w:rPr>
      </w:pPr>
      <w:r w:rsidRPr="00707120">
        <w:rPr>
          <w:b/>
          <w:szCs w:val="22"/>
          <w:lang w:val="lv-LV"/>
        </w:rPr>
        <w:t>Bērni un pusaudži ar pJIA (no 2 gadu vecuma)</w:t>
      </w:r>
    </w:p>
    <w:p w14:paraId="42ACA970" w14:textId="77777777" w:rsidR="00F47ADA" w:rsidRPr="009A49BF" w:rsidRDefault="00F47ADA" w:rsidP="00F47ADA">
      <w:pPr>
        <w:rPr>
          <w:b/>
          <w:szCs w:val="22"/>
          <w:lang w:val="lv-LV"/>
        </w:rPr>
      </w:pPr>
      <w:r w:rsidRPr="009A49BF">
        <w:rPr>
          <w:b/>
          <w:szCs w:val="22"/>
          <w:lang w:val="lv-LV"/>
        </w:rPr>
        <w:t>Parastā RoActemra deva ir atkarīga no pacienta ķermeņa masas.</w:t>
      </w:r>
    </w:p>
    <w:p w14:paraId="74ED0DE4" w14:textId="3973A141" w:rsidR="00F47ADA" w:rsidRPr="004A6295" w:rsidRDefault="00CF30FF" w:rsidP="00707120">
      <w:pPr>
        <w:pStyle w:val="ListParagraph"/>
        <w:ind w:left="567" w:hanging="567"/>
        <w:rPr>
          <w:bCs/>
          <w:szCs w:val="22"/>
          <w:lang w:val="lv-LV"/>
        </w:rPr>
      </w:pPr>
      <w:r>
        <w:rPr>
          <w:lang w:val="nb-NO"/>
        </w:rPr>
        <w:sym w:font="Symbol" w:char="F0B7"/>
      </w:r>
      <w:r>
        <w:rPr>
          <w:lang w:val="nb-NO"/>
        </w:rPr>
        <w:tab/>
      </w:r>
      <w:r w:rsidR="00F47ADA" w:rsidRPr="004A6295">
        <w:rPr>
          <w:szCs w:val="22"/>
          <w:lang w:val="lv-LV"/>
        </w:rPr>
        <w:t xml:space="preserve">Ja pacienta ķermeņa masa ir </w:t>
      </w:r>
      <w:r w:rsidR="00F47ADA" w:rsidRPr="004A6295">
        <w:rPr>
          <w:b/>
          <w:szCs w:val="22"/>
          <w:lang w:val="lv-LV"/>
        </w:rPr>
        <w:t>mazāka par 30 kg</w:t>
      </w:r>
      <w:r w:rsidR="00F47ADA" w:rsidRPr="004A6295">
        <w:rPr>
          <w:szCs w:val="22"/>
          <w:lang w:val="lv-LV"/>
        </w:rPr>
        <w:t xml:space="preserve">: deva ir 162 mg (1 pilnšļirces saturs) </w:t>
      </w:r>
      <w:r w:rsidR="00F47ADA" w:rsidRPr="004A6295">
        <w:rPr>
          <w:b/>
          <w:szCs w:val="22"/>
          <w:lang w:val="lv-LV"/>
        </w:rPr>
        <w:t>reizi 3 nedēļās</w:t>
      </w:r>
      <w:r w:rsidR="00F47ADA" w:rsidRPr="004A6295">
        <w:rPr>
          <w:bCs/>
          <w:szCs w:val="22"/>
          <w:lang w:val="lv-LV"/>
        </w:rPr>
        <w:t>.</w:t>
      </w:r>
    </w:p>
    <w:p w14:paraId="453AECB9" w14:textId="7B7A29EC" w:rsidR="00F47ADA" w:rsidRPr="004A6295" w:rsidRDefault="00CF30FF" w:rsidP="00707120">
      <w:pPr>
        <w:pStyle w:val="ListParagraph"/>
        <w:ind w:left="567" w:hanging="567"/>
        <w:rPr>
          <w:szCs w:val="22"/>
          <w:lang w:val="lv-LV"/>
        </w:rPr>
      </w:pPr>
      <w:r>
        <w:rPr>
          <w:lang w:val="nb-NO"/>
        </w:rPr>
        <w:sym w:font="Symbol" w:char="F0B7"/>
      </w:r>
      <w:r>
        <w:rPr>
          <w:lang w:val="nb-NO"/>
        </w:rPr>
        <w:tab/>
      </w:r>
      <w:r w:rsidR="00F47ADA" w:rsidRPr="004A6295">
        <w:rPr>
          <w:szCs w:val="22"/>
          <w:lang w:val="lv-LV"/>
        </w:rPr>
        <w:t xml:space="preserve">Ja pacienta ķermeņa masa ir </w:t>
      </w:r>
      <w:r w:rsidR="00F47ADA" w:rsidRPr="004A6295">
        <w:rPr>
          <w:b/>
          <w:szCs w:val="22"/>
          <w:lang w:val="lv-LV"/>
        </w:rPr>
        <w:t>30 kg vai vairāk</w:t>
      </w:r>
      <w:r w:rsidR="00F47ADA" w:rsidRPr="004A6295">
        <w:rPr>
          <w:szCs w:val="22"/>
          <w:lang w:val="lv-LV"/>
        </w:rPr>
        <w:t xml:space="preserve">: deva ir </w:t>
      </w:r>
      <w:r w:rsidR="00F47ADA" w:rsidRPr="004A6295">
        <w:rPr>
          <w:bCs/>
          <w:szCs w:val="22"/>
          <w:lang w:val="lv-LV"/>
        </w:rPr>
        <w:t>162 mg</w:t>
      </w:r>
      <w:r w:rsidR="00F47ADA" w:rsidRPr="004A6295">
        <w:rPr>
          <w:szCs w:val="22"/>
          <w:lang w:val="lv-LV"/>
        </w:rPr>
        <w:t xml:space="preserve"> (1 pilnšļirces saturs) </w:t>
      </w:r>
      <w:r w:rsidR="00F47ADA" w:rsidRPr="004A6295">
        <w:rPr>
          <w:b/>
          <w:szCs w:val="22"/>
          <w:lang w:val="lv-LV"/>
        </w:rPr>
        <w:t xml:space="preserve">reizi </w:t>
      </w:r>
      <w:r w:rsidR="00F47ADA" w:rsidRPr="004A6295">
        <w:rPr>
          <w:b/>
          <w:bCs/>
          <w:szCs w:val="22"/>
          <w:lang w:val="lv-LV"/>
        </w:rPr>
        <w:t>2 nedēļās.</w:t>
      </w:r>
    </w:p>
    <w:p w14:paraId="009849A8" w14:textId="77777777" w:rsidR="00F47ADA" w:rsidRPr="009A49BF" w:rsidRDefault="00F47ADA" w:rsidP="00F47ADA">
      <w:pPr>
        <w:rPr>
          <w:lang w:val="lv-LV"/>
        </w:rPr>
      </w:pPr>
    </w:p>
    <w:p w14:paraId="6D4E5A57" w14:textId="77777777" w:rsidR="00F47ADA" w:rsidRPr="007E1C86" w:rsidRDefault="00F47ADA" w:rsidP="00F47ADA">
      <w:pPr>
        <w:rPr>
          <w:lang w:val="lv-LV"/>
        </w:rPr>
      </w:pPr>
      <w:r w:rsidRPr="000E748B">
        <w:rPr>
          <w:lang w:val="lv-LV"/>
        </w:rPr>
        <w:t>RoActemra lieto, injicējot zem ādas (</w:t>
      </w:r>
      <w:r w:rsidRPr="000E748B">
        <w:rPr>
          <w:i/>
          <w:lang w:val="lv-LV"/>
        </w:rPr>
        <w:t>subkutāni</w:t>
      </w:r>
      <w:r w:rsidRPr="000E748B">
        <w:rPr>
          <w:lang w:val="lv-LV"/>
        </w:rPr>
        <w:t xml:space="preserve">). Sākot zāļu lietošanu, RoActemra Jums var injicēt ārsts vai medmāsa. Taču ārsts var izlemt, ka varat RoActemra injicēt sev pats. Šādā gadījumā Jūs apmācīs, kā RoActemra injekciju veikt sev pašam. Vecāki un aprūpētāji tiks apmācīti, kā injicēt </w:t>
      </w:r>
      <w:r w:rsidRPr="000E748B">
        <w:rPr>
          <w:szCs w:val="22"/>
          <w:lang w:val="lv-LV"/>
        </w:rPr>
        <w:t xml:space="preserve">RoActemra </w:t>
      </w:r>
      <w:r w:rsidRPr="00D26367">
        <w:rPr>
          <w:szCs w:val="22"/>
          <w:lang w:val="lv-LV"/>
        </w:rPr>
        <w:t>pacientiem, kuri nevar paši veikt sev injekciju, piemēram, bērniem</w:t>
      </w:r>
      <w:r w:rsidRPr="00322016">
        <w:rPr>
          <w:szCs w:val="22"/>
          <w:lang w:val="lv-LV"/>
        </w:rPr>
        <w:t>.</w:t>
      </w:r>
    </w:p>
    <w:p w14:paraId="71ECB12B" w14:textId="77777777" w:rsidR="00F47ADA" w:rsidRPr="00523E7B" w:rsidRDefault="00F47ADA" w:rsidP="00F47ADA">
      <w:pPr>
        <w:rPr>
          <w:lang w:val="lv-LV"/>
        </w:rPr>
      </w:pPr>
    </w:p>
    <w:p w14:paraId="2055A3DA" w14:textId="77777777" w:rsidR="00F47ADA" w:rsidRPr="0066041C" w:rsidRDefault="00F47ADA" w:rsidP="00F47ADA">
      <w:pPr>
        <w:rPr>
          <w:szCs w:val="22"/>
          <w:lang w:val="lv-LV"/>
        </w:rPr>
      </w:pPr>
      <w:r w:rsidRPr="003215C8">
        <w:rPr>
          <w:lang w:val="lv-LV"/>
        </w:rPr>
        <w:t>Ja Jums rodas jebkādi jautājumi par injekcijas veikšanu pašam sev</w:t>
      </w:r>
      <w:r w:rsidRPr="00382C63">
        <w:rPr>
          <w:lang w:val="lv-LV"/>
        </w:rPr>
        <w:t xml:space="preserve"> </w:t>
      </w:r>
      <w:r w:rsidRPr="00D4160B">
        <w:rPr>
          <w:lang w:val="lv-LV"/>
        </w:rPr>
        <w:t>vai bērnam, par kuru Jūs rūpējaties</w:t>
      </w:r>
      <w:r w:rsidRPr="003215C8">
        <w:rPr>
          <w:lang w:val="lv-LV"/>
        </w:rPr>
        <w:t xml:space="preserve">, pārrunājiet tos ar ārstu. Sīkākus norādījumus par lietošanu atradīsiet šīs lietošanas instrukcijas beigās. </w:t>
      </w:r>
    </w:p>
    <w:p w14:paraId="107BA4F6" w14:textId="77777777" w:rsidR="00F47ADA" w:rsidRPr="00453D77" w:rsidRDefault="00F47ADA" w:rsidP="00F47ADA">
      <w:pPr>
        <w:rPr>
          <w:lang w:val="lv-LV"/>
        </w:rPr>
      </w:pPr>
    </w:p>
    <w:p w14:paraId="72741EC5" w14:textId="77777777" w:rsidR="00F47ADA" w:rsidRPr="00046C21" w:rsidRDefault="00F47ADA" w:rsidP="00707120">
      <w:pPr>
        <w:keepNext/>
        <w:rPr>
          <w:szCs w:val="22"/>
          <w:lang w:val="lv-LV"/>
        </w:rPr>
      </w:pPr>
      <w:r w:rsidRPr="008F3616">
        <w:rPr>
          <w:b/>
          <w:szCs w:val="22"/>
          <w:lang w:val="lv-LV"/>
        </w:rPr>
        <w:t>Ja esat lietojis RoActemra vairāk</w:t>
      </w:r>
      <w:r>
        <w:rPr>
          <w:b/>
          <w:szCs w:val="22"/>
          <w:lang w:val="lv-LV"/>
        </w:rPr>
        <w:t>,</w:t>
      </w:r>
      <w:r w:rsidRPr="008F3616">
        <w:rPr>
          <w:b/>
          <w:szCs w:val="22"/>
          <w:lang w:val="lv-LV"/>
        </w:rPr>
        <w:t xml:space="preserve"> nekā noteikts</w:t>
      </w:r>
    </w:p>
    <w:p w14:paraId="43197166" w14:textId="18A72F29" w:rsidR="00F47ADA" w:rsidRPr="00647B41" w:rsidRDefault="00F47ADA" w:rsidP="00F47ADA">
      <w:pPr>
        <w:ind w:right="-2"/>
        <w:rPr>
          <w:szCs w:val="22"/>
          <w:lang w:val="lv-LV"/>
        </w:rPr>
      </w:pPr>
      <w:r w:rsidRPr="008E1C2C">
        <w:rPr>
          <w:szCs w:val="22"/>
          <w:lang w:val="lv-LV"/>
        </w:rPr>
        <w:t>Tā kā RoActemra tiek izsniegts vienā pilnšļircē, maz ticams, ka lietosiet pārāk lielu devu. Taču, ja Jūs raizējaties, konsultējieties ar sa</w:t>
      </w:r>
      <w:r w:rsidRPr="00647B41">
        <w:rPr>
          <w:szCs w:val="22"/>
          <w:lang w:val="lv-LV"/>
        </w:rPr>
        <w:t>vu ārstu, farmaceitu vai medmāsu.</w:t>
      </w:r>
    </w:p>
    <w:p w14:paraId="42203357" w14:textId="77777777" w:rsidR="00F47ADA" w:rsidRPr="00073206" w:rsidRDefault="00F47ADA" w:rsidP="00F47ADA">
      <w:pPr>
        <w:ind w:right="-2"/>
        <w:rPr>
          <w:szCs w:val="22"/>
          <w:lang w:val="lv-LV"/>
        </w:rPr>
      </w:pPr>
    </w:p>
    <w:p w14:paraId="685E6FEA" w14:textId="77777777" w:rsidR="00F47ADA" w:rsidRPr="00707120" w:rsidRDefault="00F47ADA" w:rsidP="00F47ADA">
      <w:pPr>
        <w:keepNext/>
        <w:keepLines/>
        <w:rPr>
          <w:b/>
          <w:szCs w:val="22"/>
          <w:lang w:val="lv-LV"/>
        </w:rPr>
      </w:pPr>
      <w:r w:rsidRPr="00707120">
        <w:rPr>
          <w:b/>
          <w:szCs w:val="22"/>
          <w:lang w:val="lv-LV"/>
        </w:rPr>
        <w:t>Ja pieaugušais ar RA vai GCA vai bērns vai pusaudzis ar sJIA aizmirst lietot vienu šo zāļu devu</w:t>
      </w:r>
    </w:p>
    <w:p w14:paraId="09F83FA6" w14:textId="77777777" w:rsidR="00F47ADA" w:rsidRDefault="00F47ADA" w:rsidP="00F47ADA">
      <w:pPr>
        <w:keepNext/>
        <w:keepLines/>
        <w:rPr>
          <w:szCs w:val="22"/>
          <w:lang w:val="lv-LV"/>
        </w:rPr>
      </w:pPr>
      <w:r>
        <w:rPr>
          <w:szCs w:val="22"/>
          <w:lang w:val="lv-LV"/>
        </w:rPr>
        <w:t xml:space="preserve">Ir ļoti svarīgi RoActemra lietot atbilstoši ārsta norādījumiem. Uzraugiet nākamās devas lietošanas laiku. </w:t>
      </w:r>
    </w:p>
    <w:p w14:paraId="13AE7C67" w14:textId="1608F80D" w:rsidR="00F47ADA" w:rsidRPr="004A6295" w:rsidRDefault="00CF30FF" w:rsidP="00707120">
      <w:pPr>
        <w:pStyle w:val="ListParagraph"/>
        <w:keepNext/>
        <w:keepLines/>
        <w:ind w:left="567" w:hanging="567"/>
        <w:rPr>
          <w:szCs w:val="22"/>
          <w:lang w:val="lv-LV"/>
        </w:rPr>
      </w:pPr>
      <w:r>
        <w:rPr>
          <w:lang w:val="nb-NO"/>
        </w:rPr>
        <w:sym w:font="Symbol" w:char="F0B7"/>
      </w:r>
      <w:r>
        <w:rPr>
          <w:lang w:val="nb-NO"/>
        </w:rPr>
        <w:tab/>
      </w:r>
      <w:r w:rsidR="00F47ADA" w:rsidRPr="004A6295">
        <w:rPr>
          <w:szCs w:val="22"/>
          <w:lang w:val="lv-LV"/>
        </w:rPr>
        <w:t xml:space="preserve">Ja, lietojot zāles reizi nedēļā, par aizmirstu devu atceraties 7 dienu laikā pēc paredzētās lietošanas dienas, lietojiet devu nākamā ieplānotajā devas dienā. </w:t>
      </w:r>
    </w:p>
    <w:p w14:paraId="27E73EA1" w14:textId="103EBB6D" w:rsidR="00F47ADA" w:rsidRPr="004A6295" w:rsidRDefault="00CF30FF" w:rsidP="00707120">
      <w:pPr>
        <w:pStyle w:val="ListParagraph"/>
        <w:keepNext/>
        <w:keepLines/>
        <w:ind w:left="567" w:hanging="567"/>
        <w:rPr>
          <w:szCs w:val="22"/>
          <w:lang w:val="lv-LV"/>
        </w:rPr>
      </w:pPr>
      <w:r>
        <w:rPr>
          <w:lang w:val="nb-NO"/>
        </w:rPr>
        <w:sym w:font="Symbol" w:char="F0B7"/>
      </w:r>
      <w:r>
        <w:rPr>
          <w:lang w:val="nb-NO"/>
        </w:rPr>
        <w:tab/>
      </w:r>
      <w:r w:rsidR="00F47ADA" w:rsidRPr="004A6295">
        <w:rPr>
          <w:szCs w:val="22"/>
          <w:lang w:val="lv-LV"/>
        </w:rPr>
        <w:t xml:space="preserve">Ja, lietojot zāles vienu reizi divās nedēļās, par aizmirstu devu atceraties 7 dienu laikā pēc paredzētās lietošanas dienas, ievadiet to, tiklīdz par to atceraties, un lietojiet nākamo devu parastajā ieplānotajā laikā. </w:t>
      </w:r>
    </w:p>
    <w:p w14:paraId="6D5A7DB4" w14:textId="1D5A2A7C" w:rsidR="00F47ADA" w:rsidRPr="004A6295" w:rsidRDefault="00CF30FF" w:rsidP="00707120">
      <w:pPr>
        <w:pStyle w:val="ListParagraph"/>
        <w:keepNext/>
        <w:keepLines/>
        <w:ind w:left="567" w:hanging="567"/>
        <w:rPr>
          <w:szCs w:val="22"/>
          <w:lang w:val="lv-LV"/>
        </w:rPr>
      </w:pPr>
      <w:r>
        <w:rPr>
          <w:lang w:val="nb-NO"/>
        </w:rPr>
        <w:sym w:font="Symbol" w:char="F0B7"/>
      </w:r>
      <w:r>
        <w:rPr>
          <w:lang w:val="nb-NO"/>
        </w:rPr>
        <w:tab/>
      </w:r>
      <w:r w:rsidR="00F47ADA" w:rsidRPr="004A6295">
        <w:rPr>
          <w:szCs w:val="22"/>
          <w:lang w:val="lv-LV"/>
        </w:rPr>
        <w:t>Ja par zāļu devu</w:t>
      </w:r>
      <w:ins w:id="1798" w:author="Author">
        <w:r w:rsidR="00C60E3D">
          <w:rPr>
            <w:szCs w:val="22"/>
            <w:lang w:val="lv-LV"/>
          </w:rPr>
          <w:t>, kas jālieto katru nedēļu vai reizi divās nedēļās,</w:t>
        </w:r>
      </w:ins>
      <w:r w:rsidR="00F47ADA" w:rsidRPr="004A6295">
        <w:rPr>
          <w:szCs w:val="22"/>
          <w:lang w:val="lv-LV"/>
        </w:rPr>
        <w:t xml:space="preserve"> esat aizmirsis ilgāk nekā 7 dienas pēc paredzētās lietošanas dienas vai neesat pārliecināts, kad injicēt RoActemra, sazinieties ar savu ārstu vai farmaceitu. </w:t>
      </w:r>
    </w:p>
    <w:p w14:paraId="43954CB7" w14:textId="77777777" w:rsidR="00F47ADA" w:rsidRPr="000E748B" w:rsidRDefault="00F47ADA">
      <w:pPr>
        <w:ind w:left="567" w:hanging="567"/>
        <w:rPr>
          <w:szCs w:val="22"/>
          <w:lang w:val="lv-LV"/>
        </w:rPr>
        <w:pPrChange w:id="1799" w:author="Author">
          <w:pPr>
            <w:keepNext/>
            <w:keepLines/>
            <w:ind w:left="567" w:hanging="567"/>
          </w:pPr>
        </w:pPrChange>
      </w:pPr>
    </w:p>
    <w:p w14:paraId="51ACD8BA" w14:textId="77777777" w:rsidR="00F47ADA" w:rsidRPr="00707120" w:rsidRDefault="00F47ADA">
      <w:pPr>
        <w:keepNext/>
        <w:rPr>
          <w:b/>
          <w:szCs w:val="22"/>
          <w:lang w:val="lv-LV"/>
        </w:rPr>
        <w:pPrChange w:id="1800" w:author="Author">
          <w:pPr/>
        </w:pPrChange>
      </w:pPr>
      <w:r w:rsidRPr="00707120">
        <w:rPr>
          <w:b/>
          <w:szCs w:val="22"/>
          <w:lang w:val="lv-LV"/>
        </w:rPr>
        <w:t>Ja bērns vai pusaudzis ar pJIA airzmirst lietot vienu šo zāļu devu</w:t>
      </w:r>
    </w:p>
    <w:p w14:paraId="6F034603" w14:textId="77777777" w:rsidR="00F47ADA" w:rsidRDefault="00F47ADA" w:rsidP="00F47ADA">
      <w:pPr>
        <w:keepNext/>
        <w:keepLines/>
        <w:rPr>
          <w:szCs w:val="22"/>
          <w:lang w:val="lv-LV"/>
        </w:rPr>
      </w:pPr>
      <w:r>
        <w:rPr>
          <w:szCs w:val="22"/>
          <w:lang w:val="lv-LV"/>
        </w:rPr>
        <w:t xml:space="preserve">Ir ļoti svarīgi RoActemra lietot atbilstoši ārsta norādījumiem. Uzraugiet nākamās devas lietošanas laiku. </w:t>
      </w:r>
    </w:p>
    <w:p w14:paraId="6BA1D740" w14:textId="10690FA9" w:rsidR="00F47ADA" w:rsidRPr="004A6295" w:rsidRDefault="00CF30FF" w:rsidP="00707120">
      <w:pPr>
        <w:pStyle w:val="ListParagraph"/>
        <w:keepNext/>
        <w:keepLines/>
        <w:ind w:left="567" w:hanging="567"/>
        <w:rPr>
          <w:szCs w:val="22"/>
          <w:lang w:val="lv-LV"/>
        </w:rPr>
      </w:pPr>
      <w:r>
        <w:rPr>
          <w:lang w:val="nb-NO"/>
        </w:rPr>
        <w:sym w:font="Symbol" w:char="F0B7"/>
      </w:r>
      <w:r>
        <w:rPr>
          <w:lang w:val="nb-NO"/>
        </w:rPr>
        <w:tab/>
      </w:r>
      <w:r w:rsidR="00F47ADA" w:rsidRPr="004A6295">
        <w:rPr>
          <w:szCs w:val="22"/>
          <w:lang w:val="lv-LV"/>
        </w:rPr>
        <w:t>Ja par aizmirstu devu atceraties 7 dienu laikā pēc paredzētās lietošanas dienas, ievadiet to, tiklīdz par to atceraties, un lietojiet nākamo devu parastajā ieplānotajā laikā.</w:t>
      </w:r>
    </w:p>
    <w:p w14:paraId="3ACB9D53" w14:textId="432F9221" w:rsidR="00F47ADA" w:rsidRPr="004A6295" w:rsidRDefault="00CF30FF" w:rsidP="00707120">
      <w:pPr>
        <w:pStyle w:val="ListParagraph"/>
        <w:keepNext/>
        <w:keepLines/>
        <w:ind w:left="567" w:hanging="567"/>
        <w:rPr>
          <w:szCs w:val="22"/>
          <w:lang w:val="lv-LV"/>
        </w:rPr>
      </w:pPr>
      <w:r>
        <w:rPr>
          <w:lang w:val="nb-NO"/>
        </w:rPr>
        <w:sym w:font="Symbol" w:char="F0B7"/>
      </w:r>
      <w:r>
        <w:rPr>
          <w:lang w:val="nb-NO"/>
        </w:rPr>
        <w:tab/>
      </w:r>
      <w:r w:rsidR="00F47ADA" w:rsidRPr="004A6295">
        <w:rPr>
          <w:szCs w:val="22"/>
          <w:lang w:val="lv-LV"/>
        </w:rPr>
        <w:t xml:space="preserve">Ja par zāļu devu esat aizmirsis ilgāk nekā 7 dienas pēc paredzētās lietošanas dienas vai neesat pārliecināts, kad injicēt RoActemra, sazinieties ar savu ārstu vai farmaceitu. </w:t>
      </w:r>
    </w:p>
    <w:p w14:paraId="305F425C" w14:textId="77777777" w:rsidR="00F47ADA" w:rsidRPr="000E748B" w:rsidRDefault="00F47ADA" w:rsidP="00F47ADA">
      <w:pPr>
        <w:ind w:right="-2"/>
        <w:rPr>
          <w:szCs w:val="22"/>
          <w:lang w:val="lv-LV"/>
        </w:rPr>
      </w:pPr>
    </w:p>
    <w:p w14:paraId="518188A8" w14:textId="77777777" w:rsidR="00F47ADA" w:rsidRPr="00707120" w:rsidRDefault="00F47ADA" w:rsidP="00F47ADA">
      <w:pPr>
        <w:ind w:right="-2"/>
        <w:rPr>
          <w:szCs w:val="22"/>
          <w:lang w:val="lv-LV" w:eastAsia="en-US"/>
        </w:rPr>
      </w:pPr>
      <w:r w:rsidRPr="00C82D7C">
        <w:rPr>
          <w:b/>
          <w:szCs w:val="22"/>
          <w:lang w:val="lv-LV"/>
        </w:rPr>
        <w:t>Ja pārtraucat R</w:t>
      </w:r>
      <w:r w:rsidRPr="00707120">
        <w:rPr>
          <w:b/>
          <w:szCs w:val="22"/>
          <w:lang w:val="lv-LV" w:eastAsia="en-US"/>
        </w:rPr>
        <w:t>oActemra lietošanu</w:t>
      </w:r>
    </w:p>
    <w:p w14:paraId="71646893" w14:textId="77777777" w:rsidR="00F47ADA" w:rsidRPr="00846FA5" w:rsidRDefault="00F47ADA" w:rsidP="00F47ADA">
      <w:pPr>
        <w:ind w:right="-2"/>
        <w:rPr>
          <w:szCs w:val="22"/>
          <w:lang w:val="lv-LV" w:eastAsia="en-US"/>
        </w:rPr>
      </w:pPr>
      <w:r w:rsidRPr="00846FA5">
        <w:rPr>
          <w:szCs w:val="22"/>
          <w:lang w:val="lv-LV" w:eastAsia="en-US"/>
        </w:rPr>
        <w:t>Jūs nedrīkstat pārtraukt RoActemra lietošanu, iepriekš neapspriežoties ar ārstu.</w:t>
      </w:r>
    </w:p>
    <w:p w14:paraId="340CBD8C" w14:textId="77777777" w:rsidR="00F47ADA" w:rsidRPr="00846FA5" w:rsidRDefault="00F47ADA" w:rsidP="00F47ADA">
      <w:pPr>
        <w:ind w:right="-2"/>
        <w:rPr>
          <w:szCs w:val="22"/>
          <w:lang w:val="lv-LV" w:eastAsia="en-US"/>
        </w:rPr>
      </w:pPr>
    </w:p>
    <w:p w14:paraId="67D07E4C" w14:textId="77777777" w:rsidR="00F47ADA" w:rsidRPr="00F80DA5" w:rsidRDefault="00F47ADA" w:rsidP="00F47ADA">
      <w:pPr>
        <w:ind w:right="-2"/>
        <w:rPr>
          <w:szCs w:val="22"/>
          <w:lang w:val="lv-LV"/>
        </w:rPr>
      </w:pPr>
      <w:r w:rsidRPr="00846FA5">
        <w:rPr>
          <w:szCs w:val="22"/>
          <w:lang w:val="lv-LV" w:eastAsia="en-US"/>
        </w:rPr>
        <w:t xml:space="preserve">Ja Jums ir kādi jautājumi par šo zāļu lietošanu, jautājiet </w:t>
      </w:r>
      <w:r w:rsidRPr="00846FA5">
        <w:rPr>
          <w:bCs/>
          <w:szCs w:val="22"/>
          <w:lang w:val="lv-LV" w:eastAsia="en-US"/>
        </w:rPr>
        <w:t>ārstam, farmaceitam vai medm</w:t>
      </w:r>
      <w:r w:rsidRPr="00F80DA5">
        <w:rPr>
          <w:bCs/>
          <w:szCs w:val="22"/>
          <w:lang w:val="lv-LV"/>
        </w:rPr>
        <w:t>āsai.</w:t>
      </w:r>
    </w:p>
    <w:p w14:paraId="448A0CAA" w14:textId="77777777" w:rsidR="00F47ADA" w:rsidRPr="00F80DA5" w:rsidRDefault="00F47ADA" w:rsidP="00F47ADA">
      <w:pPr>
        <w:ind w:right="-2"/>
        <w:rPr>
          <w:szCs w:val="22"/>
          <w:lang w:val="lv-LV"/>
        </w:rPr>
      </w:pPr>
    </w:p>
    <w:p w14:paraId="7F14B48A" w14:textId="77777777" w:rsidR="00F47ADA" w:rsidRPr="00774870" w:rsidRDefault="00F47ADA" w:rsidP="00F47ADA">
      <w:pPr>
        <w:ind w:right="-2"/>
        <w:rPr>
          <w:szCs w:val="22"/>
          <w:lang w:val="lv-LV"/>
        </w:rPr>
      </w:pPr>
    </w:p>
    <w:p w14:paraId="585F09B8" w14:textId="77777777" w:rsidR="00F47ADA" w:rsidRPr="00980DD8" w:rsidRDefault="00F47ADA" w:rsidP="00F47ADA">
      <w:pPr>
        <w:ind w:left="567" w:right="-2" w:hanging="567"/>
        <w:rPr>
          <w:szCs w:val="22"/>
          <w:lang w:val="lv-LV"/>
        </w:rPr>
      </w:pPr>
      <w:r w:rsidRPr="00980DD8">
        <w:rPr>
          <w:b/>
          <w:szCs w:val="22"/>
          <w:lang w:val="lv-LV"/>
        </w:rPr>
        <w:t>4.</w:t>
      </w:r>
      <w:r w:rsidRPr="00980DD8">
        <w:rPr>
          <w:b/>
          <w:szCs w:val="22"/>
          <w:lang w:val="lv-LV"/>
        </w:rPr>
        <w:tab/>
        <w:t>Iespējamās blakusparādības</w:t>
      </w:r>
    </w:p>
    <w:p w14:paraId="5104ADC9" w14:textId="77777777" w:rsidR="00F47ADA" w:rsidRDefault="00F47ADA" w:rsidP="00F47ADA">
      <w:pPr>
        <w:ind w:right="-2"/>
        <w:rPr>
          <w:szCs w:val="22"/>
          <w:lang w:val="lv-LV"/>
        </w:rPr>
      </w:pPr>
    </w:p>
    <w:p w14:paraId="3B8BDEF9" w14:textId="77777777" w:rsidR="00F47ADA" w:rsidRDefault="00F47ADA" w:rsidP="00F47ADA">
      <w:pPr>
        <w:ind w:right="-29"/>
        <w:rPr>
          <w:szCs w:val="22"/>
          <w:lang w:val="lv-LV"/>
        </w:rPr>
      </w:pPr>
      <w:r>
        <w:rPr>
          <w:szCs w:val="22"/>
          <w:lang w:val="lv-LV"/>
        </w:rPr>
        <w:t xml:space="preserve">Tāpat kā visas zāles, RoActemra var izraisīt blakusparādības, kaut arī ne visiem tās izpaužas. </w:t>
      </w:r>
    </w:p>
    <w:p w14:paraId="7FF5BFF5" w14:textId="1305CD4A" w:rsidR="00F47ADA" w:rsidRDefault="00F47ADA" w:rsidP="00F47ADA">
      <w:pPr>
        <w:ind w:right="-29"/>
        <w:rPr>
          <w:szCs w:val="22"/>
          <w:lang w:val="lv-LV"/>
        </w:rPr>
      </w:pPr>
      <w:r>
        <w:rPr>
          <w:szCs w:val="22"/>
          <w:lang w:val="lv-LV"/>
        </w:rPr>
        <w:t xml:space="preserve">Blakusparādības var rasties 3 vai vairāk mēnešu laikā pēc RoActemra pēdējās devas lietošanas. </w:t>
      </w:r>
    </w:p>
    <w:p w14:paraId="11D2217A" w14:textId="77777777" w:rsidR="00F47ADA" w:rsidRDefault="00F47ADA" w:rsidP="00F47ADA">
      <w:pPr>
        <w:ind w:right="-29"/>
        <w:rPr>
          <w:szCs w:val="22"/>
          <w:lang w:val="lv-LV"/>
        </w:rPr>
      </w:pPr>
    </w:p>
    <w:p w14:paraId="455B0862" w14:textId="60A1466E" w:rsidR="00F47ADA" w:rsidRDefault="00F47ADA" w:rsidP="00F47ADA">
      <w:pPr>
        <w:keepNext/>
        <w:keepLines/>
        <w:ind w:right="-2"/>
        <w:rPr>
          <w:b/>
          <w:bCs/>
          <w:szCs w:val="22"/>
          <w:lang w:val="lv-LV"/>
        </w:rPr>
      </w:pPr>
      <w:r w:rsidRPr="00774870">
        <w:rPr>
          <w:b/>
          <w:bCs/>
          <w:szCs w:val="22"/>
          <w:lang w:val="lv-LV"/>
        </w:rPr>
        <w:t>Iespējamas nopietnas blakusparādības</w:t>
      </w:r>
    </w:p>
    <w:p w14:paraId="505D60E1" w14:textId="7A18519F" w:rsidR="00F47ADA" w:rsidRPr="00707120" w:rsidRDefault="00F47ADA" w:rsidP="00F47ADA">
      <w:pPr>
        <w:keepNext/>
        <w:keepLines/>
        <w:ind w:right="-2"/>
        <w:rPr>
          <w:szCs w:val="22"/>
          <w:lang w:val="lv-LV"/>
        </w:rPr>
      </w:pPr>
      <w:r>
        <w:rPr>
          <w:b/>
          <w:bCs/>
          <w:szCs w:val="22"/>
          <w:lang w:val="lv-LV"/>
        </w:rPr>
        <w:t>N</w:t>
      </w:r>
      <w:r w:rsidRPr="00774870">
        <w:rPr>
          <w:b/>
          <w:bCs/>
          <w:szCs w:val="22"/>
          <w:lang w:val="lv-LV"/>
        </w:rPr>
        <w:t xml:space="preserve">ekavējoties </w:t>
      </w:r>
      <w:r w:rsidRPr="00707120">
        <w:rPr>
          <w:szCs w:val="22"/>
          <w:lang w:val="lv-LV"/>
        </w:rPr>
        <w:t>informējiet ārstu, ja Jums rodas kāda no turpmāk norādītajām blakusparādībām.</w:t>
      </w:r>
    </w:p>
    <w:p w14:paraId="0AA23C20" w14:textId="77777777" w:rsidR="002E57E0" w:rsidRDefault="002E57E0" w:rsidP="00F47ADA">
      <w:pPr>
        <w:keepNext/>
        <w:keepLines/>
        <w:suppressAutoHyphens w:val="0"/>
        <w:rPr>
          <w:ins w:id="1801" w:author="Author"/>
          <w:bCs/>
          <w:i/>
          <w:iCs/>
          <w:szCs w:val="22"/>
          <w:lang w:val="lv-LV"/>
        </w:rPr>
      </w:pPr>
    </w:p>
    <w:p w14:paraId="2C942D51" w14:textId="59BD7B0B" w:rsidR="00074825" w:rsidRPr="00A80C5E" w:rsidRDefault="00F47ADA" w:rsidP="00F47ADA">
      <w:pPr>
        <w:keepNext/>
        <w:keepLines/>
        <w:suppressAutoHyphens w:val="0"/>
        <w:rPr>
          <w:i/>
          <w:lang w:val="lv-LV"/>
        </w:rPr>
      </w:pPr>
      <w:r>
        <w:rPr>
          <w:bCs/>
          <w:i/>
          <w:iCs/>
          <w:szCs w:val="22"/>
          <w:lang w:val="lv-LV"/>
        </w:rPr>
        <w:t xml:space="preserve">Tās ir biežas: </w:t>
      </w:r>
      <w:r w:rsidRPr="00A80C5E">
        <w:rPr>
          <w:i/>
          <w:lang w:val="lv-LV"/>
        </w:rPr>
        <w:t>tās var rasties līdz 1</w:t>
      </w:r>
      <w:r>
        <w:rPr>
          <w:i/>
          <w:lang w:val="lv-LV"/>
        </w:rPr>
        <w:t> </w:t>
      </w:r>
      <w:r w:rsidRPr="00A80C5E">
        <w:rPr>
          <w:i/>
          <w:lang w:val="lv-LV"/>
        </w:rPr>
        <w:t>no 10 </w:t>
      </w:r>
      <w:r>
        <w:rPr>
          <w:i/>
          <w:lang w:val="lv-LV"/>
        </w:rPr>
        <w:t>cilvēkiem</w:t>
      </w:r>
    </w:p>
    <w:p w14:paraId="1178A1C3" w14:textId="009A8D02" w:rsidR="00F47ADA" w:rsidDel="00037F5C" w:rsidRDefault="00F47ADA" w:rsidP="00F47ADA">
      <w:pPr>
        <w:suppressAutoHyphens w:val="0"/>
        <w:rPr>
          <w:del w:id="1802" w:author="Author"/>
          <w:b/>
          <w:lang w:val="lv-LV" w:eastAsia="ja-JP"/>
        </w:rPr>
      </w:pPr>
    </w:p>
    <w:p w14:paraId="5BE27DFF" w14:textId="050F74AE" w:rsidR="00F47ADA" w:rsidDel="00074825" w:rsidRDefault="00F47ADA" w:rsidP="00F47ADA">
      <w:pPr>
        <w:suppressAutoHyphens w:val="0"/>
        <w:rPr>
          <w:bCs/>
          <w:lang w:val="lv-LV" w:eastAsia="ja-JP"/>
        </w:rPr>
      </w:pPr>
      <w:r w:rsidDel="00074825">
        <w:rPr>
          <w:b/>
          <w:lang w:val="lv-LV" w:eastAsia="ja-JP"/>
        </w:rPr>
        <w:t xml:space="preserve">Alerģiskas reakcijas </w:t>
      </w:r>
      <w:r w:rsidDel="00074825">
        <w:rPr>
          <w:bCs/>
          <w:lang w:val="lv-LV" w:eastAsia="ja-JP"/>
        </w:rPr>
        <w:t>injekcijas laikā vai pēc tās:</w:t>
      </w:r>
    </w:p>
    <w:p w14:paraId="1B087668" w14:textId="7DC31A13" w:rsidR="00F47ADA" w:rsidRPr="004A6295" w:rsidRDefault="00CF30FF" w:rsidP="00707120">
      <w:pPr>
        <w:pStyle w:val="ListParagraph"/>
        <w:suppressAutoHyphens w:val="0"/>
        <w:ind w:left="567" w:hanging="567"/>
        <w:rPr>
          <w:lang w:val="lv-LV" w:eastAsia="ja-JP"/>
        </w:rPr>
      </w:pPr>
      <w:r>
        <w:rPr>
          <w:lang w:val="nb-NO"/>
        </w:rPr>
        <w:sym w:font="Symbol" w:char="F0B7"/>
      </w:r>
      <w:r>
        <w:rPr>
          <w:lang w:val="nb-NO"/>
        </w:rPr>
        <w:tab/>
      </w:r>
      <w:r w:rsidR="00F47ADA" w:rsidRPr="004A6295">
        <w:rPr>
          <w:lang w:val="lv-LV" w:eastAsia="ja-JP"/>
        </w:rPr>
        <w:t>apgrūtināta elpošana, spiedoša sajūta krūtīs vai galvas reibšana;</w:t>
      </w:r>
    </w:p>
    <w:p w14:paraId="2EB3344C" w14:textId="77AF4509" w:rsidR="00F47ADA" w:rsidRPr="004A6295" w:rsidRDefault="00CF30FF" w:rsidP="00707120">
      <w:pPr>
        <w:pStyle w:val="ListParagraph"/>
        <w:suppressAutoHyphens w:val="0"/>
        <w:ind w:left="567" w:hanging="567"/>
        <w:rPr>
          <w:lang w:val="lv-LV" w:eastAsia="ja-JP"/>
        </w:rPr>
      </w:pPr>
      <w:r>
        <w:rPr>
          <w:lang w:val="nb-NO"/>
        </w:rPr>
        <w:sym w:font="Symbol" w:char="F0B7"/>
      </w:r>
      <w:r>
        <w:rPr>
          <w:lang w:val="nb-NO"/>
        </w:rPr>
        <w:tab/>
      </w:r>
      <w:r w:rsidR="00F47ADA" w:rsidRPr="004A6295">
        <w:rPr>
          <w:lang w:val="lv-LV" w:eastAsia="ja-JP"/>
        </w:rPr>
        <w:t xml:space="preserve">izsitumi, nieze, nātrene, lūpu, </w:t>
      </w:r>
      <w:r w:rsidR="00F47ADA" w:rsidRPr="004A6295">
        <w:rPr>
          <w:szCs w:val="22"/>
          <w:lang w:val="lv-LV" w:eastAsia="en-US" w:bidi="ne-NP"/>
        </w:rPr>
        <w:t>m</w:t>
      </w:r>
      <w:r w:rsidR="00F47ADA" w:rsidRPr="00707120">
        <w:rPr>
          <w:szCs w:val="22"/>
          <w:lang w:val="lv-LV" w:eastAsia="en-US" w:bidi="ne-NP"/>
        </w:rPr>
        <w:t>ē</w:t>
      </w:r>
      <w:r w:rsidR="00F47ADA" w:rsidRPr="004A6295">
        <w:rPr>
          <w:szCs w:val="22"/>
          <w:lang w:val="lv-LV" w:eastAsia="en-US" w:bidi="ne-NP"/>
        </w:rPr>
        <w:t>les vai sejas pietūkums;</w:t>
      </w:r>
    </w:p>
    <w:p w14:paraId="679D132B" w14:textId="77777777" w:rsidR="00F47ADA" w:rsidRDefault="00F47ADA" w:rsidP="00F47ADA">
      <w:pPr>
        <w:ind w:right="-2"/>
        <w:rPr>
          <w:b/>
          <w:bCs/>
          <w:szCs w:val="22"/>
          <w:lang w:val="lv-LV"/>
        </w:rPr>
      </w:pPr>
    </w:p>
    <w:p w14:paraId="0FF54BCA" w14:textId="2E4B20A7" w:rsidR="00F47ADA" w:rsidDel="00074825" w:rsidRDefault="00F47ADA" w:rsidP="00F47ADA">
      <w:pPr>
        <w:keepNext/>
        <w:ind w:right="-2"/>
        <w:rPr>
          <w:rFonts w:ascii="Symbol" w:hAnsi="Symbol" w:cs="Symbol"/>
          <w:szCs w:val="22"/>
          <w:lang w:val="lv-LV"/>
        </w:rPr>
      </w:pPr>
      <w:r w:rsidDel="00074825">
        <w:rPr>
          <w:b/>
          <w:szCs w:val="22"/>
          <w:lang w:val="lv-LV"/>
        </w:rPr>
        <w:t>Nopietnu infekciju pazīmes</w:t>
      </w:r>
      <w:r w:rsidDel="00074825">
        <w:rPr>
          <w:szCs w:val="22"/>
          <w:lang w:val="lv-LV"/>
        </w:rPr>
        <w:t>:</w:t>
      </w:r>
    </w:p>
    <w:p w14:paraId="50693ED4" w14:textId="0ACFF2AB" w:rsidR="00F47ADA" w:rsidRPr="00707120" w:rsidRDefault="00CF30FF" w:rsidP="00707120">
      <w:pPr>
        <w:pStyle w:val="ListParagraph"/>
        <w:keepNext/>
        <w:ind w:left="567" w:hanging="567"/>
        <w:rPr>
          <w:szCs w:val="22"/>
          <w:lang w:val="lv-LV"/>
        </w:rPr>
      </w:pPr>
      <w:r>
        <w:rPr>
          <w:lang w:val="nb-NO"/>
        </w:rPr>
        <w:sym w:font="Symbol" w:char="F0B7"/>
      </w:r>
      <w:r>
        <w:rPr>
          <w:lang w:val="nb-NO"/>
        </w:rPr>
        <w:tab/>
      </w:r>
      <w:r w:rsidR="00F47ADA" w:rsidRPr="004A6295">
        <w:rPr>
          <w:lang w:val="lv-LV"/>
        </w:rPr>
        <w:t>drudzis un drebuļi;</w:t>
      </w:r>
    </w:p>
    <w:p w14:paraId="709C1890" w14:textId="3BF469DD" w:rsidR="00F47ADA" w:rsidRPr="00707120" w:rsidRDefault="00CF30FF" w:rsidP="00707120">
      <w:pPr>
        <w:pStyle w:val="ListParagraph"/>
        <w:keepNext/>
        <w:ind w:left="567" w:hanging="567"/>
        <w:rPr>
          <w:szCs w:val="22"/>
          <w:lang w:val="lv-LV"/>
        </w:rPr>
      </w:pPr>
      <w:r>
        <w:rPr>
          <w:lang w:val="nb-NO"/>
        </w:rPr>
        <w:sym w:font="Symbol" w:char="F0B7"/>
      </w:r>
      <w:r>
        <w:rPr>
          <w:lang w:val="nb-NO"/>
        </w:rPr>
        <w:tab/>
      </w:r>
      <w:r w:rsidR="00F47ADA" w:rsidRPr="004A6295">
        <w:rPr>
          <w:lang w:val="lv-LV"/>
        </w:rPr>
        <w:t>pūšļi mutes dobumā vai uz ādas,</w:t>
      </w:r>
    </w:p>
    <w:p w14:paraId="2F674C71" w14:textId="2872C753" w:rsidR="00F47ADA" w:rsidRPr="00707120" w:rsidRDefault="00CF30FF" w:rsidP="00707120">
      <w:pPr>
        <w:pStyle w:val="ListParagraph"/>
        <w:keepNext/>
        <w:ind w:left="567" w:hanging="567"/>
        <w:rPr>
          <w:szCs w:val="22"/>
          <w:lang w:val="lv-LV"/>
        </w:rPr>
      </w:pPr>
      <w:r>
        <w:rPr>
          <w:lang w:val="nb-NO"/>
        </w:rPr>
        <w:sym w:font="Symbol" w:char="F0B7"/>
      </w:r>
      <w:r>
        <w:rPr>
          <w:lang w:val="nb-NO"/>
        </w:rPr>
        <w:tab/>
      </w:r>
      <w:r w:rsidR="005B6474">
        <w:rPr>
          <w:lang w:val="nb-NO"/>
        </w:rPr>
        <w:t>sāpes vēderā</w:t>
      </w:r>
      <w:r w:rsidR="00F47ADA" w:rsidRPr="004A6295">
        <w:rPr>
          <w:lang w:val="lv-LV"/>
        </w:rPr>
        <w:t>.</w:t>
      </w:r>
    </w:p>
    <w:p w14:paraId="28EC55E8" w14:textId="77777777" w:rsidR="00F47ADA" w:rsidRDefault="00F47ADA" w:rsidP="00F47ADA">
      <w:pPr>
        <w:rPr>
          <w:b/>
          <w:szCs w:val="22"/>
          <w:lang w:val="lv-LV"/>
        </w:rPr>
      </w:pPr>
    </w:p>
    <w:p w14:paraId="0DA86A5E" w14:textId="349A666B" w:rsidR="00F47ADA" w:rsidDel="005B6474" w:rsidRDefault="00F47ADA" w:rsidP="00F47ADA">
      <w:pPr>
        <w:rPr>
          <w:b/>
          <w:szCs w:val="22"/>
          <w:lang w:val="lv-LV"/>
        </w:rPr>
      </w:pPr>
      <w:r w:rsidDel="005B6474">
        <w:rPr>
          <w:b/>
          <w:szCs w:val="22"/>
          <w:lang w:val="lv-LV"/>
        </w:rPr>
        <w:t>Aknu toksicitātes pazīmes un simptomi</w:t>
      </w:r>
    </w:p>
    <w:p w14:paraId="11055DC3" w14:textId="7CA2F682" w:rsidR="00F47ADA" w:rsidDel="005B6474" w:rsidRDefault="00F47ADA" w:rsidP="00F47ADA">
      <w:pPr>
        <w:rPr>
          <w:i/>
          <w:lang w:val="lv-LV"/>
        </w:rPr>
      </w:pPr>
      <w:r w:rsidDel="005B6474">
        <w:rPr>
          <w:i/>
          <w:lang w:val="lv-LV"/>
        </w:rPr>
        <w:t xml:space="preserve">Tās ir retas: </w:t>
      </w:r>
      <w:r w:rsidRPr="00552EF9" w:rsidDel="005B6474">
        <w:rPr>
          <w:i/>
          <w:lang w:val="lv-LV"/>
        </w:rPr>
        <w:t>var rasties līdz 1</w:t>
      </w:r>
      <w:r w:rsidDel="005B6474">
        <w:rPr>
          <w:i/>
          <w:lang w:val="lv-LV"/>
        </w:rPr>
        <w:t> </w:t>
      </w:r>
      <w:r w:rsidRPr="00552EF9" w:rsidDel="005B6474">
        <w:rPr>
          <w:i/>
          <w:lang w:val="lv-LV"/>
        </w:rPr>
        <w:t>no 10</w:t>
      </w:r>
      <w:r w:rsidDel="005B6474">
        <w:rPr>
          <w:i/>
          <w:lang w:val="lv-LV"/>
        </w:rPr>
        <w:t>00</w:t>
      </w:r>
      <w:r w:rsidRPr="00552EF9" w:rsidDel="005B6474">
        <w:rPr>
          <w:i/>
          <w:lang w:val="lv-LV"/>
        </w:rPr>
        <w:t> </w:t>
      </w:r>
      <w:r w:rsidDel="005B6474">
        <w:rPr>
          <w:i/>
          <w:lang w:val="lv-LV"/>
        </w:rPr>
        <w:t>cilvēkiem:</w:t>
      </w:r>
    </w:p>
    <w:p w14:paraId="15EAAB81" w14:textId="61085A69" w:rsidR="00F47ADA" w:rsidRPr="004A6295" w:rsidRDefault="00CF30FF" w:rsidP="00707120">
      <w:pPr>
        <w:pStyle w:val="ListParagraph"/>
        <w:ind w:left="567" w:hanging="567"/>
        <w:rPr>
          <w:lang w:val="lv-LV"/>
        </w:rPr>
      </w:pPr>
      <w:r>
        <w:rPr>
          <w:lang w:val="nb-NO"/>
        </w:rPr>
        <w:sym w:font="Symbol" w:char="F0B7"/>
      </w:r>
      <w:r>
        <w:rPr>
          <w:lang w:val="nb-NO"/>
        </w:rPr>
        <w:tab/>
      </w:r>
      <w:r w:rsidR="00F47ADA" w:rsidRPr="004A6295">
        <w:rPr>
          <w:lang w:val="lv-LV"/>
        </w:rPr>
        <w:t>nogurums;</w:t>
      </w:r>
    </w:p>
    <w:p w14:paraId="66C2270A" w14:textId="36C3F167" w:rsidR="00F47ADA" w:rsidRPr="004A6295" w:rsidRDefault="00CF30FF" w:rsidP="00707120">
      <w:pPr>
        <w:pStyle w:val="ListParagraph"/>
        <w:ind w:left="567" w:hanging="567"/>
        <w:rPr>
          <w:lang w:val="lv-LV"/>
        </w:rPr>
      </w:pPr>
      <w:r>
        <w:rPr>
          <w:lang w:val="nb-NO"/>
        </w:rPr>
        <w:sym w:font="Symbol" w:char="F0B7"/>
      </w:r>
      <w:r>
        <w:rPr>
          <w:lang w:val="nb-NO"/>
        </w:rPr>
        <w:tab/>
      </w:r>
      <w:r w:rsidR="00F47ADA" w:rsidRPr="004A6295">
        <w:rPr>
          <w:lang w:val="lv-LV"/>
        </w:rPr>
        <w:t>sāpes vēderā;</w:t>
      </w:r>
    </w:p>
    <w:p w14:paraId="416086CB" w14:textId="1F8DECED" w:rsidR="00F47ADA" w:rsidRPr="004A6295" w:rsidRDefault="00CF30FF" w:rsidP="00707120">
      <w:pPr>
        <w:pStyle w:val="ListParagraph"/>
        <w:ind w:left="567" w:hanging="567"/>
        <w:rPr>
          <w:lang w:val="lv-LV"/>
        </w:rPr>
      </w:pPr>
      <w:r>
        <w:rPr>
          <w:lang w:val="nb-NO"/>
        </w:rPr>
        <w:sym w:font="Symbol" w:char="F0B7"/>
      </w:r>
      <w:r>
        <w:rPr>
          <w:lang w:val="nb-NO"/>
        </w:rPr>
        <w:tab/>
      </w:r>
      <w:r w:rsidR="00F47ADA" w:rsidRPr="004A6295">
        <w:rPr>
          <w:lang w:val="lv-LV"/>
        </w:rPr>
        <w:t>dzelte (dzeltena ādas vai acu nokrāsa).</w:t>
      </w:r>
    </w:p>
    <w:p w14:paraId="2F20039F" w14:textId="77777777" w:rsidR="00F47ADA" w:rsidRDefault="00F47ADA" w:rsidP="00F47ADA">
      <w:pPr>
        <w:ind w:left="720" w:hanging="720"/>
        <w:rPr>
          <w:lang w:val="lv-LV"/>
        </w:rPr>
      </w:pPr>
    </w:p>
    <w:p w14:paraId="7A37B77C" w14:textId="77777777" w:rsidR="00F47ADA" w:rsidRPr="00707120" w:rsidRDefault="00F47ADA" w:rsidP="00707120">
      <w:pPr>
        <w:keepNext/>
        <w:rPr>
          <w:b/>
          <w:bCs/>
          <w:lang w:val="lv-LV"/>
        </w:rPr>
      </w:pPr>
      <w:r>
        <w:rPr>
          <w:b/>
          <w:bCs/>
          <w:lang w:val="lv-LV"/>
        </w:rPr>
        <w:t>Citu iespējamo blakusparādību saraksts</w:t>
      </w:r>
    </w:p>
    <w:p w14:paraId="46871040" w14:textId="77777777" w:rsidR="00F47ADA" w:rsidRDefault="00F47ADA" w:rsidP="00F47ADA">
      <w:pPr>
        <w:rPr>
          <w:szCs w:val="22"/>
          <w:lang w:val="lv-LV"/>
        </w:rPr>
      </w:pPr>
      <w:r>
        <w:rPr>
          <w:lang w:val="lv-LV"/>
        </w:rPr>
        <w:t xml:space="preserve">Ja pamanāt jebkuras no šīm pazīmēm, pastāstiet ārstam, </w:t>
      </w:r>
      <w:r>
        <w:rPr>
          <w:b/>
          <w:lang w:val="lv-LV"/>
        </w:rPr>
        <w:t>cik drīz vien iespējams</w:t>
      </w:r>
      <w:r>
        <w:rPr>
          <w:lang w:val="lv-LV"/>
        </w:rPr>
        <w:t>.</w:t>
      </w:r>
    </w:p>
    <w:p w14:paraId="468738FF" w14:textId="77777777" w:rsidR="00F47ADA" w:rsidRDefault="00F47ADA" w:rsidP="00F47ADA">
      <w:pPr>
        <w:ind w:right="-2"/>
        <w:rPr>
          <w:szCs w:val="22"/>
          <w:lang w:val="lv-LV"/>
        </w:rPr>
      </w:pPr>
    </w:p>
    <w:p w14:paraId="4CA26EFE" w14:textId="47CB456F" w:rsidR="00F47ADA" w:rsidRPr="00774870" w:rsidRDefault="00F47ADA" w:rsidP="00F47ADA">
      <w:pPr>
        <w:keepNext/>
        <w:keepLines/>
        <w:rPr>
          <w:b/>
          <w:i/>
          <w:szCs w:val="22"/>
          <w:lang w:val="lv-LV"/>
        </w:rPr>
      </w:pPr>
      <w:r w:rsidRPr="00774870">
        <w:rPr>
          <w:b/>
          <w:szCs w:val="22"/>
          <w:lang w:val="lv-LV"/>
        </w:rPr>
        <w:t>Ļoti biežas blakusparādības</w:t>
      </w:r>
    </w:p>
    <w:p w14:paraId="0E88F6BF" w14:textId="4D9F3ED2" w:rsidR="00F47ADA" w:rsidRDefault="00F47ADA" w:rsidP="00F47ADA">
      <w:pPr>
        <w:keepNext/>
        <w:keepLines/>
        <w:ind w:left="567" w:hanging="567"/>
        <w:rPr>
          <w:rFonts w:ascii="Symbol" w:hAnsi="Symbol" w:cs="Symbol"/>
          <w:szCs w:val="22"/>
          <w:lang w:val="lv-LV"/>
        </w:rPr>
      </w:pPr>
      <w:r>
        <w:rPr>
          <w:i/>
          <w:lang w:val="lv-LV"/>
        </w:rPr>
        <w:t>Tās var rasties 1 no 10 cilvēkiem</w:t>
      </w:r>
      <w:r w:rsidR="00971B34">
        <w:rPr>
          <w:i/>
          <w:lang w:val="lv-LV"/>
        </w:rPr>
        <w:t xml:space="preserve"> vai vairāk</w:t>
      </w:r>
      <w:r>
        <w:rPr>
          <w:i/>
          <w:lang w:val="lv-LV"/>
        </w:rPr>
        <w:t>:</w:t>
      </w:r>
    </w:p>
    <w:p w14:paraId="376EA327" w14:textId="5489AB9F" w:rsidR="00F47ADA" w:rsidRPr="009F1AC5" w:rsidRDefault="00CF30FF" w:rsidP="00707120">
      <w:pPr>
        <w:pStyle w:val="ListParagraph"/>
        <w:ind w:left="567" w:hanging="567"/>
        <w:rPr>
          <w:rFonts w:ascii="Symbol" w:hAnsi="Symbol" w:cs="Symbol"/>
          <w:szCs w:val="22"/>
          <w:lang w:val="lv-LV"/>
        </w:rPr>
      </w:pPr>
      <w:r>
        <w:rPr>
          <w:lang w:val="nb-NO"/>
        </w:rPr>
        <w:sym w:font="Symbol" w:char="F0B7"/>
      </w:r>
      <w:r>
        <w:rPr>
          <w:lang w:val="nb-NO"/>
        </w:rPr>
        <w:tab/>
      </w:r>
      <w:r w:rsidR="00F47ADA" w:rsidRPr="004A6295">
        <w:rPr>
          <w:bCs/>
          <w:szCs w:val="22"/>
          <w:lang w:val="lv-LV"/>
        </w:rPr>
        <w:t xml:space="preserve">augšējo elpceļu infekcijas </w:t>
      </w:r>
      <w:r w:rsidR="00F47ADA" w:rsidRPr="004A6295">
        <w:rPr>
          <w:szCs w:val="22"/>
          <w:lang w:val="lv-LV"/>
        </w:rPr>
        <w:t>ar tipiskiem simptomiem, piemēram, klepu, aizliktu degunu, iesnām, rīkles iekaisumu un galvassāpēm</w:t>
      </w:r>
      <w:r w:rsidR="00F47ADA" w:rsidRPr="004A6295">
        <w:rPr>
          <w:bCs/>
          <w:szCs w:val="22"/>
          <w:lang w:val="lv-LV"/>
        </w:rPr>
        <w:t>;</w:t>
      </w:r>
    </w:p>
    <w:p w14:paraId="2A75D7A0" w14:textId="0557D522" w:rsidR="00F47ADA" w:rsidRPr="004A6295" w:rsidRDefault="00CF30FF" w:rsidP="00707120">
      <w:pPr>
        <w:pStyle w:val="ListParagraph"/>
        <w:ind w:left="567" w:hanging="567"/>
        <w:rPr>
          <w:bCs/>
          <w:szCs w:val="22"/>
          <w:lang w:val="lv-LV"/>
        </w:rPr>
      </w:pPr>
      <w:r>
        <w:rPr>
          <w:lang w:val="nb-NO"/>
        </w:rPr>
        <w:sym w:font="Symbol" w:char="F0B7"/>
      </w:r>
      <w:r>
        <w:rPr>
          <w:lang w:val="nb-NO"/>
        </w:rPr>
        <w:tab/>
      </w:r>
      <w:r w:rsidR="00F47ADA" w:rsidRPr="004A6295">
        <w:rPr>
          <w:bCs/>
          <w:szCs w:val="22"/>
          <w:lang w:val="lv-LV"/>
        </w:rPr>
        <w:t>paaugstināts tauku (</w:t>
      </w:r>
      <w:r w:rsidR="00F47ADA" w:rsidRPr="004A6295">
        <w:rPr>
          <w:bCs/>
          <w:i/>
          <w:szCs w:val="22"/>
          <w:lang w:val="lv-LV"/>
        </w:rPr>
        <w:t>holesterīna</w:t>
      </w:r>
      <w:r w:rsidR="00F47ADA" w:rsidRPr="004A6295">
        <w:rPr>
          <w:bCs/>
          <w:szCs w:val="22"/>
          <w:lang w:val="lv-LV"/>
        </w:rPr>
        <w:t>) līmenis asinīs;</w:t>
      </w:r>
    </w:p>
    <w:p w14:paraId="05DDE168" w14:textId="0A30505D" w:rsidR="00F47ADA" w:rsidRPr="004A6295" w:rsidRDefault="00CF30FF" w:rsidP="00707120">
      <w:pPr>
        <w:pStyle w:val="ListParagraph"/>
        <w:ind w:left="567" w:hanging="567"/>
        <w:rPr>
          <w:szCs w:val="22"/>
          <w:lang w:val="lv-LV"/>
        </w:rPr>
      </w:pPr>
      <w:r>
        <w:rPr>
          <w:lang w:val="nb-NO"/>
        </w:rPr>
        <w:sym w:font="Symbol" w:char="F0B7"/>
      </w:r>
      <w:r>
        <w:rPr>
          <w:lang w:val="nb-NO"/>
        </w:rPr>
        <w:tab/>
      </w:r>
      <w:r w:rsidR="00F47ADA" w:rsidRPr="004A6295">
        <w:rPr>
          <w:rFonts w:eastAsia="SimSun"/>
          <w:lang w:val="lv-LV" w:eastAsia="th-TH" w:bidi="th-TH"/>
        </w:rPr>
        <w:t>reakcijas injekcijas vietā.</w:t>
      </w:r>
    </w:p>
    <w:p w14:paraId="2C1D02D0" w14:textId="77777777" w:rsidR="00F47ADA" w:rsidRDefault="00F47ADA" w:rsidP="00F47ADA">
      <w:pPr>
        <w:ind w:right="-2"/>
        <w:rPr>
          <w:szCs w:val="22"/>
          <w:lang w:val="lv-LV"/>
        </w:rPr>
      </w:pPr>
    </w:p>
    <w:p w14:paraId="7001A998" w14:textId="43455F64" w:rsidR="00F47ADA" w:rsidRPr="00231EC9" w:rsidRDefault="00F47ADA" w:rsidP="00F47ADA">
      <w:pPr>
        <w:keepNext/>
        <w:keepLines/>
        <w:ind w:right="-2"/>
        <w:rPr>
          <w:b/>
          <w:i/>
          <w:szCs w:val="22"/>
          <w:lang w:val="lv-LV"/>
        </w:rPr>
      </w:pPr>
      <w:r w:rsidRPr="00231EC9">
        <w:rPr>
          <w:b/>
          <w:szCs w:val="22"/>
          <w:lang w:val="lv-LV"/>
        </w:rPr>
        <w:t>Biežas blakusparādības</w:t>
      </w:r>
    </w:p>
    <w:p w14:paraId="0AD429BA" w14:textId="2A41FF83" w:rsidR="00F47ADA" w:rsidRDefault="00F47ADA" w:rsidP="00F47ADA">
      <w:pPr>
        <w:keepNext/>
        <w:keepLines/>
        <w:ind w:left="567" w:hanging="567"/>
        <w:rPr>
          <w:rFonts w:ascii="Symbol" w:hAnsi="Symbol" w:cs="Symbol"/>
          <w:szCs w:val="22"/>
          <w:lang w:val="lv-LV"/>
        </w:rPr>
      </w:pPr>
      <w:r>
        <w:rPr>
          <w:i/>
          <w:lang w:val="lv-LV"/>
        </w:rPr>
        <w:t>Tās var rasties līdz 1 no 10 cilvēkiem:</w:t>
      </w:r>
    </w:p>
    <w:p w14:paraId="085181A4" w14:textId="6E128CB8" w:rsidR="00F47ADA" w:rsidRPr="009F1AC5" w:rsidRDefault="00CF30FF" w:rsidP="00707120">
      <w:pPr>
        <w:pStyle w:val="ListParagraph"/>
        <w:keepNext/>
        <w:keepLines/>
        <w:ind w:left="567" w:hanging="567"/>
        <w:rPr>
          <w:rFonts w:ascii="Symbol" w:hAnsi="Symbol" w:cs="Symbol"/>
          <w:szCs w:val="22"/>
          <w:lang w:val="lv-LV"/>
        </w:rPr>
      </w:pPr>
      <w:r>
        <w:rPr>
          <w:lang w:val="nb-NO"/>
        </w:rPr>
        <w:sym w:font="Symbol" w:char="F0B7"/>
      </w:r>
      <w:r>
        <w:rPr>
          <w:lang w:val="nb-NO"/>
        </w:rPr>
        <w:tab/>
      </w:r>
      <w:r w:rsidR="00F47ADA" w:rsidRPr="004A6295">
        <w:rPr>
          <w:szCs w:val="22"/>
          <w:lang w:val="lv-LV"/>
        </w:rPr>
        <w:t>plaušu infekcija (pneimonija);</w:t>
      </w:r>
    </w:p>
    <w:p w14:paraId="39E7257A" w14:textId="0F8CFC7D" w:rsidR="00F47ADA" w:rsidRPr="009F1AC5" w:rsidRDefault="00CF30FF" w:rsidP="00707120">
      <w:pPr>
        <w:pStyle w:val="ListParagraph"/>
        <w:ind w:left="567" w:hanging="567"/>
        <w:rPr>
          <w:rFonts w:ascii="Symbol" w:hAnsi="Symbol" w:cs="Symbol"/>
          <w:szCs w:val="22"/>
          <w:lang w:val="lv-LV"/>
        </w:rPr>
      </w:pPr>
      <w:r>
        <w:rPr>
          <w:lang w:val="nb-NO"/>
        </w:rPr>
        <w:sym w:font="Symbol" w:char="F0B7"/>
      </w:r>
      <w:r>
        <w:rPr>
          <w:lang w:val="nb-NO"/>
        </w:rPr>
        <w:tab/>
      </w:r>
      <w:r w:rsidR="00F47ADA" w:rsidRPr="004A6295">
        <w:rPr>
          <w:szCs w:val="22"/>
          <w:lang w:val="lv-LV"/>
        </w:rPr>
        <w:t>jostas roze (</w:t>
      </w:r>
      <w:r w:rsidR="00F47ADA" w:rsidRPr="004A6295">
        <w:rPr>
          <w:i/>
          <w:szCs w:val="22"/>
          <w:lang w:val="lv-LV"/>
        </w:rPr>
        <w:t>herpes zoster</w:t>
      </w:r>
      <w:r w:rsidR="00F47ADA" w:rsidRPr="004A6295">
        <w:rPr>
          <w:szCs w:val="22"/>
          <w:lang w:val="lv-LV"/>
        </w:rPr>
        <w:t>);</w:t>
      </w:r>
    </w:p>
    <w:p w14:paraId="73959C4C" w14:textId="73409EE1" w:rsidR="00F47ADA" w:rsidRPr="009F1AC5" w:rsidRDefault="00CF30FF" w:rsidP="00707120">
      <w:pPr>
        <w:pStyle w:val="ListParagraph"/>
        <w:ind w:left="567" w:hanging="567"/>
        <w:rPr>
          <w:rFonts w:ascii="Symbol" w:hAnsi="Symbol" w:cs="Symbol"/>
          <w:szCs w:val="22"/>
          <w:lang w:val="lv-LV"/>
        </w:rPr>
      </w:pPr>
      <w:r>
        <w:rPr>
          <w:lang w:val="nb-NO"/>
        </w:rPr>
        <w:sym w:font="Symbol" w:char="F0B7"/>
      </w:r>
      <w:r>
        <w:rPr>
          <w:lang w:val="nb-NO"/>
        </w:rPr>
        <w:tab/>
      </w:r>
      <w:r w:rsidR="00F47ADA" w:rsidRPr="004A6295">
        <w:rPr>
          <w:szCs w:val="22"/>
          <w:lang w:val="lv-LV"/>
        </w:rPr>
        <w:t xml:space="preserve">aukstumpumpas (mutes dobuma </w:t>
      </w:r>
      <w:r w:rsidR="00F47ADA" w:rsidRPr="004A6295">
        <w:rPr>
          <w:i/>
          <w:szCs w:val="22"/>
          <w:lang w:val="lv-LV"/>
        </w:rPr>
        <w:t>herpes simplex</w:t>
      </w:r>
      <w:r w:rsidR="00F47ADA" w:rsidRPr="004A6295">
        <w:rPr>
          <w:szCs w:val="22"/>
          <w:lang w:val="lv-LV"/>
        </w:rPr>
        <w:t>), pūšļi;</w:t>
      </w:r>
    </w:p>
    <w:p w14:paraId="4D9A0DCA" w14:textId="7D1A6AB6" w:rsidR="00F47ADA" w:rsidRPr="009F1AC5" w:rsidRDefault="00CF30FF" w:rsidP="00707120">
      <w:pPr>
        <w:pStyle w:val="ListParagraph"/>
        <w:ind w:left="567" w:hanging="567"/>
        <w:rPr>
          <w:rFonts w:ascii="Symbol" w:hAnsi="Symbol" w:cs="Symbol"/>
          <w:szCs w:val="22"/>
          <w:lang w:val="lv-LV"/>
        </w:rPr>
      </w:pPr>
      <w:r>
        <w:rPr>
          <w:lang w:val="nb-NO"/>
        </w:rPr>
        <w:sym w:font="Symbol" w:char="F0B7"/>
      </w:r>
      <w:r>
        <w:rPr>
          <w:lang w:val="nb-NO"/>
        </w:rPr>
        <w:tab/>
      </w:r>
      <w:r w:rsidR="00F47ADA" w:rsidRPr="004A6295">
        <w:rPr>
          <w:szCs w:val="22"/>
          <w:lang w:val="lv-LV"/>
        </w:rPr>
        <w:t>ādas infekcija (celulīts), dažkārt ar drudzi un drebuļiem;</w:t>
      </w:r>
    </w:p>
    <w:p w14:paraId="2A0FD3BA" w14:textId="45204C76" w:rsidR="00F47ADA" w:rsidRPr="009F1AC5" w:rsidRDefault="00CF30FF" w:rsidP="00707120">
      <w:pPr>
        <w:pStyle w:val="ListParagraph"/>
        <w:ind w:left="567" w:hanging="567"/>
        <w:rPr>
          <w:rFonts w:ascii="Symbol" w:hAnsi="Symbol" w:cs="Symbol"/>
          <w:szCs w:val="22"/>
          <w:lang w:val="lv-LV"/>
        </w:rPr>
      </w:pPr>
      <w:r>
        <w:rPr>
          <w:lang w:val="nb-NO"/>
        </w:rPr>
        <w:sym w:font="Symbol" w:char="F0B7"/>
      </w:r>
      <w:r>
        <w:rPr>
          <w:lang w:val="nb-NO"/>
        </w:rPr>
        <w:tab/>
      </w:r>
      <w:r w:rsidR="00F47ADA" w:rsidRPr="004A6295">
        <w:rPr>
          <w:szCs w:val="22"/>
          <w:lang w:val="lv-LV"/>
        </w:rPr>
        <w:t>izsitumi un nieze, nātrene;</w:t>
      </w:r>
    </w:p>
    <w:p w14:paraId="3C3A5C24" w14:textId="509EFD26" w:rsidR="00F47ADA" w:rsidRPr="009F1AC5" w:rsidRDefault="00CF30FF" w:rsidP="00707120">
      <w:pPr>
        <w:pStyle w:val="ListParagraph"/>
        <w:ind w:left="567" w:hanging="567"/>
        <w:rPr>
          <w:rFonts w:ascii="Symbol" w:hAnsi="Symbol" w:cs="Symbol"/>
          <w:szCs w:val="22"/>
          <w:lang w:val="lv-LV"/>
        </w:rPr>
      </w:pPr>
      <w:r>
        <w:rPr>
          <w:lang w:val="nb-NO"/>
        </w:rPr>
        <w:sym w:font="Symbol" w:char="F0B7"/>
      </w:r>
      <w:r>
        <w:rPr>
          <w:lang w:val="nb-NO"/>
        </w:rPr>
        <w:tab/>
      </w:r>
      <w:r w:rsidR="00F47ADA" w:rsidRPr="004A6295">
        <w:rPr>
          <w:szCs w:val="22"/>
          <w:lang w:val="lv-LV"/>
        </w:rPr>
        <w:t>alerģiskas (paaugstinātas jutības) reakcijas;</w:t>
      </w:r>
    </w:p>
    <w:p w14:paraId="25ED9531" w14:textId="22C87F1E" w:rsidR="00F47ADA" w:rsidRPr="009F1AC5" w:rsidRDefault="00CF30FF" w:rsidP="00707120">
      <w:pPr>
        <w:pStyle w:val="ListParagraph"/>
        <w:ind w:left="567" w:hanging="567"/>
        <w:rPr>
          <w:rFonts w:ascii="Symbol" w:hAnsi="Symbol" w:cs="Symbol"/>
          <w:szCs w:val="22"/>
          <w:lang w:val="lv-LV"/>
        </w:rPr>
      </w:pPr>
      <w:r>
        <w:rPr>
          <w:lang w:val="nb-NO"/>
        </w:rPr>
        <w:sym w:font="Symbol" w:char="F0B7"/>
      </w:r>
      <w:r>
        <w:rPr>
          <w:lang w:val="nb-NO"/>
        </w:rPr>
        <w:tab/>
      </w:r>
      <w:r w:rsidR="00F47ADA" w:rsidRPr="004A6295">
        <w:rPr>
          <w:szCs w:val="22"/>
          <w:lang w:val="lv-LV"/>
        </w:rPr>
        <w:t>acu infekcija (konjunktivīts);</w:t>
      </w:r>
    </w:p>
    <w:p w14:paraId="2681308D" w14:textId="16F772E4" w:rsidR="00F47ADA" w:rsidRPr="00707120" w:rsidRDefault="00CF30FF" w:rsidP="00707120">
      <w:pPr>
        <w:pStyle w:val="ListParagraph"/>
        <w:ind w:left="567" w:hanging="567"/>
        <w:rPr>
          <w:szCs w:val="22"/>
          <w:lang w:val="lv-LV"/>
        </w:rPr>
      </w:pPr>
      <w:r>
        <w:rPr>
          <w:lang w:val="nb-NO"/>
        </w:rPr>
        <w:sym w:font="Symbol" w:char="F0B7"/>
      </w:r>
      <w:r>
        <w:rPr>
          <w:lang w:val="nb-NO"/>
        </w:rPr>
        <w:tab/>
      </w:r>
      <w:r w:rsidR="00F47ADA" w:rsidRPr="004A6295">
        <w:rPr>
          <w:szCs w:val="22"/>
          <w:lang w:val="lv-LV"/>
        </w:rPr>
        <w:t>galvassāpes, reibonis, paaugstināts asinsspiediens;</w:t>
      </w:r>
    </w:p>
    <w:p w14:paraId="45304A18" w14:textId="36AAE852" w:rsidR="00F47ADA" w:rsidRPr="00707120" w:rsidRDefault="00CF30FF" w:rsidP="00707120">
      <w:pPr>
        <w:pStyle w:val="ListParagraph"/>
        <w:ind w:left="567" w:hanging="567"/>
        <w:rPr>
          <w:szCs w:val="22"/>
          <w:lang w:val="lv-LV"/>
        </w:rPr>
      </w:pPr>
      <w:r>
        <w:rPr>
          <w:lang w:val="nb-NO"/>
        </w:rPr>
        <w:sym w:font="Symbol" w:char="F0B7"/>
      </w:r>
      <w:r>
        <w:rPr>
          <w:lang w:val="nb-NO"/>
        </w:rPr>
        <w:tab/>
      </w:r>
      <w:r w:rsidR="00F47ADA" w:rsidRPr="004A6295">
        <w:rPr>
          <w:szCs w:val="22"/>
          <w:lang w:val="lv-LV"/>
        </w:rPr>
        <w:t>čūlu veidošanās mutes dobumā, sāpes vēderā;</w:t>
      </w:r>
    </w:p>
    <w:p w14:paraId="68974F63" w14:textId="5C91080F" w:rsidR="00F47ADA" w:rsidRPr="00707120" w:rsidRDefault="00CF30FF" w:rsidP="00707120">
      <w:pPr>
        <w:pStyle w:val="ListParagraph"/>
        <w:ind w:left="567" w:hanging="567"/>
        <w:rPr>
          <w:szCs w:val="22"/>
          <w:lang w:val="lv-LV"/>
        </w:rPr>
      </w:pPr>
      <w:r>
        <w:rPr>
          <w:lang w:val="nb-NO"/>
        </w:rPr>
        <w:sym w:font="Symbol" w:char="F0B7"/>
      </w:r>
      <w:r>
        <w:rPr>
          <w:lang w:val="nb-NO"/>
        </w:rPr>
        <w:tab/>
      </w:r>
      <w:r w:rsidR="00F47ADA" w:rsidRPr="004A6295">
        <w:rPr>
          <w:szCs w:val="22"/>
          <w:lang w:val="lv-LV"/>
        </w:rPr>
        <w:t>šķidruma aizture (tūska) kāju apakšdaļā, ķermeņa masas palielināšanās;</w:t>
      </w:r>
    </w:p>
    <w:p w14:paraId="0FCD6C8C" w14:textId="68222DC2" w:rsidR="00F47ADA" w:rsidRPr="00707120" w:rsidRDefault="00CF30FF" w:rsidP="00707120">
      <w:pPr>
        <w:pStyle w:val="ListParagraph"/>
        <w:ind w:left="567" w:hanging="567"/>
        <w:rPr>
          <w:szCs w:val="22"/>
          <w:lang w:val="lv-LV"/>
        </w:rPr>
      </w:pPr>
      <w:r>
        <w:rPr>
          <w:lang w:val="nb-NO"/>
        </w:rPr>
        <w:sym w:font="Symbol" w:char="F0B7"/>
      </w:r>
      <w:r>
        <w:rPr>
          <w:lang w:val="nb-NO"/>
        </w:rPr>
        <w:tab/>
      </w:r>
      <w:r w:rsidR="00F47ADA" w:rsidRPr="004A6295">
        <w:rPr>
          <w:szCs w:val="22"/>
          <w:lang w:val="lv-LV"/>
        </w:rPr>
        <w:t>klepus, elpas trūkums;</w:t>
      </w:r>
    </w:p>
    <w:p w14:paraId="56C9F9B2" w14:textId="44B1B75B" w:rsidR="00F47ADA" w:rsidRPr="00707120" w:rsidRDefault="00CF30FF" w:rsidP="00707120">
      <w:pPr>
        <w:pStyle w:val="ListParagraph"/>
        <w:ind w:left="567" w:hanging="567"/>
        <w:rPr>
          <w:szCs w:val="22"/>
          <w:lang w:val="lv-LV"/>
        </w:rPr>
      </w:pPr>
      <w:r>
        <w:rPr>
          <w:lang w:val="nb-NO"/>
        </w:rPr>
        <w:sym w:font="Symbol" w:char="F0B7"/>
      </w:r>
      <w:r>
        <w:rPr>
          <w:lang w:val="nb-NO"/>
        </w:rPr>
        <w:tab/>
      </w:r>
      <w:r w:rsidR="00F47ADA" w:rsidRPr="005043A0">
        <w:rPr>
          <w:szCs w:val="22"/>
          <w:lang w:val="lv-LV"/>
        </w:rPr>
        <w:t>mazs balto asins šūnu skaits, ko konstatē asinsanalīzēs (neitropēnija, leikopēnija);</w:t>
      </w:r>
    </w:p>
    <w:p w14:paraId="1D7CFC68" w14:textId="0D5EAC4E" w:rsidR="00F47ADA" w:rsidRPr="00707120" w:rsidRDefault="00CF30FF" w:rsidP="00707120">
      <w:pPr>
        <w:pStyle w:val="ListParagraph"/>
        <w:ind w:left="567" w:hanging="567"/>
        <w:rPr>
          <w:szCs w:val="22"/>
          <w:lang w:val="lv-LV"/>
        </w:rPr>
      </w:pPr>
      <w:r>
        <w:rPr>
          <w:lang w:val="nb-NO"/>
        </w:rPr>
        <w:sym w:font="Symbol" w:char="F0B7"/>
      </w:r>
      <w:r>
        <w:rPr>
          <w:lang w:val="nb-NO"/>
        </w:rPr>
        <w:tab/>
      </w:r>
      <w:r w:rsidR="00F47ADA" w:rsidRPr="004A6295">
        <w:rPr>
          <w:szCs w:val="22"/>
          <w:lang w:val="lv-LV"/>
        </w:rPr>
        <w:t>aknu funkcionālo rādītāju novirzes (paaugstināts transamināžu līmenis);</w:t>
      </w:r>
    </w:p>
    <w:p w14:paraId="5EEBD3FB" w14:textId="49A944A2" w:rsidR="00F47ADA" w:rsidRPr="004A6295" w:rsidRDefault="00CF30FF" w:rsidP="00707120">
      <w:pPr>
        <w:pStyle w:val="ListParagraph"/>
        <w:ind w:left="567" w:hanging="567"/>
        <w:rPr>
          <w:szCs w:val="22"/>
          <w:lang w:val="lv-LV"/>
        </w:rPr>
      </w:pPr>
      <w:r>
        <w:rPr>
          <w:lang w:val="nb-NO"/>
        </w:rPr>
        <w:sym w:font="Symbol" w:char="F0B7"/>
      </w:r>
      <w:r>
        <w:rPr>
          <w:lang w:val="nb-NO"/>
        </w:rPr>
        <w:tab/>
      </w:r>
      <w:r w:rsidR="00F47ADA" w:rsidRPr="004A6295">
        <w:rPr>
          <w:szCs w:val="22"/>
          <w:lang w:val="lv-LV"/>
        </w:rPr>
        <w:t>paaugstināts bilirubīna līmenis, ko konstatē asinsanalīzēs;</w:t>
      </w:r>
    </w:p>
    <w:p w14:paraId="183038DA" w14:textId="016D73C6" w:rsidR="00F47ADA" w:rsidRPr="00707120" w:rsidRDefault="00CF30FF" w:rsidP="00707120">
      <w:pPr>
        <w:pStyle w:val="ListParagraph"/>
        <w:ind w:left="567" w:hanging="567"/>
        <w:rPr>
          <w:lang w:val="lv-LV" w:eastAsia="th-TH" w:bidi="th-TH"/>
        </w:rPr>
      </w:pPr>
      <w:r>
        <w:rPr>
          <w:lang w:val="nb-NO"/>
        </w:rPr>
        <w:sym w:font="Symbol" w:char="F0B7"/>
      </w:r>
      <w:r>
        <w:rPr>
          <w:lang w:val="nb-NO"/>
        </w:rPr>
        <w:tab/>
      </w:r>
      <w:r w:rsidR="00F47ADA" w:rsidRPr="004A6295">
        <w:rPr>
          <w:szCs w:val="22"/>
          <w:lang w:val="lv-LV"/>
        </w:rPr>
        <w:t>pazemināts fibrogēna līmenis asinīs (proteīns, kas veicina asins recēšanu)</w:t>
      </w:r>
      <w:r w:rsidR="00F47ADA" w:rsidRPr="00707120">
        <w:rPr>
          <w:lang w:val="lv-LV" w:eastAsia="th-TH" w:bidi="th-TH"/>
        </w:rPr>
        <w:t></w:t>
      </w:r>
    </w:p>
    <w:p w14:paraId="0D01AF8E" w14:textId="77777777" w:rsidR="00F47ADA" w:rsidRDefault="00F47ADA" w:rsidP="00F47ADA">
      <w:pPr>
        <w:ind w:left="720" w:right="-2" w:hanging="720"/>
        <w:rPr>
          <w:szCs w:val="22"/>
          <w:lang w:val="lv-LV"/>
        </w:rPr>
      </w:pPr>
    </w:p>
    <w:p w14:paraId="14B8A272" w14:textId="7C0CC57D" w:rsidR="00F47ADA" w:rsidRPr="00231EC9" w:rsidRDefault="00F47ADA" w:rsidP="00F47ADA">
      <w:pPr>
        <w:ind w:right="-2"/>
        <w:rPr>
          <w:b/>
          <w:i/>
          <w:szCs w:val="22"/>
          <w:lang w:val="lv-LV"/>
        </w:rPr>
      </w:pPr>
      <w:r w:rsidRPr="00231EC9">
        <w:rPr>
          <w:b/>
          <w:szCs w:val="22"/>
          <w:lang w:val="lv-LV"/>
        </w:rPr>
        <w:t>Retākas blakusparādības</w:t>
      </w:r>
    </w:p>
    <w:p w14:paraId="0A3CAA50" w14:textId="76173DD7" w:rsidR="00F47ADA" w:rsidRDefault="00F47ADA" w:rsidP="00F47ADA">
      <w:pPr>
        <w:ind w:left="567" w:hanging="567"/>
        <w:rPr>
          <w:rFonts w:ascii="Symbol" w:hAnsi="Symbol" w:cs="Symbol"/>
          <w:i/>
          <w:szCs w:val="22"/>
          <w:lang w:val="lv-LV"/>
        </w:rPr>
      </w:pPr>
      <w:r>
        <w:rPr>
          <w:i/>
          <w:lang w:val="lv-LV"/>
        </w:rPr>
        <w:t>Tās var rasties līdz 1 no 100 cilvēkiem:</w:t>
      </w:r>
    </w:p>
    <w:p w14:paraId="545E69B2" w14:textId="110D28D4" w:rsidR="00F47ADA" w:rsidRPr="00707120" w:rsidRDefault="00CF30FF" w:rsidP="00707120">
      <w:pPr>
        <w:pStyle w:val="ListParagraph"/>
        <w:ind w:left="567" w:hanging="567"/>
        <w:rPr>
          <w:szCs w:val="22"/>
          <w:lang w:val="lv-LV"/>
        </w:rPr>
      </w:pPr>
      <w:r>
        <w:rPr>
          <w:lang w:val="nb-NO"/>
        </w:rPr>
        <w:sym w:font="Symbol" w:char="F0B7"/>
      </w:r>
      <w:r>
        <w:rPr>
          <w:lang w:val="nb-NO"/>
        </w:rPr>
        <w:tab/>
      </w:r>
      <w:r w:rsidR="00F47ADA" w:rsidRPr="004A6295">
        <w:rPr>
          <w:szCs w:val="22"/>
          <w:lang w:val="lv-LV"/>
        </w:rPr>
        <w:t>divertikulīts (drudzis, slikta dūša, caureja, aizcietējums, vēdersāpes);</w:t>
      </w:r>
    </w:p>
    <w:p w14:paraId="4509B911" w14:textId="09DC0672" w:rsidR="00F47ADA" w:rsidRPr="00707120" w:rsidRDefault="00CF30FF" w:rsidP="00707120">
      <w:pPr>
        <w:pStyle w:val="ListParagraph"/>
        <w:ind w:left="567" w:hanging="567"/>
        <w:rPr>
          <w:szCs w:val="22"/>
          <w:lang w:val="lv-LV"/>
        </w:rPr>
      </w:pPr>
      <w:r>
        <w:rPr>
          <w:lang w:val="nb-NO"/>
        </w:rPr>
        <w:sym w:font="Symbol" w:char="F0B7"/>
      </w:r>
      <w:r>
        <w:rPr>
          <w:lang w:val="nb-NO"/>
        </w:rPr>
        <w:tab/>
      </w:r>
      <w:r w:rsidR="00F47ADA" w:rsidRPr="004A6295">
        <w:rPr>
          <w:szCs w:val="22"/>
          <w:lang w:val="lv-LV"/>
        </w:rPr>
        <w:t>sarkani, pietūkuši apvidi mutē;</w:t>
      </w:r>
    </w:p>
    <w:p w14:paraId="210D8E21" w14:textId="069AB4A1" w:rsidR="00F47ADA" w:rsidRPr="00707120" w:rsidRDefault="00CF30FF" w:rsidP="00707120">
      <w:pPr>
        <w:pStyle w:val="ListParagraph"/>
        <w:ind w:left="567" w:hanging="567"/>
        <w:rPr>
          <w:szCs w:val="22"/>
          <w:lang w:val="lv-LV"/>
        </w:rPr>
      </w:pPr>
      <w:r>
        <w:rPr>
          <w:lang w:val="nb-NO"/>
        </w:rPr>
        <w:sym w:font="Symbol" w:char="F0B7"/>
      </w:r>
      <w:r>
        <w:rPr>
          <w:lang w:val="nb-NO"/>
        </w:rPr>
        <w:tab/>
      </w:r>
      <w:r w:rsidR="00F47ADA" w:rsidRPr="004A6295">
        <w:rPr>
          <w:szCs w:val="22"/>
          <w:lang w:val="lv-LV"/>
        </w:rPr>
        <w:t>augsts tauku (triglicerīdu) līmenis asinīs;</w:t>
      </w:r>
    </w:p>
    <w:p w14:paraId="2012505F" w14:textId="1F73E519" w:rsidR="00F47ADA" w:rsidRPr="00707120" w:rsidRDefault="00CF30FF" w:rsidP="00707120">
      <w:pPr>
        <w:pStyle w:val="ListParagraph"/>
        <w:ind w:left="567" w:hanging="567"/>
        <w:rPr>
          <w:szCs w:val="22"/>
          <w:lang w:val="lv-LV"/>
        </w:rPr>
      </w:pPr>
      <w:r>
        <w:rPr>
          <w:lang w:val="nb-NO"/>
        </w:rPr>
        <w:sym w:font="Symbol" w:char="F0B7"/>
      </w:r>
      <w:r>
        <w:rPr>
          <w:lang w:val="nb-NO"/>
        </w:rPr>
        <w:tab/>
      </w:r>
      <w:r w:rsidR="00F47ADA" w:rsidRPr="004A6295">
        <w:rPr>
          <w:szCs w:val="22"/>
          <w:lang w:val="lv-LV"/>
        </w:rPr>
        <w:t>kuņģa čūla;</w:t>
      </w:r>
    </w:p>
    <w:p w14:paraId="79A211D1" w14:textId="7F1FEAB8" w:rsidR="00F47ADA" w:rsidRPr="00707120" w:rsidRDefault="00CF30FF" w:rsidP="00707120">
      <w:pPr>
        <w:pStyle w:val="ListParagraph"/>
        <w:ind w:left="567" w:hanging="567"/>
        <w:rPr>
          <w:szCs w:val="22"/>
          <w:lang w:val="lv-LV"/>
        </w:rPr>
      </w:pPr>
      <w:r>
        <w:rPr>
          <w:lang w:val="nb-NO"/>
        </w:rPr>
        <w:sym w:font="Symbol" w:char="F0B7"/>
      </w:r>
      <w:r>
        <w:rPr>
          <w:lang w:val="nb-NO"/>
        </w:rPr>
        <w:tab/>
      </w:r>
      <w:r w:rsidR="00F47ADA" w:rsidRPr="004A6295">
        <w:rPr>
          <w:szCs w:val="22"/>
          <w:lang w:val="lv-LV"/>
        </w:rPr>
        <w:t>nierakmeņi;</w:t>
      </w:r>
    </w:p>
    <w:p w14:paraId="59927FCD" w14:textId="7509F81F" w:rsidR="00F47ADA" w:rsidRPr="004A6295" w:rsidRDefault="00CF30FF" w:rsidP="00707120">
      <w:pPr>
        <w:pStyle w:val="ListParagraph"/>
        <w:ind w:left="567" w:hanging="567"/>
        <w:rPr>
          <w:szCs w:val="22"/>
          <w:lang w:val="lv-LV"/>
        </w:rPr>
      </w:pPr>
      <w:r>
        <w:rPr>
          <w:lang w:val="nb-NO"/>
        </w:rPr>
        <w:sym w:font="Symbol" w:char="F0B7"/>
      </w:r>
      <w:r>
        <w:rPr>
          <w:lang w:val="nb-NO"/>
        </w:rPr>
        <w:tab/>
      </w:r>
      <w:r w:rsidR="00F47ADA" w:rsidRPr="004A6295">
        <w:rPr>
          <w:szCs w:val="22"/>
          <w:lang w:val="lv-LV"/>
        </w:rPr>
        <w:t>pavājināta vairogdziedzera darbība.</w:t>
      </w:r>
    </w:p>
    <w:p w14:paraId="643DC57F" w14:textId="77777777" w:rsidR="00F47ADA" w:rsidRDefault="00F47ADA" w:rsidP="00F47ADA">
      <w:pPr>
        <w:ind w:right="-2"/>
        <w:rPr>
          <w:b/>
          <w:szCs w:val="22"/>
          <w:lang w:val="lv-LV"/>
        </w:rPr>
      </w:pPr>
    </w:p>
    <w:p w14:paraId="30CE73CD" w14:textId="1A80A544" w:rsidR="00F47ADA" w:rsidRDefault="00F47ADA" w:rsidP="00F47ADA">
      <w:pPr>
        <w:ind w:right="-2"/>
        <w:rPr>
          <w:b/>
          <w:szCs w:val="22"/>
          <w:lang w:val="lv-LV"/>
        </w:rPr>
      </w:pPr>
      <w:r>
        <w:rPr>
          <w:b/>
          <w:szCs w:val="22"/>
          <w:lang w:val="lv-LV"/>
        </w:rPr>
        <w:t>Retas blakusparādības</w:t>
      </w:r>
    </w:p>
    <w:p w14:paraId="7B3D5111" w14:textId="451A21AA" w:rsidR="00F47ADA" w:rsidRPr="00552EF9" w:rsidRDefault="00F47ADA" w:rsidP="00F47ADA">
      <w:pPr>
        <w:ind w:left="567" w:hanging="567"/>
        <w:rPr>
          <w:rFonts w:ascii="Symbol" w:hAnsi="Symbol" w:cs="Symbol"/>
          <w:szCs w:val="22"/>
          <w:lang w:val="lv-LV"/>
        </w:rPr>
      </w:pPr>
      <w:r>
        <w:rPr>
          <w:i/>
          <w:lang w:val="lv-LV"/>
        </w:rPr>
        <w:t>T</w:t>
      </w:r>
      <w:r w:rsidRPr="00552EF9">
        <w:rPr>
          <w:i/>
          <w:lang w:val="lv-LV"/>
        </w:rPr>
        <w:t>ās var rasties līdz 1</w:t>
      </w:r>
      <w:r>
        <w:rPr>
          <w:i/>
          <w:lang w:val="lv-LV"/>
        </w:rPr>
        <w:t> </w:t>
      </w:r>
      <w:r w:rsidRPr="00552EF9">
        <w:rPr>
          <w:i/>
          <w:lang w:val="lv-LV"/>
        </w:rPr>
        <w:t>no 10</w:t>
      </w:r>
      <w:r>
        <w:rPr>
          <w:i/>
          <w:lang w:val="lv-LV"/>
        </w:rPr>
        <w:t>0</w:t>
      </w:r>
      <w:r w:rsidRPr="00552EF9">
        <w:rPr>
          <w:i/>
          <w:lang w:val="lv-LV"/>
        </w:rPr>
        <w:t>0 </w:t>
      </w:r>
      <w:r>
        <w:rPr>
          <w:i/>
          <w:lang w:val="lv-LV"/>
        </w:rPr>
        <w:t>cilvēkiem</w:t>
      </w:r>
      <w:r w:rsidRPr="00552EF9">
        <w:rPr>
          <w:i/>
          <w:lang w:val="lv-LV"/>
        </w:rPr>
        <w:t>:</w:t>
      </w:r>
    </w:p>
    <w:p w14:paraId="7A5BF1F5" w14:textId="53FADDFB" w:rsidR="00F47ADA" w:rsidRPr="004A6295" w:rsidRDefault="00CF30FF" w:rsidP="00707120">
      <w:pPr>
        <w:pStyle w:val="ListParagraph"/>
        <w:ind w:left="567" w:hanging="567"/>
        <w:rPr>
          <w:szCs w:val="22"/>
          <w:lang w:val="lv-LV"/>
        </w:rPr>
      </w:pPr>
      <w:r>
        <w:rPr>
          <w:lang w:val="nb-NO"/>
        </w:rPr>
        <w:sym w:font="Symbol" w:char="F0B7"/>
      </w:r>
      <w:r>
        <w:rPr>
          <w:lang w:val="nb-NO"/>
        </w:rPr>
        <w:tab/>
      </w:r>
      <w:r w:rsidR="00F47ADA" w:rsidRPr="004A6295">
        <w:rPr>
          <w:szCs w:val="22"/>
          <w:lang w:val="lv-LV"/>
        </w:rPr>
        <w:t>Stīvensa-Džonsona sindroms (izsitumi uz ādas, no kā var veidoties pūšļi un ādas lobīšanās);</w:t>
      </w:r>
    </w:p>
    <w:p w14:paraId="345E3CB7" w14:textId="0207B07A" w:rsidR="00F47ADA" w:rsidRPr="004A6295" w:rsidRDefault="00CF30FF" w:rsidP="00707120">
      <w:pPr>
        <w:pStyle w:val="ListParagraph"/>
        <w:ind w:left="567" w:hanging="567"/>
        <w:rPr>
          <w:szCs w:val="22"/>
          <w:lang w:val="lv-LV"/>
        </w:rPr>
      </w:pPr>
      <w:r>
        <w:rPr>
          <w:lang w:val="nb-NO"/>
        </w:rPr>
        <w:sym w:font="Symbol" w:char="F0B7"/>
      </w:r>
      <w:r>
        <w:rPr>
          <w:lang w:val="nb-NO"/>
        </w:rPr>
        <w:tab/>
      </w:r>
      <w:r w:rsidR="00F47ADA" w:rsidRPr="004A6295">
        <w:rPr>
          <w:szCs w:val="22"/>
          <w:lang w:val="lv-LV"/>
        </w:rPr>
        <w:t>alerģiskas reakcijas ar letālu iznākumu (anafilakse);</w:t>
      </w:r>
    </w:p>
    <w:p w14:paraId="1E4C03F0" w14:textId="242088DA" w:rsidR="00F47ADA" w:rsidRPr="004A6295" w:rsidRDefault="00CF30FF" w:rsidP="00707120">
      <w:pPr>
        <w:pStyle w:val="ListParagraph"/>
        <w:ind w:left="567" w:hanging="567"/>
        <w:rPr>
          <w:szCs w:val="22"/>
          <w:lang w:val="lv-LV"/>
        </w:rPr>
      </w:pPr>
      <w:r>
        <w:rPr>
          <w:lang w:val="nb-NO"/>
        </w:rPr>
        <w:sym w:font="Symbol" w:char="F0B7"/>
      </w:r>
      <w:r>
        <w:rPr>
          <w:lang w:val="nb-NO"/>
        </w:rPr>
        <w:tab/>
      </w:r>
      <w:r w:rsidR="00F47ADA" w:rsidRPr="004A6295">
        <w:rPr>
          <w:szCs w:val="22"/>
          <w:lang w:val="lv-LV"/>
        </w:rPr>
        <w:t>aknu iekaisums (hepatīts), dzelte.</w:t>
      </w:r>
    </w:p>
    <w:p w14:paraId="653FBE4A" w14:textId="77777777" w:rsidR="00F47ADA" w:rsidRDefault="00F47ADA" w:rsidP="00F47ADA">
      <w:pPr>
        <w:ind w:right="-2"/>
        <w:rPr>
          <w:b/>
          <w:szCs w:val="22"/>
          <w:lang w:val="lv-LV"/>
        </w:rPr>
      </w:pPr>
    </w:p>
    <w:p w14:paraId="59740E40" w14:textId="0F2ED0B7" w:rsidR="00F47ADA" w:rsidRPr="00231EC9" w:rsidRDefault="00F47ADA" w:rsidP="00F47ADA">
      <w:pPr>
        <w:ind w:right="-2"/>
        <w:rPr>
          <w:b/>
          <w:i/>
          <w:szCs w:val="22"/>
          <w:lang w:val="lv-LV"/>
        </w:rPr>
      </w:pPr>
      <w:r w:rsidRPr="00231EC9">
        <w:rPr>
          <w:b/>
          <w:szCs w:val="22"/>
          <w:lang w:val="lv-LV"/>
        </w:rPr>
        <w:t>Ļoti retas blakusparādības</w:t>
      </w:r>
    </w:p>
    <w:p w14:paraId="54538045" w14:textId="1B247091" w:rsidR="00F47ADA" w:rsidRPr="00707120" w:rsidRDefault="00F47ADA" w:rsidP="00F47ADA">
      <w:pPr>
        <w:ind w:left="567" w:hanging="567"/>
        <w:rPr>
          <w:bCs/>
          <w:i/>
          <w:lang w:val="lv-LV"/>
        </w:rPr>
      </w:pPr>
      <w:r>
        <w:rPr>
          <w:bCs/>
          <w:i/>
          <w:lang w:val="lv-LV"/>
        </w:rPr>
        <w:t>Tās var rasties līdz 1 no 10 000 cilvēkiem:</w:t>
      </w:r>
    </w:p>
    <w:p w14:paraId="226CBACC" w14:textId="5D08C3BD" w:rsidR="00F47ADA" w:rsidRPr="005043A0" w:rsidRDefault="00CF30FF" w:rsidP="00707120">
      <w:pPr>
        <w:pStyle w:val="ListParagraph"/>
        <w:ind w:left="567" w:hanging="567"/>
        <w:rPr>
          <w:szCs w:val="22"/>
          <w:lang w:val="lv-LV"/>
        </w:rPr>
      </w:pPr>
      <w:r>
        <w:rPr>
          <w:lang w:val="nb-NO"/>
        </w:rPr>
        <w:sym w:font="Symbol" w:char="F0B7"/>
      </w:r>
      <w:r>
        <w:rPr>
          <w:lang w:val="nb-NO"/>
        </w:rPr>
        <w:tab/>
      </w:r>
      <w:r w:rsidR="00F47ADA" w:rsidRPr="005043A0">
        <w:rPr>
          <w:szCs w:val="22"/>
          <w:lang w:val="lv-LV"/>
        </w:rPr>
        <w:t>mazs balto asins šūnu skaits, mazs sarkano asins šūnu skaits vai mazs trombocītu skaits asinsanalīzēs;</w:t>
      </w:r>
    </w:p>
    <w:p w14:paraId="4046F4E2" w14:textId="18831F82" w:rsidR="00F47ADA" w:rsidRPr="004A6295" w:rsidRDefault="00CF30FF" w:rsidP="00707120">
      <w:pPr>
        <w:pStyle w:val="ListParagraph"/>
        <w:ind w:left="567" w:hanging="567"/>
        <w:rPr>
          <w:szCs w:val="22"/>
          <w:lang w:val="lv-LV"/>
        </w:rPr>
      </w:pPr>
      <w:r>
        <w:rPr>
          <w:lang w:val="nb-NO"/>
        </w:rPr>
        <w:sym w:font="Symbol" w:char="F0B7"/>
      </w:r>
      <w:r>
        <w:rPr>
          <w:lang w:val="nb-NO"/>
        </w:rPr>
        <w:tab/>
      </w:r>
      <w:r w:rsidR="00F47ADA" w:rsidRPr="004A6295">
        <w:rPr>
          <w:szCs w:val="22"/>
          <w:lang w:val="lv-LV"/>
        </w:rPr>
        <w:t>aknu bojājums.</w:t>
      </w:r>
    </w:p>
    <w:p w14:paraId="7D2D5498" w14:textId="77777777" w:rsidR="00F47ADA" w:rsidRDefault="00F47ADA" w:rsidP="00F47ADA">
      <w:pPr>
        <w:ind w:left="720" w:right="-2" w:hanging="720"/>
        <w:rPr>
          <w:szCs w:val="22"/>
          <w:lang w:val="lv-LV"/>
        </w:rPr>
      </w:pPr>
    </w:p>
    <w:p w14:paraId="4F134AE5" w14:textId="77777777" w:rsidR="00F47ADA" w:rsidRPr="00846FA5" w:rsidRDefault="00F47ADA" w:rsidP="00F47ADA">
      <w:pPr>
        <w:keepNext/>
        <w:ind w:left="720" w:hanging="720"/>
        <w:rPr>
          <w:b/>
          <w:szCs w:val="22"/>
          <w:lang w:val="lv-LV"/>
        </w:rPr>
      </w:pPr>
      <w:r w:rsidRPr="00846FA5">
        <w:rPr>
          <w:b/>
          <w:szCs w:val="22"/>
          <w:lang w:val="lv-LV"/>
        </w:rPr>
        <w:t>Blakusparādības bērniem un pusaudžiem ar sJIA vai pJIA</w:t>
      </w:r>
    </w:p>
    <w:p w14:paraId="322D20D0" w14:textId="77777777" w:rsidR="00F47ADA" w:rsidRDefault="00F47ADA" w:rsidP="00F47ADA">
      <w:pPr>
        <w:keepNext/>
        <w:rPr>
          <w:szCs w:val="22"/>
          <w:lang w:val="lv-LV"/>
        </w:rPr>
      </w:pPr>
      <w:r>
        <w:rPr>
          <w:szCs w:val="22"/>
          <w:lang w:val="lv-LV"/>
        </w:rPr>
        <w:t>Blakusparādības bērniem un pusaudžiem ar sJIA vai pJIA parasti ir līdzīgas kā pieaugušajiem. Dažas blakusparādības bērniem un pusaudžiem novēro biežāk: deguna un rīkles iekaisums, galvassāpes, slikta dūša un samazināts balto asins šūnu skaits.</w:t>
      </w:r>
    </w:p>
    <w:p w14:paraId="0787724A" w14:textId="77777777" w:rsidR="00F47ADA" w:rsidRDefault="00F47ADA" w:rsidP="00F47ADA">
      <w:pPr>
        <w:ind w:right="-2"/>
        <w:rPr>
          <w:szCs w:val="22"/>
          <w:lang w:val="lv-LV"/>
        </w:rPr>
      </w:pPr>
    </w:p>
    <w:p w14:paraId="723843A4" w14:textId="77777777" w:rsidR="00F47ADA" w:rsidRPr="00231EC9" w:rsidRDefault="00F47ADA" w:rsidP="00F47ADA">
      <w:pPr>
        <w:keepNext/>
        <w:keepLines/>
        <w:numPr>
          <w:ilvl w:val="12"/>
          <w:numId w:val="0"/>
        </w:numPr>
        <w:tabs>
          <w:tab w:val="left" w:pos="567"/>
        </w:tabs>
        <w:suppressAutoHyphens w:val="0"/>
        <w:outlineLvl w:val="0"/>
        <w:rPr>
          <w:b/>
          <w:snapToGrid w:val="0"/>
          <w:szCs w:val="22"/>
          <w:lang w:val="lv-LV" w:eastAsia="zh-CN"/>
        </w:rPr>
      </w:pPr>
      <w:r w:rsidRPr="00231EC9">
        <w:rPr>
          <w:b/>
          <w:snapToGrid w:val="0"/>
          <w:szCs w:val="22"/>
          <w:lang w:val="lv-LV" w:eastAsia="zh-CN"/>
        </w:rPr>
        <w:t>Ziņošana par blakusparādībām</w:t>
      </w:r>
    </w:p>
    <w:p w14:paraId="7387E4B5" w14:textId="6C68A234" w:rsidR="00F47ADA" w:rsidRDefault="00F47ADA" w:rsidP="00F47ADA">
      <w:pPr>
        <w:keepNext/>
        <w:keepLines/>
        <w:ind w:right="-2"/>
        <w:rPr>
          <w:snapToGrid w:val="0"/>
          <w:lang w:val="lv-LV" w:eastAsia="zh-CN"/>
        </w:rPr>
      </w:pPr>
      <w:r>
        <w:rPr>
          <w:snapToGrid w:val="0"/>
          <w:lang w:val="lv-LV" w:eastAsia="zh-CN"/>
        </w:rPr>
        <w:t xml:space="preserve">Ja Jums rodas jebkādas blakusparādības, konsultējieties ar ārstu, farmaceitu vai medmāsu. Tas attiecas arī uz iespējamajām blakusparādībām, kas </w:t>
      </w:r>
      <w:r>
        <w:rPr>
          <w:snapToGrid w:val="0"/>
          <w:szCs w:val="22"/>
          <w:lang w:val="lv-LV" w:eastAsia="zh-CN"/>
        </w:rPr>
        <w:t xml:space="preserve">nav minētas šajā instrukcijā. Jūs varat ziņot par blakusparādībām arī tieši, izmantojot </w:t>
      </w:r>
      <w:r w:rsidR="007E17F8">
        <w:fldChar w:fldCharType="begin"/>
      </w:r>
      <w:r w:rsidR="007E17F8" w:rsidRPr="00DD58C9">
        <w:rPr>
          <w:lang w:val="lv-LV"/>
          <w:rPrChange w:id="1803" w:author="Author">
            <w:rPr/>
          </w:rPrChange>
        </w:rPr>
        <w:instrText xml:space="preserve"> HYPERLINK "https://www.ema.europa.eu/documents/template-form/qrd-appendix-v-adverse-drug-reaction-reporting-details_en.docx" </w:instrText>
      </w:r>
      <w:r w:rsidR="007E17F8">
        <w:fldChar w:fldCharType="separate"/>
      </w:r>
      <w:r>
        <w:rPr>
          <w:snapToGrid w:val="0"/>
          <w:color w:val="0000FF"/>
          <w:highlight w:val="lightGray"/>
          <w:u w:val="single"/>
          <w:lang w:val="lv-LV" w:eastAsia="zh-CN"/>
        </w:rPr>
        <w:t>V pielikumā</w:t>
      </w:r>
      <w:r w:rsidR="007E17F8">
        <w:rPr>
          <w:snapToGrid w:val="0"/>
          <w:color w:val="0000FF"/>
          <w:highlight w:val="lightGray"/>
          <w:u w:val="single"/>
          <w:lang w:val="lv-LV" w:eastAsia="zh-CN"/>
        </w:rPr>
        <w:fldChar w:fldCharType="end"/>
      </w:r>
      <w:r>
        <w:rPr>
          <w:snapToGrid w:val="0"/>
          <w:szCs w:val="22"/>
          <w:highlight w:val="lightGray"/>
          <w:lang w:val="lv-LV" w:eastAsia="zh-CN"/>
        </w:rPr>
        <w:t xml:space="preserve"> minēto nacionālās ziņošanas sistēmas kontaktinformāciju</w:t>
      </w:r>
      <w:r>
        <w:rPr>
          <w:snapToGrid w:val="0"/>
          <w:szCs w:val="22"/>
          <w:lang w:val="lv-LV" w:eastAsia="zh-CN"/>
        </w:rPr>
        <w:t>. Ziņojot par blakusparādībām, Jūs varat palīdzēt nodrošināt daudz plašāku informāciju par šo zāļu drošumu</w:t>
      </w:r>
      <w:r>
        <w:rPr>
          <w:snapToGrid w:val="0"/>
          <w:lang w:val="lv-LV" w:eastAsia="zh-CN"/>
        </w:rPr>
        <w:t>.</w:t>
      </w:r>
    </w:p>
    <w:p w14:paraId="3F5DF6F4" w14:textId="77777777" w:rsidR="00F47ADA" w:rsidRDefault="00F47ADA" w:rsidP="00F47ADA">
      <w:pPr>
        <w:ind w:right="-2"/>
        <w:rPr>
          <w:szCs w:val="22"/>
          <w:lang w:val="lv-LV"/>
        </w:rPr>
      </w:pPr>
    </w:p>
    <w:p w14:paraId="12D7CA95" w14:textId="77777777" w:rsidR="00F47ADA" w:rsidRDefault="00F47ADA" w:rsidP="00F47ADA">
      <w:pPr>
        <w:ind w:right="-2"/>
        <w:rPr>
          <w:szCs w:val="22"/>
          <w:lang w:val="lv-LV"/>
        </w:rPr>
      </w:pPr>
    </w:p>
    <w:p w14:paraId="7B8364BB" w14:textId="77777777" w:rsidR="00F47ADA" w:rsidRPr="00980DD8" w:rsidRDefault="00F47ADA" w:rsidP="00F47ADA">
      <w:pPr>
        <w:keepNext/>
        <w:keepLines/>
        <w:ind w:left="562" w:hanging="562"/>
        <w:rPr>
          <w:szCs w:val="22"/>
          <w:lang w:val="lv-LV"/>
        </w:rPr>
      </w:pPr>
      <w:r w:rsidRPr="00980DD8">
        <w:rPr>
          <w:b/>
          <w:szCs w:val="22"/>
          <w:lang w:val="lv-LV"/>
        </w:rPr>
        <w:t>5.</w:t>
      </w:r>
      <w:r w:rsidRPr="00980DD8">
        <w:rPr>
          <w:b/>
          <w:szCs w:val="22"/>
          <w:lang w:val="lv-LV"/>
        </w:rPr>
        <w:tab/>
        <w:t>Kā uzglabāt RoActemra</w:t>
      </w:r>
    </w:p>
    <w:p w14:paraId="7ABC5962" w14:textId="77777777" w:rsidR="00F47ADA" w:rsidRDefault="00F47ADA" w:rsidP="00F47ADA">
      <w:pPr>
        <w:keepNext/>
        <w:ind w:right="-2"/>
        <w:rPr>
          <w:szCs w:val="22"/>
          <w:lang w:val="lv-LV"/>
        </w:rPr>
      </w:pPr>
    </w:p>
    <w:p w14:paraId="26BE03C2" w14:textId="77777777" w:rsidR="00F47ADA" w:rsidRDefault="00F47ADA" w:rsidP="00F47ADA">
      <w:pPr>
        <w:keepNext/>
        <w:ind w:right="-2"/>
        <w:rPr>
          <w:szCs w:val="22"/>
          <w:lang w:val="lv-LV"/>
        </w:rPr>
      </w:pPr>
      <w:r>
        <w:rPr>
          <w:szCs w:val="22"/>
          <w:lang w:val="lv-LV"/>
        </w:rPr>
        <w:t>Uzglabāt šīs zāles bērniem neredzamā un nepieejamā vietā.</w:t>
      </w:r>
    </w:p>
    <w:p w14:paraId="62A2E664" w14:textId="77777777" w:rsidR="00F47ADA" w:rsidRDefault="00F47ADA" w:rsidP="00F47ADA">
      <w:pPr>
        <w:ind w:right="-2"/>
        <w:rPr>
          <w:szCs w:val="22"/>
          <w:lang w:val="lv-LV"/>
        </w:rPr>
      </w:pPr>
    </w:p>
    <w:p w14:paraId="1E6D7E05" w14:textId="6F60647F" w:rsidR="00F47ADA" w:rsidRDefault="00F47ADA" w:rsidP="00F47ADA">
      <w:pPr>
        <w:rPr>
          <w:lang w:val="lv-LV"/>
        </w:rPr>
      </w:pPr>
      <w:r>
        <w:rPr>
          <w:lang w:val="lv-LV"/>
        </w:rPr>
        <w:t xml:space="preserve">Nelietot šīs zāles pēc derīguma termiņa beigām, kas norādīts uz pilnšļirces marķējuma un kastītes </w:t>
      </w:r>
      <w:r w:rsidR="00884395">
        <w:rPr>
          <w:lang w:val="lv-LV"/>
        </w:rPr>
        <w:t>pēc“</w:t>
      </w:r>
      <w:r>
        <w:rPr>
          <w:lang w:val="lv-LV"/>
        </w:rPr>
        <w:t>EXP</w:t>
      </w:r>
      <w:r w:rsidR="00884395">
        <w:rPr>
          <w:lang w:val="lv-LV"/>
        </w:rPr>
        <w:t>”</w:t>
      </w:r>
      <w:r>
        <w:rPr>
          <w:lang w:val="lv-LV"/>
        </w:rPr>
        <w:t xml:space="preserve">. Derīguma termiņš attiecas uz norādītā mēneša pēdējo dienu. </w:t>
      </w:r>
    </w:p>
    <w:p w14:paraId="69884AAC" w14:textId="77777777" w:rsidR="00F47ADA" w:rsidRDefault="00F47ADA" w:rsidP="00F47ADA">
      <w:pPr>
        <w:rPr>
          <w:lang w:val="lv-LV"/>
        </w:rPr>
      </w:pPr>
    </w:p>
    <w:p w14:paraId="2CA5A5EA" w14:textId="6D80DD98" w:rsidR="00F47ADA" w:rsidRDefault="00F47ADA" w:rsidP="00F47ADA">
      <w:pPr>
        <w:rPr>
          <w:szCs w:val="22"/>
          <w:lang w:val="lv-LV"/>
        </w:rPr>
      </w:pPr>
      <w:r>
        <w:rPr>
          <w:szCs w:val="22"/>
          <w:lang w:val="lv-LV"/>
        </w:rPr>
        <w:t xml:space="preserve">Uzglabāt ledusskapī (2 °C–8 °C). Nesasaldēt. </w:t>
      </w:r>
      <w:r w:rsidRPr="0043619A">
        <w:rPr>
          <w:szCs w:val="22"/>
          <w:lang w:val="lv-LV"/>
        </w:rPr>
        <w:t>Pēc izņemšanas no ledusskapja pilnšļirci var uzglabāt līdz 2</w:t>
      </w:r>
      <w:r>
        <w:rPr>
          <w:szCs w:val="22"/>
          <w:lang w:val="lv-LV"/>
        </w:rPr>
        <w:t> </w:t>
      </w:r>
      <w:r w:rsidRPr="0043619A">
        <w:rPr>
          <w:szCs w:val="22"/>
          <w:lang w:val="lv-LV"/>
        </w:rPr>
        <w:t>nedēļām temperatūrā līdz 30</w:t>
      </w:r>
      <w:r>
        <w:rPr>
          <w:szCs w:val="22"/>
          <w:lang w:val="lv-LV"/>
        </w:rPr>
        <w:t> </w:t>
      </w:r>
      <w:r w:rsidRPr="0043619A">
        <w:rPr>
          <w:szCs w:val="22"/>
          <w:lang w:val="lv-LV"/>
        </w:rPr>
        <w:t>°C.</w:t>
      </w:r>
    </w:p>
    <w:p w14:paraId="69DADE64" w14:textId="77777777" w:rsidR="00F47ADA" w:rsidRDefault="00F47ADA" w:rsidP="00F47ADA">
      <w:pPr>
        <w:rPr>
          <w:szCs w:val="22"/>
          <w:lang w:val="lv-LV"/>
        </w:rPr>
      </w:pPr>
    </w:p>
    <w:p w14:paraId="0C92A11C" w14:textId="77777777" w:rsidR="00F47ADA" w:rsidRDefault="00F47ADA" w:rsidP="00F47ADA">
      <w:pPr>
        <w:rPr>
          <w:lang w:val="lv-LV"/>
        </w:rPr>
      </w:pPr>
      <w:r>
        <w:rPr>
          <w:szCs w:val="22"/>
          <w:lang w:val="lv-LV"/>
        </w:rPr>
        <w:t>Uzglabāt pilnšļirces ārējā kastītē, lai pasargātu no gaismas un mitruma.</w:t>
      </w:r>
    </w:p>
    <w:p w14:paraId="703B6F88" w14:textId="77777777" w:rsidR="00F47ADA" w:rsidRDefault="00F47ADA" w:rsidP="00F47ADA">
      <w:pPr>
        <w:rPr>
          <w:lang w:val="lv-LV"/>
        </w:rPr>
      </w:pPr>
    </w:p>
    <w:p w14:paraId="3332B5BC" w14:textId="77777777" w:rsidR="00F47ADA" w:rsidRDefault="00F47ADA" w:rsidP="00F47ADA">
      <w:pPr>
        <w:rPr>
          <w:lang w:val="lv-LV"/>
        </w:rPr>
      </w:pPr>
      <w:r>
        <w:rPr>
          <w:lang w:val="lv-LV"/>
        </w:rPr>
        <w:t xml:space="preserve">Nelietojiet šīs zāles, ja šķīdums ir duļķains vai satur daļiņas, ja tā krāsa nav bezkrāsaina līdz dzeltenīga vai kāda no pilnšļirces detaļām šķiet bojāta. </w:t>
      </w:r>
    </w:p>
    <w:p w14:paraId="3B72B48E" w14:textId="77777777" w:rsidR="00F47ADA" w:rsidRDefault="00F47ADA" w:rsidP="00F47ADA">
      <w:pPr>
        <w:rPr>
          <w:lang w:val="lv-LV"/>
        </w:rPr>
      </w:pPr>
    </w:p>
    <w:p w14:paraId="3A857B76" w14:textId="77777777" w:rsidR="00F47ADA" w:rsidRDefault="00F47ADA" w:rsidP="00F47ADA">
      <w:pPr>
        <w:rPr>
          <w:lang w:val="lv-LV"/>
        </w:rPr>
      </w:pPr>
      <w:r>
        <w:rPr>
          <w:lang w:val="lv-LV"/>
        </w:rPr>
        <w:t xml:space="preserve">Pilnšļirci nedrīkst sakratīt. </w:t>
      </w:r>
      <w:r>
        <w:rPr>
          <w:kern w:val="1"/>
          <w:szCs w:val="22"/>
          <w:lang w:val="lv-LV"/>
        </w:rPr>
        <w:t>Pēc vāciņa noņemšanas injekcija jāuzsāk 5 minūšu laikā, lai nepieļautu zāļu izžūšanu un adatas aizsprostošanu. Ja pilnšļirce netiek lietota 5 minūšu laikā pēc vāciņa noņemšanas, tā ir jāizmet necaurduramā tvertnē un jālieto jauna pilnšļirce.</w:t>
      </w:r>
    </w:p>
    <w:p w14:paraId="2DDE2979" w14:textId="77777777" w:rsidR="00F47ADA" w:rsidRDefault="00F47ADA" w:rsidP="00F47ADA">
      <w:pPr>
        <w:rPr>
          <w:szCs w:val="22"/>
          <w:lang w:val="lv-LV"/>
        </w:rPr>
      </w:pPr>
    </w:p>
    <w:p w14:paraId="3EE9C500" w14:textId="77777777" w:rsidR="00F47ADA" w:rsidRDefault="00F47ADA" w:rsidP="00F47ADA">
      <w:pPr>
        <w:spacing w:line="100" w:lineRule="atLeast"/>
        <w:rPr>
          <w:kern w:val="1"/>
          <w:lang w:val="lv-LV"/>
        </w:rPr>
      </w:pPr>
      <w:r>
        <w:rPr>
          <w:bCs/>
          <w:kern w:val="1"/>
          <w:szCs w:val="22"/>
          <w:lang w:val="lv-LV"/>
        </w:rPr>
        <w:t>Ja pēc adatas ieduršanas nevarat nospiest virzuli, pilnšļirce ir jāizmet necaurduramā tvertnē un jālieto jauna pilnšļirce.</w:t>
      </w:r>
    </w:p>
    <w:p w14:paraId="293753C3" w14:textId="77777777" w:rsidR="00F47ADA" w:rsidRDefault="00F47ADA" w:rsidP="00F47ADA">
      <w:pPr>
        <w:ind w:left="567" w:right="-2" w:hanging="567"/>
        <w:rPr>
          <w:szCs w:val="22"/>
          <w:lang w:val="lv-LV"/>
        </w:rPr>
      </w:pPr>
    </w:p>
    <w:p w14:paraId="4A95339C" w14:textId="77777777" w:rsidR="00F47ADA" w:rsidRDefault="00F47ADA" w:rsidP="00F47ADA">
      <w:pPr>
        <w:ind w:left="567" w:right="-2" w:hanging="567"/>
        <w:rPr>
          <w:szCs w:val="22"/>
          <w:lang w:val="lv-LV"/>
        </w:rPr>
      </w:pPr>
    </w:p>
    <w:p w14:paraId="58E9C45B" w14:textId="77777777" w:rsidR="00F47ADA" w:rsidRPr="00980DD8" w:rsidRDefault="00F47ADA" w:rsidP="00F47ADA">
      <w:pPr>
        <w:keepNext/>
        <w:keepLines/>
        <w:ind w:left="567" w:hanging="567"/>
        <w:rPr>
          <w:b/>
          <w:bCs/>
          <w:szCs w:val="22"/>
          <w:lang w:val="lv-LV"/>
        </w:rPr>
      </w:pPr>
      <w:r w:rsidRPr="00980DD8">
        <w:rPr>
          <w:b/>
          <w:szCs w:val="22"/>
          <w:lang w:val="lv-LV"/>
        </w:rPr>
        <w:t>6.</w:t>
      </w:r>
      <w:r w:rsidRPr="00980DD8">
        <w:rPr>
          <w:b/>
          <w:szCs w:val="22"/>
          <w:lang w:val="lv-LV"/>
        </w:rPr>
        <w:tab/>
        <w:t>Iepakojuma saturs un cita informācija</w:t>
      </w:r>
    </w:p>
    <w:p w14:paraId="1B1ECB5A" w14:textId="77777777" w:rsidR="00F47ADA" w:rsidRDefault="00F47ADA" w:rsidP="00F47ADA">
      <w:pPr>
        <w:keepNext/>
        <w:keepLines/>
        <w:ind w:left="567" w:right="-2" w:hanging="567"/>
        <w:rPr>
          <w:b/>
          <w:bCs/>
          <w:szCs w:val="22"/>
          <w:lang w:val="lv-LV"/>
        </w:rPr>
      </w:pPr>
    </w:p>
    <w:p w14:paraId="076BEB94" w14:textId="77777777" w:rsidR="00F47ADA" w:rsidRPr="00231EC9" w:rsidRDefault="00F47ADA" w:rsidP="00F47ADA">
      <w:pPr>
        <w:keepNext/>
        <w:keepLines/>
        <w:ind w:left="567" w:right="-2" w:hanging="567"/>
        <w:rPr>
          <w:rFonts w:ascii="Symbol" w:hAnsi="Symbol" w:cs="Symbol"/>
          <w:szCs w:val="22"/>
          <w:lang w:val="lv-LV"/>
        </w:rPr>
      </w:pPr>
      <w:r w:rsidRPr="00231EC9">
        <w:rPr>
          <w:b/>
          <w:bCs/>
          <w:szCs w:val="22"/>
          <w:lang w:val="lv-LV"/>
        </w:rPr>
        <w:t>Ko RoActemra satur</w:t>
      </w:r>
    </w:p>
    <w:p w14:paraId="523942DD" w14:textId="44F48877" w:rsidR="00F47ADA" w:rsidRPr="004A6295" w:rsidRDefault="00CF30FF" w:rsidP="00707120">
      <w:pPr>
        <w:pStyle w:val="ListParagraph"/>
        <w:keepNext/>
        <w:keepLines/>
        <w:ind w:left="567" w:hanging="567"/>
        <w:rPr>
          <w:szCs w:val="22"/>
          <w:lang w:val="lv-LV"/>
        </w:rPr>
      </w:pPr>
      <w:r>
        <w:rPr>
          <w:lang w:val="nb-NO"/>
        </w:rPr>
        <w:sym w:font="Symbol" w:char="F0B7"/>
      </w:r>
      <w:r>
        <w:rPr>
          <w:lang w:val="nb-NO"/>
        </w:rPr>
        <w:tab/>
      </w:r>
      <w:r w:rsidR="00F47ADA" w:rsidRPr="004A6295">
        <w:rPr>
          <w:szCs w:val="22"/>
          <w:lang w:val="lv-LV"/>
        </w:rPr>
        <w:t xml:space="preserve">Aktīvā viela ir tocilizumabs. </w:t>
      </w:r>
    </w:p>
    <w:p w14:paraId="79C6F7AA" w14:textId="4E73B988" w:rsidR="00F47ADA" w:rsidRDefault="00A24F77" w:rsidP="00707120">
      <w:pPr>
        <w:keepNext/>
        <w:keepLines/>
        <w:ind w:left="567" w:hanging="567"/>
        <w:rPr>
          <w:szCs w:val="22"/>
          <w:lang w:val="lv-LV"/>
        </w:rPr>
      </w:pPr>
      <w:r>
        <w:rPr>
          <w:szCs w:val="22"/>
          <w:lang w:val="lv-LV"/>
        </w:rPr>
        <w:t xml:space="preserve">Katra </w:t>
      </w:r>
      <w:r w:rsidR="00F47ADA">
        <w:rPr>
          <w:szCs w:val="22"/>
          <w:lang w:val="lv-LV"/>
        </w:rPr>
        <w:t xml:space="preserve">pilnšļirce satur 162 mg tocilizumaba/0,9 ml. </w:t>
      </w:r>
    </w:p>
    <w:p w14:paraId="61183DBA" w14:textId="77777777" w:rsidR="00F47ADA" w:rsidRDefault="00F47ADA" w:rsidP="00707120">
      <w:pPr>
        <w:keepNext/>
        <w:keepLines/>
        <w:ind w:left="567" w:hanging="567"/>
        <w:rPr>
          <w:szCs w:val="22"/>
          <w:lang w:val="lv-LV"/>
        </w:rPr>
      </w:pPr>
    </w:p>
    <w:p w14:paraId="7A04E3E8" w14:textId="6C2FCBDF" w:rsidR="00F47ADA" w:rsidRPr="004A6295" w:rsidRDefault="00CF30FF" w:rsidP="00707120">
      <w:pPr>
        <w:pStyle w:val="ListParagraph"/>
        <w:ind w:left="567" w:hanging="567"/>
        <w:rPr>
          <w:b/>
          <w:bCs/>
          <w:szCs w:val="22"/>
          <w:lang w:val="lv-LV"/>
        </w:rPr>
      </w:pPr>
      <w:r>
        <w:rPr>
          <w:lang w:val="nb-NO"/>
        </w:rPr>
        <w:sym w:font="Symbol" w:char="F0B7"/>
      </w:r>
      <w:r>
        <w:rPr>
          <w:lang w:val="nb-NO"/>
        </w:rPr>
        <w:tab/>
      </w:r>
      <w:r w:rsidR="00F47ADA" w:rsidRPr="004A6295">
        <w:rPr>
          <w:szCs w:val="22"/>
          <w:lang w:val="lv-LV"/>
        </w:rPr>
        <w:t>Citas sastāvdaļas ir L</w:t>
      </w:r>
      <w:r w:rsidR="00F47ADA" w:rsidRPr="004A6295">
        <w:rPr>
          <w:szCs w:val="22"/>
          <w:lang w:val="lv-LV"/>
        </w:rPr>
        <w:noBreakHyphen/>
        <w:t>histidīns, L</w:t>
      </w:r>
      <w:r w:rsidR="00F47ADA" w:rsidRPr="004A6295">
        <w:rPr>
          <w:szCs w:val="22"/>
          <w:lang w:val="lv-LV"/>
        </w:rPr>
        <w:noBreakHyphen/>
        <w:t>histidīna monohidrohlorīda monohidrāts, L</w:t>
      </w:r>
      <w:r w:rsidR="00F47ADA" w:rsidRPr="004A6295">
        <w:rPr>
          <w:szCs w:val="22"/>
          <w:lang w:val="lv-LV"/>
        </w:rPr>
        <w:noBreakHyphen/>
        <w:t>arginīns/L</w:t>
      </w:r>
      <w:r w:rsidR="00F47ADA" w:rsidRPr="004A6295">
        <w:rPr>
          <w:szCs w:val="22"/>
          <w:lang w:val="lv-LV"/>
        </w:rPr>
        <w:noBreakHyphen/>
        <w:t>arginīna hidrohlorīds, L-metionīns, polisorbāts 80 un ūdens injekcijām</w:t>
      </w:r>
      <w:r w:rsidR="00F47ADA">
        <w:rPr>
          <w:szCs w:val="22"/>
          <w:lang w:val="lv-LV"/>
        </w:rPr>
        <w:t xml:space="preserve"> (skatīt 2. punktu “RoActemra satur polisorbātu</w:t>
      </w:r>
      <w:ins w:id="1804" w:author="Author">
        <w:r w:rsidR="00037F5C">
          <w:rPr>
            <w:szCs w:val="22"/>
            <w:lang w:val="lv-LV"/>
          </w:rPr>
          <w:t> </w:t>
        </w:r>
        <w:r w:rsidR="005B6474">
          <w:rPr>
            <w:szCs w:val="22"/>
            <w:lang w:val="lv-LV"/>
          </w:rPr>
          <w:t>80 (E</w:t>
        </w:r>
        <w:r w:rsidR="00037F5C">
          <w:rPr>
            <w:szCs w:val="22"/>
            <w:lang w:val="lv-LV"/>
          </w:rPr>
          <w:t> </w:t>
        </w:r>
        <w:r w:rsidR="005B6474">
          <w:rPr>
            <w:szCs w:val="22"/>
            <w:lang w:val="lv-LV"/>
          </w:rPr>
          <w:t>433)</w:t>
        </w:r>
      </w:ins>
      <w:r w:rsidR="00F47ADA">
        <w:rPr>
          <w:szCs w:val="22"/>
          <w:lang w:val="lv-LV"/>
        </w:rPr>
        <w:t>”</w:t>
      </w:r>
      <w:r w:rsidR="00F47ADA" w:rsidRPr="004A6295">
        <w:rPr>
          <w:szCs w:val="22"/>
          <w:lang w:val="lv-LV"/>
        </w:rPr>
        <w:t>.</w:t>
      </w:r>
    </w:p>
    <w:p w14:paraId="28A8253B" w14:textId="77777777" w:rsidR="00F47ADA" w:rsidRDefault="00F47ADA" w:rsidP="00F47ADA">
      <w:pPr>
        <w:ind w:right="-2"/>
        <w:rPr>
          <w:b/>
          <w:bCs/>
          <w:szCs w:val="22"/>
          <w:lang w:val="lv-LV"/>
        </w:rPr>
      </w:pPr>
    </w:p>
    <w:p w14:paraId="55A91C47" w14:textId="77777777" w:rsidR="00F47ADA" w:rsidRPr="00707120" w:rsidRDefault="00F47ADA" w:rsidP="00F47ADA">
      <w:pPr>
        <w:rPr>
          <w:szCs w:val="22"/>
          <w:lang w:val="lv-LV"/>
        </w:rPr>
      </w:pPr>
      <w:r w:rsidRPr="00707120">
        <w:rPr>
          <w:b/>
          <w:bCs/>
          <w:szCs w:val="22"/>
          <w:lang w:val="lv-LV"/>
        </w:rPr>
        <w:t>RoActemra ārējais izskats un iepakojums</w:t>
      </w:r>
    </w:p>
    <w:p w14:paraId="70270C94" w14:textId="3747BC5E" w:rsidR="00F47ADA" w:rsidRDefault="00F47ADA" w:rsidP="00F47ADA">
      <w:pPr>
        <w:rPr>
          <w:szCs w:val="22"/>
          <w:lang w:val="lv-LV"/>
        </w:rPr>
      </w:pPr>
      <w:r>
        <w:rPr>
          <w:szCs w:val="22"/>
          <w:lang w:val="lv-LV"/>
        </w:rPr>
        <w:t xml:space="preserve">RoActemra ir šķīdums injekcijām. Šķīdums ir bezkrāsains līdz gaiši dzeltens šķīdums. </w:t>
      </w:r>
    </w:p>
    <w:p w14:paraId="51BB2F4B" w14:textId="151F177D" w:rsidR="00F47ADA" w:rsidRPr="00707120" w:rsidRDefault="00F47ADA" w:rsidP="00F47ADA">
      <w:pPr>
        <w:keepNext/>
        <w:keepLines/>
        <w:rPr>
          <w:szCs w:val="22"/>
          <w:lang w:val="lv-LV"/>
        </w:rPr>
      </w:pPr>
      <w:r>
        <w:rPr>
          <w:szCs w:val="22"/>
          <w:lang w:val="lv-LV"/>
        </w:rPr>
        <w:t xml:space="preserve">RoActemra tiek piegādāts 0,9 ml pilnšļircē, kas satur 162 mg tocilizumaba šķīdumu injekcijām. </w:t>
      </w:r>
      <w:r w:rsidRPr="003C7CDD">
        <w:rPr>
          <w:szCs w:val="22"/>
          <w:lang w:val="lv-LV"/>
        </w:rPr>
        <w:t>Katrā iepakojumā ir 4 pilnšļirces</w:t>
      </w:r>
      <w:r>
        <w:rPr>
          <w:szCs w:val="22"/>
          <w:lang w:val="lv-LV"/>
        </w:rPr>
        <w:t>,</w:t>
      </w:r>
      <w:r w:rsidRPr="003C7CDD">
        <w:rPr>
          <w:szCs w:val="22"/>
          <w:lang w:val="lv-LV"/>
        </w:rPr>
        <w:t xml:space="preserve"> </w:t>
      </w:r>
      <w:r w:rsidRPr="00707120">
        <w:rPr>
          <w:iCs/>
          <w:szCs w:val="22"/>
          <w:lang w:val="lv-LV"/>
        </w:rPr>
        <w:t>un daudzdevu iepakojumos ir 12</w:t>
      </w:r>
      <w:r>
        <w:rPr>
          <w:iCs/>
          <w:szCs w:val="22"/>
          <w:lang w:val="lv-LV"/>
        </w:rPr>
        <w:t> </w:t>
      </w:r>
      <w:r w:rsidRPr="00707120">
        <w:rPr>
          <w:iCs/>
          <w:szCs w:val="22"/>
          <w:lang w:val="lv-LV"/>
        </w:rPr>
        <w:t>pilnšļirces (3</w:t>
      </w:r>
      <w:r>
        <w:rPr>
          <w:iCs/>
          <w:szCs w:val="22"/>
          <w:lang w:val="lv-LV"/>
        </w:rPr>
        <w:t> </w:t>
      </w:r>
      <w:r w:rsidRPr="00707120">
        <w:rPr>
          <w:iCs/>
          <w:szCs w:val="22"/>
          <w:lang w:val="lv-LV"/>
        </w:rPr>
        <w:t>kārbiņas katrā pa 4). Visi iepakojuma lielumi tirgū var nebūt pieejami.</w:t>
      </w:r>
    </w:p>
    <w:p w14:paraId="151234BA" w14:textId="77777777" w:rsidR="00F47ADA" w:rsidRDefault="00F47ADA" w:rsidP="00F47ADA">
      <w:pPr>
        <w:keepNext/>
        <w:keepLines/>
        <w:rPr>
          <w:b/>
          <w:bCs/>
          <w:szCs w:val="22"/>
          <w:lang w:val="lv-LV"/>
        </w:rPr>
      </w:pPr>
    </w:p>
    <w:p w14:paraId="767D8D4C" w14:textId="77777777" w:rsidR="00F47ADA" w:rsidRPr="00707120" w:rsidRDefault="00F47ADA" w:rsidP="00F47ADA">
      <w:pPr>
        <w:keepNext/>
        <w:rPr>
          <w:szCs w:val="22"/>
          <w:lang w:val="lv-LV"/>
        </w:rPr>
      </w:pPr>
      <w:r w:rsidRPr="00707120">
        <w:rPr>
          <w:b/>
          <w:bCs/>
          <w:szCs w:val="22"/>
          <w:lang w:val="lv-LV"/>
        </w:rPr>
        <w:t>Reģistrācijas apliecības īpašnieks</w:t>
      </w:r>
    </w:p>
    <w:p w14:paraId="49A2929F" w14:textId="77777777" w:rsidR="00F47ADA" w:rsidRPr="0030288A" w:rsidRDefault="00F47ADA" w:rsidP="00F47ADA">
      <w:pPr>
        <w:rPr>
          <w:szCs w:val="22"/>
          <w:lang w:val="lv-LV"/>
        </w:rPr>
      </w:pPr>
      <w:r w:rsidRPr="0030288A">
        <w:rPr>
          <w:szCs w:val="22"/>
          <w:lang w:val="lv-LV"/>
        </w:rPr>
        <w:t xml:space="preserve">Roche Registration GmbH </w:t>
      </w:r>
    </w:p>
    <w:p w14:paraId="7CDFBAE5" w14:textId="77777777" w:rsidR="00F47ADA" w:rsidRPr="0030288A" w:rsidRDefault="00F47ADA" w:rsidP="00F47ADA">
      <w:pPr>
        <w:rPr>
          <w:szCs w:val="22"/>
          <w:lang w:val="lv-LV"/>
        </w:rPr>
      </w:pPr>
      <w:r w:rsidRPr="0030288A">
        <w:rPr>
          <w:szCs w:val="22"/>
          <w:lang w:val="lv-LV"/>
        </w:rPr>
        <w:t>Emil-Barell-Strasse 1</w:t>
      </w:r>
    </w:p>
    <w:p w14:paraId="2E11DAEE" w14:textId="77777777" w:rsidR="00F47ADA" w:rsidRPr="0030288A" w:rsidRDefault="00F47ADA" w:rsidP="00F47ADA">
      <w:pPr>
        <w:rPr>
          <w:szCs w:val="22"/>
          <w:lang w:val="lv-LV"/>
        </w:rPr>
      </w:pPr>
      <w:r w:rsidRPr="0030288A">
        <w:rPr>
          <w:szCs w:val="22"/>
          <w:lang w:val="lv-LV"/>
        </w:rPr>
        <w:t>79639 Grenzach-Wyhlen</w:t>
      </w:r>
    </w:p>
    <w:p w14:paraId="7E089A20" w14:textId="77777777" w:rsidR="00F47ADA" w:rsidRDefault="00F47ADA" w:rsidP="00F47ADA">
      <w:pPr>
        <w:ind w:right="-2"/>
        <w:rPr>
          <w:szCs w:val="22"/>
          <w:lang w:val="lv-LV"/>
        </w:rPr>
      </w:pPr>
      <w:r w:rsidRPr="0030288A">
        <w:rPr>
          <w:szCs w:val="22"/>
          <w:lang w:val="lv-LV"/>
        </w:rPr>
        <w:t>Vācija</w:t>
      </w:r>
      <w:r w:rsidRPr="0030288A" w:rsidDel="0030288A">
        <w:rPr>
          <w:szCs w:val="22"/>
          <w:lang w:val="lv-LV"/>
        </w:rPr>
        <w:t xml:space="preserve"> </w:t>
      </w:r>
    </w:p>
    <w:p w14:paraId="2B0DAA46" w14:textId="77777777" w:rsidR="00F47ADA" w:rsidRDefault="00F47ADA" w:rsidP="00F47ADA">
      <w:pPr>
        <w:ind w:right="-2"/>
        <w:rPr>
          <w:b/>
          <w:bCs/>
          <w:szCs w:val="22"/>
          <w:lang w:val="lv-LV"/>
        </w:rPr>
      </w:pPr>
    </w:p>
    <w:p w14:paraId="464A0197" w14:textId="77777777" w:rsidR="00F47ADA" w:rsidRPr="00707120" w:rsidRDefault="00F47ADA" w:rsidP="004464CC">
      <w:pPr>
        <w:keepNext/>
        <w:keepLines/>
        <w:rPr>
          <w:szCs w:val="22"/>
          <w:lang w:val="lv-LV"/>
        </w:rPr>
      </w:pPr>
      <w:r w:rsidRPr="00707120">
        <w:rPr>
          <w:b/>
          <w:szCs w:val="22"/>
          <w:lang w:val="lv-LV"/>
        </w:rPr>
        <w:t>Ražotājs</w:t>
      </w:r>
    </w:p>
    <w:p w14:paraId="202BE69C" w14:textId="77777777" w:rsidR="00F47ADA" w:rsidRDefault="00F47ADA" w:rsidP="004464CC">
      <w:pPr>
        <w:keepNext/>
        <w:keepLines/>
        <w:rPr>
          <w:szCs w:val="22"/>
          <w:lang w:val="lv-LV"/>
        </w:rPr>
      </w:pPr>
      <w:r>
        <w:rPr>
          <w:szCs w:val="22"/>
          <w:lang w:val="lv-LV"/>
        </w:rPr>
        <w:t>Roche Pharma AG</w:t>
      </w:r>
    </w:p>
    <w:p w14:paraId="4F3A9F99" w14:textId="77777777" w:rsidR="00F47ADA" w:rsidRDefault="00F47ADA" w:rsidP="004464CC">
      <w:pPr>
        <w:keepNext/>
        <w:keepLines/>
        <w:rPr>
          <w:szCs w:val="22"/>
          <w:lang w:val="lv-LV"/>
        </w:rPr>
      </w:pPr>
      <w:r>
        <w:rPr>
          <w:szCs w:val="22"/>
          <w:lang w:val="lv-LV"/>
        </w:rPr>
        <w:t>Emil-Barell-Str. 1</w:t>
      </w:r>
    </w:p>
    <w:p w14:paraId="1709A1E0" w14:textId="64D4CA1C" w:rsidR="00F47ADA" w:rsidRDefault="00F47ADA" w:rsidP="00707120">
      <w:pPr>
        <w:keepNext/>
        <w:keepLines/>
        <w:ind w:right="-2"/>
        <w:rPr>
          <w:szCs w:val="22"/>
          <w:lang w:val="lv-LV"/>
        </w:rPr>
      </w:pPr>
      <w:r>
        <w:rPr>
          <w:szCs w:val="22"/>
          <w:lang w:val="lv-LV"/>
        </w:rPr>
        <w:t>79639 Grenzach-Wyhlen</w:t>
      </w:r>
    </w:p>
    <w:p w14:paraId="6793DA6D" w14:textId="77777777" w:rsidR="00F47ADA" w:rsidRDefault="00F47ADA" w:rsidP="00707120">
      <w:pPr>
        <w:keepNext/>
        <w:keepLines/>
        <w:ind w:right="-2"/>
        <w:rPr>
          <w:szCs w:val="22"/>
          <w:lang w:val="lv-LV"/>
        </w:rPr>
      </w:pPr>
      <w:r>
        <w:rPr>
          <w:szCs w:val="22"/>
          <w:lang w:val="lv-LV"/>
        </w:rPr>
        <w:t>Vācija</w:t>
      </w:r>
    </w:p>
    <w:p w14:paraId="2E2F6F73" w14:textId="77777777" w:rsidR="00F47ADA" w:rsidRDefault="00F47ADA" w:rsidP="00F47ADA">
      <w:pPr>
        <w:ind w:right="-2"/>
        <w:rPr>
          <w:szCs w:val="22"/>
          <w:lang w:val="lv-LV"/>
        </w:rPr>
      </w:pPr>
    </w:p>
    <w:p w14:paraId="6CD35F2C" w14:textId="77777777" w:rsidR="00F47ADA" w:rsidRDefault="00F47ADA" w:rsidP="00F47ADA">
      <w:pPr>
        <w:keepNext/>
        <w:keepLines/>
        <w:rPr>
          <w:lang w:val="lv-LV"/>
        </w:rPr>
      </w:pPr>
      <w:r>
        <w:rPr>
          <w:szCs w:val="22"/>
          <w:lang w:val="lv-LV"/>
        </w:rPr>
        <w:t>Lai saņemtu papildu informāciju par šīm zālēm, lūdzam sazināties ar reģistrācijas apliecības īpašnieka vietējo pārstāvniecību:</w:t>
      </w:r>
    </w:p>
    <w:p w14:paraId="03F7175F" w14:textId="77777777" w:rsidR="00F47ADA" w:rsidRDefault="00F47ADA" w:rsidP="00F47ADA">
      <w:pPr>
        <w:keepNext/>
        <w:keepLines/>
        <w:rPr>
          <w:lang w:val="lv-LV"/>
        </w:rPr>
      </w:pPr>
    </w:p>
    <w:tbl>
      <w:tblPr>
        <w:tblW w:w="9180" w:type="dxa"/>
        <w:tblLayout w:type="fixed"/>
        <w:tblLook w:val="0000" w:firstRow="0" w:lastRow="0" w:firstColumn="0" w:lastColumn="0" w:noHBand="0" w:noVBand="0"/>
      </w:tblPr>
      <w:tblGrid>
        <w:gridCol w:w="4536"/>
        <w:gridCol w:w="4537"/>
        <w:gridCol w:w="107"/>
        <w:tblGridChange w:id="1805">
          <w:tblGrid>
            <w:gridCol w:w="4536"/>
            <w:gridCol w:w="54"/>
            <w:gridCol w:w="4483"/>
            <w:gridCol w:w="107"/>
          </w:tblGrid>
        </w:tblGridChange>
      </w:tblGrid>
      <w:tr w:rsidR="00F47ADA" w:rsidRPr="00707120" w14:paraId="42D7FFD0" w14:textId="77777777" w:rsidTr="00C74673">
        <w:trPr>
          <w:gridAfter w:val="1"/>
          <w:wAfter w:w="108" w:type="dxa"/>
          <w:cantSplit/>
        </w:trPr>
        <w:tc>
          <w:tcPr>
            <w:tcW w:w="4590" w:type="dxa"/>
          </w:tcPr>
          <w:p w14:paraId="373A4E36" w14:textId="77777777" w:rsidR="000809F8" w:rsidRPr="00750860" w:rsidRDefault="00F47ADA" w:rsidP="000809F8">
            <w:pPr>
              <w:pStyle w:val="Standard1"/>
              <w:rPr>
                <w:ins w:id="1806" w:author="Author"/>
                <w:b/>
                <w:szCs w:val="22"/>
                <w:lang w:val="fr-FR"/>
              </w:rPr>
            </w:pPr>
            <w:r>
              <w:rPr>
                <w:b/>
              </w:rPr>
              <w:t>België/Belgique/Belgien</w:t>
            </w:r>
            <w:ins w:id="1807" w:author="Author">
              <w:r w:rsidR="000809F8" w:rsidRPr="00750860">
                <w:rPr>
                  <w:b/>
                  <w:noProof/>
                  <w:szCs w:val="22"/>
                  <w:lang w:val="fr-FR"/>
                </w:rPr>
                <w:t>,</w:t>
              </w:r>
            </w:ins>
          </w:p>
          <w:p w14:paraId="394838B5" w14:textId="1AB2901B" w:rsidR="00F47ADA" w:rsidRDefault="000809F8" w:rsidP="0067693D">
            <w:pPr>
              <w:keepNext/>
              <w:keepLines/>
              <w:rPr>
                <w:lang w:val="lv-LV"/>
              </w:rPr>
            </w:pPr>
            <w:ins w:id="1808" w:author="Author">
              <w:r w:rsidRPr="00231BF8">
                <w:rPr>
                  <w:b/>
                  <w:noProof/>
                  <w:szCs w:val="22"/>
                  <w:lang w:val="de-DE"/>
                </w:rPr>
                <w:t>Luxembourg/Luxemburg</w:t>
              </w:r>
            </w:ins>
          </w:p>
          <w:p w14:paraId="22B43D24" w14:textId="13BFC80B" w:rsidR="00F47ADA" w:rsidRDefault="00F47ADA" w:rsidP="0067693D">
            <w:pPr>
              <w:keepNext/>
              <w:keepLines/>
              <w:rPr>
                <w:ins w:id="1809" w:author="Author"/>
                <w:lang w:val="lv-LV"/>
              </w:rPr>
            </w:pPr>
            <w:r>
              <w:rPr>
                <w:lang w:val="lv-LV"/>
              </w:rPr>
              <w:t>N.V. Roche S.A.</w:t>
            </w:r>
          </w:p>
          <w:p w14:paraId="3F6A1421" w14:textId="0DFAAEAE" w:rsidR="000809F8" w:rsidRDefault="000809F8" w:rsidP="0067693D">
            <w:pPr>
              <w:keepNext/>
              <w:keepLines/>
              <w:rPr>
                <w:lang w:val="lv-LV"/>
              </w:rPr>
            </w:pPr>
            <w:ins w:id="1810" w:author="Author">
              <w:r w:rsidRPr="00DD58C9">
                <w:rPr>
                  <w:bCs/>
                  <w:noProof/>
                  <w:szCs w:val="22"/>
                  <w:lang w:val="fr-FR"/>
                  <w:rPrChange w:id="1811" w:author="Author">
                    <w:rPr>
                      <w:b/>
                      <w:noProof/>
                      <w:szCs w:val="22"/>
                      <w:lang w:val="fr-FR"/>
                    </w:rPr>
                  </w:rPrChange>
                </w:rPr>
                <w:t>België/Belgique/Belgien</w:t>
              </w:r>
            </w:ins>
          </w:p>
          <w:p w14:paraId="779A4932" w14:textId="77777777" w:rsidR="00F47ADA" w:rsidRDefault="00F47ADA" w:rsidP="0067693D">
            <w:pPr>
              <w:keepNext/>
              <w:keepLines/>
              <w:rPr>
                <w:b/>
                <w:lang w:val="lv-LV"/>
              </w:rPr>
            </w:pPr>
            <w:r>
              <w:rPr>
                <w:lang w:val="lv-LV"/>
              </w:rPr>
              <w:t>Tél/Tel: +32 (0) 2 525 82 11</w:t>
            </w:r>
          </w:p>
          <w:p w14:paraId="74F6E910" w14:textId="77777777" w:rsidR="00F47ADA" w:rsidRDefault="00F47ADA" w:rsidP="0067693D">
            <w:pPr>
              <w:keepNext/>
              <w:keepLines/>
              <w:rPr>
                <w:b/>
                <w:lang w:val="lv-LV"/>
              </w:rPr>
            </w:pPr>
          </w:p>
        </w:tc>
        <w:tc>
          <w:tcPr>
            <w:tcW w:w="4590" w:type="dxa"/>
          </w:tcPr>
          <w:p w14:paraId="48770667" w14:textId="77777777" w:rsidR="00F1247C" w:rsidRPr="00231BF8" w:rsidRDefault="00F1247C" w:rsidP="00F1247C">
            <w:pPr>
              <w:pStyle w:val="Standard1"/>
              <w:rPr>
                <w:ins w:id="1812" w:author="Author"/>
                <w:b/>
                <w:noProof/>
                <w:szCs w:val="22"/>
                <w:lang w:val="it-IT"/>
              </w:rPr>
            </w:pPr>
            <w:ins w:id="1813" w:author="Author">
              <w:r w:rsidRPr="00231BF8">
                <w:rPr>
                  <w:b/>
                  <w:noProof/>
                  <w:szCs w:val="22"/>
                  <w:lang w:val="it-IT"/>
                </w:rPr>
                <w:t>Latvija</w:t>
              </w:r>
            </w:ins>
          </w:p>
          <w:p w14:paraId="193D71DD" w14:textId="77777777" w:rsidR="00F1247C" w:rsidRPr="00231BF8" w:rsidRDefault="00F1247C" w:rsidP="00F1247C">
            <w:pPr>
              <w:pStyle w:val="Standard1"/>
              <w:rPr>
                <w:ins w:id="1814" w:author="Author"/>
                <w:noProof/>
                <w:szCs w:val="22"/>
                <w:lang w:val="it-IT"/>
              </w:rPr>
            </w:pPr>
            <w:ins w:id="1815" w:author="Author">
              <w:r w:rsidRPr="00231BF8">
                <w:rPr>
                  <w:bCs/>
                  <w:noProof/>
                  <w:szCs w:val="22"/>
                  <w:lang w:val="it-IT"/>
                </w:rPr>
                <w:t>Roche Latvija SIA</w:t>
              </w:r>
            </w:ins>
          </w:p>
          <w:p w14:paraId="6545F9F5" w14:textId="77777777" w:rsidR="00F1247C" w:rsidRPr="00231BF8" w:rsidRDefault="00F1247C" w:rsidP="00F1247C">
            <w:pPr>
              <w:pStyle w:val="Standard1"/>
              <w:rPr>
                <w:ins w:id="1816" w:author="Author"/>
                <w:noProof/>
                <w:szCs w:val="22"/>
                <w:lang w:val="it-IT"/>
              </w:rPr>
            </w:pPr>
            <w:ins w:id="1817" w:author="Author">
              <w:r w:rsidRPr="00231BF8">
                <w:rPr>
                  <w:noProof/>
                  <w:szCs w:val="22"/>
                  <w:lang w:val="it-IT"/>
                </w:rPr>
                <w:t>Tel: +371 - 6 7039831</w:t>
              </w:r>
            </w:ins>
          </w:p>
          <w:p w14:paraId="3F580C37" w14:textId="3E5040BF" w:rsidR="00F47ADA" w:rsidDel="00F1247C" w:rsidRDefault="00F47ADA" w:rsidP="0067693D">
            <w:pPr>
              <w:keepNext/>
              <w:keepLines/>
              <w:rPr>
                <w:del w:id="1818" w:author="Author"/>
                <w:lang w:val="lv-LV"/>
              </w:rPr>
            </w:pPr>
            <w:del w:id="1819" w:author="Author">
              <w:r w:rsidDel="00F1247C">
                <w:rPr>
                  <w:b/>
                  <w:lang w:val="lv-LV"/>
                </w:rPr>
                <w:delText>Luxembourg/Luxemburg</w:delText>
              </w:r>
            </w:del>
          </w:p>
          <w:p w14:paraId="2FD96822" w14:textId="0EB4C85B" w:rsidR="00F47ADA" w:rsidDel="00F1247C" w:rsidRDefault="00F47ADA" w:rsidP="0067693D">
            <w:pPr>
              <w:keepNext/>
              <w:keepLines/>
              <w:rPr>
                <w:del w:id="1820" w:author="Author"/>
                <w:b/>
                <w:lang w:val="lv-LV"/>
              </w:rPr>
            </w:pPr>
            <w:del w:id="1821" w:author="Author">
              <w:r w:rsidDel="00F1247C">
                <w:rPr>
                  <w:lang w:val="lv-LV"/>
                </w:rPr>
                <w:delText>(Voir/siehe Belgique/Belgien)</w:delText>
              </w:r>
            </w:del>
          </w:p>
          <w:p w14:paraId="427CA523" w14:textId="77777777" w:rsidR="00F47ADA" w:rsidRDefault="00F47ADA" w:rsidP="0067693D">
            <w:pPr>
              <w:keepNext/>
              <w:keepLines/>
              <w:rPr>
                <w:b/>
                <w:lang w:val="lv-LV"/>
              </w:rPr>
            </w:pPr>
          </w:p>
        </w:tc>
      </w:tr>
      <w:tr w:rsidR="00F47ADA" w:rsidRPr="00270F12" w14:paraId="0E583984" w14:textId="77777777" w:rsidTr="00C74673">
        <w:trPr>
          <w:gridAfter w:val="1"/>
          <w:wAfter w:w="108" w:type="dxa"/>
          <w:cantSplit/>
        </w:trPr>
        <w:tc>
          <w:tcPr>
            <w:tcW w:w="4590" w:type="dxa"/>
          </w:tcPr>
          <w:p w14:paraId="737DAF11" w14:textId="77777777" w:rsidR="00F47ADA" w:rsidRDefault="00F47ADA" w:rsidP="0067693D">
            <w:pPr>
              <w:keepNext/>
              <w:keepLines/>
              <w:autoSpaceDE w:val="0"/>
              <w:rPr>
                <w:lang w:val="lv-LV"/>
              </w:rPr>
            </w:pPr>
            <w:r>
              <w:rPr>
                <w:b/>
                <w:bCs/>
                <w:szCs w:val="22"/>
                <w:lang w:val="lv-LV"/>
              </w:rPr>
              <w:t>България</w:t>
            </w:r>
          </w:p>
          <w:p w14:paraId="37B21D95" w14:textId="77777777" w:rsidR="00F47ADA" w:rsidRDefault="00F47ADA" w:rsidP="0067693D">
            <w:pPr>
              <w:keepNext/>
              <w:keepLines/>
              <w:rPr>
                <w:lang w:val="lv-LV"/>
              </w:rPr>
            </w:pPr>
            <w:r>
              <w:rPr>
                <w:lang w:val="lv-LV"/>
              </w:rPr>
              <w:t>Рош България ЕООД</w:t>
            </w:r>
          </w:p>
          <w:p w14:paraId="09A1BF88" w14:textId="200C75A5" w:rsidR="00F47ADA" w:rsidRDefault="00F47ADA" w:rsidP="0067693D">
            <w:pPr>
              <w:keepNext/>
              <w:keepLines/>
              <w:rPr>
                <w:lang w:val="lv-LV"/>
              </w:rPr>
            </w:pPr>
            <w:r w:rsidRPr="00976261">
              <w:rPr>
                <w:noProof/>
                <w:szCs w:val="22"/>
                <w:lang w:val="ru-RU"/>
              </w:rPr>
              <w:t>Тел: +359 2 474 5444</w:t>
            </w:r>
          </w:p>
        </w:tc>
        <w:tc>
          <w:tcPr>
            <w:tcW w:w="4590" w:type="dxa"/>
          </w:tcPr>
          <w:p w14:paraId="2A3FF235" w14:textId="77777777" w:rsidR="00AF483B" w:rsidRPr="00231BF8" w:rsidRDefault="00AF483B" w:rsidP="00AF483B">
            <w:pPr>
              <w:pStyle w:val="Standard1"/>
              <w:suppressAutoHyphens/>
              <w:rPr>
                <w:ins w:id="1822" w:author="Author"/>
                <w:b/>
                <w:noProof/>
                <w:szCs w:val="22"/>
                <w:lang w:val="en-GB"/>
              </w:rPr>
            </w:pPr>
            <w:ins w:id="1823" w:author="Author">
              <w:r w:rsidRPr="00231BF8">
                <w:rPr>
                  <w:b/>
                  <w:noProof/>
                  <w:szCs w:val="22"/>
                  <w:lang w:val="en-GB"/>
                </w:rPr>
                <w:t>Lietuva</w:t>
              </w:r>
            </w:ins>
          </w:p>
          <w:p w14:paraId="723BB3AB" w14:textId="77777777" w:rsidR="00AF483B" w:rsidRPr="00231BF8" w:rsidRDefault="00AF483B" w:rsidP="00AF483B">
            <w:pPr>
              <w:pStyle w:val="Standard1"/>
              <w:suppressAutoHyphens/>
              <w:rPr>
                <w:ins w:id="1824" w:author="Author"/>
                <w:noProof/>
                <w:szCs w:val="22"/>
                <w:lang w:val="en-GB"/>
              </w:rPr>
            </w:pPr>
            <w:ins w:id="1825" w:author="Author">
              <w:r w:rsidRPr="00231BF8">
                <w:rPr>
                  <w:noProof/>
                  <w:szCs w:val="22"/>
                  <w:lang w:val="en-GB"/>
                </w:rPr>
                <w:t>UAB “Roche Lietuva”</w:t>
              </w:r>
            </w:ins>
          </w:p>
          <w:p w14:paraId="77688DD8" w14:textId="77777777" w:rsidR="00AF483B" w:rsidRPr="00231BF8" w:rsidRDefault="00AF483B" w:rsidP="00AF483B">
            <w:pPr>
              <w:pStyle w:val="Standard1"/>
              <w:suppressAutoHyphens/>
              <w:rPr>
                <w:ins w:id="1826" w:author="Author"/>
                <w:noProof/>
                <w:szCs w:val="22"/>
                <w:lang w:val="en-GB"/>
              </w:rPr>
            </w:pPr>
            <w:ins w:id="1827" w:author="Author">
              <w:r w:rsidRPr="00231BF8">
                <w:rPr>
                  <w:noProof/>
                  <w:szCs w:val="22"/>
                  <w:lang w:val="en-GB"/>
                </w:rPr>
                <w:t>Tel: +370 5 2546799</w:t>
              </w:r>
            </w:ins>
          </w:p>
          <w:p w14:paraId="1D3D8585" w14:textId="59D5A30D" w:rsidR="00F47ADA" w:rsidDel="00AF483B" w:rsidRDefault="00F47ADA" w:rsidP="0067693D">
            <w:pPr>
              <w:keepNext/>
              <w:keepLines/>
              <w:rPr>
                <w:del w:id="1828" w:author="Author"/>
                <w:lang w:val="lv-LV"/>
              </w:rPr>
            </w:pPr>
            <w:del w:id="1829" w:author="Author">
              <w:r w:rsidDel="00AF483B">
                <w:rPr>
                  <w:b/>
                  <w:lang w:val="lv-LV"/>
                </w:rPr>
                <w:delText>Magyarország</w:delText>
              </w:r>
            </w:del>
          </w:p>
          <w:p w14:paraId="5C38133C" w14:textId="73DD0EF3" w:rsidR="00F47ADA" w:rsidDel="00AF483B" w:rsidRDefault="00F47ADA" w:rsidP="0067693D">
            <w:pPr>
              <w:keepNext/>
              <w:keepLines/>
              <w:rPr>
                <w:del w:id="1830" w:author="Author"/>
                <w:lang w:val="lv-LV"/>
              </w:rPr>
            </w:pPr>
            <w:del w:id="1831" w:author="Author">
              <w:r w:rsidDel="00AF483B">
                <w:rPr>
                  <w:lang w:val="lv-LV"/>
                </w:rPr>
                <w:delText>Roche (Magyarország) Kft.</w:delText>
              </w:r>
            </w:del>
          </w:p>
          <w:p w14:paraId="6E46CF6B" w14:textId="694C2BFA" w:rsidR="00F47ADA" w:rsidDel="00AF483B" w:rsidRDefault="00F47ADA" w:rsidP="0067693D">
            <w:pPr>
              <w:keepNext/>
              <w:keepLines/>
              <w:rPr>
                <w:del w:id="1832" w:author="Author"/>
                <w:lang w:val="lv-LV"/>
              </w:rPr>
            </w:pPr>
            <w:del w:id="1833" w:author="Author">
              <w:r w:rsidDel="00AF483B">
                <w:rPr>
                  <w:lang w:val="lv-LV"/>
                </w:rPr>
                <w:delText xml:space="preserve">Tel: +36 - </w:delText>
              </w:r>
              <w:r w:rsidRPr="000C4151" w:rsidDel="00AF483B">
                <w:rPr>
                  <w:noProof/>
                  <w:szCs w:val="22"/>
                  <w:lang w:val="cs-CZ"/>
                </w:rPr>
                <w:delText>1 279 4500</w:delText>
              </w:r>
            </w:del>
          </w:p>
          <w:p w14:paraId="2D9027EB" w14:textId="77777777" w:rsidR="00F47ADA" w:rsidRDefault="00F47ADA" w:rsidP="0067693D">
            <w:pPr>
              <w:keepNext/>
              <w:keepLines/>
              <w:rPr>
                <w:lang w:val="lv-LV"/>
              </w:rPr>
            </w:pPr>
          </w:p>
        </w:tc>
      </w:tr>
      <w:tr w:rsidR="00F47ADA" w14:paraId="720BE1A9" w14:textId="77777777" w:rsidTr="00C74673">
        <w:trPr>
          <w:gridAfter w:val="1"/>
          <w:wAfter w:w="108" w:type="dxa"/>
          <w:cantSplit/>
        </w:trPr>
        <w:tc>
          <w:tcPr>
            <w:tcW w:w="4590" w:type="dxa"/>
          </w:tcPr>
          <w:p w14:paraId="69A339F1" w14:textId="77777777" w:rsidR="00F47ADA" w:rsidRDefault="00F47ADA" w:rsidP="0067693D">
            <w:pPr>
              <w:rPr>
                <w:bCs/>
                <w:szCs w:val="22"/>
                <w:lang w:val="lv-LV"/>
              </w:rPr>
            </w:pPr>
            <w:r>
              <w:rPr>
                <w:b/>
                <w:lang w:val="lv-LV"/>
              </w:rPr>
              <w:t>Česká republika</w:t>
            </w:r>
          </w:p>
          <w:p w14:paraId="35F2CD36" w14:textId="77777777" w:rsidR="00F47ADA" w:rsidRDefault="00F47ADA" w:rsidP="0067693D">
            <w:pPr>
              <w:rPr>
                <w:lang w:val="lv-LV"/>
              </w:rPr>
            </w:pPr>
            <w:r>
              <w:rPr>
                <w:bCs/>
                <w:szCs w:val="22"/>
                <w:lang w:val="lv-LV"/>
              </w:rPr>
              <w:t>Roche s. r. o.</w:t>
            </w:r>
          </w:p>
          <w:p w14:paraId="3EB7515B" w14:textId="77777777" w:rsidR="00F47ADA" w:rsidRDefault="00F47ADA" w:rsidP="0067693D">
            <w:pPr>
              <w:rPr>
                <w:lang w:val="lv-LV"/>
              </w:rPr>
            </w:pPr>
            <w:r>
              <w:rPr>
                <w:lang w:val="lv-LV"/>
              </w:rPr>
              <w:t>Tel: +420 - 2 20382111</w:t>
            </w:r>
          </w:p>
          <w:p w14:paraId="19B8E781" w14:textId="77777777" w:rsidR="00F47ADA" w:rsidRDefault="00F47ADA" w:rsidP="0067693D">
            <w:pPr>
              <w:rPr>
                <w:b/>
                <w:lang w:val="lv-LV"/>
              </w:rPr>
            </w:pPr>
          </w:p>
        </w:tc>
        <w:tc>
          <w:tcPr>
            <w:tcW w:w="4590" w:type="dxa"/>
          </w:tcPr>
          <w:p w14:paraId="0694198B" w14:textId="77777777" w:rsidR="00AF483B" w:rsidRPr="00231BF8" w:rsidRDefault="00AF483B" w:rsidP="00AF483B">
            <w:pPr>
              <w:pStyle w:val="Standard1"/>
              <w:rPr>
                <w:ins w:id="1834" w:author="Author"/>
                <w:b/>
                <w:szCs w:val="22"/>
              </w:rPr>
            </w:pPr>
            <w:ins w:id="1835" w:author="Author">
              <w:r w:rsidRPr="00231BF8">
                <w:rPr>
                  <w:b/>
                  <w:szCs w:val="22"/>
                </w:rPr>
                <w:t>Magyarország</w:t>
              </w:r>
            </w:ins>
          </w:p>
          <w:p w14:paraId="7AA4915B" w14:textId="77777777" w:rsidR="00AF483B" w:rsidRPr="00231BF8" w:rsidRDefault="00AF483B" w:rsidP="00AF483B">
            <w:pPr>
              <w:pStyle w:val="Standard1"/>
              <w:rPr>
                <w:ins w:id="1836" w:author="Author"/>
                <w:szCs w:val="22"/>
              </w:rPr>
            </w:pPr>
            <w:ins w:id="1837" w:author="Author">
              <w:r w:rsidRPr="00231BF8">
                <w:rPr>
                  <w:szCs w:val="22"/>
                </w:rPr>
                <w:t>Roche (Magyarország) Kft.</w:t>
              </w:r>
            </w:ins>
          </w:p>
          <w:p w14:paraId="1669422D" w14:textId="77777777" w:rsidR="00AF483B" w:rsidRPr="00231BF8" w:rsidRDefault="00AF483B" w:rsidP="00AF483B">
            <w:pPr>
              <w:pStyle w:val="Standard1"/>
              <w:rPr>
                <w:ins w:id="1838" w:author="Author"/>
                <w:szCs w:val="22"/>
              </w:rPr>
            </w:pPr>
            <w:ins w:id="1839" w:author="Author">
              <w:r w:rsidRPr="00231BF8">
                <w:rPr>
                  <w:szCs w:val="22"/>
                </w:rPr>
                <w:t>Tel: +36 - 1 279 4500</w:t>
              </w:r>
            </w:ins>
          </w:p>
          <w:p w14:paraId="6595F25D" w14:textId="59EDB65F" w:rsidR="00F47ADA" w:rsidDel="00AF483B" w:rsidRDefault="00F47ADA" w:rsidP="0067693D">
            <w:pPr>
              <w:rPr>
                <w:del w:id="1840" w:author="Author"/>
                <w:lang w:val="lv-LV"/>
              </w:rPr>
            </w:pPr>
            <w:del w:id="1841" w:author="Author">
              <w:r w:rsidDel="00AF483B">
                <w:rPr>
                  <w:b/>
                  <w:lang w:val="lv-LV"/>
                </w:rPr>
                <w:delText>Malta</w:delText>
              </w:r>
            </w:del>
          </w:p>
          <w:p w14:paraId="447FC3F5" w14:textId="5E37325E" w:rsidR="00F47ADA" w:rsidDel="00AF483B" w:rsidRDefault="00F47ADA" w:rsidP="0067693D">
            <w:pPr>
              <w:autoSpaceDE w:val="0"/>
              <w:rPr>
                <w:del w:id="1842" w:author="Author"/>
                <w:lang w:val="lv-LV"/>
              </w:rPr>
            </w:pPr>
            <w:del w:id="1843" w:author="Author">
              <w:r w:rsidDel="00AF483B">
                <w:rPr>
                  <w:noProof/>
                  <w:szCs w:val="22"/>
                </w:rPr>
                <w:delText>(See Ireland)</w:delText>
              </w:r>
            </w:del>
          </w:p>
          <w:p w14:paraId="748D769A" w14:textId="77777777" w:rsidR="00F47ADA" w:rsidRDefault="00F47ADA" w:rsidP="0067693D">
            <w:pPr>
              <w:autoSpaceDE w:val="0"/>
              <w:rPr>
                <w:lang w:val="lv-LV"/>
              </w:rPr>
            </w:pPr>
          </w:p>
        </w:tc>
      </w:tr>
      <w:tr w:rsidR="00F47ADA" w14:paraId="0264FB5D" w14:textId="77777777" w:rsidTr="00C74673">
        <w:trPr>
          <w:gridAfter w:val="1"/>
          <w:wAfter w:w="108" w:type="dxa"/>
          <w:cantSplit/>
        </w:trPr>
        <w:tc>
          <w:tcPr>
            <w:tcW w:w="4590" w:type="dxa"/>
          </w:tcPr>
          <w:p w14:paraId="4CDD0A01" w14:textId="77777777" w:rsidR="00F47ADA" w:rsidRDefault="00F47ADA" w:rsidP="0067693D">
            <w:pPr>
              <w:rPr>
                <w:lang w:val="lv-LV"/>
              </w:rPr>
            </w:pPr>
            <w:r>
              <w:rPr>
                <w:b/>
                <w:lang w:val="lv-LV"/>
              </w:rPr>
              <w:t>Danmark</w:t>
            </w:r>
          </w:p>
          <w:p w14:paraId="56D59AB5" w14:textId="77777777" w:rsidR="00F47ADA" w:rsidRDefault="00F47ADA" w:rsidP="0067693D">
            <w:pPr>
              <w:rPr>
                <w:lang w:val="lv-LV"/>
              </w:rPr>
            </w:pPr>
            <w:r>
              <w:rPr>
                <w:lang w:val="lv-LV"/>
              </w:rPr>
              <w:t xml:space="preserve">Roche </w:t>
            </w:r>
            <w:r>
              <w:rPr>
                <w:noProof/>
              </w:rPr>
              <w:t>Pharmaceuticals A/S</w:t>
            </w:r>
          </w:p>
          <w:p w14:paraId="5B9D037E" w14:textId="3AD2A222" w:rsidR="00F47ADA" w:rsidRDefault="00F47ADA" w:rsidP="0067693D">
            <w:pPr>
              <w:rPr>
                <w:b/>
                <w:lang w:val="lv-LV"/>
              </w:rPr>
            </w:pPr>
            <w:r>
              <w:rPr>
                <w:lang w:val="lv-LV"/>
              </w:rPr>
              <w:t>Tlf</w:t>
            </w:r>
            <w:r w:rsidR="00C82D7C">
              <w:rPr>
                <w:lang w:val="lv-LV"/>
              </w:rPr>
              <w:t>.</w:t>
            </w:r>
            <w:r>
              <w:rPr>
                <w:lang w:val="lv-LV"/>
              </w:rPr>
              <w:t>: +45 - 36 39 99 99</w:t>
            </w:r>
          </w:p>
          <w:p w14:paraId="319BEEA3" w14:textId="77777777" w:rsidR="00F47ADA" w:rsidRDefault="00F47ADA" w:rsidP="0067693D">
            <w:pPr>
              <w:rPr>
                <w:b/>
                <w:lang w:val="lv-LV"/>
              </w:rPr>
            </w:pPr>
          </w:p>
        </w:tc>
        <w:tc>
          <w:tcPr>
            <w:tcW w:w="4590" w:type="dxa"/>
          </w:tcPr>
          <w:p w14:paraId="461EB257" w14:textId="7F3AE700" w:rsidR="00F47ADA" w:rsidRDefault="00F47ADA" w:rsidP="00AF483B">
            <w:pPr>
              <w:rPr>
                <w:lang w:val="lv-LV"/>
              </w:rPr>
            </w:pPr>
            <w:r>
              <w:rPr>
                <w:b/>
                <w:lang w:val="lv-LV"/>
              </w:rPr>
              <w:t>Nederland</w:t>
            </w:r>
          </w:p>
          <w:p w14:paraId="22AC8641" w14:textId="492BA50B" w:rsidR="00F47ADA" w:rsidRDefault="00F47ADA" w:rsidP="0067693D">
            <w:pPr>
              <w:rPr>
                <w:lang w:val="lv-LV"/>
              </w:rPr>
            </w:pPr>
            <w:r>
              <w:rPr>
                <w:lang w:val="lv-LV"/>
              </w:rPr>
              <w:t>Roche Nederland B.V.</w:t>
            </w:r>
          </w:p>
          <w:p w14:paraId="4FA72C80" w14:textId="2A677170" w:rsidR="00F47ADA" w:rsidRDefault="00F47ADA" w:rsidP="0067693D">
            <w:pPr>
              <w:rPr>
                <w:lang w:val="lv-LV"/>
              </w:rPr>
            </w:pPr>
            <w:r>
              <w:rPr>
                <w:lang w:val="lv-LV"/>
              </w:rPr>
              <w:t>Tel: +31 (0) 348 438050</w:t>
            </w:r>
          </w:p>
          <w:p w14:paraId="5B630FE0" w14:textId="77777777" w:rsidR="00F47ADA" w:rsidRDefault="00F47ADA" w:rsidP="0067693D">
            <w:pPr>
              <w:rPr>
                <w:lang w:val="lv-LV"/>
              </w:rPr>
            </w:pPr>
          </w:p>
        </w:tc>
      </w:tr>
      <w:tr w:rsidR="00F47ADA" w14:paraId="431B6BD7" w14:textId="77777777" w:rsidTr="00C74673">
        <w:trPr>
          <w:gridAfter w:val="1"/>
          <w:wAfter w:w="108" w:type="dxa"/>
          <w:cantSplit/>
        </w:trPr>
        <w:tc>
          <w:tcPr>
            <w:tcW w:w="4590" w:type="dxa"/>
          </w:tcPr>
          <w:p w14:paraId="770BE357" w14:textId="77777777" w:rsidR="00F47ADA" w:rsidRDefault="00F47ADA" w:rsidP="0067693D">
            <w:pPr>
              <w:rPr>
                <w:lang w:val="lv-LV"/>
              </w:rPr>
            </w:pPr>
            <w:r>
              <w:rPr>
                <w:b/>
                <w:lang w:val="lv-LV"/>
              </w:rPr>
              <w:t>Deutschland</w:t>
            </w:r>
          </w:p>
          <w:p w14:paraId="1E1D8888" w14:textId="77777777" w:rsidR="00F47ADA" w:rsidRDefault="00F47ADA" w:rsidP="0067693D">
            <w:pPr>
              <w:rPr>
                <w:lang w:val="lv-LV"/>
              </w:rPr>
            </w:pPr>
            <w:r>
              <w:rPr>
                <w:lang w:val="lv-LV"/>
              </w:rPr>
              <w:t>Roche Pharma AG</w:t>
            </w:r>
          </w:p>
          <w:p w14:paraId="6E0B80A0" w14:textId="77777777" w:rsidR="00F47ADA" w:rsidRDefault="00F47ADA" w:rsidP="0067693D">
            <w:pPr>
              <w:rPr>
                <w:lang w:val="lv-LV"/>
              </w:rPr>
            </w:pPr>
            <w:r>
              <w:rPr>
                <w:lang w:val="lv-LV"/>
              </w:rPr>
              <w:t>Tel: +49 (0) 7624 140</w:t>
            </w:r>
            <w:r>
              <w:rPr>
                <w:lang w:val="de-CH"/>
              </w:rPr>
              <w:t xml:space="preserve"> </w:t>
            </w:r>
          </w:p>
          <w:p w14:paraId="4A52754F" w14:textId="1CF85B0A" w:rsidR="00F47ADA" w:rsidRPr="00707120" w:rsidDel="00AF483B" w:rsidRDefault="00F47ADA" w:rsidP="0067693D">
            <w:pPr>
              <w:rPr>
                <w:del w:id="1844" w:author="Author"/>
                <w:rFonts w:eastAsia="MS PGothic"/>
                <w:bCs/>
                <w:szCs w:val="22"/>
                <w:lang w:val="pt-PT"/>
              </w:rPr>
            </w:pPr>
            <w:del w:id="1845" w:author="Author">
              <w:r w:rsidDel="00AF483B">
                <w:rPr>
                  <w:lang w:val="lv-LV"/>
                </w:rPr>
                <w:delText>oder</w:delText>
              </w:r>
            </w:del>
          </w:p>
          <w:p w14:paraId="586B22DA" w14:textId="7EC9580F" w:rsidR="00F47ADA" w:rsidRPr="00707120" w:rsidDel="00AF483B" w:rsidRDefault="00F47ADA" w:rsidP="0067693D">
            <w:pPr>
              <w:rPr>
                <w:del w:id="1846" w:author="Author"/>
                <w:rFonts w:eastAsia="MS PGothic"/>
                <w:bCs/>
                <w:szCs w:val="22"/>
                <w:lang w:val="pt-PT"/>
              </w:rPr>
            </w:pPr>
            <w:del w:id="1847" w:author="Author">
              <w:r w:rsidRPr="00707120" w:rsidDel="00AF483B">
                <w:rPr>
                  <w:rFonts w:eastAsia="MS PGothic"/>
                  <w:bCs/>
                  <w:szCs w:val="22"/>
                  <w:lang w:val="pt-PT"/>
                </w:rPr>
                <w:delText>Chugai Pharma Europe Ltd.</w:delText>
              </w:r>
            </w:del>
          </w:p>
          <w:p w14:paraId="2124E628" w14:textId="0D4437F4" w:rsidR="00F47ADA" w:rsidDel="00AF483B" w:rsidRDefault="00F47ADA" w:rsidP="0067693D">
            <w:pPr>
              <w:rPr>
                <w:del w:id="1848" w:author="Author"/>
                <w:rFonts w:eastAsia="MS PGothic"/>
                <w:bCs/>
                <w:szCs w:val="22"/>
                <w:lang w:val="de-DE"/>
              </w:rPr>
            </w:pPr>
            <w:del w:id="1849" w:author="Author">
              <w:r w:rsidDel="00AF483B">
                <w:rPr>
                  <w:rFonts w:eastAsia="MS PGothic"/>
                  <w:bCs/>
                  <w:szCs w:val="22"/>
                  <w:lang w:val="de-DE"/>
                </w:rPr>
                <w:delText>Zweigniederlassung Deutschland</w:delText>
              </w:r>
            </w:del>
          </w:p>
          <w:p w14:paraId="1F9E41A8" w14:textId="1F30116E" w:rsidR="00F47ADA" w:rsidDel="00AF483B" w:rsidRDefault="00F47ADA" w:rsidP="0067693D">
            <w:pPr>
              <w:rPr>
                <w:del w:id="1850" w:author="Author"/>
                <w:b/>
                <w:lang w:val="lv-LV"/>
              </w:rPr>
            </w:pPr>
            <w:del w:id="1851" w:author="Author">
              <w:r w:rsidDel="00AF483B">
                <w:rPr>
                  <w:rFonts w:eastAsia="MS PGothic"/>
                  <w:bCs/>
                  <w:szCs w:val="22"/>
                  <w:lang w:val="de-DE"/>
                </w:rPr>
                <w:delText>Tel: +49 (0) 69 663000 0</w:delText>
              </w:r>
            </w:del>
          </w:p>
          <w:p w14:paraId="15499B8E" w14:textId="77777777" w:rsidR="00F47ADA" w:rsidRDefault="00F47ADA" w:rsidP="00AF483B">
            <w:pPr>
              <w:rPr>
                <w:b/>
                <w:lang w:val="lv-LV"/>
              </w:rPr>
            </w:pPr>
          </w:p>
        </w:tc>
        <w:tc>
          <w:tcPr>
            <w:tcW w:w="4590" w:type="dxa"/>
          </w:tcPr>
          <w:p w14:paraId="43E1620A" w14:textId="46DDAFFD" w:rsidR="00F47ADA" w:rsidRDefault="00F47ADA" w:rsidP="0067693D">
            <w:pPr>
              <w:rPr>
                <w:lang w:val="lv-LV"/>
              </w:rPr>
            </w:pPr>
            <w:r>
              <w:rPr>
                <w:b/>
                <w:lang w:val="lv-LV"/>
              </w:rPr>
              <w:t>Norge</w:t>
            </w:r>
          </w:p>
          <w:p w14:paraId="387AF01A" w14:textId="41B54AC3" w:rsidR="00F47ADA" w:rsidRDefault="00F47ADA" w:rsidP="0067693D">
            <w:pPr>
              <w:rPr>
                <w:lang w:val="lv-LV"/>
              </w:rPr>
            </w:pPr>
            <w:r>
              <w:rPr>
                <w:lang w:val="lv-LV"/>
              </w:rPr>
              <w:t>Roche Norge AS</w:t>
            </w:r>
          </w:p>
          <w:p w14:paraId="5F59E072" w14:textId="6301EA1D" w:rsidR="00F47ADA" w:rsidRDefault="00F47ADA" w:rsidP="0067693D">
            <w:pPr>
              <w:rPr>
                <w:lang w:val="lv-LV"/>
              </w:rPr>
            </w:pPr>
            <w:r>
              <w:rPr>
                <w:lang w:val="lv-LV"/>
              </w:rPr>
              <w:t>Tlf: +47 - 22 78 90 00</w:t>
            </w:r>
          </w:p>
          <w:p w14:paraId="16046ECD" w14:textId="77777777" w:rsidR="00F47ADA" w:rsidRDefault="00F47ADA" w:rsidP="0067693D">
            <w:pPr>
              <w:rPr>
                <w:lang w:val="lv-LV"/>
              </w:rPr>
            </w:pPr>
          </w:p>
        </w:tc>
      </w:tr>
      <w:tr w:rsidR="00F47ADA" w:rsidRPr="00707120" w14:paraId="78ABDF14" w14:textId="77777777" w:rsidTr="00C74673">
        <w:trPr>
          <w:gridAfter w:val="1"/>
          <w:wAfter w:w="108" w:type="dxa"/>
          <w:cantSplit/>
        </w:trPr>
        <w:tc>
          <w:tcPr>
            <w:tcW w:w="4590" w:type="dxa"/>
          </w:tcPr>
          <w:p w14:paraId="0E04E7E2" w14:textId="77777777" w:rsidR="00F47ADA" w:rsidRDefault="00F47ADA" w:rsidP="0067693D">
            <w:pPr>
              <w:rPr>
                <w:bCs/>
                <w:lang w:val="lv-LV"/>
              </w:rPr>
            </w:pPr>
            <w:r>
              <w:rPr>
                <w:b/>
                <w:lang w:val="lv-LV"/>
              </w:rPr>
              <w:t>Eesti</w:t>
            </w:r>
          </w:p>
          <w:p w14:paraId="6D40753B" w14:textId="77777777" w:rsidR="00F47ADA" w:rsidRDefault="00F47ADA" w:rsidP="0067693D">
            <w:pPr>
              <w:rPr>
                <w:lang w:val="lv-LV"/>
              </w:rPr>
            </w:pPr>
            <w:r>
              <w:rPr>
                <w:bCs/>
                <w:lang w:val="lv-LV"/>
              </w:rPr>
              <w:t>Roche Eesti OÜ</w:t>
            </w:r>
          </w:p>
          <w:p w14:paraId="5CDE581C" w14:textId="77777777" w:rsidR="00F47ADA" w:rsidRDefault="00F47ADA" w:rsidP="0067693D">
            <w:pPr>
              <w:rPr>
                <w:lang w:val="lv-LV"/>
              </w:rPr>
            </w:pPr>
            <w:r>
              <w:rPr>
                <w:lang w:val="lv-LV"/>
              </w:rPr>
              <w:t>Tel: + 372 - 6 177 380</w:t>
            </w:r>
          </w:p>
          <w:p w14:paraId="58E717CA" w14:textId="77777777" w:rsidR="00F47ADA" w:rsidRDefault="00F47ADA" w:rsidP="0067693D">
            <w:pPr>
              <w:rPr>
                <w:lang w:val="lv-LV"/>
              </w:rPr>
            </w:pPr>
          </w:p>
        </w:tc>
        <w:tc>
          <w:tcPr>
            <w:tcW w:w="4590" w:type="dxa"/>
          </w:tcPr>
          <w:p w14:paraId="3488969F" w14:textId="1143F759" w:rsidR="00F47ADA" w:rsidRDefault="00F47ADA" w:rsidP="0067693D">
            <w:pPr>
              <w:rPr>
                <w:lang w:val="lv-LV"/>
              </w:rPr>
            </w:pPr>
            <w:r>
              <w:rPr>
                <w:b/>
                <w:lang w:val="lv-LV"/>
              </w:rPr>
              <w:t>Österreich</w:t>
            </w:r>
          </w:p>
          <w:p w14:paraId="77071D5D" w14:textId="7774CD7F" w:rsidR="00F47ADA" w:rsidRDefault="00F47ADA" w:rsidP="0067693D">
            <w:pPr>
              <w:rPr>
                <w:lang w:val="lv-LV"/>
              </w:rPr>
            </w:pPr>
            <w:r>
              <w:rPr>
                <w:lang w:val="lv-LV"/>
              </w:rPr>
              <w:t>Roche Austria GmbH</w:t>
            </w:r>
          </w:p>
          <w:p w14:paraId="66FE5D30" w14:textId="05E40AB8" w:rsidR="00F47ADA" w:rsidRDefault="00F47ADA">
            <w:pPr>
              <w:rPr>
                <w:lang w:val="lv-LV"/>
              </w:rPr>
            </w:pPr>
            <w:r>
              <w:rPr>
                <w:lang w:val="lv-LV"/>
              </w:rPr>
              <w:t>Tel: +43 (0) 1 27739</w:t>
            </w:r>
          </w:p>
          <w:p w14:paraId="4749E390" w14:textId="77777777" w:rsidR="00F47ADA" w:rsidRDefault="00F47ADA" w:rsidP="00F63762">
            <w:pPr>
              <w:rPr>
                <w:lang w:val="lv-LV"/>
              </w:rPr>
            </w:pPr>
          </w:p>
        </w:tc>
      </w:tr>
      <w:tr w:rsidR="00F47ADA" w14:paraId="7E59E77F" w14:textId="77777777" w:rsidTr="00C74673">
        <w:trPr>
          <w:gridAfter w:val="1"/>
          <w:wAfter w:w="108" w:type="dxa"/>
          <w:cantSplit/>
        </w:trPr>
        <w:tc>
          <w:tcPr>
            <w:tcW w:w="4590" w:type="dxa"/>
          </w:tcPr>
          <w:p w14:paraId="749A0550" w14:textId="71E082D9" w:rsidR="00F47ADA" w:rsidRDefault="00F47ADA" w:rsidP="0067693D">
            <w:pPr>
              <w:rPr>
                <w:lang w:val="lv-LV"/>
              </w:rPr>
            </w:pPr>
            <w:r>
              <w:rPr>
                <w:b/>
                <w:lang w:val="lv-LV"/>
              </w:rPr>
              <w:t>Ελλάδα</w:t>
            </w:r>
            <w:ins w:id="1852" w:author="Author">
              <w:r w:rsidR="00C9706A" w:rsidRPr="00750860">
                <w:rPr>
                  <w:b/>
                  <w:noProof/>
                  <w:szCs w:val="22"/>
                  <w:lang w:val="en-GB"/>
                </w:rPr>
                <w:t>, K</w:t>
              </w:r>
              <w:r w:rsidR="00C9706A" w:rsidRPr="00231BF8">
                <w:rPr>
                  <w:b/>
                  <w:noProof/>
                  <w:szCs w:val="22"/>
                  <w:lang w:val="en-GB"/>
                </w:rPr>
                <w:t>ύπρος</w:t>
              </w:r>
            </w:ins>
          </w:p>
          <w:p w14:paraId="53CAC26D" w14:textId="30F9BC83" w:rsidR="00F47ADA" w:rsidRDefault="00F47ADA" w:rsidP="0067693D">
            <w:pPr>
              <w:rPr>
                <w:ins w:id="1853" w:author="Author"/>
                <w:lang w:val="lv-LV"/>
              </w:rPr>
            </w:pPr>
            <w:r>
              <w:rPr>
                <w:lang w:val="lv-LV"/>
              </w:rPr>
              <w:t xml:space="preserve">Roche (Hellas) A.E. </w:t>
            </w:r>
          </w:p>
          <w:p w14:paraId="77C1BB10" w14:textId="17CBA512" w:rsidR="00C9706A" w:rsidRDefault="00C9706A" w:rsidP="0067693D">
            <w:pPr>
              <w:rPr>
                <w:lang w:val="lv-LV"/>
              </w:rPr>
            </w:pPr>
            <w:ins w:id="1854" w:author="Author">
              <w:r w:rsidRPr="00DD58C9">
                <w:rPr>
                  <w:bCs/>
                  <w:noProof/>
                  <w:szCs w:val="22"/>
                  <w:lang w:val="en-GB"/>
                  <w:rPrChange w:id="1855" w:author="Author">
                    <w:rPr>
                      <w:b/>
                      <w:noProof/>
                      <w:szCs w:val="22"/>
                      <w:lang w:val="en-GB"/>
                    </w:rPr>
                  </w:rPrChange>
                </w:rPr>
                <w:t>Ελλάδα</w:t>
              </w:r>
            </w:ins>
          </w:p>
          <w:p w14:paraId="2491ACE3" w14:textId="77777777" w:rsidR="00F47ADA" w:rsidRDefault="00F47ADA" w:rsidP="0067693D">
            <w:pPr>
              <w:rPr>
                <w:lang w:val="lv-LV"/>
              </w:rPr>
            </w:pPr>
            <w:r>
              <w:rPr>
                <w:lang w:val="lv-LV"/>
              </w:rPr>
              <w:t>Τηλ: +30 210 61 66 100</w:t>
            </w:r>
          </w:p>
          <w:p w14:paraId="03A2396A" w14:textId="77777777" w:rsidR="00F47ADA" w:rsidRDefault="00F47ADA" w:rsidP="0067693D">
            <w:pPr>
              <w:rPr>
                <w:lang w:val="lv-LV"/>
              </w:rPr>
            </w:pPr>
          </w:p>
        </w:tc>
        <w:tc>
          <w:tcPr>
            <w:tcW w:w="4590" w:type="dxa"/>
          </w:tcPr>
          <w:p w14:paraId="01814CC9" w14:textId="620C0953" w:rsidR="00F47ADA" w:rsidRDefault="00F47ADA" w:rsidP="0067693D">
            <w:pPr>
              <w:rPr>
                <w:lang w:val="lv-LV"/>
              </w:rPr>
            </w:pPr>
            <w:r>
              <w:rPr>
                <w:b/>
                <w:lang w:val="lv-LV"/>
              </w:rPr>
              <w:t>Polska</w:t>
            </w:r>
          </w:p>
          <w:p w14:paraId="586B741D" w14:textId="02CEAB51" w:rsidR="00F47ADA" w:rsidRDefault="00F47ADA" w:rsidP="0067693D">
            <w:pPr>
              <w:rPr>
                <w:lang w:val="lv-LV"/>
              </w:rPr>
            </w:pPr>
            <w:r>
              <w:rPr>
                <w:lang w:val="lv-LV"/>
              </w:rPr>
              <w:t>Roche Polska Sp.z o.o.</w:t>
            </w:r>
          </w:p>
          <w:p w14:paraId="2D52661D" w14:textId="3BE76627" w:rsidR="00F47ADA" w:rsidRDefault="00F47ADA">
            <w:pPr>
              <w:rPr>
                <w:lang w:val="lv-LV"/>
              </w:rPr>
            </w:pPr>
            <w:r>
              <w:rPr>
                <w:lang w:val="lv-LV"/>
              </w:rPr>
              <w:t>Tel: +48 - 22 345 18 88</w:t>
            </w:r>
          </w:p>
          <w:p w14:paraId="4D2422DA" w14:textId="77777777" w:rsidR="00F47ADA" w:rsidRDefault="00F47ADA" w:rsidP="00F63762">
            <w:pPr>
              <w:rPr>
                <w:lang w:val="lv-LV"/>
              </w:rPr>
            </w:pPr>
          </w:p>
        </w:tc>
      </w:tr>
      <w:tr w:rsidR="00F47ADA" w:rsidRPr="00707120" w14:paraId="38AB4275" w14:textId="77777777" w:rsidTr="00C74673">
        <w:trPr>
          <w:gridAfter w:val="1"/>
          <w:wAfter w:w="108" w:type="dxa"/>
          <w:cantSplit/>
        </w:trPr>
        <w:tc>
          <w:tcPr>
            <w:tcW w:w="4590" w:type="dxa"/>
          </w:tcPr>
          <w:p w14:paraId="5A12FF54" w14:textId="77777777" w:rsidR="00F47ADA" w:rsidRDefault="00F47ADA" w:rsidP="0067693D">
            <w:pPr>
              <w:rPr>
                <w:lang w:val="lv-LV"/>
              </w:rPr>
            </w:pPr>
            <w:r>
              <w:rPr>
                <w:b/>
                <w:lang w:val="lv-LV"/>
              </w:rPr>
              <w:t>España</w:t>
            </w:r>
          </w:p>
          <w:p w14:paraId="25DA0DA9" w14:textId="77777777" w:rsidR="00F47ADA" w:rsidRDefault="00F47ADA" w:rsidP="0067693D">
            <w:pPr>
              <w:rPr>
                <w:lang w:val="lv-LV"/>
              </w:rPr>
            </w:pPr>
            <w:r>
              <w:rPr>
                <w:lang w:val="lv-LV"/>
              </w:rPr>
              <w:t>Roche Farma S.A.</w:t>
            </w:r>
          </w:p>
          <w:p w14:paraId="394AE58F" w14:textId="77777777" w:rsidR="00F47ADA" w:rsidRDefault="00F47ADA" w:rsidP="0067693D">
            <w:pPr>
              <w:rPr>
                <w:lang w:val="lv-LV"/>
              </w:rPr>
            </w:pPr>
            <w:r>
              <w:rPr>
                <w:lang w:val="lv-LV"/>
              </w:rPr>
              <w:t>Tel: +34 - 91 324 81 00</w:t>
            </w:r>
          </w:p>
          <w:p w14:paraId="09557EA3" w14:textId="77777777" w:rsidR="00F47ADA" w:rsidRDefault="00F47ADA" w:rsidP="0067693D">
            <w:pPr>
              <w:rPr>
                <w:lang w:val="lv-LV"/>
              </w:rPr>
            </w:pPr>
          </w:p>
        </w:tc>
        <w:tc>
          <w:tcPr>
            <w:tcW w:w="4590" w:type="dxa"/>
          </w:tcPr>
          <w:p w14:paraId="2FE7E4F8" w14:textId="0232562B" w:rsidR="00F47ADA" w:rsidRDefault="00F47ADA" w:rsidP="0067693D">
            <w:pPr>
              <w:rPr>
                <w:lang w:val="lv-LV"/>
              </w:rPr>
            </w:pPr>
            <w:r>
              <w:rPr>
                <w:b/>
                <w:lang w:val="lv-LV"/>
              </w:rPr>
              <w:t>Portugal</w:t>
            </w:r>
          </w:p>
          <w:p w14:paraId="6E47C8F2" w14:textId="6020571B" w:rsidR="00F47ADA" w:rsidRDefault="00F47ADA" w:rsidP="0067693D">
            <w:pPr>
              <w:rPr>
                <w:lang w:val="lv-LV"/>
              </w:rPr>
            </w:pPr>
            <w:r>
              <w:rPr>
                <w:lang w:val="lv-LV"/>
              </w:rPr>
              <w:t>Roche Farmacêutica Química, Lda</w:t>
            </w:r>
          </w:p>
          <w:p w14:paraId="52F4D75C" w14:textId="53BA9C73" w:rsidR="00F47ADA" w:rsidRDefault="00F47ADA" w:rsidP="0067693D">
            <w:pPr>
              <w:rPr>
                <w:lang w:val="lv-LV"/>
              </w:rPr>
            </w:pPr>
            <w:r>
              <w:rPr>
                <w:lang w:val="lv-LV"/>
              </w:rPr>
              <w:t>Tel: +351 - 21 425 70 00</w:t>
            </w:r>
          </w:p>
          <w:p w14:paraId="15F6D08C" w14:textId="77777777" w:rsidR="00F47ADA" w:rsidRDefault="00F47ADA" w:rsidP="0067693D">
            <w:pPr>
              <w:rPr>
                <w:lang w:val="lv-LV"/>
              </w:rPr>
            </w:pPr>
          </w:p>
        </w:tc>
      </w:tr>
      <w:tr w:rsidR="00F47ADA" w14:paraId="26D2273E" w14:textId="77777777" w:rsidTr="00C74673">
        <w:trPr>
          <w:gridAfter w:val="1"/>
          <w:wAfter w:w="108" w:type="dxa"/>
          <w:cantSplit/>
        </w:trPr>
        <w:tc>
          <w:tcPr>
            <w:tcW w:w="4590" w:type="dxa"/>
          </w:tcPr>
          <w:p w14:paraId="1D2153CE" w14:textId="77777777" w:rsidR="00F47ADA" w:rsidRDefault="00F47ADA" w:rsidP="0067693D">
            <w:pPr>
              <w:rPr>
                <w:lang w:val="lv-LV"/>
              </w:rPr>
            </w:pPr>
            <w:r>
              <w:rPr>
                <w:b/>
                <w:lang w:val="lv-LV"/>
              </w:rPr>
              <w:t>France</w:t>
            </w:r>
          </w:p>
          <w:p w14:paraId="2298BC63" w14:textId="77777777" w:rsidR="00F47ADA" w:rsidRDefault="00F47ADA" w:rsidP="0067693D">
            <w:pPr>
              <w:rPr>
                <w:lang w:val="lv-LV"/>
              </w:rPr>
            </w:pPr>
            <w:r>
              <w:rPr>
                <w:lang w:val="lv-LV"/>
              </w:rPr>
              <w:t>Roche</w:t>
            </w:r>
          </w:p>
          <w:p w14:paraId="587FDE6E" w14:textId="77777777" w:rsidR="00F47ADA" w:rsidRDefault="00F47ADA" w:rsidP="0067693D">
            <w:pPr>
              <w:rPr>
                <w:rFonts w:eastAsia="PMingLiU"/>
                <w:szCs w:val="22"/>
                <w:lang w:val="fr-FR"/>
              </w:rPr>
            </w:pPr>
            <w:r>
              <w:rPr>
                <w:lang w:val="lv-LV"/>
              </w:rPr>
              <w:t xml:space="preserve">Tél: +33 (0) </w:t>
            </w:r>
            <w:r>
              <w:rPr>
                <w:lang w:val="fr-FR"/>
              </w:rPr>
              <w:t>1 47 61 40 00</w:t>
            </w:r>
          </w:p>
          <w:p w14:paraId="3C851234" w14:textId="682BB56D" w:rsidR="00F47ADA" w:rsidDel="00C74673" w:rsidRDefault="00F47ADA" w:rsidP="0067693D">
            <w:pPr>
              <w:rPr>
                <w:del w:id="1856" w:author="Author"/>
                <w:rFonts w:eastAsia="PMingLiU"/>
                <w:szCs w:val="22"/>
                <w:lang w:val="fr-FR"/>
              </w:rPr>
            </w:pPr>
            <w:del w:id="1857" w:author="Author">
              <w:r w:rsidDel="00C74673">
                <w:rPr>
                  <w:rFonts w:eastAsia="PMingLiU"/>
                  <w:szCs w:val="22"/>
                  <w:lang w:val="fr-FR"/>
                </w:rPr>
                <w:delText>ou</w:delText>
              </w:r>
            </w:del>
          </w:p>
          <w:p w14:paraId="5818327A" w14:textId="6FDC0F61" w:rsidR="00F47ADA" w:rsidDel="00C74673" w:rsidRDefault="00F47ADA" w:rsidP="0067693D">
            <w:pPr>
              <w:rPr>
                <w:del w:id="1858" w:author="Author"/>
                <w:rFonts w:eastAsia="PMingLiU"/>
                <w:szCs w:val="22"/>
                <w:lang w:val="fr-FR"/>
              </w:rPr>
            </w:pPr>
            <w:del w:id="1859" w:author="Author">
              <w:r w:rsidDel="00C74673">
                <w:rPr>
                  <w:rFonts w:eastAsia="PMingLiU"/>
                  <w:szCs w:val="22"/>
                  <w:lang w:val="fr-FR"/>
                </w:rPr>
                <w:delText>Chugai Pharma France</w:delText>
              </w:r>
            </w:del>
          </w:p>
          <w:p w14:paraId="33554724" w14:textId="6846F4F2" w:rsidR="00F47ADA" w:rsidRPr="00C74D1A" w:rsidDel="00C74673" w:rsidRDefault="00F47ADA" w:rsidP="0067693D">
            <w:pPr>
              <w:rPr>
                <w:del w:id="1860" w:author="Author"/>
                <w:rFonts w:eastAsia="PMingLiU"/>
                <w:szCs w:val="22"/>
                <w:lang w:val="fr-FR"/>
              </w:rPr>
            </w:pPr>
            <w:del w:id="1861" w:author="Author">
              <w:r w:rsidRPr="00C74D1A" w:rsidDel="00C74673">
                <w:rPr>
                  <w:rFonts w:eastAsia="PMingLiU"/>
                  <w:szCs w:val="22"/>
                  <w:lang w:val="fr-FR"/>
                </w:rPr>
                <w:delText>Tél: +33 (0) 1 56 37 05 20</w:delText>
              </w:r>
            </w:del>
          </w:p>
          <w:p w14:paraId="6996FB3B" w14:textId="052FD9BC" w:rsidR="00F47ADA" w:rsidDel="00C74673" w:rsidRDefault="00F47ADA" w:rsidP="0067693D">
            <w:pPr>
              <w:rPr>
                <w:del w:id="1862" w:author="Author"/>
                <w:b/>
                <w:lang w:val="lv-LV"/>
              </w:rPr>
            </w:pPr>
          </w:p>
          <w:p w14:paraId="6030E764" w14:textId="17C0B167" w:rsidR="00F47ADA" w:rsidRPr="00C74D1A" w:rsidDel="00C74673" w:rsidRDefault="00F47ADA" w:rsidP="0067693D">
            <w:pPr>
              <w:suppressAutoHyphens w:val="0"/>
              <w:rPr>
                <w:del w:id="1863" w:author="Author"/>
                <w:b/>
                <w:noProof/>
                <w:lang w:val="fr-FR" w:eastAsia="ja-JP"/>
              </w:rPr>
            </w:pPr>
            <w:del w:id="1864" w:author="Author">
              <w:r w:rsidRPr="00C74D1A" w:rsidDel="00C74673">
                <w:rPr>
                  <w:b/>
                  <w:noProof/>
                  <w:lang w:val="fr-FR" w:eastAsia="ja-JP"/>
                </w:rPr>
                <w:delText>Hrvatska</w:delText>
              </w:r>
            </w:del>
          </w:p>
          <w:p w14:paraId="4F29C2D1" w14:textId="5662876C" w:rsidR="00F47ADA" w:rsidRPr="00C74D1A" w:rsidDel="00C74673" w:rsidRDefault="00F47ADA" w:rsidP="0067693D">
            <w:pPr>
              <w:suppressAutoHyphens w:val="0"/>
              <w:rPr>
                <w:del w:id="1865" w:author="Author"/>
                <w:noProof/>
                <w:lang w:val="fr-FR" w:eastAsia="ja-JP"/>
              </w:rPr>
            </w:pPr>
            <w:del w:id="1866" w:author="Author">
              <w:r w:rsidRPr="00C74D1A" w:rsidDel="00C74673">
                <w:rPr>
                  <w:noProof/>
                  <w:lang w:val="fr-FR" w:eastAsia="ja-JP"/>
                </w:rPr>
                <w:delText>Roche d.o.o</w:delText>
              </w:r>
            </w:del>
          </w:p>
          <w:p w14:paraId="10239D73" w14:textId="1CF20D42" w:rsidR="00F47ADA" w:rsidDel="00C74673" w:rsidRDefault="00F47ADA" w:rsidP="0067693D">
            <w:pPr>
              <w:rPr>
                <w:del w:id="1867" w:author="Author"/>
                <w:noProof/>
                <w:lang w:val="de-CH" w:eastAsia="ja-JP"/>
              </w:rPr>
            </w:pPr>
            <w:del w:id="1868" w:author="Author">
              <w:r w:rsidDel="00C74673">
                <w:rPr>
                  <w:noProof/>
                  <w:lang w:val="de-CH" w:eastAsia="ja-JP"/>
                </w:rPr>
                <w:delText>Tel: +385 1 47 22 333</w:delText>
              </w:r>
            </w:del>
          </w:p>
          <w:p w14:paraId="415C103B" w14:textId="77777777" w:rsidR="00F47ADA" w:rsidRDefault="00F47ADA" w:rsidP="00C74673">
            <w:pPr>
              <w:rPr>
                <w:b/>
                <w:lang w:val="lv-LV"/>
              </w:rPr>
            </w:pPr>
          </w:p>
        </w:tc>
        <w:tc>
          <w:tcPr>
            <w:tcW w:w="4590" w:type="dxa"/>
          </w:tcPr>
          <w:p w14:paraId="03E77DE8" w14:textId="7C12D40F" w:rsidR="00F47ADA" w:rsidRDefault="00F47ADA" w:rsidP="0067693D">
            <w:pPr>
              <w:tabs>
                <w:tab w:val="left" w:pos="-720"/>
                <w:tab w:val="left" w:pos="567"/>
                <w:tab w:val="left" w:pos="4536"/>
              </w:tabs>
              <w:spacing w:line="260" w:lineRule="exact"/>
              <w:rPr>
                <w:szCs w:val="22"/>
                <w:lang w:val="lv-LV"/>
              </w:rPr>
            </w:pPr>
            <w:r>
              <w:rPr>
                <w:b/>
                <w:szCs w:val="22"/>
                <w:lang w:val="lv-LV"/>
              </w:rPr>
              <w:t>România</w:t>
            </w:r>
          </w:p>
          <w:p w14:paraId="62D5D1EB" w14:textId="795E2D9F" w:rsidR="00F47ADA" w:rsidRDefault="00F47ADA" w:rsidP="0067693D">
            <w:pPr>
              <w:tabs>
                <w:tab w:val="left" w:pos="-720"/>
                <w:tab w:val="left" w:pos="4536"/>
              </w:tabs>
              <w:rPr>
                <w:szCs w:val="22"/>
                <w:lang w:val="lv-LV"/>
              </w:rPr>
            </w:pPr>
            <w:r>
              <w:rPr>
                <w:szCs w:val="22"/>
                <w:lang w:val="lv-LV"/>
              </w:rPr>
              <w:t>Roche România S.R.L.</w:t>
            </w:r>
          </w:p>
          <w:p w14:paraId="3FE31DC1" w14:textId="729BF179" w:rsidR="00F47ADA" w:rsidRDefault="00F47ADA">
            <w:pPr>
              <w:tabs>
                <w:tab w:val="left" w:pos="-720"/>
                <w:tab w:val="left" w:pos="4536"/>
              </w:tabs>
              <w:rPr>
                <w:lang w:val="lv-LV"/>
              </w:rPr>
            </w:pPr>
            <w:r>
              <w:rPr>
                <w:szCs w:val="22"/>
                <w:lang w:val="lv-LV"/>
              </w:rPr>
              <w:t>Tel: +40 21 206 47 01</w:t>
            </w:r>
          </w:p>
          <w:p w14:paraId="06F958D9" w14:textId="77777777" w:rsidR="00F47ADA" w:rsidRDefault="00F47ADA" w:rsidP="00776036">
            <w:pPr>
              <w:tabs>
                <w:tab w:val="left" w:pos="-720"/>
                <w:tab w:val="left" w:pos="4536"/>
              </w:tabs>
              <w:rPr>
                <w:lang w:val="lv-LV"/>
              </w:rPr>
            </w:pPr>
          </w:p>
        </w:tc>
      </w:tr>
      <w:tr w:rsidR="00C74673" w14:paraId="0841DD14" w14:textId="77777777" w:rsidTr="00DD58C9">
        <w:tblPrEx>
          <w:tblW w:w="9180" w:type="dxa"/>
          <w:tblLayout w:type="fixed"/>
          <w:tblLook w:val="0000" w:firstRow="0" w:lastRow="0" w:firstColumn="0" w:lastColumn="0" w:noHBand="0" w:noVBand="0"/>
          <w:tblPrExChange w:id="1869" w:author="Author">
            <w:tblPrEx>
              <w:tblW w:w="9180" w:type="dxa"/>
              <w:tblLayout w:type="fixed"/>
              <w:tblLook w:val="0000" w:firstRow="0" w:lastRow="0" w:firstColumn="0" w:lastColumn="0" w:noHBand="0" w:noVBand="0"/>
            </w:tblPrEx>
          </w:tblPrExChange>
        </w:tblPrEx>
        <w:trPr>
          <w:cantSplit/>
          <w:trHeight w:val="1030"/>
          <w:ins w:id="1870" w:author="Author"/>
          <w:trPrChange w:id="1871" w:author="Author">
            <w:trPr>
              <w:cantSplit/>
              <w:trHeight w:val="1407"/>
            </w:trPr>
          </w:trPrChange>
        </w:trPr>
        <w:tc>
          <w:tcPr>
            <w:tcW w:w="4590" w:type="dxa"/>
            <w:tcPrChange w:id="1872" w:author="Author">
              <w:tcPr>
                <w:tcW w:w="4590" w:type="dxa"/>
                <w:gridSpan w:val="2"/>
              </w:tcPr>
            </w:tcPrChange>
          </w:tcPr>
          <w:p w14:paraId="76066BE1" w14:textId="77777777" w:rsidR="00C74673" w:rsidRPr="00231BF8" w:rsidRDefault="00C74673" w:rsidP="007E17F8">
            <w:pPr>
              <w:pStyle w:val="Standard1"/>
              <w:rPr>
                <w:ins w:id="1873" w:author="Author"/>
                <w:b/>
                <w:noProof/>
                <w:szCs w:val="22"/>
                <w:lang w:val="de-DE"/>
              </w:rPr>
            </w:pPr>
            <w:ins w:id="1874" w:author="Author">
              <w:r w:rsidRPr="00231BF8">
                <w:rPr>
                  <w:b/>
                  <w:noProof/>
                  <w:szCs w:val="22"/>
                  <w:lang w:val="de-DE"/>
                </w:rPr>
                <w:t>Hrvatska</w:t>
              </w:r>
            </w:ins>
          </w:p>
          <w:p w14:paraId="6F657EE3" w14:textId="77777777" w:rsidR="00C74673" w:rsidRPr="00231BF8" w:rsidRDefault="00C74673" w:rsidP="007E17F8">
            <w:pPr>
              <w:pStyle w:val="Standard1"/>
              <w:rPr>
                <w:ins w:id="1875" w:author="Author"/>
                <w:noProof/>
                <w:szCs w:val="22"/>
                <w:lang w:val="de-DE"/>
              </w:rPr>
            </w:pPr>
            <w:ins w:id="1876" w:author="Author">
              <w:r w:rsidRPr="00231BF8">
                <w:rPr>
                  <w:noProof/>
                  <w:szCs w:val="22"/>
                  <w:lang w:val="de-DE"/>
                </w:rPr>
                <w:t>Roche d.o.o.</w:t>
              </w:r>
            </w:ins>
          </w:p>
          <w:p w14:paraId="23C1B6E3" w14:textId="77777777" w:rsidR="00C74673" w:rsidRPr="00231BF8" w:rsidRDefault="00C74673" w:rsidP="007E17F8">
            <w:pPr>
              <w:pStyle w:val="Standard1"/>
              <w:rPr>
                <w:ins w:id="1877" w:author="Author"/>
                <w:b/>
                <w:noProof/>
                <w:szCs w:val="22"/>
                <w:lang w:val="en-GB"/>
              </w:rPr>
            </w:pPr>
            <w:ins w:id="1878" w:author="Author">
              <w:r w:rsidRPr="00231BF8">
                <w:rPr>
                  <w:noProof/>
                  <w:szCs w:val="22"/>
                  <w:lang w:val="en-GB"/>
                </w:rPr>
                <w:t>Tel: +385 1 47 22 333</w:t>
              </w:r>
            </w:ins>
          </w:p>
          <w:p w14:paraId="5991F602" w14:textId="77777777" w:rsidR="00C74673" w:rsidRPr="00E725B3" w:rsidRDefault="00C74673" w:rsidP="007E17F8">
            <w:pPr>
              <w:pStyle w:val="Standard1"/>
              <w:rPr>
                <w:ins w:id="1879" w:author="Author"/>
                <w:b/>
                <w:noProof/>
                <w:szCs w:val="22"/>
                <w:lang w:val="en-GB"/>
              </w:rPr>
            </w:pPr>
          </w:p>
        </w:tc>
        <w:tc>
          <w:tcPr>
            <w:tcW w:w="4590" w:type="dxa"/>
            <w:gridSpan w:val="2"/>
            <w:tcPrChange w:id="1880" w:author="Author">
              <w:tcPr>
                <w:tcW w:w="4590" w:type="dxa"/>
                <w:gridSpan w:val="2"/>
              </w:tcPr>
            </w:tcPrChange>
          </w:tcPr>
          <w:p w14:paraId="4F9798DF" w14:textId="77777777" w:rsidR="00C74673" w:rsidRPr="00231BF8" w:rsidRDefault="00C74673" w:rsidP="007E17F8">
            <w:pPr>
              <w:pStyle w:val="Standard1"/>
              <w:rPr>
                <w:ins w:id="1881" w:author="Author"/>
                <w:b/>
                <w:noProof/>
                <w:szCs w:val="22"/>
                <w:lang w:val="en-GB"/>
              </w:rPr>
            </w:pPr>
            <w:ins w:id="1882" w:author="Author">
              <w:r w:rsidRPr="00231BF8">
                <w:rPr>
                  <w:b/>
                  <w:noProof/>
                  <w:szCs w:val="22"/>
                  <w:lang w:val="en-GB"/>
                </w:rPr>
                <w:t>Slovenija</w:t>
              </w:r>
            </w:ins>
          </w:p>
          <w:p w14:paraId="05D07D4E" w14:textId="77777777" w:rsidR="00C74673" w:rsidRPr="00231BF8" w:rsidRDefault="00C74673" w:rsidP="007E17F8">
            <w:pPr>
              <w:pStyle w:val="Standard1"/>
              <w:rPr>
                <w:ins w:id="1883" w:author="Author"/>
                <w:noProof/>
                <w:szCs w:val="22"/>
                <w:lang w:val="en-GB"/>
              </w:rPr>
            </w:pPr>
            <w:ins w:id="1884" w:author="Author">
              <w:r w:rsidRPr="00231BF8">
                <w:rPr>
                  <w:noProof/>
                  <w:szCs w:val="22"/>
                  <w:lang w:val="en-GB"/>
                </w:rPr>
                <w:t>Roche farmacevtska družba d.o.o.</w:t>
              </w:r>
            </w:ins>
          </w:p>
          <w:p w14:paraId="2A63C818" w14:textId="77777777" w:rsidR="00C74673" w:rsidRPr="00231BF8" w:rsidRDefault="00C74673" w:rsidP="007E17F8">
            <w:pPr>
              <w:pStyle w:val="Standard1"/>
              <w:rPr>
                <w:ins w:id="1885" w:author="Author"/>
                <w:rFonts w:eastAsia="MS Mincho"/>
                <w:noProof/>
                <w:szCs w:val="22"/>
                <w:lang w:val="en-GB"/>
              </w:rPr>
            </w:pPr>
            <w:ins w:id="1886" w:author="Author">
              <w:r w:rsidRPr="00231BF8">
                <w:rPr>
                  <w:rFonts w:eastAsia="MS Mincho"/>
                  <w:noProof/>
                  <w:szCs w:val="22"/>
                  <w:lang w:val="en-GB"/>
                </w:rPr>
                <w:t>Tel: +386 - 1 360 26 00</w:t>
              </w:r>
            </w:ins>
          </w:p>
          <w:p w14:paraId="51000162" w14:textId="77777777" w:rsidR="00C74673" w:rsidRPr="00E725B3" w:rsidRDefault="00C74673" w:rsidP="007E17F8">
            <w:pPr>
              <w:pStyle w:val="Standard1"/>
              <w:rPr>
                <w:ins w:id="1887" w:author="Author"/>
                <w:b/>
                <w:noProof/>
                <w:szCs w:val="22"/>
                <w:lang w:val="en-GB"/>
              </w:rPr>
            </w:pPr>
          </w:p>
        </w:tc>
      </w:tr>
      <w:tr w:rsidR="00F47ADA" w14:paraId="2A9670A2" w14:textId="77777777" w:rsidTr="00C74673">
        <w:trPr>
          <w:gridAfter w:val="1"/>
          <w:wAfter w:w="108" w:type="dxa"/>
          <w:cantSplit/>
        </w:trPr>
        <w:tc>
          <w:tcPr>
            <w:tcW w:w="4590" w:type="dxa"/>
          </w:tcPr>
          <w:p w14:paraId="67384804" w14:textId="59FCD7AC" w:rsidR="00F47ADA" w:rsidRDefault="00F47ADA" w:rsidP="0067693D">
            <w:pPr>
              <w:rPr>
                <w:lang w:val="lv-LV"/>
              </w:rPr>
            </w:pPr>
            <w:r>
              <w:rPr>
                <w:b/>
                <w:lang w:val="lv-LV"/>
              </w:rPr>
              <w:t>Ireland</w:t>
            </w:r>
            <w:ins w:id="1888" w:author="Author">
              <w:r w:rsidR="00AE7D7C" w:rsidRPr="00231BF8">
                <w:rPr>
                  <w:b/>
                  <w:noProof/>
                  <w:szCs w:val="22"/>
                  <w:lang w:val="en-GB"/>
                </w:rPr>
                <w:t>, Malta</w:t>
              </w:r>
            </w:ins>
          </w:p>
          <w:p w14:paraId="752FC121" w14:textId="53DFED8F" w:rsidR="00F47ADA" w:rsidRDefault="00F47ADA" w:rsidP="0067693D">
            <w:pPr>
              <w:rPr>
                <w:ins w:id="1889" w:author="Author"/>
                <w:lang w:val="lv-LV"/>
              </w:rPr>
            </w:pPr>
            <w:r>
              <w:rPr>
                <w:lang w:val="lv-LV"/>
              </w:rPr>
              <w:t>Roche Products (Ireland) Ltd.</w:t>
            </w:r>
          </w:p>
          <w:p w14:paraId="50A97219" w14:textId="096702E2" w:rsidR="00AE7D7C" w:rsidRDefault="00AE7D7C" w:rsidP="0067693D">
            <w:pPr>
              <w:rPr>
                <w:lang w:val="lv-LV"/>
              </w:rPr>
            </w:pPr>
            <w:ins w:id="1890" w:author="Author">
              <w:r w:rsidRPr="00231BF8">
                <w:rPr>
                  <w:noProof/>
                  <w:szCs w:val="22"/>
                  <w:lang w:val="en-GB"/>
                </w:rPr>
                <w:t>Ireland/L-Irlanda</w:t>
              </w:r>
            </w:ins>
          </w:p>
          <w:p w14:paraId="4410FC9C" w14:textId="77777777" w:rsidR="00F47ADA" w:rsidRDefault="00F47ADA" w:rsidP="0067693D">
            <w:pPr>
              <w:rPr>
                <w:lang w:val="lv-LV"/>
              </w:rPr>
            </w:pPr>
            <w:r>
              <w:rPr>
                <w:lang w:val="lv-LV"/>
              </w:rPr>
              <w:t>Tel: +353 (0) 1 469 0700</w:t>
            </w:r>
          </w:p>
          <w:p w14:paraId="5AB7BC9E" w14:textId="77777777" w:rsidR="00F47ADA" w:rsidRDefault="00F47ADA" w:rsidP="0067693D">
            <w:pPr>
              <w:rPr>
                <w:lang w:val="lv-LV"/>
              </w:rPr>
            </w:pPr>
          </w:p>
        </w:tc>
        <w:tc>
          <w:tcPr>
            <w:tcW w:w="4590" w:type="dxa"/>
          </w:tcPr>
          <w:p w14:paraId="73AA5EB5" w14:textId="77777777" w:rsidR="00AE7D7C" w:rsidRPr="00231BF8" w:rsidRDefault="00AE7D7C" w:rsidP="00AE7D7C">
            <w:pPr>
              <w:pStyle w:val="Standard1"/>
              <w:rPr>
                <w:ins w:id="1891" w:author="Author"/>
                <w:b/>
                <w:szCs w:val="22"/>
                <w:lang w:val="it-IT"/>
              </w:rPr>
            </w:pPr>
            <w:ins w:id="1892" w:author="Author">
              <w:r w:rsidRPr="00231BF8">
                <w:rPr>
                  <w:b/>
                  <w:szCs w:val="22"/>
                  <w:lang w:val="it-IT"/>
                </w:rPr>
                <w:t xml:space="preserve">Slovenská republika </w:t>
              </w:r>
            </w:ins>
          </w:p>
          <w:p w14:paraId="6A002A9B" w14:textId="77777777" w:rsidR="00AE7D7C" w:rsidRPr="00231BF8" w:rsidRDefault="00AE7D7C" w:rsidP="00AE7D7C">
            <w:pPr>
              <w:pStyle w:val="Standard1"/>
              <w:rPr>
                <w:ins w:id="1893" w:author="Author"/>
                <w:szCs w:val="22"/>
                <w:lang w:val="it-IT"/>
              </w:rPr>
            </w:pPr>
            <w:ins w:id="1894" w:author="Author">
              <w:r w:rsidRPr="00231BF8">
                <w:rPr>
                  <w:noProof/>
                  <w:szCs w:val="22"/>
                  <w:lang w:val="it-IT"/>
                </w:rPr>
                <w:t>Roche Slovensko, s.r.o.</w:t>
              </w:r>
            </w:ins>
          </w:p>
          <w:p w14:paraId="37ACA71E" w14:textId="77777777" w:rsidR="002E57E0" w:rsidRDefault="00AE7D7C" w:rsidP="00AE7D7C">
            <w:pPr>
              <w:rPr>
                <w:ins w:id="1895" w:author="Author"/>
                <w:noProof/>
                <w:szCs w:val="22"/>
                <w:lang w:val="en-GB"/>
              </w:rPr>
            </w:pPr>
            <w:ins w:id="1896" w:author="Author">
              <w:r w:rsidRPr="00231BF8">
                <w:rPr>
                  <w:noProof/>
                  <w:szCs w:val="22"/>
                  <w:lang w:val="en-GB"/>
                </w:rPr>
                <w:t>Tel: +421 - 2 52638201</w:t>
              </w:r>
            </w:ins>
          </w:p>
          <w:p w14:paraId="55CBF255" w14:textId="54AACDF9" w:rsidR="00F47ADA" w:rsidDel="00AE7D7C" w:rsidRDefault="00F47ADA" w:rsidP="00AE7D7C">
            <w:pPr>
              <w:rPr>
                <w:del w:id="1897" w:author="Author"/>
                <w:lang w:val="lv-LV"/>
              </w:rPr>
            </w:pPr>
            <w:del w:id="1898" w:author="Author">
              <w:r w:rsidDel="00AE7D7C">
                <w:rPr>
                  <w:b/>
                  <w:lang w:val="lv-LV"/>
                </w:rPr>
                <w:delText>Slovenija</w:delText>
              </w:r>
            </w:del>
          </w:p>
          <w:p w14:paraId="0C1C872A" w14:textId="548DD0E3" w:rsidR="00F47ADA" w:rsidDel="00AE7D7C" w:rsidRDefault="00F47ADA" w:rsidP="0067693D">
            <w:pPr>
              <w:rPr>
                <w:del w:id="1899" w:author="Author"/>
                <w:rFonts w:eastAsia="MS Mincho"/>
                <w:lang w:val="lv-LV"/>
              </w:rPr>
            </w:pPr>
            <w:del w:id="1900" w:author="Author">
              <w:r w:rsidDel="00AE7D7C">
                <w:rPr>
                  <w:lang w:val="lv-LV"/>
                </w:rPr>
                <w:delText>Roche farmacevtska družba d.o.o.</w:delText>
              </w:r>
            </w:del>
          </w:p>
          <w:p w14:paraId="3D7A1965" w14:textId="439A258F" w:rsidR="00F47ADA" w:rsidDel="002E57E0" w:rsidRDefault="00F47ADA" w:rsidP="002E57E0">
            <w:pPr>
              <w:rPr>
                <w:del w:id="1901" w:author="Author"/>
                <w:lang w:val="lv-LV"/>
              </w:rPr>
            </w:pPr>
            <w:del w:id="1902" w:author="Author">
              <w:r w:rsidDel="00AE7D7C">
                <w:rPr>
                  <w:rFonts w:eastAsia="MS Mincho"/>
                  <w:lang w:val="lv-LV"/>
                </w:rPr>
                <w:delText>Tel: +386 - 1 360 26 00</w:delText>
              </w:r>
            </w:del>
          </w:p>
          <w:p w14:paraId="102D07F1" w14:textId="77777777" w:rsidR="00F47ADA" w:rsidRDefault="00F47ADA" w:rsidP="0067693D">
            <w:pPr>
              <w:rPr>
                <w:lang w:val="lv-LV"/>
              </w:rPr>
            </w:pPr>
          </w:p>
        </w:tc>
      </w:tr>
      <w:tr w:rsidR="00F47ADA" w14:paraId="4EFA6266" w14:textId="77777777" w:rsidTr="00C74673">
        <w:trPr>
          <w:gridAfter w:val="1"/>
          <w:wAfter w:w="108" w:type="dxa"/>
          <w:cantSplit/>
        </w:trPr>
        <w:tc>
          <w:tcPr>
            <w:tcW w:w="4590" w:type="dxa"/>
          </w:tcPr>
          <w:p w14:paraId="686BC6A6" w14:textId="77777777" w:rsidR="00F47ADA" w:rsidRDefault="00F47ADA" w:rsidP="0067693D">
            <w:pPr>
              <w:tabs>
                <w:tab w:val="left" w:pos="720"/>
              </w:tabs>
              <w:rPr>
                <w:lang w:val="lv-LV"/>
              </w:rPr>
            </w:pPr>
            <w:r>
              <w:rPr>
                <w:b/>
                <w:lang w:val="lv-LV"/>
              </w:rPr>
              <w:t xml:space="preserve">Ísland </w:t>
            </w:r>
          </w:p>
          <w:p w14:paraId="09B0B94E" w14:textId="77777777" w:rsidR="00F47ADA" w:rsidRDefault="00F47ADA" w:rsidP="0067693D">
            <w:pPr>
              <w:tabs>
                <w:tab w:val="left" w:pos="720"/>
              </w:tabs>
              <w:rPr>
                <w:szCs w:val="22"/>
                <w:lang w:val="lv-LV"/>
              </w:rPr>
            </w:pPr>
            <w:r>
              <w:rPr>
                <w:lang w:val="lv-LV"/>
              </w:rPr>
              <w:t xml:space="preserve">Roche </w:t>
            </w:r>
            <w:r>
              <w:rPr>
                <w:noProof/>
              </w:rPr>
              <w:t>Pharmaceuticals A/S</w:t>
            </w:r>
          </w:p>
          <w:p w14:paraId="5BC1A77F" w14:textId="77777777" w:rsidR="00F47ADA" w:rsidRDefault="00F47ADA" w:rsidP="0067693D">
            <w:pPr>
              <w:tabs>
                <w:tab w:val="left" w:pos="720"/>
              </w:tabs>
              <w:rPr>
                <w:lang w:val="lv-LV"/>
              </w:rPr>
            </w:pPr>
            <w:r>
              <w:rPr>
                <w:szCs w:val="22"/>
                <w:lang w:val="lv-LV"/>
              </w:rPr>
              <w:t>c/o Icepharma hf</w:t>
            </w:r>
          </w:p>
          <w:p w14:paraId="2F439BE3" w14:textId="77777777" w:rsidR="00F47ADA" w:rsidRDefault="00F47ADA" w:rsidP="0067693D">
            <w:pPr>
              <w:rPr>
                <w:b/>
                <w:lang w:val="lv-LV"/>
              </w:rPr>
            </w:pPr>
            <w:r>
              <w:rPr>
                <w:lang w:val="lv-LV"/>
              </w:rPr>
              <w:t>Sími: +354 540 8000</w:t>
            </w:r>
          </w:p>
          <w:p w14:paraId="4FC02AC1" w14:textId="77777777" w:rsidR="00F47ADA" w:rsidRDefault="00F47ADA" w:rsidP="0067693D">
            <w:pPr>
              <w:tabs>
                <w:tab w:val="left" w:pos="720"/>
              </w:tabs>
              <w:autoSpaceDE w:val="0"/>
              <w:rPr>
                <w:b/>
                <w:lang w:val="lv-LV"/>
              </w:rPr>
            </w:pPr>
          </w:p>
        </w:tc>
        <w:tc>
          <w:tcPr>
            <w:tcW w:w="4590" w:type="dxa"/>
          </w:tcPr>
          <w:p w14:paraId="4CD7436F" w14:textId="77777777" w:rsidR="00B718B2" w:rsidRPr="00231BF8" w:rsidRDefault="00B718B2" w:rsidP="00B718B2">
            <w:pPr>
              <w:pStyle w:val="Standard1"/>
              <w:rPr>
                <w:ins w:id="1903" w:author="Author"/>
                <w:b/>
                <w:noProof/>
                <w:szCs w:val="22"/>
                <w:lang w:val="de-DE"/>
              </w:rPr>
            </w:pPr>
            <w:ins w:id="1904" w:author="Author">
              <w:r w:rsidRPr="00231BF8">
                <w:rPr>
                  <w:b/>
                  <w:noProof/>
                  <w:szCs w:val="22"/>
                  <w:lang w:val="de-DE"/>
                </w:rPr>
                <w:t>Suomi/Finland</w:t>
              </w:r>
            </w:ins>
          </w:p>
          <w:p w14:paraId="7942C73F" w14:textId="77777777" w:rsidR="00B718B2" w:rsidRPr="00231BF8" w:rsidRDefault="00B718B2" w:rsidP="00B718B2">
            <w:pPr>
              <w:pStyle w:val="Standard1"/>
              <w:rPr>
                <w:ins w:id="1905" w:author="Author"/>
                <w:noProof/>
                <w:snapToGrid w:val="0"/>
                <w:szCs w:val="22"/>
                <w:lang w:val="de-DE"/>
              </w:rPr>
            </w:pPr>
            <w:ins w:id="1906" w:author="Author">
              <w:r w:rsidRPr="00231BF8">
                <w:rPr>
                  <w:noProof/>
                  <w:szCs w:val="22"/>
                  <w:lang w:val="de-DE"/>
                </w:rPr>
                <w:t>Roche Oy</w:t>
              </w:r>
              <w:r w:rsidRPr="00231BF8">
                <w:rPr>
                  <w:noProof/>
                  <w:snapToGrid w:val="0"/>
                  <w:szCs w:val="22"/>
                  <w:lang w:val="de-DE"/>
                </w:rPr>
                <w:t xml:space="preserve"> </w:t>
              </w:r>
            </w:ins>
          </w:p>
          <w:p w14:paraId="11E2B87F" w14:textId="77777777" w:rsidR="00B718B2" w:rsidRPr="00231BF8" w:rsidRDefault="00B718B2" w:rsidP="00B718B2">
            <w:pPr>
              <w:pStyle w:val="Standard1"/>
              <w:rPr>
                <w:ins w:id="1907" w:author="Author"/>
                <w:noProof/>
                <w:szCs w:val="22"/>
                <w:lang w:val="de-DE"/>
              </w:rPr>
            </w:pPr>
            <w:ins w:id="1908" w:author="Author">
              <w:r w:rsidRPr="00231BF8">
                <w:rPr>
                  <w:noProof/>
                  <w:szCs w:val="22"/>
                  <w:lang w:val="de-DE"/>
                </w:rPr>
                <w:t>Puh/Tel: +358 (0) 10 554 500</w:t>
              </w:r>
            </w:ins>
          </w:p>
          <w:p w14:paraId="1A351F68" w14:textId="15D35E3A" w:rsidR="00F47ADA" w:rsidDel="00B718B2" w:rsidRDefault="00F47ADA" w:rsidP="0067693D">
            <w:pPr>
              <w:rPr>
                <w:del w:id="1909" w:author="Author"/>
                <w:lang w:val="lv-LV"/>
              </w:rPr>
            </w:pPr>
            <w:del w:id="1910" w:author="Author">
              <w:r w:rsidDel="00B718B2">
                <w:rPr>
                  <w:b/>
                  <w:lang w:val="lv-LV"/>
                </w:rPr>
                <w:delText xml:space="preserve">Slovenská republika </w:delText>
              </w:r>
            </w:del>
          </w:p>
          <w:p w14:paraId="0302A4D6" w14:textId="68D285C0" w:rsidR="00F47ADA" w:rsidDel="00B718B2" w:rsidRDefault="00F47ADA" w:rsidP="0067693D">
            <w:pPr>
              <w:rPr>
                <w:del w:id="1911" w:author="Author"/>
                <w:lang w:val="lv-LV"/>
              </w:rPr>
            </w:pPr>
            <w:del w:id="1912" w:author="Author">
              <w:r w:rsidDel="00B718B2">
                <w:rPr>
                  <w:lang w:val="lv-LV"/>
                </w:rPr>
                <w:delText>Roche Slovensko, s.r.o.</w:delText>
              </w:r>
            </w:del>
          </w:p>
          <w:p w14:paraId="177A673B" w14:textId="1C4637CC" w:rsidR="00F47ADA" w:rsidDel="00B718B2" w:rsidRDefault="00F47ADA" w:rsidP="0067693D">
            <w:pPr>
              <w:rPr>
                <w:del w:id="1913" w:author="Author"/>
                <w:b/>
                <w:lang w:val="lv-LV"/>
              </w:rPr>
            </w:pPr>
            <w:del w:id="1914" w:author="Author">
              <w:r w:rsidDel="00B718B2">
                <w:rPr>
                  <w:lang w:val="lv-LV"/>
                </w:rPr>
                <w:delText>Tel: +421 - 2 52638201</w:delText>
              </w:r>
            </w:del>
          </w:p>
          <w:p w14:paraId="4DD712D5" w14:textId="77777777" w:rsidR="00F47ADA" w:rsidRDefault="00F47ADA" w:rsidP="0067693D">
            <w:pPr>
              <w:rPr>
                <w:b/>
                <w:lang w:val="lv-LV"/>
              </w:rPr>
            </w:pPr>
          </w:p>
        </w:tc>
      </w:tr>
      <w:tr w:rsidR="00F47ADA" w:rsidRPr="00707120" w14:paraId="4411E5CB" w14:textId="77777777" w:rsidTr="00C74673">
        <w:trPr>
          <w:gridAfter w:val="1"/>
          <w:wAfter w:w="108" w:type="dxa"/>
          <w:cantSplit/>
        </w:trPr>
        <w:tc>
          <w:tcPr>
            <w:tcW w:w="4590" w:type="dxa"/>
          </w:tcPr>
          <w:p w14:paraId="769DC7E8" w14:textId="77777777" w:rsidR="00F47ADA" w:rsidRDefault="00F47ADA" w:rsidP="0067693D">
            <w:pPr>
              <w:rPr>
                <w:lang w:val="lv-LV"/>
              </w:rPr>
            </w:pPr>
            <w:r>
              <w:rPr>
                <w:b/>
                <w:lang w:val="lv-LV"/>
              </w:rPr>
              <w:t>Italia</w:t>
            </w:r>
          </w:p>
          <w:p w14:paraId="1E0AFBDB" w14:textId="77777777" w:rsidR="00F47ADA" w:rsidRDefault="00F47ADA" w:rsidP="0067693D">
            <w:pPr>
              <w:rPr>
                <w:lang w:val="lv-LV"/>
              </w:rPr>
            </w:pPr>
            <w:r>
              <w:rPr>
                <w:lang w:val="lv-LV"/>
              </w:rPr>
              <w:t>Roche S.p.A.</w:t>
            </w:r>
          </w:p>
          <w:p w14:paraId="266CBBAE" w14:textId="77777777" w:rsidR="00F47ADA" w:rsidRDefault="00F47ADA" w:rsidP="0067693D">
            <w:pPr>
              <w:rPr>
                <w:b/>
                <w:lang w:val="lv-LV"/>
              </w:rPr>
            </w:pPr>
            <w:r>
              <w:rPr>
                <w:lang w:val="lv-LV"/>
              </w:rPr>
              <w:t>Tel: +39 - 039 2471</w:t>
            </w:r>
          </w:p>
        </w:tc>
        <w:tc>
          <w:tcPr>
            <w:tcW w:w="4590" w:type="dxa"/>
          </w:tcPr>
          <w:p w14:paraId="7092FD53" w14:textId="77777777" w:rsidR="00B718B2" w:rsidRPr="00231BF8" w:rsidRDefault="00B718B2" w:rsidP="00B718B2">
            <w:pPr>
              <w:pStyle w:val="Standard1"/>
              <w:rPr>
                <w:ins w:id="1915" w:author="Author"/>
                <w:noProof/>
                <w:szCs w:val="22"/>
                <w:lang w:val="en-GB"/>
              </w:rPr>
            </w:pPr>
            <w:ins w:id="1916" w:author="Author">
              <w:r w:rsidRPr="00231BF8">
                <w:rPr>
                  <w:b/>
                  <w:noProof/>
                  <w:szCs w:val="22"/>
                  <w:lang w:val="en-GB"/>
                </w:rPr>
                <w:t>Sverige</w:t>
              </w:r>
            </w:ins>
          </w:p>
          <w:p w14:paraId="520D4C17" w14:textId="77777777" w:rsidR="00B718B2" w:rsidRPr="00231BF8" w:rsidRDefault="00B718B2" w:rsidP="00B718B2">
            <w:pPr>
              <w:pStyle w:val="Standard1"/>
              <w:rPr>
                <w:ins w:id="1917" w:author="Author"/>
                <w:noProof/>
                <w:szCs w:val="22"/>
                <w:lang w:val="en-GB"/>
              </w:rPr>
            </w:pPr>
            <w:ins w:id="1918" w:author="Author">
              <w:r w:rsidRPr="00231BF8">
                <w:rPr>
                  <w:noProof/>
                  <w:szCs w:val="22"/>
                  <w:lang w:val="en-GB"/>
                </w:rPr>
                <w:t>Roche AB</w:t>
              </w:r>
            </w:ins>
          </w:p>
          <w:p w14:paraId="632D00C5" w14:textId="77777777" w:rsidR="00B718B2" w:rsidRPr="00231BF8" w:rsidRDefault="00B718B2" w:rsidP="00B718B2">
            <w:pPr>
              <w:pStyle w:val="Standard1"/>
              <w:suppressAutoHyphens/>
              <w:rPr>
                <w:ins w:id="1919" w:author="Author"/>
                <w:noProof/>
                <w:szCs w:val="22"/>
                <w:lang w:val="en-GB"/>
              </w:rPr>
            </w:pPr>
            <w:ins w:id="1920" w:author="Author">
              <w:r w:rsidRPr="00231BF8">
                <w:rPr>
                  <w:noProof/>
                  <w:szCs w:val="22"/>
                  <w:lang w:val="en-GB"/>
                </w:rPr>
                <w:t>Tel: +46 (0) 8 726 1200</w:t>
              </w:r>
            </w:ins>
          </w:p>
          <w:p w14:paraId="3468C1C0" w14:textId="464B2951" w:rsidR="00F47ADA" w:rsidDel="00B718B2" w:rsidRDefault="00F47ADA" w:rsidP="0067693D">
            <w:pPr>
              <w:rPr>
                <w:del w:id="1921" w:author="Author"/>
                <w:lang w:val="lv-LV"/>
              </w:rPr>
            </w:pPr>
            <w:del w:id="1922" w:author="Author">
              <w:r w:rsidDel="00B718B2">
                <w:rPr>
                  <w:b/>
                  <w:lang w:val="lv-LV"/>
                </w:rPr>
                <w:delText>Suomi/Finland</w:delText>
              </w:r>
            </w:del>
          </w:p>
          <w:p w14:paraId="31DDBDCA" w14:textId="6C940CCC" w:rsidR="00F47ADA" w:rsidDel="00B718B2" w:rsidRDefault="00F47ADA" w:rsidP="0067693D">
            <w:pPr>
              <w:rPr>
                <w:del w:id="1923" w:author="Author"/>
                <w:lang w:val="lv-LV"/>
              </w:rPr>
            </w:pPr>
            <w:del w:id="1924" w:author="Author">
              <w:r w:rsidDel="00B718B2">
                <w:rPr>
                  <w:lang w:val="lv-LV"/>
                </w:rPr>
                <w:delText xml:space="preserve">Roche Oy </w:delText>
              </w:r>
            </w:del>
          </w:p>
          <w:p w14:paraId="22C6BC76" w14:textId="06BBE027" w:rsidR="00F47ADA" w:rsidDel="00B718B2" w:rsidRDefault="00F47ADA" w:rsidP="0067693D">
            <w:pPr>
              <w:rPr>
                <w:del w:id="1925" w:author="Author"/>
                <w:lang w:val="lv-LV"/>
              </w:rPr>
            </w:pPr>
            <w:del w:id="1926" w:author="Author">
              <w:r w:rsidDel="00B718B2">
                <w:rPr>
                  <w:lang w:val="lv-LV"/>
                </w:rPr>
                <w:delText>Puh/Tel: +358 (0) 10 554 500</w:delText>
              </w:r>
            </w:del>
          </w:p>
          <w:p w14:paraId="3D38B8AF" w14:textId="77777777" w:rsidR="00F47ADA" w:rsidRDefault="00F47ADA" w:rsidP="0067693D">
            <w:pPr>
              <w:rPr>
                <w:lang w:val="lv-LV"/>
              </w:rPr>
            </w:pPr>
          </w:p>
        </w:tc>
      </w:tr>
      <w:tr w:rsidR="00F47ADA" w:rsidDel="00B718B2" w14:paraId="7176BDC5" w14:textId="5A746726" w:rsidTr="00C74673">
        <w:trPr>
          <w:cantSplit/>
          <w:del w:id="1927" w:author="Author"/>
        </w:trPr>
        <w:tc>
          <w:tcPr>
            <w:tcW w:w="4590" w:type="dxa"/>
          </w:tcPr>
          <w:p w14:paraId="7DA97CE0" w14:textId="49653B3E" w:rsidR="00F47ADA" w:rsidDel="00B718B2" w:rsidRDefault="00F47ADA" w:rsidP="0067693D">
            <w:pPr>
              <w:rPr>
                <w:del w:id="1928" w:author="Author"/>
                <w:lang w:val="lv-LV"/>
              </w:rPr>
            </w:pPr>
            <w:del w:id="1929" w:author="Author">
              <w:r w:rsidDel="00B718B2">
                <w:rPr>
                  <w:b/>
                  <w:lang w:val="lv-LV"/>
                </w:rPr>
                <w:delText>Kύπρος</w:delText>
              </w:r>
              <w:r w:rsidDel="00B718B2">
                <w:rPr>
                  <w:rFonts w:ascii="Arial" w:hAnsi="Arial" w:cs="Arial"/>
                  <w:sz w:val="20"/>
                  <w:lang w:val="lv-LV"/>
                </w:rPr>
                <w:delText xml:space="preserve"> </w:delText>
              </w:r>
            </w:del>
          </w:p>
          <w:p w14:paraId="6A289F4C" w14:textId="4B9E893F" w:rsidR="00F47ADA" w:rsidRPr="00960D01" w:rsidDel="00B718B2" w:rsidRDefault="00F47ADA" w:rsidP="0067693D">
            <w:pPr>
              <w:pStyle w:val="Standard1"/>
              <w:rPr>
                <w:del w:id="1930" w:author="Author"/>
                <w:noProof/>
                <w:szCs w:val="22"/>
                <w:lang w:val="en-GB"/>
              </w:rPr>
            </w:pPr>
            <w:del w:id="1931" w:author="Author">
              <w:r w:rsidRPr="00960D01" w:rsidDel="00B718B2">
                <w:rPr>
                  <w:noProof/>
                  <w:szCs w:val="22"/>
                  <w:lang w:val="en-GB"/>
                </w:rPr>
                <w:delText>Roche (Hellas) A.E.</w:delText>
              </w:r>
            </w:del>
          </w:p>
          <w:p w14:paraId="1D77F7F0" w14:textId="47CF790B" w:rsidR="00F47ADA" w:rsidDel="00B718B2" w:rsidRDefault="00F47ADA" w:rsidP="0067693D">
            <w:pPr>
              <w:rPr>
                <w:del w:id="1932" w:author="Author"/>
                <w:lang w:val="lv-LV"/>
              </w:rPr>
            </w:pPr>
            <w:del w:id="1933" w:author="Author">
              <w:r w:rsidRPr="00960D01" w:rsidDel="00B718B2">
                <w:rPr>
                  <w:noProof/>
                  <w:szCs w:val="22"/>
                  <w:lang w:val="en-GB"/>
                </w:rPr>
                <w:delText>Τηλ: +30 210 61 66 100</w:delText>
              </w:r>
              <w:r w:rsidDel="00B718B2">
                <w:rPr>
                  <w:lang w:val="lv-LV"/>
                </w:rPr>
                <w:delText xml:space="preserve"> </w:delText>
              </w:r>
            </w:del>
          </w:p>
        </w:tc>
        <w:tc>
          <w:tcPr>
            <w:tcW w:w="4590" w:type="dxa"/>
            <w:gridSpan w:val="2"/>
          </w:tcPr>
          <w:p w14:paraId="1E6F7A6C" w14:textId="6BAB65BB" w:rsidR="00F47ADA" w:rsidDel="00B718B2" w:rsidRDefault="00F47ADA" w:rsidP="0067693D">
            <w:pPr>
              <w:rPr>
                <w:del w:id="1934" w:author="Author"/>
                <w:lang w:val="lv-LV"/>
              </w:rPr>
            </w:pPr>
            <w:del w:id="1935" w:author="Author">
              <w:r w:rsidDel="00B718B2">
                <w:rPr>
                  <w:b/>
                  <w:lang w:val="lv-LV"/>
                </w:rPr>
                <w:delText>Sverige</w:delText>
              </w:r>
            </w:del>
          </w:p>
          <w:p w14:paraId="35B8389B" w14:textId="296AA78D" w:rsidR="00F47ADA" w:rsidDel="00B718B2" w:rsidRDefault="00F47ADA" w:rsidP="0067693D">
            <w:pPr>
              <w:rPr>
                <w:del w:id="1936" w:author="Author"/>
                <w:lang w:val="lv-LV"/>
              </w:rPr>
            </w:pPr>
            <w:del w:id="1937" w:author="Author">
              <w:r w:rsidDel="00B718B2">
                <w:rPr>
                  <w:lang w:val="lv-LV"/>
                </w:rPr>
                <w:delText>Roche AB</w:delText>
              </w:r>
            </w:del>
          </w:p>
          <w:p w14:paraId="77607510" w14:textId="7BAAA65C" w:rsidR="00F47ADA" w:rsidDel="00B718B2" w:rsidRDefault="00F47ADA" w:rsidP="0067693D">
            <w:pPr>
              <w:rPr>
                <w:del w:id="1938" w:author="Author"/>
                <w:lang w:val="lv-LV"/>
              </w:rPr>
            </w:pPr>
            <w:del w:id="1939" w:author="Author">
              <w:r w:rsidDel="00B718B2">
                <w:rPr>
                  <w:lang w:val="lv-LV"/>
                </w:rPr>
                <w:delText>Tel: +46 (0) 8 726 1200</w:delText>
              </w:r>
            </w:del>
          </w:p>
          <w:p w14:paraId="4A77D016" w14:textId="5CBD04F7" w:rsidR="00F47ADA" w:rsidDel="00B718B2" w:rsidRDefault="00F47ADA" w:rsidP="0067693D">
            <w:pPr>
              <w:rPr>
                <w:del w:id="1940" w:author="Author"/>
                <w:lang w:val="lv-LV"/>
              </w:rPr>
            </w:pPr>
          </w:p>
        </w:tc>
      </w:tr>
      <w:tr w:rsidR="00F47ADA" w:rsidRPr="00707120" w:rsidDel="00B718B2" w14:paraId="08D05460" w14:textId="44126D1F" w:rsidTr="00C74673">
        <w:trPr>
          <w:cantSplit/>
          <w:del w:id="1941" w:author="Author"/>
        </w:trPr>
        <w:tc>
          <w:tcPr>
            <w:tcW w:w="4590" w:type="dxa"/>
          </w:tcPr>
          <w:p w14:paraId="735B3057" w14:textId="00868306" w:rsidR="00F47ADA" w:rsidDel="00B718B2" w:rsidRDefault="00F47ADA" w:rsidP="0067693D">
            <w:pPr>
              <w:rPr>
                <w:del w:id="1942" w:author="Author"/>
                <w:bCs/>
                <w:lang w:val="lv-LV"/>
              </w:rPr>
            </w:pPr>
            <w:del w:id="1943" w:author="Author">
              <w:r w:rsidDel="00B718B2">
                <w:rPr>
                  <w:b/>
                  <w:lang w:val="lv-LV"/>
                </w:rPr>
                <w:delText>Latvija</w:delText>
              </w:r>
            </w:del>
          </w:p>
          <w:p w14:paraId="0C5A6A87" w14:textId="664EEF2A" w:rsidR="00F47ADA" w:rsidDel="00B718B2" w:rsidRDefault="00F47ADA" w:rsidP="0067693D">
            <w:pPr>
              <w:rPr>
                <w:del w:id="1944" w:author="Author"/>
                <w:lang w:val="lv-LV"/>
              </w:rPr>
            </w:pPr>
            <w:del w:id="1945" w:author="Author">
              <w:r w:rsidDel="00B718B2">
                <w:rPr>
                  <w:bCs/>
                  <w:lang w:val="lv-LV"/>
                </w:rPr>
                <w:delText>Roche Latvija SIA</w:delText>
              </w:r>
            </w:del>
          </w:p>
          <w:p w14:paraId="03B56655" w14:textId="355F9833" w:rsidR="00F47ADA" w:rsidDel="00B718B2" w:rsidRDefault="00F47ADA" w:rsidP="0067693D">
            <w:pPr>
              <w:rPr>
                <w:del w:id="1946" w:author="Author"/>
                <w:b/>
                <w:lang w:val="lv-LV"/>
              </w:rPr>
            </w:pPr>
            <w:del w:id="1947" w:author="Author">
              <w:r w:rsidDel="00B718B2">
                <w:rPr>
                  <w:lang w:val="lv-LV"/>
                </w:rPr>
                <w:delText>Tel: +371 - 6 7039831</w:delText>
              </w:r>
            </w:del>
          </w:p>
          <w:p w14:paraId="61238193" w14:textId="2F5EBFA9" w:rsidR="00F47ADA" w:rsidDel="00B718B2" w:rsidRDefault="00F47ADA" w:rsidP="0067693D">
            <w:pPr>
              <w:rPr>
                <w:del w:id="1948" w:author="Author"/>
                <w:b/>
                <w:lang w:val="lv-LV"/>
              </w:rPr>
            </w:pPr>
          </w:p>
        </w:tc>
        <w:tc>
          <w:tcPr>
            <w:tcW w:w="4590" w:type="dxa"/>
            <w:gridSpan w:val="2"/>
          </w:tcPr>
          <w:p w14:paraId="7E867F58" w14:textId="60EB75C8" w:rsidR="00F47ADA" w:rsidDel="00B718B2" w:rsidRDefault="00F47ADA" w:rsidP="0067693D">
            <w:pPr>
              <w:rPr>
                <w:del w:id="1949" w:author="Author"/>
                <w:lang w:val="lv-LV"/>
              </w:rPr>
            </w:pPr>
          </w:p>
        </w:tc>
      </w:tr>
      <w:tr w:rsidR="00F47ADA" w:rsidRPr="00707120" w:rsidDel="00B718B2" w14:paraId="0B4D2CEC" w14:textId="74A63B86" w:rsidTr="00C74673">
        <w:trPr>
          <w:cantSplit/>
          <w:del w:id="1950" w:author="Author"/>
        </w:trPr>
        <w:tc>
          <w:tcPr>
            <w:tcW w:w="4590" w:type="dxa"/>
          </w:tcPr>
          <w:p w14:paraId="3B418EAA" w14:textId="68AF5531" w:rsidR="00F47ADA" w:rsidDel="00B718B2" w:rsidRDefault="00F47ADA" w:rsidP="0067693D">
            <w:pPr>
              <w:rPr>
                <w:del w:id="1951" w:author="Author"/>
                <w:lang w:val="lv-LV"/>
              </w:rPr>
            </w:pPr>
            <w:del w:id="1952" w:author="Author">
              <w:r w:rsidDel="00B718B2">
                <w:rPr>
                  <w:b/>
                  <w:lang w:val="lv-LV"/>
                </w:rPr>
                <w:delText>Lietuva</w:delText>
              </w:r>
            </w:del>
          </w:p>
          <w:p w14:paraId="5D0AD48A" w14:textId="29643A6E" w:rsidR="00F47ADA" w:rsidDel="00B718B2" w:rsidRDefault="00F47ADA" w:rsidP="0067693D">
            <w:pPr>
              <w:rPr>
                <w:del w:id="1953" w:author="Author"/>
                <w:lang w:val="lv-LV"/>
              </w:rPr>
            </w:pPr>
            <w:del w:id="1954" w:author="Author">
              <w:r w:rsidDel="00B718B2">
                <w:rPr>
                  <w:lang w:val="lv-LV"/>
                </w:rPr>
                <w:delText>UAB “Roche Lietuva”</w:delText>
              </w:r>
            </w:del>
          </w:p>
          <w:p w14:paraId="0388A899" w14:textId="05224A95" w:rsidR="00F47ADA" w:rsidDel="00B718B2" w:rsidRDefault="00F47ADA" w:rsidP="0067693D">
            <w:pPr>
              <w:rPr>
                <w:del w:id="1955" w:author="Author"/>
                <w:lang w:val="lv-LV"/>
              </w:rPr>
            </w:pPr>
            <w:del w:id="1956" w:author="Author">
              <w:r w:rsidDel="00B718B2">
                <w:rPr>
                  <w:lang w:val="lv-LV"/>
                </w:rPr>
                <w:delText>Tel: +370 5 2546799</w:delText>
              </w:r>
            </w:del>
          </w:p>
          <w:p w14:paraId="2CB8AFBA" w14:textId="0F93E796" w:rsidR="00F47ADA" w:rsidDel="00B718B2" w:rsidRDefault="00F47ADA" w:rsidP="0067693D">
            <w:pPr>
              <w:rPr>
                <w:del w:id="1957" w:author="Author"/>
                <w:lang w:val="lv-LV"/>
              </w:rPr>
            </w:pPr>
          </w:p>
        </w:tc>
        <w:tc>
          <w:tcPr>
            <w:tcW w:w="4590" w:type="dxa"/>
            <w:gridSpan w:val="2"/>
          </w:tcPr>
          <w:p w14:paraId="443A4A9C" w14:textId="38281479" w:rsidR="00F47ADA" w:rsidDel="00B718B2" w:rsidRDefault="00F47ADA" w:rsidP="0067693D">
            <w:pPr>
              <w:snapToGrid w:val="0"/>
              <w:rPr>
                <w:del w:id="1958" w:author="Author"/>
                <w:lang w:val="lv-LV"/>
              </w:rPr>
            </w:pPr>
          </w:p>
        </w:tc>
      </w:tr>
    </w:tbl>
    <w:p w14:paraId="2AC122F1" w14:textId="77777777" w:rsidR="00F47ADA" w:rsidRDefault="00F47ADA" w:rsidP="00F47ADA">
      <w:pPr>
        <w:ind w:right="-449"/>
        <w:rPr>
          <w:lang w:val="fi-FI"/>
        </w:rPr>
      </w:pPr>
    </w:p>
    <w:p w14:paraId="4E663CC9" w14:textId="77777777" w:rsidR="00F47ADA" w:rsidRDefault="00F47ADA" w:rsidP="00F47ADA">
      <w:pPr>
        <w:keepNext/>
        <w:keepLines/>
        <w:rPr>
          <w:b/>
          <w:szCs w:val="22"/>
          <w:lang w:val="lv-LV"/>
        </w:rPr>
      </w:pPr>
      <w:r>
        <w:rPr>
          <w:b/>
          <w:szCs w:val="22"/>
          <w:lang w:val="lv-LV"/>
        </w:rPr>
        <w:t xml:space="preserve">Šī lietošanas instrukcija pēdējo reizi pārskatīta </w:t>
      </w:r>
    </w:p>
    <w:p w14:paraId="4336BE91" w14:textId="77777777" w:rsidR="00F47ADA" w:rsidRDefault="00F47ADA" w:rsidP="00F47ADA">
      <w:pPr>
        <w:ind w:right="-2"/>
        <w:rPr>
          <w:b/>
          <w:szCs w:val="22"/>
          <w:lang w:val="lv-LV"/>
        </w:rPr>
      </w:pPr>
    </w:p>
    <w:p w14:paraId="26398876" w14:textId="77777777" w:rsidR="00F47ADA" w:rsidRDefault="00F47ADA" w:rsidP="00F47ADA">
      <w:pPr>
        <w:ind w:right="-2"/>
        <w:rPr>
          <w:bCs/>
          <w:szCs w:val="22"/>
          <w:lang w:val="lv-LV"/>
        </w:rPr>
      </w:pPr>
      <w:r>
        <w:rPr>
          <w:b/>
          <w:szCs w:val="22"/>
          <w:lang w:val="lv-LV"/>
        </w:rPr>
        <w:t>Citi informācijas avoti</w:t>
      </w:r>
    </w:p>
    <w:p w14:paraId="0834CACC" w14:textId="5E739C4B" w:rsidR="00F47ADA" w:rsidRDefault="00F47ADA" w:rsidP="00F47ADA">
      <w:pPr>
        <w:rPr>
          <w:lang w:val="lv-LV"/>
        </w:rPr>
      </w:pPr>
      <w:r>
        <w:rPr>
          <w:bCs/>
          <w:szCs w:val="22"/>
          <w:lang w:val="lv-LV"/>
        </w:rPr>
        <w:t>Sīkāka informācija par šīm zālēm ir pieejama Eiropas Zāļu aģentūras tīmekļa vietnē</w:t>
      </w:r>
      <w:r>
        <w:rPr>
          <w:b/>
          <w:bCs/>
          <w:szCs w:val="22"/>
          <w:lang w:val="lv-LV"/>
        </w:rPr>
        <w:t xml:space="preserve"> </w:t>
      </w:r>
      <w:r w:rsidR="007E17F8">
        <w:fldChar w:fldCharType="begin"/>
      </w:r>
      <w:r w:rsidR="007E17F8" w:rsidRPr="00DD58C9">
        <w:rPr>
          <w:lang w:val="lv-LV"/>
          <w:rPrChange w:id="1959" w:author="Author">
            <w:rPr/>
          </w:rPrChange>
        </w:rPr>
        <w:instrText xml:space="preserve"> HYPERLINK "https://www.ema.europa.eu/" </w:instrText>
      </w:r>
      <w:r w:rsidR="007E17F8">
        <w:fldChar w:fldCharType="separate"/>
      </w:r>
      <w:r w:rsidRPr="00707120">
        <w:rPr>
          <w:rStyle w:val="Hyperlink"/>
          <w:szCs w:val="22"/>
        </w:rPr>
        <w:t>https://www.ema.europa.eu</w:t>
      </w:r>
      <w:r w:rsidR="007E17F8">
        <w:rPr>
          <w:rStyle w:val="Hyperlink"/>
          <w:szCs w:val="22"/>
        </w:rPr>
        <w:fldChar w:fldCharType="end"/>
      </w:r>
      <w:r>
        <w:rPr>
          <w:lang w:val="lv-LV"/>
        </w:rPr>
        <w:t xml:space="preserve">. </w:t>
      </w:r>
    </w:p>
    <w:p w14:paraId="6C54A2DD" w14:textId="77777777" w:rsidR="00F47ADA" w:rsidRDefault="00F47ADA" w:rsidP="00F47ADA">
      <w:pPr>
        <w:ind w:right="-2"/>
        <w:rPr>
          <w:lang w:val="lv-LV"/>
        </w:rPr>
      </w:pPr>
    </w:p>
    <w:p w14:paraId="05F8DF51" w14:textId="77777777" w:rsidR="00F47ADA" w:rsidRDefault="00F47ADA" w:rsidP="00F47ADA">
      <w:pPr>
        <w:ind w:right="-449"/>
        <w:rPr>
          <w:lang w:val="lv-LV"/>
        </w:rPr>
      </w:pPr>
      <w:r>
        <w:rPr>
          <w:lang w:val="lv-LV"/>
        </w:rPr>
        <w:br w:type="page"/>
      </w:r>
    </w:p>
    <w:p w14:paraId="379BD09C" w14:textId="77777777" w:rsidR="00F47ADA" w:rsidRPr="00231EC9" w:rsidRDefault="00F47ADA" w:rsidP="00F47ADA">
      <w:pPr>
        <w:ind w:right="-449"/>
        <w:rPr>
          <w:b/>
          <w:szCs w:val="22"/>
          <w:lang w:val="lv-LV"/>
        </w:rPr>
      </w:pPr>
      <w:r w:rsidRPr="00231EC9">
        <w:rPr>
          <w:b/>
          <w:szCs w:val="22"/>
          <w:lang w:val="lv-LV"/>
        </w:rPr>
        <w:t>Kas man jāzina, lai savu RoActemra pilnšļirci es lietotu droši?</w:t>
      </w:r>
    </w:p>
    <w:p w14:paraId="6F9ED4A0" w14:textId="77777777" w:rsidR="00F47ADA" w:rsidRDefault="00F47ADA" w:rsidP="00F47ADA">
      <w:pPr>
        <w:rPr>
          <w:lang w:val="lv-LV"/>
        </w:rPr>
      </w:pPr>
    </w:p>
    <w:p w14:paraId="3B4FE3CE" w14:textId="77777777" w:rsidR="00F47ADA" w:rsidRDefault="00F47ADA" w:rsidP="00F47ADA">
      <w:pPr>
        <w:autoSpaceDE w:val="0"/>
        <w:autoSpaceDN w:val="0"/>
        <w:adjustRightInd w:val="0"/>
        <w:rPr>
          <w:lang w:val="lv-LV"/>
        </w:rPr>
      </w:pPr>
      <w:r>
        <w:rPr>
          <w:lang w:val="lv-LV"/>
        </w:rPr>
        <w:t>Ir svarīgi izlasīt, saprast un ievērot šos norādījumus, lai Jūs vai Jūsu aprūpētājs RoActemra šļirci lietotu pareizi. Šie norādījumi neaizstāj veselības aprūpes speciālista veiktu apmācību. Pirms RoActemra pilnšļirces lietošanas pirmo reizi veselības aprūpes speciālistam ir Jums jāparāda, kā sagatavot pilnšļirci lietošanai un kā pareizi veikt injekciju. Vaicājiet savam veselības aprūpes speciālistam visus jautājumus, kādi Jums radušies. Necentieties veikt sev injekciju, ja neesat pārliecināts, ka esat sapratis, kā lietot RoActemra šļirci.</w:t>
      </w:r>
    </w:p>
    <w:p w14:paraId="02E31C0C" w14:textId="77777777" w:rsidR="00F47ADA" w:rsidRDefault="00F47ADA" w:rsidP="00F47ADA">
      <w:pPr>
        <w:autoSpaceDE w:val="0"/>
        <w:autoSpaceDN w:val="0"/>
        <w:adjustRightInd w:val="0"/>
        <w:rPr>
          <w:lang w:val="lv-LV"/>
        </w:rPr>
      </w:pPr>
    </w:p>
    <w:p w14:paraId="5DB7B367" w14:textId="77777777" w:rsidR="00F47ADA" w:rsidRDefault="00F47ADA" w:rsidP="00F47ADA">
      <w:pPr>
        <w:autoSpaceDE w:val="0"/>
        <w:autoSpaceDN w:val="0"/>
        <w:adjustRightInd w:val="0"/>
        <w:rPr>
          <w:lang w:val="lv-LV"/>
        </w:rPr>
      </w:pPr>
      <w:r>
        <w:rPr>
          <w:lang w:val="lv-LV"/>
        </w:rPr>
        <w:t xml:space="preserve">Lai zinātu svarīgāko informāciju par šīm zālēm, lūdzu, izlasiet arī lietošanas instrukciju, kas pievienota RoActemra šļircei. Ir svarīgi, lai RoActemra lietošanas laikā Jūs būtu sava veselības aprūpes speciālista aprūpē. </w:t>
      </w:r>
    </w:p>
    <w:p w14:paraId="6B6A555A" w14:textId="77777777" w:rsidR="00F47ADA" w:rsidRDefault="00F47ADA" w:rsidP="00F47ADA">
      <w:pPr>
        <w:rPr>
          <w:lang w:val="lv-LV"/>
        </w:rPr>
      </w:pPr>
    </w:p>
    <w:p w14:paraId="695953DB" w14:textId="77777777" w:rsidR="00F47ADA" w:rsidRPr="00231EC9" w:rsidRDefault="00F47ADA" w:rsidP="00F47ADA">
      <w:pPr>
        <w:rPr>
          <w:b/>
          <w:szCs w:val="22"/>
          <w:lang w:val="lv-LV"/>
        </w:rPr>
      </w:pPr>
      <w:r w:rsidRPr="00231EC9">
        <w:rPr>
          <w:b/>
          <w:szCs w:val="22"/>
          <w:lang w:val="lv-LV"/>
        </w:rPr>
        <w:t>Svarīga informācija</w:t>
      </w:r>
    </w:p>
    <w:p w14:paraId="22F2E3A2" w14:textId="77777777" w:rsidR="00F47ADA" w:rsidRPr="00330AEF" w:rsidRDefault="00F47ADA" w:rsidP="00F47ADA">
      <w:pPr>
        <w:rPr>
          <w:b/>
          <w:lang w:val="lv-LV"/>
        </w:rPr>
      </w:pPr>
    </w:p>
    <w:p w14:paraId="5B1386FB" w14:textId="6D2914CA" w:rsidR="00F47ADA" w:rsidRPr="003C7CDD" w:rsidRDefault="00CF30FF" w:rsidP="008405D8">
      <w:pPr>
        <w:pStyle w:val="ListParagraph"/>
        <w:tabs>
          <w:tab w:val="left" w:pos="709"/>
        </w:tabs>
        <w:autoSpaceDE w:val="0"/>
        <w:autoSpaceDN w:val="0"/>
        <w:adjustRightInd w:val="0"/>
        <w:ind w:left="851" w:hanging="567"/>
        <w:rPr>
          <w:lang w:val="lv-LV"/>
        </w:rPr>
      </w:pPr>
      <w:r>
        <w:rPr>
          <w:lang w:val="nb-NO"/>
        </w:rPr>
        <w:sym w:font="Symbol" w:char="F0B7"/>
      </w:r>
      <w:r>
        <w:rPr>
          <w:lang w:val="nb-NO"/>
        </w:rPr>
        <w:tab/>
      </w:r>
      <w:r w:rsidR="00F47ADA" w:rsidRPr="003C7CDD">
        <w:rPr>
          <w:lang w:val="lv-LV"/>
        </w:rPr>
        <w:t xml:space="preserve">Nelietojiet šļirci, ja tā šķiet bojāta. </w:t>
      </w:r>
    </w:p>
    <w:p w14:paraId="172E2FD1" w14:textId="5BAAEAD3" w:rsidR="00F47ADA" w:rsidRPr="003C7CDD" w:rsidRDefault="00CF30FF">
      <w:pPr>
        <w:pStyle w:val="ListParagraph"/>
        <w:tabs>
          <w:tab w:val="left" w:pos="728"/>
        </w:tabs>
        <w:autoSpaceDE w:val="0"/>
        <w:autoSpaceDN w:val="0"/>
        <w:adjustRightInd w:val="0"/>
        <w:ind w:left="851" w:hanging="567"/>
        <w:rPr>
          <w:lang w:val="lv-LV"/>
        </w:rPr>
        <w:pPrChange w:id="1960" w:author="Author">
          <w:pPr>
            <w:pStyle w:val="ListParagraph"/>
            <w:tabs>
              <w:tab w:val="left" w:pos="728"/>
            </w:tabs>
            <w:autoSpaceDE w:val="0"/>
            <w:autoSpaceDN w:val="0"/>
            <w:adjustRightInd w:val="0"/>
            <w:ind w:left="567" w:hanging="567"/>
          </w:pPr>
        </w:pPrChange>
      </w:pPr>
      <w:r>
        <w:rPr>
          <w:lang w:val="nb-NO"/>
        </w:rPr>
        <w:sym w:font="Symbol" w:char="F0B7"/>
      </w:r>
      <w:r>
        <w:rPr>
          <w:lang w:val="nb-NO"/>
        </w:rPr>
        <w:tab/>
      </w:r>
      <w:r w:rsidR="00F47ADA" w:rsidRPr="003C7CDD">
        <w:rPr>
          <w:lang w:val="lv-LV"/>
        </w:rPr>
        <w:t xml:space="preserve">Nelietojiet zāles, ja šķīdums ir duļķains, miglains, mainījis krāsu vai tajā ir daļiņas. </w:t>
      </w:r>
    </w:p>
    <w:p w14:paraId="61ED163A" w14:textId="56357577" w:rsidR="00F47ADA" w:rsidRPr="003C7CDD" w:rsidRDefault="00CF30FF">
      <w:pPr>
        <w:pStyle w:val="ListParagraph"/>
        <w:tabs>
          <w:tab w:val="left" w:pos="728"/>
        </w:tabs>
        <w:autoSpaceDE w:val="0"/>
        <w:autoSpaceDN w:val="0"/>
        <w:adjustRightInd w:val="0"/>
        <w:ind w:left="851" w:hanging="567"/>
        <w:rPr>
          <w:lang w:val="lv-LV"/>
        </w:rPr>
        <w:pPrChange w:id="1961" w:author="Author">
          <w:pPr>
            <w:pStyle w:val="ListParagraph"/>
            <w:tabs>
              <w:tab w:val="left" w:pos="728"/>
            </w:tabs>
            <w:autoSpaceDE w:val="0"/>
            <w:autoSpaceDN w:val="0"/>
            <w:adjustRightInd w:val="0"/>
            <w:ind w:left="567" w:hanging="567"/>
          </w:pPr>
        </w:pPrChange>
      </w:pPr>
      <w:r>
        <w:rPr>
          <w:lang w:val="nb-NO"/>
        </w:rPr>
        <w:sym w:font="Symbol" w:char="F0B7"/>
      </w:r>
      <w:r>
        <w:rPr>
          <w:lang w:val="nb-NO"/>
        </w:rPr>
        <w:tab/>
      </w:r>
      <w:r w:rsidR="00F47ADA" w:rsidRPr="003C7CDD">
        <w:rPr>
          <w:lang w:val="lv-LV"/>
        </w:rPr>
        <w:t>Nekādā gadījumā nevienā brīdī necentieties izjaukt šļirci.</w:t>
      </w:r>
    </w:p>
    <w:p w14:paraId="5F7A9CD7" w14:textId="764F4B49" w:rsidR="00F47ADA" w:rsidRPr="003C7CDD" w:rsidRDefault="00CF30FF">
      <w:pPr>
        <w:pStyle w:val="ListParagraph"/>
        <w:tabs>
          <w:tab w:val="left" w:pos="728"/>
        </w:tabs>
        <w:autoSpaceDE w:val="0"/>
        <w:autoSpaceDN w:val="0"/>
        <w:adjustRightInd w:val="0"/>
        <w:ind w:left="851" w:hanging="567"/>
        <w:rPr>
          <w:lang w:val="lv-LV"/>
        </w:rPr>
        <w:pPrChange w:id="1962" w:author="Author">
          <w:pPr>
            <w:pStyle w:val="ListParagraph"/>
            <w:tabs>
              <w:tab w:val="left" w:pos="728"/>
            </w:tabs>
            <w:autoSpaceDE w:val="0"/>
            <w:autoSpaceDN w:val="0"/>
            <w:adjustRightInd w:val="0"/>
            <w:ind w:left="567" w:hanging="567"/>
          </w:pPr>
        </w:pPrChange>
      </w:pPr>
      <w:r>
        <w:rPr>
          <w:lang w:val="nb-NO"/>
        </w:rPr>
        <w:sym w:font="Symbol" w:char="F0B7"/>
      </w:r>
      <w:r>
        <w:rPr>
          <w:lang w:val="nb-NO"/>
        </w:rPr>
        <w:tab/>
      </w:r>
      <w:r w:rsidR="00F47ADA" w:rsidRPr="003C7CDD">
        <w:rPr>
          <w:lang w:val="lv-LV"/>
        </w:rPr>
        <w:t xml:space="preserve">Nenoņemiet adatas vāciņu, ja vien neesat gatavs veikt injekciju. </w:t>
      </w:r>
    </w:p>
    <w:p w14:paraId="7DDFC1EA" w14:textId="61ABDA17" w:rsidR="00F47ADA" w:rsidRPr="003C7CDD" w:rsidRDefault="00CF30FF">
      <w:pPr>
        <w:pStyle w:val="ListParagraph"/>
        <w:tabs>
          <w:tab w:val="left" w:pos="728"/>
        </w:tabs>
        <w:autoSpaceDE w:val="0"/>
        <w:autoSpaceDN w:val="0"/>
        <w:adjustRightInd w:val="0"/>
        <w:ind w:left="851" w:hanging="567"/>
        <w:rPr>
          <w:lang w:val="lv-LV"/>
        </w:rPr>
        <w:pPrChange w:id="1963" w:author="Author">
          <w:pPr>
            <w:pStyle w:val="ListParagraph"/>
            <w:tabs>
              <w:tab w:val="left" w:pos="728"/>
            </w:tabs>
            <w:autoSpaceDE w:val="0"/>
            <w:autoSpaceDN w:val="0"/>
            <w:adjustRightInd w:val="0"/>
            <w:ind w:left="567" w:hanging="567"/>
          </w:pPr>
        </w:pPrChange>
      </w:pPr>
      <w:r>
        <w:rPr>
          <w:lang w:val="nb-NO"/>
        </w:rPr>
        <w:sym w:font="Symbol" w:char="F0B7"/>
      </w:r>
      <w:r>
        <w:rPr>
          <w:lang w:val="nb-NO"/>
        </w:rPr>
        <w:tab/>
      </w:r>
      <w:r w:rsidR="00F47ADA" w:rsidRPr="003C7CDD">
        <w:rPr>
          <w:lang w:val="lv-LV"/>
        </w:rPr>
        <w:t xml:space="preserve">Neveiciet injekciju caur ādu klājošu audumu. </w:t>
      </w:r>
    </w:p>
    <w:p w14:paraId="0C1F17BC" w14:textId="14F689FF" w:rsidR="00F47ADA" w:rsidRPr="003C7CDD" w:rsidRDefault="00CF30FF">
      <w:pPr>
        <w:pStyle w:val="ListParagraph"/>
        <w:tabs>
          <w:tab w:val="left" w:pos="728"/>
        </w:tabs>
        <w:autoSpaceDE w:val="0"/>
        <w:autoSpaceDN w:val="0"/>
        <w:adjustRightInd w:val="0"/>
        <w:ind w:left="851" w:hanging="567"/>
        <w:rPr>
          <w:lang w:val="lv-LV"/>
        </w:rPr>
        <w:pPrChange w:id="1964" w:author="Author">
          <w:pPr>
            <w:pStyle w:val="ListParagraph"/>
            <w:tabs>
              <w:tab w:val="left" w:pos="728"/>
            </w:tabs>
            <w:autoSpaceDE w:val="0"/>
            <w:autoSpaceDN w:val="0"/>
            <w:adjustRightInd w:val="0"/>
            <w:ind w:left="567" w:hanging="567"/>
          </w:pPr>
        </w:pPrChange>
      </w:pPr>
      <w:r>
        <w:rPr>
          <w:lang w:val="nb-NO"/>
        </w:rPr>
        <w:sym w:font="Symbol" w:char="F0B7"/>
      </w:r>
      <w:r>
        <w:rPr>
          <w:lang w:val="nb-NO"/>
        </w:rPr>
        <w:tab/>
      </w:r>
      <w:r w:rsidR="00F47ADA" w:rsidRPr="003C7CDD">
        <w:rPr>
          <w:lang w:val="lv-LV"/>
        </w:rPr>
        <w:t xml:space="preserve">Nekad neizmantojiet to pašu šļirci atkārtoti. </w:t>
      </w:r>
    </w:p>
    <w:p w14:paraId="1FDE462A" w14:textId="3E4CF751" w:rsidR="00F47ADA" w:rsidRPr="003C7CDD" w:rsidRDefault="00CF30FF">
      <w:pPr>
        <w:pStyle w:val="ListParagraph"/>
        <w:tabs>
          <w:tab w:val="left" w:pos="728"/>
        </w:tabs>
        <w:autoSpaceDE w:val="0"/>
        <w:autoSpaceDN w:val="0"/>
        <w:adjustRightInd w:val="0"/>
        <w:ind w:left="851" w:hanging="567"/>
        <w:rPr>
          <w:lang w:val="lv-LV"/>
        </w:rPr>
        <w:pPrChange w:id="1965" w:author="Author">
          <w:pPr>
            <w:pStyle w:val="ListParagraph"/>
            <w:tabs>
              <w:tab w:val="left" w:pos="728"/>
            </w:tabs>
            <w:autoSpaceDE w:val="0"/>
            <w:autoSpaceDN w:val="0"/>
            <w:adjustRightInd w:val="0"/>
            <w:ind w:left="567" w:hanging="567"/>
          </w:pPr>
        </w:pPrChange>
      </w:pPr>
      <w:r>
        <w:rPr>
          <w:lang w:val="nb-NO"/>
        </w:rPr>
        <w:sym w:font="Symbol" w:char="F0B7"/>
      </w:r>
      <w:r>
        <w:rPr>
          <w:lang w:val="nb-NO"/>
        </w:rPr>
        <w:tab/>
      </w:r>
      <w:r w:rsidR="00F47ADA" w:rsidRPr="003C7CDD">
        <w:rPr>
          <w:lang w:val="lv-LV"/>
        </w:rPr>
        <w:t xml:space="preserve">Nepieskarieties šļirces palaidējpirkstiem, jo tas var izraisīt šļirces bojājumu. </w:t>
      </w:r>
    </w:p>
    <w:p w14:paraId="2D367BF2" w14:textId="77777777" w:rsidR="00F47ADA" w:rsidRDefault="00F47ADA" w:rsidP="00F47ADA">
      <w:pPr>
        <w:rPr>
          <w:lang w:val="lv-LV"/>
        </w:rPr>
      </w:pPr>
    </w:p>
    <w:p w14:paraId="1E3DBFB8" w14:textId="77777777" w:rsidR="00F47ADA" w:rsidRDefault="00F47ADA" w:rsidP="00F47ADA">
      <w:pPr>
        <w:rPr>
          <w:b/>
          <w:lang w:val="lv-LV"/>
        </w:rPr>
      </w:pPr>
      <w:r>
        <w:rPr>
          <w:b/>
          <w:lang w:val="lv-LV"/>
        </w:rPr>
        <w:t>Uzglabāšana</w:t>
      </w:r>
    </w:p>
    <w:p w14:paraId="41F0B04A" w14:textId="77777777" w:rsidR="00F47ADA" w:rsidRDefault="00F47ADA" w:rsidP="00F47ADA">
      <w:pPr>
        <w:rPr>
          <w:b/>
          <w:lang w:val="lv-LV"/>
        </w:rPr>
      </w:pPr>
    </w:p>
    <w:p w14:paraId="49A7D46F" w14:textId="2BB61A94" w:rsidR="00F47ADA" w:rsidRDefault="00F47ADA" w:rsidP="00F47ADA">
      <w:pPr>
        <w:autoSpaceDE w:val="0"/>
        <w:autoSpaceDN w:val="0"/>
        <w:adjustRightInd w:val="0"/>
        <w:rPr>
          <w:lang w:val="lv-LV"/>
        </w:rPr>
      </w:pPr>
      <w:r>
        <w:rPr>
          <w:lang w:val="lv-LV"/>
        </w:rPr>
        <w:t>RoActemra šļirci un visas citas zāles glabājiet bērniem neredzamā un nepieejamā vietā. Šļirci vienmēr uzglabājiet ledusskapī 2 </w:t>
      </w:r>
      <w:r w:rsidRPr="00D4160B">
        <w:rPr>
          <w:lang w:val="lv-LV"/>
        </w:rPr>
        <w:t>°C</w:t>
      </w:r>
      <w:r w:rsidR="003416BC">
        <w:rPr>
          <w:lang w:val="lv-LV"/>
        </w:rPr>
        <w:t>–</w:t>
      </w:r>
      <w:r>
        <w:rPr>
          <w:lang w:val="lv-LV"/>
        </w:rPr>
        <w:t xml:space="preserve">8 °C temperatūrā. </w:t>
      </w:r>
      <w:r w:rsidRPr="0043619A">
        <w:rPr>
          <w:lang w:val="lv-LV"/>
        </w:rPr>
        <w:t xml:space="preserve">Pēc izņemšanas no ledusskapja pilnšļirci var uzglabāt </w:t>
      </w:r>
      <w:r w:rsidR="00627187">
        <w:rPr>
          <w:lang w:val="lv-LV"/>
        </w:rPr>
        <w:t xml:space="preserve">kopā </w:t>
      </w:r>
      <w:r w:rsidRPr="0043619A">
        <w:rPr>
          <w:lang w:val="lv-LV"/>
        </w:rPr>
        <w:t>līdz 2</w:t>
      </w:r>
      <w:r>
        <w:rPr>
          <w:lang w:val="lv-LV"/>
        </w:rPr>
        <w:t> </w:t>
      </w:r>
      <w:r w:rsidRPr="0043619A">
        <w:rPr>
          <w:lang w:val="lv-LV"/>
        </w:rPr>
        <w:t>nedēļām temperatūrā līdz 30</w:t>
      </w:r>
      <w:r>
        <w:rPr>
          <w:lang w:val="lv-LV"/>
        </w:rPr>
        <w:t> </w:t>
      </w:r>
      <w:r w:rsidRPr="0043619A">
        <w:rPr>
          <w:lang w:val="lv-LV"/>
        </w:rPr>
        <w:t>°C</w:t>
      </w:r>
      <w:r w:rsidR="00627187">
        <w:rPr>
          <w:szCs w:val="22"/>
          <w:lang w:val="lv-LV" w:eastAsia="lv-LV"/>
        </w:rPr>
        <w:t>,</w:t>
      </w:r>
      <w:r w:rsidR="00627187" w:rsidRPr="00707120">
        <w:rPr>
          <w:lang w:val="lv-LV"/>
        </w:rPr>
        <w:t xml:space="preserve"> </w:t>
      </w:r>
      <w:r w:rsidR="00627187" w:rsidRPr="00853843">
        <w:rPr>
          <w:szCs w:val="22"/>
          <w:lang w:val="lv-LV" w:eastAsia="lv-LV"/>
        </w:rPr>
        <w:t>bet nepārsniedzot oriģinālo derīguma termiņu</w:t>
      </w:r>
      <w:r w:rsidR="00627187">
        <w:rPr>
          <w:szCs w:val="22"/>
          <w:lang w:val="lv-LV" w:eastAsia="lv-LV"/>
        </w:rPr>
        <w:t xml:space="preserve"> (EXP)</w:t>
      </w:r>
      <w:r w:rsidRPr="0043619A">
        <w:rPr>
          <w:lang w:val="lv-LV"/>
        </w:rPr>
        <w:t>.</w:t>
      </w:r>
      <w:r>
        <w:rPr>
          <w:lang w:val="lv-LV"/>
        </w:rPr>
        <w:t xml:space="preserve"> </w:t>
      </w:r>
      <w:r w:rsidR="00627187" w:rsidRPr="00707120">
        <w:rPr>
          <w:lang w:val="lv-LV"/>
        </w:rPr>
        <w:t xml:space="preserve">Atzīmējiet attiecīgo datumu uz kastītes. </w:t>
      </w:r>
      <w:r>
        <w:rPr>
          <w:lang w:val="lv-LV"/>
        </w:rPr>
        <w:t>Pilnš</w:t>
      </w:r>
      <w:r w:rsidRPr="0043619A">
        <w:rPr>
          <w:lang w:val="lv-LV"/>
        </w:rPr>
        <w:t xml:space="preserve">ļirci vienmēr uzglabājiet </w:t>
      </w:r>
      <w:r>
        <w:rPr>
          <w:lang w:val="lv-LV"/>
        </w:rPr>
        <w:t>kastītē. Sargājiet šļirci no sasalšanas un no gaismas. Uzglabājiet šļirces sausas.</w:t>
      </w:r>
    </w:p>
    <w:p w14:paraId="468D8017" w14:textId="77777777" w:rsidR="00F47ADA" w:rsidRDefault="00F47ADA" w:rsidP="00F47ADA">
      <w:pPr>
        <w:autoSpaceDE w:val="0"/>
        <w:autoSpaceDN w:val="0"/>
        <w:adjustRightInd w:val="0"/>
        <w:rPr>
          <w:lang w:val="lv-LV"/>
        </w:rPr>
      </w:pPr>
    </w:p>
    <w:p w14:paraId="3D77BD0F" w14:textId="77777777" w:rsidR="00F47ADA" w:rsidRDefault="00F47ADA" w:rsidP="00F47ADA">
      <w:pPr>
        <w:autoSpaceDE w:val="0"/>
        <w:autoSpaceDN w:val="0"/>
        <w:adjustRightInd w:val="0"/>
        <w:spacing w:after="120"/>
        <w:rPr>
          <w:b/>
          <w:color w:val="231F20"/>
          <w:szCs w:val="22"/>
          <w:lang w:val="lv-LV"/>
        </w:rPr>
      </w:pPr>
      <w:r>
        <w:rPr>
          <w:b/>
          <w:color w:val="231F20"/>
          <w:szCs w:val="22"/>
          <w:lang w:val="lv-LV"/>
        </w:rPr>
        <w:t>Pilnšļirces sastāvdaļas</w:t>
      </w:r>
    </w:p>
    <w:p w14:paraId="359CC5F6" w14:textId="77777777" w:rsidR="00F47ADA" w:rsidRDefault="00F47ADA" w:rsidP="00F47ADA">
      <w:pPr>
        <w:autoSpaceDE w:val="0"/>
        <w:autoSpaceDN w:val="0"/>
        <w:adjustRightInd w:val="0"/>
        <w:spacing w:after="120"/>
        <w:rPr>
          <w:rFonts w:ascii="HelveticaNeueLTPro-Bd" w:hAnsi="HelveticaNeueLTPro-Bd" w:cs="HelveticaNeueLTPro-Bd"/>
          <w:b/>
          <w:color w:val="231F20"/>
          <w:sz w:val="20"/>
          <w:lang w:val="lv-LV"/>
        </w:rPr>
      </w:pPr>
      <w:r>
        <w:rPr>
          <w:noProof/>
          <w:lang w:eastAsia="en-US"/>
        </w:rPr>
        <w:drawing>
          <wp:inline distT="0" distB="0" distL="0" distR="0" wp14:anchorId="38AF91C7" wp14:editId="42785550">
            <wp:extent cx="3038475" cy="2324100"/>
            <wp:effectExtent l="0" t="0" r="0" b="0"/>
            <wp:docPr id="1" name="Picture 1" descr="i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8475" cy="2324100"/>
                    </a:xfrm>
                    <a:prstGeom prst="rect">
                      <a:avLst/>
                    </a:prstGeom>
                    <a:noFill/>
                    <a:ln>
                      <a:noFill/>
                    </a:ln>
                  </pic:spPr>
                </pic:pic>
              </a:graphicData>
            </a:graphic>
          </wp:inline>
        </w:drawing>
      </w:r>
    </w:p>
    <w:p w14:paraId="5A633C37" w14:textId="77777777" w:rsidR="00F47ADA" w:rsidRDefault="00F47ADA" w:rsidP="00F47ADA">
      <w:pPr>
        <w:autoSpaceDE w:val="0"/>
        <w:autoSpaceDN w:val="0"/>
        <w:adjustRightInd w:val="0"/>
        <w:rPr>
          <w:rFonts w:ascii="HelveticaNeueLTPro-Bd" w:hAnsi="HelveticaNeueLTPro-Bd" w:cs="HelveticaNeueLTPro-Bd"/>
          <w:b/>
          <w:color w:val="231F20"/>
          <w:sz w:val="20"/>
          <w:lang w:val="lv-LV"/>
        </w:rPr>
      </w:pPr>
    </w:p>
    <w:p w14:paraId="2C09FF9F" w14:textId="77777777" w:rsidR="00F47ADA" w:rsidRDefault="00F47ADA" w:rsidP="00F47ADA">
      <w:pPr>
        <w:autoSpaceDE w:val="0"/>
        <w:autoSpaceDN w:val="0"/>
        <w:adjustRightInd w:val="0"/>
        <w:rPr>
          <w:color w:val="231F20"/>
          <w:lang w:val="lv-LV"/>
        </w:rPr>
      </w:pPr>
      <w:r>
        <w:rPr>
          <w:color w:val="231F20"/>
          <w:lang w:val="lv-LV"/>
        </w:rPr>
        <w:t>Injekcijas veikšanai Jums būs nepieciešami šādi piederumi.</w:t>
      </w:r>
    </w:p>
    <w:p w14:paraId="16A030FC" w14:textId="77777777" w:rsidR="00F47ADA" w:rsidRDefault="00F47ADA" w:rsidP="00F47ADA">
      <w:pPr>
        <w:autoSpaceDE w:val="0"/>
        <w:autoSpaceDN w:val="0"/>
        <w:adjustRightInd w:val="0"/>
        <w:rPr>
          <w:color w:val="231F20"/>
          <w:lang w:val="lv-LV"/>
        </w:rPr>
      </w:pPr>
      <w:r>
        <w:rPr>
          <w:color w:val="231F20"/>
          <w:lang w:val="lv-LV"/>
        </w:rPr>
        <w:t>Piederumi, kas iekļauti kastītē:</w:t>
      </w:r>
    </w:p>
    <w:p w14:paraId="1A83EC32" w14:textId="518FF270" w:rsidR="00F47ADA" w:rsidRPr="0086570F" w:rsidRDefault="00F47ADA">
      <w:pPr>
        <w:pStyle w:val="ListParagraph"/>
        <w:numPr>
          <w:ilvl w:val="0"/>
          <w:numId w:val="62"/>
        </w:numPr>
        <w:autoSpaceDE w:val="0"/>
        <w:autoSpaceDN w:val="0"/>
        <w:adjustRightInd w:val="0"/>
        <w:ind w:left="709" w:hanging="283"/>
        <w:rPr>
          <w:lang w:val="lv-LV"/>
        </w:rPr>
        <w:pPrChange w:id="1966" w:author="Author">
          <w:pPr>
            <w:autoSpaceDE w:val="0"/>
            <w:autoSpaceDN w:val="0"/>
            <w:adjustRightInd w:val="0"/>
            <w:ind w:left="714" w:hanging="357"/>
          </w:pPr>
        </w:pPrChange>
      </w:pPr>
      <w:r w:rsidRPr="0086570F">
        <w:rPr>
          <w:lang w:val="lv-LV"/>
        </w:rPr>
        <w:t>pilnšļirce.</w:t>
      </w:r>
    </w:p>
    <w:p w14:paraId="5208F9ED" w14:textId="77777777" w:rsidR="00F47ADA" w:rsidRDefault="00F47ADA" w:rsidP="00F47ADA">
      <w:pPr>
        <w:autoSpaceDE w:val="0"/>
        <w:autoSpaceDN w:val="0"/>
        <w:adjustRightInd w:val="0"/>
        <w:ind w:left="714" w:hanging="357"/>
        <w:rPr>
          <w:color w:val="231F20"/>
          <w:lang w:val="lv-LV"/>
        </w:rPr>
      </w:pPr>
    </w:p>
    <w:p w14:paraId="3D68E90A" w14:textId="77777777" w:rsidR="00F47ADA" w:rsidRDefault="00F47ADA" w:rsidP="00F47ADA">
      <w:pPr>
        <w:keepNext/>
        <w:keepLines/>
        <w:autoSpaceDE w:val="0"/>
        <w:autoSpaceDN w:val="0"/>
        <w:adjustRightInd w:val="0"/>
        <w:rPr>
          <w:color w:val="231F20"/>
          <w:lang w:val="lv-LV"/>
        </w:rPr>
      </w:pPr>
      <w:r>
        <w:rPr>
          <w:color w:val="231F20"/>
          <w:lang w:val="lv-LV"/>
        </w:rPr>
        <w:t>Piederumi, kas nav iekļauti kastītē:</w:t>
      </w:r>
    </w:p>
    <w:p w14:paraId="7CC10CB4" w14:textId="2452262D" w:rsidR="00F47ADA" w:rsidRPr="00707120" w:rsidRDefault="00CF30FF">
      <w:pPr>
        <w:pStyle w:val="ListParagraph"/>
        <w:keepNext/>
        <w:keepLines/>
        <w:numPr>
          <w:ilvl w:val="0"/>
          <w:numId w:val="63"/>
        </w:numPr>
        <w:autoSpaceDE w:val="0"/>
        <w:autoSpaceDN w:val="0"/>
        <w:adjustRightInd w:val="0"/>
        <w:rPr>
          <w:color w:val="231F20"/>
          <w:lang w:val="lv-LV"/>
        </w:rPr>
        <w:pPrChange w:id="1967" w:author="Author">
          <w:pPr>
            <w:pStyle w:val="ListParagraph"/>
            <w:keepNext/>
            <w:keepLines/>
            <w:autoSpaceDE w:val="0"/>
            <w:autoSpaceDN w:val="0"/>
            <w:adjustRightInd w:val="0"/>
            <w:ind w:left="567" w:hanging="567"/>
          </w:pPr>
        </w:pPrChange>
      </w:pPr>
      <w:del w:id="1968" w:author="Author">
        <w:r w:rsidDel="002E57E0">
          <w:rPr>
            <w:lang w:val="nb-NO"/>
          </w:rPr>
          <w:sym w:font="Symbol" w:char="F0B7"/>
        </w:r>
        <w:r w:rsidDel="002E57E0">
          <w:rPr>
            <w:lang w:val="nb-NO"/>
          </w:rPr>
          <w:tab/>
        </w:r>
      </w:del>
      <w:r w:rsidR="00F47ADA" w:rsidRPr="00DB3106">
        <w:rPr>
          <w:lang w:val="lv-LV"/>
        </w:rPr>
        <w:t>spirta spilventiņi</w:t>
      </w:r>
      <w:r w:rsidR="00F47ADA" w:rsidRPr="00707120">
        <w:rPr>
          <w:color w:val="231F20"/>
          <w:lang w:val="lv-LV"/>
        </w:rPr>
        <w:t>;</w:t>
      </w:r>
    </w:p>
    <w:p w14:paraId="1511610F" w14:textId="5DF9D4FD" w:rsidR="00F47ADA" w:rsidRPr="00707120" w:rsidRDefault="00CF30FF">
      <w:pPr>
        <w:pStyle w:val="ListParagraph"/>
        <w:keepNext/>
        <w:keepLines/>
        <w:numPr>
          <w:ilvl w:val="0"/>
          <w:numId w:val="63"/>
        </w:numPr>
        <w:autoSpaceDE w:val="0"/>
        <w:autoSpaceDN w:val="0"/>
        <w:adjustRightInd w:val="0"/>
        <w:rPr>
          <w:color w:val="231F20"/>
          <w:lang w:val="lv-LV"/>
        </w:rPr>
        <w:pPrChange w:id="1969" w:author="Author">
          <w:pPr>
            <w:pStyle w:val="ListParagraph"/>
            <w:keepNext/>
            <w:keepLines/>
            <w:autoSpaceDE w:val="0"/>
            <w:autoSpaceDN w:val="0"/>
            <w:adjustRightInd w:val="0"/>
            <w:ind w:left="567" w:hanging="567"/>
          </w:pPr>
        </w:pPrChange>
      </w:pPr>
      <w:del w:id="1970" w:author="Author">
        <w:r w:rsidDel="002E57E0">
          <w:rPr>
            <w:lang w:val="nb-NO"/>
          </w:rPr>
          <w:sym w:font="Symbol" w:char="F0B7"/>
        </w:r>
        <w:r w:rsidDel="002E57E0">
          <w:rPr>
            <w:lang w:val="nb-NO"/>
          </w:rPr>
          <w:tab/>
        </w:r>
      </w:del>
      <w:r w:rsidR="00F47ADA" w:rsidRPr="00DB3106">
        <w:rPr>
          <w:lang w:val="lv-LV"/>
        </w:rPr>
        <w:t>sterila vate vai marle</w:t>
      </w:r>
      <w:r w:rsidR="00F47ADA" w:rsidRPr="00707120">
        <w:rPr>
          <w:color w:val="231F20"/>
          <w:lang w:val="lv-LV"/>
        </w:rPr>
        <w:t>;</w:t>
      </w:r>
    </w:p>
    <w:p w14:paraId="56C5461A" w14:textId="6D6E5474" w:rsidR="00F47ADA" w:rsidRPr="00707120" w:rsidRDefault="00CF30FF">
      <w:pPr>
        <w:pStyle w:val="ListParagraph"/>
        <w:keepNext/>
        <w:keepLines/>
        <w:numPr>
          <w:ilvl w:val="0"/>
          <w:numId w:val="63"/>
        </w:numPr>
        <w:autoSpaceDE w:val="0"/>
        <w:autoSpaceDN w:val="0"/>
        <w:adjustRightInd w:val="0"/>
        <w:rPr>
          <w:color w:val="231F20"/>
          <w:lang w:val="lv-LV"/>
        </w:rPr>
        <w:pPrChange w:id="1971" w:author="Author">
          <w:pPr>
            <w:pStyle w:val="ListParagraph"/>
            <w:keepNext/>
            <w:keepLines/>
            <w:autoSpaceDE w:val="0"/>
            <w:autoSpaceDN w:val="0"/>
            <w:adjustRightInd w:val="0"/>
            <w:ind w:left="567" w:hanging="567"/>
          </w:pPr>
        </w:pPrChange>
      </w:pPr>
      <w:del w:id="1972" w:author="Author">
        <w:r w:rsidDel="002E57E0">
          <w:rPr>
            <w:lang w:val="nb-NO"/>
          </w:rPr>
          <w:sym w:font="Symbol" w:char="F0B7"/>
        </w:r>
        <w:r w:rsidDel="002E57E0">
          <w:rPr>
            <w:lang w:val="nb-NO"/>
          </w:rPr>
          <w:tab/>
        </w:r>
      </w:del>
      <w:r w:rsidR="00F47ADA" w:rsidRPr="00DB3106">
        <w:rPr>
          <w:lang w:val="lv-LV"/>
        </w:rPr>
        <w:t>necaurdurama tvertne vai asu priekšmetu tvertne adatas vāciņa un izlietotās pilnšļirces drošai izmešanai</w:t>
      </w:r>
      <w:r w:rsidR="00F47ADA" w:rsidRPr="00707120">
        <w:rPr>
          <w:color w:val="231F20"/>
          <w:lang w:val="lv-LV"/>
        </w:rPr>
        <w:t>.</w:t>
      </w:r>
    </w:p>
    <w:p w14:paraId="691F427D" w14:textId="77777777" w:rsidR="00F47ADA" w:rsidRDefault="00F47ADA" w:rsidP="00F47ADA">
      <w:pPr>
        <w:keepNext/>
        <w:keepLines/>
        <w:autoSpaceDE w:val="0"/>
        <w:autoSpaceDN w:val="0"/>
        <w:adjustRightInd w:val="0"/>
        <w:ind w:left="714" w:hanging="357"/>
        <w:rPr>
          <w:color w:val="231F20"/>
          <w:lang w:val="lv-LV"/>
        </w:rPr>
      </w:pPr>
    </w:p>
    <w:p w14:paraId="6F469697" w14:textId="77777777" w:rsidR="00F47ADA" w:rsidRDefault="00F47ADA" w:rsidP="00F47ADA">
      <w:pPr>
        <w:autoSpaceDE w:val="0"/>
        <w:autoSpaceDN w:val="0"/>
        <w:adjustRightInd w:val="0"/>
        <w:rPr>
          <w:color w:val="231F20"/>
          <w:lang w:val="lv-LV"/>
        </w:rPr>
      </w:pPr>
      <w:r>
        <w:rPr>
          <w:color w:val="231F20"/>
          <w:lang w:val="lv-LV"/>
        </w:rPr>
        <w:t>Vieta, kur sagatavot injekcijas piederumus:</w:t>
      </w:r>
    </w:p>
    <w:p w14:paraId="020C0F41" w14:textId="5D53B833" w:rsidR="00F47ADA" w:rsidRPr="00707120" w:rsidRDefault="00CF30FF">
      <w:pPr>
        <w:pStyle w:val="ListParagraph"/>
        <w:numPr>
          <w:ilvl w:val="0"/>
          <w:numId w:val="63"/>
        </w:numPr>
        <w:autoSpaceDE w:val="0"/>
        <w:autoSpaceDN w:val="0"/>
        <w:adjustRightInd w:val="0"/>
        <w:rPr>
          <w:b/>
          <w:bCs/>
          <w:color w:val="231F20"/>
          <w:lang w:val="lv-LV"/>
        </w:rPr>
        <w:pPrChange w:id="1973" w:author="Author">
          <w:pPr>
            <w:pStyle w:val="ListParagraph"/>
            <w:autoSpaceDE w:val="0"/>
            <w:autoSpaceDN w:val="0"/>
            <w:adjustRightInd w:val="0"/>
            <w:ind w:left="567" w:hanging="567"/>
          </w:pPr>
        </w:pPrChange>
      </w:pPr>
      <w:del w:id="1974" w:author="Author">
        <w:r w:rsidDel="002E57E0">
          <w:rPr>
            <w:lang w:val="nb-NO"/>
          </w:rPr>
          <w:sym w:font="Symbol" w:char="F0B7"/>
        </w:r>
        <w:r w:rsidDel="002E57E0">
          <w:rPr>
            <w:lang w:val="nb-NO"/>
          </w:rPr>
          <w:tab/>
        </w:r>
      </w:del>
      <w:r w:rsidR="00F47ADA" w:rsidRPr="00707120">
        <w:rPr>
          <w:b/>
          <w:bCs/>
          <w:color w:val="231F20"/>
          <w:lang w:val="lv-LV"/>
        </w:rPr>
        <w:t>atrodiet labi apgaismotu, tīru, plakanu virsmu, piemēram, galdu.</w:t>
      </w:r>
    </w:p>
    <w:p w14:paraId="23B1CF69" w14:textId="77777777" w:rsidR="00F47ADA" w:rsidRDefault="00F47ADA" w:rsidP="00F47ADA">
      <w:pPr>
        <w:autoSpaceDE w:val="0"/>
        <w:autoSpaceDN w:val="0"/>
        <w:adjustRightInd w:val="0"/>
        <w:rPr>
          <w:b/>
          <w:color w:val="231F20"/>
          <w:lang w:val="lv-LV"/>
        </w:rPr>
      </w:pPr>
    </w:p>
    <w:p w14:paraId="776EBBB8" w14:textId="77777777" w:rsidR="00F47ADA" w:rsidRDefault="00F47ADA" w:rsidP="00F47ADA">
      <w:pPr>
        <w:rPr>
          <w:b/>
          <w:lang w:val="lv-LV"/>
        </w:rPr>
      </w:pPr>
      <w:r>
        <w:rPr>
          <w:b/>
          <w:lang w:val="lv-LV"/>
        </w:rPr>
        <w:t>1. solis. Apskatiet un pārbaudiet šļirci</w:t>
      </w:r>
    </w:p>
    <w:p w14:paraId="6E248B1C" w14:textId="77777777" w:rsidR="00F47ADA" w:rsidRDefault="00F47ADA" w:rsidP="00F47ADA">
      <w:pPr>
        <w:autoSpaceDE w:val="0"/>
        <w:autoSpaceDN w:val="0"/>
        <w:adjustRightInd w:val="0"/>
        <w:rPr>
          <w:b/>
          <w:color w:val="231F20"/>
          <w:lang w:val="lv-LV"/>
        </w:rPr>
      </w:pPr>
    </w:p>
    <w:p w14:paraId="0AF9A863" w14:textId="7A36DC03" w:rsidR="00F47ADA" w:rsidRPr="00707120" w:rsidRDefault="00CF30FF">
      <w:pPr>
        <w:pStyle w:val="ListParagraph"/>
        <w:numPr>
          <w:ilvl w:val="0"/>
          <w:numId w:val="63"/>
        </w:numPr>
        <w:autoSpaceDE w:val="0"/>
        <w:autoSpaceDN w:val="0"/>
        <w:adjustRightInd w:val="0"/>
        <w:spacing w:after="120"/>
        <w:rPr>
          <w:color w:val="000000"/>
          <w:lang w:val="lv-LV"/>
        </w:rPr>
        <w:pPrChange w:id="1975" w:author="Author">
          <w:pPr>
            <w:pStyle w:val="ListParagraph"/>
            <w:autoSpaceDE w:val="0"/>
            <w:autoSpaceDN w:val="0"/>
            <w:adjustRightInd w:val="0"/>
            <w:spacing w:after="120"/>
            <w:ind w:left="567" w:hanging="567"/>
          </w:pPr>
        </w:pPrChange>
      </w:pPr>
      <w:del w:id="1976" w:author="Author">
        <w:r w:rsidDel="002E57E0">
          <w:rPr>
            <w:lang w:val="nb-NO"/>
          </w:rPr>
          <w:sym w:font="Symbol" w:char="F0B7"/>
        </w:r>
        <w:r w:rsidDel="002E57E0">
          <w:rPr>
            <w:lang w:val="nb-NO"/>
          </w:rPr>
          <w:tab/>
        </w:r>
      </w:del>
      <w:r w:rsidR="00F47ADA" w:rsidRPr="00707120">
        <w:rPr>
          <w:color w:val="000000"/>
          <w:lang w:val="lv-LV"/>
        </w:rPr>
        <w:t xml:space="preserve">Izņemiet kastīti ar šļirci no ledusskapja un to atveriet. Nepieskarieties šļirces palaidējpirkstiem, jo tas var bojāt šļirci. </w:t>
      </w:r>
    </w:p>
    <w:p w14:paraId="26BD9125" w14:textId="07B9A6DB" w:rsidR="00F47ADA" w:rsidRPr="003C7CDD" w:rsidRDefault="00CF30FF">
      <w:pPr>
        <w:pStyle w:val="ListParagraph"/>
        <w:numPr>
          <w:ilvl w:val="0"/>
          <w:numId w:val="63"/>
        </w:numPr>
        <w:autoSpaceDE w:val="0"/>
        <w:autoSpaceDN w:val="0"/>
        <w:adjustRightInd w:val="0"/>
        <w:spacing w:after="120"/>
        <w:rPr>
          <w:color w:val="231F20"/>
          <w:lang w:val="lv-LV"/>
        </w:rPr>
        <w:pPrChange w:id="1977" w:author="Author">
          <w:pPr>
            <w:pStyle w:val="ListParagraph"/>
            <w:autoSpaceDE w:val="0"/>
            <w:autoSpaceDN w:val="0"/>
            <w:adjustRightInd w:val="0"/>
            <w:spacing w:after="120"/>
            <w:ind w:left="567" w:hanging="567"/>
          </w:pPr>
        </w:pPrChange>
      </w:pPr>
      <w:del w:id="1978" w:author="Author">
        <w:r w:rsidDel="002E57E0">
          <w:rPr>
            <w:lang w:val="nb-NO"/>
          </w:rPr>
          <w:sym w:font="Symbol" w:char="F0B7"/>
        </w:r>
        <w:r w:rsidDel="002E57E0">
          <w:rPr>
            <w:lang w:val="nb-NO"/>
          </w:rPr>
          <w:tab/>
        </w:r>
      </w:del>
      <w:r w:rsidR="00F47ADA" w:rsidRPr="00707120">
        <w:rPr>
          <w:color w:val="000000"/>
          <w:lang w:val="lv-LV"/>
        </w:rPr>
        <w:t xml:space="preserve">Izņemiet šļirci no kastītes un apskatiet šļirci, kā arī tajā esošās zāles. Ir svarīgi pārliecināties, ka šļirce un zāles ir droši lietojamas. </w:t>
      </w:r>
    </w:p>
    <w:p w14:paraId="5175EE3D" w14:textId="36D7AFBE" w:rsidR="00F47ADA" w:rsidRPr="003C7CDD" w:rsidRDefault="00CF30FF">
      <w:pPr>
        <w:pStyle w:val="ListParagraph"/>
        <w:numPr>
          <w:ilvl w:val="0"/>
          <w:numId w:val="63"/>
        </w:numPr>
        <w:autoSpaceDE w:val="0"/>
        <w:autoSpaceDN w:val="0"/>
        <w:adjustRightInd w:val="0"/>
        <w:spacing w:after="120"/>
        <w:rPr>
          <w:color w:val="231F20"/>
          <w:lang w:val="lv-LV"/>
        </w:rPr>
        <w:pPrChange w:id="1979" w:author="Author">
          <w:pPr>
            <w:pStyle w:val="ListParagraph"/>
            <w:autoSpaceDE w:val="0"/>
            <w:autoSpaceDN w:val="0"/>
            <w:adjustRightInd w:val="0"/>
            <w:spacing w:after="120"/>
            <w:ind w:left="567" w:hanging="567"/>
          </w:pPr>
        </w:pPrChange>
      </w:pPr>
      <w:del w:id="1980" w:author="Author">
        <w:r w:rsidDel="002E57E0">
          <w:rPr>
            <w:lang w:val="nb-NO"/>
          </w:rPr>
          <w:sym w:font="Symbol" w:char="F0B7"/>
        </w:r>
        <w:r w:rsidDel="002E57E0">
          <w:rPr>
            <w:lang w:val="nb-NO"/>
          </w:rPr>
          <w:tab/>
        </w:r>
      </w:del>
      <w:r w:rsidR="00F47ADA" w:rsidRPr="00707120">
        <w:rPr>
          <w:color w:val="000000"/>
          <w:lang w:val="lv-LV"/>
        </w:rPr>
        <w:t>Pārbaudiet uz kastītes un šļirces norādīto derīguma termiņu (skatīt A</w:t>
      </w:r>
      <w:r w:rsidR="003416BC">
        <w:rPr>
          <w:color w:val="000000"/>
          <w:lang w:val="lv-LV"/>
        </w:rPr>
        <w:t> </w:t>
      </w:r>
      <w:r w:rsidR="00F47ADA" w:rsidRPr="00707120">
        <w:rPr>
          <w:color w:val="000000"/>
          <w:lang w:val="lv-LV"/>
        </w:rPr>
        <w:t>attēlu), lai pārliecinātos, ka tas nav beidzies. Nelietojiet šļirci, ja tai beidzies derīguma termiņš. Ir svarīgi pārliecināties, ka šļirce un zāles ir droši lietojamas.</w:t>
      </w:r>
    </w:p>
    <w:p w14:paraId="34418409" w14:textId="77777777" w:rsidR="00F47ADA" w:rsidRDefault="00F47ADA" w:rsidP="00F47ADA">
      <w:pPr>
        <w:autoSpaceDE w:val="0"/>
        <w:autoSpaceDN w:val="0"/>
        <w:adjustRightInd w:val="0"/>
        <w:spacing w:after="120"/>
        <w:rPr>
          <w:rFonts w:ascii="HelveticaNeueLTPro-Roman" w:hAnsi="HelveticaNeueLTPro-Roman" w:cs="HelveticaNeueLTPro-Roman"/>
          <w:color w:val="231F20"/>
          <w:sz w:val="20"/>
          <w:lang w:val="lv-LV"/>
        </w:rPr>
      </w:pPr>
      <w:r>
        <w:rPr>
          <w:noProof/>
          <w:lang w:eastAsia="en-US"/>
        </w:rPr>
        <w:drawing>
          <wp:inline distT="0" distB="0" distL="0" distR="0" wp14:anchorId="1D6DA59F" wp14:editId="12778A26">
            <wp:extent cx="3009900" cy="1276350"/>
            <wp:effectExtent l="0" t="0" r="0" b="0"/>
            <wp:docPr id="2" name="Picture 2" descr="in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9900" cy="1276350"/>
                    </a:xfrm>
                    <a:prstGeom prst="rect">
                      <a:avLst/>
                    </a:prstGeom>
                    <a:noFill/>
                    <a:ln>
                      <a:noFill/>
                    </a:ln>
                  </pic:spPr>
                </pic:pic>
              </a:graphicData>
            </a:graphic>
          </wp:inline>
        </w:drawing>
      </w:r>
    </w:p>
    <w:p w14:paraId="507319FF" w14:textId="77777777" w:rsidR="00F47ADA" w:rsidRDefault="00F47ADA" w:rsidP="00F47ADA">
      <w:pPr>
        <w:autoSpaceDE w:val="0"/>
        <w:autoSpaceDN w:val="0"/>
        <w:adjustRightInd w:val="0"/>
        <w:rPr>
          <w:szCs w:val="22"/>
          <w:lang w:val="lv-LV"/>
        </w:rPr>
      </w:pPr>
      <w:r>
        <w:rPr>
          <w:szCs w:val="22"/>
          <w:lang w:val="lv-LV"/>
        </w:rPr>
        <w:t>Izmetiet šļirci un to nelietojiet, ja:</w:t>
      </w:r>
    </w:p>
    <w:p w14:paraId="6AB92579" w14:textId="3D2988BF" w:rsidR="00F47ADA" w:rsidRPr="003C7CDD" w:rsidRDefault="00CF30FF">
      <w:pPr>
        <w:pStyle w:val="ListParagraph"/>
        <w:numPr>
          <w:ilvl w:val="0"/>
          <w:numId w:val="63"/>
        </w:numPr>
        <w:suppressAutoHyphens w:val="0"/>
        <w:autoSpaceDE w:val="0"/>
        <w:autoSpaceDN w:val="0"/>
        <w:adjustRightInd w:val="0"/>
        <w:rPr>
          <w:szCs w:val="22"/>
          <w:lang w:val="lv-LV"/>
        </w:rPr>
        <w:pPrChange w:id="1981" w:author="Author">
          <w:pPr>
            <w:pStyle w:val="ListParagraph"/>
            <w:suppressAutoHyphens w:val="0"/>
            <w:autoSpaceDE w:val="0"/>
            <w:autoSpaceDN w:val="0"/>
            <w:adjustRightInd w:val="0"/>
            <w:ind w:left="567" w:hanging="567"/>
          </w:pPr>
        </w:pPrChange>
      </w:pPr>
      <w:del w:id="1982" w:author="Author">
        <w:r w:rsidDel="002E57E0">
          <w:rPr>
            <w:lang w:val="nb-NO"/>
          </w:rPr>
          <w:sym w:font="Symbol" w:char="F0B7"/>
        </w:r>
        <w:r w:rsidDel="002E57E0">
          <w:rPr>
            <w:lang w:val="nb-NO"/>
          </w:rPr>
          <w:tab/>
        </w:r>
      </w:del>
      <w:r w:rsidR="00F47ADA" w:rsidRPr="003C7CDD">
        <w:rPr>
          <w:szCs w:val="22"/>
          <w:lang w:val="lv-LV"/>
        </w:rPr>
        <w:t xml:space="preserve">zāles ir duļķainas; </w:t>
      </w:r>
    </w:p>
    <w:p w14:paraId="5BDF8AFE" w14:textId="44D045E5" w:rsidR="00F47ADA" w:rsidRPr="003C7CDD" w:rsidRDefault="00CF30FF">
      <w:pPr>
        <w:pStyle w:val="ListParagraph"/>
        <w:numPr>
          <w:ilvl w:val="0"/>
          <w:numId w:val="63"/>
        </w:numPr>
        <w:suppressAutoHyphens w:val="0"/>
        <w:autoSpaceDE w:val="0"/>
        <w:autoSpaceDN w:val="0"/>
        <w:adjustRightInd w:val="0"/>
        <w:rPr>
          <w:szCs w:val="22"/>
          <w:lang w:val="lv-LV"/>
        </w:rPr>
        <w:pPrChange w:id="1983" w:author="Author">
          <w:pPr>
            <w:pStyle w:val="ListParagraph"/>
            <w:suppressAutoHyphens w:val="0"/>
            <w:autoSpaceDE w:val="0"/>
            <w:autoSpaceDN w:val="0"/>
            <w:adjustRightInd w:val="0"/>
            <w:ind w:left="567" w:hanging="567"/>
          </w:pPr>
        </w:pPrChange>
      </w:pPr>
      <w:del w:id="1984" w:author="Author">
        <w:r w:rsidDel="002E57E0">
          <w:rPr>
            <w:lang w:val="nb-NO"/>
          </w:rPr>
          <w:sym w:font="Symbol" w:char="F0B7"/>
        </w:r>
        <w:r w:rsidDel="002E57E0">
          <w:rPr>
            <w:lang w:val="nb-NO"/>
          </w:rPr>
          <w:tab/>
        </w:r>
      </w:del>
      <w:r w:rsidR="00F47ADA" w:rsidRPr="003C7CDD">
        <w:rPr>
          <w:szCs w:val="22"/>
          <w:lang w:val="lv-LV"/>
        </w:rPr>
        <w:t xml:space="preserve">zālēs ir daļiņas; </w:t>
      </w:r>
    </w:p>
    <w:p w14:paraId="29E40BAA" w14:textId="3F3265CA" w:rsidR="00F47ADA" w:rsidRPr="003C7CDD" w:rsidRDefault="00CF30FF">
      <w:pPr>
        <w:pStyle w:val="ListParagraph"/>
        <w:numPr>
          <w:ilvl w:val="0"/>
          <w:numId w:val="63"/>
        </w:numPr>
        <w:suppressAutoHyphens w:val="0"/>
        <w:autoSpaceDE w:val="0"/>
        <w:autoSpaceDN w:val="0"/>
        <w:adjustRightInd w:val="0"/>
        <w:rPr>
          <w:szCs w:val="22"/>
          <w:lang w:val="lv-LV"/>
        </w:rPr>
        <w:pPrChange w:id="1985" w:author="Author">
          <w:pPr>
            <w:pStyle w:val="ListParagraph"/>
            <w:suppressAutoHyphens w:val="0"/>
            <w:autoSpaceDE w:val="0"/>
            <w:autoSpaceDN w:val="0"/>
            <w:adjustRightInd w:val="0"/>
            <w:ind w:left="567" w:hanging="567"/>
          </w:pPr>
        </w:pPrChange>
      </w:pPr>
      <w:del w:id="1986" w:author="Author">
        <w:r w:rsidDel="002E57E0">
          <w:rPr>
            <w:lang w:val="nb-NO"/>
          </w:rPr>
          <w:sym w:font="Symbol" w:char="F0B7"/>
        </w:r>
        <w:r w:rsidDel="002E57E0">
          <w:rPr>
            <w:lang w:val="nb-NO"/>
          </w:rPr>
          <w:tab/>
        </w:r>
      </w:del>
      <w:r w:rsidR="00F47ADA" w:rsidRPr="003C7CDD">
        <w:rPr>
          <w:szCs w:val="22"/>
          <w:lang w:val="lv-LV"/>
        </w:rPr>
        <w:t>zāles nav bezkrāsainas līdz dzeltenīgas;</w:t>
      </w:r>
    </w:p>
    <w:p w14:paraId="2CA046FC" w14:textId="0C374682" w:rsidR="00F47ADA" w:rsidRPr="003C7CDD" w:rsidRDefault="00CF30FF">
      <w:pPr>
        <w:pStyle w:val="ListParagraph"/>
        <w:numPr>
          <w:ilvl w:val="0"/>
          <w:numId w:val="63"/>
        </w:numPr>
        <w:suppressAutoHyphens w:val="0"/>
        <w:spacing w:after="200" w:line="276" w:lineRule="auto"/>
        <w:rPr>
          <w:szCs w:val="22"/>
          <w:lang w:val="lv-LV"/>
        </w:rPr>
        <w:pPrChange w:id="1987" w:author="Author">
          <w:pPr>
            <w:pStyle w:val="ListParagraph"/>
            <w:suppressAutoHyphens w:val="0"/>
            <w:spacing w:after="200" w:line="276" w:lineRule="auto"/>
            <w:ind w:left="567" w:hanging="567"/>
          </w:pPr>
        </w:pPrChange>
      </w:pPr>
      <w:del w:id="1988" w:author="Author">
        <w:r w:rsidDel="002E57E0">
          <w:rPr>
            <w:lang w:val="nb-NO"/>
          </w:rPr>
          <w:sym w:font="Symbol" w:char="F0B7"/>
        </w:r>
        <w:r w:rsidDel="002E57E0">
          <w:rPr>
            <w:lang w:val="nb-NO"/>
          </w:rPr>
          <w:tab/>
        </w:r>
      </w:del>
      <w:r w:rsidR="00F47ADA" w:rsidRPr="003C7CDD">
        <w:rPr>
          <w:szCs w:val="22"/>
          <w:lang w:val="lv-LV"/>
        </w:rPr>
        <w:t>jebkura šļirces daļa šķiet bojāta.</w:t>
      </w:r>
    </w:p>
    <w:p w14:paraId="1BCFFD4D" w14:textId="77777777" w:rsidR="00F47ADA" w:rsidRDefault="00F47ADA" w:rsidP="00F47ADA">
      <w:pPr>
        <w:keepNext/>
        <w:rPr>
          <w:b/>
          <w:lang w:val="lv-LV"/>
        </w:rPr>
      </w:pPr>
      <w:r>
        <w:rPr>
          <w:b/>
          <w:lang w:val="lv-LV"/>
        </w:rPr>
        <w:t>2. solis. Ļaujiet šļircei sasilt līdz istabas temperatūrai</w:t>
      </w:r>
    </w:p>
    <w:p w14:paraId="15353EF4" w14:textId="0A2B107B" w:rsidR="00F47ADA" w:rsidRDefault="00CF30FF">
      <w:pPr>
        <w:pStyle w:val="ListParagraph"/>
        <w:numPr>
          <w:ilvl w:val="0"/>
          <w:numId w:val="63"/>
        </w:numPr>
        <w:rPr>
          <w:bCs/>
          <w:kern w:val="1"/>
          <w:szCs w:val="22"/>
          <w:lang w:val="lv-LV"/>
        </w:rPr>
        <w:pPrChange w:id="1989" w:author="Author">
          <w:pPr>
            <w:pStyle w:val="ListParagraph"/>
            <w:ind w:left="567" w:hanging="567"/>
          </w:pPr>
        </w:pPrChange>
      </w:pPr>
      <w:del w:id="1990" w:author="Author">
        <w:r w:rsidDel="002E57E0">
          <w:rPr>
            <w:lang w:val="nb-NO"/>
          </w:rPr>
          <w:sym w:font="Symbol" w:char="F0B7"/>
        </w:r>
        <w:r w:rsidDel="002E57E0">
          <w:rPr>
            <w:lang w:val="nb-NO"/>
          </w:rPr>
          <w:tab/>
        </w:r>
      </w:del>
      <w:r w:rsidR="00F47ADA" w:rsidRPr="003C7CDD">
        <w:rPr>
          <w:color w:val="000000"/>
          <w:lang w:val="lv-LV"/>
        </w:rPr>
        <w:t xml:space="preserve">Nenoņemiet no šļirces adatas vāciņu līdz 5. solim. </w:t>
      </w:r>
      <w:r w:rsidR="00F47ADA" w:rsidRPr="00707120">
        <w:rPr>
          <w:bCs/>
          <w:kern w:val="1"/>
          <w:szCs w:val="22"/>
          <w:lang w:val="lv-LV"/>
        </w:rPr>
        <w:t>Priekšlaicīga šļirces adatas vāciņa noņemšana var izraisīt zāļu izžūšanu un adatas aizsprostošanos.</w:t>
      </w:r>
    </w:p>
    <w:p w14:paraId="36BCD129" w14:textId="77777777" w:rsidR="00F47ADA" w:rsidRPr="00707120" w:rsidRDefault="00F47ADA" w:rsidP="00707120">
      <w:pPr>
        <w:rPr>
          <w:bCs/>
          <w:kern w:val="1"/>
          <w:szCs w:val="22"/>
          <w:lang w:val="lv-LV"/>
        </w:rPr>
      </w:pPr>
    </w:p>
    <w:p w14:paraId="04B0E66B" w14:textId="03216282" w:rsidR="00F47ADA" w:rsidRPr="00707120" w:rsidRDefault="00CF30FF">
      <w:pPr>
        <w:pStyle w:val="ListParagraph"/>
        <w:numPr>
          <w:ilvl w:val="0"/>
          <w:numId w:val="63"/>
        </w:numPr>
        <w:autoSpaceDE w:val="0"/>
        <w:autoSpaceDN w:val="0"/>
        <w:adjustRightInd w:val="0"/>
        <w:rPr>
          <w:color w:val="000000"/>
          <w:lang w:val="lv-LV"/>
        </w:rPr>
        <w:pPrChange w:id="1991" w:author="Author">
          <w:pPr>
            <w:pStyle w:val="ListParagraph"/>
            <w:autoSpaceDE w:val="0"/>
            <w:autoSpaceDN w:val="0"/>
            <w:adjustRightInd w:val="0"/>
            <w:ind w:left="567" w:hanging="567"/>
          </w:pPr>
        </w:pPrChange>
      </w:pPr>
      <w:del w:id="1992" w:author="Author">
        <w:r w:rsidDel="002E57E0">
          <w:rPr>
            <w:lang w:val="nb-NO"/>
          </w:rPr>
          <w:sym w:font="Symbol" w:char="F0B7"/>
        </w:r>
        <w:r w:rsidDel="002E57E0">
          <w:rPr>
            <w:lang w:val="nb-NO"/>
          </w:rPr>
          <w:tab/>
        </w:r>
      </w:del>
      <w:r w:rsidR="00F47ADA" w:rsidRPr="00707120">
        <w:rPr>
          <w:color w:val="000000"/>
          <w:lang w:val="lv-LV"/>
        </w:rPr>
        <w:t>Novietojiet šļirci uz tīras plakanas virsmas un aptuveni 25</w:t>
      </w:r>
      <w:r w:rsidR="00F47ADA">
        <w:rPr>
          <w:color w:val="000000"/>
          <w:lang w:val="lv-LV"/>
        </w:rPr>
        <w:noBreakHyphen/>
      </w:r>
      <w:r w:rsidR="00F47ADA" w:rsidRPr="00707120">
        <w:rPr>
          <w:color w:val="000000"/>
          <w:lang w:val="lv-LV"/>
        </w:rPr>
        <w:t>30 minūtes ļaujiet tai sasilt līdz istabas temperatūrai (18</w:t>
      </w:r>
      <w:r w:rsidR="00F47ADA">
        <w:rPr>
          <w:color w:val="000000"/>
          <w:lang w:val="lv-LV"/>
        </w:rPr>
        <w:t> </w:t>
      </w:r>
      <w:r w:rsidR="00F47ADA" w:rsidRPr="00707120">
        <w:rPr>
          <w:color w:val="000000"/>
          <w:lang w:val="lv-LV"/>
        </w:rPr>
        <w:t>°C–28</w:t>
      </w:r>
      <w:r w:rsidR="00F47ADA">
        <w:rPr>
          <w:color w:val="000000"/>
          <w:lang w:val="lv-LV"/>
        </w:rPr>
        <w:t> </w:t>
      </w:r>
      <w:r w:rsidR="00F47ADA" w:rsidRPr="00707120">
        <w:rPr>
          <w:color w:val="000000"/>
          <w:lang w:val="lv-LV"/>
        </w:rPr>
        <w:t xml:space="preserve">°C). Ja šļirce nesasilst līdz istabas temperatūrai, injekcija var būt nekomfortabla un var būt grūti piespiest virzuli. </w:t>
      </w:r>
    </w:p>
    <w:p w14:paraId="11844627" w14:textId="758FCF50" w:rsidR="00F47ADA" w:rsidRPr="003C7CDD" w:rsidRDefault="00CF30FF">
      <w:pPr>
        <w:pStyle w:val="ListParagraph"/>
        <w:numPr>
          <w:ilvl w:val="0"/>
          <w:numId w:val="63"/>
        </w:numPr>
        <w:autoSpaceDE w:val="0"/>
        <w:autoSpaceDN w:val="0"/>
        <w:adjustRightInd w:val="0"/>
        <w:spacing w:after="120"/>
        <w:rPr>
          <w:color w:val="231F20"/>
          <w:lang w:val="lv-LV"/>
        </w:rPr>
        <w:pPrChange w:id="1993" w:author="Author">
          <w:pPr>
            <w:pStyle w:val="ListParagraph"/>
            <w:autoSpaceDE w:val="0"/>
            <w:autoSpaceDN w:val="0"/>
            <w:adjustRightInd w:val="0"/>
            <w:spacing w:after="120"/>
            <w:ind w:left="567" w:hanging="567"/>
          </w:pPr>
        </w:pPrChange>
      </w:pPr>
      <w:del w:id="1994" w:author="Author">
        <w:r w:rsidDel="002E57E0">
          <w:rPr>
            <w:lang w:val="nb-NO"/>
          </w:rPr>
          <w:sym w:font="Symbol" w:char="F0B7"/>
        </w:r>
        <w:r w:rsidDel="002E57E0">
          <w:rPr>
            <w:lang w:val="nb-NO"/>
          </w:rPr>
          <w:tab/>
        </w:r>
      </w:del>
      <w:r w:rsidR="00F47ADA" w:rsidRPr="00707120">
        <w:rPr>
          <w:color w:val="000000"/>
          <w:lang w:val="lv-LV"/>
        </w:rPr>
        <w:t>Nesildiet šļirci nekādā citādā veidā</w:t>
      </w:r>
      <w:r w:rsidR="00F47ADA" w:rsidRPr="003C7CDD">
        <w:rPr>
          <w:color w:val="231F20"/>
          <w:lang w:val="lv-LV"/>
        </w:rPr>
        <w:t>.</w:t>
      </w:r>
    </w:p>
    <w:p w14:paraId="1A841140" w14:textId="77777777" w:rsidR="00F47ADA" w:rsidRDefault="00F47ADA" w:rsidP="00F47ADA">
      <w:pPr>
        <w:autoSpaceDE w:val="0"/>
        <w:autoSpaceDN w:val="0"/>
        <w:adjustRightInd w:val="0"/>
        <w:rPr>
          <w:rFonts w:ascii="HelveticaNeueLTPro-Bd" w:hAnsi="HelveticaNeueLTPro-Bd" w:cs="HelveticaNeueLTPro-Bd"/>
          <w:color w:val="231F20"/>
          <w:sz w:val="20"/>
          <w:lang w:val="lv-LV"/>
        </w:rPr>
      </w:pPr>
    </w:p>
    <w:p w14:paraId="579677E0" w14:textId="77777777" w:rsidR="00F47ADA" w:rsidRDefault="00F47ADA" w:rsidP="00F47ADA">
      <w:pPr>
        <w:rPr>
          <w:b/>
          <w:lang w:val="lv-LV"/>
        </w:rPr>
      </w:pPr>
      <w:r>
        <w:rPr>
          <w:b/>
          <w:lang w:val="lv-LV"/>
        </w:rPr>
        <w:t>3. solis. Nomazgājiet rokas</w:t>
      </w:r>
    </w:p>
    <w:p w14:paraId="4281ABFC" w14:textId="77777777" w:rsidR="00F47ADA" w:rsidRDefault="00F47ADA" w:rsidP="00F47ADA">
      <w:pPr>
        <w:rPr>
          <w:b/>
          <w:lang w:val="lv-LV"/>
        </w:rPr>
      </w:pPr>
    </w:p>
    <w:p w14:paraId="03AFB3B3" w14:textId="5A7F8875" w:rsidR="00F47ADA" w:rsidRPr="003C7CDD" w:rsidRDefault="00CF30FF">
      <w:pPr>
        <w:pStyle w:val="ListParagraph"/>
        <w:numPr>
          <w:ilvl w:val="0"/>
          <w:numId w:val="63"/>
        </w:numPr>
        <w:autoSpaceDE w:val="0"/>
        <w:autoSpaceDN w:val="0"/>
        <w:adjustRightInd w:val="0"/>
        <w:spacing w:after="120"/>
        <w:rPr>
          <w:color w:val="231F20"/>
          <w:lang w:val="lv-LV"/>
        </w:rPr>
        <w:pPrChange w:id="1995" w:author="Author">
          <w:pPr>
            <w:pStyle w:val="ListParagraph"/>
            <w:autoSpaceDE w:val="0"/>
            <w:autoSpaceDN w:val="0"/>
            <w:adjustRightInd w:val="0"/>
            <w:spacing w:after="120"/>
            <w:ind w:left="567" w:hanging="567"/>
          </w:pPr>
        </w:pPrChange>
      </w:pPr>
      <w:del w:id="1996" w:author="Author">
        <w:r w:rsidDel="002E57E0">
          <w:rPr>
            <w:lang w:val="nb-NO"/>
          </w:rPr>
          <w:sym w:font="Symbol" w:char="F0B7"/>
        </w:r>
        <w:r w:rsidDel="002E57E0">
          <w:rPr>
            <w:lang w:val="nb-NO"/>
          </w:rPr>
          <w:tab/>
        </w:r>
      </w:del>
      <w:r w:rsidR="00F47ADA" w:rsidRPr="00707120">
        <w:rPr>
          <w:color w:val="000000"/>
          <w:lang w:val="lv-LV"/>
        </w:rPr>
        <w:t>Nomazgājiet rokas ar ziepēm un ūdeni</w:t>
      </w:r>
      <w:r w:rsidR="00F47ADA" w:rsidRPr="003C7CDD">
        <w:rPr>
          <w:color w:val="231F20"/>
          <w:lang w:val="lv-LV"/>
        </w:rPr>
        <w:t>.</w:t>
      </w:r>
    </w:p>
    <w:p w14:paraId="068D82A4" w14:textId="77777777" w:rsidR="00F47ADA" w:rsidRDefault="00F47ADA" w:rsidP="00F47ADA">
      <w:pPr>
        <w:autoSpaceDE w:val="0"/>
        <w:autoSpaceDN w:val="0"/>
        <w:adjustRightInd w:val="0"/>
        <w:rPr>
          <w:b/>
          <w:color w:val="231F20"/>
          <w:lang w:val="lv-LV"/>
        </w:rPr>
      </w:pPr>
    </w:p>
    <w:p w14:paraId="7DD99249" w14:textId="77777777" w:rsidR="00F47ADA" w:rsidRDefault="00F47ADA" w:rsidP="00F47ADA">
      <w:pPr>
        <w:rPr>
          <w:b/>
          <w:lang w:val="lv-LV"/>
        </w:rPr>
      </w:pPr>
      <w:r>
        <w:rPr>
          <w:b/>
          <w:lang w:val="lv-LV"/>
        </w:rPr>
        <w:t>4. solis. Izvēlieties un sagatavojiet injekcijas vietu</w:t>
      </w:r>
    </w:p>
    <w:p w14:paraId="1ECDEA04" w14:textId="77777777" w:rsidR="00F47ADA" w:rsidRDefault="00F47ADA" w:rsidP="00F47ADA">
      <w:pPr>
        <w:rPr>
          <w:b/>
          <w:lang w:val="lv-LV"/>
        </w:rPr>
      </w:pPr>
    </w:p>
    <w:p w14:paraId="5C9759B8" w14:textId="72FDC8EA" w:rsidR="00F47ADA" w:rsidRPr="003C7CDD" w:rsidRDefault="00CF30FF">
      <w:pPr>
        <w:pStyle w:val="ListParagraph"/>
        <w:numPr>
          <w:ilvl w:val="0"/>
          <w:numId w:val="63"/>
        </w:numPr>
        <w:autoSpaceDE w:val="0"/>
        <w:autoSpaceDN w:val="0"/>
        <w:adjustRightInd w:val="0"/>
        <w:rPr>
          <w:color w:val="231F20"/>
          <w:lang w:val="lv-LV"/>
        </w:rPr>
        <w:pPrChange w:id="1997" w:author="Author">
          <w:pPr>
            <w:pStyle w:val="ListParagraph"/>
            <w:autoSpaceDE w:val="0"/>
            <w:autoSpaceDN w:val="0"/>
            <w:adjustRightInd w:val="0"/>
            <w:ind w:left="567" w:hanging="567"/>
          </w:pPr>
        </w:pPrChange>
      </w:pPr>
      <w:del w:id="1998" w:author="Author">
        <w:r w:rsidDel="002E57E0">
          <w:rPr>
            <w:lang w:val="nb-NO"/>
          </w:rPr>
          <w:sym w:font="Symbol" w:char="F0B7"/>
        </w:r>
        <w:r w:rsidDel="002E57E0">
          <w:rPr>
            <w:lang w:val="nb-NO"/>
          </w:rPr>
          <w:tab/>
        </w:r>
      </w:del>
      <w:r w:rsidR="00F47ADA" w:rsidRPr="00707120">
        <w:rPr>
          <w:color w:val="000000"/>
          <w:lang w:val="lv-LV"/>
        </w:rPr>
        <w:t>Ieteicamās vietas injekcijai ir augšstilbu priekšpuses vidusdaļa un vēdera apakšējā daļa zem nabas, izņemot piecu centimetru zonu tieši ap nabu (skatīt B</w:t>
      </w:r>
      <w:r w:rsidR="003416BC">
        <w:rPr>
          <w:color w:val="000000"/>
          <w:lang w:val="lv-LV"/>
        </w:rPr>
        <w:t> </w:t>
      </w:r>
      <w:r w:rsidR="00F47ADA" w:rsidRPr="00707120">
        <w:rPr>
          <w:color w:val="000000"/>
          <w:lang w:val="lv-LV"/>
        </w:rPr>
        <w:t>attēlu).</w:t>
      </w:r>
    </w:p>
    <w:p w14:paraId="3559BF83" w14:textId="09CD0E37" w:rsidR="00F47ADA" w:rsidRPr="003C7CDD" w:rsidRDefault="00CF30FF">
      <w:pPr>
        <w:pStyle w:val="ListParagraph"/>
        <w:numPr>
          <w:ilvl w:val="0"/>
          <w:numId w:val="63"/>
        </w:numPr>
        <w:autoSpaceDE w:val="0"/>
        <w:autoSpaceDN w:val="0"/>
        <w:adjustRightInd w:val="0"/>
        <w:rPr>
          <w:color w:val="231F20"/>
          <w:lang w:val="lv-LV"/>
        </w:rPr>
        <w:pPrChange w:id="1999" w:author="Author">
          <w:pPr>
            <w:pStyle w:val="ListParagraph"/>
            <w:autoSpaceDE w:val="0"/>
            <w:autoSpaceDN w:val="0"/>
            <w:adjustRightInd w:val="0"/>
            <w:ind w:left="567" w:hanging="567"/>
          </w:pPr>
        </w:pPrChange>
      </w:pPr>
      <w:del w:id="2000" w:author="Author">
        <w:r w:rsidDel="002E57E0">
          <w:rPr>
            <w:lang w:val="nb-NO"/>
          </w:rPr>
          <w:sym w:font="Symbol" w:char="F0B7"/>
        </w:r>
        <w:r w:rsidDel="002E57E0">
          <w:rPr>
            <w:lang w:val="nb-NO"/>
          </w:rPr>
          <w:tab/>
        </w:r>
      </w:del>
      <w:r w:rsidR="00F47ADA" w:rsidRPr="00707120">
        <w:rPr>
          <w:color w:val="000000"/>
          <w:lang w:val="lv-LV"/>
        </w:rPr>
        <w:t>Ja injekciju veic aprūpētājs, par injekcijas vietu var izvēlēties arī augšdelmu ārējo virsmu (skatīt</w:t>
      </w:r>
      <w:ins w:id="2001" w:author="Author">
        <w:r w:rsidR="002E57E0">
          <w:rPr>
            <w:color w:val="000000"/>
            <w:lang w:val="lv-LV"/>
          </w:rPr>
          <w:t xml:space="preserve"> </w:t>
        </w:r>
      </w:ins>
      <w:r w:rsidR="00F47ADA" w:rsidRPr="00707120">
        <w:rPr>
          <w:color w:val="000000"/>
          <w:lang w:val="lv-LV"/>
        </w:rPr>
        <w:t>B</w:t>
      </w:r>
      <w:r w:rsidR="003416BC">
        <w:rPr>
          <w:color w:val="000000"/>
          <w:lang w:val="lv-LV"/>
        </w:rPr>
        <w:t> </w:t>
      </w:r>
      <w:r w:rsidR="00F47ADA" w:rsidRPr="00707120">
        <w:rPr>
          <w:color w:val="000000"/>
          <w:lang w:val="lv-LV"/>
        </w:rPr>
        <w:t xml:space="preserve">attēlu). </w:t>
      </w:r>
    </w:p>
    <w:p w14:paraId="4F14CBFF" w14:textId="77777777" w:rsidR="00F47ADA" w:rsidRDefault="00F47ADA" w:rsidP="00F47ADA">
      <w:pPr>
        <w:autoSpaceDE w:val="0"/>
        <w:autoSpaceDN w:val="0"/>
        <w:adjustRightInd w:val="0"/>
        <w:spacing w:after="120"/>
        <w:rPr>
          <w:rFonts w:ascii="HelveticaNeueLTPro-Roman" w:hAnsi="HelveticaNeueLTPro-Roman" w:cs="HelveticaNeueLTPro-Roman"/>
          <w:color w:val="231F20"/>
          <w:sz w:val="20"/>
          <w:lang w:val="lv-LV"/>
        </w:rPr>
      </w:pPr>
      <w:r>
        <w:rPr>
          <w:noProof/>
          <w:lang w:eastAsia="en-US"/>
        </w:rPr>
        <w:drawing>
          <wp:inline distT="0" distB="0" distL="0" distR="0" wp14:anchorId="0EFB8EED" wp14:editId="63A6D9A3">
            <wp:extent cx="2419350" cy="1933575"/>
            <wp:effectExtent l="0" t="0" r="0" b="0"/>
            <wp:docPr id="3" name="Picture 3" descr="in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9350" cy="1933575"/>
                    </a:xfrm>
                    <a:prstGeom prst="rect">
                      <a:avLst/>
                    </a:prstGeom>
                    <a:noFill/>
                    <a:ln>
                      <a:noFill/>
                    </a:ln>
                  </pic:spPr>
                </pic:pic>
              </a:graphicData>
            </a:graphic>
          </wp:inline>
        </w:drawing>
      </w:r>
    </w:p>
    <w:p w14:paraId="6BE2D372" w14:textId="171758A8" w:rsidR="00F47ADA" w:rsidRPr="003C7CDD" w:rsidRDefault="00CF30FF">
      <w:pPr>
        <w:pStyle w:val="ListParagraph"/>
        <w:numPr>
          <w:ilvl w:val="0"/>
          <w:numId w:val="63"/>
        </w:numPr>
        <w:autoSpaceDE w:val="0"/>
        <w:autoSpaceDN w:val="0"/>
        <w:adjustRightInd w:val="0"/>
        <w:rPr>
          <w:color w:val="231F20"/>
          <w:lang w:val="lv-LV"/>
        </w:rPr>
        <w:pPrChange w:id="2002" w:author="Author">
          <w:pPr>
            <w:pStyle w:val="ListParagraph"/>
            <w:autoSpaceDE w:val="0"/>
            <w:autoSpaceDN w:val="0"/>
            <w:adjustRightInd w:val="0"/>
            <w:ind w:left="567" w:hanging="567"/>
          </w:pPr>
        </w:pPrChange>
      </w:pPr>
      <w:del w:id="2003" w:author="Author">
        <w:r w:rsidDel="002E57E0">
          <w:rPr>
            <w:lang w:val="nb-NO"/>
          </w:rPr>
          <w:sym w:font="Symbol" w:char="F0B7"/>
        </w:r>
        <w:r w:rsidDel="002E57E0">
          <w:rPr>
            <w:lang w:val="nb-NO"/>
          </w:rPr>
          <w:tab/>
        </w:r>
      </w:del>
      <w:r w:rsidR="00F47ADA" w:rsidRPr="00FC17F5">
        <w:rPr>
          <w:lang w:val="lv-LV"/>
        </w:rPr>
        <w:t xml:space="preserve">Katru reizi, kad veicat sev injekciju, Jums jāizvēlas cita injekcijas veikšanas vieta vismaz trīs centimetrus no zonas, kuru izmantojāt injekcijas veikšanai iepriekšējo reizi. </w:t>
      </w:r>
    </w:p>
    <w:p w14:paraId="77D6A623" w14:textId="1D09FDEB" w:rsidR="00F47ADA" w:rsidRPr="003C7CDD" w:rsidRDefault="00CF30FF">
      <w:pPr>
        <w:pStyle w:val="ListParagraph"/>
        <w:numPr>
          <w:ilvl w:val="0"/>
          <w:numId w:val="63"/>
        </w:numPr>
        <w:autoSpaceDE w:val="0"/>
        <w:autoSpaceDN w:val="0"/>
        <w:adjustRightInd w:val="0"/>
        <w:rPr>
          <w:color w:val="231F20"/>
          <w:lang w:val="lv-LV"/>
        </w:rPr>
        <w:pPrChange w:id="2004" w:author="Author">
          <w:pPr>
            <w:pStyle w:val="ListParagraph"/>
            <w:autoSpaceDE w:val="0"/>
            <w:autoSpaceDN w:val="0"/>
            <w:adjustRightInd w:val="0"/>
            <w:ind w:left="567" w:hanging="567"/>
          </w:pPr>
        </w:pPrChange>
      </w:pPr>
      <w:del w:id="2005" w:author="Author">
        <w:r w:rsidDel="002E57E0">
          <w:rPr>
            <w:lang w:val="nb-NO"/>
          </w:rPr>
          <w:sym w:font="Symbol" w:char="F0B7"/>
        </w:r>
        <w:r w:rsidDel="002E57E0">
          <w:rPr>
            <w:lang w:val="nb-NO"/>
          </w:rPr>
          <w:tab/>
        </w:r>
      </w:del>
      <w:r w:rsidR="00F47ADA" w:rsidRPr="00FC17F5">
        <w:rPr>
          <w:lang w:val="lv-LV"/>
        </w:rPr>
        <w:t xml:space="preserve">Neveiciet injekciju ādas zonā, kas saskaras ar jostu vai siksnu. Injekciju nedrīkst veikt dzimumzīmēs, rētās, nobrāzumos un vietās, kur āda ir jutīga, sacietējusi vai bojāta. </w:t>
      </w:r>
    </w:p>
    <w:p w14:paraId="00B071F2" w14:textId="0905F118" w:rsidR="00F47ADA" w:rsidRPr="003C7CDD" w:rsidRDefault="00CF30FF">
      <w:pPr>
        <w:pStyle w:val="ListParagraph"/>
        <w:numPr>
          <w:ilvl w:val="0"/>
          <w:numId w:val="63"/>
        </w:numPr>
        <w:autoSpaceDE w:val="0"/>
        <w:autoSpaceDN w:val="0"/>
        <w:adjustRightInd w:val="0"/>
        <w:rPr>
          <w:color w:val="231F20"/>
          <w:lang w:val="lv-LV"/>
        </w:rPr>
        <w:pPrChange w:id="2006" w:author="Author">
          <w:pPr>
            <w:pStyle w:val="ListParagraph"/>
            <w:autoSpaceDE w:val="0"/>
            <w:autoSpaceDN w:val="0"/>
            <w:adjustRightInd w:val="0"/>
            <w:ind w:left="567" w:hanging="567"/>
          </w:pPr>
        </w:pPrChange>
      </w:pPr>
      <w:del w:id="2007" w:author="Author">
        <w:r w:rsidDel="002E57E0">
          <w:rPr>
            <w:lang w:val="nb-NO"/>
          </w:rPr>
          <w:sym w:font="Symbol" w:char="F0B7"/>
        </w:r>
        <w:r w:rsidDel="002E57E0">
          <w:rPr>
            <w:lang w:val="nb-NO"/>
          </w:rPr>
          <w:tab/>
        </w:r>
      </w:del>
      <w:r w:rsidR="00F47ADA" w:rsidRPr="00FC17F5">
        <w:rPr>
          <w:lang w:val="lv-LV"/>
        </w:rPr>
        <w:t>Notīriet izvēlēto injekcijas vietu ar spirta spilventiņu (skatīt C</w:t>
      </w:r>
      <w:r w:rsidR="003416BC">
        <w:rPr>
          <w:color w:val="000000"/>
          <w:lang w:val="lv-LV"/>
        </w:rPr>
        <w:t> </w:t>
      </w:r>
      <w:r w:rsidR="00F47ADA" w:rsidRPr="00FC17F5">
        <w:rPr>
          <w:lang w:val="lv-LV"/>
        </w:rPr>
        <w:t xml:space="preserve">attēlu), lai samazinātu infekcijas risku. </w:t>
      </w:r>
    </w:p>
    <w:p w14:paraId="0C1013AE" w14:textId="77777777" w:rsidR="00F47ADA" w:rsidRDefault="00F47ADA" w:rsidP="00F47ADA">
      <w:pPr>
        <w:autoSpaceDE w:val="0"/>
        <w:autoSpaceDN w:val="0"/>
        <w:adjustRightInd w:val="0"/>
        <w:spacing w:after="120"/>
        <w:rPr>
          <w:rFonts w:ascii="HelveticaNeueLTPro-Roman" w:hAnsi="HelveticaNeueLTPro-Roman" w:cs="HelveticaNeueLTPro-Roman"/>
          <w:color w:val="231F20"/>
          <w:sz w:val="20"/>
          <w:lang w:val="lv-LV"/>
        </w:rPr>
      </w:pPr>
      <w:r>
        <w:rPr>
          <w:noProof/>
          <w:lang w:eastAsia="en-US"/>
        </w:rPr>
        <w:drawing>
          <wp:inline distT="0" distB="0" distL="0" distR="0" wp14:anchorId="12F81D41" wp14:editId="538714B0">
            <wp:extent cx="2543175" cy="1828800"/>
            <wp:effectExtent l="0" t="0" r="0" b="0"/>
            <wp:docPr id="4" name="Picture 4" descr="in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4-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3175" cy="1828800"/>
                    </a:xfrm>
                    <a:prstGeom prst="rect">
                      <a:avLst/>
                    </a:prstGeom>
                    <a:noFill/>
                    <a:ln>
                      <a:noFill/>
                    </a:ln>
                  </pic:spPr>
                </pic:pic>
              </a:graphicData>
            </a:graphic>
          </wp:inline>
        </w:drawing>
      </w:r>
    </w:p>
    <w:p w14:paraId="5FCFA79E" w14:textId="5C800458" w:rsidR="00F47ADA" w:rsidRPr="003C7CDD" w:rsidRDefault="00CF30FF">
      <w:pPr>
        <w:pStyle w:val="ListParagraph"/>
        <w:numPr>
          <w:ilvl w:val="0"/>
          <w:numId w:val="63"/>
        </w:numPr>
        <w:autoSpaceDE w:val="0"/>
        <w:autoSpaceDN w:val="0"/>
        <w:adjustRightInd w:val="0"/>
        <w:rPr>
          <w:color w:val="231F20"/>
          <w:lang w:val="lv-LV"/>
        </w:rPr>
        <w:pPrChange w:id="2008" w:author="Author">
          <w:pPr>
            <w:pStyle w:val="ListParagraph"/>
            <w:autoSpaceDE w:val="0"/>
            <w:autoSpaceDN w:val="0"/>
            <w:adjustRightInd w:val="0"/>
            <w:ind w:left="567" w:hanging="567"/>
          </w:pPr>
        </w:pPrChange>
      </w:pPr>
      <w:del w:id="2009" w:author="Author">
        <w:r w:rsidDel="002E57E0">
          <w:rPr>
            <w:lang w:val="nb-NO"/>
          </w:rPr>
          <w:sym w:font="Symbol" w:char="F0B7"/>
        </w:r>
        <w:r w:rsidDel="002E57E0">
          <w:rPr>
            <w:lang w:val="nb-NO"/>
          </w:rPr>
          <w:tab/>
        </w:r>
      </w:del>
      <w:r w:rsidR="00F47ADA" w:rsidRPr="00FC17F5">
        <w:rPr>
          <w:lang w:val="lv-LV"/>
        </w:rPr>
        <w:t xml:space="preserve">Ļaujiet ādai aptuveni 10 sekundes nožūt. </w:t>
      </w:r>
    </w:p>
    <w:p w14:paraId="3C5E4096" w14:textId="708DDE72" w:rsidR="00F47ADA" w:rsidRPr="003C7CDD" w:rsidRDefault="00CF30FF">
      <w:pPr>
        <w:pStyle w:val="ListParagraph"/>
        <w:numPr>
          <w:ilvl w:val="0"/>
          <w:numId w:val="63"/>
        </w:numPr>
        <w:autoSpaceDE w:val="0"/>
        <w:autoSpaceDN w:val="0"/>
        <w:adjustRightInd w:val="0"/>
        <w:rPr>
          <w:color w:val="231F20"/>
          <w:lang w:val="lv-LV"/>
        </w:rPr>
        <w:pPrChange w:id="2010" w:author="Author">
          <w:pPr>
            <w:pStyle w:val="ListParagraph"/>
            <w:autoSpaceDE w:val="0"/>
            <w:autoSpaceDN w:val="0"/>
            <w:adjustRightInd w:val="0"/>
            <w:ind w:left="567" w:hanging="567"/>
          </w:pPr>
        </w:pPrChange>
      </w:pPr>
      <w:del w:id="2011" w:author="Author">
        <w:r w:rsidDel="002E57E0">
          <w:rPr>
            <w:lang w:val="nb-NO"/>
          </w:rPr>
          <w:sym w:font="Symbol" w:char="F0B7"/>
        </w:r>
        <w:r w:rsidDel="002E57E0">
          <w:rPr>
            <w:lang w:val="nb-NO"/>
          </w:rPr>
          <w:tab/>
        </w:r>
      </w:del>
      <w:r w:rsidR="00F47ADA" w:rsidRPr="00DB3106">
        <w:rPr>
          <w:lang w:val="lv-LV"/>
        </w:rPr>
        <w:t>Uzmanieties, lai pirms injekcijas nepieskartos notīrītajai ādai. Neapvēdiniet notīrīto ādu un nepūtiet uz to gaisu</w:t>
      </w:r>
      <w:r w:rsidR="00F47ADA" w:rsidRPr="003C7CDD">
        <w:rPr>
          <w:color w:val="231F20"/>
          <w:lang w:val="lv-LV"/>
        </w:rPr>
        <w:t xml:space="preserve">. </w:t>
      </w:r>
    </w:p>
    <w:p w14:paraId="06E0971B" w14:textId="77777777" w:rsidR="00F47ADA" w:rsidRDefault="00F47ADA" w:rsidP="00F47ADA">
      <w:pPr>
        <w:autoSpaceDE w:val="0"/>
        <w:autoSpaceDN w:val="0"/>
        <w:adjustRightInd w:val="0"/>
        <w:rPr>
          <w:rFonts w:ascii="HelveticaNeueLTPro-Roman" w:hAnsi="HelveticaNeueLTPro-Roman" w:cs="HelveticaNeueLTPro-Roman"/>
          <w:color w:val="231F20"/>
          <w:sz w:val="20"/>
          <w:lang w:val="lv-LV"/>
        </w:rPr>
      </w:pPr>
    </w:p>
    <w:p w14:paraId="7111ADC3" w14:textId="77777777" w:rsidR="00F47ADA" w:rsidRDefault="00F47ADA" w:rsidP="00F47ADA">
      <w:pPr>
        <w:keepNext/>
        <w:keepLines/>
        <w:rPr>
          <w:b/>
          <w:lang w:val="lv-LV"/>
        </w:rPr>
      </w:pPr>
      <w:r>
        <w:rPr>
          <w:b/>
          <w:lang w:val="lv-LV"/>
        </w:rPr>
        <w:t>5. solis. Noņemiet adatas vāciņu</w:t>
      </w:r>
    </w:p>
    <w:p w14:paraId="4E441291" w14:textId="77777777" w:rsidR="00F47ADA" w:rsidRDefault="00F47ADA" w:rsidP="00F47ADA">
      <w:pPr>
        <w:keepNext/>
        <w:keepLines/>
        <w:rPr>
          <w:b/>
          <w:lang w:val="lv-LV"/>
        </w:rPr>
      </w:pPr>
    </w:p>
    <w:p w14:paraId="248920EA" w14:textId="092CBBFA" w:rsidR="00F47ADA" w:rsidRPr="003C7CDD" w:rsidRDefault="00CF30FF">
      <w:pPr>
        <w:pStyle w:val="ListParagraph"/>
        <w:keepNext/>
        <w:keepLines/>
        <w:numPr>
          <w:ilvl w:val="0"/>
          <w:numId w:val="63"/>
        </w:numPr>
        <w:autoSpaceDE w:val="0"/>
        <w:autoSpaceDN w:val="0"/>
        <w:adjustRightInd w:val="0"/>
        <w:rPr>
          <w:color w:val="231F20"/>
          <w:lang w:val="lv-LV"/>
        </w:rPr>
        <w:pPrChange w:id="2012" w:author="Author">
          <w:pPr>
            <w:pStyle w:val="ListParagraph"/>
            <w:keepNext/>
            <w:keepLines/>
            <w:autoSpaceDE w:val="0"/>
            <w:autoSpaceDN w:val="0"/>
            <w:adjustRightInd w:val="0"/>
            <w:ind w:left="567" w:hanging="567"/>
          </w:pPr>
        </w:pPrChange>
      </w:pPr>
      <w:del w:id="2013" w:author="Author">
        <w:r w:rsidDel="002E57E0">
          <w:rPr>
            <w:lang w:val="nb-NO"/>
          </w:rPr>
          <w:sym w:font="Symbol" w:char="F0B7"/>
        </w:r>
        <w:r w:rsidDel="002E57E0">
          <w:rPr>
            <w:lang w:val="nb-NO"/>
          </w:rPr>
          <w:tab/>
        </w:r>
      </w:del>
      <w:r w:rsidR="00F47ADA" w:rsidRPr="00DB3106">
        <w:rPr>
          <w:lang w:val="lv-LV"/>
        </w:rPr>
        <w:t xml:space="preserve">Noņemot adatas vāciņu, neturiet pilnšļirci aiz virzuļa. </w:t>
      </w:r>
    </w:p>
    <w:p w14:paraId="3BC07B7D" w14:textId="2F3C78F4" w:rsidR="00F47ADA" w:rsidRPr="00DB3106" w:rsidRDefault="00CF30FF">
      <w:pPr>
        <w:pStyle w:val="ListParagraph"/>
        <w:numPr>
          <w:ilvl w:val="0"/>
          <w:numId w:val="63"/>
        </w:numPr>
        <w:autoSpaceDE w:val="0"/>
        <w:autoSpaceDN w:val="0"/>
        <w:adjustRightInd w:val="0"/>
        <w:rPr>
          <w:lang w:val="lv-LV"/>
        </w:rPr>
        <w:pPrChange w:id="2014" w:author="Author">
          <w:pPr>
            <w:pStyle w:val="ListParagraph"/>
            <w:autoSpaceDE w:val="0"/>
            <w:autoSpaceDN w:val="0"/>
            <w:adjustRightInd w:val="0"/>
            <w:ind w:left="567" w:hanging="567"/>
          </w:pPr>
        </w:pPrChange>
      </w:pPr>
      <w:del w:id="2015" w:author="Author">
        <w:r w:rsidDel="002E57E0">
          <w:rPr>
            <w:lang w:val="nb-NO"/>
          </w:rPr>
          <w:sym w:font="Symbol" w:char="F0B7"/>
        </w:r>
        <w:r w:rsidDel="002E57E0">
          <w:rPr>
            <w:lang w:val="nb-NO"/>
          </w:rPr>
          <w:tab/>
        </w:r>
      </w:del>
      <w:r w:rsidR="00F47ADA" w:rsidRPr="003C7CDD">
        <w:rPr>
          <w:color w:val="000000"/>
          <w:lang w:val="lv-LV"/>
        </w:rPr>
        <w:t>Stingri turiet šļirces adatas vāciņu vienā rokā, bet ar otru roku noņemiet adatas vāciņu</w:t>
      </w:r>
      <w:r w:rsidR="00F47ADA" w:rsidRPr="00DB3106">
        <w:rPr>
          <w:lang w:val="lv-LV"/>
        </w:rPr>
        <w:t xml:space="preserve"> (skatīt D</w:t>
      </w:r>
      <w:r w:rsidR="003416BC">
        <w:rPr>
          <w:color w:val="231F20"/>
          <w:lang w:val="lv-LV"/>
        </w:rPr>
        <w:t> </w:t>
      </w:r>
      <w:r w:rsidR="00F47ADA" w:rsidRPr="00DB3106">
        <w:rPr>
          <w:lang w:val="lv-LV"/>
        </w:rPr>
        <w:t xml:space="preserve">attēlu) Ja nevarat adatas vāciņu noņemt, lūdziet aprūpētāja palīdzību vai sazinieties ar savu veselības aprūpes speciālistu. </w:t>
      </w:r>
    </w:p>
    <w:p w14:paraId="624E3304" w14:textId="77777777" w:rsidR="00F47ADA" w:rsidRDefault="00F47ADA" w:rsidP="00F47ADA">
      <w:pPr>
        <w:autoSpaceDE w:val="0"/>
        <w:autoSpaceDN w:val="0"/>
        <w:adjustRightInd w:val="0"/>
        <w:ind w:left="714" w:hanging="357"/>
        <w:rPr>
          <w:color w:val="000000"/>
          <w:lang w:val="lv-LV"/>
        </w:rPr>
      </w:pPr>
    </w:p>
    <w:p w14:paraId="6D07FAAA" w14:textId="77777777" w:rsidR="00F47ADA" w:rsidRDefault="00F47ADA" w:rsidP="00F47ADA">
      <w:pPr>
        <w:autoSpaceDE w:val="0"/>
        <w:autoSpaceDN w:val="0"/>
        <w:adjustRightInd w:val="0"/>
        <w:spacing w:after="120"/>
        <w:rPr>
          <w:rFonts w:ascii="HelveticaNeueLTPro-Roman" w:hAnsi="HelveticaNeueLTPro-Roman" w:cs="HelveticaNeueLTPro-Roman"/>
          <w:color w:val="231F20"/>
          <w:sz w:val="20"/>
          <w:lang w:val="lv-LV"/>
        </w:rPr>
      </w:pPr>
      <w:r>
        <w:rPr>
          <w:noProof/>
          <w:lang w:eastAsia="en-US"/>
        </w:rPr>
        <w:drawing>
          <wp:inline distT="0" distB="0" distL="0" distR="0" wp14:anchorId="0031881F" wp14:editId="073FBB1F">
            <wp:extent cx="2419350" cy="1819275"/>
            <wp:effectExtent l="0" t="0" r="0" b="0"/>
            <wp:docPr id="5" name="Picture 5" descr="in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9350" cy="1819275"/>
                    </a:xfrm>
                    <a:prstGeom prst="rect">
                      <a:avLst/>
                    </a:prstGeom>
                    <a:noFill/>
                    <a:ln>
                      <a:noFill/>
                    </a:ln>
                  </pic:spPr>
                </pic:pic>
              </a:graphicData>
            </a:graphic>
          </wp:inline>
        </w:drawing>
      </w:r>
    </w:p>
    <w:p w14:paraId="66284045" w14:textId="71DB75A7" w:rsidR="00F47ADA" w:rsidRDefault="00CF30FF">
      <w:pPr>
        <w:pStyle w:val="ListParagraph"/>
        <w:numPr>
          <w:ilvl w:val="0"/>
          <w:numId w:val="63"/>
        </w:numPr>
        <w:autoSpaceDE w:val="0"/>
        <w:autoSpaceDN w:val="0"/>
        <w:adjustRightInd w:val="0"/>
        <w:rPr>
          <w:color w:val="000000"/>
          <w:lang w:val="lv-LV"/>
        </w:rPr>
        <w:pPrChange w:id="2016" w:author="Author">
          <w:pPr>
            <w:pStyle w:val="ListParagraph"/>
            <w:autoSpaceDE w:val="0"/>
            <w:autoSpaceDN w:val="0"/>
            <w:adjustRightInd w:val="0"/>
            <w:ind w:left="567" w:hanging="567"/>
          </w:pPr>
        </w:pPrChange>
      </w:pPr>
      <w:del w:id="2017" w:author="Author">
        <w:r w:rsidDel="002E57E0">
          <w:rPr>
            <w:lang w:val="nb-NO"/>
          </w:rPr>
          <w:sym w:font="Symbol" w:char="F0B7"/>
        </w:r>
        <w:r w:rsidDel="002E57E0">
          <w:rPr>
            <w:lang w:val="nb-NO"/>
          </w:rPr>
          <w:tab/>
        </w:r>
      </w:del>
      <w:r w:rsidR="00F47ADA" w:rsidRPr="00DB3106">
        <w:rPr>
          <w:lang w:val="lv-LV"/>
        </w:rPr>
        <w:t xml:space="preserve">Nepieskarieties adatai un neļaujiet tai pieskarties jebkādai virsmai. </w:t>
      </w:r>
    </w:p>
    <w:p w14:paraId="3136824A" w14:textId="52DFE457" w:rsidR="00F47ADA" w:rsidRPr="00DB3106" w:rsidRDefault="00CF30FF">
      <w:pPr>
        <w:pStyle w:val="ListParagraph"/>
        <w:numPr>
          <w:ilvl w:val="0"/>
          <w:numId w:val="63"/>
        </w:numPr>
        <w:autoSpaceDE w:val="0"/>
        <w:autoSpaceDN w:val="0"/>
        <w:adjustRightInd w:val="0"/>
        <w:rPr>
          <w:lang w:val="lv-LV"/>
        </w:rPr>
        <w:pPrChange w:id="2018" w:author="Author">
          <w:pPr>
            <w:pStyle w:val="ListParagraph"/>
            <w:autoSpaceDE w:val="0"/>
            <w:autoSpaceDN w:val="0"/>
            <w:adjustRightInd w:val="0"/>
            <w:ind w:left="567" w:hanging="567"/>
          </w:pPr>
        </w:pPrChange>
      </w:pPr>
      <w:del w:id="2019" w:author="Author">
        <w:r w:rsidDel="002E57E0">
          <w:rPr>
            <w:lang w:val="nb-NO"/>
          </w:rPr>
          <w:sym w:font="Symbol" w:char="F0B7"/>
        </w:r>
        <w:r w:rsidDel="002E57E0">
          <w:rPr>
            <w:lang w:val="nb-NO"/>
          </w:rPr>
          <w:tab/>
        </w:r>
      </w:del>
      <w:r w:rsidR="00F47ADA">
        <w:rPr>
          <w:color w:val="000000"/>
          <w:lang w:val="lv-LV"/>
        </w:rPr>
        <w:t>RoActemra pilnšļircē var būt mazs gaisa burbulis. Jums tas nav no šļirces jāizvada.</w:t>
      </w:r>
    </w:p>
    <w:p w14:paraId="133127F4" w14:textId="46ED6436" w:rsidR="00F47ADA" w:rsidRPr="003C7CDD" w:rsidRDefault="00CF30FF">
      <w:pPr>
        <w:pStyle w:val="ListParagraph"/>
        <w:numPr>
          <w:ilvl w:val="0"/>
          <w:numId w:val="63"/>
        </w:numPr>
        <w:autoSpaceDE w:val="0"/>
        <w:autoSpaceDN w:val="0"/>
        <w:adjustRightInd w:val="0"/>
        <w:rPr>
          <w:color w:val="231F20"/>
          <w:lang w:val="lv-LV"/>
        </w:rPr>
        <w:pPrChange w:id="2020" w:author="Author">
          <w:pPr>
            <w:pStyle w:val="ListParagraph"/>
            <w:autoSpaceDE w:val="0"/>
            <w:autoSpaceDN w:val="0"/>
            <w:adjustRightInd w:val="0"/>
            <w:ind w:left="567" w:hanging="567"/>
          </w:pPr>
        </w:pPrChange>
      </w:pPr>
      <w:del w:id="2021" w:author="Author">
        <w:r w:rsidDel="002E57E0">
          <w:rPr>
            <w:lang w:val="nb-NO"/>
          </w:rPr>
          <w:sym w:font="Symbol" w:char="F0B7"/>
        </w:r>
        <w:r w:rsidDel="002E57E0">
          <w:rPr>
            <w:lang w:val="nb-NO"/>
          </w:rPr>
          <w:tab/>
        </w:r>
      </w:del>
      <w:r w:rsidR="00F47ADA" w:rsidRPr="00DB3106">
        <w:rPr>
          <w:lang w:val="lv-LV"/>
        </w:rPr>
        <w:t xml:space="preserve">Adatas galā var būt šķidruma piliens. Tas ir normāli. </w:t>
      </w:r>
    </w:p>
    <w:p w14:paraId="5FD671AA" w14:textId="1DBA1F8A" w:rsidR="00F47ADA" w:rsidRPr="003C7CDD" w:rsidRDefault="00CF30FF">
      <w:pPr>
        <w:pStyle w:val="ListParagraph"/>
        <w:numPr>
          <w:ilvl w:val="0"/>
          <w:numId w:val="63"/>
        </w:numPr>
        <w:autoSpaceDE w:val="0"/>
        <w:autoSpaceDN w:val="0"/>
        <w:adjustRightInd w:val="0"/>
        <w:rPr>
          <w:color w:val="231F20"/>
          <w:lang w:val="lv-LV"/>
        </w:rPr>
        <w:pPrChange w:id="2022" w:author="Author">
          <w:pPr>
            <w:pStyle w:val="ListParagraph"/>
            <w:autoSpaceDE w:val="0"/>
            <w:autoSpaceDN w:val="0"/>
            <w:adjustRightInd w:val="0"/>
            <w:ind w:left="567" w:hanging="567"/>
          </w:pPr>
        </w:pPrChange>
      </w:pPr>
      <w:del w:id="2023" w:author="Author">
        <w:r w:rsidDel="002E57E0">
          <w:rPr>
            <w:lang w:val="nb-NO"/>
          </w:rPr>
          <w:sym w:font="Symbol" w:char="F0B7"/>
        </w:r>
        <w:r w:rsidDel="002E57E0">
          <w:rPr>
            <w:lang w:val="nb-NO"/>
          </w:rPr>
          <w:tab/>
        </w:r>
      </w:del>
      <w:r w:rsidR="00F47ADA" w:rsidRPr="00DB3106">
        <w:rPr>
          <w:lang w:val="lv-LV"/>
        </w:rPr>
        <w:t>Izmetiet adatas vāciņu necaurduramā tvertnē vai asu priekšmetu tvertnē.</w:t>
      </w:r>
    </w:p>
    <w:p w14:paraId="40D35F2C" w14:textId="77777777" w:rsidR="00F47ADA" w:rsidRDefault="00F47ADA" w:rsidP="00F47ADA">
      <w:pPr>
        <w:autoSpaceDE w:val="0"/>
        <w:autoSpaceDN w:val="0"/>
        <w:adjustRightInd w:val="0"/>
        <w:ind w:left="357"/>
        <w:rPr>
          <w:color w:val="231F20"/>
          <w:lang w:val="lv-LV"/>
        </w:rPr>
      </w:pPr>
    </w:p>
    <w:p w14:paraId="07F701B7" w14:textId="77777777" w:rsidR="00F47ADA" w:rsidRDefault="00F47ADA" w:rsidP="00F47ADA">
      <w:pPr>
        <w:autoSpaceDE w:val="0"/>
        <w:autoSpaceDN w:val="0"/>
        <w:adjustRightInd w:val="0"/>
        <w:ind w:left="357"/>
        <w:rPr>
          <w:color w:val="231F20"/>
          <w:lang w:val="lv-LV"/>
        </w:rPr>
      </w:pPr>
      <w:r>
        <w:rPr>
          <w:color w:val="231F20"/>
          <w:lang w:val="lv-LV"/>
        </w:rPr>
        <w:t xml:space="preserve">PIEZĪME. Tiklīdz adatas vāciņš ir noņemts, šļirce jāizlieto nekavējoties. </w:t>
      </w:r>
    </w:p>
    <w:p w14:paraId="2A097E15" w14:textId="77777777" w:rsidR="00F47ADA" w:rsidRDefault="00F47ADA" w:rsidP="00F47ADA">
      <w:pPr>
        <w:autoSpaceDE w:val="0"/>
        <w:autoSpaceDN w:val="0"/>
        <w:adjustRightInd w:val="0"/>
        <w:ind w:left="360"/>
        <w:rPr>
          <w:color w:val="231F20"/>
          <w:lang w:val="lv-LV"/>
        </w:rPr>
      </w:pPr>
    </w:p>
    <w:p w14:paraId="4936B2BC" w14:textId="10FD0F34" w:rsidR="00F47ADA" w:rsidRPr="003C7CDD" w:rsidRDefault="00CF30FF">
      <w:pPr>
        <w:pStyle w:val="ListParagraph"/>
        <w:numPr>
          <w:ilvl w:val="0"/>
          <w:numId w:val="63"/>
        </w:numPr>
        <w:autoSpaceDE w:val="0"/>
        <w:autoSpaceDN w:val="0"/>
        <w:adjustRightInd w:val="0"/>
        <w:rPr>
          <w:bCs/>
          <w:kern w:val="1"/>
          <w:szCs w:val="22"/>
          <w:lang w:val="lv-LV"/>
        </w:rPr>
        <w:pPrChange w:id="2024" w:author="Author">
          <w:pPr>
            <w:pStyle w:val="ListParagraph"/>
            <w:autoSpaceDE w:val="0"/>
            <w:autoSpaceDN w:val="0"/>
            <w:adjustRightInd w:val="0"/>
            <w:ind w:left="567" w:hanging="567"/>
          </w:pPr>
        </w:pPrChange>
      </w:pPr>
      <w:del w:id="2025" w:author="Author">
        <w:r w:rsidDel="002E57E0">
          <w:rPr>
            <w:lang w:val="nb-NO"/>
          </w:rPr>
          <w:sym w:font="Symbol" w:char="F0B7"/>
        </w:r>
        <w:r w:rsidDel="002E57E0">
          <w:rPr>
            <w:lang w:val="nb-NO"/>
          </w:rPr>
          <w:tab/>
        </w:r>
      </w:del>
      <w:r w:rsidR="00F47ADA" w:rsidRPr="00DB3106">
        <w:rPr>
          <w:lang w:val="lv-LV"/>
        </w:rPr>
        <w:t xml:space="preserve">Ja šļirce netiek lietota 5 minūšu laikā pēc vāciņa noņemšanas, tā jāizmet necaurduramā tvertnē jeb aso priekšmetu tvertnē, un jālieto jauna šļirce. </w:t>
      </w:r>
      <w:r w:rsidR="00F47ADA" w:rsidRPr="003C7CDD">
        <w:rPr>
          <w:bCs/>
          <w:kern w:val="1"/>
          <w:szCs w:val="22"/>
          <w:lang w:val="lv-LV"/>
        </w:rPr>
        <w:t>Ja adatas vāciņš ir noņemts ilgāk par 5</w:t>
      </w:r>
      <w:r w:rsidR="00F47ADA">
        <w:rPr>
          <w:bCs/>
          <w:kern w:val="1"/>
          <w:szCs w:val="22"/>
          <w:lang w:val="lv-LV"/>
        </w:rPr>
        <w:t> </w:t>
      </w:r>
      <w:r w:rsidR="00F47ADA" w:rsidRPr="003C7CDD">
        <w:rPr>
          <w:bCs/>
          <w:kern w:val="1"/>
          <w:szCs w:val="22"/>
          <w:lang w:val="lv-LV"/>
        </w:rPr>
        <w:t xml:space="preserve">minūtēm, tas var traucēt </w:t>
      </w:r>
      <w:r w:rsidR="00F47ADA" w:rsidRPr="003C7CDD">
        <w:rPr>
          <w:color w:val="231F20"/>
          <w:lang w:val="lv-LV"/>
        </w:rPr>
        <w:t>injekcijas veikšanai, jo</w:t>
      </w:r>
      <w:r w:rsidR="00F47ADA" w:rsidRPr="003C7CDD">
        <w:rPr>
          <w:bCs/>
          <w:kern w:val="1"/>
          <w:szCs w:val="22"/>
          <w:lang w:val="lv-LV"/>
        </w:rPr>
        <w:t xml:space="preserve"> var izraisīt zāļu izžūšanu un adatas aizsprostošanos.</w:t>
      </w:r>
    </w:p>
    <w:p w14:paraId="5273BE99" w14:textId="77777777" w:rsidR="00F47ADA" w:rsidRDefault="00F47ADA" w:rsidP="00F47ADA">
      <w:pPr>
        <w:autoSpaceDE w:val="0"/>
        <w:autoSpaceDN w:val="0"/>
        <w:adjustRightInd w:val="0"/>
        <w:ind w:left="714" w:hanging="357"/>
        <w:rPr>
          <w:color w:val="000000"/>
          <w:lang w:val="lv-LV"/>
        </w:rPr>
      </w:pPr>
    </w:p>
    <w:p w14:paraId="3D63C76D" w14:textId="327E90B5" w:rsidR="00F47ADA" w:rsidRPr="003C7CDD" w:rsidRDefault="00CF30FF">
      <w:pPr>
        <w:pStyle w:val="ListParagraph"/>
        <w:numPr>
          <w:ilvl w:val="0"/>
          <w:numId w:val="63"/>
        </w:numPr>
        <w:autoSpaceDE w:val="0"/>
        <w:autoSpaceDN w:val="0"/>
        <w:adjustRightInd w:val="0"/>
        <w:rPr>
          <w:color w:val="231F20"/>
          <w:lang w:val="lv-LV"/>
        </w:rPr>
        <w:pPrChange w:id="2026" w:author="Author">
          <w:pPr>
            <w:pStyle w:val="ListParagraph"/>
            <w:autoSpaceDE w:val="0"/>
            <w:autoSpaceDN w:val="0"/>
            <w:adjustRightInd w:val="0"/>
            <w:ind w:left="567" w:hanging="567"/>
          </w:pPr>
        </w:pPrChange>
      </w:pPr>
      <w:del w:id="2027" w:author="Author">
        <w:r w:rsidDel="002E57E0">
          <w:rPr>
            <w:lang w:val="nb-NO"/>
          </w:rPr>
          <w:sym w:font="Symbol" w:char="F0B7"/>
        </w:r>
        <w:r w:rsidDel="002E57E0">
          <w:rPr>
            <w:lang w:val="nb-NO"/>
          </w:rPr>
          <w:tab/>
        </w:r>
      </w:del>
      <w:r w:rsidR="00F47ADA" w:rsidRPr="00DB3106">
        <w:rPr>
          <w:lang w:val="lv-LV"/>
        </w:rPr>
        <w:t xml:space="preserve">Pēc adatas vāciņa noņemšanas nekad necentieties to uzlikt atpakaļ. </w:t>
      </w:r>
    </w:p>
    <w:p w14:paraId="37E68441" w14:textId="77777777" w:rsidR="00F47ADA" w:rsidRDefault="00F47ADA" w:rsidP="00F47ADA">
      <w:pPr>
        <w:autoSpaceDE w:val="0"/>
        <w:autoSpaceDN w:val="0"/>
        <w:adjustRightInd w:val="0"/>
        <w:rPr>
          <w:color w:val="231F20"/>
          <w:lang w:val="lv-LV"/>
        </w:rPr>
      </w:pPr>
    </w:p>
    <w:p w14:paraId="216C7B6B" w14:textId="77777777" w:rsidR="00F47ADA" w:rsidRDefault="00F47ADA" w:rsidP="00F47ADA">
      <w:pPr>
        <w:rPr>
          <w:b/>
          <w:lang w:val="lv-LV"/>
        </w:rPr>
      </w:pPr>
      <w:r>
        <w:rPr>
          <w:b/>
          <w:lang w:val="lv-LV"/>
        </w:rPr>
        <w:t>6. solis. Veiciet injekciju</w:t>
      </w:r>
    </w:p>
    <w:p w14:paraId="59C78E7D" w14:textId="77777777" w:rsidR="00F47ADA" w:rsidRDefault="00F47ADA" w:rsidP="00F47ADA">
      <w:pPr>
        <w:rPr>
          <w:b/>
          <w:lang w:val="lv-LV"/>
        </w:rPr>
      </w:pPr>
    </w:p>
    <w:p w14:paraId="57B22A59" w14:textId="7126FA02" w:rsidR="00F47ADA" w:rsidRPr="00DB3106" w:rsidRDefault="00CF30FF">
      <w:pPr>
        <w:pStyle w:val="ListParagraph"/>
        <w:numPr>
          <w:ilvl w:val="0"/>
          <w:numId w:val="63"/>
        </w:numPr>
        <w:autoSpaceDE w:val="0"/>
        <w:autoSpaceDN w:val="0"/>
        <w:adjustRightInd w:val="0"/>
        <w:rPr>
          <w:lang w:val="lv-LV"/>
        </w:rPr>
        <w:pPrChange w:id="2028" w:author="Author">
          <w:pPr>
            <w:pStyle w:val="ListParagraph"/>
            <w:autoSpaceDE w:val="0"/>
            <w:autoSpaceDN w:val="0"/>
            <w:adjustRightInd w:val="0"/>
            <w:ind w:left="567" w:hanging="567"/>
          </w:pPr>
        </w:pPrChange>
      </w:pPr>
      <w:del w:id="2029" w:author="Author">
        <w:r w:rsidDel="002E57E0">
          <w:rPr>
            <w:lang w:val="nb-NO"/>
          </w:rPr>
          <w:sym w:font="Symbol" w:char="F0B7"/>
        </w:r>
        <w:r w:rsidDel="002E57E0">
          <w:rPr>
            <w:lang w:val="nb-NO"/>
          </w:rPr>
          <w:tab/>
        </w:r>
      </w:del>
      <w:r w:rsidR="00F47ADA" w:rsidRPr="00DB3106">
        <w:rPr>
          <w:lang w:val="lv-LV"/>
        </w:rPr>
        <w:t xml:space="preserve">Ērti turiet šļirci rokā. </w:t>
      </w:r>
    </w:p>
    <w:p w14:paraId="690F8979" w14:textId="0B31B0F4" w:rsidR="00F47ADA" w:rsidRPr="003C7CDD" w:rsidRDefault="00CF30FF">
      <w:pPr>
        <w:pStyle w:val="ListParagraph"/>
        <w:numPr>
          <w:ilvl w:val="0"/>
          <w:numId w:val="63"/>
        </w:numPr>
        <w:autoSpaceDE w:val="0"/>
        <w:autoSpaceDN w:val="0"/>
        <w:adjustRightInd w:val="0"/>
        <w:rPr>
          <w:color w:val="231F20"/>
          <w:lang w:val="lv-LV"/>
        </w:rPr>
        <w:pPrChange w:id="2030" w:author="Author">
          <w:pPr>
            <w:pStyle w:val="ListParagraph"/>
            <w:autoSpaceDE w:val="0"/>
            <w:autoSpaceDN w:val="0"/>
            <w:adjustRightInd w:val="0"/>
            <w:ind w:left="567" w:hanging="567"/>
          </w:pPr>
        </w:pPrChange>
      </w:pPr>
      <w:del w:id="2031" w:author="Author">
        <w:r w:rsidDel="002E57E0">
          <w:rPr>
            <w:lang w:val="nb-NO"/>
          </w:rPr>
          <w:sym w:font="Symbol" w:char="F0B7"/>
        </w:r>
        <w:r w:rsidDel="002E57E0">
          <w:rPr>
            <w:lang w:val="nb-NO"/>
          </w:rPr>
          <w:tab/>
        </w:r>
      </w:del>
      <w:r w:rsidR="00F47ADA" w:rsidRPr="00DB3106">
        <w:rPr>
          <w:lang w:val="lv-LV"/>
        </w:rPr>
        <w:t xml:space="preserve">Lai būtu droši, ka adata zem ādas ir iedurta pareizi, ar brīvo roku satveriet brīvās ādas kroku notīrītajā injekcijas vietā. Ir svarīgi satvert ādu, lai nodrošinātu, ka injekcija tiek veikta zem ādas (taukaudos), nevis dziļāk (muskulī). Ja injekcija tiek veikta muskulī, tā var radīt nepatīkamu sajūtu. </w:t>
      </w:r>
    </w:p>
    <w:p w14:paraId="1419CB70" w14:textId="176958E6" w:rsidR="00F47ADA" w:rsidRPr="00DB3106" w:rsidRDefault="00CF30FF">
      <w:pPr>
        <w:pStyle w:val="ListParagraph"/>
        <w:numPr>
          <w:ilvl w:val="0"/>
          <w:numId w:val="63"/>
        </w:numPr>
        <w:autoSpaceDE w:val="0"/>
        <w:autoSpaceDN w:val="0"/>
        <w:adjustRightInd w:val="0"/>
        <w:rPr>
          <w:lang w:val="lv-LV"/>
        </w:rPr>
        <w:pPrChange w:id="2032" w:author="Author">
          <w:pPr>
            <w:pStyle w:val="ListParagraph"/>
            <w:autoSpaceDE w:val="0"/>
            <w:autoSpaceDN w:val="0"/>
            <w:adjustRightInd w:val="0"/>
            <w:ind w:left="567" w:hanging="567"/>
          </w:pPr>
        </w:pPrChange>
      </w:pPr>
      <w:del w:id="2033" w:author="Author">
        <w:r w:rsidDel="002E57E0">
          <w:rPr>
            <w:lang w:val="nb-NO"/>
          </w:rPr>
          <w:sym w:font="Symbol" w:char="F0B7"/>
        </w:r>
        <w:r w:rsidDel="002E57E0">
          <w:rPr>
            <w:lang w:val="nb-NO"/>
          </w:rPr>
          <w:tab/>
        </w:r>
      </w:del>
      <w:r w:rsidR="00F47ADA" w:rsidRPr="00DB3106">
        <w:rPr>
          <w:lang w:val="lv-LV"/>
        </w:rPr>
        <w:t xml:space="preserve">Iedurot adatu ādā, neturiet šļirci aiz virzuļa un nepiespiediet virzuli. </w:t>
      </w:r>
    </w:p>
    <w:p w14:paraId="3C9E516B" w14:textId="4B40BB94" w:rsidR="00F47ADA" w:rsidRPr="003C7CDD" w:rsidRDefault="00CF30FF">
      <w:pPr>
        <w:pStyle w:val="ListParagraph"/>
        <w:numPr>
          <w:ilvl w:val="0"/>
          <w:numId w:val="63"/>
        </w:numPr>
        <w:autoSpaceDE w:val="0"/>
        <w:autoSpaceDN w:val="0"/>
        <w:adjustRightInd w:val="0"/>
        <w:rPr>
          <w:color w:val="231F20"/>
          <w:lang w:val="lv-LV"/>
        </w:rPr>
        <w:pPrChange w:id="2034" w:author="Author">
          <w:pPr>
            <w:pStyle w:val="ListParagraph"/>
            <w:autoSpaceDE w:val="0"/>
            <w:autoSpaceDN w:val="0"/>
            <w:adjustRightInd w:val="0"/>
            <w:ind w:left="567" w:hanging="567"/>
          </w:pPr>
        </w:pPrChange>
      </w:pPr>
      <w:del w:id="2035" w:author="Author">
        <w:r w:rsidDel="002E57E0">
          <w:rPr>
            <w:lang w:val="nb-NO"/>
          </w:rPr>
          <w:sym w:font="Symbol" w:char="F0B7"/>
        </w:r>
        <w:r w:rsidDel="002E57E0">
          <w:rPr>
            <w:lang w:val="nb-NO"/>
          </w:rPr>
          <w:tab/>
        </w:r>
      </w:del>
      <w:r w:rsidR="00F47ADA" w:rsidRPr="00DB3106">
        <w:rPr>
          <w:lang w:val="lv-LV"/>
        </w:rPr>
        <w:t>Ar ātru, stingru kustību ieduriet adatu līdz galam satvertajā ādā 45</w:t>
      </w:r>
      <w:r w:rsidR="00F47ADA" w:rsidRPr="00DB3106">
        <w:rPr>
          <w:vertAlign w:val="superscript"/>
          <w:lang w:val="lv-LV"/>
        </w:rPr>
        <w:t>o</w:t>
      </w:r>
      <w:r w:rsidR="00F47ADA" w:rsidRPr="00DB3106">
        <w:rPr>
          <w:lang w:val="lv-LV"/>
        </w:rPr>
        <w:t xml:space="preserve"> līdz 90</w:t>
      </w:r>
      <w:r w:rsidR="00F47ADA" w:rsidRPr="00DB3106">
        <w:rPr>
          <w:vertAlign w:val="superscript"/>
          <w:lang w:val="lv-LV"/>
        </w:rPr>
        <w:t>o</w:t>
      </w:r>
      <w:r w:rsidR="00F47ADA" w:rsidRPr="00DB3106">
        <w:rPr>
          <w:lang w:val="lv-LV"/>
        </w:rPr>
        <w:t xml:space="preserve"> leņķī pret ādu. (skatīt E</w:t>
      </w:r>
      <w:r w:rsidR="003416BC">
        <w:rPr>
          <w:color w:val="000000"/>
          <w:lang w:val="lv-LV"/>
        </w:rPr>
        <w:t> </w:t>
      </w:r>
      <w:r w:rsidR="00F47ADA" w:rsidRPr="00DB3106">
        <w:rPr>
          <w:lang w:val="lv-LV"/>
        </w:rPr>
        <w:t>attēlu).</w:t>
      </w:r>
    </w:p>
    <w:p w14:paraId="20A64586" w14:textId="77777777" w:rsidR="00F47ADA" w:rsidRDefault="00F47ADA" w:rsidP="00F47ADA">
      <w:pPr>
        <w:rPr>
          <w:lang w:val="lv-LV"/>
        </w:rPr>
      </w:pPr>
    </w:p>
    <w:p w14:paraId="25C5DC61" w14:textId="77777777" w:rsidR="00F47ADA" w:rsidRDefault="00F47ADA" w:rsidP="00F47ADA">
      <w:pPr>
        <w:autoSpaceDE w:val="0"/>
        <w:autoSpaceDN w:val="0"/>
        <w:adjustRightInd w:val="0"/>
        <w:spacing w:after="120"/>
        <w:rPr>
          <w:color w:val="231F20"/>
          <w:lang w:val="lv-LV"/>
        </w:rPr>
      </w:pPr>
      <w:r>
        <w:rPr>
          <w:noProof/>
          <w:lang w:eastAsia="en-US"/>
        </w:rPr>
        <w:drawing>
          <wp:inline distT="0" distB="0" distL="0" distR="0" wp14:anchorId="32FA4E09" wp14:editId="479072D8">
            <wp:extent cx="2466975" cy="1819275"/>
            <wp:effectExtent l="0" t="0" r="0" b="0"/>
            <wp:docPr id="6" name="Picture 6" descr="in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6-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6975" cy="1819275"/>
                    </a:xfrm>
                    <a:prstGeom prst="rect">
                      <a:avLst/>
                    </a:prstGeom>
                    <a:noFill/>
                    <a:ln>
                      <a:noFill/>
                    </a:ln>
                  </pic:spPr>
                </pic:pic>
              </a:graphicData>
            </a:graphic>
          </wp:inline>
        </w:drawing>
      </w:r>
    </w:p>
    <w:p w14:paraId="32A43FA5" w14:textId="77777777" w:rsidR="00F47ADA" w:rsidRDefault="00F47ADA" w:rsidP="00F47ADA">
      <w:pPr>
        <w:keepNext/>
        <w:keepLines/>
        <w:autoSpaceDE w:val="0"/>
        <w:autoSpaceDN w:val="0"/>
        <w:adjustRightInd w:val="0"/>
        <w:spacing w:after="120"/>
        <w:rPr>
          <w:color w:val="231F20"/>
          <w:lang w:val="lv-LV"/>
        </w:rPr>
      </w:pPr>
      <w:r>
        <w:rPr>
          <w:color w:val="231F20"/>
          <w:lang w:val="lv-LV"/>
        </w:rPr>
        <w:t xml:space="preserve">Ir svarīgi izvēlēties pareizu leņķi, lai pārliecinātos, ka zāles tiek ievadītas zem ādas (taukaudos), citādi injekcija var būt sāpīga un zāles var nedarboties. </w:t>
      </w:r>
    </w:p>
    <w:p w14:paraId="622A5E94" w14:textId="77777777" w:rsidR="00F47ADA" w:rsidRDefault="00F47ADA" w:rsidP="00707120">
      <w:pPr>
        <w:keepNext/>
        <w:keepLines/>
        <w:ind w:left="567" w:hanging="567"/>
        <w:rPr>
          <w:lang w:val="lv-LV"/>
        </w:rPr>
      </w:pPr>
    </w:p>
    <w:p w14:paraId="0E7B321B" w14:textId="19974064" w:rsidR="00F47ADA" w:rsidRPr="00DB3106" w:rsidRDefault="00CF30FF">
      <w:pPr>
        <w:pStyle w:val="ListParagraph"/>
        <w:keepNext/>
        <w:keepLines/>
        <w:numPr>
          <w:ilvl w:val="0"/>
          <w:numId w:val="63"/>
        </w:numPr>
        <w:autoSpaceDE w:val="0"/>
        <w:autoSpaceDN w:val="0"/>
        <w:adjustRightInd w:val="0"/>
        <w:rPr>
          <w:lang w:val="lv-LV"/>
        </w:rPr>
        <w:pPrChange w:id="2036" w:author="Author">
          <w:pPr>
            <w:pStyle w:val="ListParagraph"/>
            <w:keepNext/>
            <w:keepLines/>
            <w:autoSpaceDE w:val="0"/>
            <w:autoSpaceDN w:val="0"/>
            <w:adjustRightInd w:val="0"/>
            <w:ind w:left="567" w:hanging="567"/>
          </w:pPr>
        </w:pPrChange>
      </w:pPr>
      <w:del w:id="2037" w:author="Author">
        <w:r w:rsidDel="002E57E0">
          <w:rPr>
            <w:lang w:val="nb-NO"/>
          </w:rPr>
          <w:sym w:font="Symbol" w:char="F0B7"/>
        </w:r>
        <w:r w:rsidDel="002E57E0">
          <w:rPr>
            <w:lang w:val="nb-NO"/>
          </w:rPr>
          <w:tab/>
        </w:r>
      </w:del>
      <w:r w:rsidR="00F47ADA" w:rsidRPr="00DB3106">
        <w:rPr>
          <w:lang w:val="lv-LV"/>
        </w:rPr>
        <w:t xml:space="preserve">Tad, turot šļirci šajā pozīcijā, atlaidiet satverto ādas kroku. </w:t>
      </w:r>
    </w:p>
    <w:p w14:paraId="273DDD39" w14:textId="12102531" w:rsidR="00F47ADA" w:rsidRPr="00DB3106" w:rsidRDefault="00CF30FF">
      <w:pPr>
        <w:pStyle w:val="ListParagraph"/>
        <w:keepNext/>
        <w:keepLines/>
        <w:numPr>
          <w:ilvl w:val="0"/>
          <w:numId w:val="63"/>
        </w:numPr>
        <w:autoSpaceDE w:val="0"/>
        <w:autoSpaceDN w:val="0"/>
        <w:adjustRightInd w:val="0"/>
        <w:rPr>
          <w:lang w:val="lv-LV"/>
        </w:rPr>
        <w:pPrChange w:id="2038" w:author="Author">
          <w:pPr>
            <w:pStyle w:val="ListParagraph"/>
            <w:keepNext/>
            <w:keepLines/>
            <w:autoSpaceDE w:val="0"/>
            <w:autoSpaceDN w:val="0"/>
            <w:adjustRightInd w:val="0"/>
            <w:ind w:left="567" w:hanging="567"/>
          </w:pPr>
        </w:pPrChange>
      </w:pPr>
      <w:del w:id="2039" w:author="Author">
        <w:r w:rsidDel="002E57E0">
          <w:rPr>
            <w:lang w:val="nb-NO"/>
          </w:rPr>
          <w:sym w:font="Symbol" w:char="F0B7"/>
        </w:r>
        <w:r w:rsidDel="002E57E0">
          <w:rPr>
            <w:lang w:val="nb-NO"/>
          </w:rPr>
          <w:tab/>
        </w:r>
      </w:del>
      <w:r w:rsidR="00F47ADA" w:rsidRPr="00DB3106">
        <w:rPr>
          <w:lang w:val="lv-LV"/>
        </w:rPr>
        <w:t>Lēni injicējiet visu zāļu daudzumu, maigi piespiežot virzuli līdz galam (skatīt F</w:t>
      </w:r>
      <w:r w:rsidR="003416BC">
        <w:rPr>
          <w:color w:val="000000"/>
          <w:lang w:val="lv-LV"/>
        </w:rPr>
        <w:t> </w:t>
      </w:r>
      <w:r w:rsidR="00F47ADA" w:rsidRPr="00DB3106">
        <w:rPr>
          <w:lang w:val="lv-LV"/>
        </w:rPr>
        <w:t xml:space="preserve">attēlu) Jums jānospiež virzulis līdz galam, lai pārliecinātos, ka tiek ievadīta visa zāļu deva un palaidējpirksti ir pilnīgi nospiesti uz sāniem. Ja virzulis nav iespiests līdz galam, adatas aizsargapvalks neiztaisnosies, lai pēc adatas izvilkšanas no ādas pilnīgi pārklātu adatu. Ja adata nav pilnīgi pārklāta, rīkojieties piesardzīgi un ievietojiet šļirci necaurduramā tvertnē, lai nesavainotos ar adatu. </w:t>
      </w:r>
    </w:p>
    <w:p w14:paraId="0B5C9C04" w14:textId="77777777" w:rsidR="00F47ADA" w:rsidRDefault="00F47ADA" w:rsidP="00F47ADA">
      <w:pPr>
        <w:keepNext/>
        <w:keepLines/>
        <w:autoSpaceDE w:val="0"/>
        <w:autoSpaceDN w:val="0"/>
        <w:adjustRightInd w:val="0"/>
        <w:ind w:left="714" w:hanging="357"/>
        <w:rPr>
          <w:color w:val="000000"/>
          <w:lang w:val="lv-LV"/>
        </w:rPr>
      </w:pPr>
    </w:p>
    <w:p w14:paraId="7ADA03CA" w14:textId="77777777" w:rsidR="00F47ADA" w:rsidRDefault="00F47ADA" w:rsidP="00F47ADA">
      <w:pPr>
        <w:autoSpaceDE w:val="0"/>
        <w:autoSpaceDN w:val="0"/>
        <w:adjustRightInd w:val="0"/>
        <w:spacing w:after="120"/>
        <w:rPr>
          <w:color w:val="000000"/>
          <w:lang w:val="lv-LV"/>
        </w:rPr>
      </w:pPr>
      <w:r>
        <w:rPr>
          <w:color w:val="000000"/>
          <w:lang w:val="lv-LV"/>
        </w:rPr>
        <w:t xml:space="preserve"> </w:t>
      </w:r>
      <w:r>
        <w:rPr>
          <w:noProof/>
          <w:lang w:eastAsia="en-US"/>
        </w:rPr>
        <w:drawing>
          <wp:inline distT="0" distB="0" distL="0" distR="0" wp14:anchorId="0B92B348" wp14:editId="15F4950B">
            <wp:extent cx="2428875" cy="1828800"/>
            <wp:effectExtent l="0" t="0" r="0" b="0"/>
            <wp:docPr id="7" name="Picture 7" descr="in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7-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8875" cy="1828800"/>
                    </a:xfrm>
                    <a:prstGeom prst="rect">
                      <a:avLst/>
                    </a:prstGeom>
                    <a:noFill/>
                    <a:ln>
                      <a:noFill/>
                    </a:ln>
                  </pic:spPr>
                </pic:pic>
              </a:graphicData>
            </a:graphic>
          </wp:inline>
        </w:drawing>
      </w:r>
    </w:p>
    <w:p w14:paraId="18D06162" w14:textId="064B134E" w:rsidR="00F47ADA" w:rsidRPr="00DB3106" w:rsidRDefault="00CF30FF">
      <w:pPr>
        <w:pStyle w:val="ListParagraph"/>
        <w:numPr>
          <w:ilvl w:val="0"/>
          <w:numId w:val="63"/>
        </w:numPr>
        <w:autoSpaceDE w:val="0"/>
        <w:autoSpaceDN w:val="0"/>
        <w:adjustRightInd w:val="0"/>
        <w:rPr>
          <w:lang w:val="lv-LV"/>
        </w:rPr>
        <w:pPrChange w:id="2040" w:author="Author">
          <w:pPr>
            <w:pStyle w:val="ListParagraph"/>
            <w:autoSpaceDE w:val="0"/>
            <w:autoSpaceDN w:val="0"/>
            <w:adjustRightInd w:val="0"/>
            <w:ind w:left="567" w:hanging="567"/>
          </w:pPr>
        </w:pPrChange>
      </w:pPr>
      <w:del w:id="2041" w:author="Author">
        <w:r w:rsidDel="002E57E0">
          <w:rPr>
            <w:lang w:val="nb-NO"/>
          </w:rPr>
          <w:sym w:font="Symbol" w:char="F0B7"/>
        </w:r>
        <w:r w:rsidDel="002E57E0">
          <w:rPr>
            <w:lang w:val="nb-NO"/>
          </w:rPr>
          <w:tab/>
        </w:r>
      </w:del>
      <w:r w:rsidR="00F47ADA" w:rsidRPr="00DB3106">
        <w:rPr>
          <w:lang w:val="lv-LV"/>
        </w:rPr>
        <w:t xml:space="preserve">Tiklīdz virzulis ir nospiests līdz galam, turpiniet to turēt piespiestu, lai pārliecinātos, ka pirms adatas izvilkšanas no ādas ir injicēts viss zāļu daudzums. </w:t>
      </w:r>
    </w:p>
    <w:p w14:paraId="0D34AFF7" w14:textId="1D0BFB3A" w:rsidR="00F47ADA" w:rsidRPr="00DB3106" w:rsidRDefault="00CF30FF">
      <w:pPr>
        <w:pStyle w:val="ListParagraph"/>
        <w:numPr>
          <w:ilvl w:val="0"/>
          <w:numId w:val="63"/>
        </w:numPr>
        <w:autoSpaceDE w:val="0"/>
        <w:autoSpaceDN w:val="0"/>
        <w:adjustRightInd w:val="0"/>
        <w:rPr>
          <w:lang w:val="lv-LV"/>
        </w:rPr>
        <w:pPrChange w:id="2042" w:author="Author">
          <w:pPr>
            <w:pStyle w:val="ListParagraph"/>
            <w:autoSpaceDE w:val="0"/>
            <w:autoSpaceDN w:val="0"/>
            <w:adjustRightInd w:val="0"/>
            <w:ind w:left="567" w:hanging="567"/>
          </w:pPr>
        </w:pPrChange>
      </w:pPr>
      <w:del w:id="2043" w:author="Author">
        <w:r w:rsidDel="002E57E0">
          <w:rPr>
            <w:lang w:val="nb-NO"/>
          </w:rPr>
          <w:sym w:font="Symbol" w:char="F0B7"/>
        </w:r>
        <w:r w:rsidDel="002E57E0">
          <w:rPr>
            <w:lang w:val="nb-NO"/>
          </w:rPr>
          <w:tab/>
        </w:r>
      </w:del>
      <w:r w:rsidR="00F47ADA" w:rsidRPr="00DB3106">
        <w:rPr>
          <w:lang w:val="lv-LV"/>
        </w:rPr>
        <w:t>Turpiniet turēt virzuli piespiestu, kamēr izvelkat adatu no ādas tādā pašā leņķī, kādā to iedūrāt (skatītG</w:t>
      </w:r>
      <w:r w:rsidR="003416BC">
        <w:rPr>
          <w:color w:val="000000"/>
          <w:lang w:val="lv-LV"/>
        </w:rPr>
        <w:t> </w:t>
      </w:r>
      <w:r w:rsidR="00F47ADA" w:rsidRPr="00DB3106">
        <w:rPr>
          <w:lang w:val="lv-LV"/>
        </w:rPr>
        <w:t>attēlu).</w:t>
      </w:r>
      <w:del w:id="2044" w:author="Author">
        <w:r w:rsidR="00F47ADA" w:rsidRPr="00DB3106" w:rsidDel="00CE6B8D">
          <w:rPr>
            <w:lang w:val="lv-LV"/>
          </w:rPr>
          <w:delText xml:space="preserve">  </w:delText>
        </w:r>
      </w:del>
    </w:p>
    <w:p w14:paraId="394F5585" w14:textId="0E3EE7F4" w:rsidR="00F47ADA" w:rsidRPr="00707120" w:rsidRDefault="00CF30FF">
      <w:pPr>
        <w:pStyle w:val="ListParagraph"/>
        <w:numPr>
          <w:ilvl w:val="0"/>
          <w:numId w:val="63"/>
        </w:numPr>
        <w:tabs>
          <w:tab w:val="left" w:pos="0"/>
        </w:tabs>
        <w:spacing w:line="100" w:lineRule="atLeast"/>
        <w:rPr>
          <w:kern w:val="1"/>
          <w:lang w:val="lv-LV"/>
        </w:rPr>
        <w:pPrChange w:id="2045" w:author="Author">
          <w:pPr>
            <w:pStyle w:val="ListParagraph"/>
            <w:tabs>
              <w:tab w:val="left" w:pos="0"/>
            </w:tabs>
            <w:spacing w:line="100" w:lineRule="atLeast"/>
            <w:ind w:left="567" w:hanging="567"/>
          </w:pPr>
        </w:pPrChange>
      </w:pPr>
      <w:del w:id="2046" w:author="Author">
        <w:r w:rsidDel="002E57E0">
          <w:rPr>
            <w:lang w:val="nb-NO"/>
          </w:rPr>
          <w:sym w:font="Symbol" w:char="F0B7"/>
        </w:r>
        <w:r w:rsidDel="002E57E0">
          <w:rPr>
            <w:lang w:val="nb-NO"/>
          </w:rPr>
          <w:tab/>
        </w:r>
      </w:del>
      <w:r w:rsidR="00F47ADA" w:rsidRPr="00707120">
        <w:rPr>
          <w:bCs/>
          <w:kern w:val="1"/>
          <w:szCs w:val="22"/>
          <w:lang w:val="lv-LV"/>
        </w:rPr>
        <w:t>Ja pēc adatas ieduršanas nevarat nospiest virzuli, pilnšļirce ir jāizmet necaurduramā tvertnē un jālieto jauna pilnšļirce (sāciet atkal no 2.</w:t>
      </w:r>
      <w:r w:rsidR="003416BC">
        <w:rPr>
          <w:bCs/>
          <w:kern w:val="1"/>
          <w:szCs w:val="22"/>
          <w:lang w:val="lv-LV"/>
        </w:rPr>
        <w:t> </w:t>
      </w:r>
      <w:r w:rsidR="00F47ADA" w:rsidRPr="00707120">
        <w:rPr>
          <w:bCs/>
          <w:kern w:val="1"/>
          <w:szCs w:val="22"/>
          <w:lang w:val="lv-LV"/>
        </w:rPr>
        <w:t>darbības). Ja joprojām ir sarežģījumi, konsultējieties ar savu veselības aprūpes speciālistu.</w:t>
      </w:r>
    </w:p>
    <w:p w14:paraId="3390B166" w14:textId="77777777" w:rsidR="00F47ADA" w:rsidRDefault="00F47ADA" w:rsidP="00F47ADA">
      <w:pPr>
        <w:autoSpaceDE w:val="0"/>
        <w:autoSpaceDN w:val="0"/>
        <w:adjustRightInd w:val="0"/>
        <w:spacing w:after="120"/>
        <w:rPr>
          <w:color w:val="000000"/>
          <w:lang w:val="lv-LV"/>
        </w:rPr>
      </w:pPr>
    </w:p>
    <w:p w14:paraId="50F266FA" w14:textId="77777777" w:rsidR="00F47ADA" w:rsidRDefault="00F47ADA" w:rsidP="00F47ADA">
      <w:pPr>
        <w:autoSpaceDE w:val="0"/>
        <w:autoSpaceDN w:val="0"/>
        <w:adjustRightInd w:val="0"/>
        <w:spacing w:after="120"/>
        <w:rPr>
          <w:ins w:id="2047" w:author="Author"/>
          <w:color w:val="000000"/>
          <w:lang w:val="lv-LV"/>
        </w:rPr>
      </w:pPr>
      <w:r>
        <w:rPr>
          <w:noProof/>
          <w:lang w:eastAsia="en-US"/>
        </w:rPr>
        <w:drawing>
          <wp:inline distT="0" distB="0" distL="0" distR="0" wp14:anchorId="63069033" wp14:editId="0DD6E021">
            <wp:extent cx="2409825" cy="1828800"/>
            <wp:effectExtent l="0" t="0" r="0" b="0"/>
            <wp:docPr id="8" name="Picture 8" descr="in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8-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9825" cy="1828800"/>
                    </a:xfrm>
                    <a:prstGeom prst="rect">
                      <a:avLst/>
                    </a:prstGeom>
                    <a:noFill/>
                    <a:ln>
                      <a:noFill/>
                    </a:ln>
                  </pic:spPr>
                </pic:pic>
              </a:graphicData>
            </a:graphic>
          </wp:inline>
        </w:drawing>
      </w:r>
    </w:p>
    <w:p w14:paraId="24EAE6D8" w14:textId="77777777" w:rsidR="00B35EF2" w:rsidRDefault="00B35EF2" w:rsidP="00F47ADA">
      <w:pPr>
        <w:autoSpaceDE w:val="0"/>
        <w:autoSpaceDN w:val="0"/>
        <w:adjustRightInd w:val="0"/>
        <w:spacing w:after="120"/>
        <w:rPr>
          <w:color w:val="000000"/>
          <w:lang w:val="lv-LV"/>
        </w:rPr>
      </w:pPr>
    </w:p>
    <w:p w14:paraId="7E656540" w14:textId="05B74FE9" w:rsidR="00F47ADA" w:rsidRPr="00DB3106" w:rsidRDefault="00CF30FF">
      <w:pPr>
        <w:pStyle w:val="ListParagraph"/>
        <w:numPr>
          <w:ilvl w:val="0"/>
          <w:numId w:val="63"/>
        </w:numPr>
        <w:autoSpaceDE w:val="0"/>
        <w:autoSpaceDN w:val="0"/>
        <w:adjustRightInd w:val="0"/>
        <w:spacing w:after="120"/>
        <w:rPr>
          <w:lang w:val="lv-LV"/>
        </w:rPr>
        <w:pPrChange w:id="2048" w:author="Author">
          <w:pPr>
            <w:pStyle w:val="ListParagraph"/>
            <w:autoSpaceDE w:val="0"/>
            <w:autoSpaceDN w:val="0"/>
            <w:adjustRightInd w:val="0"/>
            <w:spacing w:after="120"/>
            <w:ind w:left="567" w:hanging="567"/>
          </w:pPr>
        </w:pPrChange>
      </w:pPr>
      <w:del w:id="2049" w:author="Author">
        <w:r w:rsidDel="002E57E0">
          <w:rPr>
            <w:lang w:val="nb-NO"/>
          </w:rPr>
          <w:sym w:font="Symbol" w:char="F0B7"/>
        </w:r>
        <w:r w:rsidDel="002E57E0">
          <w:rPr>
            <w:lang w:val="nb-NO"/>
          </w:rPr>
          <w:tab/>
        </w:r>
      </w:del>
      <w:r w:rsidR="00F47ADA" w:rsidRPr="00DB3106">
        <w:rPr>
          <w:lang w:val="lv-LV"/>
        </w:rPr>
        <w:t>Tiklīdz adata ir pilnīgi izvilkta no ādas, varat virzuli atlaist, ļaujot adatas aizsargapvalkam pārklāt adatu (skatītH</w:t>
      </w:r>
      <w:r w:rsidR="003416BC">
        <w:rPr>
          <w:color w:val="000000"/>
          <w:lang w:val="lv-LV"/>
        </w:rPr>
        <w:t> </w:t>
      </w:r>
      <w:r w:rsidR="00F47ADA" w:rsidRPr="00DB3106">
        <w:rPr>
          <w:lang w:val="lv-LV"/>
        </w:rPr>
        <w:t>attēlu).</w:t>
      </w:r>
    </w:p>
    <w:p w14:paraId="12EA3FB0" w14:textId="77777777" w:rsidR="00F47ADA" w:rsidRDefault="00F47ADA" w:rsidP="00F47ADA">
      <w:pPr>
        <w:autoSpaceDE w:val="0"/>
        <w:autoSpaceDN w:val="0"/>
        <w:adjustRightInd w:val="0"/>
        <w:spacing w:after="120"/>
        <w:rPr>
          <w:color w:val="000000"/>
          <w:lang w:val="lv-LV"/>
        </w:rPr>
      </w:pPr>
    </w:p>
    <w:p w14:paraId="3F9A0B18" w14:textId="77777777" w:rsidR="00F47ADA" w:rsidRDefault="00F47ADA" w:rsidP="00F47ADA">
      <w:pPr>
        <w:autoSpaceDE w:val="0"/>
        <w:autoSpaceDN w:val="0"/>
        <w:adjustRightInd w:val="0"/>
        <w:spacing w:after="120"/>
        <w:rPr>
          <w:noProof/>
        </w:rPr>
      </w:pPr>
      <w:r>
        <w:rPr>
          <w:noProof/>
          <w:lang w:eastAsia="en-US"/>
        </w:rPr>
        <w:drawing>
          <wp:inline distT="0" distB="0" distL="0" distR="0" wp14:anchorId="0760FF2C" wp14:editId="2F2A02C4">
            <wp:extent cx="2400300" cy="1828800"/>
            <wp:effectExtent l="0" t="0" r="0" b="0"/>
            <wp:docPr id="9" name="Picture 9" descr="in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9-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0300" cy="1828800"/>
                    </a:xfrm>
                    <a:prstGeom prst="rect">
                      <a:avLst/>
                    </a:prstGeom>
                    <a:noFill/>
                    <a:ln>
                      <a:noFill/>
                    </a:ln>
                  </pic:spPr>
                </pic:pic>
              </a:graphicData>
            </a:graphic>
          </wp:inline>
        </w:drawing>
      </w:r>
    </w:p>
    <w:p w14:paraId="13A86E7D" w14:textId="47DC8608" w:rsidR="00F47ADA" w:rsidRPr="00DB3106" w:rsidRDefault="00CF30FF">
      <w:pPr>
        <w:pStyle w:val="ListParagraph"/>
        <w:numPr>
          <w:ilvl w:val="0"/>
          <w:numId w:val="63"/>
        </w:numPr>
        <w:autoSpaceDE w:val="0"/>
        <w:autoSpaceDN w:val="0"/>
        <w:adjustRightInd w:val="0"/>
        <w:rPr>
          <w:lang w:val="lv-LV"/>
        </w:rPr>
        <w:pPrChange w:id="2050" w:author="Author">
          <w:pPr>
            <w:pStyle w:val="ListParagraph"/>
            <w:autoSpaceDE w:val="0"/>
            <w:autoSpaceDN w:val="0"/>
            <w:adjustRightInd w:val="0"/>
            <w:ind w:left="567" w:hanging="567"/>
          </w:pPr>
        </w:pPrChange>
      </w:pPr>
      <w:del w:id="2051" w:author="Author">
        <w:r w:rsidDel="002E57E0">
          <w:rPr>
            <w:lang w:val="nb-NO"/>
          </w:rPr>
          <w:sym w:font="Symbol" w:char="F0B7"/>
        </w:r>
        <w:r w:rsidDel="002E57E0">
          <w:rPr>
            <w:lang w:val="nb-NO"/>
          </w:rPr>
          <w:tab/>
        </w:r>
      </w:del>
      <w:r w:rsidR="00F47ADA" w:rsidRPr="00DB3106">
        <w:rPr>
          <w:lang w:val="lv-LV"/>
        </w:rPr>
        <w:t xml:space="preserve">Ja injekcijas vietā redzat asins pilienus, varat injekcijas vietai aptuveni 10 sekundes piespiest vates tamponu vai marli. </w:t>
      </w:r>
    </w:p>
    <w:p w14:paraId="3FA371EC" w14:textId="39CBA6CF" w:rsidR="00F47ADA" w:rsidRPr="00DB3106" w:rsidRDefault="00CF30FF">
      <w:pPr>
        <w:pStyle w:val="ListParagraph"/>
        <w:numPr>
          <w:ilvl w:val="0"/>
          <w:numId w:val="63"/>
        </w:numPr>
        <w:autoSpaceDE w:val="0"/>
        <w:autoSpaceDN w:val="0"/>
        <w:adjustRightInd w:val="0"/>
        <w:rPr>
          <w:lang w:val="lv-LV"/>
        </w:rPr>
        <w:pPrChange w:id="2052" w:author="Author">
          <w:pPr>
            <w:pStyle w:val="ListParagraph"/>
            <w:autoSpaceDE w:val="0"/>
            <w:autoSpaceDN w:val="0"/>
            <w:adjustRightInd w:val="0"/>
            <w:ind w:left="567" w:hanging="567"/>
          </w:pPr>
        </w:pPrChange>
      </w:pPr>
      <w:del w:id="2053" w:author="Author">
        <w:r w:rsidDel="002E57E0">
          <w:rPr>
            <w:lang w:val="nb-NO"/>
          </w:rPr>
          <w:sym w:font="Symbol" w:char="F0B7"/>
        </w:r>
        <w:r w:rsidDel="002E57E0">
          <w:rPr>
            <w:lang w:val="nb-NO"/>
          </w:rPr>
          <w:tab/>
        </w:r>
      </w:del>
      <w:r w:rsidR="00F47ADA" w:rsidRPr="00DB3106">
        <w:rPr>
          <w:lang w:val="lv-LV"/>
        </w:rPr>
        <w:t>Neberzējiet injekcijas vietu!</w:t>
      </w:r>
    </w:p>
    <w:p w14:paraId="7C5653A1" w14:textId="77777777" w:rsidR="00F47ADA" w:rsidRDefault="00F47ADA" w:rsidP="00F47ADA">
      <w:pPr>
        <w:autoSpaceDE w:val="0"/>
        <w:autoSpaceDN w:val="0"/>
        <w:adjustRightInd w:val="0"/>
        <w:spacing w:after="120"/>
        <w:rPr>
          <w:color w:val="231F20"/>
          <w:lang w:val="lv-LV"/>
        </w:rPr>
      </w:pPr>
    </w:p>
    <w:p w14:paraId="16D35315" w14:textId="77777777" w:rsidR="00F47ADA" w:rsidRDefault="00F47ADA" w:rsidP="00F47ADA">
      <w:pPr>
        <w:rPr>
          <w:b/>
          <w:lang w:val="lv-LV"/>
        </w:rPr>
      </w:pPr>
      <w:r>
        <w:rPr>
          <w:b/>
          <w:lang w:val="lv-LV"/>
        </w:rPr>
        <w:t>7. solis. Izmetiet šļirci</w:t>
      </w:r>
    </w:p>
    <w:p w14:paraId="44270F64" w14:textId="77777777" w:rsidR="00F47ADA" w:rsidRDefault="00F47ADA" w:rsidP="00707120">
      <w:pPr>
        <w:ind w:left="567" w:hanging="567"/>
        <w:rPr>
          <w:b/>
          <w:lang w:val="lv-LV"/>
        </w:rPr>
      </w:pPr>
    </w:p>
    <w:p w14:paraId="2986431A" w14:textId="226775CE" w:rsidR="00F47ADA" w:rsidRPr="00DB3106" w:rsidRDefault="00CF30FF">
      <w:pPr>
        <w:pStyle w:val="ListParagraph"/>
        <w:numPr>
          <w:ilvl w:val="0"/>
          <w:numId w:val="63"/>
        </w:numPr>
        <w:autoSpaceDE w:val="0"/>
        <w:autoSpaceDN w:val="0"/>
        <w:adjustRightInd w:val="0"/>
        <w:rPr>
          <w:lang w:val="lv-LV"/>
        </w:rPr>
        <w:pPrChange w:id="2054" w:author="Author">
          <w:pPr>
            <w:pStyle w:val="ListParagraph"/>
            <w:autoSpaceDE w:val="0"/>
            <w:autoSpaceDN w:val="0"/>
            <w:adjustRightInd w:val="0"/>
            <w:ind w:left="567" w:hanging="567"/>
          </w:pPr>
        </w:pPrChange>
      </w:pPr>
      <w:del w:id="2055" w:author="Author">
        <w:r w:rsidDel="002E57E0">
          <w:rPr>
            <w:lang w:val="nb-NO"/>
          </w:rPr>
          <w:sym w:font="Symbol" w:char="F0B7"/>
        </w:r>
        <w:r w:rsidDel="002E57E0">
          <w:rPr>
            <w:lang w:val="nb-NO"/>
          </w:rPr>
          <w:tab/>
        </w:r>
      </w:del>
      <w:r w:rsidR="00F47ADA" w:rsidRPr="00DB3106">
        <w:rPr>
          <w:lang w:val="lv-LV"/>
        </w:rPr>
        <w:t xml:space="preserve">Necentieties šļircei uzlikt atpakaļ vāciņu. </w:t>
      </w:r>
    </w:p>
    <w:p w14:paraId="1EC8F2C5" w14:textId="268FD80C" w:rsidR="00F47ADA" w:rsidRPr="00DB3106" w:rsidRDefault="00CF30FF">
      <w:pPr>
        <w:pStyle w:val="ListParagraph"/>
        <w:numPr>
          <w:ilvl w:val="0"/>
          <w:numId w:val="63"/>
        </w:numPr>
        <w:autoSpaceDE w:val="0"/>
        <w:autoSpaceDN w:val="0"/>
        <w:adjustRightInd w:val="0"/>
        <w:rPr>
          <w:lang w:val="lv-LV"/>
        </w:rPr>
        <w:pPrChange w:id="2056" w:author="Author">
          <w:pPr>
            <w:pStyle w:val="ListParagraph"/>
            <w:autoSpaceDE w:val="0"/>
            <w:autoSpaceDN w:val="0"/>
            <w:adjustRightInd w:val="0"/>
            <w:ind w:left="567" w:hanging="567"/>
          </w:pPr>
        </w:pPrChange>
      </w:pPr>
      <w:del w:id="2057" w:author="Author">
        <w:r w:rsidDel="002E57E0">
          <w:rPr>
            <w:lang w:val="nb-NO"/>
          </w:rPr>
          <w:sym w:font="Symbol" w:char="F0B7"/>
        </w:r>
        <w:r w:rsidDel="002E57E0">
          <w:rPr>
            <w:lang w:val="nb-NO"/>
          </w:rPr>
          <w:tab/>
        </w:r>
      </w:del>
      <w:r w:rsidR="00F47ADA" w:rsidRPr="00DB3106">
        <w:rPr>
          <w:lang w:val="lv-LV"/>
        </w:rPr>
        <w:t>Izmetiet izmantotās šļirces necaurduramā tvertnē vai asu priekšmetu tvertnē. Informāciju, kur varat iegūt "asu priekšmetu" tvertni vai kāda cita veida dūrienizturīgas tvertnes, kuras varat izmantot drošai izlietoto šļirču izmešanai, ja Jums tādas jau nav, vaicājiet savam veselības aprūpes sniedzējam vai farmaceitam (skatīt I</w:t>
      </w:r>
      <w:r w:rsidR="003416BC">
        <w:rPr>
          <w:color w:val="231F20"/>
          <w:lang w:val="lv-LV"/>
        </w:rPr>
        <w:t> </w:t>
      </w:r>
      <w:r w:rsidR="00F47ADA" w:rsidRPr="00DB3106">
        <w:rPr>
          <w:lang w:val="lv-LV"/>
        </w:rPr>
        <w:t>attēlu).</w:t>
      </w:r>
    </w:p>
    <w:p w14:paraId="1E163D7F" w14:textId="77777777" w:rsidR="00F47ADA" w:rsidRDefault="00F47ADA" w:rsidP="00F47ADA">
      <w:pPr>
        <w:autoSpaceDE w:val="0"/>
        <w:autoSpaceDN w:val="0"/>
        <w:adjustRightInd w:val="0"/>
        <w:spacing w:after="120"/>
        <w:rPr>
          <w:color w:val="231F20"/>
          <w:lang w:val="lv-LV"/>
        </w:rPr>
      </w:pPr>
    </w:p>
    <w:p w14:paraId="5641E104" w14:textId="77777777" w:rsidR="00F47ADA" w:rsidRDefault="00F47ADA" w:rsidP="00F47ADA">
      <w:pPr>
        <w:autoSpaceDE w:val="0"/>
        <w:autoSpaceDN w:val="0"/>
        <w:adjustRightInd w:val="0"/>
        <w:spacing w:after="120"/>
        <w:rPr>
          <w:color w:val="231F20"/>
          <w:lang w:val="lv-LV"/>
        </w:rPr>
      </w:pPr>
      <w:r>
        <w:rPr>
          <w:noProof/>
          <w:lang w:eastAsia="en-US"/>
        </w:rPr>
        <w:drawing>
          <wp:inline distT="0" distB="0" distL="0" distR="0" wp14:anchorId="79B8F37D" wp14:editId="4761FDE4">
            <wp:extent cx="2409825" cy="1828800"/>
            <wp:effectExtent l="0" t="0" r="0" b="0"/>
            <wp:docPr id="10" name="Picture 10" descr="i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10-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9825" cy="1828800"/>
                    </a:xfrm>
                    <a:prstGeom prst="rect">
                      <a:avLst/>
                    </a:prstGeom>
                    <a:noFill/>
                    <a:ln>
                      <a:noFill/>
                    </a:ln>
                  </pic:spPr>
                </pic:pic>
              </a:graphicData>
            </a:graphic>
          </wp:inline>
        </w:drawing>
      </w:r>
    </w:p>
    <w:p w14:paraId="386232EA" w14:textId="77777777" w:rsidR="00F47ADA" w:rsidRDefault="00F47ADA" w:rsidP="00F47ADA">
      <w:pPr>
        <w:autoSpaceDE w:val="0"/>
        <w:autoSpaceDN w:val="0"/>
        <w:adjustRightInd w:val="0"/>
        <w:rPr>
          <w:color w:val="231F20"/>
          <w:lang w:val="lv-LV"/>
        </w:rPr>
      </w:pPr>
    </w:p>
    <w:p w14:paraId="2A481A65" w14:textId="77777777" w:rsidR="00F47ADA" w:rsidRDefault="00F47ADA" w:rsidP="00F47ADA">
      <w:pPr>
        <w:autoSpaceDE w:val="0"/>
        <w:autoSpaceDN w:val="0"/>
        <w:adjustRightInd w:val="0"/>
        <w:rPr>
          <w:color w:val="231F20"/>
          <w:lang w:val="lv-LV"/>
        </w:rPr>
      </w:pPr>
      <w:r>
        <w:rPr>
          <w:color w:val="231F20"/>
          <w:lang w:val="lv-LV"/>
        </w:rPr>
        <w:t xml:space="preserve">Konsultējieties ar savu veselības aprūpes speciālistu par to, kā pareizi izmest izlietotās šļirces. Iespējams, ka ir vietēji vai nacionāli noteikumi par izlietoto šļirču izmešanu. </w:t>
      </w:r>
    </w:p>
    <w:p w14:paraId="2B2950EF" w14:textId="77777777" w:rsidR="00F47ADA" w:rsidRDefault="00F47ADA" w:rsidP="00F47ADA">
      <w:pPr>
        <w:autoSpaceDE w:val="0"/>
        <w:autoSpaceDN w:val="0"/>
        <w:adjustRightInd w:val="0"/>
        <w:rPr>
          <w:color w:val="231F20"/>
          <w:lang w:val="lv-LV"/>
        </w:rPr>
      </w:pPr>
    </w:p>
    <w:p w14:paraId="6B12BC29" w14:textId="77777777" w:rsidR="00F47ADA" w:rsidRDefault="00F47ADA" w:rsidP="00F47ADA">
      <w:pPr>
        <w:autoSpaceDE w:val="0"/>
        <w:autoSpaceDN w:val="0"/>
        <w:adjustRightInd w:val="0"/>
        <w:rPr>
          <w:color w:val="231F20"/>
          <w:lang w:val="lv-LV"/>
        </w:rPr>
      </w:pPr>
      <w:r>
        <w:rPr>
          <w:color w:val="231F20"/>
          <w:lang w:val="lv-LV"/>
        </w:rPr>
        <w:t xml:space="preserve">Neizmetiet izlietotās šļirces vai necaurduramās tvertnes mājsaimniecības atkritumos un nenododiet tās atkritumu pārstrādāšanai. </w:t>
      </w:r>
    </w:p>
    <w:p w14:paraId="48C95AD8" w14:textId="63D0F865" w:rsidR="00F47ADA" w:rsidRPr="00DB3106" w:rsidRDefault="00CF30FF">
      <w:pPr>
        <w:pStyle w:val="ListParagraph"/>
        <w:numPr>
          <w:ilvl w:val="0"/>
          <w:numId w:val="63"/>
        </w:numPr>
        <w:autoSpaceDE w:val="0"/>
        <w:autoSpaceDN w:val="0"/>
        <w:adjustRightInd w:val="0"/>
        <w:rPr>
          <w:lang w:val="lv-LV"/>
        </w:rPr>
        <w:pPrChange w:id="2058" w:author="Author">
          <w:pPr>
            <w:pStyle w:val="ListParagraph"/>
            <w:autoSpaceDE w:val="0"/>
            <w:autoSpaceDN w:val="0"/>
            <w:adjustRightInd w:val="0"/>
            <w:ind w:left="567" w:hanging="567"/>
          </w:pPr>
        </w:pPrChange>
      </w:pPr>
      <w:del w:id="2059" w:author="Author">
        <w:r w:rsidDel="002E57E0">
          <w:rPr>
            <w:lang w:val="nb-NO"/>
          </w:rPr>
          <w:sym w:font="Symbol" w:char="F0B7"/>
        </w:r>
        <w:r w:rsidDel="002E57E0">
          <w:rPr>
            <w:lang w:val="nb-NO"/>
          </w:rPr>
          <w:tab/>
        </w:r>
      </w:del>
      <w:r w:rsidR="00F47ADA" w:rsidRPr="00DB3106">
        <w:rPr>
          <w:lang w:val="lv-LV"/>
        </w:rPr>
        <w:t xml:space="preserve">Izmetiet pilno tvertni atbilstoši veselības aprūpes sniedzēja vai farmaceita norādījumiem. </w:t>
      </w:r>
    </w:p>
    <w:p w14:paraId="6FAEE450" w14:textId="4DAA0B5E" w:rsidR="00F47ADA" w:rsidRPr="00DB3106" w:rsidRDefault="00CF30FF">
      <w:pPr>
        <w:pStyle w:val="ListParagraph"/>
        <w:numPr>
          <w:ilvl w:val="0"/>
          <w:numId w:val="63"/>
        </w:numPr>
        <w:autoSpaceDE w:val="0"/>
        <w:autoSpaceDN w:val="0"/>
        <w:adjustRightInd w:val="0"/>
        <w:rPr>
          <w:lang w:val="lv-LV"/>
        </w:rPr>
        <w:pPrChange w:id="2060" w:author="Author">
          <w:pPr>
            <w:pStyle w:val="ListParagraph"/>
            <w:autoSpaceDE w:val="0"/>
            <w:autoSpaceDN w:val="0"/>
            <w:adjustRightInd w:val="0"/>
            <w:ind w:left="567" w:hanging="567"/>
          </w:pPr>
        </w:pPrChange>
      </w:pPr>
      <w:del w:id="2061" w:author="Author">
        <w:r w:rsidDel="002E57E0">
          <w:rPr>
            <w:lang w:val="nb-NO"/>
          </w:rPr>
          <w:sym w:font="Symbol" w:char="F0B7"/>
        </w:r>
        <w:r w:rsidDel="002E57E0">
          <w:rPr>
            <w:lang w:val="nb-NO"/>
          </w:rPr>
          <w:tab/>
        </w:r>
      </w:del>
      <w:r w:rsidR="00F47ADA" w:rsidRPr="00DB3106">
        <w:rPr>
          <w:lang w:val="lv-LV"/>
        </w:rPr>
        <w:t xml:space="preserve">Necaurduramo tvertni vienmēr glabājiet bērniem neredzamā un nepieejamā vietā. </w:t>
      </w:r>
    </w:p>
    <w:p w14:paraId="2379B4B8" w14:textId="77777777" w:rsidR="00F47ADA" w:rsidRDefault="00F47ADA" w:rsidP="003416BC">
      <w:pPr>
        <w:autoSpaceDE w:val="0"/>
        <w:autoSpaceDN w:val="0"/>
        <w:adjustRightInd w:val="0"/>
        <w:rPr>
          <w:color w:val="231F20"/>
          <w:lang w:val="lv-LV"/>
        </w:rPr>
      </w:pPr>
    </w:p>
    <w:p w14:paraId="0F16C0CD" w14:textId="77777777" w:rsidR="00F47ADA" w:rsidRDefault="00F47ADA" w:rsidP="00F47ADA">
      <w:pPr>
        <w:autoSpaceDE w:val="0"/>
        <w:autoSpaceDN w:val="0"/>
        <w:adjustRightInd w:val="0"/>
        <w:rPr>
          <w:b/>
          <w:color w:val="231F20"/>
          <w:lang w:val="lv-LV"/>
        </w:rPr>
      </w:pPr>
      <w:r>
        <w:rPr>
          <w:b/>
          <w:color w:val="231F20"/>
          <w:lang w:val="lv-LV"/>
        </w:rPr>
        <w:t>Norādījumi pacientam par paaugstinātas jutības reakcijām (ko sauc par anafilaksi, ja tās ir smagas)</w:t>
      </w:r>
    </w:p>
    <w:p w14:paraId="76EF36A9" w14:textId="77777777" w:rsidR="00F47ADA" w:rsidRDefault="00F47ADA" w:rsidP="00F47ADA">
      <w:pPr>
        <w:autoSpaceDE w:val="0"/>
        <w:autoSpaceDN w:val="0"/>
        <w:adjustRightInd w:val="0"/>
        <w:rPr>
          <w:b/>
          <w:color w:val="231F20"/>
          <w:lang w:val="lv-LV"/>
        </w:rPr>
      </w:pPr>
    </w:p>
    <w:p w14:paraId="5210E874" w14:textId="3117663A" w:rsidR="00F47ADA" w:rsidRDefault="00F47ADA" w:rsidP="00F47ADA">
      <w:pPr>
        <w:autoSpaceDE w:val="0"/>
        <w:autoSpaceDN w:val="0"/>
        <w:adjustRightInd w:val="0"/>
        <w:rPr>
          <w:color w:val="231F20"/>
          <w:lang w:val="lv-LV"/>
        </w:rPr>
      </w:pPr>
      <w:r>
        <w:rPr>
          <w:color w:val="231F20"/>
          <w:lang w:val="lv-LV"/>
        </w:rPr>
        <w:t>Ja jebkurā brīdī, kad neesat slimnīcā, RoActemra injekcijas laikā vai pēc tās Jums rodas šādi simptomi (bet ne tikai) – izsitumi, ādas nieze, drebuļi, sejas, lūpu, mēles vai rīkles pietūkums, sāpes krūškurvī, sēcoša elpošana, apgrūtināta elpošana vai rīšana vai reiboņa vai ģīboņa sajūta, Jums ir nekavējoties jāizsauc neatliekamā medicīniskā palīdzība.</w:t>
      </w:r>
    </w:p>
    <w:p w14:paraId="6DB29C1B" w14:textId="77777777" w:rsidR="00F47ADA" w:rsidRDefault="00F47ADA" w:rsidP="00F47ADA">
      <w:pPr>
        <w:autoSpaceDE w:val="0"/>
        <w:autoSpaceDN w:val="0"/>
        <w:adjustRightInd w:val="0"/>
        <w:rPr>
          <w:color w:val="231F20"/>
          <w:lang w:val="lv-LV"/>
        </w:rPr>
      </w:pPr>
    </w:p>
    <w:p w14:paraId="781B9C36" w14:textId="77777777" w:rsidR="00F47ADA" w:rsidRDefault="00F47ADA" w:rsidP="00F47ADA">
      <w:pPr>
        <w:keepNext/>
        <w:keepLines/>
        <w:autoSpaceDE w:val="0"/>
        <w:autoSpaceDN w:val="0"/>
        <w:adjustRightInd w:val="0"/>
        <w:rPr>
          <w:b/>
          <w:color w:val="231F20"/>
          <w:lang w:val="lv-LV"/>
        </w:rPr>
      </w:pPr>
      <w:r>
        <w:rPr>
          <w:b/>
          <w:color w:val="231F20"/>
          <w:lang w:val="lv-LV"/>
        </w:rPr>
        <w:t>Norādījumi pacientam par agrīnu atpazīšanu un terapiju, lai ierobežotu nopietnas infekcijas risku</w:t>
      </w:r>
    </w:p>
    <w:p w14:paraId="5644ACBE" w14:textId="77777777" w:rsidR="00F47ADA" w:rsidRDefault="00F47ADA" w:rsidP="00F47ADA">
      <w:pPr>
        <w:keepNext/>
        <w:keepLines/>
        <w:autoSpaceDE w:val="0"/>
        <w:autoSpaceDN w:val="0"/>
        <w:adjustRightInd w:val="0"/>
        <w:rPr>
          <w:b/>
          <w:color w:val="231F20"/>
          <w:lang w:val="lv-LV"/>
        </w:rPr>
      </w:pPr>
    </w:p>
    <w:p w14:paraId="23A3C8DF" w14:textId="77777777" w:rsidR="00F47ADA" w:rsidRDefault="00F47ADA" w:rsidP="00F47ADA">
      <w:pPr>
        <w:keepNext/>
        <w:keepLines/>
        <w:autoSpaceDE w:val="0"/>
        <w:autoSpaceDN w:val="0"/>
        <w:adjustRightInd w:val="0"/>
        <w:rPr>
          <w:color w:val="231F20"/>
          <w:lang w:val="lv-LV"/>
        </w:rPr>
      </w:pPr>
      <w:r>
        <w:rPr>
          <w:color w:val="231F20"/>
          <w:lang w:val="lv-LV"/>
        </w:rPr>
        <w:t>Uzmanieties, vai Jums nav radušās infekcijas sākotnējās izpausmes, piemēram:</w:t>
      </w:r>
    </w:p>
    <w:p w14:paraId="5D5DD04D" w14:textId="77777777" w:rsidR="00F47ADA" w:rsidRDefault="00F47ADA" w:rsidP="00F47ADA">
      <w:pPr>
        <w:autoSpaceDE w:val="0"/>
        <w:autoSpaceDN w:val="0"/>
        <w:adjustRightInd w:val="0"/>
        <w:rPr>
          <w:color w:val="231F20"/>
          <w:lang w:val="lv-LV"/>
        </w:rPr>
      </w:pPr>
    </w:p>
    <w:p w14:paraId="730D0A23" w14:textId="2EF46E12" w:rsidR="00F47ADA" w:rsidRPr="00DB3106" w:rsidRDefault="00CF30FF">
      <w:pPr>
        <w:pStyle w:val="ListParagraph"/>
        <w:numPr>
          <w:ilvl w:val="0"/>
          <w:numId w:val="63"/>
        </w:numPr>
        <w:autoSpaceDE w:val="0"/>
        <w:autoSpaceDN w:val="0"/>
        <w:adjustRightInd w:val="0"/>
        <w:rPr>
          <w:lang w:val="lv-LV"/>
        </w:rPr>
        <w:pPrChange w:id="2062" w:author="Author">
          <w:pPr>
            <w:pStyle w:val="ListParagraph"/>
            <w:autoSpaceDE w:val="0"/>
            <w:autoSpaceDN w:val="0"/>
            <w:adjustRightInd w:val="0"/>
            <w:ind w:left="567" w:hanging="567"/>
          </w:pPr>
        </w:pPrChange>
      </w:pPr>
      <w:del w:id="2063" w:author="Author">
        <w:r w:rsidDel="002E57E0">
          <w:rPr>
            <w:lang w:val="nb-NO"/>
          </w:rPr>
          <w:sym w:font="Symbol" w:char="F0B7"/>
        </w:r>
        <w:r w:rsidDel="002E57E0">
          <w:rPr>
            <w:lang w:val="nb-NO"/>
          </w:rPr>
          <w:tab/>
        </w:r>
      </w:del>
      <w:r w:rsidR="00F47ADA" w:rsidRPr="00DB3106">
        <w:rPr>
          <w:lang w:val="lv-LV"/>
        </w:rPr>
        <w:t>ķermeņa smelgšana, drudzis, drebuļi;</w:t>
      </w:r>
    </w:p>
    <w:p w14:paraId="564ADDB2" w14:textId="216D8EA6" w:rsidR="00F47ADA" w:rsidRPr="00DB3106" w:rsidRDefault="00CF30FF">
      <w:pPr>
        <w:pStyle w:val="ListParagraph"/>
        <w:numPr>
          <w:ilvl w:val="0"/>
          <w:numId w:val="63"/>
        </w:numPr>
        <w:autoSpaceDE w:val="0"/>
        <w:autoSpaceDN w:val="0"/>
        <w:adjustRightInd w:val="0"/>
        <w:rPr>
          <w:lang w:val="lv-LV"/>
        </w:rPr>
        <w:pPrChange w:id="2064" w:author="Author">
          <w:pPr>
            <w:pStyle w:val="ListParagraph"/>
            <w:autoSpaceDE w:val="0"/>
            <w:autoSpaceDN w:val="0"/>
            <w:adjustRightInd w:val="0"/>
            <w:ind w:left="567" w:hanging="567"/>
          </w:pPr>
        </w:pPrChange>
      </w:pPr>
      <w:del w:id="2065" w:author="Author">
        <w:r w:rsidDel="002E57E0">
          <w:rPr>
            <w:lang w:val="nb-NO"/>
          </w:rPr>
          <w:sym w:font="Symbol" w:char="F0B7"/>
        </w:r>
        <w:r w:rsidDel="002E57E0">
          <w:rPr>
            <w:lang w:val="nb-NO"/>
          </w:rPr>
          <w:tab/>
        </w:r>
      </w:del>
      <w:r w:rsidR="00F47ADA" w:rsidRPr="00DB3106">
        <w:rPr>
          <w:lang w:val="lv-LV"/>
        </w:rPr>
        <w:t xml:space="preserve">klepus, diskomforta/cieša sajūta krūškurvī, elpas trūkums; </w:t>
      </w:r>
    </w:p>
    <w:p w14:paraId="1127CE9B" w14:textId="209A1704" w:rsidR="00F47ADA" w:rsidRPr="00DB3106" w:rsidRDefault="00CF30FF">
      <w:pPr>
        <w:pStyle w:val="ListParagraph"/>
        <w:numPr>
          <w:ilvl w:val="0"/>
          <w:numId w:val="63"/>
        </w:numPr>
        <w:autoSpaceDE w:val="0"/>
        <w:autoSpaceDN w:val="0"/>
        <w:adjustRightInd w:val="0"/>
        <w:rPr>
          <w:lang w:val="lv-LV"/>
        </w:rPr>
        <w:pPrChange w:id="2066" w:author="Author">
          <w:pPr>
            <w:pStyle w:val="ListParagraph"/>
            <w:autoSpaceDE w:val="0"/>
            <w:autoSpaceDN w:val="0"/>
            <w:adjustRightInd w:val="0"/>
            <w:ind w:left="567" w:hanging="567"/>
          </w:pPr>
        </w:pPrChange>
      </w:pPr>
      <w:del w:id="2067" w:author="Author">
        <w:r w:rsidDel="002E57E0">
          <w:rPr>
            <w:lang w:val="nb-NO"/>
          </w:rPr>
          <w:sym w:font="Symbol" w:char="F0B7"/>
        </w:r>
        <w:r w:rsidDel="002E57E0">
          <w:rPr>
            <w:lang w:val="nb-NO"/>
          </w:rPr>
          <w:tab/>
        </w:r>
      </w:del>
      <w:r w:rsidR="00F47ADA" w:rsidRPr="00DB3106">
        <w:rPr>
          <w:lang w:val="lv-LV"/>
        </w:rPr>
        <w:t>ādas vai locītavu apsārtums, karstums, neparasts pietūkums;</w:t>
      </w:r>
    </w:p>
    <w:p w14:paraId="3F2DDB16" w14:textId="71D349A0" w:rsidR="00F47ADA" w:rsidRPr="00DB3106" w:rsidRDefault="00CF30FF">
      <w:pPr>
        <w:pStyle w:val="ListParagraph"/>
        <w:numPr>
          <w:ilvl w:val="0"/>
          <w:numId w:val="63"/>
        </w:numPr>
        <w:autoSpaceDE w:val="0"/>
        <w:autoSpaceDN w:val="0"/>
        <w:adjustRightInd w:val="0"/>
        <w:rPr>
          <w:lang w:val="lv-LV"/>
        </w:rPr>
        <w:pPrChange w:id="2068" w:author="Author">
          <w:pPr>
            <w:pStyle w:val="ListParagraph"/>
            <w:autoSpaceDE w:val="0"/>
            <w:autoSpaceDN w:val="0"/>
            <w:adjustRightInd w:val="0"/>
            <w:ind w:left="567" w:hanging="567"/>
          </w:pPr>
        </w:pPrChange>
      </w:pPr>
      <w:del w:id="2069" w:author="Author">
        <w:r w:rsidDel="002E57E0">
          <w:rPr>
            <w:lang w:val="nb-NO"/>
          </w:rPr>
          <w:sym w:font="Symbol" w:char="F0B7"/>
        </w:r>
        <w:r w:rsidDel="002E57E0">
          <w:rPr>
            <w:lang w:val="nb-NO"/>
          </w:rPr>
          <w:tab/>
        </w:r>
      </w:del>
      <w:r w:rsidR="00F47ADA" w:rsidRPr="00DB3106">
        <w:rPr>
          <w:lang w:val="lv-LV"/>
        </w:rPr>
        <w:t xml:space="preserve">vēdera sāpes/jutīgums un/vai vēdera izejas izmaiņas. </w:t>
      </w:r>
    </w:p>
    <w:p w14:paraId="5D3ABF78" w14:textId="77777777" w:rsidR="00F47ADA" w:rsidRDefault="00F47ADA" w:rsidP="00F47ADA">
      <w:pPr>
        <w:tabs>
          <w:tab w:val="left" w:pos="284"/>
        </w:tabs>
        <w:autoSpaceDE w:val="0"/>
        <w:autoSpaceDN w:val="0"/>
        <w:adjustRightInd w:val="0"/>
        <w:rPr>
          <w:color w:val="231F20"/>
          <w:lang w:val="lv-LV"/>
        </w:rPr>
      </w:pPr>
    </w:p>
    <w:p w14:paraId="31D04EB0" w14:textId="77777777" w:rsidR="00F47ADA" w:rsidRDefault="00F47ADA" w:rsidP="00F47ADA">
      <w:pPr>
        <w:autoSpaceDE w:val="0"/>
        <w:autoSpaceDN w:val="0"/>
        <w:adjustRightInd w:val="0"/>
        <w:rPr>
          <w:color w:val="231F20"/>
          <w:lang w:val="lv-LV"/>
        </w:rPr>
      </w:pPr>
      <w:r>
        <w:rPr>
          <w:color w:val="231F20"/>
          <w:lang w:val="lv-LV"/>
        </w:rPr>
        <w:t>Nevilcinoties sazinieties ar savu ārstu un meklējiet medicīnisku palīdzību, ja šķiet, ka Jums rodas infekcija.</w:t>
      </w:r>
    </w:p>
    <w:p w14:paraId="1F678597" w14:textId="77777777" w:rsidR="00F47ADA" w:rsidRDefault="00F47ADA" w:rsidP="00F47ADA">
      <w:pPr>
        <w:autoSpaceDE w:val="0"/>
        <w:autoSpaceDN w:val="0"/>
        <w:adjustRightInd w:val="0"/>
        <w:rPr>
          <w:color w:val="231F20"/>
          <w:lang w:val="lv-LV"/>
        </w:rPr>
      </w:pPr>
    </w:p>
    <w:p w14:paraId="617CA88D" w14:textId="77777777" w:rsidR="00F47ADA" w:rsidRDefault="00F47ADA" w:rsidP="00F47ADA">
      <w:pPr>
        <w:ind w:right="-2"/>
        <w:rPr>
          <w:spacing w:val="108"/>
          <w:lang w:val="lv-LV"/>
        </w:rPr>
      </w:pPr>
      <w:r>
        <w:rPr>
          <w:b/>
          <w:color w:val="231F20"/>
          <w:lang w:val="lv-LV"/>
        </w:rPr>
        <w:t xml:space="preserve">Ja šaubāties vai neesat drošs, kā lietot šļirci, lūdziet palīdzību savam veselības aprūpes speciālistam vai farmaceitam. </w:t>
      </w:r>
    </w:p>
    <w:p w14:paraId="065B19FE" w14:textId="77777777" w:rsidR="00F47ADA" w:rsidRDefault="00F47ADA" w:rsidP="00F47ADA">
      <w:pPr>
        <w:jc w:val="center"/>
        <w:rPr>
          <w:b/>
          <w:szCs w:val="22"/>
          <w:lang w:val="lv-LV"/>
        </w:rPr>
      </w:pPr>
      <w:r>
        <w:rPr>
          <w:spacing w:val="108"/>
          <w:lang w:val="lv-LV"/>
        </w:rPr>
        <w:br w:type="page"/>
      </w:r>
      <w:r>
        <w:rPr>
          <w:b/>
          <w:szCs w:val="22"/>
          <w:lang w:val="lv-LV"/>
        </w:rPr>
        <w:t>Lietošanas instrukcija: informācija lietotājam</w:t>
      </w:r>
    </w:p>
    <w:p w14:paraId="7000E6E8" w14:textId="77777777" w:rsidR="00F47ADA" w:rsidRDefault="00F47ADA" w:rsidP="00F47ADA">
      <w:pPr>
        <w:jc w:val="center"/>
        <w:rPr>
          <w:b/>
          <w:szCs w:val="22"/>
          <w:lang w:val="lv-LV"/>
        </w:rPr>
      </w:pPr>
    </w:p>
    <w:p w14:paraId="6DA756FA" w14:textId="3D04172C" w:rsidR="00F47ADA" w:rsidRDefault="00F47ADA" w:rsidP="00F47ADA">
      <w:pPr>
        <w:jc w:val="center"/>
        <w:rPr>
          <w:iCs/>
          <w:szCs w:val="22"/>
          <w:lang w:val="lv-LV"/>
        </w:rPr>
      </w:pPr>
      <w:r>
        <w:rPr>
          <w:b/>
          <w:bCs/>
          <w:szCs w:val="22"/>
          <w:lang w:val="lv-LV"/>
        </w:rPr>
        <w:t>RoActemra 162 mg šķīdums injekcijām pildspalvveida pilnšļircē</w:t>
      </w:r>
    </w:p>
    <w:p w14:paraId="47C0A909" w14:textId="77777777" w:rsidR="00F47ADA" w:rsidRDefault="00F47ADA" w:rsidP="00F47ADA">
      <w:pPr>
        <w:jc w:val="center"/>
        <w:rPr>
          <w:i/>
          <w:szCs w:val="22"/>
          <w:lang w:val="lv-LV"/>
        </w:rPr>
      </w:pPr>
      <w:r>
        <w:rPr>
          <w:szCs w:val="22"/>
          <w:lang w:val="lv-LV"/>
        </w:rPr>
        <w:t>tocilizumab</w:t>
      </w:r>
    </w:p>
    <w:p w14:paraId="45218D9E" w14:textId="77777777" w:rsidR="00F47ADA" w:rsidRDefault="00F47ADA" w:rsidP="00F47ADA">
      <w:pPr>
        <w:jc w:val="center"/>
        <w:rPr>
          <w:szCs w:val="22"/>
          <w:lang w:val="lv-LV"/>
        </w:rPr>
      </w:pPr>
    </w:p>
    <w:p w14:paraId="3342CDF3" w14:textId="77777777" w:rsidR="00F47ADA" w:rsidRDefault="00F47ADA" w:rsidP="00F47ADA">
      <w:pPr>
        <w:ind w:left="567" w:hanging="567"/>
        <w:rPr>
          <w:b/>
          <w:szCs w:val="22"/>
          <w:lang w:val="lv-LV"/>
        </w:rPr>
      </w:pPr>
      <w:r>
        <w:rPr>
          <w:b/>
          <w:szCs w:val="22"/>
          <w:lang w:val="lv-LV"/>
        </w:rPr>
        <w:t>Pirms zāļu lietošanas uzmanīgi izlasiet visu instrukciju</w:t>
      </w:r>
      <w:r>
        <w:rPr>
          <w:b/>
          <w:szCs w:val="24"/>
          <w:lang w:val="lv-LV"/>
        </w:rPr>
        <w:t>, jo tā satur Jums svarīgu informāciju</w:t>
      </w:r>
      <w:r>
        <w:rPr>
          <w:b/>
          <w:szCs w:val="22"/>
          <w:lang w:val="lv-LV"/>
        </w:rPr>
        <w:t>.</w:t>
      </w:r>
    </w:p>
    <w:p w14:paraId="24E3BE2B" w14:textId="77777777" w:rsidR="00F47ADA" w:rsidRDefault="00F47ADA" w:rsidP="00F47ADA">
      <w:pPr>
        <w:ind w:left="567" w:hanging="567"/>
        <w:rPr>
          <w:b/>
          <w:szCs w:val="22"/>
          <w:lang w:val="lv-LV"/>
        </w:rPr>
      </w:pPr>
    </w:p>
    <w:p w14:paraId="500337C2" w14:textId="684AE24F" w:rsidR="00F47ADA" w:rsidRPr="00707120" w:rsidRDefault="00CF30FF" w:rsidP="00707120">
      <w:pPr>
        <w:pStyle w:val="ListParagraph"/>
        <w:ind w:left="567" w:hanging="567"/>
        <w:rPr>
          <w:szCs w:val="22"/>
          <w:lang w:val="lv-LV"/>
        </w:rPr>
      </w:pPr>
      <w:r>
        <w:rPr>
          <w:lang w:val="nb-NO"/>
        </w:rPr>
        <w:sym w:font="Symbol" w:char="F0B7"/>
      </w:r>
      <w:r>
        <w:rPr>
          <w:lang w:val="nb-NO"/>
        </w:rPr>
        <w:tab/>
      </w:r>
      <w:r w:rsidR="00F47ADA" w:rsidRPr="003C7CDD">
        <w:rPr>
          <w:szCs w:val="22"/>
          <w:lang w:val="lv-LV"/>
        </w:rPr>
        <w:t>Saglabājiet šo instrukciju! Iespējams, ka vēlāk to vajadzēs pārlasīt.</w:t>
      </w:r>
    </w:p>
    <w:p w14:paraId="267EF9E6" w14:textId="684ED140" w:rsidR="00F47ADA" w:rsidRPr="00707120" w:rsidRDefault="00CF30FF" w:rsidP="00707120">
      <w:pPr>
        <w:pStyle w:val="ListParagraph"/>
        <w:ind w:left="567" w:hanging="567"/>
        <w:rPr>
          <w:szCs w:val="22"/>
          <w:lang w:val="lv-LV"/>
        </w:rPr>
      </w:pPr>
      <w:r>
        <w:rPr>
          <w:lang w:val="nb-NO"/>
        </w:rPr>
        <w:sym w:font="Symbol" w:char="F0B7"/>
      </w:r>
      <w:r>
        <w:rPr>
          <w:lang w:val="nb-NO"/>
        </w:rPr>
        <w:tab/>
      </w:r>
      <w:r w:rsidR="00F47ADA" w:rsidRPr="003C7CDD">
        <w:rPr>
          <w:szCs w:val="22"/>
          <w:lang w:val="lv-LV"/>
        </w:rPr>
        <w:t>Ja Jums rodas jebkādi jautājumi, vaicājiet ārstam, farmaceitam vai medmāsai.</w:t>
      </w:r>
    </w:p>
    <w:p w14:paraId="7045C006" w14:textId="4D8B1A40" w:rsidR="00F47ADA" w:rsidRPr="00707120" w:rsidRDefault="00CF30FF" w:rsidP="00707120">
      <w:pPr>
        <w:pStyle w:val="ListParagraph"/>
        <w:ind w:left="567" w:hanging="567"/>
        <w:rPr>
          <w:szCs w:val="22"/>
          <w:lang w:val="lv-LV"/>
        </w:rPr>
      </w:pPr>
      <w:r>
        <w:rPr>
          <w:lang w:val="nb-NO"/>
        </w:rPr>
        <w:sym w:font="Symbol" w:char="F0B7"/>
      </w:r>
      <w:r>
        <w:rPr>
          <w:lang w:val="nb-NO"/>
        </w:rPr>
        <w:tab/>
      </w:r>
      <w:r w:rsidR="00F47ADA" w:rsidRPr="003C7CDD">
        <w:rPr>
          <w:szCs w:val="22"/>
          <w:lang w:val="lv-LV"/>
        </w:rPr>
        <w:t xml:space="preserve">Šīs zāles ir parakstītas tikai Jums. Nedodiet tās citiem. Tās var nodarīt ļaunumu pat tad, ja šiem cilvēkiem ir līdzīgas slimības pazīmes. </w:t>
      </w:r>
    </w:p>
    <w:p w14:paraId="3EE48D5B" w14:textId="44A103A4" w:rsidR="00F47ADA" w:rsidRPr="003C7CDD" w:rsidRDefault="00CF30FF" w:rsidP="00707120">
      <w:pPr>
        <w:pStyle w:val="ListParagraph"/>
        <w:ind w:left="567" w:hanging="567"/>
        <w:rPr>
          <w:b/>
          <w:szCs w:val="22"/>
          <w:lang w:val="lv-LV"/>
        </w:rPr>
      </w:pPr>
      <w:r>
        <w:rPr>
          <w:lang w:val="nb-NO"/>
        </w:rPr>
        <w:sym w:font="Symbol" w:char="F0B7"/>
      </w:r>
      <w:r>
        <w:rPr>
          <w:lang w:val="nb-NO"/>
        </w:rPr>
        <w:tab/>
      </w:r>
      <w:r w:rsidR="00F47ADA" w:rsidRPr="003C7CDD">
        <w:rPr>
          <w:lang w:val="lv-LV"/>
        </w:rPr>
        <w:t>Ja Jums rodas jebkādas blakusparādības, konsultējieties ar ārstu, farmaceitu vai medmāsu. Tas attiecas arī uz iespējamām blakusparādībām, kas nav minētas šajā instrukcijā. Skatīt 4.</w:t>
      </w:r>
      <w:r w:rsidR="00971B34">
        <w:rPr>
          <w:lang w:val="lv-LV"/>
        </w:rPr>
        <w:t> </w:t>
      </w:r>
      <w:r w:rsidR="00F47ADA" w:rsidRPr="003C7CDD">
        <w:rPr>
          <w:lang w:val="lv-LV"/>
        </w:rPr>
        <w:t>punktu.</w:t>
      </w:r>
    </w:p>
    <w:p w14:paraId="610FBA8B" w14:textId="25F00D0D" w:rsidR="00F47ADA" w:rsidRDefault="00F47ADA" w:rsidP="00F47ADA">
      <w:pPr>
        <w:ind w:left="567" w:hanging="567"/>
        <w:rPr>
          <w:b/>
          <w:szCs w:val="22"/>
          <w:lang w:val="lv-LV"/>
        </w:rPr>
      </w:pPr>
    </w:p>
    <w:p w14:paraId="33744236" w14:textId="76BE3FEF" w:rsidR="00F47ADA" w:rsidRDefault="00F47ADA" w:rsidP="00F47ADA">
      <w:pPr>
        <w:rPr>
          <w:szCs w:val="22"/>
          <w:lang w:val="lv-LV"/>
        </w:rPr>
      </w:pPr>
      <w:r>
        <w:rPr>
          <w:szCs w:val="22"/>
          <w:lang w:val="lv-LV"/>
        </w:rPr>
        <w:t xml:space="preserve">Papildus šai instrukcijai Jums izsniegs </w:t>
      </w:r>
      <w:r>
        <w:rPr>
          <w:b/>
          <w:szCs w:val="22"/>
          <w:lang w:val="lv-LV"/>
        </w:rPr>
        <w:t>pacienta kart</w:t>
      </w:r>
      <w:r w:rsidR="001F1F19">
        <w:rPr>
          <w:b/>
          <w:szCs w:val="22"/>
          <w:lang w:val="lv-LV"/>
        </w:rPr>
        <w:t>īt</w:t>
      </w:r>
      <w:r>
        <w:rPr>
          <w:b/>
          <w:szCs w:val="22"/>
          <w:lang w:val="lv-LV"/>
        </w:rPr>
        <w:t>i</w:t>
      </w:r>
      <w:r>
        <w:rPr>
          <w:szCs w:val="22"/>
          <w:lang w:val="lv-LV"/>
        </w:rPr>
        <w:t>, kurā ir iekļauta svarīga informācija par drošumu, kas Jums jāzina pirms RoActemra lietošanas un ārstēšanas laikā ar RoActemra.</w:t>
      </w:r>
    </w:p>
    <w:p w14:paraId="0E1CD1AF" w14:textId="742F636C" w:rsidR="00F47ADA" w:rsidRDefault="00F47ADA" w:rsidP="00F47ADA">
      <w:pPr>
        <w:ind w:right="-2"/>
        <w:rPr>
          <w:szCs w:val="22"/>
          <w:lang w:val="lv-LV"/>
        </w:rPr>
      </w:pPr>
    </w:p>
    <w:p w14:paraId="02A4E5AB" w14:textId="77777777" w:rsidR="00F47ADA" w:rsidRDefault="00F47ADA" w:rsidP="00F47ADA">
      <w:pPr>
        <w:ind w:right="-2"/>
        <w:rPr>
          <w:szCs w:val="22"/>
          <w:lang w:val="lv-LV"/>
        </w:rPr>
      </w:pPr>
      <w:r>
        <w:rPr>
          <w:b/>
          <w:bCs/>
          <w:szCs w:val="22"/>
          <w:lang w:val="lv-LV"/>
        </w:rPr>
        <w:t xml:space="preserve">Šajā instrukcijā varat uzzināt: </w:t>
      </w:r>
    </w:p>
    <w:p w14:paraId="0B0B825A" w14:textId="77777777" w:rsidR="00F47ADA" w:rsidRDefault="00F47ADA" w:rsidP="00F47ADA">
      <w:pPr>
        <w:ind w:left="567" w:right="-29" w:hanging="567"/>
        <w:rPr>
          <w:bCs/>
          <w:szCs w:val="22"/>
          <w:lang w:val="lv-LV"/>
        </w:rPr>
      </w:pPr>
      <w:r>
        <w:rPr>
          <w:bCs/>
          <w:szCs w:val="22"/>
          <w:lang w:val="lv-LV"/>
        </w:rPr>
        <w:t>1.</w:t>
      </w:r>
      <w:r>
        <w:rPr>
          <w:bCs/>
          <w:szCs w:val="22"/>
          <w:lang w:val="lv-LV"/>
        </w:rPr>
        <w:tab/>
        <w:t>Kas ir RoActemra un kādam nolūkam to lieto</w:t>
      </w:r>
    </w:p>
    <w:p w14:paraId="53947723" w14:textId="77777777" w:rsidR="00F47ADA" w:rsidRDefault="00F47ADA" w:rsidP="00F47ADA">
      <w:pPr>
        <w:ind w:left="567" w:right="-29" w:hanging="567"/>
        <w:rPr>
          <w:bCs/>
          <w:szCs w:val="22"/>
          <w:lang w:val="lv-LV"/>
        </w:rPr>
      </w:pPr>
      <w:r>
        <w:rPr>
          <w:bCs/>
          <w:szCs w:val="22"/>
          <w:lang w:val="lv-LV"/>
        </w:rPr>
        <w:t>2.</w:t>
      </w:r>
      <w:r>
        <w:rPr>
          <w:bCs/>
          <w:szCs w:val="22"/>
          <w:lang w:val="lv-LV"/>
        </w:rPr>
        <w:tab/>
        <w:t>Kas Jums jāzina pirms RoActemra lietošanas</w:t>
      </w:r>
    </w:p>
    <w:p w14:paraId="01AB4C48" w14:textId="77777777" w:rsidR="00F47ADA" w:rsidRDefault="00F47ADA" w:rsidP="00F47ADA">
      <w:pPr>
        <w:ind w:left="567" w:right="-29" w:hanging="567"/>
        <w:rPr>
          <w:bCs/>
          <w:szCs w:val="22"/>
          <w:lang w:val="lv-LV"/>
        </w:rPr>
      </w:pPr>
      <w:r>
        <w:rPr>
          <w:bCs/>
          <w:szCs w:val="22"/>
          <w:lang w:val="lv-LV"/>
        </w:rPr>
        <w:t>3.</w:t>
      </w:r>
      <w:r>
        <w:rPr>
          <w:bCs/>
          <w:szCs w:val="22"/>
          <w:lang w:val="lv-LV"/>
        </w:rPr>
        <w:tab/>
        <w:t>Kā lietot RoActemra</w:t>
      </w:r>
    </w:p>
    <w:p w14:paraId="239A10CB" w14:textId="77777777" w:rsidR="00F47ADA" w:rsidRDefault="00F47ADA" w:rsidP="00F47ADA">
      <w:pPr>
        <w:ind w:left="567" w:right="-29" w:hanging="567"/>
        <w:rPr>
          <w:bCs/>
          <w:szCs w:val="22"/>
          <w:lang w:val="lv-LV"/>
        </w:rPr>
      </w:pPr>
      <w:r>
        <w:rPr>
          <w:bCs/>
          <w:szCs w:val="22"/>
          <w:lang w:val="lv-LV"/>
        </w:rPr>
        <w:t>4.</w:t>
      </w:r>
      <w:r>
        <w:rPr>
          <w:bCs/>
          <w:szCs w:val="22"/>
          <w:lang w:val="lv-LV"/>
        </w:rPr>
        <w:tab/>
        <w:t>Iespējamās blakusparādības</w:t>
      </w:r>
    </w:p>
    <w:p w14:paraId="6882FCC9" w14:textId="77777777" w:rsidR="00F47ADA" w:rsidRDefault="00F47ADA" w:rsidP="00F47ADA">
      <w:pPr>
        <w:ind w:left="567" w:right="-29" w:hanging="567"/>
        <w:rPr>
          <w:bCs/>
          <w:szCs w:val="22"/>
          <w:lang w:val="lv-LV"/>
        </w:rPr>
      </w:pPr>
      <w:r>
        <w:rPr>
          <w:bCs/>
          <w:szCs w:val="22"/>
          <w:lang w:val="lv-LV"/>
        </w:rPr>
        <w:t>5.</w:t>
      </w:r>
      <w:r>
        <w:rPr>
          <w:bCs/>
          <w:szCs w:val="22"/>
          <w:lang w:val="lv-LV"/>
        </w:rPr>
        <w:tab/>
        <w:t>Kā uzglabāt RoActemra</w:t>
      </w:r>
    </w:p>
    <w:p w14:paraId="04288EFA" w14:textId="77777777" w:rsidR="00F47ADA" w:rsidRDefault="00F47ADA" w:rsidP="00F47ADA">
      <w:pPr>
        <w:ind w:left="567" w:right="-29" w:hanging="567"/>
        <w:rPr>
          <w:bCs/>
          <w:szCs w:val="22"/>
          <w:lang w:val="lv-LV"/>
        </w:rPr>
      </w:pPr>
      <w:r>
        <w:rPr>
          <w:bCs/>
          <w:szCs w:val="22"/>
          <w:lang w:val="lv-LV"/>
        </w:rPr>
        <w:t>6.</w:t>
      </w:r>
      <w:r>
        <w:rPr>
          <w:bCs/>
          <w:szCs w:val="22"/>
          <w:lang w:val="lv-LV"/>
        </w:rPr>
        <w:tab/>
        <w:t>Iepakojuma saturs un cita informācija</w:t>
      </w:r>
    </w:p>
    <w:p w14:paraId="2301CC23" w14:textId="77777777" w:rsidR="00F47ADA" w:rsidRDefault="00F47ADA" w:rsidP="00F47ADA">
      <w:pPr>
        <w:rPr>
          <w:szCs w:val="22"/>
          <w:lang w:val="lv-LV"/>
        </w:rPr>
      </w:pPr>
    </w:p>
    <w:p w14:paraId="170120DA" w14:textId="77777777" w:rsidR="00F47ADA" w:rsidRDefault="00F47ADA" w:rsidP="00F47ADA">
      <w:pPr>
        <w:rPr>
          <w:szCs w:val="22"/>
          <w:lang w:val="lv-LV"/>
        </w:rPr>
      </w:pPr>
    </w:p>
    <w:p w14:paraId="2155FF46" w14:textId="77777777" w:rsidR="00F47ADA" w:rsidRDefault="00F47ADA" w:rsidP="00F47ADA">
      <w:pPr>
        <w:ind w:left="567" w:right="-2" w:hanging="567"/>
        <w:rPr>
          <w:b/>
          <w:szCs w:val="22"/>
          <w:lang w:val="lv-LV"/>
        </w:rPr>
      </w:pPr>
      <w:r w:rsidRPr="00980DD8">
        <w:rPr>
          <w:b/>
          <w:szCs w:val="22"/>
          <w:lang w:val="lv-LV"/>
        </w:rPr>
        <w:t>1.</w:t>
      </w:r>
      <w:r w:rsidRPr="00980DD8">
        <w:rPr>
          <w:b/>
          <w:szCs w:val="22"/>
          <w:lang w:val="lv-LV"/>
        </w:rPr>
        <w:tab/>
        <w:t>Kas ir RoActemra un kādam nolūkam to lieto</w:t>
      </w:r>
    </w:p>
    <w:p w14:paraId="7B2EDD1E" w14:textId="77777777" w:rsidR="00F47ADA" w:rsidRPr="00980DD8" w:rsidRDefault="00F47ADA" w:rsidP="00F47ADA">
      <w:pPr>
        <w:ind w:left="567" w:right="-2" w:hanging="567"/>
        <w:rPr>
          <w:szCs w:val="22"/>
          <w:lang w:val="lv-LV"/>
        </w:rPr>
      </w:pPr>
    </w:p>
    <w:p w14:paraId="4FE5CD0C" w14:textId="77777777" w:rsidR="00F47ADA" w:rsidRDefault="00F47ADA" w:rsidP="00F47ADA">
      <w:pPr>
        <w:autoSpaceDE w:val="0"/>
        <w:rPr>
          <w:szCs w:val="22"/>
          <w:lang w:val="lv-LV"/>
        </w:rPr>
      </w:pPr>
      <w:r>
        <w:rPr>
          <w:szCs w:val="22"/>
          <w:lang w:val="lv-LV"/>
        </w:rPr>
        <w:t>RoActemra satur aktīvo vielu tocilizumabu – olbaltumvielu, kas iegūta no specifiskām imūnām šūnām (monoklonālu antivielu), kas bloķē specifiskas olbaltumvielas (citokīna), ko sauc par interleikīnu-6, iedarbību. Šī olbaltumviela organismā ir saistīta ar iekaisuma procesiem un tās blokāde Jūsu organismā var mazināt iekaisumu. RoActemra lieto, lai ārstētu:</w:t>
      </w:r>
    </w:p>
    <w:p w14:paraId="3DF816A8" w14:textId="77777777" w:rsidR="00F47ADA" w:rsidRDefault="00F47ADA" w:rsidP="00F47ADA">
      <w:pPr>
        <w:autoSpaceDE w:val="0"/>
        <w:rPr>
          <w:szCs w:val="22"/>
          <w:lang w:val="lv-LV"/>
        </w:rPr>
      </w:pPr>
    </w:p>
    <w:p w14:paraId="718A07F1" w14:textId="49280764" w:rsidR="00F47ADA" w:rsidRPr="003C7CDD" w:rsidRDefault="00CF30FF" w:rsidP="00707120">
      <w:pPr>
        <w:pStyle w:val="ListParagraph"/>
        <w:autoSpaceDE w:val="0"/>
        <w:ind w:left="567" w:hanging="567"/>
        <w:rPr>
          <w:szCs w:val="22"/>
          <w:lang w:val="lv-LV"/>
        </w:rPr>
      </w:pPr>
      <w:r>
        <w:rPr>
          <w:lang w:val="nb-NO"/>
        </w:rPr>
        <w:sym w:font="Symbol" w:char="F0B7"/>
      </w:r>
      <w:r>
        <w:rPr>
          <w:lang w:val="nb-NO"/>
        </w:rPr>
        <w:tab/>
      </w:r>
      <w:r w:rsidR="00F47ADA" w:rsidRPr="00971B34">
        <w:rPr>
          <w:b/>
          <w:szCs w:val="22"/>
          <w:lang w:val="lv-LV"/>
        </w:rPr>
        <w:t>pieaugušos</w:t>
      </w:r>
      <w:r w:rsidR="00F47ADA" w:rsidRPr="00707120">
        <w:rPr>
          <w:b/>
          <w:szCs w:val="22"/>
          <w:lang w:val="lv-LV"/>
        </w:rPr>
        <w:t xml:space="preserve"> ar vidēji smagu vai smagu aktīvu autoimūno slimību reimatoīdo artrītu (RA)</w:t>
      </w:r>
      <w:r w:rsidR="00F47ADA" w:rsidRPr="003C7CDD">
        <w:rPr>
          <w:szCs w:val="22"/>
          <w:lang w:val="lv-LV"/>
        </w:rPr>
        <w:t>, ja iepriekš lietoto zāļu iedarbība nav bijusi pietiekami efektīva.</w:t>
      </w:r>
    </w:p>
    <w:p w14:paraId="575F8B61" w14:textId="77777777" w:rsidR="00F47ADA" w:rsidRDefault="00F47ADA" w:rsidP="00707120">
      <w:pPr>
        <w:autoSpaceDE w:val="0"/>
        <w:ind w:left="561" w:hanging="561"/>
        <w:rPr>
          <w:szCs w:val="22"/>
          <w:lang w:val="lv-LV"/>
        </w:rPr>
      </w:pPr>
      <w:r>
        <w:rPr>
          <w:szCs w:val="22"/>
          <w:lang w:val="lv-LV"/>
        </w:rPr>
        <w:t xml:space="preserve"> </w:t>
      </w:r>
    </w:p>
    <w:p w14:paraId="0772F88F" w14:textId="4DFF4F9C" w:rsidR="00F47ADA" w:rsidRPr="003C7CDD" w:rsidRDefault="00CF30FF" w:rsidP="00707120">
      <w:pPr>
        <w:pStyle w:val="ListParagraph"/>
        <w:autoSpaceDE w:val="0"/>
        <w:ind w:left="567" w:hanging="567"/>
        <w:rPr>
          <w:szCs w:val="22"/>
          <w:lang w:val="lv-LV"/>
        </w:rPr>
      </w:pPr>
      <w:r>
        <w:rPr>
          <w:lang w:val="nb-NO"/>
        </w:rPr>
        <w:sym w:font="Symbol" w:char="F0B7"/>
      </w:r>
      <w:r>
        <w:rPr>
          <w:lang w:val="nb-NO"/>
        </w:rPr>
        <w:tab/>
      </w:r>
      <w:r w:rsidR="00F47ADA" w:rsidRPr="00707120">
        <w:rPr>
          <w:b/>
          <w:szCs w:val="22"/>
          <w:lang w:val="lv-LV"/>
        </w:rPr>
        <w:t>pieaugušos ar smagu, aktīvu un progresējošu reimatoīdo artrītu (RA)</w:t>
      </w:r>
      <w:r w:rsidR="00F47ADA" w:rsidRPr="003C7CDD">
        <w:rPr>
          <w:szCs w:val="22"/>
          <w:lang w:val="lv-LV"/>
        </w:rPr>
        <w:t>, ja iepriekš nav veikta terapija ar metotreksātu.</w:t>
      </w:r>
    </w:p>
    <w:p w14:paraId="60B64423" w14:textId="77777777" w:rsidR="00F47ADA" w:rsidRDefault="00F47ADA" w:rsidP="00707120">
      <w:pPr>
        <w:autoSpaceDE w:val="0"/>
        <w:ind w:left="561" w:hanging="561"/>
        <w:rPr>
          <w:szCs w:val="22"/>
          <w:lang w:val="lv-LV"/>
        </w:rPr>
      </w:pPr>
    </w:p>
    <w:p w14:paraId="4B60E9C7" w14:textId="77777777" w:rsidR="00F47ADA" w:rsidRDefault="00F47ADA" w:rsidP="00707120">
      <w:pPr>
        <w:autoSpaceDE w:val="0"/>
        <w:ind w:left="561" w:firstLine="6"/>
        <w:rPr>
          <w:szCs w:val="22"/>
          <w:lang w:val="lv-LV"/>
        </w:rPr>
      </w:pPr>
      <w:r>
        <w:rPr>
          <w:szCs w:val="22"/>
          <w:lang w:val="lv-LV"/>
        </w:rPr>
        <w:t>RoActemra palīdz mazināt tādus RA simptomus kā locītavu sāpes un pietūkumu, un var arī uzlabot Jūsu spēju veikt ikdienas uzdevumus. Ir pierādīts, ka RoActemra palēnina slimības izraisīto locītavu skrimšļaudu un kaulu bojājumu attīstību un uzlabo Jūsu spēju veikt parastās ikdienas aktivitātes.</w:t>
      </w:r>
    </w:p>
    <w:p w14:paraId="5FF542D2" w14:textId="77777777" w:rsidR="00F47ADA" w:rsidRDefault="00F47ADA" w:rsidP="00707120">
      <w:pPr>
        <w:autoSpaceDE w:val="0"/>
        <w:ind w:left="561" w:firstLine="6"/>
        <w:rPr>
          <w:szCs w:val="22"/>
          <w:lang w:val="lv-LV"/>
        </w:rPr>
      </w:pPr>
    </w:p>
    <w:p w14:paraId="5F114FB9" w14:textId="77777777" w:rsidR="00F47ADA" w:rsidRDefault="00F47ADA" w:rsidP="00707120">
      <w:pPr>
        <w:autoSpaceDE w:val="0"/>
        <w:ind w:left="561" w:firstLine="6"/>
        <w:rPr>
          <w:szCs w:val="22"/>
          <w:lang w:val="lv-LV"/>
        </w:rPr>
      </w:pPr>
      <w:r>
        <w:rPr>
          <w:szCs w:val="22"/>
          <w:lang w:val="lv-LV"/>
        </w:rPr>
        <w:t>RoActemra parasti lieto kombinācijā ar citām RA ārstēšanai paredzētām zālēm, ko sauc par metotreksātu. Tomēr tad, ja Jūsu ārsts ir konstatējis, ka metotreksāts nav piemērots, RoActemra var nozīmēt vienu pašu;</w:t>
      </w:r>
    </w:p>
    <w:p w14:paraId="362C5974" w14:textId="77777777" w:rsidR="00F47ADA" w:rsidRDefault="00F47ADA" w:rsidP="00707120">
      <w:pPr>
        <w:autoSpaceDE w:val="0"/>
        <w:ind w:left="561" w:hanging="561"/>
        <w:rPr>
          <w:szCs w:val="22"/>
          <w:lang w:val="lv-LV"/>
        </w:rPr>
      </w:pPr>
    </w:p>
    <w:p w14:paraId="5E708A89" w14:textId="046E239A" w:rsidR="00F47ADA" w:rsidRPr="003C7CDD" w:rsidRDefault="00CF30FF" w:rsidP="00707120">
      <w:pPr>
        <w:pStyle w:val="ListParagraph"/>
        <w:ind w:left="567" w:hanging="567"/>
        <w:rPr>
          <w:szCs w:val="22"/>
          <w:lang w:val="lv-LV"/>
        </w:rPr>
      </w:pPr>
      <w:r>
        <w:rPr>
          <w:lang w:val="nb-NO"/>
        </w:rPr>
        <w:sym w:font="Symbol" w:char="F0B7"/>
      </w:r>
      <w:r>
        <w:rPr>
          <w:lang w:val="nb-NO"/>
        </w:rPr>
        <w:tab/>
      </w:r>
      <w:r w:rsidR="00F47ADA" w:rsidRPr="003C7CDD">
        <w:rPr>
          <w:b/>
          <w:szCs w:val="22"/>
          <w:lang w:val="lv-LV"/>
        </w:rPr>
        <w:t>pieaugušos ar artēriju slimību, ko sauc par milzšūnu arterītu</w:t>
      </w:r>
      <w:r w:rsidR="00F47ADA" w:rsidRPr="003C7CDD">
        <w:rPr>
          <w:szCs w:val="22"/>
          <w:lang w:val="lv-LV"/>
        </w:rPr>
        <w:t xml:space="preserve"> (</w:t>
      </w:r>
      <w:r w:rsidR="00F47ADA" w:rsidRPr="003C7CDD">
        <w:rPr>
          <w:b/>
          <w:i/>
          <w:lang w:val="lv-LV"/>
        </w:rPr>
        <w:t>giant cell arteritis</w:t>
      </w:r>
      <w:r w:rsidR="00F47ADA" w:rsidRPr="003C7CDD">
        <w:rPr>
          <w:b/>
          <w:lang w:val="lv-LV"/>
        </w:rPr>
        <w:t>,</w:t>
      </w:r>
      <w:r w:rsidR="00F47ADA" w:rsidRPr="003C7CDD">
        <w:rPr>
          <w:lang w:val="lv-LV"/>
        </w:rPr>
        <w:t xml:space="preserve"> </w:t>
      </w:r>
      <w:r w:rsidR="00F47ADA" w:rsidRPr="003C7CDD">
        <w:rPr>
          <w:b/>
          <w:lang w:val="lv-LV"/>
        </w:rPr>
        <w:t>GCA</w:t>
      </w:r>
      <w:r w:rsidR="00F47ADA" w:rsidRPr="003C7CDD">
        <w:rPr>
          <w:lang w:val="lv-LV"/>
        </w:rPr>
        <w:t>) un ko izraisa iekaisums organisma lielākajās artērijās, it īpaši tajās, kas nodrošina galvas un kakla asinsapgādi. Simptomi ietver galvassāpes, nogurumu un sāpes žoklī. Slimības sekas var būt insults un aklums.</w:t>
      </w:r>
      <w:r w:rsidR="00F47ADA" w:rsidRPr="003C7CDD">
        <w:rPr>
          <w:szCs w:val="22"/>
          <w:lang w:val="lv-LV"/>
        </w:rPr>
        <w:t xml:space="preserve"> </w:t>
      </w:r>
    </w:p>
    <w:p w14:paraId="1E7F89FB" w14:textId="77777777" w:rsidR="00F47ADA" w:rsidRPr="00D30C7D" w:rsidRDefault="00F47ADA" w:rsidP="00707120">
      <w:pPr>
        <w:autoSpaceDE w:val="0"/>
        <w:ind w:left="561" w:hanging="561"/>
        <w:rPr>
          <w:szCs w:val="22"/>
          <w:lang w:val="lv-LV"/>
        </w:rPr>
      </w:pPr>
    </w:p>
    <w:p w14:paraId="1DDD1E5A" w14:textId="77777777" w:rsidR="00F47ADA" w:rsidRPr="001673FF" w:rsidRDefault="00F47ADA" w:rsidP="00707120">
      <w:pPr>
        <w:ind w:left="561" w:hanging="561"/>
        <w:rPr>
          <w:lang w:val="lv-LV"/>
        </w:rPr>
      </w:pPr>
      <w:r w:rsidRPr="001673FF">
        <w:rPr>
          <w:lang w:val="lv-LV"/>
        </w:rPr>
        <w:t xml:space="preserve">RoActemra var mazināt sāpes un pietūkumu galvas, kakla un roku artērijās un vēnās. </w:t>
      </w:r>
    </w:p>
    <w:p w14:paraId="46E23711" w14:textId="77777777" w:rsidR="00F47ADA" w:rsidRPr="001673FF" w:rsidRDefault="00F47ADA" w:rsidP="00707120">
      <w:pPr>
        <w:ind w:left="561" w:hanging="561"/>
        <w:rPr>
          <w:lang w:val="lv-LV"/>
        </w:rPr>
      </w:pPr>
    </w:p>
    <w:p w14:paraId="6F674EE1" w14:textId="77777777" w:rsidR="00F47ADA" w:rsidRPr="001673FF" w:rsidRDefault="00F47ADA" w:rsidP="00707120">
      <w:pPr>
        <w:rPr>
          <w:lang w:val="lv-LV"/>
        </w:rPr>
      </w:pPr>
      <w:r w:rsidRPr="001673FF">
        <w:rPr>
          <w:lang w:val="lv-LV"/>
        </w:rPr>
        <w:t>GCA bieži ārstē ar zālēm, ko sauc par steroīdiem. Tie parasti ir efektīvi, taču ar blakusparādībām, ja ilgstoši tiek lietotas lielas devas. Steroīdu devas samazināšana var izraisīt arī GCA uzliesmojumu. RoActemra pievienošana ārstēšanai nozīmē, ka steroīdus var lietot īsāku laiku, saglabājot kontroli pār GCA.</w:t>
      </w:r>
    </w:p>
    <w:p w14:paraId="694A076B" w14:textId="77777777" w:rsidR="00F47ADA" w:rsidRPr="0059465B" w:rsidRDefault="00F47ADA" w:rsidP="00707120">
      <w:pPr>
        <w:pStyle w:val="Standard"/>
        <w:ind w:left="567"/>
        <w:rPr>
          <w:szCs w:val="22"/>
          <w:lang w:val="lv-LV"/>
        </w:rPr>
      </w:pPr>
    </w:p>
    <w:p w14:paraId="580B9379" w14:textId="2CCA8E04" w:rsidR="00F47ADA" w:rsidRPr="0059465B" w:rsidRDefault="00CF30FF" w:rsidP="008977CB">
      <w:pPr>
        <w:pStyle w:val="Standard"/>
        <w:keepNext/>
        <w:keepLines/>
        <w:ind w:left="567" w:hanging="567"/>
        <w:rPr>
          <w:lang w:val="lv-LV"/>
        </w:rPr>
      </w:pPr>
      <w:r>
        <w:rPr>
          <w:lang w:val="nb-NO"/>
        </w:rPr>
        <w:sym w:font="Symbol" w:char="F0B7"/>
      </w:r>
      <w:r>
        <w:rPr>
          <w:lang w:val="nb-NO"/>
        </w:rPr>
        <w:tab/>
      </w:r>
      <w:r w:rsidR="00F47ADA" w:rsidRPr="003C7CDD">
        <w:rPr>
          <w:b/>
          <w:szCs w:val="22"/>
          <w:lang w:val="lv-LV"/>
        </w:rPr>
        <w:t xml:space="preserve">bērnus un pusaudžus no 12 gada vecuma ar aktīvu </w:t>
      </w:r>
      <w:r w:rsidR="00F47ADA" w:rsidRPr="003C7CDD">
        <w:rPr>
          <w:b/>
          <w:i/>
          <w:szCs w:val="22"/>
          <w:lang w:val="lv-LV"/>
        </w:rPr>
        <w:t>sistēmisku juvenilu idiopātisko artrītu (sJIA)</w:t>
      </w:r>
      <w:r w:rsidR="00F47ADA" w:rsidRPr="003C7CDD">
        <w:rPr>
          <w:szCs w:val="22"/>
          <w:lang w:val="lv-LV"/>
        </w:rPr>
        <w:t>, iekaisuma slimību, kas izraisa sāpes un pietūkumu vienā vai vairākās locītavās, kā arī drudzi un izsitumus.</w:t>
      </w:r>
      <w:r w:rsidR="00F47ADA" w:rsidRPr="003C7CDD">
        <w:rPr>
          <w:szCs w:val="22"/>
          <w:lang w:val="lv-LV"/>
        </w:rPr>
        <w:br/>
      </w:r>
      <w:r w:rsidR="00F47ADA" w:rsidRPr="0059465B">
        <w:rPr>
          <w:szCs w:val="22"/>
          <w:lang w:val="lv-LV"/>
        </w:rPr>
        <w:br/>
        <w:t>RoActemra lieto sJIA simptomu mazināšanai. To var lietot kombinācijā ar metotreksātu vai vienu pašu.</w:t>
      </w:r>
    </w:p>
    <w:p w14:paraId="4F256F9C" w14:textId="77777777" w:rsidR="00F47ADA" w:rsidRPr="0059465B" w:rsidRDefault="00F47ADA" w:rsidP="00707120">
      <w:pPr>
        <w:pStyle w:val="Standard"/>
        <w:ind w:left="567" w:hanging="567"/>
        <w:rPr>
          <w:szCs w:val="22"/>
          <w:lang w:val="lv-LV"/>
        </w:rPr>
      </w:pPr>
    </w:p>
    <w:p w14:paraId="714F5B75" w14:textId="22AB795E" w:rsidR="008977CB" w:rsidRPr="003C7CDD" w:rsidRDefault="00CF30FF" w:rsidP="00707120">
      <w:pPr>
        <w:pStyle w:val="Standard"/>
        <w:ind w:left="567" w:hanging="567"/>
        <w:rPr>
          <w:szCs w:val="22"/>
          <w:lang w:val="lv-LV"/>
        </w:rPr>
      </w:pPr>
      <w:r>
        <w:rPr>
          <w:lang w:val="nb-NO"/>
        </w:rPr>
        <w:sym w:font="Symbol" w:char="F0B7"/>
      </w:r>
      <w:r>
        <w:rPr>
          <w:lang w:val="nb-NO"/>
        </w:rPr>
        <w:tab/>
      </w:r>
      <w:r w:rsidR="00F47ADA" w:rsidRPr="003C7CDD">
        <w:rPr>
          <w:b/>
          <w:szCs w:val="22"/>
          <w:lang w:val="lv-LV"/>
        </w:rPr>
        <w:t xml:space="preserve">bērnus un pusaudžus no 12 gadu vecuma ar aktīvu </w:t>
      </w:r>
      <w:r w:rsidR="00F47ADA" w:rsidRPr="003C7CDD">
        <w:rPr>
          <w:b/>
          <w:i/>
          <w:szCs w:val="22"/>
          <w:lang w:val="lv-LV"/>
        </w:rPr>
        <w:t>juvenilu idiopātisk</w:t>
      </w:r>
      <w:r w:rsidR="00F47ADA">
        <w:rPr>
          <w:b/>
          <w:i/>
          <w:szCs w:val="22"/>
          <w:lang w:val="lv-LV"/>
        </w:rPr>
        <w:t>u</w:t>
      </w:r>
      <w:r w:rsidR="00F47ADA" w:rsidRPr="003C7CDD">
        <w:rPr>
          <w:b/>
          <w:i/>
          <w:szCs w:val="22"/>
          <w:lang w:val="lv-LV"/>
        </w:rPr>
        <w:t xml:space="preserve"> </w:t>
      </w:r>
      <w:r w:rsidR="00F47ADA">
        <w:rPr>
          <w:b/>
          <w:i/>
          <w:szCs w:val="22"/>
          <w:lang w:val="lv-LV"/>
        </w:rPr>
        <w:t>poli</w:t>
      </w:r>
      <w:r w:rsidR="00F47ADA" w:rsidRPr="003C7CDD">
        <w:rPr>
          <w:b/>
          <w:i/>
          <w:szCs w:val="22"/>
          <w:lang w:val="lv-LV"/>
        </w:rPr>
        <w:t>artrītu</w:t>
      </w:r>
      <w:r w:rsidR="00F47ADA" w:rsidRPr="003C7CDD">
        <w:rPr>
          <w:b/>
          <w:szCs w:val="22"/>
          <w:lang w:val="lv-LV"/>
        </w:rPr>
        <w:t xml:space="preserve"> (</w:t>
      </w:r>
      <w:r w:rsidR="00F47ADA" w:rsidRPr="003C7CDD">
        <w:rPr>
          <w:b/>
          <w:i/>
          <w:szCs w:val="22"/>
          <w:lang w:val="lv-LV"/>
        </w:rPr>
        <w:t>pJIA</w:t>
      </w:r>
      <w:r w:rsidR="00F47ADA" w:rsidRPr="003C7CDD">
        <w:rPr>
          <w:b/>
          <w:szCs w:val="22"/>
          <w:lang w:val="lv-LV"/>
        </w:rPr>
        <w:t xml:space="preserve">). </w:t>
      </w:r>
      <w:r w:rsidR="00F47ADA" w:rsidRPr="003C7CDD">
        <w:rPr>
          <w:szCs w:val="22"/>
          <w:lang w:val="lv-LV"/>
        </w:rPr>
        <w:t xml:space="preserve">Tā ir iekaisuma slimība, kas izraisa sāpes un pietūkumu vienā vai vairākās locītavās. </w:t>
      </w:r>
    </w:p>
    <w:p w14:paraId="6F5C7659" w14:textId="2EF56238" w:rsidR="00F47ADA" w:rsidRPr="0059465B" w:rsidRDefault="00F47ADA" w:rsidP="00707120">
      <w:pPr>
        <w:pStyle w:val="Standard"/>
        <w:ind w:left="567" w:hanging="567"/>
        <w:rPr>
          <w:lang w:val="lv-LV"/>
        </w:rPr>
      </w:pPr>
      <w:r w:rsidRPr="003C7CDD">
        <w:rPr>
          <w:b/>
          <w:szCs w:val="22"/>
          <w:lang w:val="lv-LV"/>
        </w:rPr>
        <w:br/>
      </w:r>
      <w:r w:rsidRPr="0059465B">
        <w:rPr>
          <w:szCs w:val="22"/>
          <w:lang w:val="lv-LV"/>
        </w:rPr>
        <w:t xml:space="preserve">RoActemra lieto pJIA simptomu mazināšanai. To var lietot kombinācijā ar metotreksātu vai vienu pašu. </w:t>
      </w:r>
    </w:p>
    <w:p w14:paraId="49351C42" w14:textId="77777777" w:rsidR="00F47ADA" w:rsidRPr="001673FF" w:rsidRDefault="00F47ADA" w:rsidP="00F47ADA">
      <w:pPr>
        <w:rPr>
          <w:lang w:val="lv-LV"/>
        </w:rPr>
      </w:pPr>
    </w:p>
    <w:p w14:paraId="1589E76C" w14:textId="77777777" w:rsidR="00F47ADA" w:rsidRPr="00D30C7D" w:rsidRDefault="00F47ADA" w:rsidP="00F47ADA">
      <w:pPr>
        <w:autoSpaceDE w:val="0"/>
        <w:rPr>
          <w:szCs w:val="22"/>
          <w:lang w:val="lv-LV"/>
        </w:rPr>
      </w:pPr>
    </w:p>
    <w:p w14:paraId="667FCCBC" w14:textId="77777777" w:rsidR="00F47ADA" w:rsidRPr="00980DD8" w:rsidRDefault="00F47ADA" w:rsidP="00F47ADA">
      <w:pPr>
        <w:keepNext/>
        <w:keepLines/>
        <w:ind w:left="567" w:right="-2" w:hanging="567"/>
        <w:rPr>
          <w:b/>
          <w:szCs w:val="22"/>
          <w:lang w:val="lv-LV"/>
        </w:rPr>
      </w:pPr>
      <w:r w:rsidRPr="00980DD8">
        <w:rPr>
          <w:b/>
          <w:szCs w:val="22"/>
          <w:lang w:val="lv-LV"/>
        </w:rPr>
        <w:t>2.</w:t>
      </w:r>
      <w:r w:rsidRPr="00980DD8">
        <w:rPr>
          <w:b/>
          <w:szCs w:val="22"/>
          <w:lang w:val="lv-LV"/>
        </w:rPr>
        <w:tab/>
        <w:t xml:space="preserve">Kas </w:t>
      </w:r>
      <w:r>
        <w:rPr>
          <w:b/>
          <w:szCs w:val="22"/>
          <w:lang w:val="lv-LV"/>
        </w:rPr>
        <w:t xml:space="preserve">Jums </w:t>
      </w:r>
      <w:r w:rsidRPr="00980DD8">
        <w:rPr>
          <w:b/>
          <w:szCs w:val="22"/>
          <w:lang w:val="lv-LV"/>
        </w:rPr>
        <w:t>jāzina pirms RoActemra lietošanas</w:t>
      </w:r>
    </w:p>
    <w:p w14:paraId="4FDE3278" w14:textId="77777777" w:rsidR="00F47ADA" w:rsidRDefault="00F47ADA" w:rsidP="00F47ADA">
      <w:pPr>
        <w:keepNext/>
        <w:keepLines/>
        <w:ind w:left="567" w:right="-2" w:hanging="567"/>
        <w:rPr>
          <w:szCs w:val="22"/>
          <w:lang w:val="lv-LV"/>
        </w:rPr>
      </w:pPr>
    </w:p>
    <w:p w14:paraId="1A430E32" w14:textId="77777777" w:rsidR="00F47ADA" w:rsidRPr="00285349" w:rsidRDefault="00F47ADA" w:rsidP="00F47ADA">
      <w:pPr>
        <w:keepNext/>
        <w:keepLines/>
        <w:rPr>
          <w:rFonts w:ascii="Symbol" w:hAnsi="Symbol" w:cs="Symbol"/>
          <w:szCs w:val="22"/>
          <w:lang w:val="lv-LV"/>
        </w:rPr>
      </w:pPr>
      <w:r w:rsidRPr="00285349">
        <w:rPr>
          <w:b/>
          <w:szCs w:val="22"/>
          <w:lang w:val="lv-LV"/>
        </w:rPr>
        <w:t xml:space="preserve">Nelietojiet RoActemra šādos gadījumos: </w:t>
      </w:r>
    </w:p>
    <w:p w14:paraId="19845D86" w14:textId="55C720A0" w:rsidR="00F47ADA" w:rsidRPr="004A48EA" w:rsidRDefault="00CF30FF" w:rsidP="00707120">
      <w:pPr>
        <w:pStyle w:val="ListParagraph"/>
        <w:keepNext/>
        <w:keepLines/>
        <w:ind w:left="567" w:hanging="567"/>
        <w:rPr>
          <w:szCs w:val="22"/>
          <w:lang w:val="lv-LV"/>
        </w:rPr>
      </w:pPr>
      <w:r>
        <w:rPr>
          <w:lang w:val="nb-NO"/>
        </w:rPr>
        <w:sym w:font="Symbol" w:char="F0B7"/>
      </w:r>
      <w:r>
        <w:rPr>
          <w:lang w:val="nb-NO"/>
        </w:rPr>
        <w:tab/>
      </w:r>
      <w:r w:rsidR="00F47ADA" w:rsidRPr="004A48EA">
        <w:rPr>
          <w:szCs w:val="22"/>
          <w:lang w:val="lv-LV"/>
        </w:rPr>
        <w:t>ja Jums vai pacientam-bērnam, par kuru Jūs rūpējaties, ir alerģija pret tocilizumabu vai kādu citu (6.</w:t>
      </w:r>
      <w:r w:rsidR="00F47ADA">
        <w:rPr>
          <w:szCs w:val="22"/>
          <w:lang w:val="lv-LV"/>
        </w:rPr>
        <w:t> </w:t>
      </w:r>
      <w:r w:rsidR="00F47ADA" w:rsidRPr="004A48EA">
        <w:rPr>
          <w:szCs w:val="22"/>
          <w:lang w:val="lv-LV"/>
        </w:rPr>
        <w:t>punktā minēto) šo zāļu sastāvdaļu;</w:t>
      </w:r>
    </w:p>
    <w:p w14:paraId="3A1AE138" w14:textId="77777777" w:rsidR="009F3EF0" w:rsidRPr="004A48EA" w:rsidRDefault="00CF30FF" w:rsidP="009F3EF0">
      <w:pPr>
        <w:pStyle w:val="ListParagraph"/>
        <w:ind w:left="567" w:hanging="567"/>
        <w:rPr>
          <w:szCs w:val="22"/>
          <w:lang w:val="lv-LV"/>
        </w:rPr>
      </w:pPr>
      <w:r>
        <w:rPr>
          <w:lang w:val="nb-NO"/>
        </w:rPr>
        <w:sym w:font="Symbol" w:char="F0B7"/>
      </w:r>
      <w:r>
        <w:rPr>
          <w:lang w:val="nb-NO"/>
        </w:rPr>
        <w:tab/>
      </w:r>
      <w:r w:rsidR="009F3EF0" w:rsidRPr="004A48EA">
        <w:rPr>
          <w:szCs w:val="22"/>
          <w:lang w:val="lv-LV"/>
        </w:rPr>
        <w:t>ja Jums vai pacientam-bērnam, par kuru Jūs rūpējaties, ir aktīva smaga infekcija.</w:t>
      </w:r>
    </w:p>
    <w:p w14:paraId="343EFD48" w14:textId="77777777" w:rsidR="009F3EF0" w:rsidRDefault="009F3EF0" w:rsidP="009F3EF0">
      <w:pPr>
        <w:ind w:right="-2"/>
        <w:rPr>
          <w:szCs w:val="22"/>
          <w:lang w:val="lv-LV"/>
        </w:rPr>
      </w:pPr>
    </w:p>
    <w:p w14:paraId="6F87881F" w14:textId="77777777" w:rsidR="009F3EF0" w:rsidRDefault="009F3EF0" w:rsidP="009F3EF0">
      <w:pPr>
        <w:rPr>
          <w:b/>
          <w:lang w:val="lv-LV"/>
        </w:rPr>
      </w:pPr>
      <w:r>
        <w:rPr>
          <w:lang w:val="lv-LV"/>
        </w:rPr>
        <w:t>Ja kaut kas no minētā attiecas uz Jums, informējiet par to ārstu. Nelietojiet RoActemra.</w:t>
      </w:r>
    </w:p>
    <w:p w14:paraId="2CF23D03" w14:textId="157EBCBA" w:rsidR="00F47ADA" w:rsidDel="009F3EF0" w:rsidRDefault="00F47ADA" w:rsidP="009F3EF0">
      <w:pPr>
        <w:pStyle w:val="ListParagraph"/>
        <w:ind w:left="567" w:hanging="567"/>
        <w:rPr>
          <w:del w:id="2070" w:author="Author"/>
          <w:b/>
          <w:lang w:val="lv-LV"/>
        </w:rPr>
      </w:pPr>
    </w:p>
    <w:p w14:paraId="641B6F55" w14:textId="77777777" w:rsidR="00F47ADA" w:rsidRDefault="00F47ADA" w:rsidP="009F3EF0">
      <w:pPr>
        <w:pStyle w:val="ListParagraph"/>
        <w:ind w:left="567" w:hanging="567"/>
        <w:rPr>
          <w:b/>
          <w:lang w:val="lv-LV"/>
        </w:rPr>
      </w:pPr>
    </w:p>
    <w:p w14:paraId="14599F77" w14:textId="77777777" w:rsidR="009F3EF0" w:rsidRPr="005531FC" w:rsidRDefault="009F3EF0" w:rsidP="009F3EF0">
      <w:pPr>
        <w:keepNext/>
        <w:keepLines/>
        <w:rPr>
          <w:b/>
          <w:szCs w:val="22"/>
          <w:lang w:val="lv-LV"/>
        </w:rPr>
      </w:pPr>
      <w:r w:rsidRPr="005531FC">
        <w:rPr>
          <w:b/>
          <w:szCs w:val="22"/>
          <w:lang w:val="lv-LV"/>
        </w:rPr>
        <w:t>Brīdinājumi un piesardzība lietošanā</w:t>
      </w:r>
    </w:p>
    <w:p w14:paraId="4D475A18" w14:textId="77777777" w:rsidR="009F3EF0" w:rsidRDefault="009F3EF0" w:rsidP="009F3EF0">
      <w:pPr>
        <w:keepNext/>
        <w:keepLines/>
        <w:rPr>
          <w:b/>
          <w:szCs w:val="22"/>
          <w:lang w:val="lv-LV"/>
        </w:rPr>
      </w:pPr>
    </w:p>
    <w:p w14:paraId="77C6E767" w14:textId="2B8A175C" w:rsidR="00F47ADA" w:rsidDel="009F3EF0" w:rsidRDefault="009F3EF0" w:rsidP="009F3EF0">
      <w:pPr>
        <w:keepNext/>
        <w:keepLines/>
        <w:rPr>
          <w:del w:id="2071" w:author="Author"/>
          <w:lang w:val="lv-LV"/>
        </w:rPr>
      </w:pPr>
      <w:r>
        <w:rPr>
          <w:lang w:val="lv-LV"/>
        </w:rPr>
        <w:t>Pirms RoActemra lietošanas konsultējieties ar ārstu, farmaceitu vai medmāsu</w:t>
      </w:r>
      <w:del w:id="2072" w:author="Author">
        <w:r w:rsidR="00F47ADA" w:rsidDel="009F3EF0">
          <w:rPr>
            <w:lang w:val="lv-LV"/>
          </w:rPr>
          <w:delText>.</w:delText>
        </w:r>
      </w:del>
    </w:p>
    <w:p w14:paraId="24A84F88" w14:textId="77777777" w:rsidR="00F47ADA" w:rsidRDefault="00F47ADA" w:rsidP="00F47ADA">
      <w:pPr>
        <w:keepNext/>
        <w:keepLines/>
        <w:rPr>
          <w:lang w:val="lv-LV"/>
        </w:rPr>
      </w:pPr>
    </w:p>
    <w:p w14:paraId="67FFEAA6" w14:textId="35A0B0FE" w:rsidR="00F47ADA" w:rsidRPr="004A48EA" w:rsidRDefault="00CF30FF" w:rsidP="00707120">
      <w:pPr>
        <w:pStyle w:val="ListParagraph"/>
        <w:keepNext/>
        <w:keepLines/>
        <w:ind w:left="567" w:hanging="567"/>
        <w:rPr>
          <w:b/>
          <w:szCs w:val="22"/>
          <w:lang w:val="lv-LV"/>
        </w:rPr>
      </w:pPr>
      <w:r>
        <w:rPr>
          <w:lang w:val="nb-NO"/>
        </w:rPr>
        <w:sym w:font="Symbol" w:char="F0B7"/>
      </w:r>
      <w:r>
        <w:rPr>
          <w:lang w:val="nb-NO"/>
        </w:rPr>
        <w:tab/>
      </w:r>
      <w:r w:rsidR="00F47ADA" w:rsidRPr="004A48EA">
        <w:rPr>
          <w:szCs w:val="22"/>
          <w:lang w:val="lv-LV"/>
        </w:rPr>
        <w:t xml:space="preserve">Ja Jums rodas </w:t>
      </w:r>
      <w:r w:rsidR="00F47ADA" w:rsidRPr="004A48EA">
        <w:rPr>
          <w:b/>
          <w:szCs w:val="22"/>
          <w:lang w:val="lv-LV"/>
        </w:rPr>
        <w:t>alerģiskas reakcijas</w:t>
      </w:r>
      <w:r w:rsidR="00F47ADA" w:rsidRPr="004A48EA">
        <w:rPr>
          <w:bCs/>
          <w:szCs w:val="22"/>
          <w:lang w:val="lv-LV"/>
        </w:rPr>
        <w:t xml:space="preserve">, piemēram, saspringuma sajūta krūtīs, sēkšana, stiprs reibonis vai neskaidra sajūta galvā, lūpu, sejas, mēles pietūkums vai ādas nieze, nātrene vai izsitumi injekcijas laikā vai pēc tās, </w:t>
      </w:r>
      <w:r w:rsidR="00F47ADA" w:rsidRPr="004A48EA">
        <w:rPr>
          <w:b/>
          <w:szCs w:val="22"/>
          <w:lang w:val="lv-LV"/>
        </w:rPr>
        <w:t>nekavējoties informējiet ārstu</w:t>
      </w:r>
      <w:r w:rsidR="00F47ADA" w:rsidRPr="004A48EA">
        <w:rPr>
          <w:szCs w:val="22"/>
          <w:lang w:val="lv-LV"/>
        </w:rPr>
        <w:t>.</w:t>
      </w:r>
    </w:p>
    <w:p w14:paraId="5FD9BEC4" w14:textId="77777777" w:rsidR="00F47ADA" w:rsidRDefault="00F47ADA" w:rsidP="00707120">
      <w:pPr>
        <w:keepNext/>
        <w:keepLines/>
        <w:ind w:left="567" w:hanging="567"/>
        <w:rPr>
          <w:b/>
          <w:szCs w:val="22"/>
          <w:lang w:val="lv-LV"/>
        </w:rPr>
      </w:pPr>
    </w:p>
    <w:p w14:paraId="3F784496" w14:textId="1755487F" w:rsidR="00F47ADA" w:rsidRPr="004A48EA" w:rsidRDefault="00CF30FF" w:rsidP="00707120">
      <w:pPr>
        <w:pStyle w:val="ListParagraph"/>
        <w:keepNext/>
        <w:keepLines/>
        <w:ind w:left="567" w:hanging="567"/>
        <w:rPr>
          <w:b/>
          <w:szCs w:val="22"/>
          <w:lang w:val="lv-LV"/>
        </w:rPr>
      </w:pPr>
      <w:r>
        <w:rPr>
          <w:lang w:val="nb-NO"/>
        </w:rPr>
        <w:sym w:font="Symbol" w:char="F0B7"/>
      </w:r>
      <w:r>
        <w:rPr>
          <w:lang w:val="nb-NO"/>
        </w:rPr>
        <w:tab/>
      </w:r>
      <w:r w:rsidR="00F47ADA" w:rsidRPr="004A48EA">
        <w:rPr>
          <w:szCs w:val="22"/>
          <w:lang w:val="lv-LV"/>
        </w:rPr>
        <w:t xml:space="preserve">Ja pēc RoActemra lietošanas Jums ir radušies jebkādi alerģiskas reakcijas simptomi, nelietojiet nākamo devu, līdz par alerģisko reakciju neesat informējis ārstu UN ārsts nav Jums ieteicis lietot nākamo devu. </w:t>
      </w:r>
    </w:p>
    <w:p w14:paraId="03EC111A" w14:textId="77777777" w:rsidR="00F47ADA" w:rsidRDefault="00F47ADA" w:rsidP="00707120">
      <w:pPr>
        <w:keepNext/>
        <w:keepLines/>
        <w:ind w:left="567" w:hanging="567"/>
        <w:rPr>
          <w:b/>
          <w:szCs w:val="22"/>
          <w:lang w:val="lv-LV"/>
        </w:rPr>
      </w:pPr>
    </w:p>
    <w:p w14:paraId="1258C76C" w14:textId="6098E2FA" w:rsidR="00F47ADA" w:rsidRPr="004A48EA" w:rsidRDefault="00CF30FF" w:rsidP="00707120">
      <w:pPr>
        <w:pStyle w:val="ListParagraph"/>
        <w:keepNext/>
        <w:keepLines/>
        <w:ind w:left="567" w:hanging="567"/>
        <w:rPr>
          <w:szCs w:val="22"/>
          <w:lang w:val="lv-LV"/>
        </w:rPr>
      </w:pPr>
      <w:r>
        <w:rPr>
          <w:lang w:val="nb-NO"/>
        </w:rPr>
        <w:sym w:font="Symbol" w:char="F0B7"/>
      </w:r>
      <w:r>
        <w:rPr>
          <w:lang w:val="nb-NO"/>
        </w:rPr>
        <w:tab/>
      </w:r>
      <w:r w:rsidR="00F47ADA" w:rsidRPr="004A48EA">
        <w:rPr>
          <w:lang w:val="lv-LV"/>
        </w:rPr>
        <w:t xml:space="preserve">Ja Jums ir kāda </w:t>
      </w:r>
      <w:r w:rsidR="00F47ADA" w:rsidRPr="004A48EA">
        <w:rPr>
          <w:b/>
          <w:lang w:val="lv-LV"/>
        </w:rPr>
        <w:t>infekcija</w:t>
      </w:r>
      <w:r w:rsidR="00F47ADA" w:rsidRPr="004A48EA">
        <w:rPr>
          <w:lang w:val="lv-LV"/>
        </w:rPr>
        <w:t xml:space="preserve">, arī īslaicīga, ilgstoša vai arī, ja infekcijas Jums rodas bieži. Ja Jūs nejūtaties labi, </w:t>
      </w:r>
      <w:r w:rsidR="00F47ADA" w:rsidRPr="004A48EA">
        <w:rPr>
          <w:b/>
          <w:lang w:val="lv-LV"/>
        </w:rPr>
        <w:t>nekavējoties informējiet ārstu</w:t>
      </w:r>
      <w:r w:rsidR="00F47ADA" w:rsidRPr="004A48EA">
        <w:rPr>
          <w:lang w:val="lv-LV"/>
        </w:rPr>
        <w:t>. RoActemra var mazināt Jūsu organisma spēju reaģēt uz infekcijām un var pasliktināt esošas infekcijas gaitu vai palielināt jaunas infekcijas iespējamību.</w:t>
      </w:r>
    </w:p>
    <w:p w14:paraId="72E73DD1" w14:textId="77777777" w:rsidR="00F47ADA" w:rsidRDefault="00F47ADA" w:rsidP="00707120">
      <w:pPr>
        <w:ind w:left="567" w:hanging="567"/>
        <w:rPr>
          <w:szCs w:val="22"/>
          <w:lang w:val="lv-LV"/>
        </w:rPr>
      </w:pPr>
    </w:p>
    <w:p w14:paraId="2C3B74FC" w14:textId="4D2CA9F1" w:rsidR="00F47ADA" w:rsidRPr="004A48EA" w:rsidRDefault="00CF30FF" w:rsidP="00707120">
      <w:pPr>
        <w:pStyle w:val="ListParagraph"/>
        <w:keepNext/>
        <w:keepLines/>
        <w:ind w:left="567" w:hanging="567"/>
        <w:rPr>
          <w:szCs w:val="22"/>
          <w:lang w:val="lv-LV"/>
        </w:rPr>
      </w:pPr>
      <w:r>
        <w:rPr>
          <w:lang w:val="nb-NO"/>
        </w:rPr>
        <w:sym w:font="Symbol" w:char="F0B7"/>
      </w:r>
      <w:r>
        <w:rPr>
          <w:lang w:val="nb-NO"/>
        </w:rPr>
        <w:tab/>
      </w:r>
      <w:r w:rsidR="00F47ADA" w:rsidRPr="004A48EA">
        <w:rPr>
          <w:lang w:val="lv-LV"/>
        </w:rPr>
        <w:t xml:space="preserve">Ja Jums ir bijusi </w:t>
      </w:r>
      <w:r w:rsidR="00F47ADA" w:rsidRPr="004A48EA">
        <w:rPr>
          <w:b/>
          <w:lang w:val="lv-LV"/>
        </w:rPr>
        <w:t>tuberkuloze</w:t>
      </w:r>
      <w:r w:rsidR="00F47ADA" w:rsidRPr="004A48EA">
        <w:rPr>
          <w:lang w:val="lv-LV"/>
        </w:rPr>
        <w:t xml:space="preserve">, pastāstiet par to ārstam. Jūsu ārsts pirms RoActemra lietošanas uzsākšanas pārbaudīs tuberkulozes simptomus. </w:t>
      </w:r>
      <w:r w:rsidR="00F47ADA" w:rsidRPr="004A48EA">
        <w:rPr>
          <w:szCs w:val="24"/>
          <w:lang w:val="lv-LV"/>
        </w:rPr>
        <w:t>Ja ārstēšanas laikā vai pēc tās pārtraukšanas parādās tuberkulozes simptomi (pastāvīgs klepus, ķermeņa masas samazināšanās, nespēks vai viegls drudzis) vai jebkuras citas infekcijas simptomi, nekavējoties pastāstiet par tiem savam ārstam.</w:t>
      </w:r>
    </w:p>
    <w:p w14:paraId="0003BD58" w14:textId="77777777" w:rsidR="00F47ADA" w:rsidRDefault="00F47ADA" w:rsidP="00707120">
      <w:pPr>
        <w:ind w:left="567" w:hanging="567"/>
        <w:rPr>
          <w:szCs w:val="22"/>
          <w:lang w:val="lv-LV"/>
        </w:rPr>
      </w:pPr>
    </w:p>
    <w:p w14:paraId="490C8B68" w14:textId="526E2556" w:rsidR="009F3EF0" w:rsidDel="00DB1F67" w:rsidRDefault="00CF30FF" w:rsidP="00707120">
      <w:pPr>
        <w:pStyle w:val="ListParagraph"/>
        <w:keepNext/>
        <w:keepLines/>
        <w:ind w:left="567" w:hanging="567"/>
        <w:rPr>
          <w:ins w:id="2073" w:author="Author"/>
          <w:del w:id="2074" w:author="TCS" w:date="2026-02-26T12:58:00Z"/>
          <w:lang w:val="lv-LV"/>
        </w:rPr>
      </w:pPr>
      <w:r>
        <w:rPr>
          <w:lang w:val="nb-NO"/>
        </w:rPr>
        <w:sym w:font="Symbol" w:char="F0B7"/>
      </w:r>
      <w:r>
        <w:rPr>
          <w:lang w:val="nb-NO"/>
        </w:rPr>
        <w:tab/>
      </w:r>
    </w:p>
    <w:p w14:paraId="2A838B9F" w14:textId="3D89F45A" w:rsidR="00F47ADA" w:rsidRPr="004A48EA" w:rsidRDefault="00F47ADA" w:rsidP="00707120">
      <w:pPr>
        <w:pStyle w:val="ListParagraph"/>
        <w:keepNext/>
        <w:keepLines/>
        <w:ind w:left="567" w:hanging="567"/>
        <w:rPr>
          <w:szCs w:val="22"/>
          <w:lang w:val="lv-LV"/>
        </w:rPr>
      </w:pPr>
      <w:r w:rsidRPr="004A48EA">
        <w:rPr>
          <w:lang w:val="lv-LV"/>
        </w:rPr>
        <w:t xml:space="preserve">Ja Jums agrāk ir bijušas </w:t>
      </w:r>
      <w:r w:rsidRPr="004A48EA">
        <w:rPr>
          <w:b/>
          <w:lang w:val="lv-LV"/>
        </w:rPr>
        <w:t>čūlas zarnu traktā</w:t>
      </w:r>
      <w:r w:rsidRPr="004A48EA">
        <w:rPr>
          <w:lang w:val="lv-LV"/>
        </w:rPr>
        <w:t xml:space="preserve"> vai </w:t>
      </w:r>
      <w:r w:rsidRPr="004A48EA">
        <w:rPr>
          <w:b/>
          <w:lang w:val="lv-LV"/>
        </w:rPr>
        <w:t>divertikulīts</w:t>
      </w:r>
      <w:r w:rsidRPr="004A48EA">
        <w:rPr>
          <w:lang w:val="lv-LV"/>
        </w:rPr>
        <w:t>, pastāstiet savam ārstam. Simptomi varētu būt sāpes vēderā un neizskaidrojamas vēdera izejas pārmaiņas ar drudzi.</w:t>
      </w:r>
    </w:p>
    <w:p w14:paraId="13902483" w14:textId="77777777" w:rsidR="00F47ADA" w:rsidRDefault="00F47ADA" w:rsidP="00707120">
      <w:pPr>
        <w:ind w:left="567" w:hanging="567"/>
        <w:rPr>
          <w:szCs w:val="22"/>
          <w:lang w:val="lv-LV"/>
        </w:rPr>
      </w:pPr>
    </w:p>
    <w:p w14:paraId="1BD57D69" w14:textId="4D71D8AB" w:rsidR="00F47ADA" w:rsidRPr="004A48EA" w:rsidRDefault="00CF30FF" w:rsidP="00707120">
      <w:pPr>
        <w:pStyle w:val="ListParagraph"/>
        <w:keepNext/>
        <w:keepLines/>
        <w:ind w:left="567" w:hanging="567"/>
        <w:rPr>
          <w:szCs w:val="22"/>
          <w:lang w:val="lv-LV"/>
        </w:rPr>
      </w:pPr>
      <w:r>
        <w:rPr>
          <w:lang w:val="nb-NO"/>
        </w:rPr>
        <w:sym w:font="Symbol" w:char="F0B7"/>
      </w:r>
      <w:r>
        <w:rPr>
          <w:lang w:val="nb-NO"/>
        </w:rPr>
        <w:tab/>
      </w:r>
      <w:r w:rsidR="00F47ADA" w:rsidRPr="004A48EA">
        <w:rPr>
          <w:lang w:val="lv-LV"/>
        </w:rPr>
        <w:t xml:space="preserve">Ja Jums ir </w:t>
      </w:r>
      <w:r w:rsidR="00F47ADA" w:rsidRPr="004A48EA">
        <w:rPr>
          <w:b/>
          <w:lang w:val="lv-LV"/>
        </w:rPr>
        <w:t>aknu slimība</w:t>
      </w:r>
      <w:r w:rsidR="00F47ADA" w:rsidRPr="004A48EA">
        <w:rPr>
          <w:lang w:val="lv-LV"/>
        </w:rPr>
        <w:t xml:space="preserve">, pastāstiet savam ārstam. Pirms RoActemra lietošanas Jūsu ārsts var veikt asins analīzes, lai novērtētu Jūsu aknu darbību. </w:t>
      </w:r>
    </w:p>
    <w:p w14:paraId="6838EFBC" w14:textId="77777777" w:rsidR="00F47ADA" w:rsidRDefault="00F47ADA" w:rsidP="00707120">
      <w:pPr>
        <w:ind w:left="567" w:hanging="567"/>
        <w:rPr>
          <w:szCs w:val="22"/>
          <w:lang w:val="lv-LV"/>
        </w:rPr>
      </w:pPr>
    </w:p>
    <w:p w14:paraId="2829495B" w14:textId="00E8AAE7" w:rsidR="00CE6B8D" w:rsidRPr="004A48EA" w:rsidRDefault="00CF30FF" w:rsidP="00707120">
      <w:pPr>
        <w:pStyle w:val="ListParagraph"/>
        <w:keepNext/>
        <w:keepLines/>
        <w:ind w:left="567" w:hanging="567"/>
        <w:rPr>
          <w:szCs w:val="22"/>
          <w:lang w:val="lv-LV"/>
        </w:rPr>
      </w:pPr>
      <w:r>
        <w:rPr>
          <w:lang w:val="nb-NO"/>
        </w:rPr>
        <w:sym w:font="Symbol" w:char="F0B7"/>
      </w:r>
      <w:r>
        <w:rPr>
          <w:lang w:val="nb-NO"/>
        </w:rPr>
        <w:tab/>
      </w:r>
      <w:r w:rsidR="00F47ADA" w:rsidRPr="004A48EA">
        <w:rPr>
          <w:b/>
          <w:lang w:val="lv-LV"/>
        </w:rPr>
        <w:t xml:space="preserve">Ja pacientam ir nesen veikta </w:t>
      </w:r>
      <w:r w:rsidR="00F47ADA" w:rsidRPr="004A48EA">
        <w:rPr>
          <w:bCs/>
          <w:lang w:val="lv-LV"/>
        </w:rPr>
        <w:t>vai ir plānota vakcinācija,</w:t>
      </w:r>
      <w:r w:rsidR="00F47ADA" w:rsidRPr="004A48EA">
        <w:rPr>
          <w:lang w:val="lv-LV"/>
        </w:rPr>
        <w:t xml:space="preserve"> pastāstiet to ārstam. Visiem pacientiem pirms RoActemra lietošanas sākuma jābūt saņēmušiem visas paredzētās vakcīnas. RoActemra lietošanas laikā nedrīkst izmantot noteikta veida vakcīnas.</w:t>
      </w:r>
    </w:p>
    <w:p w14:paraId="3FDFA005" w14:textId="1B0FE738" w:rsidR="00F47ADA" w:rsidDel="00037F5C" w:rsidRDefault="00F47ADA" w:rsidP="00F47ADA">
      <w:pPr>
        <w:rPr>
          <w:del w:id="2075" w:author="Author"/>
          <w:szCs w:val="22"/>
          <w:lang w:val="lv-LV"/>
        </w:rPr>
      </w:pPr>
    </w:p>
    <w:p w14:paraId="010AC559" w14:textId="7F066D50" w:rsidR="00F47ADA" w:rsidDel="00037F5C" w:rsidRDefault="00CF30FF" w:rsidP="00707120">
      <w:pPr>
        <w:pStyle w:val="ListParagraph"/>
        <w:keepNext/>
        <w:keepLines/>
        <w:ind w:left="567" w:hanging="567"/>
        <w:rPr>
          <w:del w:id="2076" w:author="Author"/>
          <w:lang w:val="lv-LV"/>
        </w:rPr>
      </w:pPr>
      <w:del w:id="2077" w:author="Author">
        <w:r w:rsidDel="00037F5C">
          <w:rPr>
            <w:lang w:val="nb-NO"/>
          </w:rPr>
          <w:sym w:font="Symbol" w:char="F0B7"/>
        </w:r>
        <w:r w:rsidDel="00037F5C">
          <w:rPr>
            <w:lang w:val="nb-NO"/>
          </w:rPr>
          <w:tab/>
        </w:r>
        <w:r w:rsidR="009F3EF0" w:rsidRPr="004A48EA" w:rsidDel="00037F5C">
          <w:rPr>
            <w:lang w:val="lv-LV"/>
          </w:rPr>
          <w:delText>.</w:delText>
        </w:r>
      </w:del>
    </w:p>
    <w:p w14:paraId="15419F88" w14:textId="5C97C31A" w:rsidR="00F47ADA" w:rsidRDefault="00F47ADA" w:rsidP="00707120">
      <w:pPr>
        <w:ind w:left="567" w:hanging="567"/>
        <w:rPr>
          <w:szCs w:val="22"/>
          <w:lang w:val="lv-LV"/>
        </w:rPr>
      </w:pPr>
    </w:p>
    <w:p w14:paraId="19137A85" w14:textId="77777777" w:rsidR="00037F5C" w:rsidRDefault="00CF30FF" w:rsidP="00707120">
      <w:pPr>
        <w:pStyle w:val="ListParagraph"/>
        <w:keepNext/>
        <w:keepLines/>
        <w:ind w:left="567" w:hanging="567"/>
        <w:rPr>
          <w:ins w:id="2078" w:author="Author"/>
          <w:lang w:val="lv-LV"/>
        </w:rPr>
      </w:pPr>
      <w:r>
        <w:rPr>
          <w:lang w:val="nb-NO"/>
        </w:rPr>
        <w:sym w:font="Symbol" w:char="F0B7"/>
      </w:r>
      <w:r>
        <w:rPr>
          <w:lang w:val="nb-NO"/>
        </w:rPr>
        <w:tab/>
      </w:r>
      <w:del w:id="2079" w:author="Author">
        <w:r w:rsidR="003827D5" w:rsidDel="00037F5C">
          <w:rPr>
            <w:lang w:val="nb-NO"/>
          </w:rPr>
          <w:sym w:font="Symbol" w:char="F0B7"/>
        </w:r>
        <w:r w:rsidR="003827D5" w:rsidDel="00037F5C">
          <w:rPr>
            <w:lang w:val="lv-LV"/>
          </w:rPr>
          <w:delText xml:space="preserve">      </w:delText>
        </w:r>
      </w:del>
      <w:r w:rsidR="003827D5" w:rsidRPr="004A48EA">
        <w:rPr>
          <w:lang w:val="lv-LV"/>
        </w:rPr>
        <w:t xml:space="preserve">Ja Jums ir </w:t>
      </w:r>
      <w:r w:rsidR="003827D5" w:rsidRPr="004A48EA">
        <w:rPr>
          <w:b/>
          <w:lang w:val="lv-LV"/>
        </w:rPr>
        <w:t>vēzis</w:t>
      </w:r>
      <w:r w:rsidR="003827D5" w:rsidRPr="004A48EA">
        <w:rPr>
          <w:lang w:val="lv-LV"/>
        </w:rPr>
        <w:t>, pastāstiet par to savam ārstam. Jūsu ārsts lems, vai Jūs joprojām drīkstat lietot RoActemra.</w:t>
      </w:r>
      <w:del w:id="2080" w:author="Author">
        <w:r w:rsidR="009F3EF0" w:rsidDel="00037F5C">
          <w:rPr>
            <w:lang w:val="lv-LV"/>
          </w:rPr>
          <w:delText xml:space="preserve">       </w:delText>
        </w:r>
      </w:del>
    </w:p>
    <w:p w14:paraId="7EDB2C4B" w14:textId="77777777" w:rsidR="00037F5C" w:rsidRDefault="00037F5C" w:rsidP="00037F5C">
      <w:pPr>
        <w:pStyle w:val="ListParagraph"/>
        <w:ind w:left="567" w:hanging="567"/>
        <w:rPr>
          <w:ins w:id="2081" w:author="Author"/>
          <w:lang w:val="lv-LV"/>
        </w:rPr>
      </w:pPr>
    </w:p>
    <w:p w14:paraId="1191E0BA" w14:textId="0E48900E" w:rsidR="00F47ADA" w:rsidRPr="005043A0" w:rsidRDefault="00037F5C" w:rsidP="00707120">
      <w:pPr>
        <w:pStyle w:val="ListParagraph"/>
        <w:keepNext/>
        <w:keepLines/>
        <w:ind w:left="567" w:hanging="567"/>
        <w:rPr>
          <w:szCs w:val="22"/>
          <w:lang w:val="lv-LV"/>
        </w:rPr>
      </w:pPr>
      <w:ins w:id="2082" w:author="Author">
        <w:r>
          <w:rPr>
            <w:lang w:val="nb-NO"/>
          </w:rPr>
          <w:sym w:font="Symbol" w:char="F0B7"/>
        </w:r>
        <w:r>
          <w:rPr>
            <w:lang w:val="nb-NO"/>
          </w:rPr>
          <w:tab/>
        </w:r>
      </w:ins>
      <w:del w:id="2083" w:author="Author">
        <w:r w:rsidR="003827D5" w:rsidDel="00037F5C">
          <w:rPr>
            <w:lang w:val="nb-NO"/>
          </w:rPr>
          <w:sym w:font="Symbol" w:char="F0B7"/>
        </w:r>
        <w:r w:rsidR="003827D5" w:rsidDel="00037F5C">
          <w:rPr>
            <w:lang w:val="nb-NO"/>
          </w:rPr>
          <w:delText xml:space="preserve">   </w:delText>
        </w:r>
      </w:del>
      <w:r w:rsidR="00F47ADA" w:rsidRPr="005043A0">
        <w:rPr>
          <w:lang w:val="lv-LV"/>
        </w:rPr>
        <w:t xml:space="preserve">Ja Jums ir </w:t>
      </w:r>
      <w:r w:rsidR="00F47ADA" w:rsidRPr="005043A0">
        <w:rPr>
          <w:b/>
          <w:lang w:val="lv-LV"/>
        </w:rPr>
        <w:t>sirds–asinsvadu sistēmas slimību riska faktori</w:t>
      </w:r>
      <w:r w:rsidR="00F47ADA" w:rsidRPr="005043A0">
        <w:rPr>
          <w:lang w:val="lv-LV"/>
        </w:rPr>
        <w:t>, piemēram, paaugstināts asinsspiediens vai paaugstināts holesterīna līmenis, pastāstiet par to savam ārstam. RoActemra lietošanas laikā šie faktori ir jākontrolē.</w:t>
      </w:r>
    </w:p>
    <w:p w14:paraId="24670704" w14:textId="77777777" w:rsidR="00F47ADA" w:rsidRDefault="00F47ADA" w:rsidP="00707120">
      <w:pPr>
        <w:ind w:left="567" w:hanging="567"/>
        <w:rPr>
          <w:szCs w:val="22"/>
          <w:lang w:val="lv-LV"/>
        </w:rPr>
      </w:pPr>
    </w:p>
    <w:p w14:paraId="1F84F291" w14:textId="31ED5D6F" w:rsidR="00F47ADA" w:rsidRPr="004A48EA" w:rsidRDefault="00CF30FF" w:rsidP="00707120">
      <w:pPr>
        <w:pStyle w:val="ListParagraph"/>
        <w:ind w:left="567" w:hanging="567"/>
        <w:rPr>
          <w:szCs w:val="22"/>
          <w:lang w:val="lv-LV"/>
        </w:rPr>
      </w:pPr>
      <w:r>
        <w:rPr>
          <w:lang w:val="nb-NO"/>
        </w:rPr>
        <w:sym w:font="Symbol" w:char="F0B7"/>
      </w:r>
      <w:r>
        <w:rPr>
          <w:lang w:val="nb-NO"/>
        </w:rPr>
        <w:tab/>
      </w:r>
      <w:r w:rsidR="00F47ADA" w:rsidRPr="004A48EA">
        <w:rPr>
          <w:szCs w:val="22"/>
          <w:lang w:val="lv-LV"/>
        </w:rPr>
        <w:t xml:space="preserve">Ja Jums ir vidēji smagi līdz smagi </w:t>
      </w:r>
      <w:r w:rsidR="00F47ADA" w:rsidRPr="004A48EA">
        <w:rPr>
          <w:b/>
          <w:szCs w:val="22"/>
          <w:lang w:val="lv-LV"/>
        </w:rPr>
        <w:t>nieru darbības traucējumi</w:t>
      </w:r>
      <w:r w:rsidR="00F47ADA" w:rsidRPr="004A48EA">
        <w:rPr>
          <w:szCs w:val="22"/>
          <w:lang w:val="lv-LV"/>
        </w:rPr>
        <w:t>, Jūsu ārsts Jūs novēros.</w:t>
      </w:r>
    </w:p>
    <w:p w14:paraId="4A5A7928" w14:textId="77777777" w:rsidR="00F47ADA" w:rsidRDefault="00F47ADA" w:rsidP="00707120">
      <w:pPr>
        <w:ind w:left="567" w:hanging="567"/>
        <w:rPr>
          <w:szCs w:val="22"/>
          <w:lang w:val="lv-LV"/>
        </w:rPr>
      </w:pPr>
    </w:p>
    <w:p w14:paraId="0BE6D8E0" w14:textId="29E1C64D" w:rsidR="00F47ADA" w:rsidRPr="004A48EA" w:rsidRDefault="00CF30FF" w:rsidP="00707120">
      <w:pPr>
        <w:pStyle w:val="ListParagraph"/>
        <w:ind w:left="567" w:hanging="567"/>
        <w:rPr>
          <w:szCs w:val="22"/>
          <w:lang w:val="lv-LV"/>
        </w:rPr>
      </w:pPr>
      <w:r>
        <w:rPr>
          <w:lang w:val="nb-NO"/>
        </w:rPr>
        <w:sym w:font="Symbol" w:char="F0B7"/>
      </w:r>
      <w:r>
        <w:rPr>
          <w:lang w:val="nb-NO"/>
        </w:rPr>
        <w:tab/>
      </w:r>
      <w:r w:rsidR="00F47ADA" w:rsidRPr="004A48EA">
        <w:rPr>
          <w:szCs w:val="22"/>
          <w:lang w:val="lv-LV"/>
        </w:rPr>
        <w:t xml:space="preserve">Ja Jums ir </w:t>
      </w:r>
      <w:r w:rsidR="00F47ADA" w:rsidRPr="00707120">
        <w:rPr>
          <w:b/>
          <w:bCs/>
          <w:szCs w:val="22"/>
          <w:lang w:val="lv-LV"/>
        </w:rPr>
        <w:t>nepārejošas galvassāpes</w:t>
      </w:r>
      <w:r w:rsidR="00F47ADA" w:rsidRPr="004A48EA">
        <w:rPr>
          <w:szCs w:val="22"/>
          <w:lang w:val="lv-LV"/>
        </w:rPr>
        <w:t>.</w:t>
      </w:r>
    </w:p>
    <w:p w14:paraId="321AC35F" w14:textId="77777777" w:rsidR="00F47ADA" w:rsidRDefault="00F47ADA" w:rsidP="00F47ADA">
      <w:pPr>
        <w:ind w:right="-2"/>
        <w:rPr>
          <w:szCs w:val="22"/>
          <w:lang w:val="lv-LV"/>
        </w:rPr>
      </w:pPr>
    </w:p>
    <w:p w14:paraId="47C5DD9E" w14:textId="1A173BAA" w:rsidR="00F47ADA" w:rsidRDefault="00F47ADA" w:rsidP="00F47ADA">
      <w:pPr>
        <w:ind w:right="-2"/>
        <w:rPr>
          <w:b/>
          <w:bCs/>
          <w:lang w:val="lv-LV"/>
        </w:rPr>
      </w:pPr>
      <w:r>
        <w:rPr>
          <w:szCs w:val="22"/>
          <w:lang w:val="lv-LV"/>
        </w:rPr>
        <w:t>Pirms RoActemra lietošanas sākuma ārsts Jums veiks asins analīzes, lai noteiktu, vai Jums nav mazs balto asins šūnu skaits, mazs trombocītu skaits vai paaugstināts aknu enzīmu līmenis.</w:t>
      </w:r>
    </w:p>
    <w:p w14:paraId="0CD3C287" w14:textId="77777777" w:rsidR="00F47ADA" w:rsidRPr="005531FC" w:rsidRDefault="00F47ADA" w:rsidP="00F47ADA">
      <w:pPr>
        <w:rPr>
          <w:b/>
          <w:bCs/>
          <w:szCs w:val="22"/>
          <w:lang w:val="lv-LV"/>
        </w:rPr>
      </w:pPr>
    </w:p>
    <w:p w14:paraId="32DA7D80" w14:textId="77777777" w:rsidR="00F47ADA" w:rsidRPr="005531FC" w:rsidRDefault="00F47ADA" w:rsidP="00F47ADA">
      <w:pPr>
        <w:rPr>
          <w:szCs w:val="22"/>
          <w:lang w:val="lv-LV"/>
        </w:rPr>
      </w:pPr>
      <w:r w:rsidRPr="005531FC">
        <w:rPr>
          <w:b/>
          <w:bCs/>
          <w:szCs w:val="22"/>
          <w:lang w:val="lv-LV"/>
        </w:rPr>
        <w:t>Bērni un pusaudži</w:t>
      </w:r>
    </w:p>
    <w:p w14:paraId="030D63C8" w14:textId="5EFEB8A6" w:rsidR="00F47ADA" w:rsidRDefault="00F47ADA" w:rsidP="00F47ADA">
      <w:pPr>
        <w:autoSpaceDE w:val="0"/>
        <w:rPr>
          <w:szCs w:val="22"/>
          <w:lang w:val="lv-LV"/>
        </w:rPr>
      </w:pPr>
      <w:r>
        <w:rPr>
          <w:szCs w:val="22"/>
          <w:lang w:val="lv-LV"/>
        </w:rPr>
        <w:t>RoActemra pildspalvveida pilnšļirces lietošana nav ieteicama bērniem līdz 12 gadu vecumam. RoActemra nedrīkst lietot bērniem ar sJIA, kuru ķermeņa masu ir mazāka par 10 kg.</w:t>
      </w:r>
    </w:p>
    <w:p w14:paraId="33B99FB0" w14:textId="77777777" w:rsidR="00F47ADA" w:rsidRDefault="00F47ADA" w:rsidP="00F47ADA">
      <w:pPr>
        <w:autoSpaceDE w:val="0"/>
        <w:rPr>
          <w:szCs w:val="22"/>
          <w:lang w:val="lv-LV"/>
        </w:rPr>
      </w:pPr>
    </w:p>
    <w:p w14:paraId="732FE6F9" w14:textId="77777777" w:rsidR="00F47ADA" w:rsidRPr="008A3745" w:rsidRDefault="00F47ADA" w:rsidP="00F47ADA">
      <w:pPr>
        <w:autoSpaceDE w:val="0"/>
        <w:rPr>
          <w:szCs w:val="22"/>
          <w:lang w:val="lv-LV"/>
        </w:rPr>
      </w:pPr>
      <w:r w:rsidRPr="00F176D4">
        <w:rPr>
          <w:lang w:val="lv-LV"/>
        </w:rPr>
        <w:t xml:space="preserve">Ja bērnam anamnēzē ir </w:t>
      </w:r>
      <w:r w:rsidRPr="00F176D4">
        <w:rPr>
          <w:b/>
          <w:i/>
          <w:lang w:val="lv-LV"/>
        </w:rPr>
        <w:t>makrofāgu aktivācijas sindroms</w:t>
      </w:r>
      <w:r w:rsidRPr="00F176D4">
        <w:rPr>
          <w:lang w:val="lv-LV"/>
        </w:rPr>
        <w:t xml:space="preserve"> (noteiktu asins šūnu aktivizēšanās un nekontrolēta proliferācija),</w:t>
      </w:r>
      <w:r w:rsidRPr="00F176D4">
        <w:rPr>
          <w:b/>
          <w:i/>
          <w:lang w:val="lv-LV"/>
        </w:rPr>
        <w:t xml:space="preserve"> </w:t>
      </w:r>
      <w:r w:rsidRPr="00F176D4">
        <w:rPr>
          <w:lang w:val="lv-LV"/>
        </w:rPr>
        <w:t>informējiet ārstu. Ārstam vajadzēs lemt, vai bērnam tomēr var lietot RoActemra</w:t>
      </w:r>
      <w:r>
        <w:rPr>
          <w:szCs w:val="22"/>
          <w:lang w:val="lv-LV"/>
        </w:rPr>
        <w:t xml:space="preserve">. </w:t>
      </w:r>
    </w:p>
    <w:p w14:paraId="0FBCCC9B" w14:textId="77777777" w:rsidR="00F47ADA" w:rsidRDefault="00F47ADA" w:rsidP="00F47ADA">
      <w:pPr>
        <w:keepNext/>
        <w:keepLines/>
        <w:rPr>
          <w:b/>
          <w:lang w:val="lv-LV"/>
        </w:rPr>
      </w:pPr>
    </w:p>
    <w:p w14:paraId="59020A62" w14:textId="77777777" w:rsidR="00F47ADA" w:rsidRPr="005531FC" w:rsidRDefault="00F47ADA" w:rsidP="00F47ADA">
      <w:pPr>
        <w:keepNext/>
        <w:keepLines/>
        <w:rPr>
          <w:szCs w:val="22"/>
          <w:lang w:val="lv-LV"/>
        </w:rPr>
      </w:pPr>
      <w:r w:rsidRPr="005531FC">
        <w:rPr>
          <w:b/>
          <w:bCs/>
          <w:szCs w:val="22"/>
          <w:lang w:val="lv-LV"/>
        </w:rPr>
        <w:t>Citas zāles un RoActemra</w:t>
      </w:r>
    </w:p>
    <w:p w14:paraId="3E5534A8" w14:textId="77777777" w:rsidR="00F47ADA" w:rsidRDefault="00F47ADA" w:rsidP="00F47ADA">
      <w:pPr>
        <w:keepNext/>
        <w:keepLines/>
        <w:rPr>
          <w:szCs w:val="22"/>
          <w:lang w:val="lv-LV"/>
        </w:rPr>
      </w:pPr>
      <w:r>
        <w:rPr>
          <w:szCs w:val="22"/>
          <w:lang w:val="lv-LV"/>
        </w:rPr>
        <w:t xml:space="preserve">Pastāstiet ārstam par jebkurām citām zālēm, kuras lietojat vai esat lietojies pēdējā laikā. RoActemra var ietekmēt dažu zāļu iedarbības veidu un var būt jāpielāgo šo zāļu deva. Ja lietojat zāles, kuras satur kādu no turpmāk minētajām aktīvajām vielām, </w:t>
      </w:r>
      <w:r w:rsidRPr="00A9142C">
        <w:rPr>
          <w:b/>
          <w:szCs w:val="22"/>
          <w:lang w:val="lv-LV"/>
        </w:rPr>
        <w:t>informējiet par to ārstu</w:t>
      </w:r>
      <w:r>
        <w:rPr>
          <w:szCs w:val="22"/>
          <w:lang w:val="lv-LV"/>
        </w:rPr>
        <w:t>:</w:t>
      </w:r>
    </w:p>
    <w:p w14:paraId="65D1EFD0" w14:textId="7CFD09D3" w:rsidR="00F47ADA" w:rsidRPr="00707120" w:rsidRDefault="00CF30FF" w:rsidP="00707120">
      <w:pPr>
        <w:pStyle w:val="ListParagraph"/>
        <w:keepNext/>
        <w:keepLines/>
        <w:ind w:left="567" w:hanging="567"/>
        <w:rPr>
          <w:lang w:val="lv-LV" w:eastAsia="th-TH" w:bidi="th-TH"/>
        </w:rPr>
      </w:pPr>
      <w:r>
        <w:rPr>
          <w:lang w:val="nb-NO"/>
        </w:rPr>
        <w:sym w:font="Symbol" w:char="F0B7"/>
      </w:r>
      <w:r>
        <w:rPr>
          <w:lang w:val="nb-NO"/>
        </w:rPr>
        <w:tab/>
      </w:r>
      <w:r w:rsidR="00F47ADA" w:rsidRPr="004A48EA">
        <w:rPr>
          <w:rFonts w:eastAsia="SimSun"/>
          <w:lang w:val="lv-LV" w:eastAsia="th-TH" w:bidi="th-TH"/>
        </w:rPr>
        <w:t>metilprednizolonu, deksametazonu, ko lieto iekaisuma mazināšanai;</w:t>
      </w:r>
    </w:p>
    <w:p w14:paraId="41E9F626" w14:textId="44924A03" w:rsidR="00F47ADA" w:rsidRPr="00707120" w:rsidRDefault="00CF30FF" w:rsidP="00707120">
      <w:pPr>
        <w:pStyle w:val="ListParagraph"/>
        <w:keepNext/>
        <w:keepLines/>
        <w:ind w:left="567" w:hanging="567"/>
        <w:rPr>
          <w:lang w:val="lv-LV" w:eastAsia="th-TH" w:bidi="th-TH"/>
        </w:rPr>
      </w:pPr>
      <w:r>
        <w:rPr>
          <w:lang w:val="nb-NO"/>
        </w:rPr>
        <w:sym w:font="Symbol" w:char="F0B7"/>
      </w:r>
      <w:r>
        <w:rPr>
          <w:lang w:val="nb-NO"/>
        </w:rPr>
        <w:tab/>
      </w:r>
      <w:r w:rsidR="00F47ADA" w:rsidRPr="004A48EA">
        <w:rPr>
          <w:rFonts w:eastAsia="SimSun"/>
          <w:lang w:val="lv-LV" w:eastAsia="th-TH" w:bidi="th-TH"/>
        </w:rPr>
        <w:t>simvastatīnu vai atorvastatīnu, ko lieto holesterīna līmeņa pazemināšanai;</w:t>
      </w:r>
    </w:p>
    <w:p w14:paraId="4794E5BF" w14:textId="73B1AA50" w:rsidR="00F47ADA" w:rsidRPr="001D6485" w:rsidRDefault="00CF30FF" w:rsidP="00707120">
      <w:pPr>
        <w:pStyle w:val="ListParagraph"/>
        <w:keepNext/>
        <w:keepLines/>
        <w:ind w:left="567" w:hanging="567"/>
        <w:rPr>
          <w:rFonts w:ascii="Symbol" w:hAnsi="Symbol" w:cs="Symbol"/>
          <w:lang w:val="lv-LV" w:eastAsia="th-TH" w:bidi="th-TH"/>
        </w:rPr>
      </w:pPr>
      <w:r>
        <w:rPr>
          <w:lang w:val="nb-NO"/>
        </w:rPr>
        <w:sym w:font="Symbol" w:char="F0B7"/>
      </w:r>
      <w:r>
        <w:rPr>
          <w:lang w:val="nb-NO"/>
        </w:rPr>
        <w:tab/>
      </w:r>
      <w:r w:rsidR="00F47ADA" w:rsidRPr="004A48EA">
        <w:rPr>
          <w:rFonts w:eastAsia="SimSun"/>
          <w:lang w:val="lv-LV" w:eastAsia="th-TH" w:bidi="th-TH"/>
        </w:rPr>
        <w:t>kalcija kanālu blokatorus (piemēram, amlodipīnu), ko lieto paaugstināta asinsspiediena ārstēšanai;</w:t>
      </w:r>
    </w:p>
    <w:p w14:paraId="363EB757" w14:textId="0029807C" w:rsidR="00F47ADA" w:rsidRPr="00707120" w:rsidRDefault="00CF30FF" w:rsidP="00707120">
      <w:pPr>
        <w:pStyle w:val="ListParagraph"/>
        <w:keepNext/>
        <w:keepLines/>
        <w:ind w:left="567" w:hanging="567"/>
        <w:rPr>
          <w:lang w:val="lv-LV" w:eastAsia="th-TH" w:bidi="th-TH"/>
        </w:rPr>
      </w:pPr>
      <w:r>
        <w:rPr>
          <w:lang w:val="nb-NO"/>
        </w:rPr>
        <w:sym w:font="Symbol" w:char="F0B7"/>
      </w:r>
      <w:r>
        <w:rPr>
          <w:lang w:val="nb-NO"/>
        </w:rPr>
        <w:tab/>
      </w:r>
      <w:r w:rsidR="00F47ADA" w:rsidRPr="004A48EA">
        <w:rPr>
          <w:rFonts w:eastAsia="SimSun"/>
          <w:lang w:val="lv-LV" w:eastAsia="th-TH" w:bidi="th-TH"/>
        </w:rPr>
        <w:t>teofilīnu, ko lieto astmas ārstēšanai;</w:t>
      </w:r>
    </w:p>
    <w:p w14:paraId="1F0C4E1D" w14:textId="5F323A9D" w:rsidR="00F47ADA" w:rsidRPr="00707120" w:rsidRDefault="00CF30FF" w:rsidP="00707120">
      <w:pPr>
        <w:pStyle w:val="ListParagraph"/>
        <w:keepNext/>
        <w:keepLines/>
        <w:ind w:left="567" w:hanging="567"/>
        <w:rPr>
          <w:lang w:val="lv-LV" w:eastAsia="th-TH" w:bidi="th-TH"/>
        </w:rPr>
      </w:pPr>
      <w:r>
        <w:rPr>
          <w:lang w:val="nb-NO"/>
        </w:rPr>
        <w:sym w:font="Symbol" w:char="F0B7"/>
      </w:r>
      <w:r>
        <w:rPr>
          <w:lang w:val="nb-NO"/>
        </w:rPr>
        <w:tab/>
      </w:r>
      <w:r w:rsidR="00F47ADA" w:rsidRPr="004A48EA">
        <w:rPr>
          <w:rFonts w:eastAsia="SimSun"/>
          <w:lang w:val="lv-LV" w:eastAsia="th-TH" w:bidi="th-TH"/>
        </w:rPr>
        <w:t>varfarīnu vai fenprokumonu, ko lieto kā asinis šķidrinošus līdzekļus;</w:t>
      </w:r>
    </w:p>
    <w:p w14:paraId="361D6948" w14:textId="794551C2" w:rsidR="00F47ADA" w:rsidRPr="00707120" w:rsidRDefault="00CF30FF" w:rsidP="00707120">
      <w:pPr>
        <w:pStyle w:val="ListParagraph"/>
        <w:ind w:left="567" w:hanging="567"/>
        <w:rPr>
          <w:lang w:val="lv-LV" w:eastAsia="th-TH" w:bidi="th-TH"/>
        </w:rPr>
      </w:pPr>
      <w:r>
        <w:rPr>
          <w:lang w:val="nb-NO"/>
        </w:rPr>
        <w:sym w:font="Symbol" w:char="F0B7"/>
      </w:r>
      <w:r>
        <w:rPr>
          <w:lang w:val="nb-NO"/>
        </w:rPr>
        <w:tab/>
      </w:r>
      <w:r w:rsidR="00F47ADA" w:rsidRPr="004A48EA">
        <w:rPr>
          <w:rFonts w:eastAsia="SimSun"/>
          <w:lang w:val="lv-LV" w:eastAsia="th-TH" w:bidi="th-TH"/>
        </w:rPr>
        <w:t>fenitoīnu, ko lieto krampju lēkmju ārstēšanai;</w:t>
      </w:r>
    </w:p>
    <w:p w14:paraId="215CB238" w14:textId="076F94C3" w:rsidR="00F47ADA" w:rsidRPr="00707120" w:rsidRDefault="00CF30FF" w:rsidP="00707120">
      <w:pPr>
        <w:pStyle w:val="ListParagraph"/>
        <w:ind w:left="567" w:hanging="567"/>
        <w:rPr>
          <w:lang w:val="lv-LV" w:eastAsia="th-TH" w:bidi="th-TH"/>
        </w:rPr>
      </w:pPr>
      <w:r>
        <w:rPr>
          <w:lang w:val="nb-NO"/>
        </w:rPr>
        <w:sym w:font="Symbol" w:char="F0B7"/>
      </w:r>
      <w:r>
        <w:rPr>
          <w:lang w:val="nb-NO"/>
        </w:rPr>
        <w:tab/>
      </w:r>
      <w:r w:rsidR="00F47ADA" w:rsidRPr="004A48EA">
        <w:rPr>
          <w:rFonts w:eastAsia="SimSun"/>
          <w:lang w:val="lv-LV" w:eastAsia="th-TH" w:bidi="th-TH"/>
        </w:rPr>
        <w:t>ciklosporīnu, ko lieto Jūsu imūnās sistēmas darbības nomākšanai pēc orgānu transplantācijas;</w:t>
      </w:r>
    </w:p>
    <w:p w14:paraId="7C2DD79F" w14:textId="56C1D382" w:rsidR="00F47ADA" w:rsidRPr="004A48EA" w:rsidRDefault="00CF30FF" w:rsidP="00707120">
      <w:pPr>
        <w:pStyle w:val="ListParagraph"/>
        <w:ind w:left="567" w:hanging="567"/>
        <w:rPr>
          <w:szCs w:val="22"/>
          <w:lang w:val="lv-LV"/>
        </w:rPr>
      </w:pPr>
      <w:r>
        <w:rPr>
          <w:lang w:val="nb-NO"/>
        </w:rPr>
        <w:sym w:font="Symbol" w:char="F0B7"/>
      </w:r>
      <w:r>
        <w:rPr>
          <w:lang w:val="nb-NO"/>
        </w:rPr>
        <w:tab/>
      </w:r>
      <w:r w:rsidR="00F47ADA" w:rsidRPr="004A48EA">
        <w:rPr>
          <w:rFonts w:eastAsia="SimSun"/>
          <w:lang w:val="lv-LV" w:eastAsia="th-TH" w:bidi="th-TH"/>
        </w:rPr>
        <w:t>benzodiazepīnus (piemēram, temazepāmu), ko lieto trauksmes mazināšanai.</w:t>
      </w:r>
    </w:p>
    <w:p w14:paraId="05B5E155" w14:textId="77777777" w:rsidR="00F47ADA" w:rsidRDefault="00F47ADA" w:rsidP="00F47ADA">
      <w:pPr>
        <w:ind w:right="-2"/>
        <w:rPr>
          <w:szCs w:val="22"/>
          <w:lang w:val="lv-LV"/>
        </w:rPr>
      </w:pPr>
    </w:p>
    <w:p w14:paraId="2D922304" w14:textId="77777777" w:rsidR="00F47ADA" w:rsidRDefault="00F47ADA" w:rsidP="00F47ADA">
      <w:pPr>
        <w:ind w:right="-2"/>
        <w:rPr>
          <w:szCs w:val="22"/>
          <w:lang w:val="lv-LV"/>
        </w:rPr>
      </w:pPr>
      <w:r>
        <w:rPr>
          <w:szCs w:val="22"/>
          <w:lang w:val="lv-LV"/>
        </w:rPr>
        <w:t>Tā kā trūkst klīniskās pieredzes, RoActemra nav ieteicams lietot vienlaikus ar citām bioloģiskām zālēm, kuras izmanto RA, sJIA, pJIA vai GCA ārstēšanai.</w:t>
      </w:r>
    </w:p>
    <w:p w14:paraId="5A561F93" w14:textId="77777777" w:rsidR="00F47ADA" w:rsidRDefault="00F47ADA" w:rsidP="00F47ADA">
      <w:pPr>
        <w:ind w:right="-2"/>
        <w:rPr>
          <w:szCs w:val="22"/>
          <w:lang w:val="lv-LV"/>
        </w:rPr>
      </w:pPr>
    </w:p>
    <w:p w14:paraId="3506436A" w14:textId="77777777" w:rsidR="00F47ADA" w:rsidRPr="005531FC" w:rsidRDefault="00F47ADA" w:rsidP="00F47ADA">
      <w:pPr>
        <w:keepNext/>
        <w:keepLines/>
        <w:rPr>
          <w:b/>
          <w:szCs w:val="22"/>
          <w:lang w:val="lv-LV"/>
        </w:rPr>
      </w:pPr>
      <w:r w:rsidRPr="005531FC">
        <w:rPr>
          <w:b/>
          <w:szCs w:val="22"/>
          <w:lang w:val="lv-LV"/>
        </w:rPr>
        <w:t>Grūtniecība</w:t>
      </w:r>
      <w:r>
        <w:rPr>
          <w:b/>
          <w:szCs w:val="22"/>
          <w:lang w:val="lv-LV"/>
        </w:rPr>
        <w:t>,</w:t>
      </w:r>
      <w:r w:rsidRPr="005531FC">
        <w:rPr>
          <w:b/>
          <w:szCs w:val="22"/>
          <w:lang w:val="lv-LV"/>
        </w:rPr>
        <w:t xml:space="preserve"> barošana ar krūti</w:t>
      </w:r>
      <w:r>
        <w:rPr>
          <w:b/>
          <w:szCs w:val="22"/>
          <w:lang w:val="lv-LV"/>
        </w:rPr>
        <w:t xml:space="preserve"> un fertilitāte</w:t>
      </w:r>
    </w:p>
    <w:p w14:paraId="4C54FA65" w14:textId="77777777" w:rsidR="00F47ADA" w:rsidRDefault="00F47ADA" w:rsidP="00F47ADA">
      <w:pPr>
        <w:keepNext/>
        <w:keepLines/>
        <w:rPr>
          <w:b/>
          <w:iCs/>
          <w:szCs w:val="22"/>
          <w:lang w:val="lv-LV"/>
        </w:rPr>
      </w:pPr>
    </w:p>
    <w:p w14:paraId="7316DA11" w14:textId="77777777" w:rsidR="00F47ADA" w:rsidRDefault="00F47ADA" w:rsidP="00F47ADA">
      <w:pPr>
        <w:rPr>
          <w:iCs/>
          <w:szCs w:val="22"/>
          <w:lang w:val="lv-LV"/>
        </w:rPr>
      </w:pPr>
      <w:r>
        <w:rPr>
          <w:b/>
          <w:iCs/>
          <w:szCs w:val="22"/>
          <w:lang w:val="lv-LV"/>
        </w:rPr>
        <w:t>RoActemra nedrīkst lietot grūtniecības laikā</w:t>
      </w:r>
      <w:r>
        <w:rPr>
          <w:iCs/>
          <w:szCs w:val="22"/>
          <w:lang w:val="lv-LV"/>
        </w:rPr>
        <w:t xml:space="preserve">, ja vien tas nav absolūti nepieciešams. </w:t>
      </w:r>
      <w:r>
        <w:rPr>
          <w:szCs w:val="22"/>
          <w:lang w:val="lv-LV"/>
        </w:rPr>
        <w:t xml:space="preserve">Ja Jūs esat grūtniece vai barojat bērnu ar krūti, ja domājat, ka Jums varētu būt grūtniecība, vai plānojat grūtniecību, pirms šo zāļu lietošanas, </w:t>
      </w:r>
      <w:r>
        <w:rPr>
          <w:iCs/>
          <w:szCs w:val="22"/>
          <w:lang w:val="lv-LV"/>
        </w:rPr>
        <w:t xml:space="preserve">konsultējieties ar ārstu. </w:t>
      </w:r>
    </w:p>
    <w:p w14:paraId="4EB8B529" w14:textId="77777777" w:rsidR="00F47ADA" w:rsidRDefault="00F47ADA" w:rsidP="00F47ADA">
      <w:pPr>
        <w:rPr>
          <w:iCs/>
          <w:szCs w:val="22"/>
          <w:lang w:val="lv-LV"/>
        </w:rPr>
      </w:pPr>
    </w:p>
    <w:p w14:paraId="1F0AD0D2" w14:textId="66B14202" w:rsidR="00F47ADA" w:rsidRDefault="00F47ADA" w:rsidP="00F47ADA">
      <w:pPr>
        <w:rPr>
          <w:iCs/>
          <w:szCs w:val="22"/>
          <w:lang w:val="lv-LV"/>
        </w:rPr>
      </w:pPr>
      <w:r>
        <w:rPr>
          <w:b/>
          <w:iCs/>
          <w:szCs w:val="22"/>
          <w:lang w:val="lv-LV"/>
        </w:rPr>
        <w:t xml:space="preserve">Sievietēm </w:t>
      </w:r>
      <w:r w:rsidR="0081178F">
        <w:rPr>
          <w:b/>
          <w:iCs/>
          <w:szCs w:val="22"/>
          <w:lang w:val="lv-LV"/>
        </w:rPr>
        <w:t xml:space="preserve">ar </w:t>
      </w:r>
      <w:r>
        <w:rPr>
          <w:b/>
          <w:iCs/>
          <w:szCs w:val="22"/>
          <w:lang w:val="lv-LV"/>
        </w:rPr>
        <w:t>reproduktīv</w:t>
      </w:r>
      <w:r w:rsidR="0081178F">
        <w:rPr>
          <w:b/>
          <w:iCs/>
          <w:szCs w:val="22"/>
          <w:lang w:val="lv-LV"/>
        </w:rPr>
        <w:t>o potenciālu</w:t>
      </w:r>
      <w:r>
        <w:rPr>
          <w:b/>
          <w:iCs/>
          <w:szCs w:val="22"/>
          <w:lang w:val="lv-LV"/>
        </w:rPr>
        <w:t xml:space="preserve"> jālieto </w:t>
      </w:r>
      <w:r>
        <w:rPr>
          <w:iCs/>
          <w:szCs w:val="22"/>
          <w:lang w:val="lv-LV"/>
        </w:rPr>
        <w:t>efektīva kontracepcijas metode ārstēšanas laikā un līdz 3 mēnešiem pēc tās.</w:t>
      </w:r>
    </w:p>
    <w:p w14:paraId="7CF9C37B" w14:textId="77777777" w:rsidR="00F47ADA" w:rsidRDefault="00F47ADA" w:rsidP="00F47ADA">
      <w:pPr>
        <w:rPr>
          <w:b/>
          <w:iCs/>
          <w:lang w:val="lv-LV"/>
        </w:rPr>
      </w:pPr>
    </w:p>
    <w:p w14:paraId="14CD328F" w14:textId="77777777" w:rsidR="00F47ADA" w:rsidRDefault="00F47ADA" w:rsidP="00F47ADA">
      <w:pPr>
        <w:rPr>
          <w:lang w:val="lv-LV"/>
        </w:rPr>
      </w:pPr>
      <w:r>
        <w:rPr>
          <w:b/>
          <w:iCs/>
          <w:lang w:val="lv-LV"/>
        </w:rPr>
        <w:t>Ja Jums paredzēts lietot RoActemra</w:t>
      </w:r>
      <w:r>
        <w:rPr>
          <w:iCs/>
          <w:lang w:val="lv-LV"/>
        </w:rPr>
        <w:t xml:space="preserve">, </w:t>
      </w:r>
      <w:r>
        <w:rPr>
          <w:b/>
          <w:bCs/>
          <w:iCs/>
          <w:lang w:val="lv-LV"/>
        </w:rPr>
        <w:t xml:space="preserve">pārtrauciet bērna barošanu ar krūti </w:t>
      </w:r>
      <w:r>
        <w:rPr>
          <w:iCs/>
          <w:lang w:val="lv-LV"/>
        </w:rPr>
        <w:t xml:space="preserve">un konsultējieties ar ārstu. Pirms bērna barošanas ar krūti uzsākšanas ievērojiet vismaz trīs mēnešu starplaiku pēc pēdējās zāļu lietošanas reizes. </w:t>
      </w:r>
      <w:r>
        <w:rPr>
          <w:szCs w:val="21"/>
          <w:lang w:val="lv-LV"/>
        </w:rPr>
        <w:t xml:space="preserve">Vai </w:t>
      </w:r>
      <w:r>
        <w:rPr>
          <w:iCs/>
          <w:lang w:val="lv-LV"/>
        </w:rPr>
        <w:t>RoActemra</w:t>
      </w:r>
      <w:r>
        <w:rPr>
          <w:szCs w:val="21"/>
          <w:lang w:val="lv-LV"/>
        </w:rPr>
        <w:t xml:space="preserve"> izdalās mātes pienā, nav zināms.</w:t>
      </w:r>
    </w:p>
    <w:p w14:paraId="1F194894" w14:textId="77777777" w:rsidR="00F47ADA" w:rsidRDefault="00F47ADA" w:rsidP="00F47ADA">
      <w:pPr>
        <w:rPr>
          <w:lang w:val="lv-LV"/>
        </w:rPr>
      </w:pPr>
    </w:p>
    <w:p w14:paraId="28022B30" w14:textId="77777777" w:rsidR="00F47ADA" w:rsidRDefault="00F47ADA" w:rsidP="00F47ADA">
      <w:pPr>
        <w:rPr>
          <w:lang w:val="lv-LV"/>
        </w:rPr>
      </w:pPr>
      <w:r>
        <w:rPr>
          <w:b/>
          <w:lang w:val="lv-LV"/>
        </w:rPr>
        <w:t>Transportlīdzekļu vadīšana un mehānismu apkalpošana</w:t>
      </w:r>
    </w:p>
    <w:p w14:paraId="763F869C" w14:textId="77777777" w:rsidR="00F47ADA" w:rsidRDefault="00F47ADA" w:rsidP="00F47ADA">
      <w:pPr>
        <w:rPr>
          <w:szCs w:val="22"/>
          <w:lang w:val="lv-LV"/>
        </w:rPr>
      </w:pPr>
      <w:r>
        <w:rPr>
          <w:lang w:val="lv-LV"/>
        </w:rPr>
        <w:t>Šīs zāles var izraisīt reiboni. Ja Jūs jūtaties apreibis, Jūs nedrīkstat vadīt transportlīdzekli vai apkalpot mehānismus.</w:t>
      </w:r>
    </w:p>
    <w:p w14:paraId="7E1BF505" w14:textId="77777777" w:rsidR="00F47ADA" w:rsidRDefault="00F47ADA" w:rsidP="00F47ADA">
      <w:pPr>
        <w:rPr>
          <w:szCs w:val="22"/>
          <w:lang w:val="lv-LV"/>
        </w:rPr>
      </w:pPr>
    </w:p>
    <w:p w14:paraId="1193C5D1" w14:textId="563C56ED" w:rsidR="00F47ADA" w:rsidRDefault="00F47ADA" w:rsidP="00F47ADA">
      <w:pPr>
        <w:rPr>
          <w:szCs w:val="22"/>
          <w:lang w:val="lv-LV"/>
        </w:rPr>
      </w:pPr>
      <w:r>
        <w:rPr>
          <w:b/>
          <w:bCs/>
          <w:szCs w:val="22"/>
          <w:lang w:val="lv-LV"/>
        </w:rPr>
        <w:t>RoActemra satur polisorbātu</w:t>
      </w:r>
      <w:ins w:id="2084" w:author="Author">
        <w:r w:rsidR="00F3056A">
          <w:rPr>
            <w:b/>
            <w:bCs/>
            <w:szCs w:val="22"/>
            <w:lang w:val="lv-LV"/>
          </w:rPr>
          <w:t> </w:t>
        </w:r>
        <w:r w:rsidR="00E14FE6">
          <w:rPr>
            <w:b/>
            <w:bCs/>
            <w:szCs w:val="22"/>
            <w:lang w:val="lv-LV"/>
          </w:rPr>
          <w:t>80 (E</w:t>
        </w:r>
        <w:r w:rsidR="00F3056A">
          <w:rPr>
            <w:b/>
            <w:bCs/>
            <w:szCs w:val="22"/>
            <w:lang w:val="lv-LV"/>
          </w:rPr>
          <w:t> </w:t>
        </w:r>
        <w:r w:rsidR="00E14FE6">
          <w:rPr>
            <w:b/>
            <w:bCs/>
            <w:szCs w:val="22"/>
            <w:lang w:val="lv-LV"/>
          </w:rPr>
          <w:t>433)</w:t>
        </w:r>
      </w:ins>
    </w:p>
    <w:p w14:paraId="65B023AC" w14:textId="122B765D" w:rsidR="00F47ADA" w:rsidRDefault="00F47ADA" w:rsidP="00F47ADA">
      <w:pPr>
        <w:rPr>
          <w:szCs w:val="22"/>
          <w:lang w:val="lv-LV"/>
        </w:rPr>
      </w:pPr>
      <w:r>
        <w:rPr>
          <w:szCs w:val="22"/>
          <w:lang w:val="lv-LV"/>
        </w:rPr>
        <w:t>Šīs zāles satur 0,18 mg polisorbāta 80 katrā 162 mg/0,9 ml pildspalvveida pilnšļircē</w:t>
      </w:r>
      <w:r w:rsidR="009175DD">
        <w:rPr>
          <w:szCs w:val="22"/>
          <w:lang w:val="lv-LV"/>
        </w:rPr>
        <w:t>, kas ir līdzvērtīgi</w:t>
      </w:r>
      <w:r>
        <w:rPr>
          <w:szCs w:val="22"/>
          <w:lang w:val="lv-LV"/>
        </w:rPr>
        <w:t xml:space="preserve"> 0,2 mg/ml. Polisorbāts var izraisīt alerģiskas reakcijas. Pastāstiet ārstam, ja Jums vai Jūsu bērnam ir kāda zināma alerģija.</w:t>
      </w:r>
    </w:p>
    <w:p w14:paraId="31555FB7" w14:textId="77777777" w:rsidR="00F47ADA" w:rsidRDefault="00F47ADA" w:rsidP="00F47ADA">
      <w:pPr>
        <w:ind w:right="-2"/>
        <w:rPr>
          <w:szCs w:val="22"/>
          <w:lang w:val="lv-LV"/>
        </w:rPr>
      </w:pPr>
    </w:p>
    <w:p w14:paraId="3345CE57" w14:textId="77777777" w:rsidR="00F47ADA" w:rsidRPr="00980DD8" w:rsidRDefault="00F47ADA" w:rsidP="00F47ADA">
      <w:pPr>
        <w:ind w:left="567" w:right="-2" w:hanging="567"/>
        <w:rPr>
          <w:b/>
          <w:szCs w:val="22"/>
          <w:lang w:val="lv-LV"/>
        </w:rPr>
      </w:pPr>
      <w:r w:rsidRPr="00980DD8">
        <w:rPr>
          <w:b/>
          <w:szCs w:val="22"/>
          <w:lang w:val="lv-LV"/>
        </w:rPr>
        <w:t>3.</w:t>
      </w:r>
      <w:r w:rsidRPr="00980DD8">
        <w:rPr>
          <w:b/>
          <w:szCs w:val="22"/>
          <w:lang w:val="lv-LV"/>
        </w:rPr>
        <w:tab/>
        <w:t>Kā lietot RoActemra</w:t>
      </w:r>
    </w:p>
    <w:p w14:paraId="1809B7CD" w14:textId="77777777" w:rsidR="00F47ADA" w:rsidRDefault="00F47ADA" w:rsidP="00F47ADA">
      <w:pPr>
        <w:ind w:left="567" w:right="-2" w:hanging="567"/>
        <w:rPr>
          <w:b/>
          <w:szCs w:val="22"/>
          <w:lang w:val="lv-LV"/>
        </w:rPr>
      </w:pPr>
    </w:p>
    <w:p w14:paraId="47DCDEEE" w14:textId="77777777" w:rsidR="00F47ADA" w:rsidRDefault="00F47ADA" w:rsidP="00F47ADA">
      <w:pPr>
        <w:rPr>
          <w:lang w:val="lv-LV"/>
        </w:rPr>
      </w:pPr>
      <w:r>
        <w:rPr>
          <w:lang w:val="lv-LV"/>
        </w:rPr>
        <w:t xml:space="preserve">Vienmēr lietojiet šīs zāles </w:t>
      </w:r>
      <w:r>
        <w:rPr>
          <w:szCs w:val="22"/>
          <w:lang w:val="lv-LV"/>
        </w:rPr>
        <w:t>tieši tā, kā ārsts,</w:t>
      </w:r>
      <w:r>
        <w:rPr>
          <w:lang w:val="lv-LV"/>
        </w:rPr>
        <w:t xml:space="preserve"> </w:t>
      </w:r>
      <w:r>
        <w:rPr>
          <w:szCs w:val="22"/>
          <w:lang w:val="lv-LV"/>
        </w:rPr>
        <w:t>farmaceits vai medmāsa Jums teikusi.</w:t>
      </w:r>
      <w:r>
        <w:rPr>
          <w:lang w:val="lv-LV"/>
        </w:rPr>
        <w:t xml:space="preserve"> Neskaidrību gadījumā vaicājiet ārstam, farmaceitam vai medmāsai. </w:t>
      </w:r>
    </w:p>
    <w:p w14:paraId="7F6137C9" w14:textId="77777777" w:rsidR="00F47ADA" w:rsidRDefault="00F47ADA" w:rsidP="00F47ADA">
      <w:pPr>
        <w:rPr>
          <w:lang w:val="lv-LV"/>
        </w:rPr>
      </w:pPr>
    </w:p>
    <w:p w14:paraId="4FA6065D" w14:textId="77777777" w:rsidR="00F47ADA" w:rsidRPr="00D30C7D" w:rsidRDefault="00F47ADA" w:rsidP="00F47ADA">
      <w:pPr>
        <w:rPr>
          <w:szCs w:val="22"/>
          <w:lang w:val="lv-LV"/>
        </w:rPr>
      </w:pPr>
      <w:r w:rsidRPr="00D30C7D">
        <w:rPr>
          <w:lang w:val="lv-LV"/>
        </w:rPr>
        <w:t xml:space="preserve">Šīs zāles </w:t>
      </w:r>
      <w:r>
        <w:rPr>
          <w:lang w:val="lv-LV"/>
        </w:rPr>
        <w:t>iz</w:t>
      </w:r>
      <w:r w:rsidRPr="00D30C7D">
        <w:rPr>
          <w:lang w:val="lv-LV"/>
        </w:rPr>
        <w:t xml:space="preserve">rakstīs un ārstēšanu </w:t>
      </w:r>
      <w:r>
        <w:rPr>
          <w:lang w:val="lv-LV"/>
        </w:rPr>
        <w:t>uz</w:t>
      </w:r>
      <w:r w:rsidRPr="00D30C7D">
        <w:rPr>
          <w:lang w:val="lv-LV"/>
        </w:rPr>
        <w:t>sāks veselības aprūpes speciālisti, kuriem ir pieredze RA</w:t>
      </w:r>
      <w:r>
        <w:rPr>
          <w:lang w:val="lv-LV"/>
        </w:rPr>
        <w:t>, sJIA, pJIA</w:t>
      </w:r>
      <w:r w:rsidRPr="00D30C7D">
        <w:rPr>
          <w:lang w:val="lv-LV"/>
        </w:rPr>
        <w:t xml:space="preserve"> vai GCA diagnostikā un ārstēšanā.</w:t>
      </w:r>
    </w:p>
    <w:p w14:paraId="2F4F10CD" w14:textId="77777777" w:rsidR="00F47ADA" w:rsidRDefault="00F47ADA" w:rsidP="00F47ADA">
      <w:pPr>
        <w:rPr>
          <w:lang w:val="lv-LV"/>
        </w:rPr>
      </w:pPr>
    </w:p>
    <w:p w14:paraId="07445B59" w14:textId="77777777" w:rsidR="00F47ADA" w:rsidRDefault="00F47ADA" w:rsidP="00F47ADA">
      <w:pPr>
        <w:rPr>
          <w:lang w:val="lv-LV"/>
        </w:rPr>
      </w:pPr>
      <w:r>
        <w:rPr>
          <w:b/>
          <w:lang w:val="lv-LV"/>
        </w:rPr>
        <w:t>Ieteicamā deva</w:t>
      </w:r>
      <w:r>
        <w:rPr>
          <w:lang w:val="lv-LV"/>
        </w:rPr>
        <w:t xml:space="preserve"> </w:t>
      </w:r>
    </w:p>
    <w:p w14:paraId="647114C2" w14:textId="5ABAD56C" w:rsidR="00F47ADA" w:rsidRDefault="00F47ADA" w:rsidP="00F47ADA">
      <w:pPr>
        <w:rPr>
          <w:lang w:val="lv-LV"/>
        </w:rPr>
      </w:pPr>
      <w:r>
        <w:rPr>
          <w:lang w:val="lv-LV"/>
        </w:rPr>
        <w:t>Deva</w:t>
      </w:r>
      <w:del w:id="2085" w:author="Regulatory LV" w:date="2026-03-17T11:30:00Z">
        <w:r w:rsidDel="001D1242">
          <w:rPr>
            <w:lang w:val="lv-LV"/>
          </w:rPr>
          <w:delText xml:space="preserve"> visiem</w:delText>
        </w:r>
      </w:del>
      <w:r>
        <w:rPr>
          <w:lang w:val="lv-LV"/>
        </w:rPr>
        <w:t xml:space="preserve"> pieaugušajiem ar RA vai GCA ir 162 mg (1 pildspalvveida pilnšļirces saturs), ko ievada vienu reizi nedēļā. </w:t>
      </w:r>
    </w:p>
    <w:p w14:paraId="613655DA" w14:textId="77777777" w:rsidR="00F47ADA" w:rsidRPr="00B9137F" w:rsidRDefault="00F47ADA" w:rsidP="00F47ADA">
      <w:pPr>
        <w:pStyle w:val="Standard"/>
        <w:rPr>
          <w:szCs w:val="22"/>
          <w:lang w:val="lv-LV"/>
        </w:rPr>
      </w:pPr>
    </w:p>
    <w:p w14:paraId="7C88844D" w14:textId="77777777" w:rsidR="00F47ADA" w:rsidRPr="0088426B" w:rsidRDefault="00F47ADA" w:rsidP="00F47ADA">
      <w:pPr>
        <w:pStyle w:val="Standard"/>
        <w:rPr>
          <w:b/>
          <w:szCs w:val="22"/>
          <w:lang w:val="pt-BR"/>
        </w:rPr>
      </w:pPr>
      <w:r w:rsidRPr="0088426B">
        <w:rPr>
          <w:b/>
          <w:szCs w:val="22"/>
          <w:lang w:val="pt-BR"/>
        </w:rPr>
        <w:t>Pusaudžiem ar sJIA (no 12 gadu vecuma)</w:t>
      </w:r>
    </w:p>
    <w:p w14:paraId="1C4884B2" w14:textId="77777777" w:rsidR="00F47ADA" w:rsidRPr="00B9137F" w:rsidRDefault="00F47ADA" w:rsidP="00F47ADA">
      <w:pPr>
        <w:rPr>
          <w:b/>
          <w:lang w:val="lv-LV"/>
        </w:rPr>
      </w:pPr>
      <w:r w:rsidRPr="00B9137F">
        <w:rPr>
          <w:b/>
          <w:lang w:val="lv-LV"/>
        </w:rPr>
        <w:t xml:space="preserve">Parastā RoActemra deva ir atkarīga no pacienta ķermeņa masas. </w:t>
      </w:r>
    </w:p>
    <w:p w14:paraId="25176AEC" w14:textId="262624E2" w:rsidR="00F47ADA" w:rsidRPr="004A48EA" w:rsidRDefault="00CF30FF" w:rsidP="00707120">
      <w:pPr>
        <w:pStyle w:val="ListParagraph"/>
        <w:ind w:left="567" w:hanging="567"/>
        <w:rPr>
          <w:lang w:val="lv-LV"/>
        </w:rPr>
      </w:pPr>
      <w:r>
        <w:rPr>
          <w:lang w:val="nb-NO"/>
        </w:rPr>
        <w:sym w:font="Symbol" w:char="F0B7"/>
      </w:r>
      <w:r>
        <w:rPr>
          <w:lang w:val="nb-NO"/>
        </w:rPr>
        <w:tab/>
      </w:r>
      <w:r w:rsidR="00F47ADA" w:rsidRPr="004A48EA">
        <w:rPr>
          <w:lang w:val="lv-LV"/>
        </w:rPr>
        <w:t xml:space="preserve">Ja pacienta ķermeņa masa ir </w:t>
      </w:r>
      <w:r w:rsidR="00F47ADA" w:rsidRPr="004A48EA">
        <w:rPr>
          <w:b/>
          <w:lang w:val="lv-LV"/>
        </w:rPr>
        <w:t>mazāka par 30 kg</w:t>
      </w:r>
      <w:r w:rsidR="00F47ADA" w:rsidRPr="004A48EA">
        <w:rPr>
          <w:lang w:val="lv-LV"/>
        </w:rPr>
        <w:t xml:space="preserve">: deva ir 162 mg (1 pildspalvveida pilnšļirces saturs) reizi 2 nedēļās. </w:t>
      </w:r>
    </w:p>
    <w:p w14:paraId="0E6D9370" w14:textId="11234401" w:rsidR="00F47ADA" w:rsidRPr="004A48EA" w:rsidRDefault="00CF30FF" w:rsidP="00707120">
      <w:pPr>
        <w:pStyle w:val="ListParagraph"/>
        <w:ind w:left="567" w:hanging="567"/>
        <w:rPr>
          <w:lang w:val="lv-LV"/>
        </w:rPr>
      </w:pPr>
      <w:r>
        <w:rPr>
          <w:lang w:val="nb-NO"/>
        </w:rPr>
        <w:sym w:font="Symbol" w:char="F0B7"/>
      </w:r>
      <w:r>
        <w:rPr>
          <w:lang w:val="nb-NO"/>
        </w:rPr>
        <w:tab/>
      </w:r>
      <w:r w:rsidR="00F47ADA" w:rsidRPr="004A48EA">
        <w:rPr>
          <w:lang w:val="lv-LV"/>
        </w:rPr>
        <w:t xml:space="preserve">Ja pacienta ķermeņa masa ir </w:t>
      </w:r>
      <w:r w:rsidR="00F47ADA" w:rsidRPr="004A48EA">
        <w:rPr>
          <w:b/>
          <w:lang w:val="lv-LV"/>
        </w:rPr>
        <w:t>30 kg vai lielāka</w:t>
      </w:r>
      <w:r w:rsidR="00F47ADA" w:rsidRPr="004A48EA">
        <w:rPr>
          <w:lang w:val="lv-LV"/>
        </w:rPr>
        <w:t>: deva ir 162 mg (1 pildspalvveida pilnšļirces saturs) reizi nedēļā.</w:t>
      </w:r>
    </w:p>
    <w:p w14:paraId="1CBDEFE7" w14:textId="77777777" w:rsidR="00F47ADA" w:rsidRPr="00B9137F" w:rsidRDefault="00F47ADA" w:rsidP="00F47ADA">
      <w:pPr>
        <w:pStyle w:val="Standard"/>
        <w:ind w:left="284" w:hanging="284"/>
        <w:rPr>
          <w:szCs w:val="22"/>
          <w:lang w:val="lv-LV"/>
        </w:rPr>
      </w:pPr>
    </w:p>
    <w:p w14:paraId="3DA93DF2" w14:textId="586AB795" w:rsidR="00F47ADA" w:rsidRPr="00B9137F" w:rsidRDefault="00F47ADA" w:rsidP="00F47ADA">
      <w:pPr>
        <w:pStyle w:val="Standard"/>
        <w:ind w:left="284" w:hanging="284"/>
        <w:rPr>
          <w:szCs w:val="22"/>
          <w:lang w:val="lv-LV"/>
        </w:rPr>
      </w:pPr>
      <w:r w:rsidRPr="00B9137F">
        <w:rPr>
          <w:szCs w:val="22"/>
          <w:lang w:val="lv-LV"/>
        </w:rPr>
        <w:t>Pil</w:t>
      </w:r>
      <w:r w:rsidR="000B68D9">
        <w:rPr>
          <w:szCs w:val="22"/>
          <w:lang w:val="lv-LV"/>
        </w:rPr>
        <w:t>d</w:t>
      </w:r>
      <w:r w:rsidRPr="00B9137F">
        <w:rPr>
          <w:szCs w:val="22"/>
          <w:lang w:val="lv-LV"/>
        </w:rPr>
        <w:t xml:space="preserve">spalvveida pilnšļirci nedrīkst lietot bērniem līdz 12 gadu vecumam. </w:t>
      </w:r>
    </w:p>
    <w:p w14:paraId="20BA3C44" w14:textId="77777777" w:rsidR="00F47ADA" w:rsidRPr="00B9137F" w:rsidRDefault="00F47ADA" w:rsidP="00F47ADA">
      <w:pPr>
        <w:pStyle w:val="Standard"/>
        <w:ind w:left="284" w:hanging="284"/>
        <w:rPr>
          <w:szCs w:val="22"/>
          <w:lang w:val="lv-LV"/>
        </w:rPr>
      </w:pPr>
    </w:p>
    <w:p w14:paraId="23A6BDE5" w14:textId="77777777" w:rsidR="00F47ADA" w:rsidRPr="0088426B" w:rsidRDefault="00F47ADA" w:rsidP="00F47ADA">
      <w:pPr>
        <w:pStyle w:val="Standard"/>
        <w:keepNext/>
        <w:keepLines/>
        <w:rPr>
          <w:b/>
          <w:szCs w:val="22"/>
          <w:lang w:val="pt-BR"/>
        </w:rPr>
      </w:pPr>
      <w:r w:rsidRPr="0088426B">
        <w:rPr>
          <w:b/>
          <w:szCs w:val="22"/>
          <w:lang w:val="pt-BR"/>
        </w:rPr>
        <w:t>Pusaudži ar pJIA (no 12 gadu vecuma)</w:t>
      </w:r>
    </w:p>
    <w:p w14:paraId="4ECFAEB7" w14:textId="77777777" w:rsidR="00F47ADA" w:rsidRPr="00B9137F" w:rsidRDefault="00F47ADA" w:rsidP="00F47ADA">
      <w:pPr>
        <w:rPr>
          <w:b/>
          <w:szCs w:val="22"/>
          <w:lang w:val="lv-LV"/>
        </w:rPr>
      </w:pPr>
      <w:r w:rsidRPr="00B9137F">
        <w:rPr>
          <w:b/>
          <w:szCs w:val="22"/>
          <w:lang w:val="lv-LV"/>
        </w:rPr>
        <w:t>Parastā RoActemra deva ir atkarīga no pacienta ķermeņa masas.</w:t>
      </w:r>
    </w:p>
    <w:p w14:paraId="106E88FC" w14:textId="32E6A22C" w:rsidR="00F47ADA" w:rsidRPr="004A48EA" w:rsidRDefault="00CF30FF" w:rsidP="00707120">
      <w:pPr>
        <w:pStyle w:val="ListParagraph"/>
        <w:ind w:left="567" w:hanging="567"/>
        <w:rPr>
          <w:bCs/>
          <w:szCs w:val="22"/>
          <w:lang w:val="lv-LV"/>
        </w:rPr>
      </w:pPr>
      <w:r>
        <w:rPr>
          <w:lang w:val="nb-NO"/>
        </w:rPr>
        <w:sym w:font="Symbol" w:char="F0B7"/>
      </w:r>
      <w:r>
        <w:rPr>
          <w:lang w:val="nb-NO"/>
        </w:rPr>
        <w:tab/>
      </w:r>
      <w:r w:rsidR="00F47ADA" w:rsidRPr="004A48EA">
        <w:rPr>
          <w:szCs w:val="22"/>
          <w:lang w:val="lv-LV"/>
        </w:rPr>
        <w:t xml:space="preserve">Ja pacienta ķermeņa masa ir </w:t>
      </w:r>
      <w:r w:rsidR="00F47ADA" w:rsidRPr="004A48EA">
        <w:rPr>
          <w:b/>
          <w:szCs w:val="22"/>
          <w:lang w:val="lv-LV"/>
        </w:rPr>
        <w:t>mazāka par 30 kg</w:t>
      </w:r>
      <w:r w:rsidR="00F47ADA" w:rsidRPr="004A48EA">
        <w:rPr>
          <w:szCs w:val="22"/>
          <w:lang w:val="lv-LV"/>
        </w:rPr>
        <w:t xml:space="preserve">: deva ir 162 mg (1 pilnšļirces saturs) </w:t>
      </w:r>
      <w:r w:rsidR="00F47ADA" w:rsidRPr="004A48EA">
        <w:rPr>
          <w:b/>
          <w:szCs w:val="22"/>
          <w:lang w:val="lv-LV"/>
        </w:rPr>
        <w:t>reizi 3 nedēļās</w:t>
      </w:r>
      <w:r w:rsidR="00F47ADA" w:rsidRPr="004A48EA">
        <w:rPr>
          <w:bCs/>
          <w:szCs w:val="22"/>
          <w:lang w:val="lv-LV"/>
        </w:rPr>
        <w:t>.</w:t>
      </w:r>
    </w:p>
    <w:p w14:paraId="7B89F19A" w14:textId="41CFE5E8" w:rsidR="00F47ADA" w:rsidRPr="004A48EA" w:rsidRDefault="00CF30FF" w:rsidP="00707120">
      <w:pPr>
        <w:pStyle w:val="ListParagraph"/>
        <w:ind w:left="567" w:hanging="567"/>
        <w:rPr>
          <w:szCs w:val="22"/>
          <w:lang w:val="lv-LV"/>
        </w:rPr>
      </w:pPr>
      <w:r>
        <w:rPr>
          <w:lang w:val="nb-NO"/>
        </w:rPr>
        <w:sym w:font="Symbol" w:char="F0B7"/>
      </w:r>
      <w:r>
        <w:rPr>
          <w:lang w:val="nb-NO"/>
        </w:rPr>
        <w:tab/>
      </w:r>
      <w:r w:rsidR="00F47ADA" w:rsidRPr="004A48EA">
        <w:rPr>
          <w:szCs w:val="22"/>
          <w:lang w:val="lv-LV"/>
        </w:rPr>
        <w:t xml:space="preserve">Ja pacienta ķermeņa masa ir </w:t>
      </w:r>
      <w:r w:rsidR="00F47ADA" w:rsidRPr="004A48EA">
        <w:rPr>
          <w:b/>
          <w:szCs w:val="22"/>
          <w:lang w:val="lv-LV"/>
        </w:rPr>
        <w:t>30 kg vai vairāk</w:t>
      </w:r>
      <w:r w:rsidR="00F47ADA" w:rsidRPr="004A48EA">
        <w:rPr>
          <w:szCs w:val="22"/>
          <w:lang w:val="lv-LV"/>
        </w:rPr>
        <w:t xml:space="preserve">: deva ir </w:t>
      </w:r>
      <w:r w:rsidR="00F47ADA" w:rsidRPr="004A48EA">
        <w:rPr>
          <w:bCs/>
          <w:szCs w:val="22"/>
          <w:lang w:val="lv-LV"/>
        </w:rPr>
        <w:t>162 mg</w:t>
      </w:r>
      <w:r w:rsidR="00F47ADA" w:rsidRPr="004A48EA">
        <w:rPr>
          <w:szCs w:val="22"/>
          <w:lang w:val="lv-LV"/>
        </w:rPr>
        <w:t xml:space="preserve"> (1 pilnšļirces saturs) </w:t>
      </w:r>
      <w:r w:rsidR="00F47ADA" w:rsidRPr="004A48EA">
        <w:rPr>
          <w:b/>
          <w:szCs w:val="22"/>
          <w:lang w:val="lv-LV"/>
        </w:rPr>
        <w:t xml:space="preserve">reizi </w:t>
      </w:r>
      <w:r w:rsidR="00F47ADA" w:rsidRPr="004A48EA">
        <w:rPr>
          <w:b/>
          <w:bCs/>
          <w:szCs w:val="22"/>
          <w:lang w:val="lv-LV"/>
        </w:rPr>
        <w:t>2 nedēļās.</w:t>
      </w:r>
    </w:p>
    <w:p w14:paraId="76069AC7" w14:textId="77777777" w:rsidR="00F47ADA" w:rsidRPr="00B9137F" w:rsidRDefault="00F47ADA" w:rsidP="00F47ADA">
      <w:pPr>
        <w:pStyle w:val="Standard"/>
        <w:rPr>
          <w:szCs w:val="22"/>
          <w:lang w:val="lv-LV"/>
        </w:rPr>
      </w:pPr>
    </w:p>
    <w:p w14:paraId="766CAB9E" w14:textId="32A45AE1" w:rsidR="00F47ADA" w:rsidRPr="00B9137F" w:rsidRDefault="00F47ADA" w:rsidP="00F47ADA">
      <w:pPr>
        <w:pStyle w:val="Standard"/>
        <w:ind w:left="284" w:hanging="284"/>
        <w:rPr>
          <w:szCs w:val="22"/>
          <w:lang w:val="lv-LV"/>
        </w:rPr>
      </w:pPr>
      <w:r w:rsidRPr="00B9137F">
        <w:rPr>
          <w:szCs w:val="22"/>
          <w:lang w:val="lv-LV"/>
        </w:rPr>
        <w:t>Pil</w:t>
      </w:r>
      <w:r w:rsidR="000B68D9">
        <w:rPr>
          <w:szCs w:val="22"/>
          <w:lang w:val="lv-LV"/>
        </w:rPr>
        <w:t>d</w:t>
      </w:r>
      <w:r w:rsidRPr="00B9137F">
        <w:rPr>
          <w:szCs w:val="22"/>
          <w:lang w:val="lv-LV"/>
        </w:rPr>
        <w:t xml:space="preserve">spalvveida pilnšļirci nedrīkst lietot bērniem līdz 12 gadu vecumam. </w:t>
      </w:r>
    </w:p>
    <w:p w14:paraId="4200B8D2" w14:textId="77777777" w:rsidR="00F47ADA" w:rsidRDefault="00F47ADA" w:rsidP="00F47ADA">
      <w:pPr>
        <w:rPr>
          <w:lang w:val="lv-LV"/>
        </w:rPr>
      </w:pPr>
    </w:p>
    <w:p w14:paraId="30BF23D6" w14:textId="3550A413" w:rsidR="00F47ADA" w:rsidRDefault="00F47ADA" w:rsidP="00F47ADA">
      <w:pPr>
        <w:rPr>
          <w:lang w:val="lv-LV"/>
        </w:rPr>
      </w:pPr>
      <w:r>
        <w:rPr>
          <w:lang w:val="lv-LV"/>
        </w:rPr>
        <w:t>RoActemra lieto, injicējot zem ādas (</w:t>
      </w:r>
      <w:r>
        <w:rPr>
          <w:i/>
          <w:lang w:val="lv-LV"/>
        </w:rPr>
        <w:t>subkutāni</w:t>
      </w:r>
      <w:r>
        <w:rPr>
          <w:lang w:val="lv-LV"/>
        </w:rPr>
        <w:t xml:space="preserve">). Sākot zāļu lietošanu, RoActemra Jums var injicēt ārsts vai medmāsa. Taču ārsts var izlemt, ka varat RoActemra injicēt sev pats. Šādā gadījumā Jūs apmācīs, kā RoActemra injekciju veikt sev pašam. </w:t>
      </w:r>
      <w:r w:rsidRPr="00D47FF6">
        <w:rPr>
          <w:lang w:val="lv-LV"/>
        </w:rPr>
        <w:t xml:space="preserve">Vecāki un aprūpētāji tiks apmācīti, kā injicēt </w:t>
      </w:r>
      <w:r w:rsidRPr="00D47FF6">
        <w:rPr>
          <w:szCs w:val="22"/>
          <w:lang w:val="lv-LV"/>
        </w:rPr>
        <w:t>RoActemra pacientiem, kuri nevar paši veikt sev injekciju</w:t>
      </w:r>
      <w:r>
        <w:rPr>
          <w:lang w:val="lv-LV"/>
        </w:rPr>
        <w:t>.</w:t>
      </w:r>
    </w:p>
    <w:p w14:paraId="2FCE9086" w14:textId="77777777" w:rsidR="00F47ADA" w:rsidRDefault="00F47ADA" w:rsidP="00F47ADA">
      <w:pPr>
        <w:rPr>
          <w:lang w:val="lv-LV"/>
        </w:rPr>
      </w:pPr>
    </w:p>
    <w:p w14:paraId="228B3EF8" w14:textId="77777777" w:rsidR="00F47ADA" w:rsidRDefault="00F47ADA" w:rsidP="00F47ADA">
      <w:pPr>
        <w:rPr>
          <w:szCs w:val="22"/>
          <w:lang w:val="lv-LV"/>
        </w:rPr>
      </w:pPr>
      <w:r>
        <w:rPr>
          <w:lang w:val="lv-LV"/>
        </w:rPr>
        <w:t xml:space="preserve">Ja Jums rodas jebkādi jautājumi par injekcijas veikšanu pašam sev vai pusaudzim, </w:t>
      </w:r>
      <w:r w:rsidRPr="00916FA6">
        <w:rPr>
          <w:lang w:val="lv-LV"/>
        </w:rPr>
        <w:t>par kuru Jūs rūpējaties</w:t>
      </w:r>
      <w:r>
        <w:rPr>
          <w:lang w:val="lv-LV"/>
        </w:rPr>
        <w:t xml:space="preserve">, pārrunājiet tos ar ārstu. Sīkākus norādījumus par lietošanu atradīsiet šīs lietošanas instrukcijas beigās. </w:t>
      </w:r>
    </w:p>
    <w:p w14:paraId="52FB8536" w14:textId="77777777" w:rsidR="00F47ADA" w:rsidRDefault="00F47ADA" w:rsidP="00F47ADA">
      <w:pPr>
        <w:rPr>
          <w:lang w:val="lv-LV"/>
        </w:rPr>
      </w:pPr>
    </w:p>
    <w:p w14:paraId="16324FA5" w14:textId="77777777" w:rsidR="00F47ADA" w:rsidRPr="005531FC" w:rsidRDefault="00F47ADA" w:rsidP="00F47ADA">
      <w:pPr>
        <w:ind w:right="-2"/>
        <w:rPr>
          <w:szCs w:val="22"/>
          <w:lang w:val="lv-LV"/>
        </w:rPr>
      </w:pPr>
      <w:r w:rsidRPr="005531FC">
        <w:rPr>
          <w:b/>
          <w:szCs w:val="22"/>
          <w:lang w:val="lv-LV"/>
        </w:rPr>
        <w:t>Ja esat lietojis RoActemra vairāk</w:t>
      </w:r>
      <w:r>
        <w:rPr>
          <w:b/>
          <w:szCs w:val="22"/>
          <w:lang w:val="lv-LV"/>
        </w:rPr>
        <w:t>,</w:t>
      </w:r>
      <w:r w:rsidRPr="005531FC">
        <w:rPr>
          <w:b/>
          <w:szCs w:val="22"/>
          <w:lang w:val="lv-LV"/>
        </w:rPr>
        <w:t xml:space="preserve"> nekā noteikts</w:t>
      </w:r>
    </w:p>
    <w:p w14:paraId="0D0EE87F" w14:textId="71B33DAC" w:rsidR="00F47ADA" w:rsidRDefault="00F47ADA" w:rsidP="00F47ADA">
      <w:pPr>
        <w:ind w:right="-2"/>
        <w:rPr>
          <w:szCs w:val="22"/>
          <w:lang w:val="lv-LV"/>
        </w:rPr>
      </w:pPr>
      <w:r>
        <w:rPr>
          <w:szCs w:val="22"/>
          <w:lang w:val="lv-LV"/>
        </w:rPr>
        <w:t>Tā kā RoActemra tiek izsniegts vienā pildspalvveida pilnšļircē, maz ticams, ka lietosiet pārāk lielu devu. Taču, ja Jūs raizējaties, konsultējieties ar savu ārstu, farmaceitu vai medmāsu.</w:t>
      </w:r>
    </w:p>
    <w:p w14:paraId="0FFA1393" w14:textId="77777777" w:rsidR="00F47ADA" w:rsidRDefault="00F47ADA" w:rsidP="00F47ADA">
      <w:pPr>
        <w:ind w:right="-2"/>
        <w:rPr>
          <w:szCs w:val="22"/>
          <w:lang w:val="lv-LV"/>
        </w:rPr>
      </w:pPr>
    </w:p>
    <w:p w14:paraId="07CDB42A" w14:textId="554B515B" w:rsidR="00F47ADA" w:rsidRPr="00774870" w:rsidRDefault="00F47ADA" w:rsidP="00F47ADA">
      <w:pPr>
        <w:keepNext/>
        <w:keepLines/>
        <w:rPr>
          <w:szCs w:val="22"/>
          <w:lang w:val="lv-LV"/>
        </w:rPr>
      </w:pPr>
      <w:r w:rsidRPr="00774870">
        <w:rPr>
          <w:b/>
          <w:szCs w:val="22"/>
          <w:lang w:val="lv-LV"/>
        </w:rPr>
        <w:t xml:space="preserve">Ja </w:t>
      </w:r>
      <w:r>
        <w:rPr>
          <w:b/>
          <w:szCs w:val="22"/>
          <w:lang w:val="lv-LV"/>
        </w:rPr>
        <w:t>pieaugušais ar RA vai GCA vai pusaudzis ar sJIA izlaiž devu vai aizmirst to ievadīt</w:t>
      </w:r>
    </w:p>
    <w:p w14:paraId="798566DA" w14:textId="77777777" w:rsidR="00F47ADA" w:rsidRDefault="00F47ADA" w:rsidP="00F47ADA">
      <w:pPr>
        <w:keepNext/>
        <w:keepLines/>
        <w:rPr>
          <w:szCs w:val="22"/>
          <w:lang w:val="lv-LV"/>
        </w:rPr>
      </w:pPr>
      <w:r>
        <w:rPr>
          <w:szCs w:val="22"/>
          <w:lang w:val="lv-LV"/>
        </w:rPr>
        <w:t>Ir ļoti svarīgi RoActemra lietot atbilstoši ārsta norādījumiem. Uzraugiet nākamās devas lietošanas laiku.</w:t>
      </w:r>
    </w:p>
    <w:p w14:paraId="0DC7B0DC" w14:textId="6828200E" w:rsidR="00F47ADA" w:rsidRPr="004A48EA" w:rsidRDefault="00CF30FF" w:rsidP="00707120">
      <w:pPr>
        <w:pStyle w:val="ListParagraph"/>
        <w:keepLines/>
        <w:ind w:left="567" w:hanging="567"/>
        <w:rPr>
          <w:szCs w:val="22"/>
          <w:lang w:val="lv-LV"/>
        </w:rPr>
      </w:pPr>
      <w:r>
        <w:rPr>
          <w:lang w:val="nb-NO"/>
        </w:rPr>
        <w:sym w:font="Symbol" w:char="F0B7"/>
      </w:r>
      <w:r>
        <w:rPr>
          <w:lang w:val="nb-NO"/>
        </w:rPr>
        <w:tab/>
      </w:r>
      <w:r w:rsidR="00F47ADA" w:rsidRPr="004A48EA">
        <w:rPr>
          <w:szCs w:val="22"/>
          <w:lang w:val="lv-LV"/>
        </w:rPr>
        <w:t xml:space="preserve">Ja, lietojot zāles reizi nedēļā, par aizmirstu devu atceraties 7 dienu laikā pēc paredzētās lietošanas dienas, lietojiet devu nākamā ieplānotajā devas dienā. </w:t>
      </w:r>
    </w:p>
    <w:p w14:paraId="40D89E8B" w14:textId="7257557A" w:rsidR="00F47ADA" w:rsidRPr="00971205" w:rsidRDefault="00CF30FF">
      <w:pPr>
        <w:pStyle w:val="ListParagraph"/>
        <w:keepLines/>
        <w:ind w:left="567" w:hanging="567"/>
        <w:rPr>
          <w:szCs w:val="22"/>
          <w:lang w:val="lv-LV"/>
        </w:rPr>
      </w:pPr>
      <w:r>
        <w:rPr>
          <w:lang w:val="nb-NO"/>
        </w:rPr>
        <w:sym w:font="Symbol" w:char="F0B7"/>
      </w:r>
      <w:r>
        <w:rPr>
          <w:lang w:val="nb-NO"/>
        </w:rPr>
        <w:tab/>
      </w:r>
      <w:r w:rsidR="00F47ADA" w:rsidRPr="00971205">
        <w:rPr>
          <w:szCs w:val="22"/>
          <w:lang w:val="lv-LV"/>
        </w:rPr>
        <w:t>Ja, lietojot zāles vienu reizi divās nedēļās, par aizmirstu devu atceraties 7 dienu laikā</w:t>
      </w:r>
      <w:r w:rsidR="00F47ADA">
        <w:rPr>
          <w:lang w:val="lv-LV"/>
        </w:rPr>
        <w:t xml:space="preserve"> </w:t>
      </w:r>
      <w:r w:rsidR="00F47ADA" w:rsidRPr="00260CAB">
        <w:rPr>
          <w:szCs w:val="22"/>
          <w:lang w:val="lv-LV"/>
        </w:rPr>
        <w:t xml:space="preserve">pēc paredzētās lietošanas dienas, ievadiet to, tiklīdz par to atceraties, un lietojiet nākamo devu parastajā ieplānotajā laikā. </w:t>
      </w:r>
    </w:p>
    <w:p w14:paraId="5147244B" w14:textId="44B4B489" w:rsidR="00F47ADA" w:rsidRPr="00AC1BF0" w:rsidRDefault="00CF30FF">
      <w:pPr>
        <w:pStyle w:val="ListParagraph"/>
        <w:keepLines/>
        <w:ind w:left="567" w:hanging="567"/>
        <w:rPr>
          <w:szCs w:val="22"/>
          <w:lang w:val="lv-LV"/>
        </w:rPr>
      </w:pPr>
      <w:r>
        <w:rPr>
          <w:lang w:val="nb-NO"/>
        </w:rPr>
        <w:sym w:font="Symbol" w:char="F0B7"/>
      </w:r>
      <w:r>
        <w:rPr>
          <w:lang w:val="nb-NO"/>
        </w:rPr>
        <w:tab/>
      </w:r>
      <w:r w:rsidR="00F47ADA" w:rsidRPr="00971205">
        <w:rPr>
          <w:szCs w:val="22"/>
          <w:lang w:val="lv-LV"/>
        </w:rPr>
        <w:t>Ja par vienu reizi nedēļā vai vienu reizi divās nedēļās lietojamu devu esat aizmirsis il</w:t>
      </w:r>
      <w:r w:rsidR="00F47ADA" w:rsidRPr="009F38C5">
        <w:rPr>
          <w:szCs w:val="22"/>
          <w:lang w:val="lv-LV"/>
        </w:rPr>
        <w:t xml:space="preserve">gāk nekā 7 dienas pēc paredzētās lietošanas dienas vai neesat pārliecināts, kad injicēt RoActemra, sazinieties ar savu ārstu vai farmaceitu. </w:t>
      </w:r>
    </w:p>
    <w:p w14:paraId="31483D5E" w14:textId="77777777" w:rsidR="00F47ADA" w:rsidRPr="00B9137F" w:rsidRDefault="00F47ADA" w:rsidP="00F47ADA">
      <w:pPr>
        <w:pStyle w:val="Standard"/>
        <w:rPr>
          <w:szCs w:val="22"/>
          <w:lang w:val="lv-LV"/>
        </w:rPr>
      </w:pPr>
    </w:p>
    <w:p w14:paraId="3B671D1C" w14:textId="77777777" w:rsidR="00F47ADA" w:rsidRPr="00B9137F" w:rsidRDefault="00F47ADA" w:rsidP="00F47ADA">
      <w:pPr>
        <w:pStyle w:val="Standard"/>
        <w:rPr>
          <w:b/>
          <w:szCs w:val="22"/>
          <w:lang w:val="lv-LV"/>
        </w:rPr>
      </w:pPr>
      <w:r w:rsidRPr="00B9137F">
        <w:rPr>
          <w:b/>
          <w:szCs w:val="22"/>
          <w:lang w:val="lv-LV"/>
        </w:rPr>
        <w:t>Ja pusaudzis ar pJIA izlaiž devu vai aizmirst to ievadīt</w:t>
      </w:r>
    </w:p>
    <w:p w14:paraId="7DD48C77" w14:textId="77777777" w:rsidR="00F47ADA" w:rsidRPr="00916FA6" w:rsidRDefault="00F47ADA" w:rsidP="00F47ADA">
      <w:pPr>
        <w:keepNext/>
        <w:keepLines/>
        <w:rPr>
          <w:szCs w:val="22"/>
          <w:lang w:val="lv-LV"/>
        </w:rPr>
      </w:pPr>
      <w:r w:rsidRPr="00916FA6">
        <w:rPr>
          <w:szCs w:val="22"/>
          <w:lang w:val="lv-LV"/>
        </w:rPr>
        <w:t xml:space="preserve">Ir ļoti svarīgi RoActemra lietot atbilstoši ārsta norādījumiem. Uzraugiet nākamās devas lietošanas laiku. </w:t>
      </w:r>
    </w:p>
    <w:p w14:paraId="5E1DB481" w14:textId="0F397CD3" w:rsidR="00F47ADA" w:rsidRPr="004A48EA" w:rsidRDefault="00CF30FF" w:rsidP="00707120">
      <w:pPr>
        <w:pStyle w:val="ListParagraph"/>
        <w:keepNext/>
        <w:keepLines/>
        <w:ind w:left="567" w:hanging="567"/>
        <w:rPr>
          <w:szCs w:val="22"/>
          <w:lang w:val="lv-LV"/>
        </w:rPr>
      </w:pPr>
      <w:r>
        <w:rPr>
          <w:lang w:val="nb-NO"/>
        </w:rPr>
        <w:sym w:font="Symbol" w:char="F0B7"/>
      </w:r>
      <w:r>
        <w:rPr>
          <w:lang w:val="nb-NO"/>
        </w:rPr>
        <w:tab/>
      </w:r>
      <w:r w:rsidR="00F47ADA" w:rsidRPr="004A48EA">
        <w:rPr>
          <w:szCs w:val="22"/>
          <w:lang w:val="lv-LV"/>
        </w:rPr>
        <w:t>Ja par aizmirstu devu atceraties 7 dienu laikā pēc paredzētās lietošanas dienas, ievadiet to, tiklīdz par to atceraties, un lietojiet nākamo devu parastajā ieplānotajā laikā.</w:t>
      </w:r>
    </w:p>
    <w:p w14:paraId="34A29BB2" w14:textId="77E33FB3" w:rsidR="00F47ADA" w:rsidRPr="004A48EA" w:rsidRDefault="00CF30FF" w:rsidP="00707120">
      <w:pPr>
        <w:pStyle w:val="ListParagraph"/>
        <w:keepNext/>
        <w:keepLines/>
        <w:ind w:left="567" w:hanging="567"/>
        <w:rPr>
          <w:szCs w:val="22"/>
          <w:lang w:val="lv-LV"/>
        </w:rPr>
      </w:pPr>
      <w:r>
        <w:rPr>
          <w:lang w:val="nb-NO"/>
        </w:rPr>
        <w:sym w:font="Symbol" w:char="F0B7"/>
      </w:r>
      <w:r>
        <w:rPr>
          <w:lang w:val="nb-NO"/>
        </w:rPr>
        <w:tab/>
      </w:r>
      <w:r w:rsidR="00F47ADA" w:rsidRPr="004A48EA">
        <w:rPr>
          <w:szCs w:val="22"/>
          <w:lang w:val="lv-LV"/>
        </w:rPr>
        <w:t xml:space="preserve">Ja par zāļu devu esat aizmirsis ilgāk nekā 7 dienas pēc paredzētās lietošanas dienas vai neesat pārliecināts, kad injicēt RoActemra, sazinieties ar savu ārstu vai farmaceitu. </w:t>
      </w:r>
    </w:p>
    <w:p w14:paraId="5D3BC58B" w14:textId="77777777" w:rsidR="00F47ADA" w:rsidRDefault="00F47ADA" w:rsidP="00F47ADA">
      <w:pPr>
        <w:ind w:right="-2"/>
        <w:rPr>
          <w:szCs w:val="22"/>
          <w:lang w:val="lv-LV"/>
        </w:rPr>
      </w:pPr>
    </w:p>
    <w:p w14:paraId="59164315" w14:textId="77777777" w:rsidR="00F47ADA" w:rsidRPr="00774870" w:rsidRDefault="00F47ADA" w:rsidP="00F47ADA">
      <w:pPr>
        <w:ind w:right="-2"/>
        <w:rPr>
          <w:szCs w:val="22"/>
          <w:lang w:val="lv-LV"/>
        </w:rPr>
      </w:pPr>
      <w:r w:rsidRPr="00774870">
        <w:rPr>
          <w:b/>
          <w:szCs w:val="22"/>
          <w:lang w:val="lv-LV"/>
        </w:rPr>
        <w:t>Ja pārtraucat RoActemra lietošanu</w:t>
      </w:r>
    </w:p>
    <w:p w14:paraId="46185173" w14:textId="77777777" w:rsidR="00F47ADA" w:rsidRDefault="00F47ADA" w:rsidP="00F47ADA">
      <w:pPr>
        <w:ind w:right="-2"/>
        <w:rPr>
          <w:szCs w:val="22"/>
          <w:lang w:val="lv-LV"/>
        </w:rPr>
      </w:pPr>
      <w:r>
        <w:rPr>
          <w:szCs w:val="22"/>
          <w:lang w:val="lv-LV"/>
        </w:rPr>
        <w:t>Jūs nedrīkstat pārtraukt RoActemra lietošanu, iepriekš neapspriežoties ar ārstu.</w:t>
      </w:r>
    </w:p>
    <w:p w14:paraId="2DF973EF" w14:textId="77777777" w:rsidR="00F47ADA" w:rsidRDefault="00F47ADA" w:rsidP="00F47ADA">
      <w:pPr>
        <w:ind w:right="-2"/>
        <w:rPr>
          <w:szCs w:val="22"/>
          <w:lang w:val="lv-LV"/>
        </w:rPr>
      </w:pPr>
    </w:p>
    <w:p w14:paraId="55E1526B" w14:textId="77777777" w:rsidR="00F47ADA" w:rsidRDefault="00F47ADA" w:rsidP="00F47ADA">
      <w:pPr>
        <w:ind w:right="-2"/>
        <w:rPr>
          <w:szCs w:val="22"/>
          <w:lang w:val="lv-LV"/>
        </w:rPr>
      </w:pPr>
      <w:r>
        <w:rPr>
          <w:szCs w:val="22"/>
          <w:lang w:val="lv-LV"/>
        </w:rPr>
        <w:t xml:space="preserve">Ja Jums ir kādi jautājumi par šo zāļu lietošanu, jautājiet </w:t>
      </w:r>
      <w:r>
        <w:rPr>
          <w:bCs/>
          <w:szCs w:val="22"/>
          <w:lang w:val="lv-LV"/>
        </w:rPr>
        <w:t>ārstam, farmaceitam vai medmāsai.</w:t>
      </w:r>
    </w:p>
    <w:p w14:paraId="4023AE5C" w14:textId="77777777" w:rsidR="00F47ADA" w:rsidRDefault="00F47ADA" w:rsidP="00F47ADA">
      <w:pPr>
        <w:ind w:right="-2"/>
        <w:rPr>
          <w:szCs w:val="22"/>
          <w:lang w:val="lv-LV"/>
        </w:rPr>
      </w:pPr>
    </w:p>
    <w:p w14:paraId="33E4D0F2" w14:textId="77777777" w:rsidR="00F47ADA" w:rsidRPr="00774870" w:rsidRDefault="00F47ADA" w:rsidP="00F47ADA">
      <w:pPr>
        <w:ind w:right="-2"/>
        <w:rPr>
          <w:szCs w:val="22"/>
          <w:lang w:val="lv-LV"/>
        </w:rPr>
      </w:pPr>
    </w:p>
    <w:p w14:paraId="6C309F5D" w14:textId="77777777" w:rsidR="00F47ADA" w:rsidRPr="00980DD8" w:rsidRDefault="00F47ADA" w:rsidP="00F47ADA">
      <w:pPr>
        <w:ind w:left="567" w:right="-2" w:hanging="567"/>
        <w:rPr>
          <w:szCs w:val="22"/>
          <w:lang w:val="lv-LV"/>
        </w:rPr>
      </w:pPr>
      <w:r w:rsidRPr="00980DD8">
        <w:rPr>
          <w:b/>
          <w:szCs w:val="22"/>
          <w:lang w:val="lv-LV"/>
        </w:rPr>
        <w:t>4.</w:t>
      </w:r>
      <w:r w:rsidRPr="00980DD8">
        <w:rPr>
          <w:b/>
          <w:szCs w:val="22"/>
          <w:lang w:val="lv-LV"/>
        </w:rPr>
        <w:tab/>
        <w:t>Iespējamās blakusparādības</w:t>
      </w:r>
    </w:p>
    <w:p w14:paraId="205EAF9E" w14:textId="77777777" w:rsidR="00F47ADA" w:rsidRDefault="00F47ADA" w:rsidP="00F47ADA">
      <w:pPr>
        <w:ind w:right="-2"/>
        <w:rPr>
          <w:szCs w:val="22"/>
          <w:lang w:val="lv-LV"/>
        </w:rPr>
      </w:pPr>
    </w:p>
    <w:p w14:paraId="6B840B8D" w14:textId="77777777" w:rsidR="00F47ADA" w:rsidRDefault="00F47ADA" w:rsidP="00F47ADA">
      <w:pPr>
        <w:ind w:right="-29"/>
        <w:rPr>
          <w:szCs w:val="22"/>
          <w:lang w:val="lv-LV"/>
        </w:rPr>
      </w:pPr>
      <w:r>
        <w:rPr>
          <w:szCs w:val="22"/>
          <w:lang w:val="lv-LV"/>
        </w:rPr>
        <w:t xml:space="preserve">Tāpat kā visas zāles, RoActemra var izraisīt blakusparādības, kaut arī ne visiem tās izpaužas. </w:t>
      </w:r>
    </w:p>
    <w:p w14:paraId="43BC012E" w14:textId="640FAB5D" w:rsidR="00F47ADA" w:rsidRDefault="00F47ADA" w:rsidP="00F47ADA">
      <w:pPr>
        <w:ind w:right="-29"/>
        <w:rPr>
          <w:szCs w:val="22"/>
          <w:lang w:val="lv-LV"/>
        </w:rPr>
      </w:pPr>
      <w:r>
        <w:rPr>
          <w:szCs w:val="22"/>
          <w:lang w:val="lv-LV"/>
        </w:rPr>
        <w:t xml:space="preserve">Blakusparādības var rasties 3 vai vairāk mēnešu laikā pēc RoActemra pēdējās devas lietošanas. </w:t>
      </w:r>
    </w:p>
    <w:p w14:paraId="1E861D5A" w14:textId="77777777" w:rsidR="00F47ADA" w:rsidRDefault="00F47ADA" w:rsidP="00F47ADA">
      <w:pPr>
        <w:ind w:right="-29"/>
        <w:rPr>
          <w:szCs w:val="22"/>
          <w:lang w:val="lv-LV"/>
        </w:rPr>
      </w:pPr>
    </w:p>
    <w:p w14:paraId="1A20BECB" w14:textId="482DFA02" w:rsidR="00F47ADA" w:rsidRDefault="00F47ADA" w:rsidP="00F47ADA">
      <w:pPr>
        <w:ind w:right="-2"/>
        <w:rPr>
          <w:b/>
          <w:bCs/>
          <w:szCs w:val="22"/>
          <w:lang w:val="lv-LV"/>
        </w:rPr>
      </w:pPr>
      <w:r w:rsidRPr="00774870">
        <w:rPr>
          <w:b/>
          <w:bCs/>
          <w:szCs w:val="22"/>
          <w:lang w:val="lv-LV"/>
        </w:rPr>
        <w:t>Iespējamas nopietnas blakusparādības</w:t>
      </w:r>
    </w:p>
    <w:p w14:paraId="754434F4" w14:textId="05CE4923" w:rsidR="00F47ADA" w:rsidRPr="00774870" w:rsidRDefault="00F47ADA" w:rsidP="00F47ADA">
      <w:pPr>
        <w:ind w:right="-2"/>
        <w:rPr>
          <w:b/>
          <w:bCs/>
          <w:szCs w:val="22"/>
          <w:lang w:val="lv-LV"/>
        </w:rPr>
      </w:pPr>
      <w:r>
        <w:rPr>
          <w:b/>
          <w:bCs/>
          <w:szCs w:val="22"/>
          <w:lang w:val="lv-LV"/>
        </w:rPr>
        <w:t>N</w:t>
      </w:r>
      <w:r w:rsidRPr="00774870">
        <w:rPr>
          <w:b/>
          <w:bCs/>
          <w:szCs w:val="22"/>
          <w:lang w:val="lv-LV"/>
        </w:rPr>
        <w:t>ekavējoties</w:t>
      </w:r>
      <w:r w:rsidRPr="00707120">
        <w:rPr>
          <w:szCs w:val="22"/>
          <w:lang w:val="lv-LV"/>
        </w:rPr>
        <w:t xml:space="preserve"> informējiet ārstu, ja Jums ir radusies kāda no turpmāk minētajām blakuparādībām</w:t>
      </w:r>
      <w:r>
        <w:rPr>
          <w:b/>
          <w:bCs/>
          <w:szCs w:val="22"/>
          <w:lang w:val="lv-LV"/>
        </w:rPr>
        <w:t>.</w:t>
      </w:r>
    </w:p>
    <w:p w14:paraId="54B07238" w14:textId="6B3EE3DA" w:rsidR="00F47ADA" w:rsidRPr="00A80C5E" w:rsidRDefault="00F47ADA" w:rsidP="00F47ADA">
      <w:pPr>
        <w:suppressAutoHyphens w:val="0"/>
        <w:rPr>
          <w:i/>
          <w:lang w:val="lv-LV"/>
        </w:rPr>
      </w:pPr>
      <w:r>
        <w:rPr>
          <w:bCs/>
          <w:i/>
          <w:iCs/>
          <w:szCs w:val="22"/>
          <w:lang w:val="lv-LV"/>
        </w:rPr>
        <w:t xml:space="preserve">Tās ir biežas: </w:t>
      </w:r>
      <w:r w:rsidRPr="00A80C5E">
        <w:rPr>
          <w:i/>
          <w:lang w:val="lv-LV"/>
        </w:rPr>
        <w:t>var rasties līdz 1</w:t>
      </w:r>
      <w:r>
        <w:rPr>
          <w:i/>
          <w:lang w:val="lv-LV"/>
        </w:rPr>
        <w:t> </w:t>
      </w:r>
      <w:r w:rsidRPr="00A80C5E">
        <w:rPr>
          <w:i/>
          <w:lang w:val="lv-LV"/>
        </w:rPr>
        <w:t>no 10 </w:t>
      </w:r>
      <w:r>
        <w:rPr>
          <w:i/>
          <w:lang w:val="lv-LV"/>
        </w:rPr>
        <w:t>cilvēkiem</w:t>
      </w:r>
    </w:p>
    <w:p w14:paraId="101AB8AC" w14:textId="77777777" w:rsidR="00F47ADA" w:rsidRDefault="00F47ADA" w:rsidP="00F47ADA">
      <w:pPr>
        <w:suppressAutoHyphens w:val="0"/>
        <w:rPr>
          <w:b/>
          <w:lang w:val="lv-LV" w:eastAsia="ja-JP"/>
        </w:rPr>
      </w:pPr>
    </w:p>
    <w:p w14:paraId="6C2B484B" w14:textId="6DA230A3" w:rsidR="00F47ADA" w:rsidDel="00026178" w:rsidRDefault="00F47ADA" w:rsidP="00F47ADA">
      <w:pPr>
        <w:suppressAutoHyphens w:val="0"/>
        <w:rPr>
          <w:bCs/>
          <w:lang w:val="lv-LV" w:eastAsia="ja-JP"/>
        </w:rPr>
      </w:pPr>
      <w:r w:rsidDel="00026178">
        <w:rPr>
          <w:b/>
          <w:lang w:val="lv-LV" w:eastAsia="ja-JP"/>
        </w:rPr>
        <w:t xml:space="preserve">Alerģiskas reakcijas </w:t>
      </w:r>
      <w:r w:rsidDel="00026178">
        <w:rPr>
          <w:bCs/>
          <w:lang w:val="lv-LV" w:eastAsia="ja-JP"/>
        </w:rPr>
        <w:t>injekcijas laikā vai pēc tās:</w:t>
      </w:r>
    </w:p>
    <w:p w14:paraId="53814CB9" w14:textId="3F8E2614" w:rsidR="00F47ADA" w:rsidRPr="004A48EA" w:rsidRDefault="00CF30FF" w:rsidP="00707120">
      <w:pPr>
        <w:pStyle w:val="ListParagraph"/>
        <w:suppressAutoHyphens w:val="0"/>
        <w:ind w:left="567" w:hanging="567"/>
        <w:rPr>
          <w:lang w:val="lv-LV" w:eastAsia="ja-JP"/>
        </w:rPr>
      </w:pPr>
      <w:r>
        <w:rPr>
          <w:lang w:val="nb-NO"/>
        </w:rPr>
        <w:sym w:font="Symbol" w:char="F0B7"/>
      </w:r>
      <w:r>
        <w:rPr>
          <w:lang w:val="nb-NO"/>
        </w:rPr>
        <w:tab/>
      </w:r>
      <w:r w:rsidR="00F47ADA" w:rsidRPr="004A48EA">
        <w:rPr>
          <w:lang w:val="lv-LV" w:eastAsia="ja-JP"/>
        </w:rPr>
        <w:t>apgrūtināta elpošana, spiedoša sajūta krūtīs vai galvas reibšana;</w:t>
      </w:r>
    </w:p>
    <w:p w14:paraId="22692934" w14:textId="7A9EC067" w:rsidR="00F47ADA" w:rsidRPr="004A48EA" w:rsidRDefault="00CF30FF" w:rsidP="00707120">
      <w:pPr>
        <w:pStyle w:val="ListParagraph"/>
        <w:suppressAutoHyphens w:val="0"/>
        <w:ind w:left="567" w:hanging="567"/>
        <w:rPr>
          <w:lang w:val="lv-LV" w:eastAsia="ja-JP"/>
        </w:rPr>
      </w:pPr>
      <w:r>
        <w:rPr>
          <w:lang w:val="nb-NO"/>
        </w:rPr>
        <w:sym w:font="Symbol" w:char="F0B7"/>
      </w:r>
      <w:r>
        <w:rPr>
          <w:lang w:val="nb-NO"/>
        </w:rPr>
        <w:tab/>
      </w:r>
      <w:r w:rsidR="00F47ADA" w:rsidRPr="004A48EA">
        <w:rPr>
          <w:lang w:val="lv-LV" w:eastAsia="ja-JP"/>
        </w:rPr>
        <w:t xml:space="preserve">izsitumi, nieze, nātrene, lūpu, </w:t>
      </w:r>
      <w:r w:rsidR="00F47ADA" w:rsidRPr="004A48EA">
        <w:rPr>
          <w:szCs w:val="22"/>
          <w:lang w:val="lv-LV" w:eastAsia="en-US" w:bidi="ne-NP"/>
        </w:rPr>
        <w:t>m</w:t>
      </w:r>
      <w:r w:rsidR="00F47ADA" w:rsidRPr="00707120">
        <w:rPr>
          <w:szCs w:val="22"/>
          <w:lang w:val="lv-LV" w:eastAsia="en-US" w:bidi="ne-NP"/>
        </w:rPr>
        <w:t>ē</w:t>
      </w:r>
      <w:r w:rsidR="00F47ADA" w:rsidRPr="004A48EA">
        <w:rPr>
          <w:szCs w:val="22"/>
          <w:lang w:val="lv-LV" w:eastAsia="en-US" w:bidi="ne-NP"/>
        </w:rPr>
        <w:t>les vai sejas piet</w:t>
      </w:r>
      <w:r w:rsidR="00F47ADA" w:rsidRPr="00707120">
        <w:rPr>
          <w:szCs w:val="22"/>
          <w:lang w:val="lv-LV" w:eastAsia="en-US" w:bidi="ne-NP"/>
        </w:rPr>
        <w:t>ū</w:t>
      </w:r>
      <w:r w:rsidR="00F47ADA" w:rsidRPr="004A48EA">
        <w:rPr>
          <w:szCs w:val="22"/>
          <w:lang w:val="lv-LV" w:eastAsia="en-US" w:bidi="ne-NP"/>
        </w:rPr>
        <w:t>kums;</w:t>
      </w:r>
    </w:p>
    <w:p w14:paraId="04A01706" w14:textId="77777777" w:rsidR="00F47ADA" w:rsidRDefault="00F47ADA" w:rsidP="00F47ADA">
      <w:pPr>
        <w:ind w:right="-2"/>
        <w:rPr>
          <w:b/>
          <w:bCs/>
          <w:szCs w:val="22"/>
          <w:lang w:val="lv-LV"/>
        </w:rPr>
      </w:pPr>
    </w:p>
    <w:p w14:paraId="0C9FECB7" w14:textId="5505AE25" w:rsidR="00F47ADA" w:rsidDel="00026178" w:rsidRDefault="00F47ADA" w:rsidP="00F47ADA">
      <w:pPr>
        <w:keepNext/>
        <w:ind w:right="-2"/>
        <w:rPr>
          <w:rFonts w:ascii="Symbol" w:hAnsi="Symbol" w:cs="Symbol"/>
          <w:szCs w:val="22"/>
          <w:lang w:val="lv-LV"/>
        </w:rPr>
      </w:pPr>
      <w:r w:rsidDel="00026178">
        <w:rPr>
          <w:b/>
          <w:szCs w:val="22"/>
          <w:lang w:val="lv-LV"/>
        </w:rPr>
        <w:t>Nopietnu infekciju pazīmes</w:t>
      </w:r>
      <w:r w:rsidDel="00026178">
        <w:rPr>
          <w:szCs w:val="22"/>
          <w:lang w:val="lv-LV"/>
        </w:rPr>
        <w:t>:</w:t>
      </w:r>
    </w:p>
    <w:p w14:paraId="6E48F069" w14:textId="22306D4F" w:rsidR="00F47ADA" w:rsidRPr="00707120" w:rsidRDefault="00CF30FF" w:rsidP="00707120">
      <w:pPr>
        <w:pStyle w:val="ListParagraph"/>
        <w:keepNext/>
        <w:ind w:left="567" w:hanging="567"/>
        <w:rPr>
          <w:szCs w:val="22"/>
          <w:lang w:val="lv-LV"/>
        </w:rPr>
      </w:pPr>
      <w:r>
        <w:rPr>
          <w:lang w:val="nb-NO"/>
        </w:rPr>
        <w:sym w:font="Symbol" w:char="F0B7"/>
      </w:r>
      <w:r>
        <w:rPr>
          <w:lang w:val="nb-NO"/>
        </w:rPr>
        <w:tab/>
      </w:r>
      <w:r w:rsidR="00F47ADA" w:rsidRPr="004A48EA">
        <w:rPr>
          <w:lang w:val="lv-LV"/>
        </w:rPr>
        <w:t>drudzis un drebuļi;</w:t>
      </w:r>
    </w:p>
    <w:p w14:paraId="7F3BD45E" w14:textId="076A93CF" w:rsidR="00F47ADA" w:rsidRPr="00707120" w:rsidRDefault="00CF30FF" w:rsidP="00707120">
      <w:pPr>
        <w:pStyle w:val="ListParagraph"/>
        <w:keepNext/>
        <w:ind w:left="567" w:hanging="567"/>
        <w:rPr>
          <w:szCs w:val="22"/>
          <w:lang w:val="lv-LV"/>
        </w:rPr>
      </w:pPr>
      <w:r>
        <w:rPr>
          <w:lang w:val="nb-NO"/>
        </w:rPr>
        <w:sym w:font="Symbol" w:char="F0B7"/>
      </w:r>
      <w:r>
        <w:rPr>
          <w:lang w:val="nb-NO"/>
        </w:rPr>
        <w:tab/>
      </w:r>
      <w:r w:rsidR="00F47ADA" w:rsidRPr="004A48EA">
        <w:rPr>
          <w:lang w:val="lv-LV"/>
        </w:rPr>
        <w:t>pūšļi mutes dobumā vai uz ādas;</w:t>
      </w:r>
    </w:p>
    <w:p w14:paraId="354F0D77" w14:textId="72971BC2" w:rsidR="00F47ADA" w:rsidRPr="00707120" w:rsidDel="001F6D14" w:rsidRDefault="00CF30FF" w:rsidP="001F6D14">
      <w:pPr>
        <w:pStyle w:val="ListParagraph"/>
        <w:keepNext/>
        <w:ind w:left="567" w:hanging="567"/>
        <w:rPr>
          <w:del w:id="2086" w:author="Author"/>
          <w:szCs w:val="22"/>
          <w:lang w:val="lv-LV"/>
        </w:rPr>
      </w:pPr>
      <w:r>
        <w:rPr>
          <w:lang w:val="nb-NO"/>
        </w:rPr>
        <w:sym w:font="Symbol" w:char="F0B7"/>
      </w:r>
      <w:r>
        <w:rPr>
          <w:lang w:val="nb-NO"/>
        </w:rPr>
        <w:tab/>
      </w:r>
    </w:p>
    <w:p w14:paraId="34C456B0" w14:textId="2A10D8FD" w:rsidR="00F47ADA" w:rsidDel="001F6D14" w:rsidRDefault="00F47ADA">
      <w:pPr>
        <w:pStyle w:val="ListParagraph"/>
        <w:keepNext/>
        <w:ind w:left="567" w:hanging="567"/>
        <w:rPr>
          <w:del w:id="2087" w:author="Author"/>
          <w:b/>
          <w:szCs w:val="22"/>
          <w:lang w:val="lv-LV"/>
        </w:rPr>
        <w:pPrChange w:id="2088" w:author="Author">
          <w:pPr/>
        </w:pPrChange>
      </w:pPr>
    </w:p>
    <w:p w14:paraId="2AFCF995" w14:textId="32A4917C" w:rsidR="00026178" w:rsidRDefault="00026178" w:rsidP="001F6D14">
      <w:pPr>
        <w:pStyle w:val="ListParagraph"/>
        <w:keepNext/>
        <w:ind w:left="567" w:hanging="567"/>
        <w:rPr>
          <w:ins w:id="2089" w:author="Author"/>
          <w:szCs w:val="22"/>
          <w:lang w:val="lv-LV"/>
        </w:rPr>
      </w:pPr>
      <w:del w:id="2090" w:author="Author">
        <w:r w:rsidDel="001F6D14">
          <w:rPr>
            <w:lang w:val="nb-NO"/>
          </w:rPr>
          <w:sym w:font="Symbol" w:char="F0B7"/>
        </w:r>
        <w:r w:rsidDel="001F6D14">
          <w:rPr>
            <w:lang w:val="nb-NO"/>
          </w:rPr>
          <w:delText xml:space="preserve">       </w:delText>
        </w:r>
      </w:del>
      <w:r>
        <w:rPr>
          <w:lang w:val="nb-NO"/>
        </w:rPr>
        <w:t>s</w:t>
      </w:r>
      <w:r w:rsidRPr="00026178">
        <w:rPr>
          <w:szCs w:val="22"/>
          <w:lang w:val="lv-LV"/>
        </w:rPr>
        <w:t>āpes vēderā</w:t>
      </w:r>
      <w:ins w:id="2091" w:author="Author">
        <w:r w:rsidR="00B35EF2">
          <w:rPr>
            <w:szCs w:val="22"/>
            <w:lang w:val="lv-LV"/>
          </w:rPr>
          <w:t>.</w:t>
        </w:r>
      </w:ins>
      <w:r w:rsidRPr="00026178">
        <w:rPr>
          <w:szCs w:val="22"/>
          <w:lang w:val="lv-LV"/>
        </w:rPr>
        <w:t xml:space="preserve"> </w:t>
      </w:r>
    </w:p>
    <w:p w14:paraId="703860AD" w14:textId="77777777" w:rsidR="001F6D14" w:rsidRDefault="001F6D14" w:rsidP="001F6D14">
      <w:pPr>
        <w:rPr>
          <w:b/>
          <w:szCs w:val="22"/>
          <w:lang w:val="lv-LV"/>
        </w:rPr>
      </w:pPr>
    </w:p>
    <w:p w14:paraId="6B3E6A36" w14:textId="105A2677" w:rsidR="00F47ADA" w:rsidDel="00026178" w:rsidRDefault="00F47ADA" w:rsidP="00F47ADA">
      <w:pPr>
        <w:rPr>
          <w:b/>
          <w:szCs w:val="22"/>
          <w:lang w:val="lv-LV"/>
        </w:rPr>
      </w:pPr>
      <w:r w:rsidDel="00026178">
        <w:rPr>
          <w:b/>
          <w:szCs w:val="22"/>
          <w:lang w:val="lv-LV"/>
        </w:rPr>
        <w:t>Aknu toksicitātes pazīmes un simptomi</w:t>
      </w:r>
    </w:p>
    <w:p w14:paraId="547D965F" w14:textId="5B2E2643" w:rsidR="00F47ADA" w:rsidDel="00026178" w:rsidRDefault="00F47ADA" w:rsidP="00F47ADA">
      <w:pPr>
        <w:rPr>
          <w:i/>
          <w:lang w:val="lv-LV"/>
        </w:rPr>
      </w:pPr>
      <w:r w:rsidDel="00026178">
        <w:rPr>
          <w:i/>
          <w:lang w:val="lv-LV"/>
        </w:rPr>
        <w:t xml:space="preserve">Tās ir retas: </w:t>
      </w:r>
      <w:r w:rsidRPr="00552EF9" w:rsidDel="00026178">
        <w:rPr>
          <w:i/>
          <w:lang w:val="lv-LV"/>
        </w:rPr>
        <w:t>var rasties līdz 1</w:t>
      </w:r>
      <w:r w:rsidDel="00026178">
        <w:rPr>
          <w:i/>
          <w:lang w:val="lv-LV"/>
        </w:rPr>
        <w:t> </w:t>
      </w:r>
      <w:r w:rsidRPr="00552EF9" w:rsidDel="00026178">
        <w:rPr>
          <w:i/>
          <w:lang w:val="lv-LV"/>
        </w:rPr>
        <w:t>no 10</w:t>
      </w:r>
      <w:r w:rsidDel="00026178">
        <w:rPr>
          <w:i/>
          <w:lang w:val="lv-LV"/>
        </w:rPr>
        <w:t>00</w:t>
      </w:r>
      <w:r w:rsidRPr="00552EF9" w:rsidDel="00026178">
        <w:rPr>
          <w:i/>
          <w:lang w:val="lv-LV"/>
        </w:rPr>
        <w:t> </w:t>
      </w:r>
      <w:r w:rsidDel="00026178">
        <w:rPr>
          <w:i/>
          <w:lang w:val="lv-LV"/>
        </w:rPr>
        <w:t>cilvēkiem:</w:t>
      </w:r>
    </w:p>
    <w:p w14:paraId="70FEA4FB" w14:textId="3F2785E9" w:rsidR="00F47ADA" w:rsidRPr="004A48EA" w:rsidRDefault="00CF30FF" w:rsidP="00707120">
      <w:pPr>
        <w:pStyle w:val="ListParagraph"/>
        <w:ind w:left="567" w:hanging="567"/>
        <w:rPr>
          <w:lang w:val="lv-LV"/>
        </w:rPr>
      </w:pPr>
      <w:r>
        <w:rPr>
          <w:lang w:val="nb-NO"/>
        </w:rPr>
        <w:sym w:font="Symbol" w:char="F0B7"/>
      </w:r>
      <w:r>
        <w:rPr>
          <w:lang w:val="nb-NO"/>
        </w:rPr>
        <w:tab/>
      </w:r>
      <w:r w:rsidR="00F47ADA" w:rsidRPr="004A48EA">
        <w:rPr>
          <w:lang w:val="lv-LV"/>
        </w:rPr>
        <w:t>nogurums;</w:t>
      </w:r>
    </w:p>
    <w:p w14:paraId="740C35A7" w14:textId="1206397F" w:rsidR="00F47ADA" w:rsidRPr="004A48EA" w:rsidRDefault="00CF30FF" w:rsidP="00707120">
      <w:pPr>
        <w:pStyle w:val="ListParagraph"/>
        <w:ind w:left="567" w:hanging="567"/>
        <w:rPr>
          <w:lang w:val="lv-LV"/>
        </w:rPr>
      </w:pPr>
      <w:r>
        <w:rPr>
          <w:lang w:val="nb-NO"/>
        </w:rPr>
        <w:sym w:font="Symbol" w:char="F0B7"/>
      </w:r>
      <w:r>
        <w:rPr>
          <w:lang w:val="nb-NO"/>
        </w:rPr>
        <w:tab/>
      </w:r>
      <w:r w:rsidR="00F47ADA" w:rsidRPr="004A48EA">
        <w:rPr>
          <w:lang w:val="lv-LV"/>
        </w:rPr>
        <w:t>sāpes vēderā;</w:t>
      </w:r>
    </w:p>
    <w:p w14:paraId="13734D45" w14:textId="7261FD53" w:rsidR="00F47ADA" w:rsidRPr="004A48EA" w:rsidRDefault="00CF30FF" w:rsidP="00707120">
      <w:pPr>
        <w:pStyle w:val="ListParagraph"/>
        <w:ind w:left="567" w:hanging="567"/>
        <w:rPr>
          <w:lang w:val="lv-LV"/>
        </w:rPr>
      </w:pPr>
      <w:r>
        <w:rPr>
          <w:lang w:val="nb-NO"/>
        </w:rPr>
        <w:sym w:font="Symbol" w:char="F0B7"/>
      </w:r>
      <w:r>
        <w:rPr>
          <w:lang w:val="nb-NO"/>
        </w:rPr>
        <w:tab/>
      </w:r>
      <w:r w:rsidR="00F47ADA" w:rsidRPr="004A48EA">
        <w:rPr>
          <w:lang w:val="lv-LV"/>
        </w:rPr>
        <w:t>dzelte (dzeltena ādas vai acu nokrāsa).</w:t>
      </w:r>
    </w:p>
    <w:p w14:paraId="4967FE72" w14:textId="77777777" w:rsidR="00F47ADA" w:rsidRDefault="00F47ADA" w:rsidP="00F47ADA">
      <w:pPr>
        <w:ind w:left="720" w:hanging="720"/>
        <w:rPr>
          <w:lang w:val="lv-LV"/>
        </w:rPr>
      </w:pPr>
    </w:p>
    <w:p w14:paraId="359945F7" w14:textId="77777777" w:rsidR="00F47ADA" w:rsidRPr="00707120" w:rsidRDefault="00F47ADA" w:rsidP="00F47ADA">
      <w:pPr>
        <w:rPr>
          <w:b/>
          <w:bCs/>
          <w:lang w:val="lv-LV"/>
        </w:rPr>
      </w:pPr>
      <w:r>
        <w:rPr>
          <w:b/>
          <w:bCs/>
          <w:lang w:val="lv-LV"/>
        </w:rPr>
        <w:t>Citu iespējamo blakusparādību saraksts</w:t>
      </w:r>
    </w:p>
    <w:p w14:paraId="541DD372" w14:textId="77777777" w:rsidR="00F47ADA" w:rsidRDefault="00F47ADA" w:rsidP="00F47ADA">
      <w:pPr>
        <w:rPr>
          <w:szCs w:val="22"/>
          <w:lang w:val="lv-LV"/>
        </w:rPr>
      </w:pPr>
      <w:r>
        <w:rPr>
          <w:lang w:val="lv-LV"/>
        </w:rPr>
        <w:t xml:space="preserve">Ja pamanāt jebkuras no šīm pazīmēm, pastāstiet ārstam, </w:t>
      </w:r>
      <w:r>
        <w:rPr>
          <w:b/>
          <w:lang w:val="lv-LV"/>
        </w:rPr>
        <w:t>cik drīz vien iespējams</w:t>
      </w:r>
      <w:r>
        <w:rPr>
          <w:lang w:val="lv-LV"/>
        </w:rPr>
        <w:t>.</w:t>
      </w:r>
    </w:p>
    <w:p w14:paraId="17459788" w14:textId="77777777" w:rsidR="00F47ADA" w:rsidRDefault="00F47ADA" w:rsidP="00F47ADA">
      <w:pPr>
        <w:ind w:right="-2"/>
        <w:rPr>
          <w:szCs w:val="22"/>
          <w:lang w:val="lv-LV"/>
        </w:rPr>
      </w:pPr>
    </w:p>
    <w:p w14:paraId="63D2EB16" w14:textId="2104A896" w:rsidR="00F47ADA" w:rsidRPr="00774870" w:rsidRDefault="00F47ADA" w:rsidP="00F47ADA">
      <w:pPr>
        <w:keepNext/>
        <w:keepLines/>
        <w:rPr>
          <w:b/>
          <w:i/>
          <w:szCs w:val="22"/>
          <w:lang w:val="lv-LV"/>
        </w:rPr>
      </w:pPr>
      <w:r w:rsidRPr="00774870">
        <w:rPr>
          <w:b/>
          <w:szCs w:val="22"/>
          <w:lang w:val="lv-LV"/>
        </w:rPr>
        <w:t>Ļoti biežas blakusparādības</w:t>
      </w:r>
    </w:p>
    <w:p w14:paraId="2D918B0D" w14:textId="0CF625E4" w:rsidR="00F47ADA" w:rsidRDefault="00F47ADA" w:rsidP="00F47ADA">
      <w:pPr>
        <w:keepNext/>
        <w:keepLines/>
        <w:ind w:left="567" w:hanging="567"/>
        <w:rPr>
          <w:rFonts w:ascii="Symbol" w:hAnsi="Symbol" w:cs="Symbol"/>
          <w:szCs w:val="22"/>
          <w:lang w:val="lv-LV"/>
        </w:rPr>
      </w:pPr>
      <w:r>
        <w:rPr>
          <w:i/>
          <w:lang w:val="lv-LV"/>
        </w:rPr>
        <w:t>Tās var rasties 1 no 10 cilvēkiem</w:t>
      </w:r>
      <w:r w:rsidR="00723655">
        <w:rPr>
          <w:i/>
          <w:lang w:val="lv-LV"/>
        </w:rPr>
        <w:t xml:space="preserve"> vai</w:t>
      </w:r>
      <w:r w:rsidR="00723655" w:rsidRPr="00723655">
        <w:rPr>
          <w:i/>
          <w:lang w:val="lv-LV"/>
        </w:rPr>
        <w:t xml:space="preserve"> </w:t>
      </w:r>
      <w:r w:rsidR="00723655">
        <w:rPr>
          <w:i/>
          <w:lang w:val="lv-LV"/>
        </w:rPr>
        <w:t>vairāk</w:t>
      </w:r>
      <w:r>
        <w:rPr>
          <w:i/>
          <w:lang w:val="lv-LV"/>
        </w:rPr>
        <w:t>:</w:t>
      </w:r>
    </w:p>
    <w:p w14:paraId="43904651" w14:textId="71CC9353" w:rsidR="00F47ADA" w:rsidRPr="007F6374" w:rsidRDefault="00CF30FF" w:rsidP="00707120">
      <w:pPr>
        <w:pStyle w:val="ListParagraph"/>
        <w:ind w:left="567" w:hanging="567"/>
        <w:rPr>
          <w:rFonts w:ascii="Symbol" w:hAnsi="Symbol" w:cs="Symbol"/>
          <w:szCs w:val="22"/>
          <w:lang w:val="lv-LV"/>
        </w:rPr>
      </w:pPr>
      <w:r>
        <w:rPr>
          <w:lang w:val="nb-NO"/>
        </w:rPr>
        <w:sym w:font="Symbol" w:char="F0B7"/>
      </w:r>
      <w:r>
        <w:rPr>
          <w:lang w:val="nb-NO"/>
        </w:rPr>
        <w:tab/>
      </w:r>
      <w:r w:rsidR="00F47ADA" w:rsidRPr="004A48EA">
        <w:rPr>
          <w:bCs/>
          <w:szCs w:val="22"/>
          <w:lang w:val="lv-LV"/>
        </w:rPr>
        <w:t xml:space="preserve">augšējo elpceļu infekcijas </w:t>
      </w:r>
      <w:r w:rsidR="00F47ADA" w:rsidRPr="004A48EA">
        <w:rPr>
          <w:szCs w:val="22"/>
          <w:lang w:val="lv-LV"/>
        </w:rPr>
        <w:t>ar tipiskiem simptomiem, piemēram, klepu, aizliktu degunu, iesnām, rīkles iekaisumu un galvassāpēm</w:t>
      </w:r>
      <w:r w:rsidR="00F47ADA" w:rsidRPr="004A48EA">
        <w:rPr>
          <w:bCs/>
          <w:szCs w:val="22"/>
          <w:lang w:val="lv-LV"/>
        </w:rPr>
        <w:t>;</w:t>
      </w:r>
    </w:p>
    <w:p w14:paraId="10E66E0A" w14:textId="46C5CAE9" w:rsidR="00F47ADA" w:rsidRPr="004A48EA" w:rsidRDefault="00CF30FF" w:rsidP="00707120">
      <w:pPr>
        <w:pStyle w:val="ListParagraph"/>
        <w:ind w:left="567" w:hanging="567"/>
        <w:rPr>
          <w:bCs/>
          <w:szCs w:val="22"/>
          <w:lang w:val="lv-LV"/>
        </w:rPr>
      </w:pPr>
      <w:r>
        <w:rPr>
          <w:lang w:val="nb-NO"/>
        </w:rPr>
        <w:sym w:font="Symbol" w:char="F0B7"/>
      </w:r>
      <w:r>
        <w:rPr>
          <w:lang w:val="nb-NO"/>
        </w:rPr>
        <w:tab/>
      </w:r>
      <w:r w:rsidR="00F47ADA" w:rsidRPr="004A48EA">
        <w:rPr>
          <w:bCs/>
          <w:szCs w:val="22"/>
          <w:lang w:val="lv-LV"/>
        </w:rPr>
        <w:t>paaugstināts tauku (</w:t>
      </w:r>
      <w:r w:rsidR="00F47ADA" w:rsidRPr="004A48EA">
        <w:rPr>
          <w:bCs/>
          <w:i/>
          <w:szCs w:val="22"/>
          <w:lang w:val="lv-LV"/>
        </w:rPr>
        <w:t>holesterīna</w:t>
      </w:r>
      <w:r w:rsidR="00F47ADA" w:rsidRPr="004A48EA">
        <w:rPr>
          <w:bCs/>
          <w:szCs w:val="22"/>
          <w:lang w:val="lv-LV"/>
        </w:rPr>
        <w:t>) līmenis asinīs;</w:t>
      </w:r>
    </w:p>
    <w:p w14:paraId="73183C96" w14:textId="5EDCE1C7" w:rsidR="00F47ADA" w:rsidRPr="004A48EA" w:rsidRDefault="00CF30FF" w:rsidP="00707120">
      <w:pPr>
        <w:pStyle w:val="ListParagraph"/>
        <w:ind w:left="567" w:hanging="567"/>
        <w:rPr>
          <w:szCs w:val="22"/>
          <w:lang w:val="lv-LV"/>
        </w:rPr>
      </w:pPr>
      <w:r>
        <w:rPr>
          <w:lang w:val="nb-NO"/>
        </w:rPr>
        <w:sym w:font="Symbol" w:char="F0B7"/>
      </w:r>
      <w:r>
        <w:rPr>
          <w:lang w:val="nb-NO"/>
        </w:rPr>
        <w:tab/>
      </w:r>
      <w:r w:rsidR="00F47ADA" w:rsidRPr="004A48EA">
        <w:rPr>
          <w:rFonts w:eastAsia="SimSun"/>
          <w:lang w:val="lv-LV" w:eastAsia="th-TH" w:bidi="th-TH"/>
        </w:rPr>
        <w:t>reakcijas injekcijas vietā</w:t>
      </w:r>
      <w:r w:rsidR="00F47ADA" w:rsidRPr="004A48EA">
        <w:rPr>
          <w:bCs/>
          <w:szCs w:val="22"/>
          <w:lang w:val="lv-LV"/>
        </w:rPr>
        <w:t>.</w:t>
      </w:r>
    </w:p>
    <w:p w14:paraId="03D94739" w14:textId="77777777" w:rsidR="00F47ADA" w:rsidRDefault="00F47ADA" w:rsidP="00F47ADA">
      <w:pPr>
        <w:ind w:right="-2"/>
        <w:rPr>
          <w:szCs w:val="22"/>
          <w:lang w:val="lv-LV"/>
        </w:rPr>
      </w:pPr>
    </w:p>
    <w:p w14:paraId="418E0B95" w14:textId="4075378B" w:rsidR="00F47ADA" w:rsidRPr="00231EC9" w:rsidRDefault="00F47ADA" w:rsidP="00F47ADA">
      <w:pPr>
        <w:keepNext/>
        <w:keepLines/>
        <w:ind w:right="-2"/>
        <w:rPr>
          <w:b/>
          <w:i/>
          <w:szCs w:val="22"/>
          <w:lang w:val="lv-LV"/>
        </w:rPr>
      </w:pPr>
      <w:r w:rsidRPr="00231EC9">
        <w:rPr>
          <w:b/>
          <w:szCs w:val="22"/>
          <w:lang w:val="lv-LV"/>
        </w:rPr>
        <w:t>Biežas blakusparādības</w:t>
      </w:r>
    </w:p>
    <w:p w14:paraId="015F1D9D" w14:textId="4FEDBAD4" w:rsidR="00F47ADA" w:rsidRDefault="00F47ADA" w:rsidP="00F47ADA">
      <w:pPr>
        <w:keepNext/>
        <w:keepLines/>
        <w:ind w:left="567" w:hanging="567"/>
        <w:rPr>
          <w:rFonts w:ascii="Symbol" w:hAnsi="Symbol" w:cs="Symbol"/>
          <w:szCs w:val="22"/>
          <w:lang w:val="lv-LV"/>
        </w:rPr>
      </w:pPr>
      <w:r>
        <w:rPr>
          <w:i/>
          <w:lang w:val="lv-LV"/>
        </w:rPr>
        <w:t>Tās var rasties līdz 1 no 10 cilvēkiem:</w:t>
      </w:r>
    </w:p>
    <w:p w14:paraId="38FFB247" w14:textId="261D58B8" w:rsidR="00F47ADA" w:rsidRPr="008C2200" w:rsidRDefault="00CF30FF" w:rsidP="00707120">
      <w:pPr>
        <w:pStyle w:val="ListParagraph"/>
        <w:keepNext/>
        <w:keepLines/>
        <w:ind w:left="567" w:hanging="567"/>
        <w:rPr>
          <w:rFonts w:ascii="Symbol" w:hAnsi="Symbol" w:cs="Symbol"/>
          <w:szCs w:val="22"/>
          <w:lang w:val="lv-LV"/>
        </w:rPr>
      </w:pPr>
      <w:r>
        <w:rPr>
          <w:lang w:val="nb-NO"/>
        </w:rPr>
        <w:sym w:font="Symbol" w:char="F0B7"/>
      </w:r>
      <w:r>
        <w:rPr>
          <w:lang w:val="nb-NO"/>
        </w:rPr>
        <w:tab/>
      </w:r>
      <w:r w:rsidR="00F47ADA" w:rsidRPr="004A48EA">
        <w:rPr>
          <w:szCs w:val="22"/>
          <w:lang w:val="lv-LV"/>
        </w:rPr>
        <w:t>plaušu infekcija (pneimonija);</w:t>
      </w:r>
    </w:p>
    <w:p w14:paraId="44672802" w14:textId="37B26151" w:rsidR="00F47ADA" w:rsidRPr="008C2200" w:rsidRDefault="00CF30FF" w:rsidP="00707120">
      <w:pPr>
        <w:pStyle w:val="ListParagraph"/>
        <w:ind w:left="567" w:hanging="567"/>
        <w:rPr>
          <w:rFonts w:ascii="Symbol" w:hAnsi="Symbol" w:cs="Symbol"/>
          <w:szCs w:val="22"/>
          <w:lang w:val="lv-LV"/>
        </w:rPr>
      </w:pPr>
      <w:r>
        <w:rPr>
          <w:lang w:val="nb-NO"/>
        </w:rPr>
        <w:sym w:font="Symbol" w:char="F0B7"/>
      </w:r>
      <w:r>
        <w:rPr>
          <w:lang w:val="nb-NO"/>
        </w:rPr>
        <w:tab/>
      </w:r>
      <w:r w:rsidR="00F47ADA" w:rsidRPr="004A48EA">
        <w:rPr>
          <w:szCs w:val="22"/>
          <w:lang w:val="lv-LV"/>
        </w:rPr>
        <w:t>jostas roze (</w:t>
      </w:r>
      <w:r w:rsidR="00F47ADA" w:rsidRPr="004A48EA">
        <w:rPr>
          <w:i/>
          <w:szCs w:val="22"/>
          <w:lang w:val="lv-LV"/>
        </w:rPr>
        <w:t>herpes zoster</w:t>
      </w:r>
      <w:r w:rsidR="00F47ADA" w:rsidRPr="004A48EA">
        <w:rPr>
          <w:szCs w:val="22"/>
          <w:lang w:val="lv-LV"/>
        </w:rPr>
        <w:t>);</w:t>
      </w:r>
    </w:p>
    <w:p w14:paraId="4476AE57" w14:textId="72B4E7C5" w:rsidR="00F47ADA" w:rsidRPr="008C2200" w:rsidRDefault="00CF30FF" w:rsidP="00707120">
      <w:pPr>
        <w:pStyle w:val="ListParagraph"/>
        <w:ind w:left="567" w:hanging="567"/>
        <w:rPr>
          <w:rFonts w:ascii="Symbol" w:hAnsi="Symbol" w:cs="Symbol"/>
          <w:szCs w:val="22"/>
          <w:lang w:val="lv-LV"/>
        </w:rPr>
      </w:pPr>
      <w:r>
        <w:rPr>
          <w:lang w:val="nb-NO"/>
        </w:rPr>
        <w:sym w:font="Symbol" w:char="F0B7"/>
      </w:r>
      <w:r>
        <w:rPr>
          <w:lang w:val="nb-NO"/>
        </w:rPr>
        <w:tab/>
      </w:r>
      <w:r w:rsidR="00F47ADA" w:rsidRPr="004A48EA">
        <w:rPr>
          <w:szCs w:val="22"/>
          <w:lang w:val="lv-LV"/>
        </w:rPr>
        <w:t xml:space="preserve">aukstumpumpas (mutes dobuma </w:t>
      </w:r>
      <w:r w:rsidR="00F47ADA" w:rsidRPr="004A48EA">
        <w:rPr>
          <w:i/>
          <w:szCs w:val="22"/>
          <w:lang w:val="lv-LV"/>
        </w:rPr>
        <w:t>herpes simplex</w:t>
      </w:r>
      <w:r w:rsidR="00F47ADA" w:rsidRPr="004A48EA">
        <w:rPr>
          <w:szCs w:val="22"/>
          <w:lang w:val="lv-LV"/>
        </w:rPr>
        <w:t>), pūšļi;</w:t>
      </w:r>
    </w:p>
    <w:p w14:paraId="180B22BD" w14:textId="41848097" w:rsidR="00F47ADA" w:rsidRPr="008C2200" w:rsidRDefault="00CF30FF" w:rsidP="00707120">
      <w:pPr>
        <w:pStyle w:val="ListParagraph"/>
        <w:ind w:left="567" w:hanging="567"/>
        <w:rPr>
          <w:rFonts w:ascii="Symbol" w:hAnsi="Symbol" w:cs="Symbol"/>
          <w:szCs w:val="22"/>
          <w:lang w:val="lv-LV"/>
        </w:rPr>
      </w:pPr>
      <w:r>
        <w:rPr>
          <w:lang w:val="nb-NO"/>
        </w:rPr>
        <w:sym w:font="Symbol" w:char="F0B7"/>
      </w:r>
      <w:r>
        <w:rPr>
          <w:lang w:val="nb-NO"/>
        </w:rPr>
        <w:tab/>
      </w:r>
      <w:r w:rsidR="00F47ADA" w:rsidRPr="004A48EA">
        <w:rPr>
          <w:szCs w:val="22"/>
          <w:lang w:val="lv-LV"/>
        </w:rPr>
        <w:t>ādas infekcija (celulīts), dažkārt ar drudzi un drebuļiem;</w:t>
      </w:r>
    </w:p>
    <w:p w14:paraId="7E406C0C" w14:textId="7C4B0BE1" w:rsidR="00F47ADA" w:rsidRPr="008C2200" w:rsidRDefault="00CF30FF" w:rsidP="00707120">
      <w:pPr>
        <w:pStyle w:val="ListParagraph"/>
        <w:ind w:left="567" w:hanging="567"/>
        <w:rPr>
          <w:rFonts w:ascii="Symbol" w:hAnsi="Symbol" w:cs="Symbol"/>
          <w:szCs w:val="22"/>
          <w:lang w:val="lv-LV"/>
        </w:rPr>
      </w:pPr>
      <w:r>
        <w:rPr>
          <w:lang w:val="nb-NO"/>
        </w:rPr>
        <w:sym w:font="Symbol" w:char="F0B7"/>
      </w:r>
      <w:r>
        <w:rPr>
          <w:lang w:val="nb-NO"/>
        </w:rPr>
        <w:tab/>
      </w:r>
      <w:r w:rsidR="00F47ADA" w:rsidRPr="004A48EA">
        <w:rPr>
          <w:szCs w:val="22"/>
          <w:lang w:val="lv-LV"/>
        </w:rPr>
        <w:t>izsitumi un nieze, nātrene;</w:t>
      </w:r>
    </w:p>
    <w:p w14:paraId="087DFBD4" w14:textId="1C9D75E4" w:rsidR="00F47ADA" w:rsidRPr="00707120" w:rsidRDefault="00CF30FF" w:rsidP="00707120">
      <w:pPr>
        <w:pStyle w:val="ListParagraph"/>
        <w:ind w:left="567" w:hanging="567"/>
        <w:rPr>
          <w:szCs w:val="22"/>
          <w:lang w:val="lv-LV"/>
        </w:rPr>
      </w:pPr>
      <w:r>
        <w:rPr>
          <w:lang w:val="nb-NO"/>
        </w:rPr>
        <w:sym w:font="Symbol" w:char="F0B7"/>
      </w:r>
      <w:r>
        <w:rPr>
          <w:lang w:val="nb-NO"/>
        </w:rPr>
        <w:tab/>
      </w:r>
      <w:r w:rsidR="00F47ADA" w:rsidRPr="004A48EA">
        <w:rPr>
          <w:szCs w:val="22"/>
          <w:lang w:val="lv-LV"/>
        </w:rPr>
        <w:t>alerģiskas (paaugstinātas jutības) reakcijas;</w:t>
      </w:r>
    </w:p>
    <w:p w14:paraId="6432A40B" w14:textId="732618B8" w:rsidR="00F47ADA" w:rsidRPr="00707120" w:rsidRDefault="00CF30FF" w:rsidP="00707120">
      <w:pPr>
        <w:pStyle w:val="ListParagraph"/>
        <w:ind w:left="567" w:hanging="567"/>
        <w:rPr>
          <w:szCs w:val="22"/>
          <w:lang w:val="lv-LV"/>
        </w:rPr>
      </w:pPr>
      <w:r>
        <w:rPr>
          <w:lang w:val="nb-NO"/>
        </w:rPr>
        <w:sym w:font="Symbol" w:char="F0B7"/>
      </w:r>
      <w:r>
        <w:rPr>
          <w:lang w:val="nb-NO"/>
        </w:rPr>
        <w:tab/>
      </w:r>
      <w:r w:rsidR="00F47ADA" w:rsidRPr="004A48EA">
        <w:rPr>
          <w:szCs w:val="22"/>
          <w:lang w:val="lv-LV"/>
        </w:rPr>
        <w:t>acu infekcija (konjunktivīts);</w:t>
      </w:r>
    </w:p>
    <w:p w14:paraId="05CC2466" w14:textId="6DFFCB62" w:rsidR="00F47ADA" w:rsidRPr="00707120" w:rsidRDefault="00CF30FF" w:rsidP="00707120">
      <w:pPr>
        <w:pStyle w:val="ListParagraph"/>
        <w:ind w:left="567" w:hanging="567"/>
        <w:rPr>
          <w:szCs w:val="22"/>
          <w:lang w:val="lv-LV"/>
        </w:rPr>
      </w:pPr>
      <w:r>
        <w:rPr>
          <w:lang w:val="nb-NO"/>
        </w:rPr>
        <w:sym w:font="Symbol" w:char="F0B7"/>
      </w:r>
      <w:r>
        <w:rPr>
          <w:lang w:val="nb-NO"/>
        </w:rPr>
        <w:tab/>
      </w:r>
      <w:r w:rsidR="00F47ADA" w:rsidRPr="004A48EA">
        <w:rPr>
          <w:szCs w:val="22"/>
          <w:lang w:val="lv-LV"/>
        </w:rPr>
        <w:t>galvassāpes, reibonis, paaugstināts asinsspiediens;</w:t>
      </w:r>
    </w:p>
    <w:p w14:paraId="039D0DD6" w14:textId="3B684C7A" w:rsidR="00F47ADA" w:rsidRPr="00707120" w:rsidRDefault="00CF30FF" w:rsidP="00707120">
      <w:pPr>
        <w:pStyle w:val="ListParagraph"/>
        <w:ind w:left="567" w:hanging="567"/>
        <w:rPr>
          <w:szCs w:val="22"/>
          <w:lang w:val="lv-LV"/>
        </w:rPr>
      </w:pPr>
      <w:r>
        <w:rPr>
          <w:lang w:val="nb-NO"/>
        </w:rPr>
        <w:sym w:font="Symbol" w:char="F0B7"/>
      </w:r>
      <w:r>
        <w:rPr>
          <w:lang w:val="nb-NO"/>
        </w:rPr>
        <w:tab/>
      </w:r>
      <w:r w:rsidR="00F47ADA" w:rsidRPr="004A48EA">
        <w:rPr>
          <w:szCs w:val="22"/>
          <w:lang w:val="lv-LV"/>
        </w:rPr>
        <w:t>čūlu veidošanās mutes dobumā, sāpes vēderā;</w:t>
      </w:r>
    </w:p>
    <w:p w14:paraId="3B2887BC" w14:textId="6E7F1047" w:rsidR="00F47ADA" w:rsidRPr="00707120" w:rsidRDefault="00CF30FF" w:rsidP="00707120">
      <w:pPr>
        <w:pStyle w:val="ListParagraph"/>
        <w:ind w:left="567" w:hanging="567"/>
        <w:rPr>
          <w:szCs w:val="22"/>
          <w:lang w:val="lv-LV"/>
        </w:rPr>
      </w:pPr>
      <w:r>
        <w:rPr>
          <w:lang w:val="nb-NO"/>
        </w:rPr>
        <w:sym w:font="Symbol" w:char="F0B7"/>
      </w:r>
      <w:r>
        <w:rPr>
          <w:lang w:val="nb-NO"/>
        </w:rPr>
        <w:tab/>
      </w:r>
      <w:r w:rsidR="00F47ADA" w:rsidRPr="004A48EA">
        <w:rPr>
          <w:szCs w:val="22"/>
          <w:lang w:val="lv-LV"/>
        </w:rPr>
        <w:t>šķidruma aizture (tūska) kāju apakšdaļā, ķermeņa masas palielināšanās;</w:t>
      </w:r>
    </w:p>
    <w:p w14:paraId="1CEC0B98" w14:textId="744FBDA9" w:rsidR="00F47ADA" w:rsidRPr="00707120" w:rsidRDefault="00CF30FF" w:rsidP="00707120">
      <w:pPr>
        <w:pStyle w:val="ListParagraph"/>
        <w:ind w:left="567" w:hanging="567"/>
        <w:rPr>
          <w:szCs w:val="22"/>
          <w:lang w:val="lv-LV"/>
        </w:rPr>
      </w:pPr>
      <w:r>
        <w:rPr>
          <w:lang w:val="nb-NO"/>
        </w:rPr>
        <w:sym w:font="Symbol" w:char="F0B7"/>
      </w:r>
      <w:r>
        <w:rPr>
          <w:lang w:val="nb-NO"/>
        </w:rPr>
        <w:tab/>
      </w:r>
      <w:r w:rsidR="00F47ADA" w:rsidRPr="004A48EA">
        <w:rPr>
          <w:szCs w:val="22"/>
          <w:lang w:val="lv-LV"/>
        </w:rPr>
        <w:t>klepus, elpas trūkums;</w:t>
      </w:r>
    </w:p>
    <w:p w14:paraId="268586F5" w14:textId="5C04F139" w:rsidR="00F47ADA" w:rsidRPr="00707120" w:rsidRDefault="00CF30FF" w:rsidP="00707120">
      <w:pPr>
        <w:pStyle w:val="ListParagraph"/>
        <w:ind w:left="567" w:hanging="567"/>
        <w:rPr>
          <w:szCs w:val="22"/>
          <w:lang w:val="lv-LV"/>
        </w:rPr>
      </w:pPr>
      <w:r>
        <w:rPr>
          <w:lang w:val="nb-NO"/>
        </w:rPr>
        <w:sym w:font="Symbol" w:char="F0B7"/>
      </w:r>
      <w:r>
        <w:rPr>
          <w:lang w:val="nb-NO"/>
        </w:rPr>
        <w:tab/>
      </w:r>
      <w:r w:rsidR="00F47ADA" w:rsidRPr="00723655">
        <w:rPr>
          <w:szCs w:val="22"/>
          <w:lang w:val="lv-LV"/>
        </w:rPr>
        <w:t>mazs balto asins šūnu skaits, ko konstatē asinsanalīzēs (neitropēnija, leikopēnija);</w:t>
      </w:r>
    </w:p>
    <w:p w14:paraId="6B973C71" w14:textId="549E6D3F" w:rsidR="00F47ADA" w:rsidRPr="00707120" w:rsidRDefault="00CF30FF" w:rsidP="00707120">
      <w:pPr>
        <w:pStyle w:val="ListParagraph"/>
        <w:ind w:left="567" w:hanging="567"/>
        <w:rPr>
          <w:szCs w:val="22"/>
          <w:lang w:val="lv-LV"/>
        </w:rPr>
      </w:pPr>
      <w:r>
        <w:rPr>
          <w:lang w:val="nb-NO"/>
        </w:rPr>
        <w:sym w:font="Symbol" w:char="F0B7"/>
      </w:r>
      <w:r>
        <w:rPr>
          <w:lang w:val="nb-NO"/>
        </w:rPr>
        <w:tab/>
      </w:r>
      <w:r w:rsidR="00F47ADA" w:rsidRPr="004A48EA">
        <w:rPr>
          <w:szCs w:val="22"/>
          <w:lang w:val="lv-LV"/>
        </w:rPr>
        <w:t>aknu funkcionālo rādītāju novirzes (paaugstināts transamināžu līmenis);</w:t>
      </w:r>
    </w:p>
    <w:p w14:paraId="23F6BA48" w14:textId="79DB1698" w:rsidR="00F47ADA" w:rsidRPr="004A48EA" w:rsidRDefault="00CF30FF" w:rsidP="00707120">
      <w:pPr>
        <w:pStyle w:val="ListParagraph"/>
        <w:ind w:left="567" w:hanging="567"/>
        <w:rPr>
          <w:szCs w:val="22"/>
          <w:lang w:val="lv-LV"/>
        </w:rPr>
      </w:pPr>
      <w:r>
        <w:rPr>
          <w:lang w:val="nb-NO"/>
        </w:rPr>
        <w:sym w:font="Symbol" w:char="F0B7"/>
      </w:r>
      <w:r>
        <w:rPr>
          <w:lang w:val="nb-NO"/>
        </w:rPr>
        <w:tab/>
      </w:r>
      <w:r w:rsidR="00F47ADA" w:rsidRPr="004A48EA">
        <w:rPr>
          <w:szCs w:val="22"/>
          <w:lang w:val="lv-LV"/>
        </w:rPr>
        <w:t xml:space="preserve">paaugstināts bilirubīna līmenis, ko konstatē asinsanalīzēs; </w:t>
      </w:r>
    </w:p>
    <w:p w14:paraId="4B55201E" w14:textId="1C6737E1" w:rsidR="00F47ADA" w:rsidRPr="004A48EA" w:rsidRDefault="00CF30FF" w:rsidP="00707120">
      <w:pPr>
        <w:pStyle w:val="ListParagraph"/>
        <w:ind w:left="567" w:hanging="567"/>
        <w:rPr>
          <w:szCs w:val="22"/>
          <w:lang w:val="lv-LV"/>
        </w:rPr>
      </w:pPr>
      <w:r>
        <w:rPr>
          <w:lang w:val="nb-NO"/>
        </w:rPr>
        <w:sym w:font="Symbol" w:char="F0B7"/>
      </w:r>
      <w:r>
        <w:rPr>
          <w:lang w:val="nb-NO"/>
        </w:rPr>
        <w:tab/>
      </w:r>
      <w:r w:rsidR="00F47ADA" w:rsidRPr="004A48EA">
        <w:rPr>
          <w:szCs w:val="22"/>
          <w:lang w:val="lv-LV"/>
        </w:rPr>
        <w:t>pazemināts fibrogēna līmenis asinīs (proteīns, kas veicina asins recēšanu).</w:t>
      </w:r>
    </w:p>
    <w:p w14:paraId="1BBDEF13" w14:textId="77777777" w:rsidR="00F47ADA" w:rsidRDefault="00F47ADA" w:rsidP="00F47ADA">
      <w:pPr>
        <w:ind w:left="720" w:right="-2" w:hanging="720"/>
        <w:rPr>
          <w:szCs w:val="22"/>
          <w:lang w:val="lv-LV"/>
        </w:rPr>
      </w:pPr>
    </w:p>
    <w:p w14:paraId="60896D03" w14:textId="698A315D" w:rsidR="00F47ADA" w:rsidRPr="00231EC9" w:rsidRDefault="00F47ADA" w:rsidP="00F47ADA">
      <w:pPr>
        <w:ind w:right="-2"/>
        <w:rPr>
          <w:b/>
          <w:i/>
          <w:szCs w:val="22"/>
          <w:lang w:val="lv-LV"/>
        </w:rPr>
      </w:pPr>
      <w:r w:rsidRPr="00231EC9">
        <w:rPr>
          <w:b/>
          <w:szCs w:val="22"/>
          <w:lang w:val="lv-LV"/>
        </w:rPr>
        <w:t>Retākas blakusparādības</w:t>
      </w:r>
    </w:p>
    <w:p w14:paraId="13280660" w14:textId="082DADE9" w:rsidR="00F47ADA" w:rsidRDefault="00F47ADA" w:rsidP="00F47ADA">
      <w:pPr>
        <w:ind w:left="567" w:hanging="567"/>
        <w:rPr>
          <w:rFonts w:ascii="Symbol" w:hAnsi="Symbol" w:cs="Symbol"/>
          <w:i/>
          <w:szCs w:val="22"/>
          <w:lang w:val="lv-LV"/>
        </w:rPr>
      </w:pPr>
      <w:r>
        <w:rPr>
          <w:i/>
          <w:lang w:val="lv-LV"/>
        </w:rPr>
        <w:t>Tās var rasties līdz 1 no 100 cilvēkiem:</w:t>
      </w:r>
    </w:p>
    <w:p w14:paraId="01895524" w14:textId="42C404D1" w:rsidR="00F47ADA" w:rsidRPr="00707120" w:rsidRDefault="00287ADB" w:rsidP="00707120">
      <w:pPr>
        <w:pStyle w:val="ListParagraph"/>
        <w:ind w:left="567" w:hanging="567"/>
        <w:rPr>
          <w:szCs w:val="22"/>
          <w:lang w:val="lv-LV"/>
        </w:rPr>
      </w:pPr>
      <w:r>
        <w:rPr>
          <w:lang w:val="nb-NO"/>
        </w:rPr>
        <w:sym w:font="Symbol" w:char="F0B7"/>
      </w:r>
      <w:r>
        <w:rPr>
          <w:lang w:val="nb-NO"/>
        </w:rPr>
        <w:tab/>
      </w:r>
      <w:r w:rsidR="00F47ADA" w:rsidRPr="004A48EA">
        <w:rPr>
          <w:szCs w:val="22"/>
          <w:lang w:val="lv-LV"/>
        </w:rPr>
        <w:t>divertikulīts (drudzis, slikta dūša, caureja, aizcietējums, vēdersāpes);</w:t>
      </w:r>
    </w:p>
    <w:p w14:paraId="0C93E567" w14:textId="2590099B" w:rsidR="00F47ADA" w:rsidRPr="00707120" w:rsidRDefault="00287ADB" w:rsidP="00707120">
      <w:pPr>
        <w:pStyle w:val="ListParagraph"/>
        <w:ind w:left="567" w:hanging="567"/>
        <w:rPr>
          <w:szCs w:val="22"/>
          <w:lang w:val="lv-LV"/>
        </w:rPr>
      </w:pPr>
      <w:r>
        <w:rPr>
          <w:lang w:val="nb-NO"/>
        </w:rPr>
        <w:sym w:font="Symbol" w:char="F0B7"/>
      </w:r>
      <w:r>
        <w:rPr>
          <w:lang w:val="nb-NO"/>
        </w:rPr>
        <w:tab/>
      </w:r>
      <w:r w:rsidR="00F47ADA" w:rsidRPr="004A48EA">
        <w:rPr>
          <w:szCs w:val="22"/>
          <w:lang w:val="lv-LV"/>
        </w:rPr>
        <w:t>sarkani, pietūkuši apvidi mutē;</w:t>
      </w:r>
    </w:p>
    <w:p w14:paraId="20D4510D" w14:textId="585B981B" w:rsidR="00F47ADA" w:rsidRPr="00707120" w:rsidRDefault="00287ADB" w:rsidP="00707120">
      <w:pPr>
        <w:pStyle w:val="ListParagraph"/>
        <w:ind w:left="567" w:hanging="567"/>
        <w:rPr>
          <w:szCs w:val="22"/>
          <w:lang w:val="lv-LV"/>
        </w:rPr>
      </w:pPr>
      <w:r>
        <w:rPr>
          <w:lang w:val="nb-NO"/>
        </w:rPr>
        <w:sym w:font="Symbol" w:char="F0B7"/>
      </w:r>
      <w:r>
        <w:rPr>
          <w:lang w:val="nb-NO"/>
        </w:rPr>
        <w:tab/>
      </w:r>
      <w:r w:rsidR="00F47ADA" w:rsidRPr="004A48EA">
        <w:rPr>
          <w:szCs w:val="22"/>
          <w:lang w:val="lv-LV"/>
        </w:rPr>
        <w:t>augsts tauku (triglicerīdu) līmenis asinīs;</w:t>
      </w:r>
    </w:p>
    <w:p w14:paraId="0C361A48" w14:textId="587D8595" w:rsidR="00F47ADA" w:rsidRPr="00707120" w:rsidRDefault="00287ADB" w:rsidP="00707120">
      <w:pPr>
        <w:pStyle w:val="ListParagraph"/>
        <w:ind w:left="567" w:hanging="567"/>
        <w:rPr>
          <w:szCs w:val="22"/>
          <w:lang w:val="lv-LV"/>
        </w:rPr>
      </w:pPr>
      <w:r>
        <w:rPr>
          <w:lang w:val="nb-NO"/>
        </w:rPr>
        <w:sym w:font="Symbol" w:char="F0B7"/>
      </w:r>
      <w:r>
        <w:rPr>
          <w:lang w:val="nb-NO"/>
        </w:rPr>
        <w:tab/>
      </w:r>
      <w:r w:rsidR="00F47ADA" w:rsidRPr="004A48EA">
        <w:rPr>
          <w:szCs w:val="22"/>
          <w:lang w:val="lv-LV"/>
        </w:rPr>
        <w:t>kuņģa čūla;</w:t>
      </w:r>
    </w:p>
    <w:p w14:paraId="129B00FB" w14:textId="0F3ACF38" w:rsidR="00F47ADA" w:rsidRPr="00707120" w:rsidRDefault="00287ADB" w:rsidP="00707120">
      <w:pPr>
        <w:pStyle w:val="ListParagraph"/>
        <w:ind w:left="567" w:hanging="567"/>
        <w:rPr>
          <w:szCs w:val="22"/>
          <w:lang w:val="lv-LV"/>
        </w:rPr>
      </w:pPr>
      <w:r>
        <w:rPr>
          <w:lang w:val="nb-NO"/>
        </w:rPr>
        <w:sym w:font="Symbol" w:char="F0B7"/>
      </w:r>
      <w:r>
        <w:rPr>
          <w:lang w:val="nb-NO"/>
        </w:rPr>
        <w:tab/>
      </w:r>
      <w:r w:rsidR="00F47ADA" w:rsidRPr="004A48EA">
        <w:rPr>
          <w:szCs w:val="22"/>
          <w:lang w:val="lv-LV"/>
        </w:rPr>
        <w:t>nierakmeņi;</w:t>
      </w:r>
    </w:p>
    <w:p w14:paraId="5F815D95" w14:textId="652AE15B" w:rsidR="00F47ADA" w:rsidRPr="004A48EA" w:rsidRDefault="00287ADB" w:rsidP="00707120">
      <w:pPr>
        <w:pStyle w:val="ListParagraph"/>
        <w:ind w:left="567" w:hanging="567"/>
        <w:rPr>
          <w:szCs w:val="22"/>
          <w:lang w:val="lv-LV"/>
        </w:rPr>
      </w:pPr>
      <w:r>
        <w:rPr>
          <w:lang w:val="nb-NO"/>
        </w:rPr>
        <w:sym w:font="Symbol" w:char="F0B7"/>
      </w:r>
      <w:r>
        <w:rPr>
          <w:lang w:val="nb-NO"/>
        </w:rPr>
        <w:tab/>
      </w:r>
      <w:r w:rsidR="00F47ADA" w:rsidRPr="004A48EA">
        <w:rPr>
          <w:szCs w:val="22"/>
          <w:lang w:val="lv-LV"/>
        </w:rPr>
        <w:t>pavājināta vairogdziedzera darbība.</w:t>
      </w:r>
    </w:p>
    <w:p w14:paraId="00F00EC3" w14:textId="77777777" w:rsidR="00F47ADA" w:rsidRDefault="00F47ADA" w:rsidP="00F47ADA">
      <w:pPr>
        <w:ind w:right="-2"/>
        <w:rPr>
          <w:b/>
          <w:szCs w:val="22"/>
          <w:lang w:val="lv-LV"/>
        </w:rPr>
      </w:pPr>
    </w:p>
    <w:p w14:paraId="147300BF" w14:textId="391440CB" w:rsidR="00F47ADA" w:rsidRDefault="00F47ADA" w:rsidP="00F47ADA">
      <w:pPr>
        <w:ind w:right="-2"/>
        <w:rPr>
          <w:b/>
          <w:szCs w:val="22"/>
          <w:lang w:val="lv-LV"/>
        </w:rPr>
      </w:pPr>
      <w:r>
        <w:rPr>
          <w:b/>
          <w:szCs w:val="22"/>
          <w:lang w:val="lv-LV"/>
        </w:rPr>
        <w:t>Retas blakusparādības</w:t>
      </w:r>
    </w:p>
    <w:p w14:paraId="1AF051D1" w14:textId="7EB0836A" w:rsidR="00F47ADA" w:rsidRPr="00552EF9" w:rsidRDefault="00F47ADA" w:rsidP="00F47ADA">
      <w:pPr>
        <w:ind w:left="567" w:hanging="567"/>
        <w:rPr>
          <w:rFonts w:ascii="Symbol" w:hAnsi="Symbol" w:cs="Symbol"/>
          <w:szCs w:val="22"/>
          <w:lang w:val="lv-LV"/>
        </w:rPr>
      </w:pPr>
      <w:r>
        <w:rPr>
          <w:i/>
          <w:lang w:val="lv-LV"/>
        </w:rPr>
        <w:t>T</w:t>
      </w:r>
      <w:r w:rsidRPr="00552EF9">
        <w:rPr>
          <w:i/>
          <w:lang w:val="lv-LV"/>
        </w:rPr>
        <w:t>ās var rasties līdz 1</w:t>
      </w:r>
      <w:r>
        <w:rPr>
          <w:i/>
          <w:lang w:val="lv-LV"/>
        </w:rPr>
        <w:t> </w:t>
      </w:r>
      <w:r w:rsidRPr="00552EF9">
        <w:rPr>
          <w:i/>
          <w:lang w:val="lv-LV"/>
        </w:rPr>
        <w:t>no 10</w:t>
      </w:r>
      <w:r>
        <w:rPr>
          <w:i/>
          <w:lang w:val="lv-LV"/>
        </w:rPr>
        <w:t>0</w:t>
      </w:r>
      <w:r w:rsidRPr="00552EF9">
        <w:rPr>
          <w:i/>
          <w:lang w:val="lv-LV"/>
        </w:rPr>
        <w:t>0 </w:t>
      </w:r>
      <w:r>
        <w:rPr>
          <w:i/>
          <w:lang w:val="lv-LV"/>
        </w:rPr>
        <w:t>cilvēkiem</w:t>
      </w:r>
      <w:r w:rsidRPr="00552EF9">
        <w:rPr>
          <w:i/>
          <w:lang w:val="lv-LV"/>
        </w:rPr>
        <w:t>:</w:t>
      </w:r>
    </w:p>
    <w:p w14:paraId="107F8746" w14:textId="45CD7DDD" w:rsidR="00F47ADA" w:rsidRPr="004A48EA" w:rsidRDefault="00287ADB" w:rsidP="00707120">
      <w:pPr>
        <w:pStyle w:val="ListParagraph"/>
        <w:ind w:left="567" w:hanging="567"/>
        <w:rPr>
          <w:szCs w:val="22"/>
          <w:lang w:val="lv-LV"/>
        </w:rPr>
      </w:pPr>
      <w:r>
        <w:rPr>
          <w:lang w:val="nb-NO"/>
        </w:rPr>
        <w:sym w:font="Symbol" w:char="F0B7"/>
      </w:r>
      <w:r>
        <w:rPr>
          <w:lang w:val="nb-NO"/>
        </w:rPr>
        <w:tab/>
      </w:r>
      <w:r w:rsidR="00F47ADA" w:rsidRPr="004A48EA">
        <w:rPr>
          <w:szCs w:val="22"/>
          <w:lang w:val="lv-LV"/>
        </w:rPr>
        <w:t>Stīvensa-Džonsona sindroms (izsitumi uz ādas, no kā var veidoties pūšļi un ādas lobīšanās);</w:t>
      </w:r>
    </w:p>
    <w:p w14:paraId="07753714" w14:textId="1BABCD5E" w:rsidR="00F47ADA" w:rsidRPr="004A48EA" w:rsidRDefault="00287ADB" w:rsidP="00707120">
      <w:pPr>
        <w:pStyle w:val="ListParagraph"/>
        <w:ind w:left="567" w:hanging="567"/>
        <w:rPr>
          <w:szCs w:val="22"/>
          <w:lang w:val="lv-LV"/>
        </w:rPr>
      </w:pPr>
      <w:r>
        <w:rPr>
          <w:lang w:val="nb-NO"/>
        </w:rPr>
        <w:sym w:font="Symbol" w:char="F0B7"/>
      </w:r>
      <w:r>
        <w:rPr>
          <w:lang w:val="nb-NO"/>
        </w:rPr>
        <w:tab/>
      </w:r>
      <w:r w:rsidR="00F47ADA" w:rsidRPr="004A48EA">
        <w:rPr>
          <w:szCs w:val="22"/>
          <w:lang w:val="lv-LV"/>
        </w:rPr>
        <w:t>alerģiskas reakcijas ar letālu iznākumu (anafilakse);</w:t>
      </w:r>
    </w:p>
    <w:p w14:paraId="36CE9D4C" w14:textId="736289BB" w:rsidR="00F47ADA" w:rsidRPr="004A48EA" w:rsidRDefault="00287ADB" w:rsidP="00707120">
      <w:pPr>
        <w:pStyle w:val="ListParagraph"/>
        <w:ind w:left="567" w:hanging="567"/>
        <w:rPr>
          <w:szCs w:val="22"/>
          <w:lang w:val="lv-LV"/>
        </w:rPr>
      </w:pPr>
      <w:r>
        <w:rPr>
          <w:lang w:val="nb-NO"/>
        </w:rPr>
        <w:sym w:font="Symbol" w:char="F0B7"/>
      </w:r>
      <w:r>
        <w:rPr>
          <w:lang w:val="nb-NO"/>
        </w:rPr>
        <w:tab/>
      </w:r>
      <w:r w:rsidR="00F47ADA" w:rsidRPr="004A48EA">
        <w:rPr>
          <w:szCs w:val="22"/>
          <w:lang w:val="lv-LV"/>
        </w:rPr>
        <w:t>aknu iekaisums (hepatīts), dzelte.</w:t>
      </w:r>
    </w:p>
    <w:p w14:paraId="2F753015" w14:textId="77777777" w:rsidR="00F47ADA" w:rsidRDefault="00F47ADA" w:rsidP="00F47ADA">
      <w:pPr>
        <w:ind w:right="-2"/>
        <w:rPr>
          <w:b/>
          <w:szCs w:val="22"/>
          <w:lang w:val="lv-LV"/>
        </w:rPr>
      </w:pPr>
    </w:p>
    <w:p w14:paraId="3DC27217" w14:textId="77777777" w:rsidR="00F47ADA" w:rsidRPr="00231EC9" w:rsidRDefault="00F47ADA" w:rsidP="00F47ADA">
      <w:pPr>
        <w:ind w:right="-2"/>
        <w:rPr>
          <w:b/>
          <w:i/>
          <w:szCs w:val="22"/>
          <w:lang w:val="lv-LV"/>
        </w:rPr>
      </w:pPr>
      <w:r w:rsidRPr="00231EC9">
        <w:rPr>
          <w:b/>
          <w:szCs w:val="22"/>
          <w:lang w:val="lv-LV"/>
        </w:rPr>
        <w:t xml:space="preserve">Ļoti retas blakusparādības: </w:t>
      </w:r>
    </w:p>
    <w:p w14:paraId="679FBBBD" w14:textId="528CAD9C" w:rsidR="00F47ADA" w:rsidRDefault="00F47ADA" w:rsidP="00F47ADA">
      <w:pPr>
        <w:ind w:left="567" w:hanging="567"/>
        <w:rPr>
          <w:rFonts w:ascii="Symbol" w:hAnsi="Symbol" w:cs="Symbol"/>
          <w:bCs/>
          <w:szCs w:val="22"/>
          <w:lang w:val="lv-LV"/>
        </w:rPr>
      </w:pPr>
      <w:r>
        <w:rPr>
          <w:bCs/>
          <w:i/>
          <w:lang w:val="lv-LV"/>
        </w:rPr>
        <w:t>Tās var rasties līdz 1 no 10 000 cilvēkiem:</w:t>
      </w:r>
    </w:p>
    <w:p w14:paraId="75F22443" w14:textId="15EA4796" w:rsidR="00F47ADA" w:rsidRPr="00723655" w:rsidRDefault="00287ADB" w:rsidP="00707120">
      <w:pPr>
        <w:pStyle w:val="ListParagraph"/>
        <w:ind w:left="567" w:hanging="567"/>
        <w:rPr>
          <w:szCs w:val="22"/>
          <w:lang w:val="lv-LV"/>
        </w:rPr>
      </w:pPr>
      <w:r>
        <w:rPr>
          <w:lang w:val="nb-NO"/>
        </w:rPr>
        <w:sym w:font="Symbol" w:char="F0B7"/>
      </w:r>
      <w:r>
        <w:rPr>
          <w:lang w:val="nb-NO"/>
        </w:rPr>
        <w:tab/>
      </w:r>
      <w:r w:rsidR="00F47ADA" w:rsidRPr="00723655">
        <w:rPr>
          <w:szCs w:val="22"/>
          <w:lang w:val="lv-LV"/>
        </w:rPr>
        <w:t>mazs balto asins šūnu skaits, mazs sarkano asins šūnu skaits vai mazs trombocītu skaits asinsanalīzēs;</w:t>
      </w:r>
    </w:p>
    <w:p w14:paraId="6566200A" w14:textId="54549025" w:rsidR="00F47ADA" w:rsidRPr="004A48EA" w:rsidRDefault="00287ADB" w:rsidP="00707120">
      <w:pPr>
        <w:pStyle w:val="ListParagraph"/>
        <w:ind w:left="567" w:hanging="567"/>
        <w:rPr>
          <w:szCs w:val="22"/>
          <w:lang w:val="lv-LV"/>
        </w:rPr>
      </w:pPr>
      <w:r>
        <w:rPr>
          <w:lang w:val="nb-NO"/>
        </w:rPr>
        <w:sym w:font="Symbol" w:char="F0B7"/>
      </w:r>
      <w:r>
        <w:rPr>
          <w:lang w:val="nb-NO"/>
        </w:rPr>
        <w:tab/>
      </w:r>
      <w:r w:rsidR="00F47ADA" w:rsidRPr="004A48EA">
        <w:rPr>
          <w:szCs w:val="22"/>
          <w:lang w:val="lv-LV"/>
        </w:rPr>
        <w:t>aknu bojājums.</w:t>
      </w:r>
    </w:p>
    <w:p w14:paraId="19E809A9" w14:textId="77777777" w:rsidR="00F47ADA" w:rsidRDefault="00F47ADA" w:rsidP="00F47ADA">
      <w:pPr>
        <w:ind w:left="720" w:right="-2" w:hanging="720"/>
        <w:rPr>
          <w:szCs w:val="22"/>
          <w:lang w:val="lv-LV"/>
        </w:rPr>
      </w:pPr>
    </w:p>
    <w:p w14:paraId="75C74CB1" w14:textId="77777777" w:rsidR="00F47ADA" w:rsidRDefault="00F47ADA" w:rsidP="00F47ADA">
      <w:pPr>
        <w:ind w:left="720" w:right="-2" w:hanging="720"/>
        <w:rPr>
          <w:szCs w:val="22"/>
          <w:lang w:val="lv-LV"/>
        </w:rPr>
      </w:pPr>
      <w:r>
        <w:rPr>
          <w:b/>
          <w:bCs/>
          <w:szCs w:val="22"/>
          <w:lang w:val="lv-LV"/>
        </w:rPr>
        <w:t>Blakusparādības bērniem un pusaudžiem ar sJIA vai pJIA</w:t>
      </w:r>
    </w:p>
    <w:p w14:paraId="79D61A42" w14:textId="77777777" w:rsidR="00F47ADA" w:rsidRPr="00916FA6" w:rsidRDefault="00F47ADA" w:rsidP="00F47ADA">
      <w:pPr>
        <w:keepNext/>
        <w:rPr>
          <w:szCs w:val="22"/>
          <w:lang w:val="lv-LV"/>
        </w:rPr>
      </w:pPr>
      <w:r w:rsidRPr="00916FA6">
        <w:rPr>
          <w:szCs w:val="22"/>
          <w:lang w:val="lv-LV"/>
        </w:rPr>
        <w:t>Blakusparādības bērniem un pusaudžiem ar sJIA vai pJIA parasti ir līdzīgas kā pieaugušajiem. Dažas blakusparādības bērniem un pusaudžiem novēro biežāk: deguna un rīkles iekaisums, galvassāpes, slikta dūša un samazināts balto asins šūnu skaits.</w:t>
      </w:r>
    </w:p>
    <w:p w14:paraId="25BA4ED6" w14:textId="77777777" w:rsidR="00F47ADA" w:rsidRDefault="00F47ADA" w:rsidP="00F47ADA">
      <w:pPr>
        <w:ind w:left="720" w:right="-2" w:hanging="720"/>
        <w:rPr>
          <w:szCs w:val="22"/>
          <w:lang w:val="lv-LV"/>
        </w:rPr>
      </w:pPr>
    </w:p>
    <w:p w14:paraId="776F4121" w14:textId="77777777" w:rsidR="00F47ADA" w:rsidRPr="00231EC9" w:rsidRDefault="00F47ADA" w:rsidP="00F47ADA">
      <w:pPr>
        <w:keepNext/>
        <w:keepLines/>
        <w:numPr>
          <w:ilvl w:val="12"/>
          <w:numId w:val="0"/>
        </w:numPr>
        <w:tabs>
          <w:tab w:val="left" w:pos="567"/>
        </w:tabs>
        <w:suppressAutoHyphens w:val="0"/>
        <w:outlineLvl w:val="0"/>
        <w:rPr>
          <w:b/>
          <w:snapToGrid w:val="0"/>
          <w:szCs w:val="22"/>
          <w:lang w:val="lv-LV" w:eastAsia="zh-CN"/>
        </w:rPr>
      </w:pPr>
      <w:r w:rsidRPr="00231EC9">
        <w:rPr>
          <w:b/>
          <w:snapToGrid w:val="0"/>
          <w:szCs w:val="22"/>
          <w:lang w:val="lv-LV" w:eastAsia="zh-CN"/>
        </w:rPr>
        <w:t>Ziņošana par blakusparādībām</w:t>
      </w:r>
    </w:p>
    <w:p w14:paraId="02228395" w14:textId="4B2AB488" w:rsidR="00F47ADA" w:rsidRDefault="00F47ADA" w:rsidP="00F47ADA">
      <w:pPr>
        <w:keepNext/>
        <w:keepLines/>
        <w:ind w:right="-2"/>
        <w:rPr>
          <w:snapToGrid w:val="0"/>
          <w:lang w:val="lv-LV" w:eastAsia="zh-CN"/>
        </w:rPr>
      </w:pPr>
      <w:r>
        <w:rPr>
          <w:snapToGrid w:val="0"/>
          <w:lang w:val="lv-LV" w:eastAsia="zh-CN"/>
        </w:rPr>
        <w:t xml:space="preserve">Ja Jums rodas jebkādas blakusparādības, konsultējieties ar ārstu, farmaceitu vai medmāsu. Tas attiecas arī uz iespējamajām blakusparādībām, kas </w:t>
      </w:r>
      <w:r>
        <w:rPr>
          <w:snapToGrid w:val="0"/>
          <w:szCs w:val="22"/>
          <w:lang w:val="lv-LV" w:eastAsia="zh-CN"/>
        </w:rPr>
        <w:t xml:space="preserve">nav minētas šajā instrukcijā. Jūs varat ziņot par blakusparādībām arī tieši, izmantojot </w:t>
      </w:r>
      <w:r w:rsidR="007E17F8">
        <w:fldChar w:fldCharType="begin"/>
      </w:r>
      <w:r w:rsidR="007E17F8" w:rsidRPr="00DD58C9">
        <w:rPr>
          <w:lang w:val="lv-LV"/>
          <w:rPrChange w:id="2092" w:author="Author">
            <w:rPr/>
          </w:rPrChange>
        </w:rPr>
        <w:instrText xml:space="preserve"> HYPERLINK "https://www.ema.europa.eu/documents/template-form/qrd-appendix-v-adverse-drug-reaction-reporting-details_en.docx" </w:instrText>
      </w:r>
      <w:r w:rsidR="007E17F8">
        <w:fldChar w:fldCharType="separate"/>
      </w:r>
      <w:r>
        <w:rPr>
          <w:snapToGrid w:val="0"/>
          <w:color w:val="0000FF"/>
          <w:highlight w:val="lightGray"/>
          <w:u w:val="single"/>
          <w:lang w:val="lv-LV" w:eastAsia="zh-CN"/>
        </w:rPr>
        <w:t>V pielikumā</w:t>
      </w:r>
      <w:r w:rsidR="007E17F8">
        <w:rPr>
          <w:snapToGrid w:val="0"/>
          <w:color w:val="0000FF"/>
          <w:highlight w:val="lightGray"/>
          <w:u w:val="single"/>
          <w:lang w:val="lv-LV" w:eastAsia="zh-CN"/>
        </w:rPr>
        <w:fldChar w:fldCharType="end"/>
      </w:r>
      <w:r>
        <w:rPr>
          <w:snapToGrid w:val="0"/>
          <w:szCs w:val="22"/>
          <w:highlight w:val="lightGray"/>
          <w:lang w:val="lv-LV" w:eastAsia="zh-CN"/>
        </w:rPr>
        <w:t xml:space="preserve"> minēto nacionālās ziņošanas sistēmas kontaktinformāciju</w:t>
      </w:r>
      <w:r>
        <w:rPr>
          <w:snapToGrid w:val="0"/>
          <w:szCs w:val="22"/>
          <w:lang w:val="lv-LV" w:eastAsia="zh-CN"/>
        </w:rPr>
        <w:t>. Ziņojot par blakusparādībām, Jūs varat palīdzēt nodrošināt daudz plašāku informāciju par šo zāļu drošumu</w:t>
      </w:r>
      <w:r>
        <w:rPr>
          <w:snapToGrid w:val="0"/>
          <w:lang w:val="lv-LV" w:eastAsia="zh-CN"/>
        </w:rPr>
        <w:t>.</w:t>
      </w:r>
    </w:p>
    <w:p w14:paraId="011E9086" w14:textId="77777777" w:rsidR="00F47ADA" w:rsidRDefault="00F47ADA" w:rsidP="00F47ADA">
      <w:pPr>
        <w:keepNext/>
        <w:keepLines/>
        <w:ind w:right="-2"/>
        <w:rPr>
          <w:szCs w:val="22"/>
          <w:lang w:val="lv-LV"/>
        </w:rPr>
      </w:pPr>
    </w:p>
    <w:p w14:paraId="0C9B0A4D" w14:textId="77777777" w:rsidR="00F47ADA" w:rsidRDefault="00F47ADA" w:rsidP="00F47ADA">
      <w:pPr>
        <w:ind w:right="-2"/>
        <w:rPr>
          <w:szCs w:val="22"/>
          <w:lang w:val="lv-LV"/>
        </w:rPr>
      </w:pPr>
    </w:p>
    <w:p w14:paraId="32E6D720" w14:textId="77777777" w:rsidR="00F47ADA" w:rsidRPr="00980DD8" w:rsidRDefault="00F47ADA" w:rsidP="00F47ADA">
      <w:pPr>
        <w:keepNext/>
        <w:keepLines/>
        <w:ind w:left="562" w:hanging="562"/>
        <w:rPr>
          <w:szCs w:val="22"/>
          <w:lang w:val="lv-LV"/>
        </w:rPr>
      </w:pPr>
      <w:r w:rsidRPr="00980DD8">
        <w:rPr>
          <w:b/>
          <w:szCs w:val="22"/>
          <w:lang w:val="lv-LV"/>
        </w:rPr>
        <w:t>5.</w:t>
      </w:r>
      <w:r w:rsidRPr="00980DD8">
        <w:rPr>
          <w:b/>
          <w:szCs w:val="22"/>
          <w:lang w:val="lv-LV"/>
        </w:rPr>
        <w:tab/>
        <w:t>Kā uzglabāt RoActemra</w:t>
      </w:r>
    </w:p>
    <w:p w14:paraId="5CD7C550" w14:textId="77777777" w:rsidR="00F47ADA" w:rsidRDefault="00F47ADA" w:rsidP="00F47ADA">
      <w:pPr>
        <w:keepNext/>
        <w:ind w:right="-2"/>
        <w:rPr>
          <w:szCs w:val="22"/>
          <w:lang w:val="lv-LV"/>
        </w:rPr>
      </w:pPr>
    </w:p>
    <w:p w14:paraId="5CB9868C" w14:textId="77777777" w:rsidR="00F47ADA" w:rsidRDefault="00F47ADA" w:rsidP="00F47ADA">
      <w:pPr>
        <w:keepNext/>
        <w:ind w:right="-2"/>
        <w:rPr>
          <w:szCs w:val="22"/>
          <w:lang w:val="lv-LV"/>
        </w:rPr>
      </w:pPr>
      <w:r>
        <w:rPr>
          <w:szCs w:val="22"/>
          <w:lang w:val="lv-LV"/>
        </w:rPr>
        <w:t>Uzglabāt šīs zāles bērniem neredzamā un nepieejamā vietā.</w:t>
      </w:r>
    </w:p>
    <w:p w14:paraId="546B85B2" w14:textId="77777777" w:rsidR="00F47ADA" w:rsidRDefault="00F47ADA" w:rsidP="00F47ADA">
      <w:pPr>
        <w:ind w:right="-2"/>
        <w:rPr>
          <w:szCs w:val="22"/>
          <w:lang w:val="lv-LV"/>
        </w:rPr>
      </w:pPr>
    </w:p>
    <w:p w14:paraId="3BF4D987" w14:textId="7BF80B98" w:rsidR="00F47ADA" w:rsidRDefault="00F47ADA" w:rsidP="00F47ADA">
      <w:pPr>
        <w:rPr>
          <w:lang w:val="lv-LV"/>
        </w:rPr>
      </w:pPr>
      <w:r>
        <w:rPr>
          <w:lang w:val="lv-LV"/>
        </w:rPr>
        <w:t xml:space="preserve">Nelietot šīs zāles pēc derīguma termiņa beigām, kas norādīts uz pildspalvveida pilnšļirces marķējuma un kastītes </w:t>
      </w:r>
      <w:r w:rsidR="00884395">
        <w:rPr>
          <w:lang w:val="lv-LV"/>
        </w:rPr>
        <w:t>pēc“</w:t>
      </w:r>
      <w:r>
        <w:rPr>
          <w:lang w:val="lv-LV"/>
        </w:rPr>
        <w:t>EXP</w:t>
      </w:r>
      <w:r w:rsidR="00884395">
        <w:rPr>
          <w:lang w:val="lv-LV"/>
        </w:rPr>
        <w:t>”</w:t>
      </w:r>
      <w:r>
        <w:rPr>
          <w:lang w:val="lv-LV"/>
        </w:rPr>
        <w:t xml:space="preserve">. Derīguma termiņš attiecas uz norādītā mēneša pēdējo dienu. </w:t>
      </w:r>
    </w:p>
    <w:p w14:paraId="3B49DE0B" w14:textId="77777777" w:rsidR="00F47ADA" w:rsidRDefault="00F47ADA" w:rsidP="00F47ADA">
      <w:pPr>
        <w:rPr>
          <w:lang w:val="lv-LV"/>
        </w:rPr>
      </w:pPr>
    </w:p>
    <w:p w14:paraId="1BD82936" w14:textId="6FC58327" w:rsidR="00F47ADA" w:rsidRDefault="00F47ADA" w:rsidP="00F47ADA">
      <w:pPr>
        <w:rPr>
          <w:szCs w:val="22"/>
          <w:lang w:val="lv-LV"/>
        </w:rPr>
      </w:pPr>
      <w:r>
        <w:rPr>
          <w:szCs w:val="22"/>
          <w:lang w:val="lv-LV"/>
        </w:rPr>
        <w:t xml:space="preserve">Uzglabāt ledusskapī (2 °C–8 °C). Nesasaldēt. </w:t>
      </w:r>
      <w:r w:rsidRPr="00AE2B55">
        <w:rPr>
          <w:szCs w:val="22"/>
          <w:lang w:val="lv-LV"/>
        </w:rPr>
        <w:t xml:space="preserve">Pēc izņemšanas no ledusskapja </w:t>
      </w:r>
      <w:r>
        <w:rPr>
          <w:szCs w:val="22"/>
          <w:lang w:val="lv-LV"/>
        </w:rPr>
        <w:t xml:space="preserve">pildspalvveida </w:t>
      </w:r>
      <w:r w:rsidRPr="00AE2B55">
        <w:rPr>
          <w:szCs w:val="22"/>
          <w:lang w:val="lv-LV"/>
        </w:rPr>
        <w:t>pilnšļirci var uzglabāt līdz 2</w:t>
      </w:r>
      <w:r>
        <w:rPr>
          <w:szCs w:val="22"/>
          <w:lang w:val="lv-LV"/>
        </w:rPr>
        <w:t> </w:t>
      </w:r>
      <w:r w:rsidRPr="00AE2B55">
        <w:rPr>
          <w:szCs w:val="22"/>
          <w:lang w:val="lv-LV"/>
        </w:rPr>
        <w:t>nedēļām temperatūrā līdz 30</w:t>
      </w:r>
      <w:r>
        <w:rPr>
          <w:szCs w:val="22"/>
          <w:lang w:val="lv-LV"/>
        </w:rPr>
        <w:t> </w:t>
      </w:r>
      <w:r w:rsidRPr="00AE2B55">
        <w:rPr>
          <w:szCs w:val="22"/>
          <w:lang w:val="lv-LV"/>
        </w:rPr>
        <w:t>°C.</w:t>
      </w:r>
    </w:p>
    <w:p w14:paraId="4EB1AE98" w14:textId="77777777" w:rsidR="00F47ADA" w:rsidRDefault="00F47ADA" w:rsidP="00F47ADA">
      <w:pPr>
        <w:rPr>
          <w:szCs w:val="22"/>
          <w:lang w:val="lv-LV"/>
        </w:rPr>
      </w:pPr>
    </w:p>
    <w:p w14:paraId="1183DCFB" w14:textId="77777777" w:rsidR="00F47ADA" w:rsidRDefault="00F47ADA" w:rsidP="00F47ADA">
      <w:pPr>
        <w:rPr>
          <w:lang w:val="lv-LV"/>
        </w:rPr>
      </w:pPr>
      <w:r>
        <w:rPr>
          <w:szCs w:val="22"/>
          <w:lang w:val="lv-LV"/>
        </w:rPr>
        <w:t>Uzglabāt pildspalvveida pilnšļirces ārējā kastītē, lai pasargātu no gaismas un mitruma.</w:t>
      </w:r>
    </w:p>
    <w:p w14:paraId="0AC141E8" w14:textId="77777777" w:rsidR="00F47ADA" w:rsidRDefault="00F47ADA" w:rsidP="00F47ADA">
      <w:pPr>
        <w:rPr>
          <w:lang w:val="lv-LV"/>
        </w:rPr>
      </w:pPr>
    </w:p>
    <w:p w14:paraId="330A2804" w14:textId="77777777" w:rsidR="00F47ADA" w:rsidRDefault="00F47ADA" w:rsidP="00F47ADA">
      <w:pPr>
        <w:rPr>
          <w:lang w:val="lv-LV"/>
        </w:rPr>
      </w:pPr>
      <w:r>
        <w:rPr>
          <w:lang w:val="lv-LV"/>
        </w:rPr>
        <w:t xml:space="preserve">Nelietojiet šīs zāles, ja šķīdums ir duļķains vai satur daļiņas, ja tā krāsa nav bezkrāsaina līdz dzeltenīga vai kāda no pildspalvveida pilnšļirces detaļām šķiet bojāta. </w:t>
      </w:r>
    </w:p>
    <w:p w14:paraId="27ADE6EA" w14:textId="77777777" w:rsidR="00F47ADA" w:rsidRDefault="00F47ADA" w:rsidP="00F47ADA">
      <w:pPr>
        <w:rPr>
          <w:lang w:val="lv-LV"/>
        </w:rPr>
      </w:pPr>
    </w:p>
    <w:p w14:paraId="55806118" w14:textId="77777777" w:rsidR="00F47ADA" w:rsidRDefault="00F47ADA" w:rsidP="00F47ADA">
      <w:pPr>
        <w:rPr>
          <w:lang w:val="lv-LV"/>
        </w:rPr>
      </w:pPr>
      <w:r>
        <w:rPr>
          <w:lang w:val="lv-LV"/>
        </w:rPr>
        <w:t xml:space="preserve">Pildspalvveida pilnšļirci nedrīkst sakratīt. </w:t>
      </w:r>
      <w:r>
        <w:rPr>
          <w:kern w:val="1"/>
          <w:szCs w:val="22"/>
          <w:lang w:val="lv-LV"/>
        </w:rPr>
        <w:t>Pēc vāciņa noņemšanas injekcija jāuzsāk 3 minūšu laikā, lai nepieļautu zāļu izžūšanu un adatas aizsprostošanu. Ja pildspalvveida pilnšļirce netiek lietota 3 minūšu laikā pēc vāciņa noņemšanas, tā ir jāizmet necaurduramā tvertnē un jālieto jauna pildspalvveida pilnšļirce.</w:t>
      </w:r>
    </w:p>
    <w:p w14:paraId="3919B780" w14:textId="77777777" w:rsidR="00F47ADA" w:rsidRDefault="00F47ADA" w:rsidP="00F47ADA">
      <w:pPr>
        <w:rPr>
          <w:szCs w:val="22"/>
          <w:lang w:val="lv-LV"/>
        </w:rPr>
      </w:pPr>
    </w:p>
    <w:p w14:paraId="2AA184EA" w14:textId="77777777" w:rsidR="00F47ADA" w:rsidRDefault="00F47ADA" w:rsidP="00F47ADA">
      <w:pPr>
        <w:spacing w:line="100" w:lineRule="atLeast"/>
        <w:rPr>
          <w:kern w:val="1"/>
          <w:lang w:val="lv-LV"/>
        </w:rPr>
      </w:pPr>
      <w:r>
        <w:rPr>
          <w:bCs/>
          <w:kern w:val="1"/>
          <w:szCs w:val="22"/>
          <w:lang w:val="lv-LV"/>
        </w:rPr>
        <w:t xml:space="preserve">Ja pēc aktivēšanas pogas piespiešanas violetais indikators neiekustas, pildspalvveida pilnšļirce ir jāizmet necaurduramā tvertnē. </w:t>
      </w:r>
      <w:r w:rsidRPr="00970405">
        <w:rPr>
          <w:b/>
          <w:bCs/>
          <w:kern w:val="1"/>
          <w:szCs w:val="22"/>
          <w:lang w:val="lv-LV"/>
        </w:rPr>
        <w:t>Nemēģiniet</w:t>
      </w:r>
      <w:r>
        <w:rPr>
          <w:bCs/>
          <w:kern w:val="1"/>
          <w:szCs w:val="22"/>
          <w:lang w:val="lv-LV"/>
        </w:rPr>
        <w:t xml:space="preserve"> atkārtoti lietot pildspalvveida pilnšļirci. Neatkārtojiet injekciju ar citu pildspalvveida pilnšļirci. Konsultējieties ar veselības aprūpes speciālistu.</w:t>
      </w:r>
    </w:p>
    <w:p w14:paraId="1174CF91" w14:textId="77777777" w:rsidR="00F47ADA" w:rsidRDefault="00F47ADA" w:rsidP="00F47ADA">
      <w:pPr>
        <w:ind w:left="567" w:right="-2" w:hanging="567"/>
        <w:rPr>
          <w:szCs w:val="22"/>
          <w:lang w:val="lv-LV"/>
        </w:rPr>
      </w:pPr>
    </w:p>
    <w:p w14:paraId="494B96E3" w14:textId="77777777" w:rsidR="00F47ADA" w:rsidRDefault="00F47ADA" w:rsidP="00F47ADA">
      <w:pPr>
        <w:ind w:left="567" w:right="-2" w:hanging="567"/>
        <w:rPr>
          <w:szCs w:val="22"/>
          <w:lang w:val="lv-LV"/>
        </w:rPr>
      </w:pPr>
    </w:p>
    <w:p w14:paraId="73E8588E" w14:textId="77777777" w:rsidR="00F47ADA" w:rsidRPr="00980DD8" w:rsidRDefault="00F47ADA" w:rsidP="00F47ADA">
      <w:pPr>
        <w:keepNext/>
        <w:keepLines/>
        <w:ind w:left="567" w:hanging="567"/>
        <w:rPr>
          <w:b/>
          <w:bCs/>
          <w:szCs w:val="22"/>
          <w:lang w:val="lv-LV"/>
        </w:rPr>
      </w:pPr>
      <w:r w:rsidRPr="00980DD8">
        <w:rPr>
          <w:b/>
          <w:szCs w:val="22"/>
          <w:lang w:val="lv-LV"/>
        </w:rPr>
        <w:t>6.</w:t>
      </w:r>
      <w:r w:rsidRPr="00980DD8">
        <w:rPr>
          <w:b/>
          <w:szCs w:val="22"/>
          <w:lang w:val="lv-LV"/>
        </w:rPr>
        <w:tab/>
        <w:t>Iepakojuma saturs un cita informācija</w:t>
      </w:r>
    </w:p>
    <w:p w14:paraId="339A347A" w14:textId="77777777" w:rsidR="00F47ADA" w:rsidRDefault="00F47ADA" w:rsidP="00F47ADA">
      <w:pPr>
        <w:keepNext/>
        <w:keepLines/>
        <w:ind w:left="567" w:right="-2" w:hanging="567"/>
        <w:rPr>
          <w:b/>
          <w:bCs/>
          <w:szCs w:val="22"/>
          <w:lang w:val="lv-LV"/>
        </w:rPr>
      </w:pPr>
    </w:p>
    <w:p w14:paraId="3DDBED95" w14:textId="77777777" w:rsidR="00F47ADA" w:rsidRPr="00231EC9" w:rsidRDefault="00F47ADA" w:rsidP="00F47ADA">
      <w:pPr>
        <w:keepNext/>
        <w:keepLines/>
        <w:ind w:left="567" w:right="-2" w:hanging="567"/>
        <w:rPr>
          <w:rFonts w:ascii="Symbol" w:hAnsi="Symbol" w:cs="Symbol"/>
          <w:szCs w:val="22"/>
          <w:lang w:val="lv-LV"/>
        </w:rPr>
      </w:pPr>
      <w:r w:rsidRPr="00231EC9">
        <w:rPr>
          <w:b/>
          <w:bCs/>
          <w:szCs w:val="22"/>
          <w:lang w:val="lv-LV"/>
        </w:rPr>
        <w:t>Ko RoActemra satur</w:t>
      </w:r>
    </w:p>
    <w:p w14:paraId="39364EFC" w14:textId="0D66E5EB" w:rsidR="00F47ADA" w:rsidRPr="004A48EA" w:rsidRDefault="00287ADB" w:rsidP="00707120">
      <w:pPr>
        <w:pStyle w:val="ListParagraph"/>
        <w:keepNext/>
        <w:keepLines/>
        <w:ind w:left="567" w:hanging="567"/>
        <w:rPr>
          <w:szCs w:val="22"/>
          <w:lang w:val="lv-LV"/>
        </w:rPr>
      </w:pPr>
      <w:r>
        <w:rPr>
          <w:lang w:val="nb-NO"/>
        </w:rPr>
        <w:sym w:font="Symbol" w:char="F0B7"/>
      </w:r>
      <w:r>
        <w:rPr>
          <w:lang w:val="nb-NO"/>
        </w:rPr>
        <w:tab/>
      </w:r>
      <w:r w:rsidR="00F47ADA" w:rsidRPr="004A48EA">
        <w:rPr>
          <w:szCs w:val="22"/>
          <w:lang w:val="lv-LV"/>
        </w:rPr>
        <w:t xml:space="preserve">Aktīvā viela ir tocilizumabs. </w:t>
      </w:r>
    </w:p>
    <w:p w14:paraId="7380FBED" w14:textId="403F42B1" w:rsidR="00F47ADA" w:rsidRDefault="00287ADB" w:rsidP="00707120">
      <w:pPr>
        <w:keepNext/>
        <w:keepLines/>
        <w:ind w:left="567" w:hanging="567"/>
        <w:rPr>
          <w:szCs w:val="22"/>
          <w:lang w:val="lv-LV"/>
        </w:rPr>
      </w:pPr>
      <w:r>
        <w:rPr>
          <w:szCs w:val="22"/>
          <w:lang w:val="lv-LV"/>
        </w:rPr>
        <w:tab/>
      </w:r>
      <w:r w:rsidR="00A24F77">
        <w:rPr>
          <w:szCs w:val="22"/>
          <w:lang w:val="lv-LV"/>
        </w:rPr>
        <w:t xml:space="preserve">Katra </w:t>
      </w:r>
      <w:r w:rsidR="00F47ADA">
        <w:rPr>
          <w:szCs w:val="22"/>
          <w:lang w:val="lv-LV"/>
        </w:rPr>
        <w:t xml:space="preserve">pildspalvveida pilnšļirce satur 162 mg tocilizumaba/0,9 ml. </w:t>
      </w:r>
    </w:p>
    <w:p w14:paraId="364D9FE5" w14:textId="77777777" w:rsidR="00F47ADA" w:rsidRDefault="00F47ADA" w:rsidP="00707120">
      <w:pPr>
        <w:keepNext/>
        <w:keepLines/>
        <w:ind w:left="567" w:hanging="567"/>
        <w:rPr>
          <w:szCs w:val="22"/>
          <w:lang w:val="lv-LV"/>
        </w:rPr>
      </w:pPr>
    </w:p>
    <w:p w14:paraId="5AFBE423" w14:textId="46D9AA4F" w:rsidR="00F47ADA" w:rsidRPr="004A48EA" w:rsidRDefault="00287ADB" w:rsidP="00707120">
      <w:pPr>
        <w:pStyle w:val="ListParagraph"/>
        <w:ind w:left="567" w:hanging="567"/>
        <w:rPr>
          <w:b/>
          <w:bCs/>
          <w:szCs w:val="22"/>
          <w:lang w:val="lv-LV"/>
        </w:rPr>
      </w:pPr>
      <w:r>
        <w:rPr>
          <w:lang w:val="nb-NO"/>
        </w:rPr>
        <w:sym w:font="Symbol" w:char="F0B7"/>
      </w:r>
      <w:r>
        <w:rPr>
          <w:lang w:val="nb-NO"/>
        </w:rPr>
        <w:tab/>
      </w:r>
      <w:r w:rsidR="00F47ADA" w:rsidRPr="004A48EA">
        <w:rPr>
          <w:szCs w:val="22"/>
          <w:lang w:val="lv-LV"/>
        </w:rPr>
        <w:t>Citas sastāvdaļas ir L</w:t>
      </w:r>
      <w:r w:rsidR="00F47ADA" w:rsidRPr="004A48EA">
        <w:rPr>
          <w:szCs w:val="22"/>
          <w:lang w:val="lv-LV"/>
        </w:rPr>
        <w:noBreakHyphen/>
        <w:t>histidīns, L</w:t>
      </w:r>
      <w:r w:rsidR="00F47ADA" w:rsidRPr="004A48EA">
        <w:rPr>
          <w:szCs w:val="22"/>
          <w:lang w:val="lv-LV"/>
        </w:rPr>
        <w:noBreakHyphen/>
        <w:t>histidīna monohidrohlorīda monohidrāts, L</w:t>
      </w:r>
      <w:r w:rsidR="00F47ADA" w:rsidRPr="004A48EA">
        <w:rPr>
          <w:szCs w:val="22"/>
          <w:lang w:val="lv-LV"/>
        </w:rPr>
        <w:noBreakHyphen/>
        <w:t>arginīns/L</w:t>
      </w:r>
      <w:r w:rsidR="00F47ADA" w:rsidRPr="004A48EA">
        <w:rPr>
          <w:szCs w:val="22"/>
          <w:lang w:val="lv-LV"/>
        </w:rPr>
        <w:noBreakHyphen/>
        <w:t>arginīna hidrohlorīds, L-metionīns, polisorbāts 80 un ūdens injekcijām</w:t>
      </w:r>
      <w:r w:rsidR="00F47ADA">
        <w:rPr>
          <w:szCs w:val="22"/>
          <w:lang w:val="lv-LV"/>
        </w:rPr>
        <w:t xml:space="preserve"> (skatīt 2. punktu “RoActemra satur polisorbātu</w:t>
      </w:r>
      <w:del w:id="2093" w:author="Author">
        <w:r w:rsidR="00F47ADA" w:rsidDel="001F6D14">
          <w:rPr>
            <w:szCs w:val="22"/>
            <w:lang w:val="lv-LV"/>
          </w:rPr>
          <w:delText>s</w:delText>
        </w:r>
      </w:del>
      <w:ins w:id="2094" w:author="Author">
        <w:r w:rsidR="001F6D14">
          <w:rPr>
            <w:szCs w:val="22"/>
            <w:lang w:val="lv-LV"/>
          </w:rPr>
          <w:t> </w:t>
        </w:r>
        <w:r w:rsidR="00026178">
          <w:rPr>
            <w:szCs w:val="22"/>
            <w:lang w:val="lv-LV"/>
          </w:rPr>
          <w:t>80 (E</w:t>
        </w:r>
        <w:r w:rsidR="001F6D14">
          <w:rPr>
            <w:szCs w:val="22"/>
            <w:lang w:val="lv-LV"/>
          </w:rPr>
          <w:t> </w:t>
        </w:r>
        <w:r w:rsidR="00026178">
          <w:rPr>
            <w:szCs w:val="22"/>
            <w:lang w:val="lv-LV"/>
          </w:rPr>
          <w:t>433)</w:t>
        </w:r>
      </w:ins>
      <w:r w:rsidR="00F47ADA">
        <w:rPr>
          <w:szCs w:val="22"/>
          <w:lang w:val="lv-LV"/>
        </w:rPr>
        <w:t>”)</w:t>
      </w:r>
      <w:r w:rsidR="00F47ADA" w:rsidRPr="004A48EA">
        <w:rPr>
          <w:szCs w:val="22"/>
          <w:lang w:val="lv-LV"/>
        </w:rPr>
        <w:t>.</w:t>
      </w:r>
    </w:p>
    <w:p w14:paraId="0C6C0BA7" w14:textId="77777777" w:rsidR="00F47ADA" w:rsidRDefault="00F47ADA" w:rsidP="00F47ADA">
      <w:pPr>
        <w:ind w:right="-2"/>
        <w:rPr>
          <w:b/>
          <w:bCs/>
          <w:szCs w:val="22"/>
          <w:lang w:val="lv-LV"/>
        </w:rPr>
      </w:pPr>
    </w:p>
    <w:p w14:paraId="2807BF97" w14:textId="77777777" w:rsidR="00F47ADA" w:rsidRPr="00707120" w:rsidRDefault="00F47ADA" w:rsidP="00F47ADA">
      <w:pPr>
        <w:rPr>
          <w:szCs w:val="22"/>
          <w:lang w:val="lv-LV"/>
        </w:rPr>
      </w:pPr>
      <w:r w:rsidRPr="00707120">
        <w:rPr>
          <w:b/>
          <w:bCs/>
          <w:szCs w:val="22"/>
          <w:lang w:val="lv-LV"/>
        </w:rPr>
        <w:t>RoActemra ārējais izskats un iepakojums</w:t>
      </w:r>
    </w:p>
    <w:p w14:paraId="4C4DC6FE" w14:textId="77777777" w:rsidR="00F47ADA" w:rsidRDefault="00F47ADA" w:rsidP="00F47ADA">
      <w:pPr>
        <w:rPr>
          <w:szCs w:val="22"/>
          <w:lang w:val="lv-LV"/>
        </w:rPr>
      </w:pPr>
      <w:r>
        <w:rPr>
          <w:szCs w:val="22"/>
          <w:lang w:val="lv-LV"/>
        </w:rPr>
        <w:t xml:space="preserve">RoActemra ir šķīdums injekcijām. Šķīdums ir bezkrāsains līdz gaiši dzeltens šķīdums. </w:t>
      </w:r>
    </w:p>
    <w:p w14:paraId="5ED7CE85" w14:textId="77777777" w:rsidR="00F47ADA" w:rsidRDefault="00F47ADA" w:rsidP="00F47ADA">
      <w:pPr>
        <w:rPr>
          <w:szCs w:val="22"/>
          <w:lang w:val="lv-LV"/>
        </w:rPr>
      </w:pPr>
    </w:p>
    <w:p w14:paraId="26FA0237" w14:textId="3EEAF2D1" w:rsidR="00F47ADA" w:rsidRPr="00707120" w:rsidRDefault="00F47ADA" w:rsidP="00F47ADA">
      <w:pPr>
        <w:rPr>
          <w:szCs w:val="22"/>
          <w:lang w:val="lv-LV"/>
        </w:rPr>
      </w:pPr>
      <w:r>
        <w:rPr>
          <w:szCs w:val="22"/>
          <w:lang w:val="lv-LV"/>
        </w:rPr>
        <w:t xml:space="preserve">RoActemra tiek piegādāts 0,9 ml pildspalvveida pilnšļircē, kas satur 162 mg tocilizumaba šķīdumu injekcijām. </w:t>
      </w:r>
      <w:r w:rsidRPr="00435CE9">
        <w:rPr>
          <w:szCs w:val="22"/>
          <w:lang w:val="lv-LV"/>
        </w:rPr>
        <w:t xml:space="preserve">Katrā iepakojumā ir 4 pildspalvveida pilnšļirces </w:t>
      </w:r>
      <w:r w:rsidRPr="00707120">
        <w:rPr>
          <w:iCs/>
          <w:szCs w:val="22"/>
          <w:lang w:val="lv-LV"/>
        </w:rPr>
        <w:t>un daudzdevu iepakojumos ir 12</w:t>
      </w:r>
      <w:r>
        <w:rPr>
          <w:iCs/>
          <w:szCs w:val="22"/>
          <w:lang w:val="lv-LV"/>
        </w:rPr>
        <w:t> </w:t>
      </w:r>
      <w:r w:rsidRPr="00707120">
        <w:rPr>
          <w:iCs/>
          <w:szCs w:val="22"/>
          <w:lang w:val="lv-LV"/>
        </w:rPr>
        <w:t>pildspalvveida pilnšļirces (3</w:t>
      </w:r>
      <w:r>
        <w:rPr>
          <w:iCs/>
          <w:szCs w:val="22"/>
          <w:lang w:val="lv-LV"/>
        </w:rPr>
        <w:t> </w:t>
      </w:r>
      <w:r w:rsidRPr="00707120">
        <w:rPr>
          <w:iCs/>
          <w:szCs w:val="22"/>
          <w:lang w:val="lv-LV"/>
        </w:rPr>
        <w:t>kārbiņas katrā pa 4). Visi iepakojuma lielumi tirgū var nebūt pieejami.</w:t>
      </w:r>
    </w:p>
    <w:p w14:paraId="6033BA24" w14:textId="77777777" w:rsidR="00F47ADA" w:rsidRDefault="00F47ADA" w:rsidP="00F47ADA">
      <w:pPr>
        <w:keepNext/>
        <w:rPr>
          <w:b/>
          <w:bCs/>
          <w:szCs w:val="22"/>
          <w:lang w:val="lv-LV"/>
        </w:rPr>
      </w:pPr>
    </w:p>
    <w:p w14:paraId="3B78DFD4" w14:textId="77777777" w:rsidR="00F47ADA" w:rsidRPr="00707120" w:rsidRDefault="00F47ADA" w:rsidP="00F47ADA">
      <w:pPr>
        <w:keepNext/>
        <w:rPr>
          <w:szCs w:val="22"/>
          <w:lang w:val="lv-LV"/>
        </w:rPr>
      </w:pPr>
      <w:r w:rsidRPr="00707120">
        <w:rPr>
          <w:b/>
          <w:bCs/>
          <w:szCs w:val="22"/>
          <w:lang w:val="lv-LV"/>
        </w:rPr>
        <w:t>Reģistrācijas apliecības īpašnieks</w:t>
      </w:r>
    </w:p>
    <w:p w14:paraId="272F9F4F" w14:textId="77777777" w:rsidR="00F47ADA" w:rsidRPr="0030288A" w:rsidRDefault="00F47ADA" w:rsidP="00F47ADA">
      <w:pPr>
        <w:rPr>
          <w:szCs w:val="22"/>
          <w:lang w:val="lv-LV"/>
        </w:rPr>
      </w:pPr>
      <w:r w:rsidRPr="0030288A">
        <w:rPr>
          <w:szCs w:val="22"/>
          <w:lang w:val="lv-LV"/>
        </w:rPr>
        <w:t xml:space="preserve">Roche Registration GmbH </w:t>
      </w:r>
    </w:p>
    <w:p w14:paraId="68FF64A0" w14:textId="77777777" w:rsidR="00F47ADA" w:rsidRPr="0030288A" w:rsidRDefault="00F47ADA" w:rsidP="00F47ADA">
      <w:pPr>
        <w:rPr>
          <w:szCs w:val="22"/>
          <w:lang w:val="lv-LV"/>
        </w:rPr>
      </w:pPr>
      <w:r w:rsidRPr="0030288A">
        <w:rPr>
          <w:szCs w:val="22"/>
          <w:lang w:val="lv-LV"/>
        </w:rPr>
        <w:t>Emil-Barell-Strasse 1</w:t>
      </w:r>
    </w:p>
    <w:p w14:paraId="28C4408B" w14:textId="77777777" w:rsidR="00F47ADA" w:rsidRPr="0030288A" w:rsidRDefault="00F47ADA" w:rsidP="00F47ADA">
      <w:pPr>
        <w:rPr>
          <w:szCs w:val="22"/>
          <w:lang w:val="lv-LV"/>
        </w:rPr>
      </w:pPr>
      <w:r w:rsidRPr="0030288A">
        <w:rPr>
          <w:szCs w:val="22"/>
          <w:lang w:val="lv-LV"/>
        </w:rPr>
        <w:t>79639 Grenzach-Wyhlen</w:t>
      </w:r>
    </w:p>
    <w:p w14:paraId="0BECD5FD" w14:textId="77777777" w:rsidR="00F47ADA" w:rsidRDefault="00F47ADA" w:rsidP="00F47ADA">
      <w:pPr>
        <w:rPr>
          <w:b/>
          <w:bCs/>
          <w:szCs w:val="22"/>
          <w:lang w:val="lv-LV"/>
        </w:rPr>
      </w:pPr>
      <w:r w:rsidRPr="0030288A">
        <w:rPr>
          <w:szCs w:val="22"/>
          <w:lang w:val="lv-LV"/>
        </w:rPr>
        <w:t>Vācija</w:t>
      </w:r>
    </w:p>
    <w:p w14:paraId="17D9F4F3" w14:textId="77777777" w:rsidR="00F47ADA" w:rsidRDefault="00F47ADA" w:rsidP="00F47ADA">
      <w:pPr>
        <w:ind w:right="-2"/>
        <w:rPr>
          <w:b/>
          <w:bCs/>
          <w:szCs w:val="22"/>
          <w:lang w:val="lv-LV"/>
        </w:rPr>
      </w:pPr>
    </w:p>
    <w:p w14:paraId="1F96BDEF" w14:textId="77777777" w:rsidR="00F47ADA" w:rsidRPr="00707120" w:rsidRDefault="00F47ADA" w:rsidP="00707120">
      <w:pPr>
        <w:keepNext/>
        <w:keepLines/>
        <w:rPr>
          <w:szCs w:val="22"/>
          <w:lang w:val="lv-LV"/>
        </w:rPr>
      </w:pPr>
      <w:r w:rsidRPr="00707120">
        <w:rPr>
          <w:b/>
          <w:szCs w:val="22"/>
          <w:lang w:val="lv-LV"/>
        </w:rPr>
        <w:t>Ražotājs</w:t>
      </w:r>
    </w:p>
    <w:p w14:paraId="75014161" w14:textId="77777777" w:rsidR="00F47ADA" w:rsidRPr="00435CE9" w:rsidRDefault="00F47ADA" w:rsidP="00707120">
      <w:pPr>
        <w:keepNext/>
        <w:keepLines/>
        <w:rPr>
          <w:szCs w:val="22"/>
          <w:lang w:val="lv-LV"/>
        </w:rPr>
      </w:pPr>
      <w:r w:rsidRPr="00435CE9">
        <w:rPr>
          <w:szCs w:val="22"/>
          <w:lang w:val="lv-LV"/>
        </w:rPr>
        <w:t>Roche Pharma AG</w:t>
      </w:r>
    </w:p>
    <w:p w14:paraId="4C3611FC" w14:textId="77777777" w:rsidR="00F47ADA" w:rsidRDefault="00F47ADA" w:rsidP="00707120">
      <w:pPr>
        <w:keepNext/>
        <w:keepLines/>
        <w:rPr>
          <w:szCs w:val="22"/>
          <w:lang w:val="lv-LV"/>
        </w:rPr>
      </w:pPr>
      <w:r>
        <w:rPr>
          <w:szCs w:val="22"/>
          <w:lang w:val="lv-LV"/>
        </w:rPr>
        <w:t>Emil-Barell-Str. 1</w:t>
      </w:r>
    </w:p>
    <w:p w14:paraId="515CD22D" w14:textId="56720CC6" w:rsidR="00F47ADA" w:rsidRDefault="00F47ADA" w:rsidP="00707120">
      <w:pPr>
        <w:keepNext/>
        <w:keepLines/>
        <w:rPr>
          <w:szCs w:val="22"/>
          <w:lang w:val="lv-LV"/>
        </w:rPr>
      </w:pPr>
      <w:r>
        <w:rPr>
          <w:szCs w:val="22"/>
          <w:lang w:val="lv-LV"/>
        </w:rPr>
        <w:t>79639 Grenzach-Wyhlen</w:t>
      </w:r>
    </w:p>
    <w:p w14:paraId="70F7FC2F" w14:textId="77777777" w:rsidR="00F47ADA" w:rsidRDefault="00F47ADA" w:rsidP="00F47ADA">
      <w:pPr>
        <w:ind w:right="-2"/>
        <w:rPr>
          <w:szCs w:val="22"/>
          <w:lang w:val="lv-LV"/>
        </w:rPr>
      </w:pPr>
      <w:r>
        <w:rPr>
          <w:szCs w:val="22"/>
          <w:lang w:val="lv-LV"/>
        </w:rPr>
        <w:t>Vācija</w:t>
      </w:r>
    </w:p>
    <w:p w14:paraId="7492903B" w14:textId="77777777" w:rsidR="00F47ADA" w:rsidRDefault="00F47ADA" w:rsidP="00F47ADA">
      <w:pPr>
        <w:ind w:right="-2"/>
        <w:rPr>
          <w:szCs w:val="22"/>
          <w:lang w:val="lv-LV"/>
        </w:rPr>
      </w:pPr>
    </w:p>
    <w:p w14:paraId="35B41CB3" w14:textId="77777777" w:rsidR="00F47ADA" w:rsidRDefault="00F47ADA" w:rsidP="00F47ADA">
      <w:pPr>
        <w:keepNext/>
        <w:keepLines/>
        <w:rPr>
          <w:lang w:val="lv-LV"/>
        </w:rPr>
      </w:pPr>
      <w:r>
        <w:rPr>
          <w:szCs w:val="22"/>
          <w:lang w:val="lv-LV"/>
        </w:rPr>
        <w:t>Lai saņemtu papildu informāciju par šīm zālēm, lūdzam sazināties ar reģistrācijas apliecības īpašnieka vietējo pārstāvniecību:</w:t>
      </w:r>
    </w:p>
    <w:p w14:paraId="59BDBCD8" w14:textId="77777777" w:rsidR="00F47ADA" w:rsidRDefault="00F47ADA" w:rsidP="00F47ADA">
      <w:pPr>
        <w:keepNext/>
        <w:keepLines/>
        <w:rPr>
          <w:lang w:val="lv-LV"/>
        </w:rPr>
      </w:pPr>
    </w:p>
    <w:tbl>
      <w:tblPr>
        <w:tblW w:w="9180" w:type="dxa"/>
        <w:tblLayout w:type="fixed"/>
        <w:tblLook w:val="0000" w:firstRow="0" w:lastRow="0" w:firstColumn="0" w:lastColumn="0" w:noHBand="0" w:noVBand="0"/>
      </w:tblPr>
      <w:tblGrid>
        <w:gridCol w:w="4536"/>
        <w:gridCol w:w="4537"/>
        <w:gridCol w:w="107"/>
      </w:tblGrid>
      <w:tr w:rsidR="00F47ADA" w:rsidRPr="00707120" w14:paraId="26B0422D" w14:textId="77777777" w:rsidTr="00C51473">
        <w:trPr>
          <w:gridAfter w:val="1"/>
          <w:wAfter w:w="108" w:type="dxa"/>
          <w:cantSplit/>
        </w:trPr>
        <w:tc>
          <w:tcPr>
            <w:tcW w:w="4590" w:type="dxa"/>
          </w:tcPr>
          <w:p w14:paraId="29AC36B3" w14:textId="77777777" w:rsidR="006B3767" w:rsidRPr="00231BF8" w:rsidRDefault="00F47ADA" w:rsidP="006B3767">
            <w:pPr>
              <w:pStyle w:val="Standard1"/>
              <w:rPr>
                <w:ins w:id="2095" w:author="Author"/>
                <w:b/>
                <w:szCs w:val="22"/>
                <w:lang w:val="fr-FR"/>
              </w:rPr>
            </w:pPr>
            <w:r>
              <w:rPr>
                <w:b/>
              </w:rPr>
              <w:t>België/Belgique/Belgien</w:t>
            </w:r>
            <w:ins w:id="2096" w:author="Author">
              <w:r w:rsidR="006B3767" w:rsidRPr="00231BF8">
                <w:rPr>
                  <w:b/>
                  <w:szCs w:val="22"/>
                  <w:lang w:val="fr-FR"/>
                </w:rPr>
                <w:t>,</w:t>
              </w:r>
            </w:ins>
          </w:p>
          <w:p w14:paraId="5F027EB0" w14:textId="4EBB4253" w:rsidR="00F47ADA" w:rsidRDefault="006B3767" w:rsidP="006B3767">
            <w:pPr>
              <w:keepNext/>
              <w:keepLines/>
              <w:rPr>
                <w:lang w:val="lv-LV"/>
              </w:rPr>
            </w:pPr>
            <w:ins w:id="2097" w:author="Author">
              <w:r w:rsidRPr="00231BF8">
                <w:rPr>
                  <w:b/>
                  <w:noProof/>
                  <w:szCs w:val="22"/>
                  <w:lang w:val="de-DE"/>
                </w:rPr>
                <w:t>Luxembourg/Luxemburg</w:t>
              </w:r>
            </w:ins>
          </w:p>
          <w:p w14:paraId="7DC30611" w14:textId="43C194D4" w:rsidR="00F47ADA" w:rsidRDefault="00F47ADA" w:rsidP="0067693D">
            <w:pPr>
              <w:keepNext/>
              <w:keepLines/>
              <w:rPr>
                <w:ins w:id="2098" w:author="Author"/>
                <w:lang w:val="lv-LV"/>
              </w:rPr>
            </w:pPr>
            <w:r>
              <w:rPr>
                <w:lang w:val="lv-LV"/>
              </w:rPr>
              <w:t>N.V. Roche S.A.</w:t>
            </w:r>
          </w:p>
          <w:p w14:paraId="74776F4A" w14:textId="3CAF40E0" w:rsidR="006B3767" w:rsidRDefault="006B3767" w:rsidP="0067693D">
            <w:pPr>
              <w:keepNext/>
              <w:keepLines/>
              <w:rPr>
                <w:lang w:val="lv-LV"/>
              </w:rPr>
            </w:pPr>
            <w:ins w:id="2099" w:author="Author">
              <w:r w:rsidRPr="00DD58C9">
                <w:rPr>
                  <w:bCs/>
                  <w:noProof/>
                  <w:szCs w:val="22"/>
                  <w:lang w:val="fr-FR"/>
                  <w:rPrChange w:id="2100" w:author="Author">
                    <w:rPr>
                      <w:b/>
                      <w:noProof/>
                      <w:szCs w:val="22"/>
                      <w:lang w:val="fr-FR"/>
                    </w:rPr>
                  </w:rPrChange>
                </w:rPr>
                <w:t>België/Belgique/Belgien</w:t>
              </w:r>
            </w:ins>
          </w:p>
          <w:p w14:paraId="3DCCBC1A" w14:textId="77777777" w:rsidR="00F47ADA" w:rsidRDefault="00F47ADA" w:rsidP="0067693D">
            <w:pPr>
              <w:keepNext/>
              <w:keepLines/>
              <w:rPr>
                <w:b/>
                <w:lang w:val="lv-LV"/>
              </w:rPr>
            </w:pPr>
            <w:r>
              <w:rPr>
                <w:lang w:val="lv-LV"/>
              </w:rPr>
              <w:t>Tél/Tel: +32 (0) 2 525 82 11</w:t>
            </w:r>
          </w:p>
          <w:p w14:paraId="72590A15" w14:textId="77777777" w:rsidR="00F47ADA" w:rsidRDefault="00F47ADA" w:rsidP="0067693D">
            <w:pPr>
              <w:keepNext/>
              <w:keepLines/>
              <w:rPr>
                <w:b/>
                <w:lang w:val="lv-LV"/>
              </w:rPr>
            </w:pPr>
          </w:p>
        </w:tc>
        <w:tc>
          <w:tcPr>
            <w:tcW w:w="4590" w:type="dxa"/>
          </w:tcPr>
          <w:p w14:paraId="624452D7" w14:textId="77777777" w:rsidR="00C51473" w:rsidRPr="00231BF8" w:rsidRDefault="00C51473" w:rsidP="00C51473">
            <w:pPr>
              <w:pStyle w:val="Standard1"/>
              <w:rPr>
                <w:ins w:id="2101" w:author="Author"/>
                <w:b/>
                <w:noProof/>
                <w:szCs w:val="22"/>
                <w:lang w:val="it-IT"/>
              </w:rPr>
            </w:pPr>
            <w:ins w:id="2102" w:author="Author">
              <w:r w:rsidRPr="00231BF8">
                <w:rPr>
                  <w:b/>
                  <w:noProof/>
                  <w:szCs w:val="22"/>
                  <w:lang w:val="it-IT"/>
                </w:rPr>
                <w:t>Latvija</w:t>
              </w:r>
            </w:ins>
          </w:p>
          <w:p w14:paraId="722AE8FB" w14:textId="77777777" w:rsidR="00C51473" w:rsidRPr="00231BF8" w:rsidRDefault="00C51473" w:rsidP="00C51473">
            <w:pPr>
              <w:pStyle w:val="Standard1"/>
              <w:rPr>
                <w:ins w:id="2103" w:author="Author"/>
                <w:noProof/>
                <w:szCs w:val="22"/>
                <w:lang w:val="it-IT"/>
              </w:rPr>
            </w:pPr>
            <w:ins w:id="2104" w:author="Author">
              <w:r w:rsidRPr="00231BF8">
                <w:rPr>
                  <w:bCs/>
                  <w:noProof/>
                  <w:szCs w:val="22"/>
                  <w:lang w:val="it-IT"/>
                </w:rPr>
                <w:t>Roche Latvija SIA</w:t>
              </w:r>
            </w:ins>
          </w:p>
          <w:p w14:paraId="27853154" w14:textId="77777777" w:rsidR="002E57E0" w:rsidRDefault="00C51473" w:rsidP="00C51473">
            <w:pPr>
              <w:keepNext/>
              <w:keepLines/>
              <w:rPr>
                <w:ins w:id="2105" w:author="Author"/>
                <w:noProof/>
                <w:szCs w:val="22"/>
                <w:lang w:val="it-IT"/>
              </w:rPr>
            </w:pPr>
            <w:ins w:id="2106" w:author="Author">
              <w:r w:rsidRPr="00231BF8">
                <w:rPr>
                  <w:noProof/>
                  <w:szCs w:val="22"/>
                  <w:lang w:val="it-IT"/>
                </w:rPr>
                <w:t>Tel: +371 - 6 7039831</w:t>
              </w:r>
            </w:ins>
          </w:p>
          <w:p w14:paraId="5CE4C342" w14:textId="4B37675D" w:rsidR="00F47ADA" w:rsidDel="00C51473" w:rsidRDefault="00F47ADA" w:rsidP="00C51473">
            <w:pPr>
              <w:keepNext/>
              <w:keepLines/>
              <w:rPr>
                <w:del w:id="2107" w:author="Author"/>
                <w:lang w:val="lv-LV"/>
              </w:rPr>
            </w:pPr>
            <w:del w:id="2108" w:author="Author">
              <w:r w:rsidDel="00C51473">
                <w:rPr>
                  <w:b/>
                  <w:lang w:val="lv-LV"/>
                </w:rPr>
                <w:delText>Luxembourg/Luxemburg</w:delText>
              </w:r>
            </w:del>
          </w:p>
          <w:p w14:paraId="4F23B017" w14:textId="40CB67E5" w:rsidR="00F47ADA" w:rsidDel="002E57E0" w:rsidRDefault="00F47ADA" w:rsidP="002E57E0">
            <w:pPr>
              <w:keepNext/>
              <w:keepLines/>
              <w:rPr>
                <w:del w:id="2109" w:author="Author"/>
                <w:b/>
                <w:lang w:val="lv-LV"/>
              </w:rPr>
            </w:pPr>
            <w:del w:id="2110" w:author="Author">
              <w:r w:rsidDel="00C51473">
                <w:rPr>
                  <w:lang w:val="lv-LV"/>
                </w:rPr>
                <w:delText>(Voir/siehe Belgique/Belgien)</w:delText>
              </w:r>
            </w:del>
          </w:p>
          <w:p w14:paraId="27273886" w14:textId="77777777" w:rsidR="00F47ADA" w:rsidRDefault="00F47ADA" w:rsidP="0067693D">
            <w:pPr>
              <w:keepNext/>
              <w:keepLines/>
              <w:rPr>
                <w:b/>
                <w:lang w:val="lv-LV"/>
              </w:rPr>
            </w:pPr>
          </w:p>
        </w:tc>
      </w:tr>
      <w:tr w:rsidR="00F47ADA" w:rsidRPr="00270F12" w14:paraId="2B5B3F6A" w14:textId="77777777" w:rsidTr="00C51473">
        <w:trPr>
          <w:gridAfter w:val="1"/>
          <w:wAfter w:w="108" w:type="dxa"/>
          <w:cantSplit/>
        </w:trPr>
        <w:tc>
          <w:tcPr>
            <w:tcW w:w="4590" w:type="dxa"/>
          </w:tcPr>
          <w:p w14:paraId="52E7757D" w14:textId="77777777" w:rsidR="00F47ADA" w:rsidRDefault="00F47ADA" w:rsidP="0067693D">
            <w:pPr>
              <w:keepNext/>
              <w:keepLines/>
              <w:autoSpaceDE w:val="0"/>
              <w:rPr>
                <w:lang w:val="lv-LV"/>
              </w:rPr>
            </w:pPr>
            <w:r>
              <w:rPr>
                <w:b/>
                <w:bCs/>
                <w:szCs w:val="22"/>
                <w:lang w:val="lv-LV"/>
              </w:rPr>
              <w:t>България</w:t>
            </w:r>
          </w:p>
          <w:p w14:paraId="14931EA5" w14:textId="77777777" w:rsidR="00F47ADA" w:rsidRDefault="00F47ADA" w:rsidP="0067693D">
            <w:pPr>
              <w:keepNext/>
              <w:keepLines/>
              <w:rPr>
                <w:lang w:val="lv-LV"/>
              </w:rPr>
            </w:pPr>
            <w:r>
              <w:rPr>
                <w:lang w:val="lv-LV"/>
              </w:rPr>
              <w:t>Рош България ЕООД</w:t>
            </w:r>
          </w:p>
          <w:p w14:paraId="2D4C98E1" w14:textId="4FB3B4E2" w:rsidR="00F47ADA" w:rsidRDefault="00F47ADA" w:rsidP="0067693D">
            <w:pPr>
              <w:keepNext/>
              <w:keepLines/>
              <w:rPr>
                <w:lang w:val="lv-LV"/>
              </w:rPr>
            </w:pPr>
            <w:r w:rsidRPr="00976261">
              <w:rPr>
                <w:noProof/>
                <w:szCs w:val="22"/>
                <w:lang w:val="ru-RU"/>
              </w:rPr>
              <w:t>Тел: +359 2 474 5444</w:t>
            </w:r>
          </w:p>
        </w:tc>
        <w:tc>
          <w:tcPr>
            <w:tcW w:w="4590" w:type="dxa"/>
          </w:tcPr>
          <w:p w14:paraId="516285CB" w14:textId="77777777" w:rsidR="00C51473" w:rsidRPr="00231BF8" w:rsidRDefault="00C51473" w:rsidP="00C51473">
            <w:pPr>
              <w:pStyle w:val="Standard1"/>
              <w:suppressAutoHyphens/>
              <w:rPr>
                <w:ins w:id="2111" w:author="Author"/>
                <w:b/>
                <w:noProof/>
                <w:szCs w:val="22"/>
                <w:lang w:val="en-GB"/>
              </w:rPr>
            </w:pPr>
            <w:ins w:id="2112" w:author="Author">
              <w:r w:rsidRPr="00231BF8">
                <w:rPr>
                  <w:b/>
                  <w:noProof/>
                  <w:szCs w:val="22"/>
                  <w:lang w:val="en-GB"/>
                </w:rPr>
                <w:t>Lietuva</w:t>
              </w:r>
            </w:ins>
          </w:p>
          <w:p w14:paraId="4BB3A558" w14:textId="77777777" w:rsidR="00C51473" w:rsidRPr="00231BF8" w:rsidRDefault="00C51473" w:rsidP="00C51473">
            <w:pPr>
              <w:pStyle w:val="Standard1"/>
              <w:suppressAutoHyphens/>
              <w:rPr>
                <w:ins w:id="2113" w:author="Author"/>
                <w:noProof/>
                <w:szCs w:val="22"/>
                <w:lang w:val="en-GB"/>
              </w:rPr>
            </w:pPr>
            <w:ins w:id="2114" w:author="Author">
              <w:r w:rsidRPr="00231BF8">
                <w:rPr>
                  <w:noProof/>
                  <w:szCs w:val="22"/>
                  <w:lang w:val="en-GB"/>
                </w:rPr>
                <w:t>UAB “Roche Lietuva”</w:t>
              </w:r>
            </w:ins>
          </w:p>
          <w:p w14:paraId="44B7CD1F" w14:textId="77777777" w:rsidR="002E57E0" w:rsidRDefault="00C51473" w:rsidP="00C51473">
            <w:pPr>
              <w:keepNext/>
              <w:keepLines/>
              <w:rPr>
                <w:ins w:id="2115" w:author="Author"/>
                <w:noProof/>
                <w:szCs w:val="22"/>
                <w:lang w:val="en-GB"/>
              </w:rPr>
            </w:pPr>
            <w:ins w:id="2116" w:author="Author">
              <w:r w:rsidRPr="00231BF8">
                <w:rPr>
                  <w:noProof/>
                  <w:szCs w:val="22"/>
                  <w:lang w:val="en-GB"/>
                </w:rPr>
                <w:t>Tel: +370 5 2546799</w:t>
              </w:r>
            </w:ins>
          </w:p>
          <w:p w14:paraId="6E91C1A2" w14:textId="1240382D" w:rsidR="00F47ADA" w:rsidDel="00C51473" w:rsidRDefault="00F47ADA" w:rsidP="00C51473">
            <w:pPr>
              <w:keepNext/>
              <w:keepLines/>
              <w:rPr>
                <w:del w:id="2117" w:author="Author"/>
                <w:lang w:val="lv-LV"/>
              </w:rPr>
            </w:pPr>
            <w:del w:id="2118" w:author="Author">
              <w:r w:rsidDel="00C51473">
                <w:rPr>
                  <w:b/>
                  <w:lang w:val="lv-LV"/>
                </w:rPr>
                <w:delText>Magyarország</w:delText>
              </w:r>
            </w:del>
          </w:p>
          <w:p w14:paraId="68BE5225" w14:textId="4C0A61B9" w:rsidR="00F47ADA" w:rsidDel="00C51473" w:rsidRDefault="00F47ADA" w:rsidP="0067693D">
            <w:pPr>
              <w:keepNext/>
              <w:keepLines/>
              <w:rPr>
                <w:del w:id="2119" w:author="Author"/>
                <w:lang w:val="lv-LV"/>
              </w:rPr>
            </w:pPr>
            <w:del w:id="2120" w:author="Author">
              <w:r w:rsidDel="00C51473">
                <w:rPr>
                  <w:lang w:val="lv-LV"/>
                </w:rPr>
                <w:delText>Roche (Magyarország) Kft.</w:delText>
              </w:r>
            </w:del>
          </w:p>
          <w:p w14:paraId="68623DAA" w14:textId="12B6D10C" w:rsidR="00F47ADA" w:rsidDel="002E57E0" w:rsidRDefault="00F47ADA" w:rsidP="002E57E0">
            <w:pPr>
              <w:keepNext/>
              <w:keepLines/>
              <w:rPr>
                <w:del w:id="2121" w:author="Author"/>
                <w:lang w:val="lv-LV"/>
              </w:rPr>
            </w:pPr>
            <w:del w:id="2122" w:author="Author">
              <w:r w:rsidDel="00C51473">
                <w:rPr>
                  <w:lang w:val="lv-LV"/>
                </w:rPr>
                <w:delText xml:space="preserve">Tel: +36 - </w:delText>
              </w:r>
              <w:r w:rsidRPr="000C4151" w:rsidDel="00C51473">
                <w:rPr>
                  <w:noProof/>
                  <w:szCs w:val="22"/>
                  <w:lang w:val="cs-CZ"/>
                </w:rPr>
                <w:delText>1 279 4500</w:delText>
              </w:r>
            </w:del>
          </w:p>
          <w:p w14:paraId="1BE49600" w14:textId="77777777" w:rsidR="00F47ADA" w:rsidRDefault="00F47ADA" w:rsidP="0067693D">
            <w:pPr>
              <w:keepNext/>
              <w:keepLines/>
              <w:rPr>
                <w:lang w:val="lv-LV"/>
              </w:rPr>
            </w:pPr>
          </w:p>
        </w:tc>
      </w:tr>
      <w:tr w:rsidR="00F47ADA" w14:paraId="510CC88C" w14:textId="77777777" w:rsidTr="00C51473">
        <w:trPr>
          <w:gridAfter w:val="1"/>
          <w:wAfter w:w="108" w:type="dxa"/>
          <w:cantSplit/>
        </w:trPr>
        <w:tc>
          <w:tcPr>
            <w:tcW w:w="4590" w:type="dxa"/>
          </w:tcPr>
          <w:p w14:paraId="669C8EEF" w14:textId="77777777" w:rsidR="00F47ADA" w:rsidRDefault="00F47ADA" w:rsidP="0067693D">
            <w:pPr>
              <w:rPr>
                <w:bCs/>
                <w:szCs w:val="22"/>
                <w:lang w:val="lv-LV"/>
              </w:rPr>
            </w:pPr>
            <w:r>
              <w:rPr>
                <w:b/>
                <w:lang w:val="lv-LV"/>
              </w:rPr>
              <w:t>Česká republika</w:t>
            </w:r>
          </w:p>
          <w:p w14:paraId="1F246754" w14:textId="77777777" w:rsidR="00F47ADA" w:rsidRDefault="00F47ADA" w:rsidP="0067693D">
            <w:pPr>
              <w:rPr>
                <w:lang w:val="lv-LV"/>
              </w:rPr>
            </w:pPr>
            <w:r>
              <w:rPr>
                <w:bCs/>
                <w:szCs w:val="22"/>
                <w:lang w:val="lv-LV"/>
              </w:rPr>
              <w:t>Roche s. r. o.</w:t>
            </w:r>
          </w:p>
          <w:p w14:paraId="529CC8B2" w14:textId="77777777" w:rsidR="00F47ADA" w:rsidRDefault="00F47ADA" w:rsidP="0067693D">
            <w:pPr>
              <w:rPr>
                <w:lang w:val="lv-LV"/>
              </w:rPr>
            </w:pPr>
            <w:r>
              <w:rPr>
                <w:lang w:val="lv-LV"/>
              </w:rPr>
              <w:t>Tel: +420 - 2 20382111</w:t>
            </w:r>
          </w:p>
          <w:p w14:paraId="63CC43EE" w14:textId="77777777" w:rsidR="00F47ADA" w:rsidRDefault="00F47ADA" w:rsidP="0067693D">
            <w:pPr>
              <w:rPr>
                <w:b/>
                <w:lang w:val="lv-LV"/>
              </w:rPr>
            </w:pPr>
          </w:p>
        </w:tc>
        <w:tc>
          <w:tcPr>
            <w:tcW w:w="4590" w:type="dxa"/>
          </w:tcPr>
          <w:p w14:paraId="425B7DB6" w14:textId="77777777" w:rsidR="00C51473" w:rsidRPr="00231BF8" w:rsidRDefault="00C51473" w:rsidP="00C51473">
            <w:pPr>
              <w:pStyle w:val="Standard1"/>
              <w:rPr>
                <w:ins w:id="2123" w:author="Author"/>
                <w:b/>
                <w:szCs w:val="22"/>
              </w:rPr>
            </w:pPr>
            <w:ins w:id="2124" w:author="Author">
              <w:r w:rsidRPr="00231BF8">
                <w:rPr>
                  <w:b/>
                  <w:szCs w:val="22"/>
                </w:rPr>
                <w:t>Magyarország</w:t>
              </w:r>
            </w:ins>
          </w:p>
          <w:p w14:paraId="4AF28117" w14:textId="77777777" w:rsidR="00C51473" w:rsidRPr="00231BF8" w:rsidRDefault="00C51473" w:rsidP="00C51473">
            <w:pPr>
              <w:pStyle w:val="Standard1"/>
              <w:rPr>
                <w:ins w:id="2125" w:author="Author"/>
                <w:szCs w:val="22"/>
              </w:rPr>
            </w:pPr>
            <w:ins w:id="2126" w:author="Author">
              <w:r w:rsidRPr="00231BF8">
                <w:rPr>
                  <w:szCs w:val="22"/>
                </w:rPr>
                <w:t>Roche (Magyarország) Kft.</w:t>
              </w:r>
            </w:ins>
          </w:p>
          <w:p w14:paraId="21BACC6C" w14:textId="77777777" w:rsidR="002E57E0" w:rsidRDefault="00C51473" w:rsidP="00C51473">
            <w:pPr>
              <w:rPr>
                <w:ins w:id="2127" w:author="Author"/>
                <w:szCs w:val="22"/>
              </w:rPr>
            </w:pPr>
            <w:ins w:id="2128" w:author="Author">
              <w:r w:rsidRPr="00231BF8">
                <w:rPr>
                  <w:szCs w:val="22"/>
                </w:rPr>
                <w:t>Tel: +36 - 1 279 4500</w:t>
              </w:r>
            </w:ins>
          </w:p>
          <w:p w14:paraId="2E56F78D" w14:textId="61DACB6C" w:rsidR="00F47ADA" w:rsidDel="00C51473" w:rsidRDefault="00F47ADA" w:rsidP="00C51473">
            <w:pPr>
              <w:rPr>
                <w:del w:id="2129" w:author="Author"/>
                <w:lang w:val="lv-LV"/>
              </w:rPr>
            </w:pPr>
            <w:del w:id="2130" w:author="Author">
              <w:r w:rsidDel="00C51473">
                <w:rPr>
                  <w:b/>
                  <w:lang w:val="lv-LV"/>
                </w:rPr>
                <w:delText>Malta</w:delText>
              </w:r>
            </w:del>
          </w:p>
          <w:p w14:paraId="596399E3" w14:textId="3032ED54" w:rsidR="00F47ADA" w:rsidRPr="00D4160B" w:rsidDel="002E57E0" w:rsidRDefault="00F47ADA" w:rsidP="002E57E0">
            <w:pPr>
              <w:autoSpaceDE w:val="0"/>
              <w:rPr>
                <w:del w:id="2131" w:author="Author"/>
                <w:lang w:val="lv-LV"/>
              </w:rPr>
            </w:pPr>
            <w:del w:id="2132" w:author="Author">
              <w:r w:rsidDel="00C51473">
                <w:rPr>
                  <w:lang w:val="lv-LV"/>
                </w:rPr>
                <w:delText>(See Ireland)</w:delText>
              </w:r>
            </w:del>
          </w:p>
          <w:p w14:paraId="5D13861C" w14:textId="77777777" w:rsidR="00F47ADA" w:rsidRDefault="00F47ADA" w:rsidP="0067693D">
            <w:pPr>
              <w:autoSpaceDE w:val="0"/>
              <w:rPr>
                <w:lang w:val="lv-LV"/>
              </w:rPr>
            </w:pPr>
          </w:p>
        </w:tc>
      </w:tr>
      <w:tr w:rsidR="00F47ADA" w14:paraId="2619F4BB" w14:textId="77777777" w:rsidTr="00C51473">
        <w:trPr>
          <w:gridAfter w:val="1"/>
          <w:wAfter w:w="108" w:type="dxa"/>
          <w:cantSplit/>
        </w:trPr>
        <w:tc>
          <w:tcPr>
            <w:tcW w:w="4590" w:type="dxa"/>
          </w:tcPr>
          <w:p w14:paraId="72767DAB" w14:textId="77777777" w:rsidR="00F47ADA" w:rsidRDefault="00F47ADA" w:rsidP="0067693D">
            <w:pPr>
              <w:rPr>
                <w:lang w:val="lv-LV"/>
              </w:rPr>
            </w:pPr>
            <w:r>
              <w:rPr>
                <w:b/>
                <w:lang w:val="lv-LV"/>
              </w:rPr>
              <w:t>Danmark</w:t>
            </w:r>
          </w:p>
          <w:p w14:paraId="46C00F05" w14:textId="77777777" w:rsidR="00F47ADA" w:rsidRDefault="00F47ADA" w:rsidP="0067693D">
            <w:pPr>
              <w:rPr>
                <w:lang w:val="lv-LV"/>
              </w:rPr>
            </w:pPr>
            <w:r>
              <w:rPr>
                <w:lang w:val="lv-LV"/>
              </w:rPr>
              <w:t xml:space="preserve">Roche </w:t>
            </w:r>
            <w:r>
              <w:rPr>
                <w:noProof/>
              </w:rPr>
              <w:t>Pharmaceuticals A/S</w:t>
            </w:r>
          </w:p>
          <w:p w14:paraId="510CFD12" w14:textId="3B63A5AE" w:rsidR="00F47ADA" w:rsidRDefault="00F47ADA" w:rsidP="0067693D">
            <w:pPr>
              <w:rPr>
                <w:b/>
                <w:lang w:val="lv-LV"/>
              </w:rPr>
            </w:pPr>
            <w:r>
              <w:rPr>
                <w:lang w:val="lv-LV"/>
              </w:rPr>
              <w:t>Tlf</w:t>
            </w:r>
            <w:r w:rsidR="00C82D7C">
              <w:rPr>
                <w:lang w:val="lv-LV"/>
              </w:rPr>
              <w:t>.</w:t>
            </w:r>
            <w:r>
              <w:rPr>
                <w:lang w:val="lv-LV"/>
              </w:rPr>
              <w:t>: +45 - 36 39 99 99</w:t>
            </w:r>
          </w:p>
          <w:p w14:paraId="7A55759A" w14:textId="77777777" w:rsidR="00F47ADA" w:rsidRDefault="00F47ADA" w:rsidP="0067693D">
            <w:pPr>
              <w:rPr>
                <w:b/>
                <w:lang w:val="lv-LV"/>
              </w:rPr>
            </w:pPr>
          </w:p>
        </w:tc>
        <w:tc>
          <w:tcPr>
            <w:tcW w:w="4590" w:type="dxa"/>
          </w:tcPr>
          <w:p w14:paraId="3B8D7B86" w14:textId="77777777" w:rsidR="00F47ADA" w:rsidRDefault="00F47ADA" w:rsidP="0067693D">
            <w:pPr>
              <w:rPr>
                <w:lang w:val="lv-LV"/>
              </w:rPr>
            </w:pPr>
            <w:r>
              <w:rPr>
                <w:b/>
                <w:lang w:val="lv-LV"/>
              </w:rPr>
              <w:t>Nederland</w:t>
            </w:r>
          </w:p>
          <w:p w14:paraId="3DC890C8" w14:textId="77777777" w:rsidR="00F47ADA" w:rsidRDefault="00F47ADA" w:rsidP="0067693D">
            <w:pPr>
              <w:rPr>
                <w:lang w:val="lv-LV"/>
              </w:rPr>
            </w:pPr>
            <w:r>
              <w:rPr>
                <w:lang w:val="lv-LV"/>
              </w:rPr>
              <w:t>Roche Nederland B.V.</w:t>
            </w:r>
          </w:p>
          <w:p w14:paraId="52671EF9" w14:textId="77777777" w:rsidR="00F47ADA" w:rsidRDefault="00F47ADA" w:rsidP="0067693D">
            <w:pPr>
              <w:rPr>
                <w:lang w:val="lv-LV"/>
              </w:rPr>
            </w:pPr>
            <w:r>
              <w:rPr>
                <w:lang w:val="lv-LV"/>
              </w:rPr>
              <w:t>Tel: +31 (0) 348 438050</w:t>
            </w:r>
          </w:p>
          <w:p w14:paraId="591C19E3" w14:textId="77777777" w:rsidR="00F47ADA" w:rsidRDefault="00F47ADA" w:rsidP="0067693D">
            <w:pPr>
              <w:rPr>
                <w:lang w:val="lv-LV"/>
              </w:rPr>
            </w:pPr>
          </w:p>
        </w:tc>
      </w:tr>
      <w:tr w:rsidR="00F47ADA" w14:paraId="276A9ECC" w14:textId="77777777" w:rsidTr="00C51473">
        <w:trPr>
          <w:gridAfter w:val="1"/>
          <w:wAfter w:w="108" w:type="dxa"/>
          <w:cantSplit/>
        </w:trPr>
        <w:tc>
          <w:tcPr>
            <w:tcW w:w="4590" w:type="dxa"/>
          </w:tcPr>
          <w:p w14:paraId="4CCE668D" w14:textId="77777777" w:rsidR="00F47ADA" w:rsidRDefault="00F47ADA" w:rsidP="0067693D">
            <w:pPr>
              <w:rPr>
                <w:lang w:val="lv-LV"/>
              </w:rPr>
            </w:pPr>
            <w:r>
              <w:rPr>
                <w:b/>
                <w:lang w:val="lv-LV"/>
              </w:rPr>
              <w:t>Deutschland</w:t>
            </w:r>
          </w:p>
          <w:p w14:paraId="2541070A" w14:textId="77777777" w:rsidR="00F47ADA" w:rsidRDefault="00F47ADA" w:rsidP="0067693D">
            <w:pPr>
              <w:rPr>
                <w:lang w:val="lv-LV"/>
              </w:rPr>
            </w:pPr>
            <w:r>
              <w:rPr>
                <w:lang w:val="lv-LV"/>
              </w:rPr>
              <w:t>Roche Pharma AG</w:t>
            </w:r>
          </w:p>
          <w:p w14:paraId="4AB7DFFA" w14:textId="77777777" w:rsidR="00F47ADA" w:rsidRDefault="00F47ADA" w:rsidP="0067693D">
            <w:pPr>
              <w:rPr>
                <w:lang w:val="lv-LV"/>
              </w:rPr>
            </w:pPr>
            <w:r>
              <w:rPr>
                <w:lang w:val="lv-LV"/>
              </w:rPr>
              <w:t>Tel: +49 (0) 7624 140</w:t>
            </w:r>
            <w:r>
              <w:rPr>
                <w:lang w:val="de-CH"/>
              </w:rPr>
              <w:t xml:space="preserve"> </w:t>
            </w:r>
          </w:p>
          <w:p w14:paraId="0B184F64" w14:textId="77777777" w:rsidR="00F47ADA" w:rsidRDefault="00F47ADA" w:rsidP="0067693D">
            <w:pPr>
              <w:rPr>
                <w:b/>
                <w:lang w:val="lv-LV"/>
              </w:rPr>
            </w:pPr>
          </w:p>
        </w:tc>
        <w:tc>
          <w:tcPr>
            <w:tcW w:w="4590" w:type="dxa"/>
          </w:tcPr>
          <w:p w14:paraId="3EAA7370" w14:textId="77777777" w:rsidR="00F47ADA" w:rsidRDefault="00F47ADA" w:rsidP="0067693D">
            <w:pPr>
              <w:rPr>
                <w:lang w:val="lv-LV"/>
              </w:rPr>
            </w:pPr>
            <w:r>
              <w:rPr>
                <w:b/>
                <w:lang w:val="lv-LV"/>
              </w:rPr>
              <w:t>Norge</w:t>
            </w:r>
          </w:p>
          <w:p w14:paraId="2C1B6DCD" w14:textId="77777777" w:rsidR="00F47ADA" w:rsidRDefault="00F47ADA" w:rsidP="0067693D">
            <w:pPr>
              <w:rPr>
                <w:lang w:val="lv-LV"/>
              </w:rPr>
            </w:pPr>
            <w:r>
              <w:rPr>
                <w:lang w:val="lv-LV"/>
              </w:rPr>
              <w:t>Roche Norge AS</w:t>
            </w:r>
          </w:p>
          <w:p w14:paraId="33500A58" w14:textId="77777777" w:rsidR="00F47ADA" w:rsidRDefault="00F47ADA" w:rsidP="0067693D">
            <w:pPr>
              <w:rPr>
                <w:lang w:val="lv-LV"/>
              </w:rPr>
            </w:pPr>
            <w:r>
              <w:rPr>
                <w:lang w:val="lv-LV"/>
              </w:rPr>
              <w:t>Tlf: +47 - 22 78 90 00</w:t>
            </w:r>
          </w:p>
          <w:p w14:paraId="20A9A6A4" w14:textId="77777777" w:rsidR="00F47ADA" w:rsidRDefault="00F47ADA" w:rsidP="0067693D">
            <w:pPr>
              <w:rPr>
                <w:lang w:val="lv-LV"/>
              </w:rPr>
            </w:pPr>
          </w:p>
        </w:tc>
      </w:tr>
      <w:tr w:rsidR="00F47ADA" w:rsidRPr="00707120" w14:paraId="4C2DC821" w14:textId="77777777" w:rsidTr="00C51473">
        <w:trPr>
          <w:gridAfter w:val="1"/>
          <w:wAfter w:w="108" w:type="dxa"/>
          <w:cantSplit/>
        </w:trPr>
        <w:tc>
          <w:tcPr>
            <w:tcW w:w="4590" w:type="dxa"/>
          </w:tcPr>
          <w:p w14:paraId="405ABAF2" w14:textId="77777777" w:rsidR="00F47ADA" w:rsidRDefault="00F47ADA" w:rsidP="0067693D">
            <w:pPr>
              <w:rPr>
                <w:bCs/>
                <w:lang w:val="lv-LV"/>
              </w:rPr>
            </w:pPr>
            <w:r>
              <w:rPr>
                <w:b/>
                <w:lang w:val="lv-LV"/>
              </w:rPr>
              <w:t>Eesti</w:t>
            </w:r>
          </w:p>
          <w:p w14:paraId="73C2B0A6" w14:textId="77777777" w:rsidR="00F47ADA" w:rsidRDefault="00F47ADA" w:rsidP="0067693D">
            <w:pPr>
              <w:rPr>
                <w:lang w:val="lv-LV"/>
              </w:rPr>
            </w:pPr>
            <w:r>
              <w:rPr>
                <w:bCs/>
                <w:lang w:val="lv-LV"/>
              </w:rPr>
              <w:t>Roche Eesti OÜ</w:t>
            </w:r>
          </w:p>
          <w:p w14:paraId="0EFFCF3D" w14:textId="77777777" w:rsidR="00F47ADA" w:rsidRDefault="00F47ADA" w:rsidP="0067693D">
            <w:pPr>
              <w:rPr>
                <w:lang w:val="lv-LV"/>
              </w:rPr>
            </w:pPr>
            <w:r>
              <w:rPr>
                <w:lang w:val="lv-LV"/>
              </w:rPr>
              <w:t>Tel: + 372 - 6 177 380</w:t>
            </w:r>
          </w:p>
          <w:p w14:paraId="06BDFF40" w14:textId="77777777" w:rsidR="00F47ADA" w:rsidRDefault="00F47ADA" w:rsidP="0067693D">
            <w:pPr>
              <w:rPr>
                <w:lang w:val="lv-LV"/>
              </w:rPr>
            </w:pPr>
          </w:p>
        </w:tc>
        <w:tc>
          <w:tcPr>
            <w:tcW w:w="4590" w:type="dxa"/>
          </w:tcPr>
          <w:p w14:paraId="41F5F48B" w14:textId="77777777" w:rsidR="00F47ADA" w:rsidRDefault="00F47ADA" w:rsidP="0067693D">
            <w:pPr>
              <w:rPr>
                <w:lang w:val="lv-LV"/>
              </w:rPr>
            </w:pPr>
            <w:r>
              <w:rPr>
                <w:b/>
                <w:lang w:val="lv-LV"/>
              </w:rPr>
              <w:t>Österreich</w:t>
            </w:r>
          </w:p>
          <w:p w14:paraId="13B35E7A" w14:textId="77777777" w:rsidR="00F47ADA" w:rsidRDefault="00F47ADA" w:rsidP="0067693D">
            <w:pPr>
              <w:rPr>
                <w:lang w:val="lv-LV"/>
              </w:rPr>
            </w:pPr>
            <w:r>
              <w:rPr>
                <w:lang w:val="lv-LV"/>
              </w:rPr>
              <w:t>Roche Austria GmbH</w:t>
            </w:r>
          </w:p>
          <w:p w14:paraId="633C29F6" w14:textId="77777777" w:rsidR="00F47ADA" w:rsidRDefault="00F47ADA" w:rsidP="0067693D">
            <w:pPr>
              <w:rPr>
                <w:lang w:val="lv-LV"/>
              </w:rPr>
            </w:pPr>
            <w:r>
              <w:rPr>
                <w:lang w:val="lv-LV"/>
              </w:rPr>
              <w:t>Tel: +43 (0) 1 27739</w:t>
            </w:r>
          </w:p>
          <w:p w14:paraId="1622B2B0" w14:textId="77777777" w:rsidR="00F47ADA" w:rsidRDefault="00F47ADA" w:rsidP="0067693D">
            <w:pPr>
              <w:rPr>
                <w:lang w:val="lv-LV"/>
              </w:rPr>
            </w:pPr>
          </w:p>
        </w:tc>
      </w:tr>
      <w:tr w:rsidR="00F47ADA" w14:paraId="6B01A827" w14:textId="77777777" w:rsidTr="00C51473">
        <w:trPr>
          <w:gridAfter w:val="1"/>
          <w:wAfter w:w="108" w:type="dxa"/>
          <w:cantSplit/>
        </w:trPr>
        <w:tc>
          <w:tcPr>
            <w:tcW w:w="4590" w:type="dxa"/>
          </w:tcPr>
          <w:p w14:paraId="13636AB0" w14:textId="492990BD" w:rsidR="00F47ADA" w:rsidRDefault="00F47ADA" w:rsidP="0067693D">
            <w:pPr>
              <w:rPr>
                <w:lang w:val="lv-LV"/>
              </w:rPr>
            </w:pPr>
            <w:r>
              <w:rPr>
                <w:b/>
                <w:lang w:val="lv-LV"/>
              </w:rPr>
              <w:t>Ελλάδα</w:t>
            </w:r>
            <w:ins w:id="2133" w:author="Author">
              <w:r w:rsidR="00C51473" w:rsidRPr="00231BF8">
                <w:rPr>
                  <w:b/>
                  <w:szCs w:val="22"/>
                  <w:lang w:val="en-GB"/>
                </w:rPr>
                <w:t>, K</w:t>
              </w:r>
              <w:r w:rsidR="00C51473" w:rsidRPr="00231BF8">
                <w:rPr>
                  <w:b/>
                  <w:noProof/>
                  <w:szCs w:val="22"/>
                  <w:lang w:val="en-GB"/>
                </w:rPr>
                <w:t>ύπρος</w:t>
              </w:r>
            </w:ins>
          </w:p>
          <w:p w14:paraId="6800AD77" w14:textId="1754A725" w:rsidR="00F47ADA" w:rsidRDefault="00F47ADA" w:rsidP="0067693D">
            <w:pPr>
              <w:rPr>
                <w:ins w:id="2134" w:author="Author"/>
                <w:lang w:val="lv-LV"/>
              </w:rPr>
            </w:pPr>
            <w:r>
              <w:rPr>
                <w:lang w:val="lv-LV"/>
              </w:rPr>
              <w:t xml:space="preserve">Roche (Hellas) A.E. </w:t>
            </w:r>
          </w:p>
          <w:p w14:paraId="259CEEDD" w14:textId="4CA006BF" w:rsidR="00C51473" w:rsidRDefault="00C51473" w:rsidP="0067693D">
            <w:pPr>
              <w:rPr>
                <w:lang w:val="lv-LV"/>
              </w:rPr>
            </w:pPr>
            <w:ins w:id="2135" w:author="Author">
              <w:r w:rsidRPr="00DD58C9">
                <w:rPr>
                  <w:bCs/>
                  <w:noProof/>
                  <w:szCs w:val="22"/>
                  <w:lang w:val="en-GB"/>
                  <w:rPrChange w:id="2136" w:author="Author">
                    <w:rPr>
                      <w:b/>
                      <w:noProof/>
                      <w:szCs w:val="22"/>
                      <w:lang w:val="en-GB"/>
                    </w:rPr>
                  </w:rPrChange>
                </w:rPr>
                <w:t>Ελλάδα</w:t>
              </w:r>
            </w:ins>
          </w:p>
          <w:p w14:paraId="7D0B8BAA" w14:textId="77777777" w:rsidR="00F47ADA" w:rsidRDefault="00F47ADA" w:rsidP="0067693D">
            <w:pPr>
              <w:rPr>
                <w:lang w:val="lv-LV"/>
              </w:rPr>
            </w:pPr>
            <w:r>
              <w:rPr>
                <w:lang w:val="lv-LV"/>
              </w:rPr>
              <w:t>Τηλ: +30 210 61 66 100</w:t>
            </w:r>
          </w:p>
          <w:p w14:paraId="3EF9E601" w14:textId="77777777" w:rsidR="00F47ADA" w:rsidRDefault="00F47ADA" w:rsidP="0067693D">
            <w:pPr>
              <w:rPr>
                <w:lang w:val="lv-LV"/>
              </w:rPr>
            </w:pPr>
          </w:p>
        </w:tc>
        <w:tc>
          <w:tcPr>
            <w:tcW w:w="4590" w:type="dxa"/>
          </w:tcPr>
          <w:p w14:paraId="13F987E9" w14:textId="77777777" w:rsidR="00F47ADA" w:rsidRDefault="00F47ADA" w:rsidP="0067693D">
            <w:pPr>
              <w:rPr>
                <w:lang w:val="lv-LV"/>
              </w:rPr>
            </w:pPr>
            <w:r>
              <w:rPr>
                <w:b/>
                <w:lang w:val="lv-LV"/>
              </w:rPr>
              <w:t>Polska</w:t>
            </w:r>
          </w:p>
          <w:p w14:paraId="66DFBD6C" w14:textId="77777777" w:rsidR="00F47ADA" w:rsidRDefault="00F47ADA" w:rsidP="0067693D">
            <w:pPr>
              <w:rPr>
                <w:lang w:val="lv-LV"/>
              </w:rPr>
            </w:pPr>
            <w:r>
              <w:rPr>
                <w:lang w:val="lv-LV"/>
              </w:rPr>
              <w:t>Roche Polska Sp.z o.o.</w:t>
            </w:r>
          </w:p>
          <w:p w14:paraId="3072D8E3" w14:textId="77777777" w:rsidR="00F47ADA" w:rsidRDefault="00F47ADA" w:rsidP="0067693D">
            <w:pPr>
              <w:rPr>
                <w:lang w:val="lv-LV"/>
              </w:rPr>
            </w:pPr>
            <w:r>
              <w:rPr>
                <w:lang w:val="lv-LV"/>
              </w:rPr>
              <w:t>Tel: +48 - 22 345 18 88</w:t>
            </w:r>
          </w:p>
          <w:p w14:paraId="40F75195" w14:textId="77777777" w:rsidR="00F47ADA" w:rsidRDefault="00F47ADA" w:rsidP="0067693D">
            <w:pPr>
              <w:rPr>
                <w:lang w:val="lv-LV"/>
              </w:rPr>
            </w:pPr>
          </w:p>
        </w:tc>
      </w:tr>
      <w:tr w:rsidR="00F47ADA" w:rsidRPr="00707120" w14:paraId="39CE2D5D" w14:textId="77777777" w:rsidTr="00C51473">
        <w:trPr>
          <w:gridAfter w:val="1"/>
          <w:wAfter w:w="108" w:type="dxa"/>
          <w:cantSplit/>
        </w:trPr>
        <w:tc>
          <w:tcPr>
            <w:tcW w:w="4590" w:type="dxa"/>
          </w:tcPr>
          <w:p w14:paraId="399CD701" w14:textId="77777777" w:rsidR="00F47ADA" w:rsidRDefault="00F47ADA" w:rsidP="0067693D">
            <w:pPr>
              <w:rPr>
                <w:lang w:val="lv-LV"/>
              </w:rPr>
            </w:pPr>
            <w:r>
              <w:rPr>
                <w:b/>
                <w:lang w:val="lv-LV"/>
              </w:rPr>
              <w:t>España</w:t>
            </w:r>
          </w:p>
          <w:p w14:paraId="50F11E80" w14:textId="77777777" w:rsidR="00F47ADA" w:rsidRDefault="00F47ADA" w:rsidP="0067693D">
            <w:pPr>
              <w:rPr>
                <w:lang w:val="lv-LV"/>
              </w:rPr>
            </w:pPr>
            <w:r>
              <w:rPr>
                <w:lang w:val="lv-LV"/>
              </w:rPr>
              <w:t>Roche Farma S.A.</w:t>
            </w:r>
          </w:p>
          <w:p w14:paraId="4D2BE5DF" w14:textId="77777777" w:rsidR="00F47ADA" w:rsidRDefault="00F47ADA" w:rsidP="0067693D">
            <w:pPr>
              <w:rPr>
                <w:lang w:val="lv-LV"/>
              </w:rPr>
            </w:pPr>
            <w:r>
              <w:rPr>
                <w:lang w:val="lv-LV"/>
              </w:rPr>
              <w:t>Tel: +34 - 91 324 81 00</w:t>
            </w:r>
          </w:p>
          <w:p w14:paraId="281E7FE5" w14:textId="77777777" w:rsidR="00F47ADA" w:rsidRDefault="00F47ADA" w:rsidP="0067693D">
            <w:pPr>
              <w:rPr>
                <w:lang w:val="lv-LV"/>
              </w:rPr>
            </w:pPr>
          </w:p>
        </w:tc>
        <w:tc>
          <w:tcPr>
            <w:tcW w:w="4590" w:type="dxa"/>
          </w:tcPr>
          <w:p w14:paraId="351D2C8A" w14:textId="77777777" w:rsidR="00F47ADA" w:rsidRDefault="00F47ADA" w:rsidP="0067693D">
            <w:pPr>
              <w:rPr>
                <w:lang w:val="lv-LV"/>
              </w:rPr>
            </w:pPr>
            <w:r>
              <w:rPr>
                <w:b/>
                <w:lang w:val="lv-LV"/>
              </w:rPr>
              <w:t>Portugal</w:t>
            </w:r>
          </w:p>
          <w:p w14:paraId="3B427463" w14:textId="77777777" w:rsidR="00F47ADA" w:rsidRDefault="00F47ADA" w:rsidP="0067693D">
            <w:pPr>
              <w:rPr>
                <w:lang w:val="lv-LV"/>
              </w:rPr>
            </w:pPr>
            <w:r>
              <w:rPr>
                <w:lang w:val="lv-LV"/>
              </w:rPr>
              <w:t>Roche Farmacêutica Química, Lda</w:t>
            </w:r>
          </w:p>
          <w:p w14:paraId="7F77D406" w14:textId="77777777" w:rsidR="00F47ADA" w:rsidRDefault="00F47ADA" w:rsidP="0067693D">
            <w:pPr>
              <w:rPr>
                <w:lang w:val="lv-LV"/>
              </w:rPr>
            </w:pPr>
            <w:r>
              <w:rPr>
                <w:lang w:val="lv-LV"/>
              </w:rPr>
              <w:t>Tel: +351 - 21 425 70 00</w:t>
            </w:r>
          </w:p>
          <w:p w14:paraId="330DF71F" w14:textId="77777777" w:rsidR="00F47ADA" w:rsidRDefault="00F47ADA" w:rsidP="0067693D">
            <w:pPr>
              <w:rPr>
                <w:lang w:val="lv-LV"/>
              </w:rPr>
            </w:pPr>
          </w:p>
        </w:tc>
      </w:tr>
      <w:tr w:rsidR="00F47ADA" w14:paraId="4C894B67" w14:textId="77777777" w:rsidTr="00C51473">
        <w:trPr>
          <w:gridAfter w:val="1"/>
          <w:wAfter w:w="108" w:type="dxa"/>
          <w:cantSplit/>
        </w:trPr>
        <w:tc>
          <w:tcPr>
            <w:tcW w:w="4590" w:type="dxa"/>
          </w:tcPr>
          <w:p w14:paraId="35AF1F1A" w14:textId="77777777" w:rsidR="00F47ADA" w:rsidRDefault="00F47ADA" w:rsidP="0067693D">
            <w:pPr>
              <w:rPr>
                <w:lang w:val="lv-LV"/>
              </w:rPr>
            </w:pPr>
            <w:r>
              <w:rPr>
                <w:b/>
                <w:lang w:val="lv-LV"/>
              </w:rPr>
              <w:t>France</w:t>
            </w:r>
          </w:p>
          <w:p w14:paraId="1A490BE1" w14:textId="77777777" w:rsidR="00F47ADA" w:rsidRDefault="00F47ADA" w:rsidP="0067693D">
            <w:pPr>
              <w:rPr>
                <w:lang w:val="lv-LV"/>
              </w:rPr>
            </w:pPr>
            <w:r>
              <w:rPr>
                <w:lang w:val="lv-LV"/>
              </w:rPr>
              <w:t>Roche</w:t>
            </w:r>
          </w:p>
          <w:p w14:paraId="7F596BA2" w14:textId="77777777" w:rsidR="00F47ADA" w:rsidRDefault="00F47ADA" w:rsidP="0067693D">
            <w:pPr>
              <w:rPr>
                <w:rFonts w:eastAsia="PMingLiU"/>
                <w:szCs w:val="22"/>
                <w:lang w:val="fr-FR"/>
              </w:rPr>
            </w:pPr>
            <w:r>
              <w:rPr>
                <w:lang w:val="lv-LV"/>
              </w:rPr>
              <w:t xml:space="preserve">Tél: +33 (0) </w:t>
            </w:r>
            <w:r>
              <w:rPr>
                <w:lang w:val="fr-FR"/>
              </w:rPr>
              <w:t>1 47 61 40 00</w:t>
            </w:r>
          </w:p>
          <w:p w14:paraId="24832F32" w14:textId="68812C12" w:rsidR="00F47ADA" w:rsidDel="00C51473" w:rsidRDefault="00F47ADA" w:rsidP="0067693D">
            <w:pPr>
              <w:rPr>
                <w:del w:id="2137" w:author="Author"/>
                <w:b/>
                <w:lang w:val="lv-LV"/>
              </w:rPr>
            </w:pPr>
          </w:p>
          <w:p w14:paraId="57B6690E" w14:textId="3E84A4DA" w:rsidR="00F47ADA" w:rsidRPr="001673FF" w:rsidDel="00C51473" w:rsidRDefault="00F47ADA" w:rsidP="0067693D">
            <w:pPr>
              <w:suppressAutoHyphens w:val="0"/>
              <w:rPr>
                <w:del w:id="2138" w:author="Author"/>
                <w:b/>
                <w:noProof/>
                <w:lang w:val="fr-FR" w:eastAsia="ja-JP"/>
              </w:rPr>
            </w:pPr>
            <w:del w:id="2139" w:author="Author">
              <w:r w:rsidRPr="001673FF" w:rsidDel="00C51473">
                <w:rPr>
                  <w:b/>
                  <w:noProof/>
                  <w:lang w:val="fr-FR" w:eastAsia="ja-JP"/>
                </w:rPr>
                <w:delText>Hrvatska</w:delText>
              </w:r>
            </w:del>
          </w:p>
          <w:p w14:paraId="0BE91A67" w14:textId="01B511C5" w:rsidR="00F47ADA" w:rsidRPr="001673FF" w:rsidDel="00C51473" w:rsidRDefault="00F47ADA" w:rsidP="0067693D">
            <w:pPr>
              <w:suppressAutoHyphens w:val="0"/>
              <w:rPr>
                <w:del w:id="2140" w:author="Author"/>
                <w:noProof/>
                <w:lang w:val="fr-FR" w:eastAsia="ja-JP"/>
              </w:rPr>
            </w:pPr>
            <w:del w:id="2141" w:author="Author">
              <w:r w:rsidRPr="001673FF" w:rsidDel="00C51473">
                <w:rPr>
                  <w:noProof/>
                  <w:lang w:val="fr-FR" w:eastAsia="ja-JP"/>
                </w:rPr>
                <w:delText>Roche d.o.o</w:delText>
              </w:r>
            </w:del>
          </w:p>
          <w:p w14:paraId="08A68C81" w14:textId="1A776C7D" w:rsidR="00F47ADA" w:rsidDel="00C51473" w:rsidRDefault="00F47ADA" w:rsidP="0067693D">
            <w:pPr>
              <w:rPr>
                <w:del w:id="2142" w:author="Author"/>
                <w:noProof/>
                <w:lang w:val="de-CH" w:eastAsia="ja-JP"/>
              </w:rPr>
            </w:pPr>
            <w:del w:id="2143" w:author="Author">
              <w:r w:rsidDel="00C51473">
                <w:rPr>
                  <w:noProof/>
                  <w:lang w:val="de-CH" w:eastAsia="ja-JP"/>
                </w:rPr>
                <w:delText>Tel: +385 1 47 22 333</w:delText>
              </w:r>
            </w:del>
          </w:p>
          <w:p w14:paraId="7868F558" w14:textId="77777777" w:rsidR="00F47ADA" w:rsidRDefault="00F47ADA" w:rsidP="00C51473">
            <w:pPr>
              <w:rPr>
                <w:b/>
                <w:lang w:val="lv-LV"/>
              </w:rPr>
            </w:pPr>
          </w:p>
        </w:tc>
        <w:tc>
          <w:tcPr>
            <w:tcW w:w="4590" w:type="dxa"/>
          </w:tcPr>
          <w:p w14:paraId="6D9931EB" w14:textId="77777777" w:rsidR="00F47ADA" w:rsidRDefault="00F47ADA" w:rsidP="0067693D">
            <w:pPr>
              <w:tabs>
                <w:tab w:val="left" w:pos="-720"/>
                <w:tab w:val="left" w:pos="567"/>
                <w:tab w:val="left" w:pos="4536"/>
              </w:tabs>
              <w:spacing w:line="260" w:lineRule="exact"/>
              <w:rPr>
                <w:szCs w:val="22"/>
                <w:lang w:val="lv-LV"/>
              </w:rPr>
            </w:pPr>
            <w:r>
              <w:rPr>
                <w:b/>
                <w:szCs w:val="22"/>
                <w:lang w:val="lv-LV"/>
              </w:rPr>
              <w:t>România</w:t>
            </w:r>
          </w:p>
          <w:p w14:paraId="291CF571" w14:textId="77777777" w:rsidR="00F47ADA" w:rsidRDefault="00F47ADA" w:rsidP="0067693D">
            <w:pPr>
              <w:tabs>
                <w:tab w:val="left" w:pos="-720"/>
                <w:tab w:val="left" w:pos="4536"/>
              </w:tabs>
              <w:rPr>
                <w:szCs w:val="22"/>
                <w:lang w:val="lv-LV"/>
              </w:rPr>
            </w:pPr>
            <w:r>
              <w:rPr>
                <w:szCs w:val="22"/>
                <w:lang w:val="lv-LV"/>
              </w:rPr>
              <w:t>Roche România S.R.L.</w:t>
            </w:r>
          </w:p>
          <w:p w14:paraId="5700A746" w14:textId="77777777" w:rsidR="00F47ADA" w:rsidRDefault="00F47ADA" w:rsidP="0067693D">
            <w:pPr>
              <w:tabs>
                <w:tab w:val="left" w:pos="-720"/>
                <w:tab w:val="left" w:pos="4536"/>
              </w:tabs>
              <w:rPr>
                <w:lang w:val="lv-LV"/>
              </w:rPr>
            </w:pPr>
            <w:r>
              <w:rPr>
                <w:szCs w:val="22"/>
                <w:lang w:val="lv-LV"/>
              </w:rPr>
              <w:t>Tel: +40 21 206 47 01</w:t>
            </w:r>
          </w:p>
          <w:p w14:paraId="4F1DFD3F" w14:textId="77777777" w:rsidR="00F47ADA" w:rsidRDefault="00F47ADA" w:rsidP="0067693D">
            <w:pPr>
              <w:tabs>
                <w:tab w:val="left" w:pos="-720"/>
                <w:tab w:val="left" w:pos="4536"/>
              </w:tabs>
              <w:rPr>
                <w:lang w:val="lv-LV"/>
              </w:rPr>
            </w:pPr>
          </w:p>
        </w:tc>
      </w:tr>
      <w:tr w:rsidR="00C51473" w14:paraId="59958F7B" w14:textId="77777777" w:rsidTr="00D71D87">
        <w:trPr>
          <w:cantSplit/>
          <w:trHeight w:val="1114"/>
          <w:ins w:id="2144" w:author="Author"/>
        </w:trPr>
        <w:tc>
          <w:tcPr>
            <w:tcW w:w="4590" w:type="dxa"/>
          </w:tcPr>
          <w:p w14:paraId="79BEAAB8" w14:textId="77777777" w:rsidR="00C51473" w:rsidRPr="00231BF8" w:rsidRDefault="00C51473" w:rsidP="007E17F8">
            <w:pPr>
              <w:pStyle w:val="Standard1"/>
              <w:rPr>
                <w:ins w:id="2145" w:author="Author"/>
                <w:b/>
                <w:noProof/>
                <w:szCs w:val="22"/>
                <w:lang w:val="de-DE"/>
              </w:rPr>
            </w:pPr>
            <w:ins w:id="2146" w:author="Author">
              <w:r w:rsidRPr="00231BF8">
                <w:rPr>
                  <w:b/>
                  <w:noProof/>
                  <w:szCs w:val="22"/>
                  <w:lang w:val="de-DE"/>
                </w:rPr>
                <w:t>Hrvatska</w:t>
              </w:r>
            </w:ins>
          </w:p>
          <w:p w14:paraId="22A8514D" w14:textId="77777777" w:rsidR="00C51473" w:rsidRPr="00231BF8" w:rsidRDefault="00C51473" w:rsidP="007E17F8">
            <w:pPr>
              <w:pStyle w:val="Standard1"/>
              <w:rPr>
                <w:ins w:id="2147" w:author="Author"/>
                <w:noProof/>
                <w:szCs w:val="22"/>
                <w:lang w:val="de-DE"/>
              </w:rPr>
            </w:pPr>
            <w:ins w:id="2148" w:author="Author">
              <w:r w:rsidRPr="00231BF8">
                <w:rPr>
                  <w:noProof/>
                  <w:szCs w:val="22"/>
                  <w:lang w:val="de-DE"/>
                </w:rPr>
                <w:t>Roche d.o.o.</w:t>
              </w:r>
            </w:ins>
          </w:p>
          <w:p w14:paraId="2E43C593" w14:textId="77777777" w:rsidR="00C51473" w:rsidRPr="00231BF8" w:rsidRDefault="00C51473" w:rsidP="007E17F8">
            <w:pPr>
              <w:pStyle w:val="Standard1"/>
              <w:rPr>
                <w:ins w:id="2149" w:author="Author"/>
                <w:b/>
                <w:noProof/>
                <w:szCs w:val="22"/>
                <w:lang w:val="en-GB"/>
              </w:rPr>
            </w:pPr>
            <w:ins w:id="2150" w:author="Author">
              <w:r w:rsidRPr="00231BF8">
                <w:rPr>
                  <w:noProof/>
                  <w:szCs w:val="22"/>
                  <w:lang w:val="en-GB"/>
                </w:rPr>
                <w:t>Tel: +385 1 47 22 333</w:t>
              </w:r>
            </w:ins>
          </w:p>
          <w:p w14:paraId="78FF60A1" w14:textId="77777777" w:rsidR="00C51473" w:rsidRPr="00E725B3" w:rsidRDefault="00C51473" w:rsidP="007E17F8">
            <w:pPr>
              <w:pStyle w:val="Standard1"/>
              <w:rPr>
                <w:ins w:id="2151" w:author="Author"/>
                <w:b/>
                <w:noProof/>
                <w:szCs w:val="22"/>
                <w:lang w:val="en-GB"/>
              </w:rPr>
            </w:pPr>
          </w:p>
        </w:tc>
        <w:tc>
          <w:tcPr>
            <w:tcW w:w="4590" w:type="dxa"/>
            <w:gridSpan w:val="2"/>
          </w:tcPr>
          <w:p w14:paraId="782B0495" w14:textId="77777777" w:rsidR="00C51473" w:rsidRPr="00231BF8" w:rsidRDefault="00C51473" w:rsidP="007E17F8">
            <w:pPr>
              <w:pStyle w:val="Standard1"/>
              <w:rPr>
                <w:ins w:id="2152" w:author="Author"/>
                <w:b/>
                <w:noProof/>
                <w:szCs w:val="22"/>
                <w:lang w:val="en-GB"/>
              </w:rPr>
            </w:pPr>
            <w:ins w:id="2153" w:author="Author">
              <w:r w:rsidRPr="00231BF8">
                <w:rPr>
                  <w:b/>
                  <w:noProof/>
                  <w:szCs w:val="22"/>
                  <w:lang w:val="en-GB"/>
                </w:rPr>
                <w:t>Slovenija</w:t>
              </w:r>
            </w:ins>
          </w:p>
          <w:p w14:paraId="255BD153" w14:textId="77777777" w:rsidR="00C51473" w:rsidRPr="00231BF8" w:rsidRDefault="00C51473" w:rsidP="007E17F8">
            <w:pPr>
              <w:pStyle w:val="Standard1"/>
              <w:rPr>
                <w:ins w:id="2154" w:author="Author"/>
                <w:noProof/>
                <w:szCs w:val="22"/>
                <w:lang w:val="en-GB"/>
              </w:rPr>
            </w:pPr>
            <w:ins w:id="2155" w:author="Author">
              <w:r w:rsidRPr="00231BF8">
                <w:rPr>
                  <w:noProof/>
                  <w:szCs w:val="22"/>
                  <w:lang w:val="en-GB"/>
                </w:rPr>
                <w:t>Roche farmacevtska družba d.o.o.</w:t>
              </w:r>
            </w:ins>
          </w:p>
          <w:p w14:paraId="4E7A271B" w14:textId="77777777" w:rsidR="00C51473" w:rsidRPr="00231BF8" w:rsidRDefault="00C51473" w:rsidP="007E17F8">
            <w:pPr>
              <w:pStyle w:val="Standard1"/>
              <w:rPr>
                <w:ins w:id="2156" w:author="Author"/>
                <w:rFonts w:eastAsia="MS Mincho"/>
                <w:noProof/>
                <w:szCs w:val="22"/>
                <w:lang w:val="en-GB"/>
              </w:rPr>
            </w:pPr>
            <w:ins w:id="2157" w:author="Author">
              <w:r w:rsidRPr="00231BF8">
                <w:rPr>
                  <w:rFonts w:eastAsia="MS Mincho"/>
                  <w:noProof/>
                  <w:szCs w:val="22"/>
                  <w:lang w:val="en-GB"/>
                </w:rPr>
                <w:t>Tel: +386 - 1 360 26 00</w:t>
              </w:r>
            </w:ins>
          </w:p>
          <w:p w14:paraId="3F3B1B5D" w14:textId="77777777" w:rsidR="00C51473" w:rsidRPr="00E725B3" w:rsidRDefault="00C51473" w:rsidP="007E17F8">
            <w:pPr>
              <w:pStyle w:val="Standard1"/>
              <w:rPr>
                <w:ins w:id="2158" w:author="Author"/>
                <w:b/>
                <w:noProof/>
                <w:szCs w:val="22"/>
                <w:lang w:val="en-GB"/>
              </w:rPr>
            </w:pPr>
          </w:p>
        </w:tc>
      </w:tr>
      <w:tr w:rsidR="00F47ADA" w14:paraId="3C424418" w14:textId="77777777" w:rsidTr="00C51473">
        <w:trPr>
          <w:gridAfter w:val="1"/>
          <w:wAfter w:w="108" w:type="dxa"/>
          <w:cantSplit/>
        </w:trPr>
        <w:tc>
          <w:tcPr>
            <w:tcW w:w="4590" w:type="dxa"/>
          </w:tcPr>
          <w:p w14:paraId="4A1E8F60" w14:textId="7D1F83F8" w:rsidR="00F47ADA" w:rsidRDefault="00F47ADA" w:rsidP="0067693D">
            <w:pPr>
              <w:rPr>
                <w:lang w:val="lv-LV"/>
              </w:rPr>
            </w:pPr>
            <w:r>
              <w:rPr>
                <w:b/>
                <w:lang w:val="lv-LV"/>
              </w:rPr>
              <w:t>Ireland</w:t>
            </w:r>
            <w:ins w:id="2159" w:author="Author">
              <w:r w:rsidR="00F02927" w:rsidRPr="00231BF8">
                <w:rPr>
                  <w:b/>
                  <w:noProof/>
                  <w:szCs w:val="22"/>
                  <w:lang w:val="en-GB"/>
                </w:rPr>
                <w:t>, Malta</w:t>
              </w:r>
            </w:ins>
          </w:p>
          <w:p w14:paraId="116F315E" w14:textId="4DBE9AA1" w:rsidR="00F47ADA" w:rsidRDefault="00F47ADA" w:rsidP="0067693D">
            <w:pPr>
              <w:rPr>
                <w:ins w:id="2160" w:author="Author"/>
                <w:lang w:val="lv-LV"/>
              </w:rPr>
            </w:pPr>
            <w:r>
              <w:rPr>
                <w:lang w:val="lv-LV"/>
              </w:rPr>
              <w:t>Roche Products (Ireland) Ltd.</w:t>
            </w:r>
          </w:p>
          <w:p w14:paraId="243EF013" w14:textId="100CCF27" w:rsidR="00F02927" w:rsidRDefault="00F02927" w:rsidP="0067693D">
            <w:pPr>
              <w:rPr>
                <w:lang w:val="lv-LV"/>
              </w:rPr>
            </w:pPr>
            <w:ins w:id="2161" w:author="Author">
              <w:r w:rsidRPr="00231BF8">
                <w:rPr>
                  <w:noProof/>
                  <w:szCs w:val="22"/>
                  <w:lang w:val="en-GB"/>
                </w:rPr>
                <w:t>Ireland/L-Irlanda</w:t>
              </w:r>
            </w:ins>
          </w:p>
          <w:p w14:paraId="71C58E4E" w14:textId="77777777" w:rsidR="00F47ADA" w:rsidRDefault="00F47ADA" w:rsidP="0067693D">
            <w:pPr>
              <w:rPr>
                <w:lang w:val="lv-LV"/>
              </w:rPr>
            </w:pPr>
            <w:r>
              <w:rPr>
                <w:lang w:val="lv-LV"/>
              </w:rPr>
              <w:t>Tel: +353 (0) 1 469 0700</w:t>
            </w:r>
          </w:p>
          <w:p w14:paraId="42F13827" w14:textId="77777777" w:rsidR="00F47ADA" w:rsidRDefault="00F47ADA" w:rsidP="0067693D">
            <w:pPr>
              <w:rPr>
                <w:lang w:val="lv-LV"/>
              </w:rPr>
            </w:pPr>
          </w:p>
        </w:tc>
        <w:tc>
          <w:tcPr>
            <w:tcW w:w="4590" w:type="dxa"/>
          </w:tcPr>
          <w:p w14:paraId="3826B842" w14:textId="77777777" w:rsidR="00F02927" w:rsidRPr="00231BF8" w:rsidRDefault="00F02927" w:rsidP="00F02927">
            <w:pPr>
              <w:pStyle w:val="Standard1"/>
              <w:rPr>
                <w:ins w:id="2162" w:author="Author"/>
                <w:b/>
                <w:szCs w:val="22"/>
                <w:lang w:val="it-IT"/>
              </w:rPr>
            </w:pPr>
            <w:ins w:id="2163" w:author="Author">
              <w:r w:rsidRPr="00231BF8">
                <w:rPr>
                  <w:b/>
                  <w:szCs w:val="22"/>
                  <w:lang w:val="it-IT"/>
                </w:rPr>
                <w:t xml:space="preserve">Slovenská republika </w:t>
              </w:r>
            </w:ins>
          </w:p>
          <w:p w14:paraId="40779BBC" w14:textId="77777777" w:rsidR="00F02927" w:rsidRPr="00231BF8" w:rsidRDefault="00F02927" w:rsidP="00F02927">
            <w:pPr>
              <w:pStyle w:val="Standard1"/>
              <w:rPr>
                <w:ins w:id="2164" w:author="Author"/>
                <w:szCs w:val="22"/>
                <w:lang w:val="it-IT"/>
              </w:rPr>
            </w:pPr>
            <w:ins w:id="2165" w:author="Author">
              <w:r w:rsidRPr="00231BF8">
                <w:rPr>
                  <w:noProof/>
                  <w:szCs w:val="22"/>
                  <w:lang w:val="it-IT"/>
                </w:rPr>
                <w:t>Roche Slovensko, s.r.o.</w:t>
              </w:r>
            </w:ins>
          </w:p>
          <w:p w14:paraId="4D9AF3C0" w14:textId="77777777" w:rsidR="002E57E0" w:rsidRDefault="00F02927" w:rsidP="00F02927">
            <w:pPr>
              <w:rPr>
                <w:ins w:id="2166" w:author="Author"/>
                <w:noProof/>
                <w:szCs w:val="22"/>
                <w:lang w:val="en-GB"/>
              </w:rPr>
            </w:pPr>
            <w:ins w:id="2167" w:author="Author">
              <w:r w:rsidRPr="00231BF8">
                <w:rPr>
                  <w:noProof/>
                  <w:szCs w:val="22"/>
                  <w:lang w:val="en-GB"/>
                </w:rPr>
                <w:t>Tel: +421 - 2 52638201</w:t>
              </w:r>
            </w:ins>
          </w:p>
          <w:p w14:paraId="3B0406B6" w14:textId="6F027DA4" w:rsidR="00F47ADA" w:rsidDel="00F02927" w:rsidRDefault="00F47ADA" w:rsidP="00F02927">
            <w:pPr>
              <w:rPr>
                <w:del w:id="2168" w:author="Author"/>
                <w:lang w:val="lv-LV"/>
              </w:rPr>
            </w:pPr>
            <w:del w:id="2169" w:author="Author">
              <w:r w:rsidDel="00F02927">
                <w:rPr>
                  <w:b/>
                  <w:lang w:val="lv-LV"/>
                </w:rPr>
                <w:delText>Slovenija</w:delText>
              </w:r>
            </w:del>
          </w:p>
          <w:p w14:paraId="24824617" w14:textId="19C82766" w:rsidR="00F47ADA" w:rsidDel="00F02927" w:rsidRDefault="00F47ADA" w:rsidP="0067693D">
            <w:pPr>
              <w:rPr>
                <w:del w:id="2170" w:author="Author"/>
                <w:rFonts w:eastAsia="MS Mincho"/>
                <w:lang w:val="lv-LV"/>
              </w:rPr>
            </w:pPr>
            <w:del w:id="2171" w:author="Author">
              <w:r w:rsidDel="00F02927">
                <w:rPr>
                  <w:lang w:val="lv-LV"/>
                </w:rPr>
                <w:delText>Roche farmacevtska družba d.o.o.</w:delText>
              </w:r>
            </w:del>
          </w:p>
          <w:p w14:paraId="34C7AF42" w14:textId="6E4E6C01" w:rsidR="00F47ADA" w:rsidDel="002E57E0" w:rsidRDefault="00F47ADA" w:rsidP="002E57E0">
            <w:pPr>
              <w:rPr>
                <w:del w:id="2172" w:author="Author"/>
                <w:lang w:val="lv-LV"/>
              </w:rPr>
            </w:pPr>
            <w:del w:id="2173" w:author="Author">
              <w:r w:rsidDel="00F02927">
                <w:rPr>
                  <w:rFonts w:eastAsia="MS Mincho"/>
                  <w:lang w:val="lv-LV"/>
                </w:rPr>
                <w:delText>Tel: +386 - 1 360 26 00</w:delText>
              </w:r>
            </w:del>
          </w:p>
          <w:p w14:paraId="6B9B34B7" w14:textId="77777777" w:rsidR="00F47ADA" w:rsidRDefault="00F47ADA" w:rsidP="0067693D">
            <w:pPr>
              <w:rPr>
                <w:lang w:val="lv-LV"/>
              </w:rPr>
            </w:pPr>
          </w:p>
        </w:tc>
      </w:tr>
      <w:tr w:rsidR="00F47ADA" w14:paraId="49BEE7F6" w14:textId="77777777" w:rsidTr="00C51473">
        <w:trPr>
          <w:gridAfter w:val="1"/>
          <w:wAfter w:w="108" w:type="dxa"/>
          <w:cantSplit/>
        </w:trPr>
        <w:tc>
          <w:tcPr>
            <w:tcW w:w="4590" w:type="dxa"/>
          </w:tcPr>
          <w:p w14:paraId="553B310C" w14:textId="77777777" w:rsidR="00F47ADA" w:rsidRDefault="00F47ADA" w:rsidP="0067693D">
            <w:pPr>
              <w:tabs>
                <w:tab w:val="left" w:pos="720"/>
              </w:tabs>
              <w:rPr>
                <w:lang w:val="lv-LV"/>
              </w:rPr>
            </w:pPr>
            <w:r>
              <w:rPr>
                <w:b/>
                <w:lang w:val="lv-LV"/>
              </w:rPr>
              <w:t xml:space="preserve">Ísland </w:t>
            </w:r>
          </w:p>
          <w:p w14:paraId="5AD57B84" w14:textId="77777777" w:rsidR="00F47ADA" w:rsidRDefault="00F47ADA" w:rsidP="0067693D">
            <w:pPr>
              <w:tabs>
                <w:tab w:val="left" w:pos="720"/>
              </w:tabs>
              <w:rPr>
                <w:szCs w:val="22"/>
                <w:lang w:val="lv-LV"/>
              </w:rPr>
            </w:pPr>
            <w:r>
              <w:rPr>
                <w:lang w:val="lv-LV"/>
              </w:rPr>
              <w:t xml:space="preserve">Roche </w:t>
            </w:r>
            <w:r>
              <w:rPr>
                <w:noProof/>
              </w:rPr>
              <w:t>Pharmaceuticals A/S</w:t>
            </w:r>
          </w:p>
          <w:p w14:paraId="4AF04ED8" w14:textId="77777777" w:rsidR="00F47ADA" w:rsidRDefault="00F47ADA" w:rsidP="0067693D">
            <w:pPr>
              <w:tabs>
                <w:tab w:val="left" w:pos="720"/>
              </w:tabs>
              <w:rPr>
                <w:lang w:val="lv-LV"/>
              </w:rPr>
            </w:pPr>
            <w:r>
              <w:rPr>
                <w:szCs w:val="22"/>
                <w:lang w:val="lv-LV"/>
              </w:rPr>
              <w:t>c/o Icepharma hf</w:t>
            </w:r>
          </w:p>
          <w:p w14:paraId="000D90C9" w14:textId="77777777" w:rsidR="00F47ADA" w:rsidRDefault="00F47ADA" w:rsidP="0067693D">
            <w:pPr>
              <w:rPr>
                <w:b/>
                <w:lang w:val="lv-LV"/>
              </w:rPr>
            </w:pPr>
            <w:r>
              <w:rPr>
                <w:lang w:val="lv-LV"/>
              </w:rPr>
              <w:t>Sími: +354 540 8000</w:t>
            </w:r>
          </w:p>
          <w:p w14:paraId="23781A1B" w14:textId="77777777" w:rsidR="00F47ADA" w:rsidRDefault="00F47ADA" w:rsidP="0067693D">
            <w:pPr>
              <w:tabs>
                <w:tab w:val="left" w:pos="720"/>
              </w:tabs>
              <w:autoSpaceDE w:val="0"/>
              <w:rPr>
                <w:b/>
                <w:lang w:val="lv-LV"/>
              </w:rPr>
            </w:pPr>
          </w:p>
        </w:tc>
        <w:tc>
          <w:tcPr>
            <w:tcW w:w="4590" w:type="dxa"/>
          </w:tcPr>
          <w:p w14:paraId="35B3F5FD" w14:textId="77777777" w:rsidR="00F02927" w:rsidRPr="00231BF8" w:rsidRDefault="00F02927" w:rsidP="00F02927">
            <w:pPr>
              <w:pStyle w:val="Standard1"/>
              <w:rPr>
                <w:ins w:id="2174" w:author="Author"/>
                <w:b/>
                <w:noProof/>
                <w:szCs w:val="22"/>
                <w:lang w:val="de-DE"/>
              </w:rPr>
            </w:pPr>
            <w:ins w:id="2175" w:author="Author">
              <w:r w:rsidRPr="00231BF8">
                <w:rPr>
                  <w:b/>
                  <w:noProof/>
                  <w:szCs w:val="22"/>
                  <w:lang w:val="de-DE"/>
                </w:rPr>
                <w:t>Suomi/Finland</w:t>
              </w:r>
            </w:ins>
          </w:p>
          <w:p w14:paraId="53F0A93C" w14:textId="77777777" w:rsidR="00F02927" w:rsidRPr="00231BF8" w:rsidRDefault="00F02927" w:rsidP="00F02927">
            <w:pPr>
              <w:pStyle w:val="Standard1"/>
              <w:rPr>
                <w:ins w:id="2176" w:author="Author"/>
                <w:noProof/>
                <w:snapToGrid w:val="0"/>
                <w:szCs w:val="22"/>
                <w:lang w:val="de-DE"/>
              </w:rPr>
            </w:pPr>
            <w:ins w:id="2177" w:author="Author">
              <w:r w:rsidRPr="00231BF8">
                <w:rPr>
                  <w:noProof/>
                  <w:szCs w:val="22"/>
                  <w:lang w:val="de-DE"/>
                </w:rPr>
                <w:t>Roche Oy</w:t>
              </w:r>
              <w:r w:rsidRPr="00231BF8">
                <w:rPr>
                  <w:noProof/>
                  <w:snapToGrid w:val="0"/>
                  <w:szCs w:val="22"/>
                  <w:lang w:val="de-DE"/>
                </w:rPr>
                <w:t xml:space="preserve"> </w:t>
              </w:r>
            </w:ins>
          </w:p>
          <w:p w14:paraId="0BF19DEE" w14:textId="4F07A27B" w:rsidR="002E57E0" w:rsidRDefault="00F02927" w:rsidP="00F02927">
            <w:pPr>
              <w:rPr>
                <w:ins w:id="2178" w:author="Author"/>
                <w:noProof/>
                <w:szCs w:val="22"/>
                <w:lang w:val="de-DE"/>
              </w:rPr>
            </w:pPr>
            <w:ins w:id="2179" w:author="Author">
              <w:r w:rsidRPr="00231BF8">
                <w:rPr>
                  <w:noProof/>
                  <w:szCs w:val="22"/>
                  <w:lang w:val="de-DE"/>
                </w:rPr>
                <w:t>Puh/Tel: +358 (0) 10 554 500</w:t>
              </w:r>
            </w:ins>
          </w:p>
          <w:p w14:paraId="518E424B" w14:textId="69696918" w:rsidR="00F47ADA" w:rsidDel="00F02927" w:rsidRDefault="00F47ADA" w:rsidP="00F02927">
            <w:pPr>
              <w:rPr>
                <w:del w:id="2180" w:author="Author"/>
                <w:lang w:val="lv-LV"/>
              </w:rPr>
            </w:pPr>
            <w:del w:id="2181" w:author="Author">
              <w:r w:rsidDel="00F02927">
                <w:rPr>
                  <w:b/>
                  <w:lang w:val="lv-LV"/>
                </w:rPr>
                <w:delText xml:space="preserve">Slovenská republika </w:delText>
              </w:r>
            </w:del>
          </w:p>
          <w:p w14:paraId="59921F78" w14:textId="00562C1E" w:rsidR="00F47ADA" w:rsidDel="00F02927" w:rsidRDefault="00F47ADA" w:rsidP="0067693D">
            <w:pPr>
              <w:rPr>
                <w:del w:id="2182" w:author="Author"/>
                <w:lang w:val="lv-LV"/>
              </w:rPr>
            </w:pPr>
            <w:del w:id="2183" w:author="Author">
              <w:r w:rsidDel="00F02927">
                <w:rPr>
                  <w:lang w:val="lv-LV"/>
                </w:rPr>
                <w:delText>Roche Slovensko, s.r.o.</w:delText>
              </w:r>
            </w:del>
          </w:p>
          <w:p w14:paraId="55CE31D5" w14:textId="57F8E76F" w:rsidR="00F47ADA" w:rsidDel="002E57E0" w:rsidRDefault="00F47ADA" w:rsidP="002E57E0">
            <w:pPr>
              <w:rPr>
                <w:del w:id="2184" w:author="Author"/>
                <w:b/>
                <w:lang w:val="lv-LV"/>
              </w:rPr>
            </w:pPr>
            <w:del w:id="2185" w:author="Author">
              <w:r w:rsidDel="00F02927">
                <w:rPr>
                  <w:lang w:val="lv-LV"/>
                </w:rPr>
                <w:delText>Tel: +421 - 2 52638201</w:delText>
              </w:r>
            </w:del>
          </w:p>
          <w:p w14:paraId="625AA027" w14:textId="77777777" w:rsidR="00F47ADA" w:rsidRDefault="00F47ADA" w:rsidP="0067693D">
            <w:pPr>
              <w:rPr>
                <w:b/>
                <w:lang w:val="lv-LV"/>
              </w:rPr>
            </w:pPr>
          </w:p>
        </w:tc>
      </w:tr>
      <w:tr w:rsidR="00F47ADA" w:rsidRPr="00707120" w14:paraId="73438A85" w14:textId="77777777" w:rsidTr="00C51473">
        <w:trPr>
          <w:gridAfter w:val="1"/>
          <w:wAfter w:w="108" w:type="dxa"/>
          <w:cantSplit/>
        </w:trPr>
        <w:tc>
          <w:tcPr>
            <w:tcW w:w="4590" w:type="dxa"/>
          </w:tcPr>
          <w:p w14:paraId="3BD5A282" w14:textId="77777777" w:rsidR="00F47ADA" w:rsidRDefault="00F47ADA" w:rsidP="0067693D">
            <w:pPr>
              <w:rPr>
                <w:lang w:val="lv-LV"/>
              </w:rPr>
            </w:pPr>
            <w:r>
              <w:rPr>
                <w:b/>
                <w:lang w:val="lv-LV"/>
              </w:rPr>
              <w:t>Italia</w:t>
            </w:r>
          </w:p>
          <w:p w14:paraId="0DC81C69" w14:textId="77777777" w:rsidR="00F47ADA" w:rsidRDefault="00F47ADA" w:rsidP="0067693D">
            <w:pPr>
              <w:rPr>
                <w:lang w:val="lv-LV"/>
              </w:rPr>
            </w:pPr>
            <w:r>
              <w:rPr>
                <w:lang w:val="lv-LV"/>
              </w:rPr>
              <w:t>Roche S.p.A.</w:t>
            </w:r>
          </w:p>
          <w:p w14:paraId="50F6B10D" w14:textId="77777777" w:rsidR="00F47ADA" w:rsidRDefault="00F47ADA" w:rsidP="0067693D">
            <w:pPr>
              <w:rPr>
                <w:b/>
                <w:lang w:val="lv-LV"/>
              </w:rPr>
            </w:pPr>
            <w:r>
              <w:rPr>
                <w:lang w:val="lv-LV"/>
              </w:rPr>
              <w:t>Tel: +39 - 039 2471</w:t>
            </w:r>
          </w:p>
        </w:tc>
        <w:tc>
          <w:tcPr>
            <w:tcW w:w="4590" w:type="dxa"/>
          </w:tcPr>
          <w:p w14:paraId="4DFEF5A9" w14:textId="77777777" w:rsidR="00F02927" w:rsidRPr="00231BF8" w:rsidRDefault="00F02927" w:rsidP="00F02927">
            <w:pPr>
              <w:pStyle w:val="Standard1"/>
              <w:rPr>
                <w:ins w:id="2186" w:author="Author"/>
                <w:noProof/>
                <w:szCs w:val="22"/>
                <w:lang w:val="en-GB"/>
              </w:rPr>
            </w:pPr>
            <w:ins w:id="2187" w:author="Author">
              <w:r w:rsidRPr="00231BF8">
                <w:rPr>
                  <w:b/>
                  <w:noProof/>
                  <w:szCs w:val="22"/>
                  <w:lang w:val="en-GB"/>
                </w:rPr>
                <w:t>Sverige</w:t>
              </w:r>
            </w:ins>
          </w:p>
          <w:p w14:paraId="4923276A" w14:textId="77777777" w:rsidR="00F02927" w:rsidRPr="00231BF8" w:rsidRDefault="00F02927" w:rsidP="00F02927">
            <w:pPr>
              <w:pStyle w:val="Standard1"/>
              <w:rPr>
                <w:ins w:id="2188" w:author="Author"/>
                <w:noProof/>
                <w:szCs w:val="22"/>
                <w:lang w:val="en-GB"/>
              </w:rPr>
            </w:pPr>
            <w:ins w:id="2189" w:author="Author">
              <w:r w:rsidRPr="00231BF8">
                <w:rPr>
                  <w:noProof/>
                  <w:szCs w:val="22"/>
                  <w:lang w:val="en-GB"/>
                </w:rPr>
                <w:t>Roche AB</w:t>
              </w:r>
            </w:ins>
          </w:p>
          <w:p w14:paraId="587C095B" w14:textId="77777777" w:rsidR="002E57E0" w:rsidRDefault="00F02927" w:rsidP="00F02927">
            <w:pPr>
              <w:rPr>
                <w:ins w:id="2190" w:author="Author"/>
                <w:noProof/>
                <w:szCs w:val="22"/>
                <w:lang w:val="en-GB"/>
              </w:rPr>
            </w:pPr>
            <w:ins w:id="2191" w:author="Author">
              <w:r w:rsidRPr="00231BF8">
                <w:rPr>
                  <w:noProof/>
                  <w:szCs w:val="22"/>
                  <w:lang w:val="en-GB"/>
                </w:rPr>
                <w:t>Tel: +46 (0) 8 726 1200</w:t>
              </w:r>
            </w:ins>
          </w:p>
          <w:p w14:paraId="22F30F73" w14:textId="3FD7E514" w:rsidR="00F47ADA" w:rsidDel="00F02927" w:rsidRDefault="00F47ADA" w:rsidP="00F02927">
            <w:pPr>
              <w:rPr>
                <w:del w:id="2192" w:author="Author"/>
                <w:lang w:val="lv-LV"/>
              </w:rPr>
            </w:pPr>
            <w:del w:id="2193" w:author="Author">
              <w:r w:rsidDel="00F02927">
                <w:rPr>
                  <w:b/>
                  <w:lang w:val="lv-LV"/>
                </w:rPr>
                <w:delText>Suomi/Finland</w:delText>
              </w:r>
            </w:del>
          </w:p>
          <w:p w14:paraId="61A46C71" w14:textId="5E6EEFCB" w:rsidR="00F47ADA" w:rsidDel="00F02927" w:rsidRDefault="00F47ADA" w:rsidP="0067693D">
            <w:pPr>
              <w:rPr>
                <w:del w:id="2194" w:author="Author"/>
                <w:lang w:val="lv-LV"/>
              </w:rPr>
            </w:pPr>
            <w:del w:id="2195" w:author="Author">
              <w:r w:rsidDel="00F02927">
                <w:rPr>
                  <w:lang w:val="lv-LV"/>
                </w:rPr>
                <w:delText xml:space="preserve">Roche Oy </w:delText>
              </w:r>
            </w:del>
          </w:p>
          <w:p w14:paraId="7BE117B2" w14:textId="52FBA1BD" w:rsidR="00F47ADA" w:rsidDel="002E57E0" w:rsidRDefault="00F47ADA" w:rsidP="002E57E0">
            <w:pPr>
              <w:rPr>
                <w:del w:id="2196" w:author="Author"/>
                <w:lang w:val="lv-LV"/>
              </w:rPr>
            </w:pPr>
            <w:del w:id="2197" w:author="Author">
              <w:r w:rsidDel="00F02927">
                <w:rPr>
                  <w:lang w:val="lv-LV"/>
                </w:rPr>
                <w:delText>Puh/Tel: +358 (0) 10 554 500</w:delText>
              </w:r>
            </w:del>
          </w:p>
          <w:p w14:paraId="0556F00B" w14:textId="77777777" w:rsidR="00F47ADA" w:rsidRDefault="00F47ADA" w:rsidP="0067693D">
            <w:pPr>
              <w:rPr>
                <w:lang w:val="lv-LV"/>
              </w:rPr>
            </w:pPr>
          </w:p>
        </w:tc>
      </w:tr>
      <w:tr w:rsidR="00F47ADA" w:rsidDel="00F02927" w14:paraId="202ABD8A" w14:textId="7BADFD1D" w:rsidTr="00C51473">
        <w:trPr>
          <w:cantSplit/>
          <w:del w:id="2198" w:author="Author"/>
        </w:trPr>
        <w:tc>
          <w:tcPr>
            <w:tcW w:w="4590" w:type="dxa"/>
          </w:tcPr>
          <w:p w14:paraId="0125F6D3" w14:textId="5C7AD269" w:rsidR="00F47ADA" w:rsidDel="00F02927" w:rsidRDefault="00F47ADA" w:rsidP="0067693D">
            <w:pPr>
              <w:rPr>
                <w:del w:id="2199" w:author="Author"/>
                <w:lang w:val="lv-LV"/>
              </w:rPr>
            </w:pPr>
            <w:del w:id="2200" w:author="Author">
              <w:r w:rsidDel="00F02927">
                <w:rPr>
                  <w:b/>
                  <w:lang w:val="lv-LV"/>
                </w:rPr>
                <w:delText>Kύπρος</w:delText>
              </w:r>
              <w:r w:rsidDel="00F02927">
                <w:rPr>
                  <w:rFonts w:ascii="Arial" w:hAnsi="Arial" w:cs="Arial"/>
                  <w:sz w:val="20"/>
                  <w:lang w:val="lv-LV"/>
                </w:rPr>
                <w:delText xml:space="preserve"> </w:delText>
              </w:r>
            </w:del>
          </w:p>
          <w:p w14:paraId="287A9C59" w14:textId="6EE6E7EC" w:rsidR="00F47ADA" w:rsidRPr="00960D01" w:rsidDel="00F02927" w:rsidRDefault="00F47ADA" w:rsidP="0067693D">
            <w:pPr>
              <w:pStyle w:val="Standard1"/>
              <w:rPr>
                <w:del w:id="2201" w:author="Author"/>
                <w:noProof/>
                <w:szCs w:val="22"/>
                <w:lang w:val="en-GB"/>
              </w:rPr>
            </w:pPr>
            <w:del w:id="2202" w:author="Author">
              <w:r w:rsidRPr="00960D01" w:rsidDel="00F02927">
                <w:rPr>
                  <w:noProof/>
                  <w:szCs w:val="22"/>
                  <w:lang w:val="en-GB"/>
                </w:rPr>
                <w:delText>Roche (Hellas) A.E.</w:delText>
              </w:r>
            </w:del>
          </w:p>
          <w:p w14:paraId="4C65FADD" w14:textId="29F9B104" w:rsidR="00F47ADA" w:rsidDel="00F02927" w:rsidRDefault="00F47ADA" w:rsidP="0067693D">
            <w:pPr>
              <w:rPr>
                <w:del w:id="2203" w:author="Author"/>
                <w:lang w:val="lv-LV"/>
              </w:rPr>
            </w:pPr>
            <w:del w:id="2204" w:author="Author">
              <w:r w:rsidRPr="00960D01" w:rsidDel="00F02927">
                <w:rPr>
                  <w:noProof/>
                  <w:szCs w:val="22"/>
                  <w:lang w:val="en-GB"/>
                </w:rPr>
                <w:delText>Τηλ: +30 210 61 66 100</w:delText>
              </w:r>
              <w:r w:rsidDel="00F02927">
                <w:rPr>
                  <w:lang w:val="lv-LV"/>
                </w:rPr>
                <w:delText xml:space="preserve"> </w:delText>
              </w:r>
            </w:del>
          </w:p>
        </w:tc>
        <w:tc>
          <w:tcPr>
            <w:tcW w:w="4590" w:type="dxa"/>
            <w:gridSpan w:val="2"/>
          </w:tcPr>
          <w:p w14:paraId="7F55DC6E" w14:textId="49361562" w:rsidR="00F47ADA" w:rsidDel="00F02927" w:rsidRDefault="00F47ADA" w:rsidP="0067693D">
            <w:pPr>
              <w:rPr>
                <w:del w:id="2205" w:author="Author"/>
                <w:lang w:val="lv-LV"/>
              </w:rPr>
            </w:pPr>
            <w:del w:id="2206" w:author="Author">
              <w:r w:rsidDel="00F02927">
                <w:rPr>
                  <w:b/>
                  <w:lang w:val="lv-LV"/>
                </w:rPr>
                <w:delText>Sverige</w:delText>
              </w:r>
            </w:del>
          </w:p>
          <w:p w14:paraId="1BF673B4" w14:textId="3ADF383A" w:rsidR="00F47ADA" w:rsidDel="00F02927" w:rsidRDefault="00F47ADA" w:rsidP="0067693D">
            <w:pPr>
              <w:rPr>
                <w:del w:id="2207" w:author="Author"/>
                <w:lang w:val="lv-LV"/>
              </w:rPr>
            </w:pPr>
            <w:del w:id="2208" w:author="Author">
              <w:r w:rsidDel="00F02927">
                <w:rPr>
                  <w:lang w:val="lv-LV"/>
                </w:rPr>
                <w:delText>Roche AB</w:delText>
              </w:r>
            </w:del>
          </w:p>
          <w:p w14:paraId="58C19116" w14:textId="207CEAEE" w:rsidR="00F47ADA" w:rsidDel="00F02927" w:rsidRDefault="00F47ADA" w:rsidP="0067693D">
            <w:pPr>
              <w:rPr>
                <w:del w:id="2209" w:author="Author"/>
                <w:lang w:val="lv-LV"/>
              </w:rPr>
            </w:pPr>
            <w:del w:id="2210" w:author="Author">
              <w:r w:rsidDel="00F02927">
                <w:rPr>
                  <w:lang w:val="lv-LV"/>
                </w:rPr>
                <w:delText>Tel: +46 (0) 8 726 1200</w:delText>
              </w:r>
            </w:del>
          </w:p>
          <w:p w14:paraId="14E7EAE3" w14:textId="734D687A" w:rsidR="00F47ADA" w:rsidDel="00F02927" w:rsidRDefault="00F47ADA" w:rsidP="0067693D">
            <w:pPr>
              <w:rPr>
                <w:del w:id="2211" w:author="Author"/>
                <w:lang w:val="lv-LV"/>
              </w:rPr>
            </w:pPr>
          </w:p>
        </w:tc>
      </w:tr>
      <w:tr w:rsidR="00F47ADA" w:rsidRPr="00707120" w:rsidDel="00F02927" w14:paraId="15B38E2D" w14:textId="5FDDC3E5" w:rsidTr="00C51473">
        <w:trPr>
          <w:cantSplit/>
          <w:del w:id="2212" w:author="Author"/>
        </w:trPr>
        <w:tc>
          <w:tcPr>
            <w:tcW w:w="4590" w:type="dxa"/>
          </w:tcPr>
          <w:p w14:paraId="22B61E04" w14:textId="546F527A" w:rsidR="00F47ADA" w:rsidDel="00F02927" w:rsidRDefault="00F47ADA" w:rsidP="0067693D">
            <w:pPr>
              <w:rPr>
                <w:del w:id="2213" w:author="Author"/>
                <w:bCs/>
                <w:lang w:val="lv-LV"/>
              </w:rPr>
            </w:pPr>
            <w:del w:id="2214" w:author="Author">
              <w:r w:rsidDel="00F02927">
                <w:rPr>
                  <w:b/>
                  <w:lang w:val="lv-LV"/>
                </w:rPr>
                <w:delText>Latvija</w:delText>
              </w:r>
            </w:del>
          </w:p>
          <w:p w14:paraId="3FAA52D9" w14:textId="3F623B6B" w:rsidR="00F47ADA" w:rsidDel="00F02927" w:rsidRDefault="00F47ADA" w:rsidP="0067693D">
            <w:pPr>
              <w:rPr>
                <w:del w:id="2215" w:author="Author"/>
                <w:lang w:val="lv-LV"/>
              </w:rPr>
            </w:pPr>
            <w:del w:id="2216" w:author="Author">
              <w:r w:rsidDel="00F02927">
                <w:rPr>
                  <w:bCs/>
                  <w:lang w:val="lv-LV"/>
                </w:rPr>
                <w:delText>Roche Latvija SIA</w:delText>
              </w:r>
            </w:del>
          </w:p>
          <w:p w14:paraId="04392F0B" w14:textId="0B7FF4B3" w:rsidR="00F47ADA" w:rsidDel="00F02927" w:rsidRDefault="00F47ADA" w:rsidP="0067693D">
            <w:pPr>
              <w:rPr>
                <w:del w:id="2217" w:author="Author"/>
                <w:b/>
                <w:lang w:val="lv-LV"/>
              </w:rPr>
            </w:pPr>
            <w:del w:id="2218" w:author="Author">
              <w:r w:rsidDel="00F02927">
                <w:rPr>
                  <w:lang w:val="lv-LV"/>
                </w:rPr>
                <w:delText>Tel: +371 - 6 7039831</w:delText>
              </w:r>
            </w:del>
          </w:p>
          <w:p w14:paraId="20CE752A" w14:textId="46DB3238" w:rsidR="00F47ADA" w:rsidDel="00F02927" w:rsidRDefault="00F47ADA" w:rsidP="0067693D">
            <w:pPr>
              <w:rPr>
                <w:del w:id="2219" w:author="Author"/>
                <w:b/>
                <w:lang w:val="lv-LV"/>
              </w:rPr>
            </w:pPr>
          </w:p>
        </w:tc>
        <w:tc>
          <w:tcPr>
            <w:tcW w:w="4590" w:type="dxa"/>
            <w:gridSpan w:val="2"/>
          </w:tcPr>
          <w:p w14:paraId="1B01234A" w14:textId="62227B36" w:rsidR="00F47ADA" w:rsidDel="00F02927" w:rsidRDefault="00F47ADA" w:rsidP="0067693D">
            <w:pPr>
              <w:rPr>
                <w:del w:id="2220" w:author="Author"/>
                <w:lang w:val="lv-LV"/>
              </w:rPr>
            </w:pPr>
          </w:p>
        </w:tc>
      </w:tr>
      <w:tr w:rsidR="00F47ADA" w:rsidRPr="00707120" w:rsidDel="00F02927" w14:paraId="5F1DC4B7" w14:textId="466542D6" w:rsidTr="00C51473">
        <w:trPr>
          <w:cantSplit/>
          <w:del w:id="2221" w:author="Author"/>
        </w:trPr>
        <w:tc>
          <w:tcPr>
            <w:tcW w:w="4590" w:type="dxa"/>
          </w:tcPr>
          <w:p w14:paraId="246201FB" w14:textId="7AB29004" w:rsidR="00F47ADA" w:rsidDel="00F02927" w:rsidRDefault="00F47ADA" w:rsidP="0067693D">
            <w:pPr>
              <w:rPr>
                <w:del w:id="2222" w:author="Author"/>
                <w:lang w:val="lv-LV"/>
              </w:rPr>
            </w:pPr>
            <w:del w:id="2223" w:author="Author">
              <w:r w:rsidDel="00F02927">
                <w:rPr>
                  <w:b/>
                  <w:lang w:val="lv-LV"/>
                </w:rPr>
                <w:delText>Lietuva</w:delText>
              </w:r>
            </w:del>
          </w:p>
          <w:p w14:paraId="5EF2C569" w14:textId="2F4BF5CC" w:rsidR="00F47ADA" w:rsidDel="00F02927" w:rsidRDefault="00F47ADA" w:rsidP="0067693D">
            <w:pPr>
              <w:rPr>
                <w:del w:id="2224" w:author="Author"/>
                <w:lang w:val="lv-LV"/>
              </w:rPr>
            </w:pPr>
            <w:del w:id="2225" w:author="Author">
              <w:r w:rsidDel="00F02927">
                <w:rPr>
                  <w:lang w:val="lv-LV"/>
                </w:rPr>
                <w:delText>UAB “Roche Lietuva”</w:delText>
              </w:r>
            </w:del>
          </w:p>
          <w:p w14:paraId="228C3512" w14:textId="10214ED5" w:rsidR="00F47ADA" w:rsidDel="00F02927" w:rsidRDefault="00F47ADA" w:rsidP="0067693D">
            <w:pPr>
              <w:rPr>
                <w:del w:id="2226" w:author="Author"/>
                <w:lang w:val="lv-LV"/>
              </w:rPr>
            </w:pPr>
            <w:del w:id="2227" w:author="Author">
              <w:r w:rsidDel="00F02927">
                <w:rPr>
                  <w:lang w:val="lv-LV"/>
                </w:rPr>
                <w:delText>Tel: +370 5 2546799</w:delText>
              </w:r>
            </w:del>
          </w:p>
          <w:p w14:paraId="77DCCAE7" w14:textId="68D9EBF0" w:rsidR="00F47ADA" w:rsidDel="00F02927" w:rsidRDefault="00F47ADA" w:rsidP="0067693D">
            <w:pPr>
              <w:rPr>
                <w:del w:id="2228" w:author="Author"/>
                <w:lang w:val="lv-LV"/>
              </w:rPr>
            </w:pPr>
          </w:p>
        </w:tc>
        <w:tc>
          <w:tcPr>
            <w:tcW w:w="4590" w:type="dxa"/>
            <w:gridSpan w:val="2"/>
          </w:tcPr>
          <w:p w14:paraId="6C60F82D" w14:textId="0B3D36A0" w:rsidR="00F47ADA" w:rsidDel="00F02927" w:rsidRDefault="00F47ADA" w:rsidP="0067693D">
            <w:pPr>
              <w:snapToGrid w:val="0"/>
              <w:rPr>
                <w:del w:id="2229" w:author="Author"/>
                <w:lang w:val="lv-LV"/>
              </w:rPr>
            </w:pPr>
          </w:p>
        </w:tc>
      </w:tr>
    </w:tbl>
    <w:p w14:paraId="14108FC1" w14:textId="77777777" w:rsidR="00F47ADA" w:rsidRDefault="00F47ADA" w:rsidP="00F47ADA">
      <w:pPr>
        <w:ind w:right="-449"/>
        <w:rPr>
          <w:lang w:val="fi-FI"/>
        </w:rPr>
      </w:pPr>
    </w:p>
    <w:p w14:paraId="5A678879" w14:textId="77777777" w:rsidR="00F47ADA" w:rsidRDefault="00F47ADA" w:rsidP="00F47ADA">
      <w:pPr>
        <w:keepNext/>
        <w:keepLines/>
        <w:rPr>
          <w:b/>
          <w:szCs w:val="22"/>
          <w:lang w:val="lv-LV"/>
        </w:rPr>
      </w:pPr>
      <w:r>
        <w:rPr>
          <w:b/>
          <w:szCs w:val="22"/>
          <w:lang w:val="lv-LV"/>
        </w:rPr>
        <w:t xml:space="preserve">Šī lietošanas instrukcija pēdējo reizi pārskatīta </w:t>
      </w:r>
    </w:p>
    <w:p w14:paraId="50EB6DFC" w14:textId="77777777" w:rsidR="00F47ADA" w:rsidRDefault="00F47ADA" w:rsidP="00F47ADA">
      <w:pPr>
        <w:keepNext/>
        <w:keepLines/>
        <w:ind w:right="-2"/>
        <w:rPr>
          <w:b/>
          <w:szCs w:val="22"/>
          <w:lang w:val="lv-LV"/>
        </w:rPr>
      </w:pPr>
    </w:p>
    <w:p w14:paraId="72E74931" w14:textId="77777777" w:rsidR="00F47ADA" w:rsidRDefault="00F47ADA" w:rsidP="00F47ADA">
      <w:pPr>
        <w:keepNext/>
        <w:keepLines/>
        <w:ind w:right="-2"/>
        <w:rPr>
          <w:bCs/>
          <w:szCs w:val="22"/>
          <w:lang w:val="lv-LV"/>
        </w:rPr>
      </w:pPr>
      <w:r>
        <w:rPr>
          <w:b/>
          <w:szCs w:val="22"/>
          <w:lang w:val="lv-LV"/>
        </w:rPr>
        <w:t>Citi informācijas avoti</w:t>
      </w:r>
    </w:p>
    <w:p w14:paraId="2DEFC52D" w14:textId="44CB1044" w:rsidR="00F47ADA" w:rsidRDefault="00F47ADA" w:rsidP="00F47ADA">
      <w:pPr>
        <w:keepNext/>
        <w:keepLines/>
        <w:rPr>
          <w:lang w:val="lv-LV"/>
        </w:rPr>
      </w:pPr>
      <w:r>
        <w:rPr>
          <w:bCs/>
          <w:szCs w:val="22"/>
          <w:lang w:val="lv-LV"/>
        </w:rPr>
        <w:t xml:space="preserve">Sīkāka informācija par šīm zālēm ir pieejama Eiropas Zāļu aģentūras tīmekļa vietnē </w:t>
      </w:r>
      <w:r w:rsidR="007E17F8">
        <w:fldChar w:fldCharType="begin"/>
      </w:r>
      <w:r w:rsidR="007E17F8" w:rsidRPr="00DD58C9">
        <w:rPr>
          <w:lang w:val="lv-LV"/>
          <w:rPrChange w:id="2230" w:author="Author">
            <w:rPr/>
          </w:rPrChange>
        </w:rPr>
        <w:instrText xml:space="preserve"> HYPERLINK "https://www.ema.europa.eu/" </w:instrText>
      </w:r>
      <w:r w:rsidR="007E17F8">
        <w:fldChar w:fldCharType="separate"/>
      </w:r>
      <w:r w:rsidRPr="00707120">
        <w:rPr>
          <w:rStyle w:val="Hyperlink"/>
          <w:szCs w:val="22"/>
        </w:rPr>
        <w:t>https://www.ema.europa.eu</w:t>
      </w:r>
      <w:r w:rsidR="007E17F8">
        <w:rPr>
          <w:rStyle w:val="Hyperlink"/>
          <w:szCs w:val="22"/>
        </w:rPr>
        <w:fldChar w:fldCharType="end"/>
      </w:r>
      <w:r w:rsidRPr="00707120">
        <w:rPr>
          <w:szCs w:val="22"/>
          <w:lang w:val="lv-LV"/>
        </w:rPr>
        <w:t xml:space="preserve">. </w:t>
      </w:r>
    </w:p>
    <w:p w14:paraId="626C2A3C" w14:textId="77777777" w:rsidR="00F47ADA" w:rsidRDefault="00F47ADA" w:rsidP="00F47ADA">
      <w:pPr>
        <w:ind w:right="-2"/>
        <w:rPr>
          <w:lang w:val="lv-LV"/>
        </w:rPr>
      </w:pPr>
    </w:p>
    <w:p w14:paraId="6A9D264C" w14:textId="77777777" w:rsidR="00F47ADA" w:rsidRPr="00762735" w:rsidRDefault="00F47ADA" w:rsidP="00F47ADA">
      <w:pPr>
        <w:autoSpaceDE w:val="0"/>
        <w:autoSpaceDN w:val="0"/>
        <w:adjustRightInd w:val="0"/>
        <w:spacing w:after="120"/>
        <w:rPr>
          <w:b/>
          <w:color w:val="231F20"/>
          <w:szCs w:val="22"/>
          <w:lang w:val="lv-LV" w:eastAsia="lv-LV"/>
        </w:rPr>
      </w:pPr>
      <w:r>
        <w:rPr>
          <w:spacing w:val="108"/>
          <w:lang w:val="lv-LV"/>
        </w:rPr>
        <w:br w:type="page"/>
      </w:r>
      <w:r w:rsidRPr="00762735">
        <w:rPr>
          <w:b/>
          <w:color w:val="231F20"/>
          <w:lang w:val="lv-LV" w:eastAsia="lv-LV"/>
        </w:rPr>
        <w:t>Kas Jums jāzina, lai varētu droši lietot RoA</w:t>
      </w:r>
      <w:r>
        <w:rPr>
          <w:b/>
          <w:color w:val="231F20"/>
          <w:lang w:val="lv-LV" w:eastAsia="lv-LV"/>
        </w:rPr>
        <w:t>ctemra</w:t>
      </w:r>
      <w:r w:rsidRPr="00762735">
        <w:rPr>
          <w:b/>
          <w:color w:val="231F20"/>
          <w:lang w:val="lv-LV" w:eastAsia="lv-LV"/>
        </w:rPr>
        <w:t xml:space="preserve"> pildspalvveida pilnšļirci (ACTPen).</w:t>
      </w:r>
    </w:p>
    <w:p w14:paraId="29D31E08" w14:textId="77777777" w:rsidR="00F47ADA" w:rsidRPr="00762735" w:rsidRDefault="00F47ADA" w:rsidP="00F47ADA">
      <w:pPr>
        <w:suppressAutoHyphens w:val="0"/>
        <w:autoSpaceDE w:val="0"/>
        <w:autoSpaceDN w:val="0"/>
        <w:adjustRightInd w:val="0"/>
        <w:spacing w:afterLines="60" w:after="144"/>
        <w:rPr>
          <w:szCs w:val="22"/>
          <w:lang w:val="lv-LV" w:eastAsia="lv-LV"/>
        </w:rPr>
      </w:pPr>
      <w:r w:rsidRPr="00762735">
        <w:rPr>
          <w:lang w:val="lv-LV" w:eastAsia="lv-LV"/>
        </w:rPr>
        <w:t>Pirms sākat lietot RoA</w:t>
      </w:r>
      <w:r>
        <w:rPr>
          <w:lang w:val="lv-LV" w:eastAsia="lv-LV"/>
        </w:rPr>
        <w:t>ctemra</w:t>
      </w:r>
      <w:r w:rsidRPr="00762735">
        <w:rPr>
          <w:lang w:val="lv-LV" w:eastAsia="lv-LV"/>
        </w:rPr>
        <w:t xml:space="preserve"> pildspalvveida pilnšļirci un ikreiz, kad tiek atjaunota recepte, izlasiet un ievērojiet pievienoto lietošanas instrukciju. Pirms pirmās RoA</w:t>
      </w:r>
      <w:r>
        <w:rPr>
          <w:lang w:val="lv-LV" w:eastAsia="lv-LV"/>
        </w:rPr>
        <w:t>ctemra</w:t>
      </w:r>
      <w:r w:rsidRPr="00762735">
        <w:rPr>
          <w:lang w:val="lv-LV" w:eastAsia="lv-LV"/>
        </w:rPr>
        <w:t xml:space="preserve"> pildspalvveida pilnšļirces lietošanas reizes raugieties, lai veselības aprūpes speciālists Jums parādītu, kā tā pareizi lietojama.</w:t>
      </w:r>
    </w:p>
    <w:p w14:paraId="2333EC61" w14:textId="481255E2" w:rsidR="00F47ADA" w:rsidRDefault="00F47ADA" w:rsidP="00F47ADA">
      <w:pPr>
        <w:suppressAutoHyphens w:val="0"/>
        <w:autoSpaceDE w:val="0"/>
        <w:autoSpaceDN w:val="0"/>
        <w:adjustRightInd w:val="0"/>
        <w:spacing w:afterLines="60" w:after="144"/>
        <w:rPr>
          <w:lang w:val="lv-LV" w:eastAsia="lv-LV"/>
        </w:rPr>
      </w:pPr>
      <w:r w:rsidRPr="00762735">
        <w:rPr>
          <w:lang w:val="lv-LV" w:eastAsia="lv-LV"/>
        </w:rPr>
        <w:t>Svarīgi: Nelietotās pildspalvveida pilnšļirces jāuzglabā oriģinālajā iepakojumā ledusskapī 2</w:t>
      </w:r>
      <w:r>
        <w:rPr>
          <w:lang w:val="lv-LV" w:eastAsia="lv-LV"/>
        </w:rPr>
        <w:t> </w:t>
      </w:r>
      <w:r w:rsidRPr="00707120">
        <w:rPr>
          <w:vertAlign w:val="superscript"/>
          <w:lang w:val="lv-LV" w:eastAsia="lv-LV"/>
        </w:rPr>
        <w:t>o</w:t>
      </w:r>
      <w:r w:rsidRPr="00D4160B">
        <w:rPr>
          <w:szCs w:val="22"/>
          <w:lang w:val="lv-LV"/>
        </w:rPr>
        <w:t>C</w:t>
      </w:r>
      <w:r w:rsidR="00A452F9">
        <w:rPr>
          <w:lang w:val="lv-LV" w:eastAsia="lv-LV"/>
        </w:rPr>
        <w:t>–</w:t>
      </w:r>
      <w:r w:rsidRPr="00762735">
        <w:rPr>
          <w:lang w:val="lv-LV" w:eastAsia="lv-LV"/>
        </w:rPr>
        <w:t>8</w:t>
      </w:r>
      <w:r>
        <w:rPr>
          <w:lang w:val="lv-LV" w:eastAsia="lv-LV"/>
        </w:rPr>
        <w:t> </w:t>
      </w:r>
      <w:r w:rsidRPr="00707120">
        <w:rPr>
          <w:vertAlign w:val="superscript"/>
          <w:lang w:val="lv-LV" w:eastAsia="lv-LV"/>
        </w:rPr>
        <w:t>o</w:t>
      </w:r>
      <w:r w:rsidRPr="00762735">
        <w:rPr>
          <w:lang w:val="lv-LV" w:eastAsia="lv-LV"/>
        </w:rPr>
        <w:t xml:space="preserve">C temperatūrā. </w:t>
      </w:r>
      <w:r w:rsidRPr="00762735">
        <w:rPr>
          <w:b/>
          <w:lang w:val="lv-LV" w:eastAsia="lv-LV"/>
        </w:rPr>
        <w:t>Nesasaldēt</w:t>
      </w:r>
      <w:r w:rsidRPr="00762735">
        <w:rPr>
          <w:lang w:val="lv-LV" w:eastAsia="lv-LV"/>
        </w:rPr>
        <w:t>.</w:t>
      </w:r>
    </w:p>
    <w:p w14:paraId="1A00060E" w14:textId="30403498" w:rsidR="00F47ADA" w:rsidRPr="00AE2B55" w:rsidRDefault="00F47ADA" w:rsidP="00F47ADA">
      <w:pPr>
        <w:suppressAutoHyphens w:val="0"/>
        <w:autoSpaceDE w:val="0"/>
        <w:autoSpaceDN w:val="0"/>
        <w:adjustRightInd w:val="0"/>
        <w:spacing w:afterLines="60" w:after="144"/>
        <w:rPr>
          <w:szCs w:val="22"/>
          <w:lang w:val="lv-LV" w:eastAsia="lv-LV"/>
        </w:rPr>
      </w:pPr>
      <w:r w:rsidRPr="00AE2B55">
        <w:rPr>
          <w:szCs w:val="22"/>
          <w:lang w:val="lv-LV" w:eastAsia="lv-LV"/>
        </w:rPr>
        <w:t xml:space="preserve">Pēc izņemšanas no ledusskapja </w:t>
      </w:r>
      <w:r>
        <w:rPr>
          <w:szCs w:val="22"/>
          <w:lang w:val="lv-LV" w:eastAsia="lv-LV"/>
        </w:rPr>
        <w:t xml:space="preserve">pildspalvveida </w:t>
      </w:r>
      <w:r w:rsidRPr="00AE2B55">
        <w:rPr>
          <w:szCs w:val="22"/>
          <w:lang w:val="lv-LV" w:eastAsia="lv-LV"/>
        </w:rPr>
        <w:t xml:space="preserve">pilnšļirci var uzglabāt </w:t>
      </w:r>
      <w:r w:rsidR="00627187">
        <w:rPr>
          <w:szCs w:val="22"/>
          <w:lang w:val="lv-LV" w:eastAsia="lv-LV"/>
        </w:rPr>
        <w:t xml:space="preserve">kopā </w:t>
      </w:r>
      <w:r w:rsidRPr="00AE2B55">
        <w:rPr>
          <w:szCs w:val="22"/>
          <w:lang w:val="lv-LV" w:eastAsia="lv-LV"/>
        </w:rPr>
        <w:t>līdz 2</w:t>
      </w:r>
      <w:r>
        <w:rPr>
          <w:szCs w:val="22"/>
          <w:lang w:val="lv-LV" w:eastAsia="lv-LV"/>
        </w:rPr>
        <w:t> </w:t>
      </w:r>
      <w:r w:rsidRPr="00AE2B55">
        <w:rPr>
          <w:szCs w:val="22"/>
          <w:lang w:val="lv-LV" w:eastAsia="lv-LV"/>
        </w:rPr>
        <w:t>nedēļām temperatūrā līdz 30°C</w:t>
      </w:r>
      <w:r w:rsidR="00853843">
        <w:rPr>
          <w:szCs w:val="22"/>
          <w:lang w:val="lv-LV" w:eastAsia="lv-LV"/>
        </w:rPr>
        <w:t>,</w:t>
      </w:r>
      <w:r w:rsidR="00853843" w:rsidRPr="00707120">
        <w:rPr>
          <w:lang w:val="lv-LV"/>
        </w:rPr>
        <w:t xml:space="preserve"> </w:t>
      </w:r>
      <w:r w:rsidR="00853843" w:rsidRPr="00853843">
        <w:rPr>
          <w:szCs w:val="22"/>
          <w:lang w:val="lv-LV" w:eastAsia="lv-LV"/>
        </w:rPr>
        <w:t>bet nepārsniedzot oriģinālo derīguma termiņu</w:t>
      </w:r>
      <w:r w:rsidR="00C350A1">
        <w:rPr>
          <w:szCs w:val="22"/>
          <w:lang w:val="lv-LV" w:eastAsia="lv-LV"/>
        </w:rPr>
        <w:t xml:space="preserve"> (EXP)</w:t>
      </w:r>
      <w:r w:rsidRPr="00AE2B55">
        <w:rPr>
          <w:szCs w:val="22"/>
          <w:lang w:val="lv-LV" w:eastAsia="lv-LV"/>
        </w:rPr>
        <w:t>.</w:t>
      </w:r>
      <w:r w:rsidRPr="00AE2B55">
        <w:rPr>
          <w:lang w:val="lv-LV"/>
        </w:rPr>
        <w:t xml:space="preserve"> </w:t>
      </w:r>
      <w:r w:rsidR="00C350A1" w:rsidRPr="00707120">
        <w:rPr>
          <w:lang w:val="lv-LV"/>
        </w:rPr>
        <w:t>Atzīmējiet attiecīgo datumu uz kastītes.</w:t>
      </w:r>
      <w:r w:rsidR="00C350A1" w:rsidRPr="00C350A1">
        <w:rPr>
          <w:lang w:val="lv-LV"/>
        </w:rPr>
        <w:t xml:space="preserve"> </w:t>
      </w:r>
      <w:r>
        <w:rPr>
          <w:lang w:val="lv-LV"/>
        </w:rPr>
        <w:t>P</w:t>
      </w:r>
      <w:r w:rsidRPr="00AE2B55">
        <w:rPr>
          <w:szCs w:val="22"/>
          <w:lang w:val="lv-LV" w:eastAsia="lv-LV"/>
        </w:rPr>
        <w:t xml:space="preserve">ildspalvveida pilnšļirces </w:t>
      </w:r>
      <w:r>
        <w:rPr>
          <w:szCs w:val="22"/>
          <w:lang w:val="lv-LV" w:eastAsia="lv-LV"/>
        </w:rPr>
        <w:t xml:space="preserve">vienmēr uzglabājiet </w:t>
      </w:r>
      <w:r w:rsidRPr="00AE2B55">
        <w:rPr>
          <w:szCs w:val="22"/>
          <w:lang w:val="lv-LV" w:eastAsia="lv-LV"/>
        </w:rPr>
        <w:t>ārējā kastītē, lai pasargātu no gaismas un mitruma.</w:t>
      </w:r>
    </w:p>
    <w:p w14:paraId="0DF4FF23" w14:textId="67E6CBAD" w:rsidR="00F47ADA" w:rsidRPr="00707120" w:rsidRDefault="00287ADB">
      <w:pPr>
        <w:pStyle w:val="ListParagraph"/>
        <w:numPr>
          <w:ilvl w:val="0"/>
          <w:numId w:val="100"/>
        </w:numPr>
        <w:suppressAutoHyphens w:val="0"/>
        <w:autoSpaceDE w:val="0"/>
        <w:autoSpaceDN w:val="0"/>
        <w:adjustRightInd w:val="0"/>
        <w:spacing w:afterLines="60" w:after="144"/>
        <w:ind w:left="851" w:hanging="567"/>
        <w:rPr>
          <w:szCs w:val="22"/>
          <w:lang w:val="lv-LV" w:eastAsia="lv-LV"/>
        </w:rPr>
        <w:pPrChange w:id="2231" w:author="Author">
          <w:pPr>
            <w:pStyle w:val="ListParagraph"/>
            <w:suppressAutoHyphens w:val="0"/>
            <w:autoSpaceDE w:val="0"/>
            <w:autoSpaceDN w:val="0"/>
            <w:adjustRightInd w:val="0"/>
            <w:spacing w:afterLines="60" w:after="144"/>
            <w:ind w:left="567" w:hanging="567"/>
          </w:pPr>
        </w:pPrChange>
      </w:pPr>
      <w:del w:id="2232" w:author="Author">
        <w:r w:rsidDel="002B123B">
          <w:rPr>
            <w:lang w:val="nb-NO"/>
          </w:rPr>
          <w:sym w:font="Symbol" w:char="F0B7"/>
        </w:r>
        <w:r w:rsidDel="002B123B">
          <w:rPr>
            <w:lang w:val="nb-NO"/>
          </w:rPr>
          <w:tab/>
        </w:r>
      </w:del>
      <w:r w:rsidR="00F47ADA" w:rsidRPr="00707120">
        <w:rPr>
          <w:lang w:val="lv-LV" w:eastAsia="lv-LV"/>
        </w:rPr>
        <w:t>Nenoņemiet pildspalvveida pilnšļirces adatas vāciņu, ja vien neesat gatavs injicēt RoActemra.</w:t>
      </w:r>
    </w:p>
    <w:p w14:paraId="0AEC9019" w14:textId="2C5881B0" w:rsidR="00F47ADA" w:rsidRPr="00707120" w:rsidRDefault="00287ADB">
      <w:pPr>
        <w:pStyle w:val="ListParagraph"/>
        <w:numPr>
          <w:ilvl w:val="0"/>
          <w:numId w:val="100"/>
        </w:numPr>
        <w:suppressAutoHyphens w:val="0"/>
        <w:autoSpaceDE w:val="0"/>
        <w:autoSpaceDN w:val="0"/>
        <w:adjustRightInd w:val="0"/>
        <w:spacing w:afterLines="60" w:after="144"/>
        <w:ind w:left="851" w:hanging="567"/>
        <w:rPr>
          <w:szCs w:val="22"/>
          <w:lang w:val="lv-LV" w:eastAsia="lv-LV"/>
        </w:rPr>
        <w:pPrChange w:id="2233" w:author="Author">
          <w:pPr>
            <w:pStyle w:val="ListParagraph"/>
            <w:suppressAutoHyphens w:val="0"/>
            <w:autoSpaceDE w:val="0"/>
            <w:autoSpaceDN w:val="0"/>
            <w:adjustRightInd w:val="0"/>
            <w:spacing w:afterLines="60" w:after="144"/>
            <w:ind w:left="567" w:hanging="567"/>
          </w:pPr>
        </w:pPrChange>
      </w:pPr>
      <w:del w:id="2234" w:author="Author">
        <w:r w:rsidDel="002B123B">
          <w:rPr>
            <w:lang w:val="nb-NO"/>
          </w:rPr>
          <w:sym w:font="Symbol" w:char="F0B7"/>
        </w:r>
        <w:r w:rsidDel="002B123B">
          <w:rPr>
            <w:lang w:val="nb-NO"/>
          </w:rPr>
          <w:tab/>
        </w:r>
      </w:del>
      <w:r w:rsidR="00F47ADA" w:rsidRPr="00707120">
        <w:rPr>
          <w:lang w:val="lv-LV" w:eastAsia="lv-LV"/>
        </w:rPr>
        <w:t>Nekādā gadījumā nevienā brīdī necentieties izjaukt pildspalvveida pilnšļirci.</w:t>
      </w:r>
    </w:p>
    <w:p w14:paraId="3060D345" w14:textId="32F69DD4" w:rsidR="00F47ADA" w:rsidRPr="00707120" w:rsidRDefault="00287ADB">
      <w:pPr>
        <w:pStyle w:val="ListParagraph"/>
        <w:numPr>
          <w:ilvl w:val="0"/>
          <w:numId w:val="100"/>
        </w:numPr>
        <w:suppressAutoHyphens w:val="0"/>
        <w:autoSpaceDE w:val="0"/>
        <w:autoSpaceDN w:val="0"/>
        <w:adjustRightInd w:val="0"/>
        <w:spacing w:afterLines="60" w:after="144"/>
        <w:ind w:left="851" w:hanging="567"/>
        <w:rPr>
          <w:szCs w:val="22"/>
          <w:lang w:val="lv-LV" w:eastAsia="lv-LV"/>
        </w:rPr>
        <w:pPrChange w:id="2235" w:author="Author">
          <w:pPr>
            <w:pStyle w:val="ListParagraph"/>
            <w:suppressAutoHyphens w:val="0"/>
            <w:autoSpaceDE w:val="0"/>
            <w:autoSpaceDN w:val="0"/>
            <w:adjustRightInd w:val="0"/>
            <w:spacing w:afterLines="60" w:after="144"/>
            <w:ind w:left="567" w:hanging="567"/>
          </w:pPr>
        </w:pPrChange>
      </w:pPr>
      <w:del w:id="2236" w:author="Author">
        <w:r w:rsidDel="002B123B">
          <w:rPr>
            <w:lang w:val="nb-NO"/>
          </w:rPr>
          <w:sym w:font="Symbol" w:char="F0B7"/>
        </w:r>
        <w:r w:rsidDel="002B123B">
          <w:rPr>
            <w:lang w:val="nb-NO"/>
          </w:rPr>
          <w:tab/>
        </w:r>
      </w:del>
      <w:r w:rsidR="00F47ADA" w:rsidRPr="00707120">
        <w:rPr>
          <w:lang w:val="lv-LV" w:eastAsia="lv-LV"/>
        </w:rPr>
        <w:t xml:space="preserve">Nekad neizmantojiet to pašu pildspalvveida pilnšļirci atkārtoti. </w:t>
      </w:r>
    </w:p>
    <w:p w14:paraId="0D95BCC9" w14:textId="4FCC2BFA" w:rsidR="00F47ADA" w:rsidRPr="00707120" w:rsidRDefault="00287ADB">
      <w:pPr>
        <w:pStyle w:val="ListParagraph"/>
        <w:numPr>
          <w:ilvl w:val="0"/>
          <w:numId w:val="100"/>
        </w:numPr>
        <w:suppressAutoHyphens w:val="0"/>
        <w:autoSpaceDE w:val="0"/>
        <w:autoSpaceDN w:val="0"/>
        <w:adjustRightInd w:val="0"/>
        <w:spacing w:afterLines="60" w:after="144"/>
        <w:ind w:left="851" w:hanging="567"/>
        <w:rPr>
          <w:szCs w:val="22"/>
          <w:lang w:val="lv-LV" w:eastAsia="lv-LV"/>
        </w:rPr>
        <w:pPrChange w:id="2237" w:author="Author">
          <w:pPr>
            <w:pStyle w:val="ListParagraph"/>
            <w:suppressAutoHyphens w:val="0"/>
            <w:autoSpaceDE w:val="0"/>
            <w:autoSpaceDN w:val="0"/>
            <w:adjustRightInd w:val="0"/>
            <w:spacing w:afterLines="60" w:after="144"/>
            <w:ind w:left="567" w:hanging="567"/>
          </w:pPr>
        </w:pPrChange>
      </w:pPr>
      <w:del w:id="2238" w:author="Author">
        <w:r w:rsidDel="002B123B">
          <w:rPr>
            <w:lang w:val="nb-NO"/>
          </w:rPr>
          <w:sym w:font="Symbol" w:char="F0B7"/>
        </w:r>
        <w:r w:rsidDel="002B123B">
          <w:rPr>
            <w:lang w:val="nb-NO"/>
          </w:rPr>
          <w:tab/>
        </w:r>
      </w:del>
      <w:r w:rsidR="00F47ADA" w:rsidRPr="00707120">
        <w:rPr>
          <w:lang w:val="lv-LV" w:eastAsia="lv-LV"/>
        </w:rPr>
        <w:t>Neveiciet injekciju ar pildspalvveida pilnšļirci caur apģērbu.</w:t>
      </w:r>
    </w:p>
    <w:p w14:paraId="44781FC5" w14:textId="6A998C3D" w:rsidR="00F47ADA" w:rsidRPr="00707120" w:rsidRDefault="00287ADB">
      <w:pPr>
        <w:pStyle w:val="ListParagraph"/>
        <w:numPr>
          <w:ilvl w:val="0"/>
          <w:numId w:val="100"/>
        </w:numPr>
        <w:suppressAutoHyphens w:val="0"/>
        <w:autoSpaceDE w:val="0"/>
        <w:autoSpaceDN w:val="0"/>
        <w:adjustRightInd w:val="0"/>
        <w:spacing w:afterLines="60" w:after="144"/>
        <w:ind w:left="851" w:hanging="567"/>
        <w:rPr>
          <w:szCs w:val="22"/>
          <w:lang w:val="lv-LV" w:eastAsia="lv-LV"/>
        </w:rPr>
        <w:pPrChange w:id="2239" w:author="Author">
          <w:pPr>
            <w:pStyle w:val="ListParagraph"/>
            <w:suppressAutoHyphens w:val="0"/>
            <w:autoSpaceDE w:val="0"/>
            <w:autoSpaceDN w:val="0"/>
            <w:adjustRightInd w:val="0"/>
            <w:spacing w:afterLines="60" w:after="144"/>
            <w:ind w:left="567" w:hanging="567"/>
          </w:pPr>
        </w:pPrChange>
      </w:pPr>
      <w:del w:id="2240" w:author="Author">
        <w:r w:rsidDel="002B123B">
          <w:rPr>
            <w:lang w:val="nb-NO"/>
          </w:rPr>
          <w:sym w:font="Symbol" w:char="F0B7"/>
        </w:r>
        <w:r w:rsidDel="002B123B">
          <w:rPr>
            <w:lang w:val="nb-NO"/>
          </w:rPr>
          <w:tab/>
        </w:r>
      </w:del>
      <w:r w:rsidR="00F47ADA" w:rsidRPr="00707120">
        <w:rPr>
          <w:lang w:val="lv-LV" w:eastAsia="lv-LV"/>
        </w:rPr>
        <w:t xml:space="preserve">Neatstājiet pildspalvveida pilnšļirci bez uzraudzības. </w:t>
      </w:r>
    </w:p>
    <w:p w14:paraId="4F679D9C" w14:textId="3CF31245" w:rsidR="00F47ADA" w:rsidRPr="00707120" w:rsidRDefault="00287ADB">
      <w:pPr>
        <w:pStyle w:val="ListParagraph"/>
        <w:numPr>
          <w:ilvl w:val="0"/>
          <w:numId w:val="100"/>
        </w:numPr>
        <w:suppressAutoHyphens w:val="0"/>
        <w:autoSpaceDE w:val="0"/>
        <w:autoSpaceDN w:val="0"/>
        <w:adjustRightInd w:val="0"/>
        <w:spacing w:afterLines="60" w:after="144"/>
        <w:ind w:left="851" w:hanging="567"/>
        <w:rPr>
          <w:szCs w:val="22"/>
          <w:lang w:val="lv-LV" w:eastAsia="lv-LV"/>
        </w:rPr>
        <w:pPrChange w:id="2241" w:author="Author">
          <w:pPr>
            <w:pStyle w:val="ListParagraph"/>
            <w:suppressAutoHyphens w:val="0"/>
            <w:autoSpaceDE w:val="0"/>
            <w:autoSpaceDN w:val="0"/>
            <w:adjustRightInd w:val="0"/>
            <w:spacing w:afterLines="60" w:after="144"/>
            <w:ind w:left="567" w:hanging="567"/>
          </w:pPr>
        </w:pPrChange>
      </w:pPr>
      <w:del w:id="2242" w:author="Author">
        <w:r w:rsidDel="002B123B">
          <w:rPr>
            <w:lang w:val="nb-NO"/>
          </w:rPr>
          <w:sym w:font="Symbol" w:char="F0B7"/>
        </w:r>
        <w:r w:rsidDel="002B123B">
          <w:rPr>
            <w:lang w:val="nb-NO"/>
          </w:rPr>
          <w:tab/>
        </w:r>
      </w:del>
      <w:r w:rsidR="00F47ADA" w:rsidRPr="00707120">
        <w:rPr>
          <w:lang w:val="lv-LV" w:eastAsia="lv-LV"/>
        </w:rPr>
        <w:t>Uzglabājiet bērniem nepieejamā vietā.</w:t>
      </w:r>
    </w:p>
    <w:p w14:paraId="551649BB" w14:textId="09B754B6" w:rsidR="00F47ADA" w:rsidRDefault="00F47ADA" w:rsidP="00F47ADA">
      <w:pPr>
        <w:suppressAutoHyphens w:val="0"/>
        <w:autoSpaceDE w:val="0"/>
        <w:autoSpaceDN w:val="0"/>
        <w:adjustRightInd w:val="0"/>
        <w:spacing w:afterLines="60" w:after="144"/>
        <w:rPr>
          <w:b/>
          <w:lang w:val="lv-LV" w:eastAsia="lv-LV"/>
        </w:rPr>
      </w:pPr>
      <w:r>
        <w:rPr>
          <w:lang w:val="lv-LV" w:eastAsia="lv-LV"/>
        </w:rPr>
        <w:t>RoActemra</w:t>
      </w:r>
      <w:r w:rsidRPr="00762735">
        <w:rPr>
          <w:lang w:val="lv-LV" w:eastAsia="lv-LV"/>
        </w:rPr>
        <w:t xml:space="preserve"> pildspalvveida pilnšļirces daļas </w:t>
      </w:r>
      <w:r w:rsidRPr="00762735">
        <w:rPr>
          <w:b/>
          <w:lang w:val="lv-LV" w:eastAsia="lv-LV"/>
        </w:rPr>
        <w:t>(skatīt A</w:t>
      </w:r>
      <w:r w:rsidR="00A452F9">
        <w:rPr>
          <w:b/>
          <w:lang w:val="lv-LV" w:eastAsia="lv-LV"/>
        </w:rPr>
        <w:t> </w:t>
      </w:r>
      <w:r w:rsidRPr="00762735">
        <w:rPr>
          <w:b/>
          <w:lang w:val="lv-LV" w:eastAsia="lv-LV"/>
        </w:rPr>
        <w:t>attēlu).</w:t>
      </w:r>
    </w:p>
    <w:p w14:paraId="53175F87" w14:textId="77777777" w:rsidR="00F47ADA" w:rsidRPr="00762735" w:rsidRDefault="00F47ADA" w:rsidP="00F47ADA">
      <w:pPr>
        <w:suppressAutoHyphens w:val="0"/>
        <w:autoSpaceDE w:val="0"/>
        <w:autoSpaceDN w:val="0"/>
        <w:adjustRightInd w:val="0"/>
        <w:spacing w:afterLines="60" w:after="144"/>
        <w:rPr>
          <w:b/>
          <w:szCs w:val="22"/>
          <w:lang w:val="lv-LV" w:eastAsia="lv-LV"/>
        </w:rPr>
      </w:pPr>
    </w:p>
    <w:p w14:paraId="42B89AA8" w14:textId="77777777" w:rsidR="00F47ADA" w:rsidRPr="00762735" w:rsidRDefault="00F47ADA" w:rsidP="00F47ADA">
      <w:pPr>
        <w:suppressAutoHyphens w:val="0"/>
        <w:autoSpaceDE w:val="0"/>
        <w:autoSpaceDN w:val="0"/>
        <w:adjustRightInd w:val="0"/>
        <w:spacing w:after="120"/>
        <w:jc w:val="center"/>
        <w:rPr>
          <w:szCs w:val="22"/>
          <w:lang w:val="lv-LV" w:eastAsia="lv-LV"/>
        </w:rPr>
      </w:pPr>
      <w:r w:rsidRPr="00762735">
        <w:rPr>
          <w:lang w:val="lv-LV" w:eastAsia="lv-LV"/>
        </w:rPr>
        <w:t xml:space="preserve">  </w:t>
      </w:r>
      <w:r>
        <w:rPr>
          <w:noProof/>
          <w:lang w:eastAsia="en-US"/>
        </w:rPr>
        <w:drawing>
          <wp:inline distT="0" distB="0" distL="0" distR="0" wp14:anchorId="1555FADC" wp14:editId="08EA372C">
            <wp:extent cx="5335905" cy="5247640"/>
            <wp:effectExtent l="0" t="0" r="0" b="0"/>
            <wp:docPr id="11" name="Picture 2" descr="A diagram of a test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A diagram of a test tub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35905" cy="5247640"/>
                    </a:xfrm>
                    <a:prstGeom prst="rect">
                      <a:avLst/>
                    </a:prstGeom>
                    <a:noFill/>
                  </pic:spPr>
                </pic:pic>
              </a:graphicData>
            </a:graphic>
          </wp:inline>
        </w:drawing>
      </w:r>
    </w:p>
    <w:p w14:paraId="3F11E5FD" w14:textId="014EE82A" w:rsidR="00F47ADA" w:rsidRPr="00762735" w:rsidDel="00B35EF2" w:rsidRDefault="00F47ADA" w:rsidP="00F47ADA">
      <w:pPr>
        <w:suppressAutoHyphens w:val="0"/>
        <w:autoSpaceDE w:val="0"/>
        <w:autoSpaceDN w:val="0"/>
        <w:adjustRightInd w:val="0"/>
        <w:spacing w:after="120"/>
        <w:jc w:val="center"/>
        <w:rPr>
          <w:del w:id="2243" w:author="Author"/>
          <w:lang w:val="lv-LV" w:eastAsia="lv-LV"/>
        </w:rPr>
      </w:pPr>
    </w:p>
    <w:p w14:paraId="2CB0F546" w14:textId="593976FF" w:rsidR="00F47ADA" w:rsidRPr="00762735" w:rsidRDefault="00F47ADA" w:rsidP="00F47ADA">
      <w:pPr>
        <w:suppressAutoHyphens w:val="0"/>
        <w:autoSpaceDE w:val="0"/>
        <w:autoSpaceDN w:val="0"/>
        <w:adjustRightInd w:val="0"/>
        <w:spacing w:after="120"/>
        <w:jc w:val="center"/>
        <w:rPr>
          <w:b/>
          <w:szCs w:val="22"/>
          <w:lang w:val="lv-LV" w:eastAsia="lv-LV"/>
        </w:rPr>
      </w:pPr>
      <w:r w:rsidRPr="00762735">
        <w:rPr>
          <w:b/>
          <w:lang w:val="lv-LV" w:eastAsia="lv-LV"/>
        </w:rPr>
        <w:t>A</w:t>
      </w:r>
      <w:r w:rsidR="00A452F9">
        <w:rPr>
          <w:b/>
          <w:lang w:val="lv-LV" w:eastAsia="lv-LV"/>
        </w:rPr>
        <w:t> </w:t>
      </w:r>
      <w:r w:rsidRPr="00762735">
        <w:rPr>
          <w:b/>
          <w:lang w:val="lv-LV" w:eastAsia="lv-LV"/>
        </w:rPr>
        <w:t>attēls</w:t>
      </w:r>
    </w:p>
    <w:p w14:paraId="1BBE5A85" w14:textId="77777777" w:rsidR="00F47ADA" w:rsidRPr="00762735" w:rsidRDefault="00F47ADA" w:rsidP="00F47ADA">
      <w:pPr>
        <w:suppressAutoHyphens w:val="0"/>
        <w:autoSpaceDE w:val="0"/>
        <w:autoSpaceDN w:val="0"/>
        <w:adjustRightInd w:val="0"/>
        <w:rPr>
          <w:szCs w:val="22"/>
          <w:lang w:val="lv-LV" w:eastAsia="lv-LV"/>
        </w:rPr>
      </w:pPr>
    </w:p>
    <w:p w14:paraId="70A35CDB" w14:textId="0C970D46" w:rsidR="00F47ADA" w:rsidRPr="00762735" w:rsidRDefault="00F47ADA" w:rsidP="00F47ADA">
      <w:pPr>
        <w:suppressAutoHyphens w:val="0"/>
        <w:autoSpaceDE w:val="0"/>
        <w:autoSpaceDN w:val="0"/>
        <w:adjustRightInd w:val="0"/>
        <w:spacing w:after="60"/>
        <w:rPr>
          <w:szCs w:val="22"/>
          <w:lang w:val="lv-LV" w:eastAsia="lv-LV"/>
        </w:rPr>
      </w:pPr>
      <w:r w:rsidRPr="00762735">
        <w:rPr>
          <w:b/>
          <w:lang w:val="lv-LV" w:eastAsia="lv-LV"/>
        </w:rPr>
        <w:t xml:space="preserve">Piederumi, kas nepieciešami injekcijas veikšanai ar </w:t>
      </w:r>
      <w:r>
        <w:rPr>
          <w:b/>
          <w:lang w:val="lv-LV" w:eastAsia="lv-LV"/>
        </w:rPr>
        <w:t>RoActemra</w:t>
      </w:r>
      <w:r w:rsidRPr="00762735">
        <w:rPr>
          <w:b/>
          <w:lang w:val="lv-LV" w:eastAsia="lv-LV"/>
        </w:rPr>
        <w:t xml:space="preserve"> pildspalvveida pilnšļirci (skatīt B</w:t>
      </w:r>
      <w:r w:rsidR="00A452F9">
        <w:rPr>
          <w:b/>
          <w:lang w:val="lv-LV" w:eastAsia="lv-LV"/>
        </w:rPr>
        <w:t> </w:t>
      </w:r>
      <w:r w:rsidRPr="00762735">
        <w:rPr>
          <w:b/>
          <w:lang w:val="lv-LV" w:eastAsia="lv-LV"/>
        </w:rPr>
        <w:t>attēlu):</w:t>
      </w:r>
    </w:p>
    <w:p w14:paraId="462E34C5" w14:textId="51CFBC3D" w:rsidR="00F47ADA" w:rsidRPr="00435CE9" w:rsidRDefault="00287ADB">
      <w:pPr>
        <w:pStyle w:val="ListParagraph"/>
        <w:numPr>
          <w:ilvl w:val="0"/>
          <w:numId w:val="63"/>
        </w:numPr>
        <w:tabs>
          <w:tab w:val="left" w:pos="1080"/>
        </w:tabs>
        <w:suppressAutoHyphens w:val="0"/>
        <w:autoSpaceDE w:val="0"/>
        <w:autoSpaceDN w:val="0"/>
        <w:adjustRightInd w:val="0"/>
        <w:ind w:left="567" w:hanging="567"/>
        <w:rPr>
          <w:szCs w:val="22"/>
          <w:lang w:val="lv-LV" w:eastAsia="lv-LV"/>
        </w:rPr>
        <w:pPrChange w:id="2244" w:author="Author">
          <w:pPr>
            <w:pStyle w:val="ListParagraph"/>
            <w:tabs>
              <w:tab w:val="left" w:pos="1080"/>
            </w:tabs>
            <w:suppressAutoHyphens w:val="0"/>
            <w:autoSpaceDE w:val="0"/>
            <w:autoSpaceDN w:val="0"/>
            <w:adjustRightInd w:val="0"/>
            <w:ind w:left="567" w:hanging="567"/>
          </w:pPr>
        </w:pPrChange>
      </w:pPr>
      <w:del w:id="2245" w:author="Author">
        <w:r w:rsidDel="002E57E0">
          <w:rPr>
            <w:lang w:val="nb-NO"/>
          </w:rPr>
          <w:sym w:font="Symbol" w:char="F0B7"/>
        </w:r>
        <w:r w:rsidDel="002E57E0">
          <w:rPr>
            <w:lang w:val="nb-NO"/>
          </w:rPr>
          <w:tab/>
        </w:r>
      </w:del>
      <w:r w:rsidR="00F47ADA" w:rsidRPr="00435CE9">
        <w:rPr>
          <w:lang w:val="lv-LV" w:eastAsia="lv-LV"/>
        </w:rPr>
        <w:t>1 RoActemra pildspalvveida pilnšļirce;</w:t>
      </w:r>
    </w:p>
    <w:p w14:paraId="75AB431A" w14:textId="16E36E4D" w:rsidR="00F47ADA" w:rsidRPr="00435CE9" w:rsidRDefault="00287ADB">
      <w:pPr>
        <w:pStyle w:val="ListParagraph"/>
        <w:numPr>
          <w:ilvl w:val="0"/>
          <w:numId w:val="63"/>
        </w:numPr>
        <w:suppressAutoHyphens w:val="0"/>
        <w:autoSpaceDE w:val="0"/>
        <w:autoSpaceDN w:val="0"/>
        <w:adjustRightInd w:val="0"/>
        <w:ind w:left="567" w:hanging="567"/>
        <w:rPr>
          <w:szCs w:val="22"/>
          <w:lang w:val="lv-LV" w:eastAsia="lv-LV"/>
        </w:rPr>
        <w:pPrChange w:id="2246" w:author="Author">
          <w:pPr>
            <w:pStyle w:val="ListParagraph"/>
            <w:suppressAutoHyphens w:val="0"/>
            <w:autoSpaceDE w:val="0"/>
            <w:autoSpaceDN w:val="0"/>
            <w:adjustRightInd w:val="0"/>
            <w:ind w:left="567" w:hanging="567"/>
          </w:pPr>
        </w:pPrChange>
      </w:pPr>
      <w:del w:id="2247" w:author="Author">
        <w:r w:rsidDel="002E57E0">
          <w:rPr>
            <w:lang w:val="nb-NO"/>
          </w:rPr>
          <w:sym w:font="Symbol" w:char="F0B7"/>
        </w:r>
        <w:r w:rsidDel="002E57E0">
          <w:rPr>
            <w:lang w:val="nb-NO"/>
          </w:rPr>
          <w:tab/>
        </w:r>
      </w:del>
      <w:r w:rsidR="00F47ADA" w:rsidRPr="00435CE9">
        <w:rPr>
          <w:lang w:val="lv-LV" w:eastAsia="lv-LV"/>
        </w:rPr>
        <w:t>1 spirta salvete;</w:t>
      </w:r>
    </w:p>
    <w:p w14:paraId="463A3EF8" w14:textId="7E6E3832" w:rsidR="00F47ADA" w:rsidRPr="00435CE9" w:rsidRDefault="00287ADB">
      <w:pPr>
        <w:pStyle w:val="ListParagraph"/>
        <w:numPr>
          <w:ilvl w:val="0"/>
          <w:numId w:val="63"/>
        </w:numPr>
        <w:suppressAutoHyphens w:val="0"/>
        <w:autoSpaceDE w:val="0"/>
        <w:autoSpaceDN w:val="0"/>
        <w:adjustRightInd w:val="0"/>
        <w:ind w:left="567" w:hanging="567"/>
        <w:rPr>
          <w:szCs w:val="22"/>
          <w:lang w:val="lv-LV" w:eastAsia="lv-LV"/>
        </w:rPr>
        <w:pPrChange w:id="2248" w:author="Author">
          <w:pPr>
            <w:pStyle w:val="ListParagraph"/>
            <w:suppressAutoHyphens w:val="0"/>
            <w:autoSpaceDE w:val="0"/>
            <w:autoSpaceDN w:val="0"/>
            <w:adjustRightInd w:val="0"/>
            <w:ind w:left="567" w:hanging="567"/>
          </w:pPr>
        </w:pPrChange>
      </w:pPr>
      <w:del w:id="2249" w:author="Author">
        <w:r w:rsidDel="002E57E0">
          <w:rPr>
            <w:lang w:val="nb-NO"/>
          </w:rPr>
          <w:sym w:font="Symbol" w:char="F0B7"/>
        </w:r>
        <w:r w:rsidDel="002E57E0">
          <w:rPr>
            <w:lang w:val="nb-NO"/>
          </w:rPr>
          <w:tab/>
        </w:r>
      </w:del>
      <w:r w:rsidR="00F47ADA" w:rsidRPr="00435CE9">
        <w:rPr>
          <w:lang w:val="lv-LV" w:eastAsia="lv-LV"/>
        </w:rPr>
        <w:t>1 sterila vates bumbiņa vai marle;</w:t>
      </w:r>
    </w:p>
    <w:p w14:paraId="438E9A1E" w14:textId="68BAFEF7" w:rsidR="00F47ADA" w:rsidRPr="00435CE9" w:rsidRDefault="00287ADB">
      <w:pPr>
        <w:pStyle w:val="ListParagraph"/>
        <w:numPr>
          <w:ilvl w:val="0"/>
          <w:numId w:val="63"/>
        </w:numPr>
        <w:suppressAutoHyphens w:val="0"/>
        <w:autoSpaceDE w:val="0"/>
        <w:autoSpaceDN w:val="0"/>
        <w:adjustRightInd w:val="0"/>
        <w:ind w:left="567" w:hanging="567"/>
        <w:rPr>
          <w:szCs w:val="22"/>
          <w:lang w:val="lv-LV" w:eastAsia="lv-LV"/>
        </w:rPr>
        <w:pPrChange w:id="2250" w:author="Author">
          <w:pPr>
            <w:pStyle w:val="ListParagraph"/>
            <w:suppressAutoHyphens w:val="0"/>
            <w:autoSpaceDE w:val="0"/>
            <w:autoSpaceDN w:val="0"/>
            <w:adjustRightInd w:val="0"/>
            <w:ind w:left="567" w:hanging="567"/>
          </w:pPr>
        </w:pPrChange>
      </w:pPr>
      <w:del w:id="2251" w:author="Author">
        <w:r w:rsidDel="002E57E0">
          <w:rPr>
            <w:lang w:val="nb-NO"/>
          </w:rPr>
          <w:sym w:font="Symbol" w:char="F0B7"/>
        </w:r>
        <w:r w:rsidDel="002E57E0">
          <w:rPr>
            <w:lang w:val="nb-NO"/>
          </w:rPr>
          <w:tab/>
        </w:r>
      </w:del>
      <w:r w:rsidR="00F47ADA" w:rsidRPr="00435CE9">
        <w:rPr>
          <w:lang w:val="lv-LV" w:eastAsia="lv-LV"/>
        </w:rPr>
        <w:t xml:space="preserve">1 necaurdurama tvertne vai asu priekšmetu tvertne pildspalvveida pilnšļirces adatas vāciņa un izlietotās pildspalvveida pilnšļirces drošai izmešanai (skatīt </w:t>
      </w:r>
      <w:r w:rsidR="00F47ADA" w:rsidRPr="00435CE9">
        <w:rPr>
          <w:b/>
          <w:lang w:val="lv-LV" w:eastAsia="lv-LV"/>
        </w:rPr>
        <w:t>4.</w:t>
      </w:r>
      <w:r w:rsidR="00A452F9">
        <w:rPr>
          <w:b/>
          <w:lang w:val="lv-LV" w:eastAsia="lv-LV"/>
        </w:rPr>
        <w:t> </w:t>
      </w:r>
      <w:r w:rsidR="00F47ADA" w:rsidRPr="00435CE9">
        <w:rPr>
          <w:b/>
          <w:lang w:val="lv-LV" w:eastAsia="lv-LV"/>
        </w:rPr>
        <w:t xml:space="preserve">soli </w:t>
      </w:r>
      <w:r w:rsidR="00F47ADA" w:rsidRPr="00435CE9">
        <w:rPr>
          <w:b/>
          <w:cs/>
          <w:lang w:val="lv-LV" w:eastAsia="lv-LV"/>
        </w:rPr>
        <w:t>“</w:t>
      </w:r>
      <w:r w:rsidR="00F47ADA" w:rsidRPr="00435CE9">
        <w:rPr>
          <w:b/>
          <w:lang w:val="lv-LV" w:eastAsia="lv-LV"/>
        </w:rPr>
        <w:t>Pildspalvveida pilnšļirces izmešana</w:t>
      </w:r>
      <w:r w:rsidR="00F47ADA" w:rsidRPr="00435CE9">
        <w:rPr>
          <w:b/>
          <w:cs/>
          <w:lang w:val="lv-LV" w:eastAsia="lv-LV"/>
        </w:rPr>
        <w:t>”</w:t>
      </w:r>
      <w:r w:rsidR="00F47ADA" w:rsidRPr="00435CE9">
        <w:rPr>
          <w:b/>
          <w:lang w:val="lv-LV" w:eastAsia="lv-LV"/>
        </w:rPr>
        <w:t>).</w:t>
      </w:r>
    </w:p>
    <w:p w14:paraId="50BB4B90" w14:textId="77777777" w:rsidR="00F47ADA" w:rsidRPr="00762735" w:rsidRDefault="00F47ADA" w:rsidP="00F47ADA">
      <w:pPr>
        <w:suppressAutoHyphens w:val="0"/>
        <w:autoSpaceDE w:val="0"/>
        <w:autoSpaceDN w:val="0"/>
        <w:adjustRightInd w:val="0"/>
        <w:ind w:left="1080"/>
        <w:rPr>
          <w:szCs w:val="22"/>
          <w:lang w:val="lv-LV" w:eastAsia="lv-LV"/>
        </w:rPr>
      </w:pPr>
    </w:p>
    <w:p w14:paraId="3C4EA4E9" w14:textId="77777777" w:rsidR="00F47ADA" w:rsidRPr="00762735" w:rsidRDefault="00F47ADA" w:rsidP="00F47ADA">
      <w:pPr>
        <w:suppressAutoHyphens w:val="0"/>
        <w:autoSpaceDE w:val="0"/>
        <w:autoSpaceDN w:val="0"/>
        <w:adjustRightInd w:val="0"/>
        <w:jc w:val="right"/>
        <w:rPr>
          <w:lang w:val="lv-LV" w:eastAsia="lv-LV"/>
        </w:rPr>
      </w:pPr>
      <w:r w:rsidRPr="00762735">
        <w:rPr>
          <w:noProof/>
          <w:lang w:eastAsia="en-US"/>
        </w:rPr>
        <w:drawing>
          <wp:inline distT="0" distB="0" distL="0" distR="0" wp14:anchorId="00C133E5" wp14:editId="0EF09BA1">
            <wp:extent cx="5410200" cy="3286125"/>
            <wp:effectExtent l="0" t="0" r="0" b="0"/>
            <wp:docPr id="12" name="Picture 12" descr="in2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2z"/>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10200" cy="3286125"/>
                    </a:xfrm>
                    <a:prstGeom prst="rect">
                      <a:avLst/>
                    </a:prstGeom>
                    <a:noFill/>
                    <a:ln>
                      <a:noFill/>
                    </a:ln>
                  </pic:spPr>
                </pic:pic>
              </a:graphicData>
            </a:graphic>
          </wp:inline>
        </w:drawing>
      </w:r>
    </w:p>
    <w:p w14:paraId="30195111" w14:textId="756A584C" w:rsidR="00F47ADA" w:rsidRPr="00762735" w:rsidRDefault="00F47ADA" w:rsidP="00F47ADA">
      <w:pPr>
        <w:suppressAutoHyphens w:val="0"/>
        <w:autoSpaceDE w:val="0"/>
        <w:autoSpaceDN w:val="0"/>
        <w:adjustRightInd w:val="0"/>
        <w:jc w:val="center"/>
        <w:rPr>
          <w:b/>
          <w:szCs w:val="22"/>
          <w:lang w:val="lv-LV" w:eastAsia="lv-LV"/>
        </w:rPr>
      </w:pPr>
      <w:r w:rsidRPr="00762735">
        <w:rPr>
          <w:b/>
          <w:lang w:val="lv-LV" w:eastAsia="lv-LV"/>
        </w:rPr>
        <w:t>B</w:t>
      </w:r>
      <w:r w:rsidR="00A452F9">
        <w:rPr>
          <w:b/>
          <w:lang w:val="lv-LV" w:eastAsia="lv-LV"/>
        </w:rPr>
        <w:t> </w:t>
      </w:r>
      <w:r w:rsidRPr="00762735">
        <w:rPr>
          <w:b/>
          <w:lang w:val="lv-LV" w:eastAsia="lv-LV"/>
        </w:rPr>
        <w:t>attēls</w:t>
      </w:r>
    </w:p>
    <w:p w14:paraId="5647CB85" w14:textId="77777777" w:rsidR="00F47ADA" w:rsidRPr="00762735" w:rsidRDefault="00F47ADA" w:rsidP="00F47ADA">
      <w:pPr>
        <w:suppressAutoHyphens w:val="0"/>
        <w:autoSpaceDE w:val="0"/>
        <w:autoSpaceDN w:val="0"/>
        <w:adjustRightInd w:val="0"/>
        <w:jc w:val="center"/>
        <w:rPr>
          <w:b/>
          <w:szCs w:val="22"/>
          <w:lang w:val="lv-LV" w:eastAsia="lv-LV"/>
        </w:rPr>
      </w:pPr>
    </w:p>
    <w:p w14:paraId="0B7DD1F4" w14:textId="0BCA3F6B" w:rsidR="00F47ADA" w:rsidRPr="00762735" w:rsidRDefault="00F47ADA" w:rsidP="00F47ADA">
      <w:pPr>
        <w:keepNext/>
        <w:suppressAutoHyphens w:val="0"/>
        <w:spacing w:after="60"/>
        <w:outlineLvl w:val="0"/>
        <w:rPr>
          <w:b/>
          <w:bCs/>
          <w:kern w:val="32"/>
          <w:szCs w:val="22"/>
          <w:lang w:val="lv-LV" w:eastAsia="lv-LV"/>
        </w:rPr>
      </w:pPr>
      <w:bookmarkStart w:id="2252" w:name="_Toc435039231"/>
      <w:bookmarkStart w:id="2253" w:name="_Toc435039426"/>
      <w:bookmarkStart w:id="2254" w:name="_Toc435040191"/>
      <w:r w:rsidRPr="00762735">
        <w:rPr>
          <w:b/>
          <w:kern w:val="32"/>
          <w:lang w:val="lv-LV" w:eastAsia="lv-LV"/>
        </w:rPr>
        <w:t>1.</w:t>
      </w:r>
      <w:r w:rsidR="00A452F9">
        <w:rPr>
          <w:b/>
          <w:kern w:val="32"/>
          <w:lang w:val="lv-LV" w:eastAsia="lv-LV"/>
        </w:rPr>
        <w:t> </w:t>
      </w:r>
      <w:r w:rsidRPr="00762735">
        <w:rPr>
          <w:b/>
          <w:kern w:val="32"/>
          <w:lang w:val="lv-LV" w:eastAsia="lv-LV"/>
        </w:rPr>
        <w:t xml:space="preserve">solis. Sagatavošanās </w:t>
      </w:r>
      <w:r>
        <w:rPr>
          <w:b/>
          <w:kern w:val="32"/>
          <w:lang w:val="lv-LV" w:eastAsia="lv-LV"/>
        </w:rPr>
        <w:t>RoActemra</w:t>
      </w:r>
      <w:r w:rsidRPr="00762735">
        <w:rPr>
          <w:b/>
          <w:kern w:val="32"/>
          <w:lang w:val="lv-LV" w:eastAsia="lv-LV"/>
        </w:rPr>
        <w:t xml:space="preserve"> injicēšanai</w:t>
      </w:r>
      <w:bookmarkEnd w:id="2252"/>
      <w:bookmarkEnd w:id="2253"/>
      <w:bookmarkEnd w:id="2254"/>
    </w:p>
    <w:p w14:paraId="74EC2666" w14:textId="77777777" w:rsidR="00F47ADA" w:rsidRPr="00762735" w:rsidRDefault="00F47ADA" w:rsidP="00F47ADA">
      <w:pPr>
        <w:suppressAutoHyphens w:val="0"/>
        <w:autoSpaceDE w:val="0"/>
        <w:autoSpaceDN w:val="0"/>
        <w:adjustRightInd w:val="0"/>
        <w:spacing w:after="120"/>
        <w:rPr>
          <w:szCs w:val="22"/>
          <w:lang w:val="lv-LV" w:eastAsia="lv-LV"/>
        </w:rPr>
      </w:pPr>
      <w:r w:rsidRPr="00762735">
        <w:rPr>
          <w:lang w:val="lv-LV" w:eastAsia="lv-LV"/>
        </w:rPr>
        <w:t>Atrodiet ērtu vietu ar tīru, gludu darba virsmu.</w:t>
      </w:r>
    </w:p>
    <w:p w14:paraId="228A1011" w14:textId="2D32E81E" w:rsidR="00F47ADA" w:rsidRPr="00435CE9" w:rsidRDefault="00287ADB">
      <w:pPr>
        <w:pStyle w:val="ListParagraph"/>
        <w:numPr>
          <w:ilvl w:val="0"/>
          <w:numId w:val="63"/>
        </w:numPr>
        <w:suppressAutoHyphens w:val="0"/>
        <w:autoSpaceDE w:val="0"/>
        <w:autoSpaceDN w:val="0"/>
        <w:adjustRightInd w:val="0"/>
        <w:spacing w:after="60"/>
        <w:rPr>
          <w:szCs w:val="22"/>
          <w:lang w:val="lv-LV" w:eastAsia="lv-LV"/>
        </w:rPr>
        <w:pPrChange w:id="2255" w:author="Author">
          <w:pPr>
            <w:pStyle w:val="ListParagraph"/>
            <w:suppressAutoHyphens w:val="0"/>
            <w:autoSpaceDE w:val="0"/>
            <w:autoSpaceDN w:val="0"/>
            <w:adjustRightInd w:val="0"/>
            <w:spacing w:after="60"/>
            <w:ind w:left="567" w:hanging="567"/>
          </w:pPr>
        </w:pPrChange>
      </w:pPr>
      <w:del w:id="2256" w:author="Author">
        <w:r w:rsidDel="002E57E0">
          <w:rPr>
            <w:lang w:val="nb-NO"/>
          </w:rPr>
          <w:sym w:font="Symbol" w:char="F0B7"/>
        </w:r>
        <w:r w:rsidDel="002E57E0">
          <w:rPr>
            <w:lang w:val="nb-NO"/>
          </w:rPr>
          <w:tab/>
        </w:r>
      </w:del>
      <w:r w:rsidR="00F47ADA" w:rsidRPr="00435CE9">
        <w:rPr>
          <w:lang w:val="lv-LV" w:eastAsia="lv-LV"/>
        </w:rPr>
        <w:t>Izņemiet no ledusskapja kastīti ar pildspalvveida pilnšļirci.</w:t>
      </w:r>
    </w:p>
    <w:p w14:paraId="25971D24" w14:textId="2D9C9635" w:rsidR="00F47ADA" w:rsidRPr="00435CE9" w:rsidRDefault="00287ADB">
      <w:pPr>
        <w:pStyle w:val="ListParagraph"/>
        <w:numPr>
          <w:ilvl w:val="0"/>
          <w:numId w:val="63"/>
        </w:numPr>
        <w:suppressAutoHyphens w:val="0"/>
        <w:autoSpaceDE w:val="0"/>
        <w:autoSpaceDN w:val="0"/>
        <w:adjustRightInd w:val="0"/>
        <w:spacing w:after="60"/>
        <w:rPr>
          <w:b/>
          <w:szCs w:val="22"/>
          <w:lang w:val="lv-LV" w:eastAsia="lv-LV"/>
        </w:rPr>
        <w:pPrChange w:id="2257" w:author="Author">
          <w:pPr>
            <w:pStyle w:val="ListParagraph"/>
            <w:suppressAutoHyphens w:val="0"/>
            <w:autoSpaceDE w:val="0"/>
            <w:autoSpaceDN w:val="0"/>
            <w:adjustRightInd w:val="0"/>
            <w:spacing w:after="60"/>
            <w:ind w:left="567" w:hanging="567"/>
          </w:pPr>
        </w:pPrChange>
      </w:pPr>
      <w:del w:id="2258" w:author="Author">
        <w:r w:rsidDel="002E57E0">
          <w:rPr>
            <w:lang w:val="nb-NO"/>
          </w:rPr>
          <w:sym w:font="Symbol" w:char="F0B7"/>
        </w:r>
        <w:r w:rsidDel="002E57E0">
          <w:rPr>
            <w:lang w:val="nb-NO"/>
          </w:rPr>
          <w:tab/>
        </w:r>
      </w:del>
      <w:r w:rsidR="00F47ADA" w:rsidRPr="00435CE9">
        <w:rPr>
          <w:lang w:val="lv-LV" w:eastAsia="lv-LV"/>
        </w:rPr>
        <w:t xml:space="preserve">Ja atverat kastīti pirmoreiz, pārliecinieties, vai tā ir pienācīgi aizvērta. </w:t>
      </w:r>
      <w:r w:rsidR="00F47ADA" w:rsidRPr="00435CE9">
        <w:rPr>
          <w:b/>
          <w:lang w:val="lv-LV" w:eastAsia="lv-LV"/>
        </w:rPr>
        <w:t xml:space="preserve">Neizmantojiet </w:t>
      </w:r>
      <w:r w:rsidR="00F47ADA" w:rsidRPr="00435CE9">
        <w:rPr>
          <w:lang w:val="lv-LV" w:eastAsia="lv-LV"/>
        </w:rPr>
        <w:t>pildspalvveida pilnšļirci, ja kastīte izskatās tā, it kā jau būtu bijusi atvērta.</w:t>
      </w:r>
    </w:p>
    <w:p w14:paraId="3145B410" w14:textId="546631E5" w:rsidR="00F47ADA" w:rsidRPr="00435CE9" w:rsidRDefault="00287ADB">
      <w:pPr>
        <w:pStyle w:val="ListParagraph"/>
        <w:numPr>
          <w:ilvl w:val="0"/>
          <w:numId w:val="63"/>
        </w:numPr>
        <w:suppressAutoHyphens w:val="0"/>
        <w:autoSpaceDE w:val="0"/>
        <w:autoSpaceDN w:val="0"/>
        <w:adjustRightInd w:val="0"/>
        <w:spacing w:after="60"/>
        <w:rPr>
          <w:szCs w:val="22"/>
          <w:lang w:val="lv-LV" w:eastAsia="lv-LV"/>
        </w:rPr>
        <w:pPrChange w:id="2259" w:author="Author">
          <w:pPr>
            <w:pStyle w:val="ListParagraph"/>
            <w:suppressAutoHyphens w:val="0"/>
            <w:autoSpaceDE w:val="0"/>
            <w:autoSpaceDN w:val="0"/>
            <w:adjustRightInd w:val="0"/>
            <w:spacing w:after="60"/>
            <w:ind w:left="567" w:hanging="567"/>
          </w:pPr>
        </w:pPrChange>
      </w:pPr>
      <w:del w:id="2260" w:author="Author">
        <w:r w:rsidDel="002E57E0">
          <w:rPr>
            <w:lang w:val="nb-NO"/>
          </w:rPr>
          <w:sym w:font="Symbol" w:char="F0B7"/>
        </w:r>
        <w:r w:rsidDel="002E57E0">
          <w:rPr>
            <w:lang w:val="nb-NO"/>
          </w:rPr>
          <w:tab/>
        </w:r>
      </w:del>
      <w:r w:rsidR="00F47ADA" w:rsidRPr="00435CE9">
        <w:rPr>
          <w:lang w:val="lv-LV" w:eastAsia="lv-LV"/>
        </w:rPr>
        <w:t xml:space="preserve">Pārliecinieties, vai pildspalvveida pilnšļirces kastīte nav bojāta. </w:t>
      </w:r>
      <w:r w:rsidR="00F47ADA" w:rsidRPr="00435CE9">
        <w:rPr>
          <w:b/>
          <w:lang w:val="lv-LV" w:eastAsia="lv-LV"/>
        </w:rPr>
        <w:t>Neizmantojiet</w:t>
      </w:r>
      <w:del w:id="2261" w:author="Author">
        <w:r w:rsidR="00F47ADA" w:rsidRPr="00435CE9" w:rsidDel="00CE6B8D">
          <w:rPr>
            <w:b/>
            <w:lang w:val="lv-LV" w:eastAsia="lv-LV"/>
          </w:rPr>
          <w:delText xml:space="preserve"> </w:delText>
        </w:r>
      </w:del>
      <w:r w:rsidR="00F47ADA" w:rsidRPr="00435CE9">
        <w:rPr>
          <w:lang w:val="lv-LV" w:eastAsia="lv-LV"/>
        </w:rPr>
        <w:t xml:space="preserve"> RoActemra pildspalvveida pilnšļirci, ja kastīte izskatās bojāta. </w:t>
      </w:r>
    </w:p>
    <w:p w14:paraId="5A199650" w14:textId="2BBB35C5" w:rsidR="00F47ADA" w:rsidRPr="00435CE9" w:rsidRDefault="00287ADB">
      <w:pPr>
        <w:pStyle w:val="ListParagraph"/>
        <w:numPr>
          <w:ilvl w:val="0"/>
          <w:numId w:val="63"/>
        </w:numPr>
        <w:suppressAutoHyphens w:val="0"/>
        <w:autoSpaceDE w:val="0"/>
        <w:autoSpaceDN w:val="0"/>
        <w:adjustRightInd w:val="0"/>
        <w:spacing w:after="60"/>
        <w:rPr>
          <w:szCs w:val="22"/>
          <w:lang w:val="lv-LV" w:eastAsia="lv-LV"/>
        </w:rPr>
        <w:pPrChange w:id="2262" w:author="Author">
          <w:pPr>
            <w:pStyle w:val="ListParagraph"/>
            <w:suppressAutoHyphens w:val="0"/>
            <w:autoSpaceDE w:val="0"/>
            <w:autoSpaceDN w:val="0"/>
            <w:adjustRightInd w:val="0"/>
            <w:spacing w:after="60"/>
            <w:ind w:left="567" w:hanging="567"/>
          </w:pPr>
        </w:pPrChange>
      </w:pPr>
      <w:del w:id="2263" w:author="Author">
        <w:r w:rsidDel="002E57E0">
          <w:rPr>
            <w:lang w:val="nb-NO"/>
          </w:rPr>
          <w:sym w:font="Symbol" w:char="F0B7"/>
        </w:r>
        <w:r w:rsidDel="002E57E0">
          <w:rPr>
            <w:lang w:val="nb-NO"/>
          </w:rPr>
          <w:tab/>
        </w:r>
      </w:del>
      <w:r w:rsidR="00F47ADA" w:rsidRPr="00435CE9">
        <w:rPr>
          <w:b/>
          <w:lang w:val="lv-LV" w:eastAsia="lv-LV"/>
        </w:rPr>
        <w:t>Pārbaudiet derīguma termiņu uz pildspalvveida pilnšļirces kastītes</w:t>
      </w:r>
      <w:r w:rsidR="00F47ADA" w:rsidRPr="00435CE9">
        <w:rPr>
          <w:lang w:val="lv-LV" w:eastAsia="lv-LV"/>
        </w:rPr>
        <w:t>. Ja beidzies derīguma termiņš,</w:t>
      </w:r>
      <w:r w:rsidR="00F47ADA" w:rsidRPr="00435CE9">
        <w:rPr>
          <w:b/>
          <w:lang w:val="lv-LV" w:eastAsia="lv-LV"/>
        </w:rPr>
        <w:t xml:space="preserve"> neizmantojiet</w:t>
      </w:r>
      <w:r w:rsidR="00F47ADA" w:rsidRPr="00435CE9">
        <w:rPr>
          <w:lang w:val="lv-LV" w:eastAsia="lv-LV"/>
        </w:rPr>
        <w:t xml:space="preserve"> pildspalvveida pilnšļirci, jo tas var nebūt droši.</w:t>
      </w:r>
    </w:p>
    <w:p w14:paraId="22A8665D" w14:textId="5A458CA0" w:rsidR="00F47ADA" w:rsidRPr="00435CE9" w:rsidRDefault="00287ADB">
      <w:pPr>
        <w:pStyle w:val="ListParagraph"/>
        <w:numPr>
          <w:ilvl w:val="0"/>
          <w:numId w:val="63"/>
        </w:numPr>
        <w:suppressAutoHyphens w:val="0"/>
        <w:autoSpaceDE w:val="0"/>
        <w:autoSpaceDN w:val="0"/>
        <w:adjustRightInd w:val="0"/>
        <w:spacing w:after="60"/>
        <w:rPr>
          <w:szCs w:val="22"/>
          <w:lang w:val="lv-LV" w:eastAsia="lv-LV"/>
        </w:rPr>
        <w:pPrChange w:id="2264" w:author="Author">
          <w:pPr>
            <w:pStyle w:val="ListParagraph"/>
            <w:suppressAutoHyphens w:val="0"/>
            <w:autoSpaceDE w:val="0"/>
            <w:autoSpaceDN w:val="0"/>
            <w:adjustRightInd w:val="0"/>
            <w:spacing w:after="60"/>
            <w:ind w:left="567" w:hanging="567"/>
          </w:pPr>
        </w:pPrChange>
      </w:pPr>
      <w:del w:id="2265" w:author="Author">
        <w:r w:rsidDel="002E57E0">
          <w:rPr>
            <w:lang w:val="nb-NO"/>
          </w:rPr>
          <w:sym w:font="Symbol" w:char="F0B7"/>
        </w:r>
        <w:r w:rsidDel="002E57E0">
          <w:rPr>
            <w:lang w:val="nb-NO"/>
          </w:rPr>
          <w:tab/>
        </w:r>
      </w:del>
      <w:r w:rsidR="00F47ADA" w:rsidRPr="00435CE9">
        <w:rPr>
          <w:lang w:val="lv-LV" w:eastAsia="lv-LV"/>
        </w:rPr>
        <w:t xml:space="preserve">Atveriet kastīti un izņemiet no tās 1 vienreizējās lietošanas RoActemra pildspalvveida pilnšļirci. </w:t>
      </w:r>
    </w:p>
    <w:p w14:paraId="316BB575" w14:textId="1D7F1586" w:rsidR="00F47ADA" w:rsidRPr="00435CE9" w:rsidRDefault="00287ADB">
      <w:pPr>
        <w:pStyle w:val="ListParagraph"/>
        <w:numPr>
          <w:ilvl w:val="0"/>
          <w:numId w:val="63"/>
        </w:numPr>
        <w:suppressAutoHyphens w:val="0"/>
        <w:autoSpaceDE w:val="0"/>
        <w:autoSpaceDN w:val="0"/>
        <w:adjustRightInd w:val="0"/>
        <w:spacing w:after="60"/>
        <w:rPr>
          <w:szCs w:val="22"/>
          <w:lang w:val="lv-LV" w:eastAsia="lv-LV"/>
        </w:rPr>
        <w:pPrChange w:id="2266" w:author="Author">
          <w:pPr>
            <w:pStyle w:val="ListParagraph"/>
            <w:suppressAutoHyphens w:val="0"/>
            <w:autoSpaceDE w:val="0"/>
            <w:autoSpaceDN w:val="0"/>
            <w:adjustRightInd w:val="0"/>
            <w:spacing w:after="60"/>
            <w:ind w:left="567" w:hanging="567"/>
          </w:pPr>
        </w:pPrChange>
      </w:pPr>
      <w:del w:id="2267" w:author="Author">
        <w:r w:rsidDel="002E57E0">
          <w:rPr>
            <w:lang w:val="nb-NO"/>
          </w:rPr>
          <w:sym w:font="Symbol" w:char="F0B7"/>
        </w:r>
        <w:r w:rsidDel="002E57E0">
          <w:rPr>
            <w:lang w:val="nb-NO"/>
          </w:rPr>
          <w:tab/>
        </w:r>
      </w:del>
      <w:r w:rsidR="00F47ADA" w:rsidRPr="00435CE9">
        <w:rPr>
          <w:lang w:val="lv-LV" w:eastAsia="lv-LV"/>
        </w:rPr>
        <w:t>Visas pārējās kastītē atlikušās pildspalvveida pilnšļirces ievietojiet atpakaļ ledusskapī.</w:t>
      </w:r>
    </w:p>
    <w:p w14:paraId="0C1D21C6" w14:textId="7BB46106" w:rsidR="00F47ADA" w:rsidRPr="00435CE9" w:rsidRDefault="00287ADB">
      <w:pPr>
        <w:pStyle w:val="ListParagraph"/>
        <w:numPr>
          <w:ilvl w:val="0"/>
          <w:numId w:val="63"/>
        </w:numPr>
        <w:suppressAutoHyphens w:val="0"/>
        <w:autoSpaceDE w:val="0"/>
        <w:autoSpaceDN w:val="0"/>
        <w:adjustRightInd w:val="0"/>
        <w:spacing w:after="60"/>
        <w:rPr>
          <w:szCs w:val="22"/>
          <w:lang w:val="lv-LV" w:eastAsia="lv-LV"/>
        </w:rPr>
        <w:pPrChange w:id="2268" w:author="Author">
          <w:pPr>
            <w:pStyle w:val="ListParagraph"/>
            <w:suppressAutoHyphens w:val="0"/>
            <w:autoSpaceDE w:val="0"/>
            <w:autoSpaceDN w:val="0"/>
            <w:adjustRightInd w:val="0"/>
            <w:spacing w:after="60"/>
            <w:ind w:left="567" w:hanging="567"/>
          </w:pPr>
        </w:pPrChange>
      </w:pPr>
      <w:del w:id="2269" w:author="Author">
        <w:r w:rsidDel="002E57E0">
          <w:rPr>
            <w:lang w:val="nb-NO"/>
          </w:rPr>
          <w:sym w:font="Symbol" w:char="F0B7"/>
        </w:r>
        <w:r w:rsidDel="002E57E0">
          <w:rPr>
            <w:lang w:val="nb-NO"/>
          </w:rPr>
          <w:tab/>
        </w:r>
      </w:del>
      <w:r w:rsidR="00F47ADA" w:rsidRPr="00435CE9">
        <w:rPr>
          <w:b/>
          <w:lang w:val="lv-LV" w:eastAsia="lv-LV"/>
        </w:rPr>
        <w:t>Pārbaudiet uz RoActemra pildspalvveida pilnšļirces norādīto derīguma termiņu (skatīt A</w:t>
      </w:r>
      <w:r w:rsidR="00A452F9">
        <w:rPr>
          <w:b/>
          <w:lang w:val="lv-LV" w:eastAsia="lv-LV"/>
        </w:rPr>
        <w:t> </w:t>
      </w:r>
      <w:r w:rsidR="00F47ADA" w:rsidRPr="00435CE9">
        <w:rPr>
          <w:b/>
          <w:lang w:val="lv-LV" w:eastAsia="lv-LV"/>
        </w:rPr>
        <w:t xml:space="preserve">attēlu). </w:t>
      </w:r>
      <w:r w:rsidR="00F47ADA" w:rsidRPr="00435CE9">
        <w:rPr>
          <w:lang w:val="lv-LV" w:eastAsia="lv-LV"/>
        </w:rPr>
        <w:t>Ja beidzies derīguma termiņš,</w:t>
      </w:r>
      <w:r w:rsidR="00F47ADA" w:rsidRPr="00435CE9">
        <w:rPr>
          <w:b/>
          <w:lang w:val="lv-LV" w:eastAsia="lv-LV"/>
        </w:rPr>
        <w:t xml:space="preserve"> nelietojiet</w:t>
      </w:r>
      <w:r w:rsidR="00F47ADA" w:rsidRPr="00435CE9">
        <w:rPr>
          <w:lang w:val="lv-LV" w:eastAsia="lv-LV"/>
        </w:rPr>
        <w:t xml:space="preserve"> šīs zāles, jo tas var nebūt droši. Ja beidzies derīguma termiņš, atbilstoši drošības noteikumiem izmetiet pildspalvveida pilnšļirci asu priekšmetu tvertnē un ņemiet jaunu pildspalvveida pilnšļirci.</w:t>
      </w:r>
    </w:p>
    <w:p w14:paraId="54A55B5B" w14:textId="2BDC6917" w:rsidR="00F47ADA" w:rsidRPr="00435CE9" w:rsidRDefault="00287ADB">
      <w:pPr>
        <w:pStyle w:val="ListParagraph"/>
        <w:numPr>
          <w:ilvl w:val="0"/>
          <w:numId w:val="63"/>
        </w:numPr>
        <w:suppressAutoHyphens w:val="0"/>
        <w:autoSpaceDE w:val="0"/>
        <w:autoSpaceDN w:val="0"/>
        <w:adjustRightInd w:val="0"/>
        <w:spacing w:after="60"/>
        <w:rPr>
          <w:szCs w:val="22"/>
          <w:lang w:val="lv-LV" w:eastAsia="lv-LV"/>
        </w:rPr>
        <w:pPrChange w:id="2270" w:author="Author">
          <w:pPr>
            <w:pStyle w:val="ListParagraph"/>
            <w:suppressAutoHyphens w:val="0"/>
            <w:autoSpaceDE w:val="0"/>
            <w:autoSpaceDN w:val="0"/>
            <w:adjustRightInd w:val="0"/>
            <w:spacing w:after="60"/>
            <w:ind w:left="567" w:hanging="567"/>
          </w:pPr>
        </w:pPrChange>
      </w:pPr>
      <w:del w:id="2271" w:author="Author">
        <w:r w:rsidDel="002E57E0">
          <w:rPr>
            <w:lang w:val="nb-NO"/>
          </w:rPr>
          <w:sym w:font="Symbol" w:char="F0B7"/>
        </w:r>
        <w:r w:rsidDel="002E57E0">
          <w:rPr>
            <w:lang w:val="nb-NO"/>
          </w:rPr>
          <w:tab/>
        </w:r>
      </w:del>
      <w:r w:rsidR="00F47ADA" w:rsidRPr="00435CE9">
        <w:rPr>
          <w:b/>
          <w:lang w:val="lv-LV" w:eastAsia="lv-LV"/>
        </w:rPr>
        <w:t>Pārbaudiet pildspalvveida pilnšļirci, lai pārliecinātos, vai tā nav bojāta.</w:t>
      </w:r>
      <w:r w:rsidR="00F47ADA" w:rsidRPr="00435CE9">
        <w:rPr>
          <w:lang w:val="lv-LV" w:eastAsia="lv-LV"/>
        </w:rPr>
        <w:t xml:space="preserve"> Nelietojiet pildspalvveida pilnšļirci, ja tā šķiet bojāta vai ja Jūs to nejauši esat nometis.</w:t>
      </w:r>
    </w:p>
    <w:p w14:paraId="66AE9543" w14:textId="58F2DE55" w:rsidR="00F47ADA" w:rsidRPr="00435CE9" w:rsidRDefault="00287ADB">
      <w:pPr>
        <w:pStyle w:val="ListParagraph"/>
        <w:numPr>
          <w:ilvl w:val="0"/>
          <w:numId w:val="63"/>
        </w:numPr>
        <w:suppressAutoHyphens w:val="0"/>
        <w:autoSpaceDE w:val="0"/>
        <w:autoSpaceDN w:val="0"/>
        <w:adjustRightInd w:val="0"/>
        <w:spacing w:after="60"/>
        <w:rPr>
          <w:szCs w:val="22"/>
          <w:lang w:val="lv-LV" w:eastAsia="lv-LV"/>
        </w:rPr>
        <w:pPrChange w:id="2272" w:author="Author">
          <w:pPr>
            <w:pStyle w:val="ListParagraph"/>
            <w:suppressAutoHyphens w:val="0"/>
            <w:autoSpaceDE w:val="0"/>
            <w:autoSpaceDN w:val="0"/>
            <w:adjustRightInd w:val="0"/>
            <w:spacing w:after="60"/>
            <w:ind w:left="567" w:hanging="567"/>
          </w:pPr>
        </w:pPrChange>
      </w:pPr>
      <w:del w:id="2273" w:author="Author">
        <w:r w:rsidDel="002E57E0">
          <w:rPr>
            <w:lang w:val="nb-NO"/>
          </w:rPr>
          <w:sym w:font="Symbol" w:char="F0B7"/>
        </w:r>
        <w:r w:rsidDel="002E57E0">
          <w:rPr>
            <w:lang w:val="nb-NO"/>
          </w:rPr>
          <w:tab/>
        </w:r>
      </w:del>
      <w:r w:rsidR="00F47ADA" w:rsidRPr="00435CE9">
        <w:rPr>
          <w:lang w:val="lv-LV" w:eastAsia="lv-LV"/>
        </w:rPr>
        <w:t>Novietojiet pildspalvveida pilnšļirci uz tīras, gludas virsmas un 45</w:t>
      </w:r>
      <w:r w:rsidR="00F47ADA">
        <w:rPr>
          <w:lang w:val="lv-LV" w:eastAsia="lv-LV"/>
        </w:rPr>
        <w:t> </w:t>
      </w:r>
      <w:r w:rsidR="00F47ADA" w:rsidRPr="00435CE9">
        <w:rPr>
          <w:lang w:val="lv-LV" w:eastAsia="lv-LV"/>
        </w:rPr>
        <w:t>minūtes ļaujiet tai uzsilt līdz istabas temperatūrai. Ja pildspalvveida pilnšļirce nesasniedz istabas temperatūru, injekcija var būt nekomfortabla, un zāļu injicēšana var prasīt ilgāku laiku.</w:t>
      </w:r>
    </w:p>
    <w:p w14:paraId="52A1180F" w14:textId="2D4E9EFA" w:rsidR="00F47ADA" w:rsidRPr="00435CE9" w:rsidRDefault="00287ADB">
      <w:pPr>
        <w:pStyle w:val="ListParagraph"/>
        <w:numPr>
          <w:ilvl w:val="0"/>
          <w:numId w:val="63"/>
        </w:numPr>
        <w:tabs>
          <w:tab w:val="left" w:pos="720"/>
        </w:tabs>
        <w:suppressAutoHyphens w:val="0"/>
        <w:autoSpaceDE w:val="0"/>
        <w:autoSpaceDN w:val="0"/>
        <w:adjustRightInd w:val="0"/>
        <w:spacing w:after="60"/>
        <w:rPr>
          <w:szCs w:val="22"/>
          <w:lang w:val="lv-LV" w:eastAsia="lv-LV"/>
        </w:rPr>
        <w:pPrChange w:id="2274" w:author="Author">
          <w:pPr>
            <w:pStyle w:val="ListParagraph"/>
            <w:tabs>
              <w:tab w:val="left" w:pos="720"/>
            </w:tabs>
            <w:suppressAutoHyphens w:val="0"/>
            <w:autoSpaceDE w:val="0"/>
            <w:autoSpaceDN w:val="0"/>
            <w:adjustRightInd w:val="0"/>
            <w:spacing w:after="60"/>
            <w:ind w:left="567" w:hanging="567"/>
          </w:pPr>
        </w:pPrChange>
      </w:pPr>
      <w:del w:id="2275" w:author="Author">
        <w:r w:rsidDel="002E57E0">
          <w:rPr>
            <w:lang w:val="nb-NO"/>
          </w:rPr>
          <w:sym w:font="Symbol" w:char="F0B7"/>
        </w:r>
        <w:r w:rsidDel="002E57E0">
          <w:rPr>
            <w:lang w:val="nb-NO"/>
          </w:rPr>
          <w:tab/>
        </w:r>
      </w:del>
      <w:r w:rsidR="00F47ADA" w:rsidRPr="00435CE9">
        <w:rPr>
          <w:b/>
          <w:lang w:val="lv-LV" w:eastAsia="lv-LV"/>
        </w:rPr>
        <w:t xml:space="preserve">Nekādā veidā nepaātriniet </w:t>
      </w:r>
      <w:r w:rsidR="00F47ADA" w:rsidRPr="00435CE9">
        <w:rPr>
          <w:lang w:val="lv-LV" w:eastAsia="lv-LV"/>
        </w:rPr>
        <w:t>šo procesu, piemēram, neizmantojiet mikroviļņu krāsni vai neievietojiet pildspalvveida pilnšļirci siltā ūdenī.</w:t>
      </w:r>
    </w:p>
    <w:p w14:paraId="0924E6CC" w14:textId="7348A797" w:rsidR="00F47ADA" w:rsidRPr="00435CE9" w:rsidRDefault="00287ADB">
      <w:pPr>
        <w:pStyle w:val="ListParagraph"/>
        <w:numPr>
          <w:ilvl w:val="0"/>
          <w:numId w:val="63"/>
        </w:numPr>
        <w:suppressAutoHyphens w:val="0"/>
        <w:autoSpaceDE w:val="0"/>
        <w:autoSpaceDN w:val="0"/>
        <w:adjustRightInd w:val="0"/>
        <w:spacing w:after="60"/>
        <w:rPr>
          <w:szCs w:val="22"/>
          <w:lang w:val="lv-LV" w:eastAsia="lv-LV"/>
        </w:rPr>
        <w:pPrChange w:id="2276" w:author="Author">
          <w:pPr>
            <w:pStyle w:val="ListParagraph"/>
            <w:suppressAutoHyphens w:val="0"/>
            <w:autoSpaceDE w:val="0"/>
            <w:autoSpaceDN w:val="0"/>
            <w:adjustRightInd w:val="0"/>
            <w:spacing w:after="60"/>
            <w:ind w:left="567" w:hanging="567"/>
          </w:pPr>
        </w:pPrChange>
      </w:pPr>
      <w:del w:id="2277" w:author="Author">
        <w:r w:rsidDel="002E57E0">
          <w:rPr>
            <w:lang w:val="nb-NO"/>
          </w:rPr>
          <w:sym w:font="Symbol" w:char="F0B7"/>
        </w:r>
        <w:r w:rsidDel="002E57E0">
          <w:rPr>
            <w:lang w:val="nb-NO"/>
          </w:rPr>
          <w:tab/>
        </w:r>
      </w:del>
      <w:r w:rsidR="00F47ADA" w:rsidRPr="00435CE9">
        <w:rPr>
          <w:b/>
          <w:lang w:val="lv-LV" w:eastAsia="lv-LV"/>
        </w:rPr>
        <w:t>Neatstājiet</w:t>
      </w:r>
      <w:r w:rsidR="00F47ADA" w:rsidRPr="00435CE9">
        <w:rPr>
          <w:lang w:val="lv-LV" w:eastAsia="lv-LV"/>
        </w:rPr>
        <w:t xml:space="preserve"> pildspalvveida pilnšļirci uzsilt tiešos saules staros.</w:t>
      </w:r>
    </w:p>
    <w:p w14:paraId="67B6D070" w14:textId="77777777" w:rsidR="00F47ADA" w:rsidRPr="00762735" w:rsidRDefault="00F47ADA">
      <w:pPr>
        <w:suppressAutoHyphens w:val="0"/>
        <w:autoSpaceDE w:val="0"/>
        <w:autoSpaceDN w:val="0"/>
        <w:adjustRightInd w:val="0"/>
        <w:spacing w:after="60"/>
        <w:rPr>
          <w:b/>
          <w:szCs w:val="22"/>
          <w:lang w:val="lv-LV" w:eastAsia="lv-LV"/>
        </w:rPr>
        <w:pPrChange w:id="2278" w:author="Author">
          <w:pPr>
            <w:suppressAutoHyphens w:val="0"/>
            <w:autoSpaceDE w:val="0"/>
            <w:autoSpaceDN w:val="0"/>
            <w:adjustRightInd w:val="0"/>
            <w:spacing w:after="60"/>
            <w:ind w:left="360"/>
          </w:pPr>
        </w:pPrChange>
      </w:pPr>
      <w:r w:rsidRPr="00762735">
        <w:rPr>
          <w:b/>
          <w:lang w:val="lv-LV" w:eastAsia="lv-LV"/>
        </w:rPr>
        <w:t xml:space="preserve">Kamēr ļaujat </w:t>
      </w:r>
      <w:r>
        <w:rPr>
          <w:b/>
          <w:lang w:val="lv-LV" w:eastAsia="lv-LV"/>
        </w:rPr>
        <w:t>RoActemra</w:t>
      </w:r>
      <w:r w:rsidRPr="00762735">
        <w:rPr>
          <w:b/>
          <w:lang w:val="lv-LV" w:eastAsia="lv-LV"/>
        </w:rPr>
        <w:t xml:space="preserve"> pildspalvveida pilnšļircei sasniegt istabas temperatūru, nenoņemiet zaļo vāciņu.</w:t>
      </w:r>
    </w:p>
    <w:p w14:paraId="6B673898" w14:textId="5A59433C" w:rsidR="00F47ADA" w:rsidRPr="00435CE9" w:rsidRDefault="00287ADB">
      <w:pPr>
        <w:pStyle w:val="ListParagraph"/>
        <w:numPr>
          <w:ilvl w:val="0"/>
          <w:numId w:val="63"/>
        </w:numPr>
        <w:suppressAutoHyphens w:val="0"/>
        <w:autoSpaceDE w:val="0"/>
        <w:autoSpaceDN w:val="0"/>
        <w:adjustRightInd w:val="0"/>
        <w:spacing w:after="200" w:line="276" w:lineRule="auto"/>
        <w:rPr>
          <w:b/>
          <w:szCs w:val="22"/>
          <w:lang w:val="lv-LV" w:eastAsia="lv-LV"/>
        </w:rPr>
        <w:pPrChange w:id="2279" w:author="Author">
          <w:pPr>
            <w:pStyle w:val="ListParagraph"/>
            <w:suppressAutoHyphens w:val="0"/>
            <w:autoSpaceDE w:val="0"/>
            <w:autoSpaceDN w:val="0"/>
            <w:adjustRightInd w:val="0"/>
            <w:spacing w:after="200" w:line="276" w:lineRule="auto"/>
            <w:ind w:left="567" w:hanging="567"/>
          </w:pPr>
        </w:pPrChange>
      </w:pPr>
      <w:del w:id="2280" w:author="Author">
        <w:r w:rsidDel="002E57E0">
          <w:rPr>
            <w:lang w:val="nb-NO"/>
          </w:rPr>
          <w:sym w:font="Symbol" w:char="F0B7"/>
        </w:r>
        <w:r w:rsidDel="002E57E0">
          <w:rPr>
            <w:lang w:val="nb-NO"/>
          </w:rPr>
          <w:tab/>
        </w:r>
      </w:del>
      <w:r w:rsidR="00F47ADA" w:rsidRPr="00435CE9">
        <w:rPr>
          <w:lang w:val="lv-LV" w:eastAsia="lv-LV"/>
        </w:rPr>
        <w:t xml:space="preserve">Turiet RoActemra pildspalvveida pilnšļirci ar zaļo vāciņu uz leju </w:t>
      </w:r>
      <w:r w:rsidR="00F47ADA" w:rsidRPr="00435CE9">
        <w:rPr>
          <w:b/>
          <w:lang w:val="lv-LV" w:eastAsia="lv-LV"/>
        </w:rPr>
        <w:t>(skatīt C</w:t>
      </w:r>
      <w:r w:rsidR="00A452F9">
        <w:rPr>
          <w:b/>
          <w:lang w:val="lv-LV" w:eastAsia="lv-LV"/>
        </w:rPr>
        <w:t> </w:t>
      </w:r>
      <w:r w:rsidR="00F47ADA" w:rsidRPr="00435CE9">
        <w:rPr>
          <w:b/>
          <w:lang w:val="lv-LV" w:eastAsia="lv-LV"/>
        </w:rPr>
        <w:t>attēlu).</w:t>
      </w:r>
    </w:p>
    <w:p w14:paraId="71F30C3D" w14:textId="77777777" w:rsidR="00F47ADA" w:rsidRPr="00762735" w:rsidRDefault="00F47ADA" w:rsidP="00F47ADA">
      <w:pPr>
        <w:suppressAutoHyphens w:val="0"/>
        <w:autoSpaceDE w:val="0"/>
        <w:autoSpaceDN w:val="0"/>
        <w:adjustRightInd w:val="0"/>
        <w:rPr>
          <w:b/>
          <w:szCs w:val="22"/>
          <w:lang w:val="lv-LV" w:eastAsia="lv-LV"/>
        </w:rPr>
      </w:pPr>
    </w:p>
    <w:p w14:paraId="14296517" w14:textId="77777777" w:rsidR="00F47ADA" w:rsidRPr="00762735" w:rsidRDefault="00F47ADA" w:rsidP="00F47ADA">
      <w:pPr>
        <w:suppressAutoHyphens w:val="0"/>
        <w:autoSpaceDE w:val="0"/>
        <w:autoSpaceDN w:val="0"/>
        <w:adjustRightInd w:val="0"/>
        <w:jc w:val="center"/>
        <w:rPr>
          <w:b/>
          <w:szCs w:val="22"/>
          <w:lang w:val="lv-LV" w:eastAsia="lv-LV"/>
        </w:rPr>
      </w:pPr>
      <w:r w:rsidRPr="00762735">
        <w:rPr>
          <w:b/>
          <w:noProof/>
          <w:lang w:eastAsia="en-US"/>
        </w:rPr>
        <w:drawing>
          <wp:inline distT="0" distB="0" distL="0" distR="0" wp14:anchorId="3F8F3540" wp14:editId="73FA9B58">
            <wp:extent cx="2743200" cy="2162175"/>
            <wp:effectExtent l="0" t="0" r="0" b="0"/>
            <wp:docPr id="13" name="Picture 13" descr="AI-Upgrade-IFU_vG_images-updated-versi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I-Upgrade-IFU_vG_images-updated-version-4"/>
                    <pic:cNvPicPr>
                      <a:picLocks noChangeAspect="1" noChangeArrowheads="1"/>
                    </pic:cNvPicPr>
                  </pic:nvPicPr>
                  <pic:blipFill>
                    <a:blip r:embed="rId22" cstate="hqprint">
                      <a:extLst>
                        <a:ext uri="{28A0092B-C50C-407E-A947-70E740481C1C}">
                          <a14:useLocalDpi xmlns:a14="http://schemas.microsoft.com/office/drawing/2010/main" val="0"/>
                        </a:ext>
                      </a:extLst>
                    </a:blip>
                    <a:srcRect/>
                    <a:stretch>
                      <a:fillRect/>
                    </a:stretch>
                  </pic:blipFill>
                  <pic:spPr bwMode="auto">
                    <a:xfrm>
                      <a:off x="0" y="0"/>
                      <a:ext cx="2743200" cy="2162175"/>
                    </a:xfrm>
                    <a:prstGeom prst="rect">
                      <a:avLst/>
                    </a:prstGeom>
                    <a:noFill/>
                    <a:ln>
                      <a:noFill/>
                    </a:ln>
                  </pic:spPr>
                </pic:pic>
              </a:graphicData>
            </a:graphic>
          </wp:inline>
        </w:drawing>
      </w:r>
    </w:p>
    <w:p w14:paraId="1317F09C" w14:textId="5A090085" w:rsidR="00F47ADA" w:rsidRPr="00762735" w:rsidRDefault="00F47ADA" w:rsidP="00F47ADA">
      <w:pPr>
        <w:suppressAutoHyphens w:val="0"/>
        <w:autoSpaceDE w:val="0"/>
        <w:autoSpaceDN w:val="0"/>
        <w:adjustRightInd w:val="0"/>
        <w:jc w:val="center"/>
        <w:rPr>
          <w:b/>
          <w:szCs w:val="22"/>
          <w:lang w:val="lv-LV" w:eastAsia="lv-LV"/>
        </w:rPr>
      </w:pPr>
      <w:r w:rsidRPr="00762735">
        <w:rPr>
          <w:b/>
          <w:lang w:val="lv-LV" w:eastAsia="lv-LV"/>
        </w:rPr>
        <w:t>C</w:t>
      </w:r>
      <w:r w:rsidR="00A452F9">
        <w:rPr>
          <w:b/>
          <w:lang w:val="lv-LV" w:eastAsia="lv-LV"/>
        </w:rPr>
        <w:t> </w:t>
      </w:r>
      <w:r w:rsidRPr="00762735">
        <w:rPr>
          <w:b/>
          <w:lang w:val="lv-LV" w:eastAsia="lv-LV"/>
        </w:rPr>
        <w:t xml:space="preserve">attēls </w:t>
      </w:r>
    </w:p>
    <w:p w14:paraId="18764E91" w14:textId="77777777" w:rsidR="00F47ADA" w:rsidRPr="00762735" w:rsidRDefault="00F47ADA" w:rsidP="00F47ADA">
      <w:pPr>
        <w:suppressAutoHyphens w:val="0"/>
        <w:autoSpaceDE w:val="0"/>
        <w:autoSpaceDN w:val="0"/>
        <w:adjustRightInd w:val="0"/>
        <w:jc w:val="center"/>
        <w:rPr>
          <w:b/>
          <w:szCs w:val="22"/>
          <w:lang w:val="lv-LV" w:eastAsia="lv-LV"/>
        </w:rPr>
      </w:pPr>
    </w:p>
    <w:p w14:paraId="0DB0C581" w14:textId="0FBC14B6" w:rsidR="00F47ADA" w:rsidRPr="00435CE9" w:rsidRDefault="00287ADB">
      <w:pPr>
        <w:pStyle w:val="ListParagraph"/>
        <w:numPr>
          <w:ilvl w:val="0"/>
          <w:numId w:val="63"/>
        </w:numPr>
        <w:suppressAutoHyphens w:val="0"/>
        <w:autoSpaceDE w:val="0"/>
        <w:autoSpaceDN w:val="0"/>
        <w:adjustRightInd w:val="0"/>
        <w:spacing w:after="60" w:line="276" w:lineRule="auto"/>
        <w:rPr>
          <w:b/>
          <w:szCs w:val="22"/>
          <w:lang w:val="lv-LV" w:eastAsia="lv-LV"/>
        </w:rPr>
        <w:pPrChange w:id="2281" w:author="Author">
          <w:pPr>
            <w:pStyle w:val="ListParagraph"/>
            <w:suppressAutoHyphens w:val="0"/>
            <w:autoSpaceDE w:val="0"/>
            <w:autoSpaceDN w:val="0"/>
            <w:adjustRightInd w:val="0"/>
            <w:spacing w:after="60" w:line="276" w:lineRule="auto"/>
            <w:ind w:left="567" w:hanging="567"/>
          </w:pPr>
        </w:pPrChange>
      </w:pPr>
      <w:del w:id="2282" w:author="Author">
        <w:r w:rsidDel="002E57E0">
          <w:rPr>
            <w:lang w:val="nb-NO"/>
          </w:rPr>
          <w:sym w:font="Symbol" w:char="F0B7"/>
        </w:r>
        <w:r w:rsidDel="002E57E0">
          <w:rPr>
            <w:lang w:val="nb-NO"/>
          </w:rPr>
          <w:tab/>
        </w:r>
      </w:del>
      <w:r w:rsidR="00F47ADA" w:rsidRPr="00435CE9">
        <w:rPr>
          <w:lang w:val="lv-LV" w:eastAsia="lv-LV"/>
        </w:rPr>
        <w:t xml:space="preserve">Skatieties uz caurspīdīgo lodziņa daļu. Pārbaudiet šķidrumu RoActemra pildspalvveida pilnšļircē </w:t>
      </w:r>
      <w:r w:rsidR="00F47ADA" w:rsidRPr="00435CE9">
        <w:rPr>
          <w:b/>
          <w:lang w:val="lv-LV" w:eastAsia="lv-LV"/>
        </w:rPr>
        <w:t>(skatīt C</w:t>
      </w:r>
      <w:r w:rsidR="00A452F9">
        <w:rPr>
          <w:b/>
          <w:lang w:val="lv-LV" w:eastAsia="lv-LV"/>
        </w:rPr>
        <w:t> </w:t>
      </w:r>
      <w:r w:rsidR="00F47ADA" w:rsidRPr="00435CE9">
        <w:rPr>
          <w:b/>
          <w:lang w:val="lv-LV" w:eastAsia="lv-LV"/>
        </w:rPr>
        <w:t>attēlu).</w:t>
      </w:r>
      <w:r w:rsidR="00F47ADA" w:rsidRPr="00435CE9">
        <w:rPr>
          <w:lang w:val="lv-LV" w:eastAsia="lv-LV"/>
        </w:rPr>
        <w:t xml:space="preserve"> Šķidrumam jābūt dzidram un bezkrāsainam vai bāli dzeltenam. </w:t>
      </w:r>
      <w:r w:rsidR="00F47ADA" w:rsidRPr="00435CE9">
        <w:rPr>
          <w:b/>
          <w:lang w:val="lv-LV" w:eastAsia="lv-LV"/>
        </w:rPr>
        <w:t>Neinjicējiet</w:t>
      </w:r>
      <w:r w:rsidR="00F47ADA" w:rsidRPr="00435CE9">
        <w:rPr>
          <w:lang w:val="lv-LV" w:eastAsia="lv-LV"/>
        </w:rPr>
        <w:t xml:space="preserve"> RoActemra, ja šķidrums ir duļķains vai mainījis krāsu vai ja tajā ir kunkuļi vai daļiņas, jo tādā gadījumā tā lietošana var nebūt droša. Atbilstoši drošības noteikumiem izmetiet pildspalvveida pilnšļirci asu priekšmetu tvertnē un ņemiet jaunu pildspalvveida pilnšļirci.</w:t>
      </w:r>
    </w:p>
    <w:p w14:paraId="51959B83" w14:textId="0B2849B6" w:rsidR="00F47ADA" w:rsidRPr="00435CE9" w:rsidRDefault="00287ADB">
      <w:pPr>
        <w:pStyle w:val="ListParagraph"/>
        <w:numPr>
          <w:ilvl w:val="0"/>
          <w:numId w:val="63"/>
        </w:numPr>
        <w:suppressAutoHyphens w:val="0"/>
        <w:autoSpaceDE w:val="0"/>
        <w:autoSpaceDN w:val="0"/>
        <w:adjustRightInd w:val="0"/>
        <w:spacing w:after="120"/>
        <w:rPr>
          <w:szCs w:val="22"/>
          <w:lang w:val="lv-LV" w:eastAsia="lv-LV"/>
        </w:rPr>
        <w:pPrChange w:id="2283" w:author="Author">
          <w:pPr>
            <w:pStyle w:val="ListParagraph"/>
            <w:suppressAutoHyphens w:val="0"/>
            <w:autoSpaceDE w:val="0"/>
            <w:autoSpaceDN w:val="0"/>
            <w:adjustRightInd w:val="0"/>
            <w:spacing w:after="120"/>
            <w:ind w:left="567" w:hanging="567"/>
          </w:pPr>
        </w:pPrChange>
      </w:pPr>
      <w:del w:id="2284" w:author="Author">
        <w:r w:rsidDel="002E57E0">
          <w:rPr>
            <w:lang w:val="nb-NO"/>
          </w:rPr>
          <w:sym w:font="Symbol" w:char="F0B7"/>
        </w:r>
        <w:r w:rsidDel="002E57E0">
          <w:rPr>
            <w:lang w:val="nb-NO"/>
          </w:rPr>
          <w:tab/>
        </w:r>
      </w:del>
      <w:r w:rsidR="00F47ADA" w:rsidRPr="00435CE9">
        <w:rPr>
          <w:lang w:val="lv-LV" w:eastAsia="lv-LV"/>
        </w:rPr>
        <w:t>Kārtīgi nomazgājiet rokas ar ziepēm un ūdeni.</w:t>
      </w:r>
    </w:p>
    <w:p w14:paraId="737BCC86" w14:textId="0701B834" w:rsidR="00F47ADA" w:rsidRPr="00762735" w:rsidRDefault="00F47ADA" w:rsidP="00F47ADA">
      <w:pPr>
        <w:suppressAutoHyphens w:val="0"/>
        <w:autoSpaceDE w:val="0"/>
        <w:autoSpaceDN w:val="0"/>
        <w:adjustRightInd w:val="0"/>
        <w:spacing w:after="60"/>
        <w:rPr>
          <w:b/>
          <w:szCs w:val="22"/>
          <w:lang w:val="lv-LV" w:eastAsia="lv-LV"/>
        </w:rPr>
      </w:pPr>
      <w:r w:rsidRPr="00762735">
        <w:rPr>
          <w:b/>
          <w:lang w:val="lv-LV" w:eastAsia="lv-LV"/>
        </w:rPr>
        <w:t>2.</w:t>
      </w:r>
      <w:r w:rsidR="00A452F9">
        <w:rPr>
          <w:b/>
          <w:lang w:val="lv-LV" w:eastAsia="lv-LV"/>
        </w:rPr>
        <w:t> </w:t>
      </w:r>
      <w:r w:rsidRPr="00762735">
        <w:rPr>
          <w:b/>
          <w:lang w:val="lv-LV" w:eastAsia="lv-LV"/>
        </w:rPr>
        <w:t>solis. Izvēlieties un sagatavojiet injekcijas vietu</w:t>
      </w:r>
    </w:p>
    <w:p w14:paraId="6F622C02" w14:textId="77777777" w:rsidR="00F47ADA" w:rsidRPr="00762735" w:rsidRDefault="00F47ADA" w:rsidP="00F47ADA">
      <w:pPr>
        <w:suppressAutoHyphens w:val="0"/>
        <w:autoSpaceDE w:val="0"/>
        <w:autoSpaceDN w:val="0"/>
        <w:adjustRightInd w:val="0"/>
        <w:spacing w:after="60"/>
        <w:rPr>
          <w:b/>
          <w:szCs w:val="22"/>
          <w:lang w:val="lv-LV" w:eastAsia="lv-LV"/>
        </w:rPr>
      </w:pPr>
      <w:r w:rsidRPr="00762735">
        <w:rPr>
          <w:b/>
          <w:lang w:val="lv-LV" w:eastAsia="lv-LV"/>
        </w:rPr>
        <w:t>Izvēlieties injekcijas vietu</w:t>
      </w:r>
    </w:p>
    <w:p w14:paraId="243F4855" w14:textId="120B2E14" w:rsidR="00F47ADA" w:rsidRPr="00435CE9" w:rsidRDefault="00287ADB">
      <w:pPr>
        <w:pStyle w:val="ListParagraph"/>
        <w:numPr>
          <w:ilvl w:val="0"/>
          <w:numId w:val="63"/>
        </w:numPr>
        <w:suppressAutoHyphens w:val="0"/>
        <w:autoSpaceDE w:val="0"/>
        <w:autoSpaceDN w:val="0"/>
        <w:adjustRightInd w:val="0"/>
        <w:spacing w:line="276" w:lineRule="auto"/>
        <w:rPr>
          <w:szCs w:val="22"/>
          <w:lang w:val="lv-LV" w:eastAsia="lv-LV"/>
        </w:rPr>
        <w:pPrChange w:id="2285" w:author="Author">
          <w:pPr>
            <w:pStyle w:val="ListParagraph"/>
            <w:suppressAutoHyphens w:val="0"/>
            <w:autoSpaceDE w:val="0"/>
            <w:autoSpaceDN w:val="0"/>
            <w:adjustRightInd w:val="0"/>
            <w:spacing w:line="276" w:lineRule="auto"/>
            <w:ind w:left="567" w:hanging="567"/>
          </w:pPr>
        </w:pPrChange>
      </w:pPr>
      <w:del w:id="2286" w:author="Author">
        <w:r w:rsidDel="002E57E0">
          <w:rPr>
            <w:lang w:val="nb-NO"/>
          </w:rPr>
          <w:sym w:font="Symbol" w:char="F0B7"/>
        </w:r>
        <w:r w:rsidDel="002E57E0">
          <w:rPr>
            <w:lang w:val="nb-NO"/>
          </w:rPr>
          <w:tab/>
        </w:r>
      </w:del>
      <w:r w:rsidR="00F47ADA" w:rsidRPr="00435CE9">
        <w:rPr>
          <w:lang w:val="lv-LV" w:eastAsia="lv-LV"/>
        </w:rPr>
        <w:t xml:space="preserve">Ieteicamās vietas injekcijai ir augšstilbu priekšpuse un vēders, izņemot 5 cm zonu tieši ap nabu </w:t>
      </w:r>
      <w:r w:rsidR="00F47ADA" w:rsidRPr="00435CE9">
        <w:rPr>
          <w:b/>
          <w:lang w:val="lv-LV" w:eastAsia="lv-LV"/>
        </w:rPr>
        <w:t>(skatīt D</w:t>
      </w:r>
      <w:r w:rsidR="00A452F9">
        <w:rPr>
          <w:b/>
          <w:lang w:val="lv-LV" w:eastAsia="lv-LV"/>
        </w:rPr>
        <w:t> </w:t>
      </w:r>
      <w:r w:rsidR="00F47ADA" w:rsidRPr="00435CE9">
        <w:rPr>
          <w:b/>
          <w:lang w:val="lv-LV" w:eastAsia="lv-LV"/>
        </w:rPr>
        <w:t>attēlu).</w:t>
      </w:r>
    </w:p>
    <w:p w14:paraId="2AC6A53E" w14:textId="00B00217" w:rsidR="00F47ADA" w:rsidRPr="00435CE9" w:rsidRDefault="00287ADB">
      <w:pPr>
        <w:pStyle w:val="ListParagraph"/>
        <w:numPr>
          <w:ilvl w:val="0"/>
          <w:numId w:val="63"/>
        </w:numPr>
        <w:suppressAutoHyphens w:val="0"/>
        <w:autoSpaceDE w:val="0"/>
        <w:autoSpaceDN w:val="0"/>
        <w:adjustRightInd w:val="0"/>
        <w:spacing w:after="60"/>
        <w:rPr>
          <w:b/>
          <w:szCs w:val="22"/>
          <w:lang w:val="lv-LV" w:eastAsia="lv-LV"/>
        </w:rPr>
        <w:pPrChange w:id="2287" w:author="Author">
          <w:pPr>
            <w:pStyle w:val="ListParagraph"/>
            <w:suppressAutoHyphens w:val="0"/>
            <w:autoSpaceDE w:val="0"/>
            <w:autoSpaceDN w:val="0"/>
            <w:adjustRightInd w:val="0"/>
            <w:spacing w:after="60"/>
            <w:ind w:left="567" w:hanging="567"/>
          </w:pPr>
        </w:pPrChange>
      </w:pPr>
      <w:del w:id="2288" w:author="Author">
        <w:r w:rsidDel="002E57E0">
          <w:rPr>
            <w:lang w:val="nb-NO"/>
          </w:rPr>
          <w:sym w:font="Symbol" w:char="F0B7"/>
        </w:r>
        <w:r w:rsidDel="002E57E0">
          <w:rPr>
            <w:lang w:val="nb-NO"/>
          </w:rPr>
          <w:tab/>
        </w:r>
      </w:del>
      <w:r w:rsidR="00F47ADA" w:rsidRPr="00435CE9">
        <w:rPr>
          <w:lang w:val="lv-LV" w:eastAsia="lv-LV"/>
        </w:rPr>
        <w:t xml:space="preserve">Tikai tad, ja injekciju veic aprūpētājs, par injekcijas vietu var izmantot arī augšdelmu ārējo daļu. </w:t>
      </w:r>
      <w:del w:id="2289" w:author="Author">
        <w:r w:rsidR="00F47ADA" w:rsidRPr="00435CE9" w:rsidDel="00CE6B8D">
          <w:rPr>
            <w:lang w:val="lv-LV" w:eastAsia="lv-LV"/>
          </w:rPr>
          <w:delText xml:space="preserve"> </w:delText>
        </w:r>
      </w:del>
      <w:r w:rsidR="00F47ADA" w:rsidRPr="00435CE9">
        <w:rPr>
          <w:lang w:val="lv-LV" w:eastAsia="lv-LV"/>
        </w:rPr>
        <w:t xml:space="preserve">Nemēģiniet injicēt zāles augšdelmā patstāvīgi </w:t>
      </w:r>
      <w:r w:rsidR="00F47ADA" w:rsidRPr="00435CE9">
        <w:rPr>
          <w:b/>
          <w:lang w:val="lv-LV" w:eastAsia="lv-LV"/>
        </w:rPr>
        <w:t>(skatīt D</w:t>
      </w:r>
      <w:r w:rsidR="00A452F9">
        <w:rPr>
          <w:b/>
          <w:lang w:val="lv-LV" w:eastAsia="lv-LV"/>
        </w:rPr>
        <w:t> </w:t>
      </w:r>
      <w:r w:rsidR="00F47ADA" w:rsidRPr="00435CE9">
        <w:rPr>
          <w:b/>
          <w:lang w:val="lv-LV" w:eastAsia="lv-LV"/>
        </w:rPr>
        <w:t>attēlu).</w:t>
      </w:r>
    </w:p>
    <w:p w14:paraId="21BE167D" w14:textId="77777777" w:rsidR="00F47ADA" w:rsidRPr="00762735" w:rsidRDefault="00F47ADA" w:rsidP="00F47ADA">
      <w:pPr>
        <w:suppressAutoHyphens w:val="0"/>
        <w:autoSpaceDE w:val="0"/>
        <w:autoSpaceDN w:val="0"/>
        <w:adjustRightInd w:val="0"/>
        <w:spacing w:after="60"/>
        <w:rPr>
          <w:b/>
          <w:szCs w:val="22"/>
          <w:lang w:val="lv-LV" w:eastAsia="lv-LV"/>
        </w:rPr>
      </w:pPr>
      <w:r w:rsidRPr="00762735">
        <w:rPr>
          <w:b/>
          <w:lang w:val="lv-LV" w:eastAsia="lv-LV"/>
        </w:rPr>
        <w:t>Mainiet injekcijas vietu</w:t>
      </w:r>
      <w:del w:id="2290" w:author="Author">
        <w:r w:rsidRPr="00762735" w:rsidDel="00CE6B8D">
          <w:rPr>
            <w:b/>
            <w:lang w:val="lv-LV" w:eastAsia="lv-LV"/>
          </w:rPr>
          <w:delText xml:space="preserve">  </w:delText>
        </w:r>
      </w:del>
    </w:p>
    <w:p w14:paraId="14718085" w14:textId="6F140813" w:rsidR="00F47ADA" w:rsidRPr="00435CE9" w:rsidRDefault="00287ADB">
      <w:pPr>
        <w:pStyle w:val="ListParagraph"/>
        <w:numPr>
          <w:ilvl w:val="0"/>
          <w:numId w:val="63"/>
        </w:numPr>
        <w:suppressAutoHyphens w:val="0"/>
        <w:autoSpaceDE w:val="0"/>
        <w:autoSpaceDN w:val="0"/>
        <w:adjustRightInd w:val="0"/>
        <w:spacing w:after="60"/>
        <w:rPr>
          <w:szCs w:val="22"/>
          <w:lang w:val="lv-LV" w:eastAsia="lv-LV"/>
        </w:rPr>
        <w:pPrChange w:id="2291" w:author="Author">
          <w:pPr>
            <w:pStyle w:val="ListParagraph"/>
            <w:suppressAutoHyphens w:val="0"/>
            <w:autoSpaceDE w:val="0"/>
            <w:autoSpaceDN w:val="0"/>
            <w:adjustRightInd w:val="0"/>
            <w:spacing w:after="60"/>
            <w:ind w:left="567" w:hanging="567"/>
          </w:pPr>
        </w:pPrChange>
      </w:pPr>
      <w:del w:id="2292" w:author="Author">
        <w:r w:rsidDel="002E57E0">
          <w:rPr>
            <w:lang w:val="nb-NO"/>
          </w:rPr>
          <w:sym w:font="Symbol" w:char="F0B7"/>
        </w:r>
        <w:r w:rsidDel="002E57E0">
          <w:rPr>
            <w:lang w:val="nb-NO"/>
          </w:rPr>
          <w:tab/>
        </w:r>
      </w:del>
      <w:r w:rsidR="00F47ADA" w:rsidRPr="00435CE9">
        <w:rPr>
          <w:lang w:val="lv-LV" w:eastAsia="lv-LV"/>
        </w:rPr>
        <w:t>Katrā nākamajā injekcijas reizē izmantojiet citu injekcijas vietu, kas atrodas vismaz 2,5 cm attālumā no iepriekšējās injekcijas vietas.</w:t>
      </w:r>
    </w:p>
    <w:p w14:paraId="615C3040" w14:textId="42323FFD" w:rsidR="00F47ADA" w:rsidRPr="00435CE9" w:rsidRDefault="00287ADB">
      <w:pPr>
        <w:pStyle w:val="ListParagraph"/>
        <w:numPr>
          <w:ilvl w:val="0"/>
          <w:numId w:val="63"/>
        </w:numPr>
        <w:suppressAutoHyphens w:val="0"/>
        <w:autoSpaceDE w:val="0"/>
        <w:autoSpaceDN w:val="0"/>
        <w:adjustRightInd w:val="0"/>
        <w:rPr>
          <w:szCs w:val="22"/>
          <w:lang w:val="lv-LV" w:eastAsia="lv-LV"/>
        </w:rPr>
        <w:pPrChange w:id="2293" w:author="Author">
          <w:pPr>
            <w:pStyle w:val="ListParagraph"/>
            <w:suppressAutoHyphens w:val="0"/>
            <w:autoSpaceDE w:val="0"/>
            <w:autoSpaceDN w:val="0"/>
            <w:adjustRightInd w:val="0"/>
            <w:ind w:left="567" w:hanging="567"/>
          </w:pPr>
        </w:pPrChange>
      </w:pPr>
      <w:del w:id="2294" w:author="Author">
        <w:r w:rsidDel="002E57E0">
          <w:rPr>
            <w:lang w:val="nb-NO"/>
          </w:rPr>
          <w:sym w:font="Symbol" w:char="F0B7"/>
        </w:r>
        <w:r w:rsidDel="002E57E0">
          <w:rPr>
            <w:lang w:val="nb-NO"/>
          </w:rPr>
          <w:tab/>
        </w:r>
      </w:del>
      <w:r w:rsidR="00F47ADA" w:rsidRPr="00435CE9">
        <w:rPr>
          <w:lang w:val="lv-LV" w:eastAsia="lv-LV"/>
        </w:rPr>
        <w:t>Injekciju nedrīkst veikt dzimumzīmēs, rētās, asinsizplūdumos vai vietās, kur āda ir jutīga, piesārtusi, sacietējusi vai bojāta.</w:t>
      </w:r>
    </w:p>
    <w:p w14:paraId="28B40176" w14:textId="77777777" w:rsidR="00F47ADA" w:rsidRPr="00762735" w:rsidRDefault="00F47ADA" w:rsidP="00F47ADA">
      <w:pPr>
        <w:suppressAutoHyphens w:val="0"/>
        <w:autoSpaceDE w:val="0"/>
        <w:autoSpaceDN w:val="0"/>
        <w:adjustRightInd w:val="0"/>
        <w:rPr>
          <w:szCs w:val="22"/>
          <w:lang w:val="lv-LV" w:eastAsia="lv-LV"/>
        </w:rPr>
      </w:pPr>
    </w:p>
    <w:p w14:paraId="1CA8C929" w14:textId="77777777" w:rsidR="00F47ADA" w:rsidRPr="00762735" w:rsidRDefault="00F47ADA" w:rsidP="00F47ADA">
      <w:pPr>
        <w:suppressAutoHyphens w:val="0"/>
        <w:autoSpaceDE w:val="0"/>
        <w:autoSpaceDN w:val="0"/>
        <w:adjustRightInd w:val="0"/>
        <w:jc w:val="center"/>
        <w:rPr>
          <w:szCs w:val="22"/>
          <w:lang w:val="lv-LV" w:eastAsia="lv-LV"/>
        </w:rPr>
      </w:pPr>
      <w:r w:rsidRPr="00762735">
        <w:rPr>
          <w:noProof/>
          <w:szCs w:val="22"/>
          <w:lang w:eastAsia="en-US"/>
        </w:rPr>
        <w:drawing>
          <wp:inline distT="0" distB="0" distL="0" distR="0" wp14:anchorId="7026853D" wp14:editId="10D2622F">
            <wp:extent cx="3352800" cy="2905125"/>
            <wp:effectExtent l="0" t="0" r="0" b="0"/>
            <wp:docPr id="14" name="Picture 14" descr="in3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3z"/>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52800" cy="2905125"/>
                    </a:xfrm>
                    <a:prstGeom prst="rect">
                      <a:avLst/>
                    </a:prstGeom>
                    <a:noFill/>
                    <a:ln>
                      <a:noFill/>
                    </a:ln>
                  </pic:spPr>
                </pic:pic>
              </a:graphicData>
            </a:graphic>
          </wp:inline>
        </w:drawing>
      </w:r>
    </w:p>
    <w:p w14:paraId="1239F3B4" w14:textId="78AAAAFC" w:rsidR="00F47ADA" w:rsidRPr="00762735" w:rsidRDefault="00F47ADA" w:rsidP="00F47ADA">
      <w:pPr>
        <w:suppressAutoHyphens w:val="0"/>
        <w:autoSpaceDE w:val="0"/>
        <w:autoSpaceDN w:val="0"/>
        <w:adjustRightInd w:val="0"/>
        <w:jc w:val="center"/>
        <w:rPr>
          <w:b/>
          <w:szCs w:val="22"/>
          <w:lang w:val="lv-LV" w:eastAsia="lv-LV"/>
        </w:rPr>
      </w:pPr>
      <w:r w:rsidRPr="00762735">
        <w:rPr>
          <w:b/>
          <w:lang w:val="lv-LV" w:eastAsia="lv-LV"/>
        </w:rPr>
        <w:t>D</w:t>
      </w:r>
      <w:r w:rsidR="00A452F9">
        <w:rPr>
          <w:b/>
          <w:lang w:val="lv-LV" w:eastAsia="lv-LV"/>
        </w:rPr>
        <w:t> </w:t>
      </w:r>
      <w:r w:rsidRPr="00762735">
        <w:rPr>
          <w:b/>
          <w:lang w:val="lv-LV" w:eastAsia="lv-LV"/>
        </w:rPr>
        <w:t>attēls</w:t>
      </w:r>
    </w:p>
    <w:p w14:paraId="5446F0A5" w14:textId="77777777" w:rsidR="00F47ADA" w:rsidRPr="00762735" w:rsidRDefault="00F47ADA" w:rsidP="00F47ADA">
      <w:pPr>
        <w:suppressAutoHyphens w:val="0"/>
        <w:autoSpaceDE w:val="0"/>
        <w:autoSpaceDN w:val="0"/>
        <w:adjustRightInd w:val="0"/>
        <w:spacing w:after="60"/>
        <w:rPr>
          <w:b/>
          <w:szCs w:val="22"/>
          <w:lang w:val="lv-LV" w:eastAsia="lv-LV"/>
        </w:rPr>
      </w:pPr>
    </w:p>
    <w:p w14:paraId="408AC2E2" w14:textId="77777777" w:rsidR="00F47ADA" w:rsidRPr="00762735" w:rsidRDefault="00F47ADA" w:rsidP="00F47ADA">
      <w:pPr>
        <w:suppressAutoHyphens w:val="0"/>
        <w:autoSpaceDE w:val="0"/>
        <w:autoSpaceDN w:val="0"/>
        <w:adjustRightInd w:val="0"/>
        <w:spacing w:after="60"/>
        <w:rPr>
          <w:b/>
          <w:szCs w:val="22"/>
          <w:lang w:val="lv-LV" w:eastAsia="lv-LV"/>
        </w:rPr>
      </w:pPr>
      <w:r w:rsidRPr="00762735">
        <w:rPr>
          <w:b/>
          <w:lang w:val="lv-LV" w:eastAsia="lv-LV"/>
        </w:rPr>
        <w:t>Sagatavojiet injekcijas vietu</w:t>
      </w:r>
    </w:p>
    <w:p w14:paraId="266322E2" w14:textId="705A797E" w:rsidR="00F47ADA" w:rsidRPr="00435CE9" w:rsidRDefault="00287ADB">
      <w:pPr>
        <w:pStyle w:val="ListParagraph"/>
        <w:numPr>
          <w:ilvl w:val="0"/>
          <w:numId w:val="63"/>
        </w:numPr>
        <w:suppressAutoHyphens w:val="0"/>
        <w:autoSpaceDE w:val="0"/>
        <w:autoSpaceDN w:val="0"/>
        <w:adjustRightInd w:val="0"/>
        <w:spacing w:after="60"/>
        <w:rPr>
          <w:szCs w:val="22"/>
          <w:lang w:val="lv-LV" w:eastAsia="lv-LV"/>
        </w:rPr>
        <w:pPrChange w:id="2295" w:author="Author">
          <w:pPr>
            <w:pStyle w:val="ListParagraph"/>
            <w:suppressAutoHyphens w:val="0"/>
            <w:autoSpaceDE w:val="0"/>
            <w:autoSpaceDN w:val="0"/>
            <w:adjustRightInd w:val="0"/>
            <w:spacing w:after="60"/>
            <w:ind w:left="567" w:hanging="567"/>
          </w:pPr>
        </w:pPrChange>
      </w:pPr>
      <w:del w:id="2296" w:author="Author">
        <w:r w:rsidDel="002E57E0">
          <w:rPr>
            <w:lang w:val="nb-NO"/>
          </w:rPr>
          <w:sym w:font="Symbol" w:char="F0B7"/>
        </w:r>
        <w:r w:rsidDel="002E57E0">
          <w:rPr>
            <w:lang w:val="nb-NO"/>
          </w:rPr>
          <w:tab/>
        </w:r>
      </w:del>
      <w:r w:rsidR="00F47ADA" w:rsidRPr="00435CE9">
        <w:rPr>
          <w:lang w:val="lv-LV" w:eastAsia="lv-LV"/>
        </w:rPr>
        <w:t>Lai mazinātu iespējamību inficēties, ar apļveida kustībām notīriet injekcijas vietu ar spirta salveti un ļaujiet tai nožūt. Pirms injekcijas vēlreiz</w:t>
      </w:r>
      <w:r w:rsidR="00F47ADA" w:rsidRPr="00435CE9">
        <w:rPr>
          <w:b/>
          <w:lang w:val="lv-LV" w:eastAsia="lv-LV"/>
        </w:rPr>
        <w:t xml:space="preserve"> nepieskarieties </w:t>
      </w:r>
      <w:r w:rsidR="00F47ADA" w:rsidRPr="00435CE9">
        <w:rPr>
          <w:lang w:val="lv-LV" w:eastAsia="lv-LV"/>
        </w:rPr>
        <w:t xml:space="preserve">injekcijas vietai. </w:t>
      </w:r>
    </w:p>
    <w:p w14:paraId="443DF638" w14:textId="771E4E15" w:rsidR="00F47ADA" w:rsidRPr="00435CE9" w:rsidRDefault="00287ADB">
      <w:pPr>
        <w:pStyle w:val="ListParagraph"/>
        <w:numPr>
          <w:ilvl w:val="0"/>
          <w:numId w:val="63"/>
        </w:numPr>
        <w:suppressAutoHyphens w:val="0"/>
        <w:autoSpaceDE w:val="0"/>
        <w:autoSpaceDN w:val="0"/>
        <w:adjustRightInd w:val="0"/>
        <w:spacing w:after="60"/>
        <w:rPr>
          <w:szCs w:val="22"/>
          <w:lang w:val="lv-LV" w:eastAsia="lv-LV"/>
        </w:rPr>
        <w:pPrChange w:id="2297" w:author="Author">
          <w:pPr>
            <w:pStyle w:val="ListParagraph"/>
            <w:suppressAutoHyphens w:val="0"/>
            <w:autoSpaceDE w:val="0"/>
            <w:autoSpaceDN w:val="0"/>
            <w:adjustRightInd w:val="0"/>
            <w:spacing w:after="60"/>
            <w:ind w:left="567" w:hanging="567"/>
          </w:pPr>
        </w:pPrChange>
      </w:pPr>
      <w:del w:id="2298" w:author="Author">
        <w:r w:rsidDel="002E57E0">
          <w:rPr>
            <w:lang w:val="nb-NO"/>
          </w:rPr>
          <w:sym w:font="Symbol" w:char="F0B7"/>
        </w:r>
        <w:r w:rsidDel="002E57E0">
          <w:rPr>
            <w:lang w:val="nb-NO"/>
          </w:rPr>
          <w:tab/>
        </w:r>
      </w:del>
      <w:r w:rsidR="00F47ADA" w:rsidRPr="00707120">
        <w:rPr>
          <w:b/>
          <w:lang w:val="lv-LV" w:eastAsia="lv-LV"/>
        </w:rPr>
        <w:t>Neapvēdiniet to un nepūtiet</w:t>
      </w:r>
      <w:r w:rsidR="00F47ADA" w:rsidRPr="00435CE9">
        <w:rPr>
          <w:lang w:val="lv-LV" w:eastAsia="lv-LV"/>
        </w:rPr>
        <w:t xml:space="preserve"> gaisu uz tās.</w:t>
      </w:r>
    </w:p>
    <w:p w14:paraId="181B8C13" w14:textId="3259AE72" w:rsidR="00F47ADA" w:rsidRPr="00762735" w:rsidRDefault="00F47ADA" w:rsidP="00F47ADA">
      <w:pPr>
        <w:suppressAutoHyphens w:val="0"/>
        <w:spacing w:after="60"/>
        <w:rPr>
          <w:szCs w:val="22"/>
          <w:lang w:val="lv-LV" w:eastAsia="lv-LV"/>
        </w:rPr>
      </w:pPr>
      <w:r w:rsidRPr="00762735">
        <w:rPr>
          <w:b/>
          <w:lang w:val="lv-LV" w:eastAsia="lv-LV"/>
        </w:rPr>
        <w:t>3.</w:t>
      </w:r>
      <w:r w:rsidR="00A452F9">
        <w:rPr>
          <w:b/>
          <w:lang w:val="lv-LV" w:eastAsia="lv-LV"/>
        </w:rPr>
        <w:t> </w:t>
      </w:r>
      <w:r w:rsidRPr="00762735">
        <w:rPr>
          <w:b/>
          <w:lang w:val="lv-LV" w:eastAsia="lv-LV"/>
        </w:rPr>
        <w:t xml:space="preserve">solis. Injicējiet </w:t>
      </w:r>
      <w:r>
        <w:rPr>
          <w:b/>
          <w:lang w:val="lv-LV" w:eastAsia="lv-LV"/>
        </w:rPr>
        <w:t>RoActemra</w:t>
      </w:r>
    </w:p>
    <w:p w14:paraId="73D9848C" w14:textId="3F24ED4B" w:rsidR="00F47ADA" w:rsidRPr="00435CE9" w:rsidRDefault="00287ADB">
      <w:pPr>
        <w:pStyle w:val="ListParagraph"/>
        <w:numPr>
          <w:ilvl w:val="0"/>
          <w:numId w:val="63"/>
        </w:numPr>
        <w:suppressAutoHyphens w:val="0"/>
        <w:autoSpaceDE w:val="0"/>
        <w:autoSpaceDN w:val="0"/>
        <w:adjustRightInd w:val="0"/>
        <w:spacing w:after="120" w:line="276" w:lineRule="auto"/>
        <w:rPr>
          <w:szCs w:val="22"/>
          <w:lang w:val="lv-LV" w:eastAsia="lv-LV"/>
        </w:rPr>
        <w:pPrChange w:id="2299" w:author="Author">
          <w:pPr>
            <w:pStyle w:val="ListParagraph"/>
            <w:suppressAutoHyphens w:val="0"/>
            <w:autoSpaceDE w:val="0"/>
            <w:autoSpaceDN w:val="0"/>
            <w:adjustRightInd w:val="0"/>
            <w:spacing w:after="120" w:line="276" w:lineRule="auto"/>
            <w:ind w:left="567" w:hanging="567"/>
          </w:pPr>
        </w:pPrChange>
      </w:pPr>
      <w:del w:id="2300" w:author="Author">
        <w:r w:rsidDel="002E57E0">
          <w:rPr>
            <w:lang w:val="nb-NO"/>
          </w:rPr>
          <w:sym w:font="Symbol" w:char="F0B7"/>
        </w:r>
        <w:r w:rsidDel="002E57E0">
          <w:rPr>
            <w:lang w:val="nb-NO"/>
          </w:rPr>
          <w:tab/>
        </w:r>
      </w:del>
      <w:r w:rsidR="00F47ADA" w:rsidRPr="00435CE9">
        <w:rPr>
          <w:lang w:val="lv-LV" w:eastAsia="lv-LV"/>
        </w:rPr>
        <w:t xml:space="preserve">Ar vienu roku stingri turiet RoActemra pildspalvveida pilnšļirci. Ar otru roku pagrieziet un noņemiet zaļo vāciņu </w:t>
      </w:r>
      <w:r w:rsidR="00F47ADA" w:rsidRPr="00435CE9">
        <w:rPr>
          <w:b/>
          <w:lang w:val="lv-LV" w:eastAsia="lv-LV"/>
        </w:rPr>
        <w:t>(skatīt E</w:t>
      </w:r>
      <w:r w:rsidR="00A452F9">
        <w:rPr>
          <w:b/>
          <w:lang w:val="lv-LV" w:eastAsia="lv-LV"/>
        </w:rPr>
        <w:t> </w:t>
      </w:r>
      <w:r w:rsidR="00F47ADA" w:rsidRPr="00435CE9">
        <w:rPr>
          <w:b/>
          <w:lang w:val="lv-LV" w:eastAsia="lv-LV"/>
        </w:rPr>
        <w:t>attēlu).</w:t>
      </w:r>
      <w:r w:rsidR="00F47ADA" w:rsidRPr="00435CE9">
        <w:rPr>
          <w:lang w:val="lv-LV" w:eastAsia="lv-LV"/>
        </w:rPr>
        <w:t xml:space="preserve"> Zaļajā vāciņā ir vaļīga metāla caurulīte. </w:t>
      </w:r>
    </w:p>
    <w:p w14:paraId="7ABEF248" w14:textId="2E5D02BF" w:rsidR="00F47ADA" w:rsidRPr="00435CE9" w:rsidRDefault="00287ADB">
      <w:pPr>
        <w:pStyle w:val="ListParagraph"/>
        <w:numPr>
          <w:ilvl w:val="0"/>
          <w:numId w:val="63"/>
        </w:numPr>
        <w:suppressAutoHyphens w:val="0"/>
        <w:autoSpaceDE w:val="0"/>
        <w:autoSpaceDN w:val="0"/>
        <w:adjustRightInd w:val="0"/>
        <w:spacing w:after="120" w:line="276" w:lineRule="auto"/>
        <w:rPr>
          <w:szCs w:val="22"/>
          <w:lang w:val="lv-LV" w:eastAsia="lv-LV"/>
        </w:rPr>
        <w:pPrChange w:id="2301" w:author="Author">
          <w:pPr>
            <w:pStyle w:val="ListParagraph"/>
            <w:suppressAutoHyphens w:val="0"/>
            <w:autoSpaceDE w:val="0"/>
            <w:autoSpaceDN w:val="0"/>
            <w:adjustRightInd w:val="0"/>
            <w:spacing w:after="120" w:line="276" w:lineRule="auto"/>
            <w:ind w:left="567" w:hanging="567"/>
          </w:pPr>
        </w:pPrChange>
      </w:pPr>
      <w:del w:id="2302" w:author="Author">
        <w:r w:rsidDel="002E57E0">
          <w:rPr>
            <w:lang w:val="nb-NO"/>
          </w:rPr>
          <w:sym w:font="Symbol" w:char="F0B7"/>
        </w:r>
        <w:r w:rsidDel="002E57E0">
          <w:rPr>
            <w:lang w:val="nb-NO"/>
          </w:rPr>
          <w:tab/>
        </w:r>
      </w:del>
      <w:r w:rsidR="00F47ADA" w:rsidRPr="00435CE9">
        <w:rPr>
          <w:lang w:val="lv-LV" w:eastAsia="lv-LV"/>
        </w:rPr>
        <w:t xml:space="preserve">Ja nevarat noņemt zaļo vāciņu, Jums jālūdz palīdzība aprūpētājam vai jāsazinās ar veselības aprūpes speciālistu. </w:t>
      </w:r>
    </w:p>
    <w:p w14:paraId="0A61A514" w14:textId="77777777" w:rsidR="00F47ADA" w:rsidRPr="00762735" w:rsidRDefault="00F47ADA" w:rsidP="00F47ADA">
      <w:pPr>
        <w:suppressAutoHyphens w:val="0"/>
        <w:autoSpaceDE w:val="0"/>
        <w:autoSpaceDN w:val="0"/>
        <w:adjustRightInd w:val="0"/>
        <w:ind w:left="1080"/>
        <w:rPr>
          <w:szCs w:val="22"/>
          <w:lang w:val="lv-LV" w:eastAsia="lv-LV"/>
        </w:rPr>
      </w:pPr>
    </w:p>
    <w:p w14:paraId="5F06998D" w14:textId="77777777" w:rsidR="00F47ADA" w:rsidRPr="00762735" w:rsidRDefault="00F47ADA" w:rsidP="00F47ADA">
      <w:pPr>
        <w:suppressAutoHyphens w:val="0"/>
        <w:autoSpaceDE w:val="0"/>
        <w:autoSpaceDN w:val="0"/>
        <w:adjustRightInd w:val="0"/>
        <w:spacing w:after="120"/>
        <w:jc w:val="center"/>
        <w:rPr>
          <w:szCs w:val="22"/>
          <w:lang w:val="lv-LV" w:eastAsia="lv-LV"/>
        </w:rPr>
      </w:pPr>
    </w:p>
    <w:p w14:paraId="1B3D9349" w14:textId="77777777" w:rsidR="00F47ADA" w:rsidRPr="00762735" w:rsidRDefault="00F47ADA" w:rsidP="00F47ADA">
      <w:pPr>
        <w:suppressAutoHyphens w:val="0"/>
        <w:autoSpaceDE w:val="0"/>
        <w:autoSpaceDN w:val="0"/>
        <w:adjustRightInd w:val="0"/>
        <w:spacing w:after="120"/>
        <w:jc w:val="center"/>
        <w:rPr>
          <w:szCs w:val="22"/>
          <w:lang w:val="lv-LV" w:eastAsia="lv-LV"/>
        </w:rPr>
      </w:pPr>
      <w:r w:rsidRPr="00762735">
        <w:rPr>
          <w:noProof/>
          <w:szCs w:val="22"/>
          <w:lang w:eastAsia="en-US"/>
        </w:rPr>
        <w:drawing>
          <wp:inline distT="0" distB="0" distL="0" distR="0" wp14:anchorId="720D63A3" wp14:editId="06B457C2">
            <wp:extent cx="2238375" cy="1762125"/>
            <wp:effectExtent l="0" t="0" r="0" b="0"/>
            <wp:docPr id="15" name="Picture 15" descr="in4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4z"/>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8375" cy="1762125"/>
                    </a:xfrm>
                    <a:prstGeom prst="rect">
                      <a:avLst/>
                    </a:prstGeom>
                    <a:noFill/>
                    <a:ln>
                      <a:noFill/>
                    </a:ln>
                  </pic:spPr>
                </pic:pic>
              </a:graphicData>
            </a:graphic>
          </wp:inline>
        </w:drawing>
      </w:r>
    </w:p>
    <w:p w14:paraId="244821ED" w14:textId="50F5A3B2" w:rsidR="00F47ADA" w:rsidRPr="00762735" w:rsidRDefault="00F47ADA" w:rsidP="00F47ADA">
      <w:pPr>
        <w:suppressAutoHyphens w:val="0"/>
        <w:autoSpaceDE w:val="0"/>
        <w:autoSpaceDN w:val="0"/>
        <w:adjustRightInd w:val="0"/>
        <w:spacing w:after="120"/>
        <w:jc w:val="center"/>
        <w:rPr>
          <w:b/>
          <w:szCs w:val="22"/>
          <w:lang w:val="lv-LV" w:eastAsia="lv-LV"/>
        </w:rPr>
      </w:pPr>
      <w:r w:rsidRPr="00762735">
        <w:rPr>
          <w:b/>
          <w:lang w:val="lv-LV" w:eastAsia="lv-LV"/>
        </w:rPr>
        <w:t>E</w:t>
      </w:r>
      <w:r w:rsidR="00A452F9">
        <w:rPr>
          <w:b/>
          <w:lang w:val="lv-LV" w:eastAsia="lv-LV"/>
        </w:rPr>
        <w:t> </w:t>
      </w:r>
      <w:r w:rsidRPr="00762735">
        <w:rPr>
          <w:b/>
          <w:lang w:val="lv-LV" w:eastAsia="lv-LV"/>
        </w:rPr>
        <w:t>attēls</w:t>
      </w:r>
    </w:p>
    <w:p w14:paraId="7E4A42BB" w14:textId="7A95CC69" w:rsidR="00F47ADA" w:rsidRPr="00762735" w:rsidRDefault="00F47ADA" w:rsidP="00F47ADA">
      <w:pPr>
        <w:suppressAutoHyphens w:val="0"/>
        <w:autoSpaceDE w:val="0"/>
        <w:autoSpaceDN w:val="0"/>
        <w:adjustRightInd w:val="0"/>
        <w:spacing w:after="60"/>
        <w:ind w:left="720"/>
        <w:rPr>
          <w:szCs w:val="22"/>
          <w:lang w:val="lv-LV" w:eastAsia="lv-LV"/>
        </w:rPr>
      </w:pPr>
      <w:r w:rsidRPr="00762735">
        <w:rPr>
          <w:b/>
          <w:lang w:val="lv-LV" w:eastAsia="lv-LV"/>
        </w:rPr>
        <w:t xml:space="preserve">Svarīgi: lai izvairītos no nejaušas savainošanās ar adatu, nepieskarieties adatas </w:t>
      </w:r>
      <w:r>
        <w:rPr>
          <w:b/>
          <w:lang w:val="lv-LV" w:eastAsia="lv-LV"/>
        </w:rPr>
        <w:t>uzgalim</w:t>
      </w:r>
      <w:r w:rsidRPr="00762735">
        <w:rPr>
          <w:b/>
          <w:lang w:val="lv-LV" w:eastAsia="lv-LV"/>
        </w:rPr>
        <w:t xml:space="preserve">, kas atrodas </w:t>
      </w:r>
      <w:r>
        <w:rPr>
          <w:b/>
          <w:lang w:val="lv-LV" w:eastAsia="lv-LV"/>
        </w:rPr>
        <w:t>pildspalvveida pilnšļirces</w:t>
      </w:r>
      <w:r w:rsidRPr="00762735">
        <w:rPr>
          <w:b/>
          <w:lang w:val="lv-LV" w:eastAsia="lv-LV"/>
        </w:rPr>
        <w:t xml:space="preserve"> galā zem lodziņa daļas (skatīt A</w:t>
      </w:r>
      <w:r w:rsidR="00A452F9">
        <w:rPr>
          <w:b/>
          <w:lang w:val="lv-LV" w:eastAsia="lv-LV"/>
        </w:rPr>
        <w:t> </w:t>
      </w:r>
      <w:r w:rsidRPr="00762735">
        <w:rPr>
          <w:b/>
          <w:lang w:val="lv-LV" w:eastAsia="lv-LV"/>
        </w:rPr>
        <w:t>attēlu).</w:t>
      </w:r>
    </w:p>
    <w:p w14:paraId="01EF04A3" w14:textId="438430A0" w:rsidR="00F47ADA" w:rsidRPr="00435CE9" w:rsidRDefault="00287ADB">
      <w:pPr>
        <w:pStyle w:val="ListParagraph"/>
        <w:numPr>
          <w:ilvl w:val="0"/>
          <w:numId w:val="63"/>
        </w:numPr>
        <w:suppressAutoHyphens w:val="0"/>
        <w:autoSpaceDE w:val="0"/>
        <w:autoSpaceDN w:val="0"/>
        <w:adjustRightInd w:val="0"/>
        <w:spacing w:after="60"/>
        <w:rPr>
          <w:szCs w:val="22"/>
          <w:lang w:val="lv-LV" w:eastAsia="lv-LV"/>
        </w:rPr>
        <w:pPrChange w:id="2303" w:author="Author">
          <w:pPr>
            <w:pStyle w:val="ListParagraph"/>
            <w:suppressAutoHyphens w:val="0"/>
            <w:autoSpaceDE w:val="0"/>
            <w:autoSpaceDN w:val="0"/>
            <w:adjustRightInd w:val="0"/>
            <w:spacing w:after="60"/>
            <w:ind w:left="567" w:hanging="567"/>
          </w:pPr>
        </w:pPrChange>
      </w:pPr>
      <w:del w:id="2304" w:author="Author">
        <w:r w:rsidDel="002E57E0">
          <w:rPr>
            <w:lang w:val="nb-NO"/>
          </w:rPr>
          <w:sym w:font="Symbol" w:char="F0B7"/>
        </w:r>
        <w:r w:rsidDel="002E57E0">
          <w:rPr>
            <w:lang w:val="nb-NO"/>
          </w:rPr>
          <w:tab/>
        </w:r>
      </w:del>
      <w:r w:rsidR="00F47ADA" w:rsidRPr="00435CE9">
        <w:rPr>
          <w:lang w:val="lv-LV" w:eastAsia="lv-LV"/>
        </w:rPr>
        <w:t>Izmetiet zaļo vāciņu asu priekšmetu tvertnē.</w:t>
      </w:r>
    </w:p>
    <w:p w14:paraId="499188B4" w14:textId="5A184126" w:rsidR="00F47ADA" w:rsidRPr="00435CE9" w:rsidRDefault="00287ADB">
      <w:pPr>
        <w:pStyle w:val="ListParagraph"/>
        <w:numPr>
          <w:ilvl w:val="0"/>
          <w:numId w:val="63"/>
        </w:numPr>
        <w:suppressAutoHyphens w:val="0"/>
        <w:autoSpaceDE w:val="0"/>
        <w:autoSpaceDN w:val="0"/>
        <w:adjustRightInd w:val="0"/>
        <w:spacing w:after="60"/>
        <w:rPr>
          <w:szCs w:val="22"/>
          <w:lang w:val="lv-LV" w:eastAsia="lv-LV"/>
        </w:rPr>
        <w:pPrChange w:id="2305" w:author="Author">
          <w:pPr>
            <w:pStyle w:val="ListParagraph"/>
            <w:suppressAutoHyphens w:val="0"/>
            <w:autoSpaceDE w:val="0"/>
            <w:autoSpaceDN w:val="0"/>
            <w:adjustRightInd w:val="0"/>
            <w:spacing w:after="60"/>
            <w:ind w:left="567" w:hanging="567"/>
          </w:pPr>
        </w:pPrChange>
      </w:pPr>
      <w:del w:id="2306" w:author="Author">
        <w:r w:rsidDel="002E57E0">
          <w:rPr>
            <w:lang w:val="nb-NO"/>
          </w:rPr>
          <w:sym w:font="Symbol" w:char="F0B7"/>
        </w:r>
        <w:r w:rsidDel="002E57E0">
          <w:rPr>
            <w:lang w:val="nb-NO"/>
          </w:rPr>
          <w:tab/>
        </w:r>
      </w:del>
      <w:r w:rsidR="00F47ADA" w:rsidRPr="00435CE9">
        <w:rPr>
          <w:lang w:val="lv-LV" w:eastAsia="lv-LV"/>
        </w:rPr>
        <w:t>Pēc zaļā vāciņa noņemšanas pildspalvveida pilnšļirce ir gatava lietošanai. Ja pildspalvveida pilnšļirce netiek lietota 3</w:t>
      </w:r>
      <w:r w:rsidR="00F47ADA">
        <w:rPr>
          <w:lang w:val="lv-LV" w:eastAsia="lv-LV"/>
        </w:rPr>
        <w:t> </w:t>
      </w:r>
      <w:r w:rsidR="00F47ADA" w:rsidRPr="00435CE9">
        <w:rPr>
          <w:lang w:val="lv-LV" w:eastAsia="lv-LV"/>
        </w:rPr>
        <w:t>minūšu laikā pēc vāciņa noņemšanas, tā jāizmet asu priekšmetu tvertnē un jāizmanto jauna pildspalvveida pilnšļirce.</w:t>
      </w:r>
    </w:p>
    <w:p w14:paraId="6F3630AA" w14:textId="593DC910" w:rsidR="00F47ADA" w:rsidRPr="00435CE9" w:rsidRDefault="00287ADB">
      <w:pPr>
        <w:pStyle w:val="ListParagraph"/>
        <w:numPr>
          <w:ilvl w:val="0"/>
          <w:numId w:val="63"/>
        </w:numPr>
        <w:suppressAutoHyphens w:val="0"/>
        <w:autoSpaceDE w:val="0"/>
        <w:autoSpaceDN w:val="0"/>
        <w:adjustRightInd w:val="0"/>
        <w:spacing w:after="60"/>
        <w:rPr>
          <w:szCs w:val="22"/>
          <w:lang w:val="lv-LV" w:eastAsia="lv-LV"/>
        </w:rPr>
        <w:pPrChange w:id="2307" w:author="Author">
          <w:pPr>
            <w:pStyle w:val="ListParagraph"/>
            <w:suppressAutoHyphens w:val="0"/>
            <w:autoSpaceDE w:val="0"/>
            <w:autoSpaceDN w:val="0"/>
            <w:adjustRightInd w:val="0"/>
            <w:spacing w:after="60"/>
            <w:ind w:left="567" w:hanging="567"/>
          </w:pPr>
        </w:pPrChange>
      </w:pPr>
      <w:del w:id="2308" w:author="Author">
        <w:r w:rsidDel="002E57E0">
          <w:rPr>
            <w:lang w:val="nb-NO"/>
          </w:rPr>
          <w:sym w:font="Symbol" w:char="F0B7"/>
        </w:r>
        <w:r w:rsidDel="002E57E0">
          <w:rPr>
            <w:lang w:val="nb-NO"/>
          </w:rPr>
          <w:tab/>
        </w:r>
      </w:del>
      <w:r w:rsidR="00F47ADA" w:rsidRPr="00435CE9">
        <w:rPr>
          <w:lang w:val="lv-LV" w:eastAsia="lv-LV"/>
        </w:rPr>
        <w:t>Pēc zaļā vāciņa noņemšanas nekad necentieties to uzlikt atpakaļ.</w:t>
      </w:r>
    </w:p>
    <w:p w14:paraId="0CF5E159" w14:textId="5CABE167" w:rsidR="00F47ADA" w:rsidRPr="00435CE9" w:rsidRDefault="00287ADB">
      <w:pPr>
        <w:pStyle w:val="ListParagraph"/>
        <w:numPr>
          <w:ilvl w:val="0"/>
          <w:numId w:val="63"/>
        </w:numPr>
        <w:suppressAutoHyphens w:val="0"/>
        <w:autoSpaceDE w:val="0"/>
        <w:autoSpaceDN w:val="0"/>
        <w:adjustRightInd w:val="0"/>
        <w:spacing w:after="60"/>
        <w:rPr>
          <w:szCs w:val="22"/>
          <w:lang w:val="lv-LV" w:eastAsia="lv-LV"/>
        </w:rPr>
        <w:pPrChange w:id="2309" w:author="Author">
          <w:pPr>
            <w:pStyle w:val="ListParagraph"/>
            <w:suppressAutoHyphens w:val="0"/>
            <w:autoSpaceDE w:val="0"/>
            <w:autoSpaceDN w:val="0"/>
            <w:adjustRightInd w:val="0"/>
            <w:spacing w:after="60"/>
            <w:ind w:left="567" w:hanging="567"/>
          </w:pPr>
        </w:pPrChange>
      </w:pPr>
      <w:del w:id="2310" w:author="Author">
        <w:r w:rsidDel="002E57E0">
          <w:rPr>
            <w:lang w:val="nb-NO"/>
          </w:rPr>
          <w:sym w:font="Symbol" w:char="F0B7"/>
        </w:r>
        <w:r w:rsidDel="002E57E0">
          <w:rPr>
            <w:lang w:val="nb-NO"/>
          </w:rPr>
          <w:tab/>
        </w:r>
      </w:del>
      <w:r w:rsidR="00F47ADA" w:rsidRPr="00435CE9">
        <w:rPr>
          <w:lang w:val="lv-LV" w:eastAsia="lv-LV"/>
        </w:rPr>
        <w:t xml:space="preserve">Ērti turiet pildspalvveida pilnšļirci vienā rokā, satvertu aiz augšējās daļas tā, lai būtu redzama pildspalvveida pilnšļirces lodziņa daļa </w:t>
      </w:r>
      <w:r w:rsidR="00F47ADA" w:rsidRPr="00435CE9">
        <w:rPr>
          <w:b/>
          <w:lang w:val="lv-LV" w:eastAsia="lv-LV"/>
        </w:rPr>
        <w:t>(skatīt F</w:t>
      </w:r>
      <w:r w:rsidR="00A452F9">
        <w:rPr>
          <w:b/>
          <w:lang w:val="lv-LV" w:eastAsia="lv-LV"/>
        </w:rPr>
        <w:t> </w:t>
      </w:r>
      <w:r w:rsidR="00F47ADA" w:rsidRPr="00435CE9">
        <w:rPr>
          <w:b/>
          <w:lang w:val="lv-LV" w:eastAsia="lv-LV"/>
        </w:rPr>
        <w:t>attēlu).</w:t>
      </w:r>
      <w:del w:id="2311" w:author="Author">
        <w:r w:rsidR="00F47ADA" w:rsidRPr="00435CE9" w:rsidDel="00CE6B8D">
          <w:rPr>
            <w:lang w:val="lv-LV" w:eastAsia="lv-LV"/>
          </w:rPr>
          <w:delText xml:space="preserve">  </w:delText>
        </w:r>
      </w:del>
    </w:p>
    <w:p w14:paraId="4FD2C2E9" w14:textId="77777777" w:rsidR="00F47ADA" w:rsidRPr="00762735" w:rsidRDefault="00F47ADA" w:rsidP="00F47ADA">
      <w:pPr>
        <w:suppressAutoHyphens w:val="0"/>
        <w:autoSpaceDE w:val="0"/>
        <w:autoSpaceDN w:val="0"/>
        <w:adjustRightInd w:val="0"/>
        <w:jc w:val="center"/>
        <w:rPr>
          <w:szCs w:val="22"/>
          <w:lang w:val="lv-LV" w:eastAsia="lv-LV"/>
        </w:rPr>
      </w:pPr>
      <w:r w:rsidRPr="00762735">
        <w:rPr>
          <w:noProof/>
          <w:lang w:eastAsia="en-US"/>
        </w:rPr>
        <w:drawing>
          <wp:inline distT="0" distB="0" distL="0" distR="0" wp14:anchorId="4F97648C" wp14:editId="7DF93C1A">
            <wp:extent cx="2743200" cy="2152650"/>
            <wp:effectExtent l="0" t="0" r="0" b="0"/>
            <wp:docPr id="16" name="Picture 16" descr="AI-Upgrade-IFU_vG_images-updated-version-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AI-Upgrade-IFU_vG_images-updated-version-2-2"/>
                    <pic:cNvPicPr preferRelativeResize="0">
                      <a:picLocks noChangeArrowheads="1"/>
                    </pic:cNvPicPr>
                  </pic:nvPicPr>
                  <pic:blipFill>
                    <a:blip r:embed="rId25" cstate="hqprint">
                      <a:extLst>
                        <a:ext uri="{28A0092B-C50C-407E-A947-70E740481C1C}">
                          <a14:useLocalDpi xmlns:a14="http://schemas.microsoft.com/office/drawing/2010/main" val="0"/>
                        </a:ext>
                      </a:extLst>
                    </a:blip>
                    <a:srcRect/>
                    <a:stretch>
                      <a:fillRect/>
                    </a:stretch>
                  </pic:blipFill>
                  <pic:spPr bwMode="auto">
                    <a:xfrm>
                      <a:off x="0" y="0"/>
                      <a:ext cx="2743200" cy="2152650"/>
                    </a:xfrm>
                    <a:prstGeom prst="rect">
                      <a:avLst/>
                    </a:prstGeom>
                    <a:noFill/>
                    <a:ln>
                      <a:noFill/>
                    </a:ln>
                  </pic:spPr>
                </pic:pic>
              </a:graphicData>
            </a:graphic>
          </wp:inline>
        </w:drawing>
      </w:r>
    </w:p>
    <w:p w14:paraId="638C4B98" w14:textId="76217C9B" w:rsidR="00F47ADA" w:rsidRPr="00762735" w:rsidRDefault="00F47ADA" w:rsidP="00F47ADA">
      <w:pPr>
        <w:suppressAutoHyphens w:val="0"/>
        <w:autoSpaceDE w:val="0"/>
        <w:autoSpaceDN w:val="0"/>
        <w:adjustRightInd w:val="0"/>
        <w:jc w:val="center"/>
        <w:rPr>
          <w:b/>
          <w:szCs w:val="22"/>
          <w:lang w:val="lv-LV" w:eastAsia="lv-LV"/>
        </w:rPr>
      </w:pPr>
      <w:r w:rsidRPr="00762735">
        <w:rPr>
          <w:b/>
          <w:lang w:val="lv-LV" w:eastAsia="lv-LV"/>
        </w:rPr>
        <w:t>F</w:t>
      </w:r>
      <w:r w:rsidR="00A452F9">
        <w:rPr>
          <w:b/>
          <w:lang w:val="lv-LV" w:eastAsia="lv-LV"/>
        </w:rPr>
        <w:t> </w:t>
      </w:r>
      <w:r w:rsidRPr="00762735">
        <w:rPr>
          <w:b/>
          <w:lang w:val="lv-LV" w:eastAsia="lv-LV"/>
        </w:rPr>
        <w:t>attēls</w:t>
      </w:r>
    </w:p>
    <w:p w14:paraId="183CF617" w14:textId="77777777" w:rsidR="00F47ADA" w:rsidRPr="00762735" w:rsidRDefault="00F47ADA" w:rsidP="00F47ADA">
      <w:pPr>
        <w:suppressAutoHyphens w:val="0"/>
        <w:autoSpaceDE w:val="0"/>
        <w:autoSpaceDN w:val="0"/>
        <w:adjustRightInd w:val="0"/>
        <w:rPr>
          <w:szCs w:val="22"/>
          <w:lang w:val="lv-LV" w:eastAsia="lv-LV"/>
        </w:rPr>
      </w:pPr>
    </w:p>
    <w:p w14:paraId="75B98B19" w14:textId="621462E2" w:rsidR="00F47ADA" w:rsidRPr="00435CE9" w:rsidRDefault="00287ADB">
      <w:pPr>
        <w:pStyle w:val="ListParagraph"/>
        <w:numPr>
          <w:ilvl w:val="0"/>
          <w:numId w:val="63"/>
        </w:numPr>
        <w:suppressAutoHyphens w:val="0"/>
        <w:autoSpaceDE w:val="0"/>
        <w:autoSpaceDN w:val="0"/>
        <w:adjustRightInd w:val="0"/>
        <w:spacing w:after="200" w:line="276" w:lineRule="auto"/>
        <w:rPr>
          <w:szCs w:val="22"/>
          <w:lang w:val="lv-LV" w:eastAsia="lv-LV"/>
        </w:rPr>
        <w:pPrChange w:id="2312" w:author="Author">
          <w:pPr>
            <w:pStyle w:val="ListParagraph"/>
            <w:suppressAutoHyphens w:val="0"/>
            <w:autoSpaceDE w:val="0"/>
            <w:autoSpaceDN w:val="0"/>
            <w:adjustRightInd w:val="0"/>
            <w:spacing w:after="200" w:line="276" w:lineRule="auto"/>
            <w:ind w:left="567" w:hanging="567"/>
          </w:pPr>
        </w:pPrChange>
      </w:pPr>
      <w:del w:id="2313" w:author="Author">
        <w:r w:rsidDel="002E57E0">
          <w:rPr>
            <w:lang w:val="nb-NO"/>
          </w:rPr>
          <w:sym w:font="Symbol" w:char="F0B7"/>
        </w:r>
        <w:r w:rsidDel="002E57E0">
          <w:rPr>
            <w:lang w:val="nb-NO"/>
          </w:rPr>
          <w:tab/>
        </w:r>
      </w:del>
      <w:r w:rsidR="00F47ADA" w:rsidRPr="00435CE9">
        <w:rPr>
          <w:lang w:val="lv-LV" w:eastAsia="lv-LV"/>
        </w:rPr>
        <w:t xml:space="preserve">Ar otru roku saudzīgi satveriet notīrītās ādas kroku, lai izveidotu stingru injekcijas vietu </w:t>
      </w:r>
      <w:r w:rsidR="00F47ADA" w:rsidRPr="00435CE9">
        <w:rPr>
          <w:b/>
          <w:lang w:val="lv-LV" w:eastAsia="lv-LV"/>
        </w:rPr>
        <w:t>(skatīt G</w:t>
      </w:r>
      <w:r w:rsidR="00A452F9">
        <w:rPr>
          <w:b/>
          <w:lang w:val="lv-LV" w:eastAsia="lv-LV"/>
        </w:rPr>
        <w:t> </w:t>
      </w:r>
      <w:r w:rsidR="00F47ADA" w:rsidRPr="00435CE9">
        <w:rPr>
          <w:b/>
          <w:lang w:val="lv-LV" w:eastAsia="lv-LV"/>
        </w:rPr>
        <w:t xml:space="preserve">attēlu). </w:t>
      </w:r>
      <w:r w:rsidR="00F47ADA" w:rsidRPr="00435CE9">
        <w:rPr>
          <w:lang w:val="lv-LV" w:eastAsia="lv-LV"/>
        </w:rPr>
        <w:t>Pildspalvveida pilnšļirces pareizai aktivizēšanai nepieciešama stingra injekcijas vieta.</w:t>
      </w:r>
    </w:p>
    <w:p w14:paraId="6A1A2781" w14:textId="18E7829E" w:rsidR="00F47ADA" w:rsidRPr="00435CE9" w:rsidRDefault="00287ADB">
      <w:pPr>
        <w:pStyle w:val="ListParagraph"/>
        <w:numPr>
          <w:ilvl w:val="0"/>
          <w:numId w:val="63"/>
        </w:numPr>
        <w:suppressAutoHyphens w:val="0"/>
        <w:autoSpaceDE w:val="0"/>
        <w:autoSpaceDN w:val="0"/>
        <w:adjustRightInd w:val="0"/>
        <w:spacing w:after="200" w:line="276" w:lineRule="auto"/>
        <w:rPr>
          <w:szCs w:val="22"/>
          <w:lang w:val="lv-LV" w:eastAsia="lv-LV"/>
        </w:rPr>
        <w:pPrChange w:id="2314" w:author="Author">
          <w:pPr>
            <w:pStyle w:val="ListParagraph"/>
            <w:suppressAutoHyphens w:val="0"/>
            <w:autoSpaceDE w:val="0"/>
            <w:autoSpaceDN w:val="0"/>
            <w:adjustRightInd w:val="0"/>
            <w:spacing w:after="200" w:line="276" w:lineRule="auto"/>
            <w:ind w:left="567" w:hanging="567"/>
          </w:pPr>
        </w:pPrChange>
      </w:pPr>
      <w:del w:id="2315" w:author="Author">
        <w:r w:rsidDel="002E57E0">
          <w:rPr>
            <w:lang w:val="nb-NO"/>
          </w:rPr>
          <w:sym w:font="Symbol" w:char="F0B7"/>
        </w:r>
        <w:r w:rsidDel="002E57E0">
          <w:rPr>
            <w:lang w:val="nb-NO"/>
          </w:rPr>
          <w:tab/>
        </w:r>
      </w:del>
      <w:r w:rsidR="00F47ADA" w:rsidRPr="00435CE9">
        <w:rPr>
          <w:lang w:val="lv-LV" w:eastAsia="lv-LV"/>
        </w:rPr>
        <w:t xml:space="preserve">Ir svarīgi satvert ādu, lai nodrošinātu, ka injekcija tiek veikta zem ādas (taukaudos), nevis dziļāk (muskulī). </w:t>
      </w:r>
      <w:del w:id="2316" w:author="Author">
        <w:r w:rsidR="00F47ADA" w:rsidRPr="00435CE9" w:rsidDel="00CE6B8D">
          <w:rPr>
            <w:lang w:val="lv-LV" w:eastAsia="lv-LV"/>
          </w:rPr>
          <w:delText xml:space="preserve"> </w:delText>
        </w:r>
      </w:del>
      <w:r w:rsidR="00F47ADA" w:rsidRPr="00435CE9">
        <w:rPr>
          <w:lang w:val="lv-LV" w:eastAsia="lv-LV"/>
        </w:rPr>
        <w:t>Ja injekcija tiek veikta muskulī, tā var radīt nepatīkamu sajūtu.</w:t>
      </w:r>
    </w:p>
    <w:p w14:paraId="086A6F96" w14:textId="77777777" w:rsidR="00F47ADA" w:rsidRPr="00762735" w:rsidRDefault="00F47ADA" w:rsidP="00F47ADA">
      <w:pPr>
        <w:suppressAutoHyphens w:val="0"/>
        <w:autoSpaceDE w:val="0"/>
        <w:autoSpaceDN w:val="0"/>
        <w:adjustRightInd w:val="0"/>
        <w:rPr>
          <w:szCs w:val="22"/>
          <w:lang w:val="lv-LV" w:eastAsia="lv-LV"/>
        </w:rPr>
      </w:pPr>
    </w:p>
    <w:p w14:paraId="76477A4C" w14:textId="77777777" w:rsidR="00F47ADA" w:rsidRPr="00762735" w:rsidRDefault="00F47ADA" w:rsidP="00F47ADA">
      <w:pPr>
        <w:suppressAutoHyphens w:val="0"/>
        <w:autoSpaceDE w:val="0"/>
        <w:autoSpaceDN w:val="0"/>
        <w:adjustRightInd w:val="0"/>
        <w:jc w:val="center"/>
        <w:rPr>
          <w:szCs w:val="22"/>
          <w:lang w:val="lv-LV" w:eastAsia="lv-LV"/>
        </w:rPr>
      </w:pPr>
      <w:r w:rsidRPr="00762735">
        <w:rPr>
          <w:noProof/>
          <w:lang w:eastAsia="en-US"/>
        </w:rPr>
        <w:drawing>
          <wp:inline distT="0" distB="0" distL="0" distR="0" wp14:anchorId="5D83AB34" wp14:editId="1F4BCA2D">
            <wp:extent cx="2743200" cy="2143125"/>
            <wp:effectExtent l="0" t="0" r="0" b="0"/>
            <wp:docPr id="17" name="Picture 17" descr="AI-Upgrade-IFU_vG_images-(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AI-Upgrade-IFU_vG_images-(2)-9"/>
                    <pic:cNvPicPr preferRelativeResize="0">
                      <a:picLocks noChangeArrowheads="1"/>
                    </pic:cNvPicPr>
                  </pic:nvPicPr>
                  <pic:blipFill>
                    <a:blip r:embed="rId26" cstate="hqprint">
                      <a:extLst>
                        <a:ext uri="{28A0092B-C50C-407E-A947-70E740481C1C}">
                          <a14:useLocalDpi xmlns:a14="http://schemas.microsoft.com/office/drawing/2010/main" val="0"/>
                        </a:ext>
                      </a:extLst>
                    </a:blip>
                    <a:srcRect/>
                    <a:stretch>
                      <a:fillRect/>
                    </a:stretch>
                  </pic:blipFill>
                  <pic:spPr bwMode="auto">
                    <a:xfrm>
                      <a:off x="0" y="0"/>
                      <a:ext cx="2743200" cy="2143125"/>
                    </a:xfrm>
                    <a:prstGeom prst="rect">
                      <a:avLst/>
                    </a:prstGeom>
                    <a:noFill/>
                    <a:ln>
                      <a:noFill/>
                    </a:ln>
                  </pic:spPr>
                </pic:pic>
              </a:graphicData>
            </a:graphic>
          </wp:inline>
        </w:drawing>
      </w:r>
    </w:p>
    <w:p w14:paraId="2F2BA747" w14:textId="39D218AC" w:rsidR="00F47ADA" w:rsidRPr="00762735" w:rsidRDefault="00F47ADA" w:rsidP="00F47ADA">
      <w:pPr>
        <w:suppressAutoHyphens w:val="0"/>
        <w:autoSpaceDE w:val="0"/>
        <w:autoSpaceDN w:val="0"/>
        <w:adjustRightInd w:val="0"/>
        <w:spacing w:after="120"/>
        <w:jc w:val="center"/>
        <w:rPr>
          <w:b/>
          <w:szCs w:val="22"/>
          <w:lang w:val="lv-LV" w:eastAsia="lv-LV"/>
        </w:rPr>
      </w:pPr>
      <w:r w:rsidRPr="00762735">
        <w:rPr>
          <w:b/>
          <w:lang w:val="lv-LV" w:eastAsia="lv-LV"/>
        </w:rPr>
        <w:t>G</w:t>
      </w:r>
      <w:r w:rsidR="00A452F9">
        <w:rPr>
          <w:b/>
          <w:lang w:val="lv-LV" w:eastAsia="lv-LV"/>
        </w:rPr>
        <w:t> </w:t>
      </w:r>
      <w:r w:rsidRPr="00762735">
        <w:rPr>
          <w:b/>
          <w:lang w:val="lv-LV" w:eastAsia="lv-LV"/>
        </w:rPr>
        <w:t>attēls</w:t>
      </w:r>
    </w:p>
    <w:p w14:paraId="49377E45" w14:textId="746EA5F5" w:rsidR="00F47ADA" w:rsidRPr="00435CE9" w:rsidRDefault="00287ADB">
      <w:pPr>
        <w:pStyle w:val="ListParagraph"/>
        <w:numPr>
          <w:ilvl w:val="0"/>
          <w:numId w:val="63"/>
        </w:numPr>
        <w:suppressAutoHyphens w:val="0"/>
        <w:autoSpaceDE w:val="0"/>
        <w:autoSpaceDN w:val="0"/>
        <w:adjustRightInd w:val="0"/>
        <w:spacing w:after="60"/>
        <w:rPr>
          <w:szCs w:val="22"/>
          <w:lang w:val="lv-LV" w:eastAsia="lv-LV"/>
        </w:rPr>
        <w:pPrChange w:id="2317" w:author="Author">
          <w:pPr>
            <w:pStyle w:val="ListParagraph"/>
            <w:suppressAutoHyphens w:val="0"/>
            <w:autoSpaceDE w:val="0"/>
            <w:autoSpaceDN w:val="0"/>
            <w:adjustRightInd w:val="0"/>
            <w:spacing w:after="60"/>
            <w:ind w:left="567" w:hanging="567"/>
          </w:pPr>
        </w:pPrChange>
      </w:pPr>
      <w:del w:id="2318" w:author="Author">
        <w:r w:rsidDel="002E57E0">
          <w:rPr>
            <w:lang w:val="nb-NO"/>
          </w:rPr>
          <w:sym w:font="Symbol" w:char="F0B7"/>
        </w:r>
        <w:r w:rsidDel="002E57E0">
          <w:rPr>
            <w:lang w:val="nb-NO"/>
          </w:rPr>
          <w:tab/>
        </w:r>
      </w:del>
      <w:r w:rsidR="00F47ADA" w:rsidRPr="00435CE9">
        <w:rPr>
          <w:lang w:val="lv-LV" w:eastAsia="lv-LV"/>
        </w:rPr>
        <w:t>Pagaidām vēl</w:t>
      </w:r>
      <w:r w:rsidR="00F47ADA" w:rsidRPr="00435CE9">
        <w:rPr>
          <w:b/>
          <w:lang w:val="lv-LV" w:eastAsia="lv-LV"/>
        </w:rPr>
        <w:t xml:space="preserve"> nespiediet</w:t>
      </w:r>
      <w:r w:rsidR="00F47ADA" w:rsidRPr="00435CE9">
        <w:rPr>
          <w:lang w:val="lv-LV" w:eastAsia="lv-LV"/>
        </w:rPr>
        <w:t xml:space="preserve"> zaļo aktivizēšanas pogu. </w:t>
      </w:r>
    </w:p>
    <w:p w14:paraId="70F3EB37" w14:textId="1215F58E" w:rsidR="00F47ADA" w:rsidRPr="00435CE9" w:rsidRDefault="00287ADB">
      <w:pPr>
        <w:pStyle w:val="ListParagraph"/>
        <w:numPr>
          <w:ilvl w:val="0"/>
          <w:numId w:val="63"/>
        </w:numPr>
        <w:suppressAutoHyphens w:val="0"/>
        <w:autoSpaceDE w:val="0"/>
        <w:autoSpaceDN w:val="0"/>
        <w:adjustRightInd w:val="0"/>
        <w:spacing w:after="60"/>
        <w:rPr>
          <w:szCs w:val="22"/>
          <w:lang w:val="lv-LV" w:eastAsia="lv-LV"/>
        </w:rPr>
        <w:pPrChange w:id="2319" w:author="Author">
          <w:pPr>
            <w:pStyle w:val="ListParagraph"/>
            <w:suppressAutoHyphens w:val="0"/>
            <w:autoSpaceDE w:val="0"/>
            <w:autoSpaceDN w:val="0"/>
            <w:adjustRightInd w:val="0"/>
            <w:spacing w:after="60"/>
            <w:ind w:left="567" w:hanging="567"/>
          </w:pPr>
        </w:pPrChange>
      </w:pPr>
      <w:del w:id="2320" w:author="Author">
        <w:r w:rsidDel="002E57E0">
          <w:rPr>
            <w:lang w:val="nb-NO"/>
          </w:rPr>
          <w:sym w:font="Symbol" w:char="F0B7"/>
        </w:r>
        <w:r w:rsidDel="002E57E0">
          <w:rPr>
            <w:lang w:val="nb-NO"/>
          </w:rPr>
          <w:tab/>
        </w:r>
      </w:del>
      <w:r w:rsidR="00F47ADA" w:rsidRPr="00435CE9">
        <w:rPr>
          <w:lang w:val="lv-LV" w:eastAsia="lv-LV"/>
        </w:rPr>
        <w:t xml:space="preserve">Novietojiet pildspalvveida pilnšļirces adatas uzgali 90° leņķī pret satverto ādu </w:t>
      </w:r>
      <w:r w:rsidR="00F47ADA" w:rsidRPr="00435CE9">
        <w:rPr>
          <w:b/>
          <w:lang w:val="lv-LV" w:eastAsia="lv-LV"/>
        </w:rPr>
        <w:t>(skatīt H</w:t>
      </w:r>
      <w:r w:rsidR="00A452F9">
        <w:rPr>
          <w:b/>
          <w:lang w:val="lv-LV" w:eastAsia="lv-LV"/>
        </w:rPr>
        <w:t> </w:t>
      </w:r>
      <w:r w:rsidR="00F47ADA" w:rsidRPr="00435CE9">
        <w:rPr>
          <w:b/>
          <w:lang w:val="lv-LV" w:eastAsia="lv-LV"/>
        </w:rPr>
        <w:t>attēlu).</w:t>
      </w:r>
      <w:r w:rsidR="00F47ADA" w:rsidRPr="00435CE9">
        <w:rPr>
          <w:lang w:val="lv-LV" w:eastAsia="lv-LV"/>
        </w:rPr>
        <w:t xml:space="preserve"> </w:t>
      </w:r>
    </w:p>
    <w:p w14:paraId="58938820" w14:textId="36155FFE" w:rsidR="00F47ADA" w:rsidRPr="00435CE9" w:rsidRDefault="00287ADB">
      <w:pPr>
        <w:pStyle w:val="ListParagraph"/>
        <w:numPr>
          <w:ilvl w:val="0"/>
          <w:numId w:val="63"/>
        </w:numPr>
        <w:suppressAutoHyphens w:val="0"/>
        <w:autoSpaceDE w:val="0"/>
        <w:autoSpaceDN w:val="0"/>
        <w:adjustRightInd w:val="0"/>
        <w:spacing w:after="60"/>
        <w:rPr>
          <w:szCs w:val="22"/>
          <w:lang w:val="lv-LV" w:eastAsia="lv-LV"/>
        </w:rPr>
        <w:pPrChange w:id="2321" w:author="Author">
          <w:pPr>
            <w:pStyle w:val="ListParagraph"/>
            <w:suppressAutoHyphens w:val="0"/>
            <w:autoSpaceDE w:val="0"/>
            <w:autoSpaceDN w:val="0"/>
            <w:adjustRightInd w:val="0"/>
            <w:spacing w:after="60"/>
            <w:ind w:left="567" w:hanging="567"/>
          </w:pPr>
        </w:pPrChange>
      </w:pPr>
      <w:del w:id="2322" w:author="Author">
        <w:r w:rsidDel="002E57E0">
          <w:rPr>
            <w:lang w:val="nb-NO"/>
          </w:rPr>
          <w:sym w:font="Symbol" w:char="F0B7"/>
        </w:r>
        <w:r w:rsidDel="002E57E0">
          <w:rPr>
            <w:lang w:val="nb-NO"/>
          </w:rPr>
          <w:tab/>
        </w:r>
      </w:del>
      <w:r w:rsidR="00F47ADA" w:rsidRPr="00435CE9">
        <w:rPr>
          <w:lang w:val="lv-LV" w:eastAsia="lv-LV"/>
        </w:rPr>
        <w:t>Svarīgi izmantot pareizu leņķi, lai tiktu nodrošināts, ka zāles tiek ievadītas zem ādas (taukaudos), jo pretējā gadījumā injekcija var būt sāpīga, un zāles var nedarboties.</w:t>
      </w:r>
    </w:p>
    <w:p w14:paraId="2EDA2A3D" w14:textId="77777777" w:rsidR="00F47ADA" w:rsidRPr="00762735" w:rsidRDefault="00F47ADA" w:rsidP="00F47ADA">
      <w:pPr>
        <w:suppressAutoHyphens w:val="0"/>
        <w:autoSpaceDE w:val="0"/>
        <w:autoSpaceDN w:val="0"/>
        <w:adjustRightInd w:val="0"/>
        <w:ind w:left="720"/>
        <w:rPr>
          <w:szCs w:val="22"/>
          <w:lang w:val="lv-LV" w:eastAsia="lv-LV"/>
        </w:rPr>
      </w:pPr>
    </w:p>
    <w:p w14:paraId="02932E3F" w14:textId="77777777" w:rsidR="00F47ADA" w:rsidRPr="00762735" w:rsidRDefault="00F47ADA" w:rsidP="00F47ADA">
      <w:pPr>
        <w:suppressAutoHyphens w:val="0"/>
        <w:autoSpaceDE w:val="0"/>
        <w:autoSpaceDN w:val="0"/>
        <w:adjustRightInd w:val="0"/>
        <w:spacing w:after="120"/>
        <w:jc w:val="center"/>
        <w:rPr>
          <w:szCs w:val="22"/>
          <w:lang w:val="lv-LV" w:eastAsia="lv-LV"/>
        </w:rPr>
      </w:pPr>
      <w:r w:rsidRPr="00762735">
        <w:rPr>
          <w:noProof/>
          <w:lang w:eastAsia="en-US"/>
        </w:rPr>
        <w:drawing>
          <wp:inline distT="0" distB="0" distL="0" distR="0" wp14:anchorId="3997E37C" wp14:editId="12FEDC4C">
            <wp:extent cx="2743200" cy="2162175"/>
            <wp:effectExtent l="0" t="0" r="0" b="0"/>
            <wp:docPr id="18" name="Picture 18" descr="AI-Upgrade-IFU_vG_images-(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AI-Upgrade-IFU_vG_images-(2)-11"/>
                    <pic:cNvPicPr preferRelativeResize="0">
                      <a:picLocks noChangeArrowheads="1"/>
                    </pic:cNvPicPr>
                  </pic:nvPicPr>
                  <pic:blipFill>
                    <a:blip r:embed="rId27" cstate="hqprint">
                      <a:extLst>
                        <a:ext uri="{28A0092B-C50C-407E-A947-70E740481C1C}">
                          <a14:useLocalDpi xmlns:a14="http://schemas.microsoft.com/office/drawing/2010/main" val="0"/>
                        </a:ext>
                      </a:extLst>
                    </a:blip>
                    <a:srcRect/>
                    <a:stretch>
                      <a:fillRect/>
                    </a:stretch>
                  </pic:blipFill>
                  <pic:spPr bwMode="auto">
                    <a:xfrm>
                      <a:off x="0" y="0"/>
                      <a:ext cx="2743200" cy="2162175"/>
                    </a:xfrm>
                    <a:prstGeom prst="rect">
                      <a:avLst/>
                    </a:prstGeom>
                    <a:noFill/>
                    <a:ln>
                      <a:noFill/>
                    </a:ln>
                  </pic:spPr>
                </pic:pic>
              </a:graphicData>
            </a:graphic>
          </wp:inline>
        </w:drawing>
      </w:r>
    </w:p>
    <w:p w14:paraId="6361D052" w14:textId="36468449" w:rsidR="00F47ADA" w:rsidRPr="00762735" w:rsidRDefault="00F47ADA" w:rsidP="00F47ADA">
      <w:pPr>
        <w:suppressAutoHyphens w:val="0"/>
        <w:autoSpaceDE w:val="0"/>
        <w:autoSpaceDN w:val="0"/>
        <w:adjustRightInd w:val="0"/>
        <w:spacing w:after="120"/>
        <w:jc w:val="center"/>
        <w:rPr>
          <w:b/>
          <w:szCs w:val="22"/>
          <w:lang w:val="lv-LV" w:eastAsia="lv-LV"/>
        </w:rPr>
      </w:pPr>
      <w:r w:rsidRPr="00762735">
        <w:rPr>
          <w:b/>
          <w:lang w:val="lv-LV" w:eastAsia="lv-LV"/>
        </w:rPr>
        <w:t>H</w:t>
      </w:r>
      <w:r w:rsidR="00A452F9">
        <w:rPr>
          <w:b/>
          <w:lang w:val="lv-LV" w:eastAsia="lv-LV"/>
        </w:rPr>
        <w:t> </w:t>
      </w:r>
      <w:r w:rsidRPr="00762735">
        <w:rPr>
          <w:b/>
          <w:lang w:val="lv-LV" w:eastAsia="lv-LV"/>
        </w:rPr>
        <w:t>attēls</w:t>
      </w:r>
    </w:p>
    <w:p w14:paraId="3A81C4CA" w14:textId="77777777" w:rsidR="00F47ADA" w:rsidRPr="00762735" w:rsidRDefault="00F47ADA" w:rsidP="00F47ADA">
      <w:pPr>
        <w:suppressAutoHyphens w:val="0"/>
        <w:autoSpaceDE w:val="0"/>
        <w:autoSpaceDN w:val="0"/>
        <w:adjustRightInd w:val="0"/>
        <w:rPr>
          <w:b/>
          <w:szCs w:val="22"/>
          <w:lang w:val="lv-LV" w:eastAsia="lv-LV"/>
        </w:rPr>
      </w:pPr>
    </w:p>
    <w:p w14:paraId="1F67528D" w14:textId="1267AC6B" w:rsidR="00F47ADA" w:rsidRPr="00435CE9" w:rsidRDefault="00287ADB">
      <w:pPr>
        <w:pStyle w:val="ListParagraph"/>
        <w:numPr>
          <w:ilvl w:val="0"/>
          <w:numId w:val="63"/>
        </w:numPr>
        <w:suppressAutoHyphens w:val="0"/>
        <w:autoSpaceDE w:val="0"/>
        <w:autoSpaceDN w:val="0"/>
        <w:adjustRightInd w:val="0"/>
        <w:spacing w:after="60"/>
        <w:rPr>
          <w:szCs w:val="22"/>
          <w:lang w:val="lv-LV" w:eastAsia="lv-LV"/>
        </w:rPr>
        <w:pPrChange w:id="2323" w:author="Author">
          <w:pPr>
            <w:pStyle w:val="ListParagraph"/>
            <w:suppressAutoHyphens w:val="0"/>
            <w:autoSpaceDE w:val="0"/>
            <w:autoSpaceDN w:val="0"/>
            <w:adjustRightInd w:val="0"/>
            <w:spacing w:after="60"/>
            <w:ind w:left="567" w:hanging="567"/>
          </w:pPr>
        </w:pPrChange>
      </w:pPr>
      <w:del w:id="2324" w:author="Author">
        <w:r w:rsidDel="002E57E0">
          <w:rPr>
            <w:lang w:val="nb-NO"/>
          </w:rPr>
          <w:sym w:font="Symbol" w:char="F0B7"/>
        </w:r>
        <w:r w:rsidDel="002E57E0">
          <w:rPr>
            <w:lang w:val="nb-NO"/>
          </w:rPr>
          <w:tab/>
        </w:r>
      </w:del>
      <w:r w:rsidR="00F47ADA" w:rsidRPr="00435CE9">
        <w:rPr>
          <w:lang w:val="lv-LV" w:eastAsia="lv-LV"/>
        </w:rPr>
        <w:t>Lai izmantotu pildspalvveida pilnšļirci, Jums vispirms jāatbrīvo zaļā aktivizēšanas poga.</w:t>
      </w:r>
    </w:p>
    <w:p w14:paraId="59D6A48B" w14:textId="095EA54F" w:rsidR="00F47ADA" w:rsidRPr="00435CE9" w:rsidRDefault="00287ADB">
      <w:pPr>
        <w:pStyle w:val="ListParagraph"/>
        <w:numPr>
          <w:ilvl w:val="0"/>
          <w:numId w:val="63"/>
        </w:numPr>
        <w:suppressAutoHyphens w:val="0"/>
        <w:autoSpaceDE w:val="0"/>
        <w:autoSpaceDN w:val="0"/>
        <w:adjustRightInd w:val="0"/>
        <w:spacing w:after="60"/>
        <w:rPr>
          <w:szCs w:val="22"/>
          <w:lang w:val="lv-LV" w:eastAsia="lv-LV"/>
        </w:rPr>
        <w:pPrChange w:id="2325" w:author="Author">
          <w:pPr>
            <w:pStyle w:val="ListParagraph"/>
            <w:suppressAutoHyphens w:val="0"/>
            <w:autoSpaceDE w:val="0"/>
            <w:autoSpaceDN w:val="0"/>
            <w:adjustRightInd w:val="0"/>
            <w:spacing w:after="60"/>
            <w:ind w:left="567" w:hanging="567"/>
          </w:pPr>
        </w:pPrChange>
      </w:pPr>
      <w:del w:id="2326" w:author="Author">
        <w:r w:rsidDel="002E57E0">
          <w:rPr>
            <w:lang w:val="nb-NO"/>
          </w:rPr>
          <w:sym w:font="Symbol" w:char="F0B7"/>
        </w:r>
        <w:r w:rsidDel="002E57E0">
          <w:rPr>
            <w:lang w:val="nb-NO"/>
          </w:rPr>
          <w:tab/>
        </w:r>
      </w:del>
      <w:r w:rsidR="00F47ADA" w:rsidRPr="00435CE9">
        <w:rPr>
          <w:lang w:val="lv-LV" w:eastAsia="lv-LV"/>
        </w:rPr>
        <w:t xml:space="preserve">Lai to atbrīvotu, stingri piespiediet pildspalvveida pilnšļirci pret satverto ādu, līdz adatas uzgalis ir pilnībā iespiests uz iekšu </w:t>
      </w:r>
      <w:r w:rsidR="00F47ADA" w:rsidRPr="00435CE9">
        <w:rPr>
          <w:b/>
          <w:lang w:val="lv-LV" w:eastAsia="lv-LV"/>
        </w:rPr>
        <w:t>(skatīt I</w:t>
      </w:r>
      <w:r w:rsidR="00A452F9">
        <w:rPr>
          <w:b/>
          <w:lang w:val="lv-LV" w:eastAsia="lv-LV"/>
        </w:rPr>
        <w:t> </w:t>
      </w:r>
      <w:r w:rsidR="00F47ADA" w:rsidRPr="00435CE9">
        <w:rPr>
          <w:b/>
          <w:lang w:val="lv-LV" w:eastAsia="lv-LV"/>
        </w:rPr>
        <w:t>attēlu)</w:t>
      </w:r>
      <w:r w:rsidR="00F47ADA" w:rsidRPr="00435CE9">
        <w:rPr>
          <w:lang w:val="lv-LV" w:eastAsia="lv-LV"/>
        </w:rPr>
        <w:t xml:space="preserve">. </w:t>
      </w:r>
    </w:p>
    <w:p w14:paraId="1A73409D" w14:textId="77777777" w:rsidR="00F47ADA" w:rsidRPr="00762735" w:rsidRDefault="00F47ADA" w:rsidP="00F47ADA">
      <w:pPr>
        <w:suppressAutoHyphens w:val="0"/>
        <w:autoSpaceDE w:val="0"/>
        <w:autoSpaceDN w:val="0"/>
        <w:adjustRightInd w:val="0"/>
        <w:spacing w:after="60"/>
        <w:ind w:left="360"/>
        <w:jc w:val="center"/>
        <w:rPr>
          <w:szCs w:val="22"/>
          <w:lang w:val="lv-LV" w:eastAsia="lv-LV"/>
        </w:rPr>
      </w:pPr>
      <w:r w:rsidRPr="00762735">
        <w:rPr>
          <w:noProof/>
          <w:lang w:eastAsia="en-US"/>
        </w:rPr>
        <w:drawing>
          <wp:inline distT="0" distB="0" distL="0" distR="0" wp14:anchorId="565617B0" wp14:editId="3FD7B11A">
            <wp:extent cx="3038475" cy="2343150"/>
            <wp:effectExtent l="0" t="0" r="0" b="0"/>
            <wp:docPr id="19" name="Picture 19" descr="push in picture_arros_pushed_ski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ush in picture_arros_pushed_skin cop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38475" cy="2343150"/>
                    </a:xfrm>
                    <a:prstGeom prst="rect">
                      <a:avLst/>
                    </a:prstGeom>
                    <a:noFill/>
                    <a:ln>
                      <a:noFill/>
                    </a:ln>
                  </pic:spPr>
                </pic:pic>
              </a:graphicData>
            </a:graphic>
          </wp:inline>
        </w:drawing>
      </w:r>
    </w:p>
    <w:p w14:paraId="528291E3" w14:textId="6A7C34AA" w:rsidR="00F47ADA" w:rsidRPr="00762735" w:rsidRDefault="00F47ADA" w:rsidP="00F47ADA">
      <w:pPr>
        <w:suppressAutoHyphens w:val="0"/>
        <w:autoSpaceDE w:val="0"/>
        <w:autoSpaceDN w:val="0"/>
        <w:adjustRightInd w:val="0"/>
        <w:ind w:left="720"/>
        <w:jc w:val="center"/>
        <w:rPr>
          <w:b/>
          <w:szCs w:val="22"/>
          <w:lang w:val="lv-LV" w:eastAsia="lv-LV"/>
        </w:rPr>
      </w:pPr>
      <w:r w:rsidRPr="00762735">
        <w:rPr>
          <w:b/>
          <w:lang w:val="lv-LV" w:eastAsia="lv-LV"/>
        </w:rPr>
        <w:t>I</w:t>
      </w:r>
      <w:r w:rsidR="00A452F9">
        <w:rPr>
          <w:b/>
          <w:lang w:val="lv-LV" w:eastAsia="lv-LV"/>
        </w:rPr>
        <w:t> </w:t>
      </w:r>
      <w:r w:rsidRPr="00762735">
        <w:rPr>
          <w:b/>
          <w:lang w:val="lv-LV" w:eastAsia="lv-LV"/>
        </w:rPr>
        <w:t>attēls</w:t>
      </w:r>
    </w:p>
    <w:p w14:paraId="76239CE9" w14:textId="357881FE" w:rsidR="00F47ADA" w:rsidRPr="00435CE9" w:rsidRDefault="00287ADB">
      <w:pPr>
        <w:pStyle w:val="ListParagraph"/>
        <w:numPr>
          <w:ilvl w:val="0"/>
          <w:numId w:val="63"/>
        </w:numPr>
        <w:suppressAutoHyphens w:val="0"/>
        <w:autoSpaceDE w:val="0"/>
        <w:autoSpaceDN w:val="0"/>
        <w:adjustRightInd w:val="0"/>
        <w:spacing w:after="60"/>
        <w:rPr>
          <w:szCs w:val="22"/>
          <w:lang w:val="lv-LV" w:eastAsia="lv-LV"/>
        </w:rPr>
        <w:pPrChange w:id="2327" w:author="Author">
          <w:pPr>
            <w:pStyle w:val="ListParagraph"/>
            <w:suppressAutoHyphens w:val="0"/>
            <w:autoSpaceDE w:val="0"/>
            <w:autoSpaceDN w:val="0"/>
            <w:adjustRightInd w:val="0"/>
            <w:spacing w:after="60"/>
            <w:ind w:left="567" w:hanging="567"/>
          </w:pPr>
        </w:pPrChange>
      </w:pPr>
      <w:del w:id="2328" w:author="Author">
        <w:r w:rsidDel="002E57E0">
          <w:rPr>
            <w:lang w:val="nb-NO"/>
          </w:rPr>
          <w:sym w:font="Symbol" w:char="F0B7"/>
        </w:r>
        <w:r w:rsidDel="002E57E0">
          <w:rPr>
            <w:lang w:val="nb-NO"/>
          </w:rPr>
          <w:tab/>
        </w:r>
      </w:del>
      <w:r w:rsidR="00F47ADA" w:rsidRPr="00435CE9">
        <w:rPr>
          <w:lang w:val="lv-LV" w:eastAsia="lv-LV"/>
        </w:rPr>
        <w:t xml:space="preserve">Turiet adatas uzgali iespiestu uz iekšu. </w:t>
      </w:r>
    </w:p>
    <w:p w14:paraId="4F47829E" w14:textId="3C885C52" w:rsidR="00F47ADA" w:rsidRPr="00435CE9" w:rsidRDefault="00287ADB">
      <w:pPr>
        <w:pStyle w:val="ListParagraph"/>
        <w:numPr>
          <w:ilvl w:val="0"/>
          <w:numId w:val="63"/>
        </w:numPr>
        <w:suppressAutoHyphens w:val="0"/>
        <w:autoSpaceDE w:val="0"/>
        <w:autoSpaceDN w:val="0"/>
        <w:adjustRightInd w:val="0"/>
        <w:spacing w:after="60"/>
        <w:rPr>
          <w:szCs w:val="22"/>
          <w:lang w:val="lv-LV" w:eastAsia="lv-LV"/>
        </w:rPr>
        <w:pPrChange w:id="2329" w:author="Author">
          <w:pPr>
            <w:pStyle w:val="ListParagraph"/>
            <w:suppressAutoHyphens w:val="0"/>
            <w:autoSpaceDE w:val="0"/>
            <w:autoSpaceDN w:val="0"/>
            <w:adjustRightInd w:val="0"/>
            <w:spacing w:after="60"/>
            <w:ind w:left="567" w:hanging="567"/>
          </w:pPr>
        </w:pPrChange>
      </w:pPr>
      <w:del w:id="2330" w:author="Author">
        <w:r w:rsidDel="002E57E0">
          <w:rPr>
            <w:lang w:val="nb-NO"/>
          </w:rPr>
          <w:sym w:font="Symbol" w:char="F0B7"/>
        </w:r>
        <w:r w:rsidDel="002E57E0">
          <w:rPr>
            <w:lang w:val="nb-NO"/>
          </w:rPr>
          <w:tab/>
        </w:r>
      </w:del>
      <w:r w:rsidR="00F47ADA" w:rsidRPr="00435CE9">
        <w:rPr>
          <w:lang w:val="lv-LV" w:eastAsia="lv-LV"/>
        </w:rPr>
        <w:t>Ja adatas uzgalis nepaliks pilnībā nospiests pret ādu, zaļā aktivizēšanas poga nedarbosies.</w:t>
      </w:r>
    </w:p>
    <w:p w14:paraId="056AB780" w14:textId="04DF6BE4" w:rsidR="00F47ADA" w:rsidRPr="00435CE9" w:rsidRDefault="00287ADB">
      <w:pPr>
        <w:pStyle w:val="ListParagraph"/>
        <w:numPr>
          <w:ilvl w:val="0"/>
          <w:numId w:val="63"/>
        </w:numPr>
        <w:suppressAutoHyphens w:val="0"/>
        <w:autoSpaceDE w:val="0"/>
        <w:autoSpaceDN w:val="0"/>
        <w:adjustRightInd w:val="0"/>
        <w:spacing w:after="200" w:line="276" w:lineRule="auto"/>
        <w:rPr>
          <w:szCs w:val="22"/>
          <w:lang w:val="lv-LV" w:eastAsia="lv-LV"/>
        </w:rPr>
        <w:pPrChange w:id="2331" w:author="Author">
          <w:pPr>
            <w:pStyle w:val="ListParagraph"/>
            <w:suppressAutoHyphens w:val="0"/>
            <w:autoSpaceDE w:val="0"/>
            <w:autoSpaceDN w:val="0"/>
            <w:adjustRightInd w:val="0"/>
            <w:spacing w:after="200" w:line="276" w:lineRule="auto"/>
            <w:ind w:left="567" w:hanging="567"/>
          </w:pPr>
        </w:pPrChange>
      </w:pPr>
      <w:del w:id="2332" w:author="Author">
        <w:r w:rsidDel="002E57E0">
          <w:rPr>
            <w:lang w:val="nb-NO"/>
          </w:rPr>
          <w:sym w:font="Symbol" w:char="F0B7"/>
        </w:r>
        <w:r w:rsidDel="002E57E0">
          <w:rPr>
            <w:lang w:val="nb-NO"/>
          </w:rPr>
          <w:tab/>
        </w:r>
      </w:del>
      <w:r w:rsidR="00F47ADA" w:rsidRPr="00435CE9">
        <w:rPr>
          <w:lang w:val="lv-LV" w:eastAsia="lv-LV"/>
        </w:rPr>
        <w:t>Kamēr turat pildspalvveida pilnšļirci noteiktajā vietā, turpiniet turēt satvertu ādas kroku.</w:t>
      </w:r>
    </w:p>
    <w:p w14:paraId="6A0E63A4" w14:textId="080A8734" w:rsidR="00F47ADA" w:rsidRPr="00435CE9" w:rsidRDefault="00287ADB">
      <w:pPr>
        <w:pStyle w:val="ListParagraph"/>
        <w:numPr>
          <w:ilvl w:val="0"/>
          <w:numId w:val="63"/>
        </w:numPr>
        <w:suppressAutoHyphens w:val="0"/>
        <w:autoSpaceDE w:val="0"/>
        <w:autoSpaceDN w:val="0"/>
        <w:adjustRightInd w:val="0"/>
        <w:spacing w:after="200" w:line="276" w:lineRule="auto"/>
        <w:rPr>
          <w:szCs w:val="22"/>
          <w:lang w:val="lv-LV" w:eastAsia="lv-LV"/>
        </w:rPr>
        <w:pPrChange w:id="2333" w:author="Author">
          <w:pPr>
            <w:pStyle w:val="ListParagraph"/>
            <w:suppressAutoHyphens w:val="0"/>
            <w:autoSpaceDE w:val="0"/>
            <w:autoSpaceDN w:val="0"/>
            <w:adjustRightInd w:val="0"/>
            <w:spacing w:after="200" w:line="276" w:lineRule="auto"/>
            <w:ind w:left="567" w:hanging="567"/>
          </w:pPr>
        </w:pPrChange>
      </w:pPr>
      <w:del w:id="2334" w:author="Author">
        <w:r w:rsidDel="002E57E0">
          <w:rPr>
            <w:lang w:val="nb-NO"/>
          </w:rPr>
          <w:sym w:font="Symbol" w:char="F0B7"/>
        </w:r>
        <w:r w:rsidDel="002E57E0">
          <w:rPr>
            <w:lang w:val="nb-NO"/>
          </w:rPr>
          <w:tab/>
        </w:r>
      </w:del>
      <w:r w:rsidR="00F47ADA" w:rsidRPr="00435CE9">
        <w:rPr>
          <w:lang w:val="lv-LV" w:eastAsia="lv-LV"/>
        </w:rPr>
        <w:t xml:space="preserve">Nospiediet zaļo aktivizēšanas pogu, lai sāktu injekciju. Par injekcijas sākumu liecina dzirdams klikšķis. Turiet zaļo pogu nospiestu un turpiniet turēt pildspalvveida pilnšļirci stingri piespiestu ādai </w:t>
      </w:r>
      <w:r w:rsidR="00F47ADA" w:rsidRPr="00435CE9">
        <w:rPr>
          <w:b/>
          <w:lang w:val="lv-LV" w:eastAsia="lv-LV"/>
        </w:rPr>
        <w:t>(skatīt J</w:t>
      </w:r>
      <w:r w:rsidR="00A452F9">
        <w:rPr>
          <w:b/>
          <w:lang w:val="lv-LV" w:eastAsia="lv-LV"/>
        </w:rPr>
        <w:t> </w:t>
      </w:r>
      <w:r w:rsidR="00F47ADA" w:rsidRPr="00435CE9">
        <w:rPr>
          <w:b/>
          <w:lang w:val="lv-LV" w:eastAsia="lv-LV"/>
        </w:rPr>
        <w:t xml:space="preserve">attēlu). </w:t>
      </w:r>
      <w:r w:rsidR="00F47ADA" w:rsidRPr="00435CE9">
        <w:rPr>
          <w:lang w:val="lv-LV" w:eastAsia="lv-LV"/>
        </w:rPr>
        <w:t>Ja nevarat sākt injekciju, Jums jālūdz palīdzība aprūpētājam vai jāsazinās ar veselības aprūpes speciālistu.</w:t>
      </w:r>
    </w:p>
    <w:p w14:paraId="451188FB" w14:textId="77777777" w:rsidR="00F47ADA" w:rsidRPr="00762735" w:rsidRDefault="00F47ADA" w:rsidP="00F47ADA">
      <w:pPr>
        <w:suppressAutoHyphens w:val="0"/>
        <w:autoSpaceDE w:val="0"/>
        <w:autoSpaceDN w:val="0"/>
        <w:adjustRightInd w:val="0"/>
        <w:jc w:val="center"/>
        <w:rPr>
          <w:szCs w:val="22"/>
          <w:lang w:val="lv-LV" w:eastAsia="lv-LV"/>
        </w:rPr>
      </w:pPr>
      <w:r w:rsidRPr="00762735">
        <w:rPr>
          <w:noProof/>
          <w:szCs w:val="22"/>
          <w:lang w:eastAsia="en-US"/>
        </w:rPr>
        <w:drawing>
          <wp:inline distT="0" distB="0" distL="0" distR="0" wp14:anchorId="50B1F714" wp14:editId="5660A2CA">
            <wp:extent cx="2133600" cy="1676400"/>
            <wp:effectExtent l="0" t="0" r="0" b="0"/>
            <wp:docPr id="20" name="Picture 20" descr="in5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5z"/>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33600" cy="1676400"/>
                    </a:xfrm>
                    <a:prstGeom prst="rect">
                      <a:avLst/>
                    </a:prstGeom>
                    <a:noFill/>
                    <a:ln>
                      <a:noFill/>
                    </a:ln>
                  </pic:spPr>
                </pic:pic>
              </a:graphicData>
            </a:graphic>
          </wp:inline>
        </w:drawing>
      </w:r>
    </w:p>
    <w:p w14:paraId="4CC0EF6E" w14:textId="02015FC4" w:rsidR="00F47ADA" w:rsidRPr="00762735" w:rsidRDefault="00F47ADA" w:rsidP="00F47ADA">
      <w:pPr>
        <w:suppressAutoHyphens w:val="0"/>
        <w:autoSpaceDE w:val="0"/>
        <w:autoSpaceDN w:val="0"/>
        <w:adjustRightInd w:val="0"/>
        <w:jc w:val="center"/>
        <w:rPr>
          <w:szCs w:val="22"/>
          <w:lang w:val="lv-LV" w:eastAsia="lv-LV"/>
        </w:rPr>
      </w:pPr>
      <w:r w:rsidRPr="00762735">
        <w:rPr>
          <w:b/>
          <w:lang w:val="lv-LV" w:eastAsia="lv-LV"/>
        </w:rPr>
        <w:t>J</w:t>
      </w:r>
      <w:r w:rsidR="00A452F9">
        <w:rPr>
          <w:b/>
          <w:lang w:val="lv-LV" w:eastAsia="lv-LV"/>
        </w:rPr>
        <w:t> </w:t>
      </w:r>
      <w:r w:rsidRPr="00762735">
        <w:rPr>
          <w:b/>
          <w:lang w:val="lv-LV" w:eastAsia="lv-LV"/>
        </w:rPr>
        <w:t>attēls</w:t>
      </w:r>
    </w:p>
    <w:p w14:paraId="20AE3E88" w14:textId="77777777" w:rsidR="00F47ADA" w:rsidRPr="00762735" w:rsidRDefault="00F47ADA" w:rsidP="00F47ADA">
      <w:pPr>
        <w:suppressAutoHyphens w:val="0"/>
        <w:autoSpaceDE w:val="0"/>
        <w:autoSpaceDN w:val="0"/>
        <w:adjustRightInd w:val="0"/>
        <w:rPr>
          <w:szCs w:val="22"/>
          <w:lang w:val="lv-LV" w:eastAsia="lv-LV"/>
        </w:rPr>
      </w:pPr>
    </w:p>
    <w:p w14:paraId="57A1ACA4" w14:textId="19E785DA" w:rsidR="00F47ADA" w:rsidRPr="00435CE9" w:rsidRDefault="00287ADB">
      <w:pPr>
        <w:pStyle w:val="ListParagraph"/>
        <w:numPr>
          <w:ilvl w:val="0"/>
          <w:numId w:val="63"/>
        </w:numPr>
        <w:suppressAutoHyphens w:val="0"/>
        <w:autoSpaceDE w:val="0"/>
        <w:autoSpaceDN w:val="0"/>
        <w:adjustRightInd w:val="0"/>
        <w:spacing w:after="60"/>
        <w:rPr>
          <w:b/>
          <w:szCs w:val="22"/>
          <w:lang w:val="lv-LV" w:eastAsia="lv-LV"/>
        </w:rPr>
        <w:pPrChange w:id="2335" w:author="Author">
          <w:pPr>
            <w:pStyle w:val="ListParagraph"/>
            <w:suppressAutoHyphens w:val="0"/>
            <w:autoSpaceDE w:val="0"/>
            <w:autoSpaceDN w:val="0"/>
            <w:adjustRightInd w:val="0"/>
            <w:spacing w:after="60"/>
            <w:ind w:left="567" w:hanging="567"/>
          </w:pPr>
        </w:pPrChange>
      </w:pPr>
      <w:del w:id="2336" w:author="Author">
        <w:r w:rsidDel="002E57E0">
          <w:rPr>
            <w:lang w:val="nb-NO"/>
          </w:rPr>
          <w:sym w:font="Symbol" w:char="F0B7"/>
        </w:r>
        <w:r w:rsidDel="002E57E0">
          <w:rPr>
            <w:lang w:val="nb-NO"/>
          </w:rPr>
          <w:tab/>
        </w:r>
      </w:del>
      <w:r w:rsidR="00F47ADA" w:rsidRPr="00435CE9">
        <w:rPr>
          <w:lang w:val="lv-LV" w:eastAsia="lv-LV"/>
        </w:rPr>
        <w:t xml:space="preserve">Injekcijas laikā violetais indikators virzīsies pa lodziņa daļu </w:t>
      </w:r>
      <w:r w:rsidR="00F47ADA" w:rsidRPr="00435CE9">
        <w:rPr>
          <w:lang w:val="lv-LV" w:eastAsia="lv-LV"/>
        </w:rPr>
        <w:br/>
      </w:r>
      <w:r w:rsidR="00F47ADA" w:rsidRPr="00435CE9">
        <w:rPr>
          <w:b/>
          <w:lang w:val="lv-LV" w:eastAsia="lv-LV"/>
        </w:rPr>
        <w:t>(skatīt K</w:t>
      </w:r>
      <w:r w:rsidR="00A452F9">
        <w:rPr>
          <w:b/>
          <w:lang w:val="lv-LV" w:eastAsia="lv-LV"/>
        </w:rPr>
        <w:t> </w:t>
      </w:r>
      <w:r w:rsidR="00F47ADA" w:rsidRPr="00435CE9">
        <w:rPr>
          <w:b/>
          <w:lang w:val="lv-LV" w:eastAsia="lv-LV"/>
        </w:rPr>
        <w:t>attēlu).</w:t>
      </w:r>
    </w:p>
    <w:p w14:paraId="7068E31F" w14:textId="38A78777" w:rsidR="00F47ADA" w:rsidRPr="00435CE9" w:rsidRDefault="00287ADB">
      <w:pPr>
        <w:pStyle w:val="ListParagraph"/>
        <w:numPr>
          <w:ilvl w:val="0"/>
          <w:numId w:val="63"/>
        </w:numPr>
        <w:suppressAutoHyphens w:val="0"/>
        <w:autoSpaceDE w:val="0"/>
        <w:autoSpaceDN w:val="0"/>
        <w:adjustRightInd w:val="0"/>
        <w:spacing w:after="60"/>
        <w:rPr>
          <w:szCs w:val="22"/>
          <w:lang w:val="lv-LV" w:eastAsia="lv-LV"/>
        </w:rPr>
        <w:pPrChange w:id="2337" w:author="Author">
          <w:pPr>
            <w:pStyle w:val="ListParagraph"/>
            <w:suppressAutoHyphens w:val="0"/>
            <w:autoSpaceDE w:val="0"/>
            <w:autoSpaceDN w:val="0"/>
            <w:adjustRightInd w:val="0"/>
            <w:spacing w:after="60"/>
            <w:ind w:left="567" w:hanging="567"/>
          </w:pPr>
        </w:pPrChange>
      </w:pPr>
      <w:del w:id="2338" w:author="Author">
        <w:r w:rsidDel="002E57E0">
          <w:rPr>
            <w:lang w:val="nb-NO"/>
          </w:rPr>
          <w:sym w:font="Symbol" w:char="F0B7"/>
        </w:r>
        <w:r w:rsidDel="002E57E0">
          <w:rPr>
            <w:lang w:val="nb-NO"/>
          </w:rPr>
          <w:tab/>
        </w:r>
      </w:del>
      <w:r w:rsidR="00F47ADA" w:rsidRPr="00435CE9">
        <w:rPr>
          <w:lang w:val="lv-LV" w:eastAsia="lv-LV"/>
        </w:rPr>
        <w:t>Lai nodrošinātu to, ka tiek injicēta visa zāļu deva, skatieties uz violeto indikatoru, līdz tas apstājas.</w:t>
      </w:r>
    </w:p>
    <w:p w14:paraId="02DE0A69" w14:textId="77777777" w:rsidR="00F47ADA" w:rsidRPr="00762735" w:rsidRDefault="00F47ADA" w:rsidP="00F47ADA">
      <w:pPr>
        <w:suppressAutoHyphens w:val="0"/>
        <w:autoSpaceDE w:val="0"/>
        <w:autoSpaceDN w:val="0"/>
        <w:adjustRightInd w:val="0"/>
        <w:jc w:val="center"/>
        <w:rPr>
          <w:b/>
          <w:szCs w:val="22"/>
          <w:lang w:val="lv-LV" w:eastAsia="lv-LV"/>
        </w:rPr>
      </w:pPr>
      <w:r w:rsidRPr="00762735">
        <w:rPr>
          <w:noProof/>
          <w:lang w:eastAsia="en-US"/>
        </w:rPr>
        <w:drawing>
          <wp:inline distT="0" distB="0" distL="0" distR="0" wp14:anchorId="54520822" wp14:editId="6A0ED7A4">
            <wp:extent cx="2743200" cy="2143125"/>
            <wp:effectExtent l="0" t="0" r="0" b="0"/>
            <wp:docPr id="21" name="Picture 21" descr="Figure K_corrected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Figure K_corrected copy"/>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2143125"/>
                    </a:xfrm>
                    <a:prstGeom prst="rect">
                      <a:avLst/>
                    </a:prstGeom>
                    <a:noFill/>
                    <a:ln>
                      <a:noFill/>
                    </a:ln>
                  </pic:spPr>
                </pic:pic>
              </a:graphicData>
            </a:graphic>
          </wp:inline>
        </w:drawing>
      </w:r>
      <w:r w:rsidRPr="00762735">
        <w:rPr>
          <w:lang w:val="lv-LV" w:eastAsia="lv-LV"/>
        </w:rPr>
        <w:t xml:space="preserve"> </w:t>
      </w:r>
    </w:p>
    <w:p w14:paraId="1B421239" w14:textId="633579E3" w:rsidR="00F47ADA" w:rsidRPr="00762735" w:rsidRDefault="00F47ADA" w:rsidP="00F47ADA">
      <w:pPr>
        <w:suppressAutoHyphens w:val="0"/>
        <w:autoSpaceDE w:val="0"/>
        <w:autoSpaceDN w:val="0"/>
        <w:adjustRightInd w:val="0"/>
        <w:jc w:val="center"/>
        <w:rPr>
          <w:szCs w:val="22"/>
          <w:lang w:val="lv-LV" w:eastAsia="lv-LV"/>
        </w:rPr>
      </w:pPr>
      <w:r w:rsidRPr="00762735">
        <w:rPr>
          <w:b/>
          <w:lang w:val="lv-LV" w:eastAsia="lv-LV"/>
        </w:rPr>
        <w:t>K</w:t>
      </w:r>
      <w:r w:rsidR="00A452F9">
        <w:rPr>
          <w:b/>
          <w:lang w:val="lv-LV" w:eastAsia="lv-LV"/>
        </w:rPr>
        <w:t> </w:t>
      </w:r>
      <w:r w:rsidRPr="00762735">
        <w:rPr>
          <w:b/>
          <w:lang w:val="lv-LV" w:eastAsia="lv-LV"/>
        </w:rPr>
        <w:t>attēls</w:t>
      </w:r>
    </w:p>
    <w:p w14:paraId="50C1D167" w14:textId="77777777" w:rsidR="00F47ADA" w:rsidRPr="00762735" w:rsidRDefault="00F47ADA" w:rsidP="00F47ADA">
      <w:pPr>
        <w:suppressAutoHyphens w:val="0"/>
        <w:autoSpaceDE w:val="0"/>
        <w:autoSpaceDN w:val="0"/>
        <w:adjustRightInd w:val="0"/>
        <w:ind w:left="720"/>
        <w:rPr>
          <w:szCs w:val="22"/>
          <w:lang w:val="lv-LV" w:eastAsia="lv-LV"/>
        </w:rPr>
      </w:pPr>
    </w:p>
    <w:p w14:paraId="368B2BD8" w14:textId="34871894" w:rsidR="00F47ADA" w:rsidRPr="00435CE9" w:rsidRDefault="00287ADB">
      <w:pPr>
        <w:pStyle w:val="ListParagraph"/>
        <w:numPr>
          <w:ilvl w:val="0"/>
          <w:numId w:val="63"/>
        </w:numPr>
        <w:suppressAutoHyphens w:val="0"/>
        <w:autoSpaceDE w:val="0"/>
        <w:autoSpaceDN w:val="0"/>
        <w:adjustRightInd w:val="0"/>
        <w:spacing w:after="60"/>
        <w:rPr>
          <w:szCs w:val="22"/>
          <w:lang w:val="lv-LV" w:eastAsia="lv-LV"/>
        </w:rPr>
        <w:pPrChange w:id="2339" w:author="Author">
          <w:pPr>
            <w:pStyle w:val="ListParagraph"/>
            <w:suppressAutoHyphens w:val="0"/>
            <w:autoSpaceDE w:val="0"/>
            <w:autoSpaceDN w:val="0"/>
            <w:adjustRightInd w:val="0"/>
            <w:spacing w:after="60"/>
            <w:ind w:left="567" w:hanging="567"/>
          </w:pPr>
        </w:pPrChange>
      </w:pPr>
      <w:del w:id="2340" w:author="Author">
        <w:r w:rsidDel="002E57E0">
          <w:rPr>
            <w:lang w:val="nb-NO"/>
          </w:rPr>
          <w:sym w:font="Symbol" w:char="F0B7"/>
        </w:r>
        <w:r w:rsidDel="002E57E0">
          <w:rPr>
            <w:lang w:val="nb-NO"/>
          </w:rPr>
          <w:tab/>
        </w:r>
      </w:del>
      <w:r w:rsidR="00F47ADA" w:rsidRPr="00707120">
        <w:rPr>
          <w:color w:val="000000"/>
          <w:lang w:val="lv-LV" w:eastAsia="lv-LV"/>
        </w:rPr>
        <w:t xml:space="preserve">Injekcijas veikšana var prasīt līdz </w:t>
      </w:r>
      <w:r w:rsidR="00F47ADA" w:rsidRPr="00707120">
        <w:rPr>
          <w:b/>
          <w:color w:val="000000"/>
          <w:lang w:val="lv-LV" w:eastAsia="lv-LV"/>
        </w:rPr>
        <w:t>10</w:t>
      </w:r>
      <w:r w:rsidR="00A452F9">
        <w:rPr>
          <w:b/>
          <w:color w:val="000000"/>
          <w:lang w:val="lv-LV" w:eastAsia="lv-LV"/>
        </w:rPr>
        <w:t> </w:t>
      </w:r>
      <w:r w:rsidR="00F47ADA" w:rsidRPr="00707120">
        <w:rPr>
          <w:b/>
          <w:color w:val="000000"/>
          <w:lang w:val="lv-LV" w:eastAsia="lv-LV"/>
        </w:rPr>
        <w:t>sekundēm</w:t>
      </w:r>
      <w:r w:rsidR="00F47ADA" w:rsidRPr="00707120">
        <w:rPr>
          <w:color w:val="000000"/>
          <w:lang w:val="lv-LV" w:eastAsia="lv-LV"/>
        </w:rPr>
        <w:t>.</w:t>
      </w:r>
    </w:p>
    <w:p w14:paraId="141DC5A1" w14:textId="0BDCB88E" w:rsidR="00F47ADA" w:rsidRPr="00435CE9" w:rsidRDefault="00287ADB">
      <w:pPr>
        <w:pStyle w:val="ListParagraph"/>
        <w:numPr>
          <w:ilvl w:val="0"/>
          <w:numId w:val="63"/>
        </w:numPr>
        <w:suppressAutoHyphens w:val="0"/>
        <w:autoSpaceDE w:val="0"/>
        <w:autoSpaceDN w:val="0"/>
        <w:adjustRightInd w:val="0"/>
        <w:spacing w:after="60"/>
        <w:rPr>
          <w:szCs w:val="22"/>
          <w:lang w:val="lv-LV" w:eastAsia="lv-LV"/>
        </w:rPr>
        <w:pPrChange w:id="2341" w:author="Author">
          <w:pPr>
            <w:pStyle w:val="ListParagraph"/>
            <w:suppressAutoHyphens w:val="0"/>
            <w:autoSpaceDE w:val="0"/>
            <w:autoSpaceDN w:val="0"/>
            <w:adjustRightInd w:val="0"/>
            <w:spacing w:after="60"/>
            <w:ind w:left="567" w:hanging="567"/>
          </w:pPr>
        </w:pPrChange>
      </w:pPr>
      <w:del w:id="2342" w:author="Author">
        <w:r w:rsidDel="002E57E0">
          <w:rPr>
            <w:lang w:val="nb-NO"/>
          </w:rPr>
          <w:sym w:font="Symbol" w:char="F0B7"/>
        </w:r>
        <w:r w:rsidDel="002E57E0">
          <w:rPr>
            <w:lang w:val="nb-NO"/>
          </w:rPr>
          <w:tab/>
        </w:r>
      </w:del>
      <w:r w:rsidR="00F47ADA" w:rsidRPr="00435CE9">
        <w:rPr>
          <w:lang w:val="lv-LV" w:eastAsia="lv-LV"/>
        </w:rPr>
        <w:t xml:space="preserve">Injekcijas laikā var būt dzirdams vēl viens klikšķis, taču Jums jāturpina turēt pildspalvveida pilnšļirci stingri piespiestu ādai, līdz violetais indikators apstājas. </w:t>
      </w:r>
    </w:p>
    <w:p w14:paraId="553361E4" w14:textId="0D71E2A0" w:rsidR="00F47ADA" w:rsidRPr="00435CE9" w:rsidRDefault="00287ADB">
      <w:pPr>
        <w:pStyle w:val="ListParagraph"/>
        <w:numPr>
          <w:ilvl w:val="0"/>
          <w:numId w:val="63"/>
        </w:numPr>
        <w:suppressAutoHyphens w:val="0"/>
        <w:autoSpaceDE w:val="0"/>
        <w:autoSpaceDN w:val="0"/>
        <w:adjustRightInd w:val="0"/>
        <w:spacing w:after="60"/>
        <w:rPr>
          <w:szCs w:val="22"/>
          <w:lang w:val="lv-LV" w:eastAsia="lv-LV"/>
        </w:rPr>
        <w:pPrChange w:id="2343" w:author="Author">
          <w:pPr>
            <w:pStyle w:val="ListParagraph"/>
            <w:suppressAutoHyphens w:val="0"/>
            <w:autoSpaceDE w:val="0"/>
            <w:autoSpaceDN w:val="0"/>
            <w:adjustRightInd w:val="0"/>
            <w:spacing w:after="60"/>
            <w:ind w:left="567" w:hanging="567"/>
          </w:pPr>
        </w:pPrChange>
      </w:pPr>
      <w:del w:id="2344" w:author="Author">
        <w:r w:rsidDel="002E57E0">
          <w:rPr>
            <w:lang w:val="nb-NO"/>
          </w:rPr>
          <w:sym w:font="Symbol" w:char="F0B7"/>
        </w:r>
        <w:r w:rsidDel="002E57E0">
          <w:rPr>
            <w:lang w:val="nb-NO"/>
          </w:rPr>
          <w:tab/>
        </w:r>
      </w:del>
      <w:r w:rsidR="00F47ADA" w:rsidRPr="00435CE9">
        <w:rPr>
          <w:lang w:val="lv-LV" w:eastAsia="lv-LV"/>
        </w:rPr>
        <w:t xml:space="preserve">Kad violetais indikators ir apstājies, atlaidiet zaļo pogu. Taisni noņemiet pildspalvveida pilnšļirci no injekcijas vietas 90° grādu leņķī, lai izņemtu adatu no ādas. Tad adatas uzgalis izvirzīsies uz āru un fiksēsies savā vietā, nosedzot adatu </w:t>
      </w:r>
      <w:r w:rsidR="00F47ADA" w:rsidRPr="00435CE9">
        <w:rPr>
          <w:b/>
          <w:lang w:val="lv-LV" w:eastAsia="lv-LV"/>
        </w:rPr>
        <w:t>(skatīt L</w:t>
      </w:r>
      <w:r w:rsidR="00A452F9">
        <w:rPr>
          <w:b/>
          <w:lang w:val="lv-LV" w:eastAsia="lv-LV"/>
        </w:rPr>
        <w:t> </w:t>
      </w:r>
      <w:r w:rsidR="00F47ADA" w:rsidRPr="00435CE9">
        <w:rPr>
          <w:b/>
          <w:lang w:val="lv-LV" w:eastAsia="lv-LV"/>
        </w:rPr>
        <w:t>attēlu)</w:t>
      </w:r>
      <w:r w:rsidR="00F47ADA" w:rsidRPr="00435CE9">
        <w:rPr>
          <w:lang w:val="lv-LV" w:eastAsia="lv-LV"/>
        </w:rPr>
        <w:t>.</w:t>
      </w:r>
    </w:p>
    <w:p w14:paraId="2F3F4EB5" w14:textId="77777777" w:rsidR="00F47ADA" w:rsidRPr="00762735" w:rsidRDefault="00F47ADA" w:rsidP="00F47ADA">
      <w:pPr>
        <w:suppressAutoHyphens w:val="0"/>
        <w:autoSpaceDE w:val="0"/>
        <w:autoSpaceDN w:val="0"/>
        <w:adjustRightInd w:val="0"/>
        <w:jc w:val="center"/>
        <w:rPr>
          <w:szCs w:val="22"/>
          <w:lang w:val="lv-LV" w:eastAsia="lv-LV"/>
        </w:rPr>
      </w:pPr>
      <w:r w:rsidRPr="00762735">
        <w:rPr>
          <w:noProof/>
          <w:lang w:eastAsia="en-US"/>
        </w:rPr>
        <w:drawing>
          <wp:inline distT="0" distB="0" distL="0" distR="0" wp14:anchorId="56739FDE" wp14:editId="2CC8FA11">
            <wp:extent cx="2743200" cy="2143125"/>
            <wp:effectExtent l="0" t="0" r="0" b="0"/>
            <wp:docPr id="22" name="Picture 22" descr="AI-Upgrade-IFU_vG_images-(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AI-Upgrade-IFU_vG_images-(2)-10"/>
                    <pic:cNvPicPr preferRelativeResize="0">
                      <a:picLocks noChangeArrowheads="1"/>
                    </pic:cNvPicPr>
                  </pic:nvPicPr>
                  <pic:blipFill>
                    <a:blip r:embed="rId31" cstate="hqprint">
                      <a:extLst>
                        <a:ext uri="{28A0092B-C50C-407E-A947-70E740481C1C}">
                          <a14:useLocalDpi xmlns:a14="http://schemas.microsoft.com/office/drawing/2010/main" val="0"/>
                        </a:ext>
                      </a:extLst>
                    </a:blip>
                    <a:srcRect/>
                    <a:stretch>
                      <a:fillRect/>
                    </a:stretch>
                  </pic:blipFill>
                  <pic:spPr bwMode="auto">
                    <a:xfrm>
                      <a:off x="0" y="0"/>
                      <a:ext cx="2743200" cy="2143125"/>
                    </a:xfrm>
                    <a:prstGeom prst="rect">
                      <a:avLst/>
                    </a:prstGeom>
                    <a:noFill/>
                    <a:ln>
                      <a:noFill/>
                    </a:ln>
                  </pic:spPr>
                </pic:pic>
              </a:graphicData>
            </a:graphic>
          </wp:inline>
        </w:drawing>
      </w:r>
    </w:p>
    <w:p w14:paraId="2ABB384B" w14:textId="2837F4E4" w:rsidR="00F47ADA" w:rsidRPr="00762735" w:rsidRDefault="00F47ADA" w:rsidP="00F47ADA">
      <w:pPr>
        <w:suppressAutoHyphens w:val="0"/>
        <w:autoSpaceDE w:val="0"/>
        <w:autoSpaceDN w:val="0"/>
        <w:adjustRightInd w:val="0"/>
        <w:jc w:val="center"/>
        <w:rPr>
          <w:b/>
          <w:szCs w:val="22"/>
          <w:lang w:val="lv-LV" w:eastAsia="lv-LV"/>
        </w:rPr>
      </w:pPr>
      <w:r w:rsidRPr="00762735">
        <w:rPr>
          <w:b/>
          <w:lang w:val="lv-LV" w:eastAsia="lv-LV"/>
        </w:rPr>
        <w:t>L</w:t>
      </w:r>
      <w:r w:rsidR="00A452F9">
        <w:rPr>
          <w:b/>
          <w:lang w:val="lv-LV" w:eastAsia="lv-LV"/>
        </w:rPr>
        <w:t> </w:t>
      </w:r>
      <w:r w:rsidRPr="00762735">
        <w:rPr>
          <w:b/>
          <w:lang w:val="lv-LV" w:eastAsia="lv-LV"/>
        </w:rPr>
        <w:t>attēls</w:t>
      </w:r>
    </w:p>
    <w:p w14:paraId="6B6B541C" w14:textId="77777777" w:rsidR="00F47ADA" w:rsidRPr="00762735" w:rsidRDefault="00F47ADA" w:rsidP="00F47ADA">
      <w:pPr>
        <w:suppressAutoHyphens w:val="0"/>
        <w:autoSpaceDE w:val="0"/>
        <w:autoSpaceDN w:val="0"/>
        <w:adjustRightInd w:val="0"/>
        <w:jc w:val="center"/>
        <w:rPr>
          <w:szCs w:val="22"/>
          <w:lang w:val="lv-LV" w:eastAsia="lv-LV"/>
        </w:rPr>
      </w:pPr>
    </w:p>
    <w:p w14:paraId="0F869F3A" w14:textId="0D098054" w:rsidR="00F47ADA" w:rsidRPr="00435CE9" w:rsidRDefault="00287ADB">
      <w:pPr>
        <w:pStyle w:val="ListParagraph"/>
        <w:numPr>
          <w:ilvl w:val="0"/>
          <w:numId w:val="63"/>
        </w:numPr>
        <w:suppressAutoHyphens w:val="0"/>
        <w:autoSpaceDE w:val="0"/>
        <w:autoSpaceDN w:val="0"/>
        <w:adjustRightInd w:val="0"/>
        <w:spacing w:after="60"/>
        <w:rPr>
          <w:b/>
          <w:szCs w:val="22"/>
          <w:lang w:val="lv-LV" w:eastAsia="lv-LV"/>
        </w:rPr>
        <w:pPrChange w:id="2345" w:author="Author">
          <w:pPr>
            <w:pStyle w:val="ListParagraph"/>
            <w:suppressAutoHyphens w:val="0"/>
            <w:autoSpaceDE w:val="0"/>
            <w:autoSpaceDN w:val="0"/>
            <w:adjustRightInd w:val="0"/>
            <w:spacing w:after="60"/>
            <w:ind w:left="567" w:hanging="567"/>
          </w:pPr>
        </w:pPrChange>
      </w:pPr>
      <w:del w:id="2346" w:author="Author">
        <w:r w:rsidDel="002E57E0">
          <w:rPr>
            <w:lang w:val="nb-NO"/>
          </w:rPr>
          <w:sym w:font="Symbol" w:char="F0B7"/>
        </w:r>
        <w:r w:rsidDel="002E57E0">
          <w:rPr>
            <w:lang w:val="nb-NO"/>
          </w:rPr>
          <w:tab/>
        </w:r>
      </w:del>
      <w:r w:rsidR="00F47ADA" w:rsidRPr="00435CE9">
        <w:rPr>
          <w:lang w:val="lv-LV" w:eastAsia="lv-LV"/>
        </w:rPr>
        <w:t>Pārbaudiet lodziņa daļu, lai redzētu, vai to ir aizpildījis violetais indikators</w:t>
      </w:r>
      <w:r w:rsidR="00F47ADA" w:rsidRPr="00435CE9">
        <w:rPr>
          <w:b/>
          <w:lang w:val="lv-LV" w:eastAsia="lv-LV"/>
        </w:rPr>
        <w:t xml:space="preserve"> (skatīt L</w:t>
      </w:r>
      <w:r w:rsidR="00A452F9">
        <w:rPr>
          <w:b/>
          <w:lang w:val="lv-LV" w:eastAsia="lv-LV"/>
        </w:rPr>
        <w:t> </w:t>
      </w:r>
      <w:r w:rsidR="00F47ADA" w:rsidRPr="00435CE9">
        <w:rPr>
          <w:b/>
          <w:lang w:val="lv-LV" w:eastAsia="lv-LV"/>
        </w:rPr>
        <w:t>attēlu).</w:t>
      </w:r>
    </w:p>
    <w:p w14:paraId="3A971AA9" w14:textId="75F132A3" w:rsidR="00F47ADA" w:rsidRPr="00435CE9" w:rsidRDefault="00287ADB">
      <w:pPr>
        <w:pStyle w:val="ListParagraph"/>
        <w:numPr>
          <w:ilvl w:val="0"/>
          <w:numId w:val="63"/>
        </w:numPr>
        <w:suppressAutoHyphens w:val="0"/>
        <w:autoSpaceDE w:val="0"/>
        <w:autoSpaceDN w:val="0"/>
        <w:adjustRightInd w:val="0"/>
        <w:spacing w:after="60"/>
        <w:rPr>
          <w:szCs w:val="22"/>
          <w:lang w:val="lv-LV" w:eastAsia="lv-LV"/>
        </w:rPr>
        <w:pPrChange w:id="2347" w:author="Author">
          <w:pPr>
            <w:pStyle w:val="ListParagraph"/>
            <w:suppressAutoHyphens w:val="0"/>
            <w:autoSpaceDE w:val="0"/>
            <w:autoSpaceDN w:val="0"/>
            <w:adjustRightInd w:val="0"/>
            <w:spacing w:after="60"/>
            <w:ind w:left="567" w:hanging="567"/>
          </w:pPr>
        </w:pPrChange>
      </w:pPr>
      <w:del w:id="2348" w:author="Author">
        <w:r w:rsidDel="002E57E0">
          <w:rPr>
            <w:lang w:val="nb-NO"/>
          </w:rPr>
          <w:sym w:font="Symbol" w:char="F0B7"/>
        </w:r>
        <w:r w:rsidDel="002E57E0">
          <w:rPr>
            <w:lang w:val="nb-NO"/>
          </w:rPr>
          <w:tab/>
        </w:r>
      </w:del>
      <w:r w:rsidR="00F47ADA" w:rsidRPr="00435CE9">
        <w:rPr>
          <w:lang w:val="lv-LV" w:eastAsia="lv-LV"/>
        </w:rPr>
        <w:t>Ja violetais indikators nav aizpildījis lodziņa daļu:</w:t>
      </w:r>
    </w:p>
    <w:p w14:paraId="51E68DC6" w14:textId="35BF9825" w:rsidR="00F47ADA" w:rsidRPr="002E57E0" w:rsidRDefault="00F47ADA">
      <w:pPr>
        <w:pStyle w:val="ListParagraph"/>
        <w:numPr>
          <w:ilvl w:val="0"/>
          <w:numId w:val="63"/>
        </w:numPr>
        <w:suppressAutoHyphens w:val="0"/>
        <w:autoSpaceDE w:val="0"/>
        <w:autoSpaceDN w:val="0"/>
        <w:adjustRightInd w:val="0"/>
        <w:spacing w:after="60"/>
        <w:ind w:left="1134" w:hanging="425"/>
        <w:rPr>
          <w:szCs w:val="22"/>
          <w:lang w:val="lv-LV" w:eastAsia="lv-LV"/>
        </w:rPr>
        <w:pPrChange w:id="2349" w:author="Author">
          <w:pPr>
            <w:suppressAutoHyphens w:val="0"/>
            <w:autoSpaceDE w:val="0"/>
            <w:autoSpaceDN w:val="0"/>
            <w:adjustRightInd w:val="0"/>
            <w:spacing w:after="60"/>
            <w:ind w:left="1134" w:hanging="567"/>
          </w:pPr>
        </w:pPrChange>
      </w:pPr>
      <w:del w:id="2350" w:author="Author">
        <w:r w:rsidRPr="002E57E0" w:rsidDel="002E57E0">
          <w:rPr>
            <w:rFonts w:ascii="Symbol" w:hAnsi="Symbol" w:cs="Symbol"/>
            <w:lang w:val="lv-LV" w:eastAsia="th-TH" w:bidi="th-TH"/>
          </w:rPr>
          <w:delText></w:delText>
        </w:r>
        <w:r w:rsidRPr="002E57E0" w:rsidDel="002E57E0">
          <w:rPr>
            <w:rFonts w:eastAsia="SimSun"/>
            <w:lang w:val="lv-LV" w:eastAsia="th-TH" w:bidi="th-TH"/>
          </w:rPr>
          <w:tab/>
        </w:r>
      </w:del>
      <w:r w:rsidRPr="002E57E0">
        <w:rPr>
          <w:lang w:val="lv-LV" w:eastAsia="lv-LV"/>
        </w:rPr>
        <w:t xml:space="preserve">iespējams, adatas uzgalis nav fiksējies. </w:t>
      </w:r>
      <w:r w:rsidRPr="002E57E0">
        <w:rPr>
          <w:b/>
          <w:lang w:val="lv-LV" w:eastAsia="lv-LV"/>
        </w:rPr>
        <w:t>Nepieskarieties</w:t>
      </w:r>
      <w:r w:rsidRPr="002E57E0">
        <w:rPr>
          <w:lang w:val="lv-LV" w:eastAsia="lv-LV"/>
        </w:rPr>
        <w:t xml:space="preserve"> pildspalvveida pilnšļirces adatas uzgalim, jo tā var savainoties ar adatu. Ja adata nav nosegta, uzmanīgi ievietojiet pildspalvveida pilnšļirci asu priekšmetu tvertnē, lai izvairītos no savainošanās ar adatu.</w:t>
      </w:r>
    </w:p>
    <w:p w14:paraId="14D9D09B" w14:textId="3A31D82E" w:rsidR="00F47ADA" w:rsidRPr="002E57E0" w:rsidRDefault="00F47ADA">
      <w:pPr>
        <w:pStyle w:val="ListParagraph"/>
        <w:numPr>
          <w:ilvl w:val="0"/>
          <w:numId w:val="63"/>
        </w:numPr>
        <w:suppressAutoHyphens w:val="0"/>
        <w:autoSpaceDE w:val="0"/>
        <w:autoSpaceDN w:val="0"/>
        <w:adjustRightInd w:val="0"/>
        <w:spacing w:afterLines="60" w:after="144"/>
        <w:ind w:left="1134" w:hanging="425"/>
        <w:rPr>
          <w:b/>
          <w:szCs w:val="22"/>
          <w:lang w:val="lv-LV" w:eastAsia="lv-LV"/>
        </w:rPr>
        <w:pPrChange w:id="2351" w:author="Author">
          <w:pPr>
            <w:suppressAutoHyphens w:val="0"/>
            <w:autoSpaceDE w:val="0"/>
            <w:autoSpaceDN w:val="0"/>
            <w:adjustRightInd w:val="0"/>
            <w:spacing w:afterLines="60" w:after="144"/>
            <w:ind w:left="1134" w:hanging="567"/>
          </w:pPr>
        </w:pPrChange>
      </w:pPr>
      <w:del w:id="2352" w:author="Author">
        <w:r w:rsidRPr="002E57E0" w:rsidDel="002E57E0">
          <w:rPr>
            <w:rFonts w:ascii="Symbol" w:hAnsi="Symbol" w:cs="Symbol"/>
            <w:lang w:val="lv-LV" w:eastAsia="th-TH" w:bidi="th-TH"/>
          </w:rPr>
          <w:delText></w:delText>
        </w:r>
        <w:r w:rsidRPr="002E57E0" w:rsidDel="002E57E0">
          <w:rPr>
            <w:rFonts w:eastAsia="SimSun"/>
            <w:lang w:val="lv-LV" w:eastAsia="th-TH" w:bidi="th-TH"/>
          </w:rPr>
          <w:tab/>
        </w:r>
      </w:del>
      <w:r w:rsidRPr="002E57E0">
        <w:rPr>
          <w:lang w:val="lv-LV" w:eastAsia="lv-LV"/>
        </w:rPr>
        <w:t xml:space="preserve">Iespējams, Jūs neesat saņēmis visu RoActemra devu. </w:t>
      </w:r>
      <w:r w:rsidRPr="002E57E0">
        <w:rPr>
          <w:b/>
          <w:lang w:val="lv-LV" w:eastAsia="lv-LV"/>
        </w:rPr>
        <w:t>Nemēģiniet</w:t>
      </w:r>
      <w:r w:rsidRPr="002E57E0">
        <w:rPr>
          <w:lang w:val="lv-LV" w:eastAsia="lv-LV"/>
        </w:rPr>
        <w:t xml:space="preserve"> izmantot pildspalvveida pilnšļirci atkārtoti. Neatkārtojiet injekciju ar citu pildspalvveida pilnšļirci. Sazinieties ar veselības aprūpes speciālistu un lūdziet palīdzību.</w:t>
      </w:r>
    </w:p>
    <w:p w14:paraId="03247E76" w14:textId="77777777" w:rsidR="00F47ADA" w:rsidRPr="00762735" w:rsidRDefault="00F47ADA" w:rsidP="00F47ADA">
      <w:pPr>
        <w:keepNext/>
        <w:keepLines/>
        <w:suppressAutoHyphens w:val="0"/>
        <w:autoSpaceDE w:val="0"/>
        <w:autoSpaceDN w:val="0"/>
        <w:adjustRightInd w:val="0"/>
        <w:spacing w:after="60"/>
        <w:rPr>
          <w:rFonts w:eastAsia="Calibri"/>
          <w:b/>
          <w:szCs w:val="22"/>
          <w:lang w:val="lv-LV" w:eastAsia="lv-LV"/>
        </w:rPr>
      </w:pPr>
      <w:r w:rsidRPr="00762735">
        <w:rPr>
          <w:b/>
          <w:lang w:val="lv-LV" w:eastAsia="lv-LV"/>
        </w:rPr>
        <w:t>Pēc injekcijas</w:t>
      </w:r>
    </w:p>
    <w:p w14:paraId="2A143887" w14:textId="4B89AA3E" w:rsidR="00F47ADA" w:rsidRPr="00435CE9" w:rsidRDefault="00287ADB">
      <w:pPr>
        <w:pStyle w:val="ListParagraph"/>
        <w:keepNext/>
        <w:keepLines/>
        <w:numPr>
          <w:ilvl w:val="0"/>
          <w:numId w:val="63"/>
        </w:numPr>
        <w:suppressAutoHyphens w:val="0"/>
        <w:autoSpaceDE w:val="0"/>
        <w:autoSpaceDN w:val="0"/>
        <w:adjustRightInd w:val="0"/>
        <w:spacing w:after="12"/>
        <w:rPr>
          <w:rFonts w:eastAsia="Calibri"/>
          <w:szCs w:val="22"/>
          <w:lang w:val="lv-LV" w:eastAsia="lv-LV"/>
        </w:rPr>
        <w:pPrChange w:id="2353" w:author="Author">
          <w:pPr>
            <w:pStyle w:val="ListParagraph"/>
            <w:keepNext/>
            <w:keepLines/>
            <w:suppressAutoHyphens w:val="0"/>
            <w:autoSpaceDE w:val="0"/>
            <w:autoSpaceDN w:val="0"/>
            <w:adjustRightInd w:val="0"/>
            <w:spacing w:after="12"/>
            <w:ind w:left="567" w:hanging="567"/>
          </w:pPr>
        </w:pPrChange>
      </w:pPr>
      <w:del w:id="2354" w:author="Author">
        <w:r w:rsidDel="002E57E0">
          <w:rPr>
            <w:lang w:val="nb-NO"/>
          </w:rPr>
          <w:sym w:font="Symbol" w:char="F0B7"/>
        </w:r>
        <w:r w:rsidDel="002E57E0">
          <w:rPr>
            <w:lang w:val="nb-NO"/>
          </w:rPr>
          <w:tab/>
        </w:r>
      </w:del>
      <w:r w:rsidR="00F47ADA" w:rsidRPr="00435CE9">
        <w:rPr>
          <w:lang w:val="lv-LV" w:eastAsia="lv-LV"/>
        </w:rPr>
        <w:t xml:space="preserve">Injekcijas vietā iespējama neliela asiņošana. Var piespiest injekcijas vietai vates bumbiņu vai marli. </w:t>
      </w:r>
    </w:p>
    <w:p w14:paraId="64C96DB5" w14:textId="018C812E" w:rsidR="00F47ADA" w:rsidRPr="00435CE9" w:rsidRDefault="00287ADB">
      <w:pPr>
        <w:pStyle w:val="ListParagraph"/>
        <w:numPr>
          <w:ilvl w:val="0"/>
          <w:numId w:val="63"/>
        </w:numPr>
        <w:suppressAutoHyphens w:val="0"/>
        <w:autoSpaceDE w:val="0"/>
        <w:autoSpaceDN w:val="0"/>
        <w:adjustRightInd w:val="0"/>
        <w:spacing w:after="12"/>
        <w:rPr>
          <w:rFonts w:eastAsia="Calibri"/>
          <w:szCs w:val="22"/>
          <w:lang w:val="lv-LV" w:eastAsia="lv-LV"/>
        </w:rPr>
        <w:pPrChange w:id="2355" w:author="Author">
          <w:pPr>
            <w:pStyle w:val="ListParagraph"/>
            <w:suppressAutoHyphens w:val="0"/>
            <w:autoSpaceDE w:val="0"/>
            <w:autoSpaceDN w:val="0"/>
            <w:adjustRightInd w:val="0"/>
            <w:spacing w:after="12"/>
            <w:ind w:left="567" w:hanging="567"/>
          </w:pPr>
        </w:pPrChange>
      </w:pPr>
      <w:del w:id="2356" w:author="Author">
        <w:r w:rsidDel="002E57E0">
          <w:rPr>
            <w:lang w:val="nb-NO"/>
          </w:rPr>
          <w:sym w:font="Symbol" w:char="F0B7"/>
        </w:r>
        <w:r w:rsidDel="002E57E0">
          <w:rPr>
            <w:lang w:val="nb-NO"/>
          </w:rPr>
          <w:tab/>
        </w:r>
      </w:del>
      <w:r w:rsidR="00F47ADA" w:rsidRPr="00435CE9">
        <w:rPr>
          <w:b/>
          <w:lang w:val="lv-LV" w:eastAsia="lv-LV"/>
        </w:rPr>
        <w:t>Neberzējiet</w:t>
      </w:r>
      <w:r w:rsidR="00F47ADA" w:rsidRPr="00435CE9">
        <w:rPr>
          <w:lang w:val="lv-LV" w:eastAsia="lv-LV"/>
        </w:rPr>
        <w:t xml:space="preserve"> injekcijas vietu.</w:t>
      </w:r>
    </w:p>
    <w:p w14:paraId="1E82A15B" w14:textId="09A15783" w:rsidR="00F47ADA" w:rsidRPr="00707120" w:rsidRDefault="00287ADB">
      <w:pPr>
        <w:pStyle w:val="ListParagraph"/>
        <w:numPr>
          <w:ilvl w:val="0"/>
          <w:numId w:val="63"/>
        </w:numPr>
        <w:suppressAutoHyphens w:val="0"/>
        <w:autoSpaceDE w:val="0"/>
        <w:autoSpaceDN w:val="0"/>
        <w:adjustRightInd w:val="0"/>
        <w:spacing w:after="12"/>
        <w:rPr>
          <w:rFonts w:eastAsia="Calibri"/>
          <w:szCs w:val="22"/>
          <w:lang w:val="lv-LV" w:eastAsia="lv-LV"/>
        </w:rPr>
        <w:pPrChange w:id="2357" w:author="Author">
          <w:pPr>
            <w:pStyle w:val="ListParagraph"/>
            <w:suppressAutoHyphens w:val="0"/>
            <w:autoSpaceDE w:val="0"/>
            <w:autoSpaceDN w:val="0"/>
            <w:adjustRightInd w:val="0"/>
            <w:spacing w:after="12"/>
            <w:ind w:left="567" w:hanging="567"/>
          </w:pPr>
        </w:pPrChange>
      </w:pPr>
      <w:del w:id="2358" w:author="Author">
        <w:r w:rsidDel="002E57E0">
          <w:rPr>
            <w:lang w:val="nb-NO"/>
          </w:rPr>
          <w:sym w:font="Symbol" w:char="F0B7"/>
        </w:r>
        <w:r w:rsidDel="002E57E0">
          <w:rPr>
            <w:lang w:val="nb-NO"/>
          </w:rPr>
          <w:tab/>
        </w:r>
      </w:del>
      <w:r w:rsidR="00F47ADA" w:rsidRPr="00435CE9">
        <w:rPr>
          <w:lang w:val="lv-LV" w:eastAsia="lv-LV"/>
        </w:rPr>
        <w:t>Ja nepieciešams, varat uzlikt injekcijas vietai nelielu pārsēju.</w:t>
      </w:r>
    </w:p>
    <w:p w14:paraId="1474E96B" w14:textId="77777777" w:rsidR="00F47ADA" w:rsidRPr="00435CE9" w:rsidRDefault="00F47ADA" w:rsidP="00707120">
      <w:pPr>
        <w:suppressAutoHyphens w:val="0"/>
        <w:autoSpaceDE w:val="0"/>
        <w:autoSpaceDN w:val="0"/>
        <w:adjustRightInd w:val="0"/>
        <w:spacing w:after="12"/>
        <w:rPr>
          <w:rFonts w:eastAsia="Calibri"/>
          <w:szCs w:val="22"/>
          <w:lang w:val="lv-LV" w:eastAsia="lv-LV"/>
        </w:rPr>
      </w:pPr>
    </w:p>
    <w:p w14:paraId="642B5AAD" w14:textId="4F384DB7" w:rsidR="00F47ADA" w:rsidRPr="00762735" w:rsidRDefault="00F47ADA" w:rsidP="00F47ADA">
      <w:pPr>
        <w:suppressAutoHyphens w:val="0"/>
        <w:autoSpaceDE w:val="0"/>
        <w:autoSpaceDN w:val="0"/>
        <w:adjustRightInd w:val="0"/>
        <w:spacing w:after="60"/>
        <w:rPr>
          <w:rFonts w:eastAsia="Calibri"/>
          <w:b/>
          <w:szCs w:val="22"/>
          <w:lang w:val="lv-LV" w:eastAsia="lv-LV"/>
        </w:rPr>
      </w:pPr>
      <w:r w:rsidRPr="00762735">
        <w:rPr>
          <w:b/>
          <w:lang w:val="lv-LV" w:eastAsia="lv-LV"/>
        </w:rPr>
        <w:t>4.</w:t>
      </w:r>
      <w:r w:rsidR="00A452F9">
        <w:rPr>
          <w:b/>
          <w:lang w:val="lv-LV" w:eastAsia="lv-LV"/>
        </w:rPr>
        <w:t> </w:t>
      </w:r>
      <w:r w:rsidRPr="00762735">
        <w:rPr>
          <w:b/>
          <w:lang w:val="lv-LV" w:eastAsia="lv-LV"/>
        </w:rPr>
        <w:t>solis. Izmetiet pildspalvveida pilnšļirci</w:t>
      </w:r>
    </w:p>
    <w:p w14:paraId="6E429083" w14:textId="7C9D5477" w:rsidR="00F47ADA" w:rsidRPr="00435CE9" w:rsidRDefault="00287ADB">
      <w:pPr>
        <w:pStyle w:val="ListParagraph"/>
        <w:numPr>
          <w:ilvl w:val="0"/>
          <w:numId w:val="63"/>
        </w:numPr>
        <w:suppressAutoHyphens w:val="0"/>
        <w:autoSpaceDE w:val="0"/>
        <w:autoSpaceDN w:val="0"/>
        <w:adjustRightInd w:val="0"/>
        <w:spacing w:after="12"/>
        <w:rPr>
          <w:rFonts w:eastAsia="Calibri"/>
          <w:szCs w:val="22"/>
          <w:lang w:val="lv-LV" w:eastAsia="lv-LV"/>
        </w:rPr>
        <w:pPrChange w:id="2359" w:author="Author">
          <w:pPr>
            <w:pStyle w:val="ListParagraph"/>
            <w:suppressAutoHyphens w:val="0"/>
            <w:autoSpaceDE w:val="0"/>
            <w:autoSpaceDN w:val="0"/>
            <w:adjustRightInd w:val="0"/>
            <w:spacing w:after="12"/>
            <w:ind w:left="567" w:hanging="567"/>
          </w:pPr>
        </w:pPrChange>
      </w:pPr>
      <w:del w:id="2360" w:author="Author">
        <w:r w:rsidDel="002E57E0">
          <w:rPr>
            <w:lang w:val="nb-NO"/>
          </w:rPr>
          <w:sym w:font="Symbol" w:char="F0B7"/>
        </w:r>
        <w:r w:rsidDel="002E57E0">
          <w:rPr>
            <w:lang w:val="nb-NO"/>
          </w:rPr>
          <w:tab/>
        </w:r>
      </w:del>
      <w:r w:rsidR="00F47ADA" w:rsidRPr="00435CE9">
        <w:rPr>
          <w:lang w:val="lv-LV" w:eastAsia="lv-LV"/>
        </w:rPr>
        <w:t>RoActemra pildspalvveida pilnšļirci nedrīkst izmantot atkārtoti.</w:t>
      </w:r>
    </w:p>
    <w:p w14:paraId="0AAEE07D" w14:textId="3001911C" w:rsidR="00F47ADA" w:rsidRPr="00435CE9" w:rsidRDefault="00287ADB">
      <w:pPr>
        <w:pStyle w:val="ListParagraph"/>
        <w:numPr>
          <w:ilvl w:val="0"/>
          <w:numId w:val="63"/>
        </w:numPr>
        <w:suppressAutoHyphens w:val="0"/>
        <w:autoSpaceDE w:val="0"/>
        <w:autoSpaceDN w:val="0"/>
        <w:adjustRightInd w:val="0"/>
        <w:spacing w:after="12"/>
        <w:rPr>
          <w:rFonts w:eastAsia="Calibri"/>
          <w:b/>
          <w:szCs w:val="22"/>
          <w:lang w:val="lv-LV" w:eastAsia="lv-LV"/>
        </w:rPr>
        <w:pPrChange w:id="2361" w:author="Author">
          <w:pPr>
            <w:pStyle w:val="ListParagraph"/>
            <w:tabs>
              <w:tab w:val="left" w:pos="540"/>
              <w:tab w:val="left" w:pos="630"/>
            </w:tabs>
            <w:suppressAutoHyphens w:val="0"/>
            <w:autoSpaceDE w:val="0"/>
            <w:autoSpaceDN w:val="0"/>
            <w:adjustRightInd w:val="0"/>
            <w:spacing w:after="12"/>
            <w:ind w:left="567" w:hanging="567"/>
          </w:pPr>
        </w:pPrChange>
      </w:pPr>
      <w:del w:id="2362" w:author="Author">
        <w:r w:rsidDel="002E57E0">
          <w:rPr>
            <w:lang w:val="nb-NO"/>
          </w:rPr>
          <w:sym w:font="Symbol" w:char="F0B7"/>
        </w:r>
        <w:r w:rsidDel="002E57E0">
          <w:rPr>
            <w:lang w:val="nb-NO"/>
          </w:rPr>
          <w:tab/>
        </w:r>
      </w:del>
      <w:r w:rsidR="00F47ADA" w:rsidRPr="00435CE9">
        <w:rPr>
          <w:lang w:val="lv-LV" w:eastAsia="lv-LV"/>
        </w:rPr>
        <w:t xml:space="preserve">Ievietojiet izlietoto pildspalvveida pilnšļirci asu priekšmetu tvertnē (skatīt </w:t>
      </w:r>
      <w:r w:rsidR="00F47ADA" w:rsidRPr="00435CE9">
        <w:rPr>
          <w:b/>
          <w:cs/>
          <w:lang w:val="lv-LV" w:eastAsia="lv-LV"/>
        </w:rPr>
        <w:t>“</w:t>
      </w:r>
      <w:r w:rsidR="00F47ADA" w:rsidRPr="00435CE9">
        <w:rPr>
          <w:b/>
          <w:lang w:val="lv-LV" w:eastAsia="lv-LV"/>
        </w:rPr>
        <w:t>Kā izmest izlietotās pildspalvveida pilnšļirces?</w:t>
      </w:r>
      <w:r w:rsidR="00F47ADA" w:rsidRPr="00435CE9">
        <w:rPr>
          <w:b/>
          <w:cs/>
          <w:lang w:val="lv-LV" w:eastAsia="lv-LV"/>
        </w:rPr>
        <w:t>”</w:t>
      </w:r>
      <w:r w:rsidR="00F47ADA" w:rsidRPr="00435CE9">
        <w:rPr>
          <w:b/>
          <w:lang w:val="lv-LV" w:eastAsia="lv-LV"/>
        </w:rPr>
        <w:t>)</w:t>
      </w:r>
    </w:p>
    <w:p w14:paraId="71E6C84A" w14:textId="7DB0B7E4" w:rsidR="00F47ADA" w:rsidRPr="00435CE9" w:rsidRDefault="00287ADB">
      <w:pPr>
        <w:pStyle w:val="ListParagraph"/>
        <w:numPr>
          <w:ilvl w:val="0"/>
          <w:numId w:val="63"/>
        </w:numPr>
        <w:suppressAutoHyphens w:val="0"/>
        <w:autoSpaceDE w:val="0"/>
        <w:autoSpaceDN w:val="0"/>
        <w:adjustRightInd w:val="0"/>
        <w:spacing w:after="12"/>
        <w:rPr>
          <w:rFonts w:eastAsia="Calibri"/>
          <w:szCs w:val="22"/>
          <w:lang w:val="lv-LV" w:eastAsia="lv-LV"/>
        </w:rPr>
        <w:pPrChange w:id="2363" w:author="Author">
          <w:pPr>
            <w:pStyle w:val="ListParagraph"/>
            <w:tabs>
              <w:tab w:val="left" w:pos="540"/>
              <w:tab w:val="left" w:pos="1440"/>
              <w:tab w:val="left" w:pos="1620"/>
            </w:tabs>
            <w:suppressAutoHyphens w:val="0"/>
            <w:autoSpaceDE w:val="0"/>
            <w:autoSpaceDN w:val="0"/>
            <w:adjustRightInd w:val="0"/>
            <w:spacing w:after="12"/>
            <w:ind w:left="567" w:hanging="567"/>
          </w:pPr>
        </w:pPrChange>
      </w:pPr>
      <w:del w:id="2364" w:author="Author">
        <w:r w:rsidDel="002E57E0">
          <w:rPr>
            <w:lang w:val="nb-NO"/>
          </w:rPr>
          <w:sym w:font="Symbol" w:char="F0B7"/>
        </w:r>
        <w:r w:rsidDel="002E57E0">
          <w:rPr>
            <w:lang w:val="nb-NO"/>
          </w:rPr>
          <w:tab/>
        </w:r>
      </w:del>
      <w:r w:rsidR="00F47ADA" w:rsidRPr="00435CE9">
        <w:rPr>
          <w:b/>
          <w:lang w:val="lv-LV" w:eastAsia="lv-LV"/>
        </w:rPr>
        <w:t>Nelieciet</w:t>
      </w:r>
      <w:r w:rsidR="00F47ADA" w:rsidRPr="00435CE9">
        <w:rPr>
          <w:lang w:val="lv-LV" w:eastAsia="lv-LV"/>
        </w:rPr>
        <w:t xml:space="preserve"> atpakaļ vāciņu uz pildspalvveida pilnšļirces.</w:t>
      </w:r>
    </w:p>
    <w:p w14:paraId="3D9EB785" w14:textId="2B87316A" w:rsidR="00F47ADA" w:rsidRPr="00435CE9" w:rsidRDefault="00287ADB">
      <w:pPr>
        <w:pStyle w:val="ListParagraph"/>
        <w:numPr>
          <w:ilvl w:val="0"/>
          <w:numId w:val="63"/>
        </w:numPr>
        <w:suppressAutoHyphens w:val="0"/>
        <w:autoSpaceDE w:val="0"/>
        <w:autoSpaceDN w:val="0"/>
        <w:adjustRightInd w:val="0"/>
        <w:spacing w:after="12"/>
        <w:rPr>
          <w:rFonts w:eastAsia="Calibri"/>
          <w:szCs w:val="22"/>
          <w:lang w:val="lv-LV" w:eastAsia="lv-LV"/>
        </w:rPr>
        <w:pPrChange w:id="2365" w:author="Author">
          <w:pPr>
            <w:pStyle w:val="ListParagraph"/>
            <w:suppressAutoHyphens w:val="0"/>
            <w:autoSpaceDE w:val="0"/>
            <w:autoSpaceDN w:val="0"/>
            <w:adjustRightInd w:val="0"/>
            <w:spacing w:after="12"/>
            <w:ind w:left="567" w:hanging="567"/>
          </w:pPr>
        </w:pPrChange>
      </w:pPr>
      <w:del w:id="2366" w:author="Author">
        <w:r w:rsidDel="002E57E0">
          <w:rPr>
            <w:lang w:val="nb-NO"/>
          </w:rPr>
          <w:sym w:font="Symbol" w:char="F0B7"/>
        </w:r>
        <w:r w:rsidDel="002E57E0">
          <w:rPr>
            <w:lang w:val="nb-NO"/>
          </w:rPr>
          <w:tab/>
        </w:r>
      </w:del>
      <w:r w:rsidR="00F47ADA" w:rsidRPr="00707120">
        <w:rPr>
          <w:b/>
          <w:lang w:val="lv-LV" w:eastAsia="lv-LV"/>
        </w:rPr>
        <w:t>Ja injekciju veic cits cilvēks, arī viņam jāuzmanās, izvelkot un izmetot pildspalvveida pilnšļirci, lai izvairītos no nejaušas savainošanās ar adatu un inficēšanās.</w:t>
      </w:r>
    </w:p>
    <w:p w14:paraId="0CF32DE1" w14:textId="77777777" w:rsidR="00F47ADA" w:rsidRPr="00762735" w:rsidRDefault="00F47ADA" w:rsidP="00F47ADA">
      <w:pPr>
        <w:suppressAutoHyphens w:val="0"/>
        <w:autoSpaceDE w:val="0"/>
        <w:autoSpaceDN w:val="0"/>
        <w:adjustRightInd w:val="0"/>
        <w:spacing w:after="60"/>
        <w:rPr>
          <w:rFonts w:eastAsia="Calibri"/>
          <w:b/>
          <w:szCs w:val="22"/>
          <w:lang w:val="lv-LV" w:eastAsia="lv-LV"/>
        </w:rPr>
      </w:pPr>
      <w:r w:rsidRPr="00762735">
        <w:rPr>
          <w:b/>
          <w:lang w:val="lv-LV" w:eastAsia="lv-LV"/>
        </w:rPr>
        <w:t>Kā izmest izlietotās pildspalvveida pilnšļirces?</w:t>
      </w:r>
    </w:p>
    <w:p w14:paraId="6833CBEE" w14:textId="12522209" w:rsidR="00F47ADA" w:rsidRPr="00435CE9" w:rsidRDefault="00287ADB" w:rsidP="00707120">
      <w:pPr>
        <w:pStyle w:val="ListParagraph"/>
        <w:widowControl w:val="0"/>
        <w:tabs>
          <w:tab w:val="left" w:pos="620"/>
          <w:tab w:val="left" w:pos="720"/>
        </w:tabs>
        <w:suppressAutoHyphens w:val="0"/>
        <w:spacing w:after="12"/>
        <w:ind w:left="567" w:hanging="567"/>
        <w:rPr>
          <w:rFonts w:eastAsia="Verdana"/>
          <w:b/>
          <w:szCs w:val="22"/>
          <w:lang w:val="lv-LV" w:eastAsia="lv-LV"/>
        </w:rPr>
      </w:pPr>
      <w:r>
        <w:rPr>
          <w:lang w:val="nb-NO"/>
        </w:rPr>
        <w:sym w:font="Symbol" w:char="F0B7"/>
      </w:r>
      <w:r>
        <w:rPr>
          <w:lang w:val="nb-NO"/>
        </w:rPr>
        <w:tab/>
      </w:r>
      <w:r w:rsidR="00F47ADA" w:rsidRPr="00435CE9">
        <w:rPr>
          <w:lang w:val="lv-LV" w:eastAsia="lv-LV"/>
        </w:rPr>
        <w:t xml:space="preserve">Tūlīt pēc lietošanas ievietojiet izlietoto pildspalvveida pilnšļirci un zaļo vāciņu asu priekšmetu tvertnē </w:t>
      </w:r>
      <w:r w:rsidR="00F47ADA" w:rsidRPr="00435CE9">
        <w:rPr>
          <w:b/>
          <w:lang w:val="lv-LV" w:eastAsia="lv-LV"/>
        </w:rPr>
        <w:t>(skatīt M</w:t>
      </w:r>
      <w:r w:rsidR="00A452F9">
        <w:rPr>
          <w:b/>
          <w:lang w:val="lv-LV" w:eastAsia="lv-LV"/>
        </w:rPr>
        <w:t> </w:t>
      </w:r>
      <w:r w:rsidR="00F47ADA" w:rsidRPr="00435CE9">
        <w:rPr>
          <w:b/>
          <w:lang w:val="lv-LV" w:eastAsia="lv-LV"/>
        </w:rPr>
        <w:t>attēlu).</w:t>
      </w:r>
    </w:p>
    <w:p w14:paraId="26235655" w14:textId="6A8B2912" w:rsidR="00F47ADA" w:rsidRPr="00707120" w:rsidRDefault="00287ADB" w:rsidP="00707120">
      <w:pPr>
        <w:pStyle w:val="ListParagraph"/>
        <w:widowControl w:val="0"/>
        <w:tabs>
          <w:tab w:val="left" w:pos="620"/>
          <w:tab w:val="left" w:pos="720"/>
        </w:tabs>
        <w:suppressAutoHyphens w:val="0"/>
        <w:spacing w:after="12"/>
        <w:ind w:left="567" w:hanging="567"/>
        <w:rPr>
          <w:rFonts w:eastAsia="Verdana"/>
          <w:b/>
          <w:szCs w:val="22"/>
          <w:lang w:val="lv-LV" w:eastAsia="lv-LV"/>
        </w:rPr>
      </w:pPr>
      <w:r>
        <w:rPr>
          <w:lang w:val="nb-NO"/>
        </w:rPr>
        <w:sym w:font="Symbol" w:char="F0B7"/>
      </w:r>
      <w:r>
        <w:rPr>
          <w:lang w:val="nb-NO"/>
        </w:rPr>
        <w:tab/>
      </w:r>
      <w:r w:rsidR="00F47ADA" w:rsidRPr="00707120">
        <w:rPr>
          <w:b/>
          <w:lang w:val="lv-LV" w:eastAsia="lv-LV"/>
        </w:rPr>
        <w:t>Neizmetiet pildspalvveida pilnšļirci un zaļo vāciņu sadzīves atkritumos un nenododiet tos otrreizējai pārstrādei.</w:t>
      </w:r>
    </w:p>
    <w:p w14:paraId="34B3D1CC" w14:textId="77777777" w:rsidR="00F47ADA" w:rsidRPr="00762735" w:rsidRDefault="00F47ADA" w:rsidP="00F47ADA">
      <w:pPr>
        <w:widowControl w:val="0"/>
        <w:tabs>
          <w:tab w:val="left" w:pos="620"/>
        </w:tabs>
        <w:suppressAutoHyphens w:val="0"/>
        <w:spacing w:before="60"/>
        <w:ind w:left="360" w:right="-14"/>
        <w:jc w:val="center"/>
        <w:rPr>
          <w:b/>
          <w:szCs w:val="22"/>
          <w:lang w:val="lv-LV" w:eastAsia="lv-LV"/>
        </w:rPr>
      </w:pPr>
      <w:r w:rsidRPr="00762735">
        <w:rPr>
          <w:b/>
          <w:noProof/>
          <w:lang w:eastAsia="en-US"/>
        </w:rPr>
        <w:drawing>
          <wp:inline distT="0" distB="0" distL="0" distR="0" wp14:anchorId="352E1FAA" wp14:editId="45818D28">
            <wp:extent cx="2743200" cy="2133600"/>
            <wp:effectExtent l="0" t="0" r="0" b="0"/>
            <wp:docPr id="23" name="Picture 23" descr="AI-Upgrade-IFU_vG_images-(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AI-Upgrade-IFU_vG_images-(2)-12"/>
                    <pic:cNvPicPr preferRelativeResize="0">
                      <a:picLocks noChangeArrowheads="1"/>
                    </pic:cNvPicPr>
                  </pic:nvPicPr>
                  <pic:blipFill>
                    <a:blip r:embed="rId32" cstate="hqprint">
                      <a:extLst>
                        <a:ext uri="{28A0092B-C50C-407E-A947-70E740481C1C}">
                          <a14:useLocalDpi xmlns:a14="http://schemas.microsoft.com/office/drawing/2010/main" val="0"/>
                        </a:ext>
                      </a:extLst>
                    </a:blip>
                    <a:srcRect/>
                    <a:stretch>
                      <a:fillRect/>
                    </a:stretch>
                  </pic:blipFill>
                  <pic:spPr bwMode="auto">
                    <a:xfrm>
                      <a:off x="0" y="0"/>
                      <a:ext cx="2743200" cy="2133600"/>
                    </a:xfrm>
                    <a:prstGeom prst="rect">
                      <a:avLst/>
                    </a:prstGeom>
                    <a:noFill/>
                    <a:ln>
                      <a:noFill/>
                    </a:ln>
                  </pic:spPr>
                </pic:pic>
              </a:graphicData>
            </a:graphic>
          </wp:inline>
        </w:drawing>
      </w:r>
    </w:p>
    <w:p w14:paraId="71844D8E" w14:textId="77B38D40" w:rsidR="00F47ADA" w:rsidRPr="00762735" w:rsidRDefault="00F47ADA" w:rsidP="00F47ADA">
      <w:pPr>
        <w:widowControl w:val="0"/>
        <w:tabs>
          <w:tab w:val="left" w:pos="620"/>
        </w:tabs>
        <w:suppressAutoHyphens w:val="0"/>
        <w:spacing w:before="60"/>
        <w:ind w:left="360" w:right="-14"/>
        <w:jc w:val="center"/>
        <w:rPr>
          <w:b/>
          <w:szCs w:val="22"/>
          <w:lang w:val="lv-LV" w:eastAsia="lv-LV"/>
        </w:rPr>
      </w:pPr>
      <w:r w:rsidRPr="00762735">
        <w:rPr>
          <w:b/>
          <w:lang w:val="lv-LV" w:eastAsia="lv-LV"/>
        </w:rPr>
        <w:t>M</w:t>
      </w:r>
      <w:r w:rsidR="00A452F9">
        <w:rPr>
          <w:b/>
          <w:lang w:val="lv-LV" w:eastAsia="lv-LV"/>
        </w:rPr>
        <w:t> </w:t>
      </w:r>
      <w:r w:rsidRPr="00762735">
        <w:rPr>
          <w:b/>
          <w:lang w:val="lv-LV" w:eastAsia="lv-LV"/>
        </w:rPr>
        <w:t>attēls</w:t>
      </w:r>
    </w:p>
    <w:p w14:paraId="7BA0479A" w14:textId="77777777" w:rsidR="00F47ADA" w:rsidRPr="00762735" w:rsidRDefault="00F47ADA" w:rsidP="00F47ADA">
      <w:pPr>
        <w:widowControl w:val="0"/>
        <w:tabs>
          <w:tab w:val="left" w:pos="620"/>
        </w:tabs>
        <w:suppressAutoHyphens w:val="0"/>
        <w:ind w:right="-20"/>
        <w:rPr>
          <w:rFonts w:eastAsia="Verdana"/>
          <w:b/>
          <w:szCs w:val="22"/>
          <w:lang w:val="lv-LV" w:eastAsia="lv-LV"/>
        </w:rPr>
      </w:pPr>
    </w:p>
    <w:p w14:paraId="4EE7EB6F" w14:textId="1BEAB88B" w:rsidR="00F47ADA" w:rsidRPr="00435CE9" w:rsidRDefault="00287ADB">
      <w:pPr>
        <w:pStyle w:val="ListParagraph"/>
        <w:numPr>
          <w:ilvl w:val="0"/>
          <w:numId w:val="63"/>
        </w:numPr>
        <w:suppressAutoHyphens w:val="0"/>
        <w:autoSpaceDE w:val="0"/>
        <w:autoSpaceDN w:val="0"/>
        <w:adjustRightInd w:val="0"/>
        <w:spacing w:after="12"/>
        <w:rPr>
          <w:szCs w:val="22"/>
          <w:lang w:val="lv-LV" w:eastAsia="lv-LV"/>
        </w:rPr>
        <w:pPrChange w:id="2367" w:author="Author">
          <w:pPr>
            <w:pStyle w:val="ListParagraph"/>
            <w:suppressAutoHyphens w:val="0"/>
            <w:autoSpaceDE w:val="0"/>
            <w:autoSpaceDN w:val="0"/>
            <w:adjustRightInd w:val="0"/>
            <w:spacing w:after="12"/>
            <w:ind w:left="567" w:hanging="567"/>
          </w:pPr>
        </w:pPrChange>
      </w:pPr>
      <w:del w:id="2368" w:author="Author">
        <w:r w:rsidDel="002E57E0">
          <w:rPr>
            <w:lang w:val="nb-NO"/>
          </w:rPr>
          <w:sym w:font="Symbol" w:char="F0B7"/>
        </w:r>
        <w:r w:rsidDel="002E57E0">
          <w:rPr>
            <w:lang w:val="nb-NO"/>
          </w:rPr>
          <w:tab/>
        </w:r>
      </w:del>
      <w:r w:rsidR="00F47ADA" w:rsidRPr="00435CE9">
        <w:rPr>
          <w:lang w:val="lv-LV" w:eastAsia="lv-LV"/>
        </w:rPr>
        <w:t>Pilno tvertni izmetiet atbilstoši veselības aprūpes speciālista vai farmaceita norādījumiem.</w:t>
      </w:r>
    </w:p>
    <w:p w14:paraId="323FF158" w14:textId="6EA098B6" w:rsidR="00F47ADA" w:rsidRPr="00435CE9" w:rsidRDefault="00287ADB">
      <w:pPr>
        <w:pStyle w:val="ListParagraph"/>
        <w:numPr>
          <w:ilvl w:val="0"/>
          <w:numId w:val="63"/>
        </w:numPr>
        <w:suppressAutoHyphens w:val="0"/>
        <w:autoSpaceDE w:val="0"/>
        <w:autoSpaceDN w:val="0"/>
        <w:adjustRightInd w:val="0"/>
        <w:spacing w:after="12"/>
        <w:rPr>
          <w:szCs w:val="22"/>
          <w:lang w:val="lv-LV" w:eastAsia="lv-LV"/>
        </w:rPr>
        <w:pPrChange w:id="2369" w:author="Author">
          <w:pPr>
            <w:pStyle w:val="ListParagraph"/>
            <w:suppressAutoHyphens w:val="0"/>
            <w:autoSpaceDE w:val="0"/>
            <w:autoSpaceDN w:val="0"/>
            <w:adjustRightInd w:val="0"/>
            <w:spacing w:after="12"/>
            <w:ind w:left="567" w:hanging="567"/>
          </w:pPr>
        </w:pPrChange>
      </w:pPr>
      <w:del w:id="2370" w:author="Author">
        <w:r w:rsidDel="002E57E0">
          <w:rPr>
            <w:lang w:val="nb-NO"/>
          </w:rPr>
          <w:sym w:font="Symbol" w:char="F0B7"/>
        </w:r>
        <w:r w:rsidDel="002E57E0">
          <w:rPr>
            <w:lang w:val="nb-NO"/>
          </w:rPr>
          <w:tab/>
        </w:r>
      </w:del>
      <w:r w:rsidR="00F47ADA" w:rsidRPr="00435CE9">
        <w:rPr>
          <w:lang w:val="lv-LV" w:eastAsia="lv-LV"/>
        </w:rPr>
        <w:t>Necaurduramo tvertni vienmēr glabājiet bērniem neredzamā un nepieejamā vietā.</w:t>
      </w:r>
    </w:p>
    <w:p w14:paraId="5A1A85A6" w14:textId="77777777" w:rsidR="00F47ADA" w:rsidRPr="00762735" w:rsidRDefault="00F47ADA" w:rsidP="00F47ADA">
      <w:pPr>
        <w:suppressAutoHyphens w:val="0"/>
        <w:autoSpaceDE w:val="0"/>
        <w:autoSpaceDN w:val="0"/>
        <w:adjustRightInd w:val="0"/>
        <w:spacing w:after="60"/>
        <w:rPr>
          <w:rFonts w:eastAsia="Calibri"/>
          <w:b/>
          <w:szCs w:val="22"/>
          <w:lang w:val="lv-LV" w:eastAsia="lv-LV"/>
        </w:rPr>
      </w:pPr>
    </w:p>
    <w:p w14:paraId="4686127D" w14:textId="77777777" w:rsidR="00F47ADA" w:rsidRPr="00762735" w:rsidRDefault="00F47ADA" w:rsidP="00F47ADA">
      <w:pPr>
        <w:suppressAutoHyphens w:val="0"/>
        <w:autoSpaceDE w:val="0"/>
        <w:autoSpaceDN w:val="0"/>
        <w:adjustRightInd w:val="0"/>
        <w:spacing w:after="60"/>
        <w:rPr>
          <w:rFonts w:eastAsia="Calibri"/>
          <w:b/>
          <w:szCs w:val="22"/>
          <w:lang w:val="lv-LV" w:eastAsia="lv-LV"/>
        </w:rPr>
      </w:pPr>
      <w:r w:rsidRPr="00762735">
        <w:rPr>
          <w:b/>
          <w:lang w:val="lv-LV" w:eastAsia="lv-LV"/>
        </w:rPr>
        <w:t xml:space="preserve">Uzglabājiet </w:t>
      </w:r>
      <w:r>
        <w:rPr>
          <w:b/>
          <w:lang w:val="lv-LV" w:eastAsia="lv-LV"/>
        </w:rPr>
        <w:t>RoActemra</w:t>
      </w:r>
      <w:r w:rsidRPr="00762735">
        <w:rPr>
          <w:b/>
          <w:lang w:val="lv-LV" w:eastAsia="lv-LV"/>
        </w:rPr>
        <w:t xml:space="preserve"> pildspalvveida pilnšļirci un atkritumu tvertni bērniem nepieejamā vietā.</w:t>
      </w:r>
    </w:p>
    <w:p w14:paraId="20800F71" w14:textId="77777777" w:rsidR="00F47ADA" w:rsidRPr="00762735" w:rsidRDefault="00F47ADA" w:rsidP="00F47ADA">
      <w:pPr>
        <w:suppressAutoHyphens w:val="0"/>
        <w:autoSpaceDE w:val="0"/>
        <w:autoSpaceDN w:val="0"/>
        <w:adjustRightInd w:val="0"/>
        <w:spacing w:after="60"/>
        <w:rPr>
          <w:rFonts w:eastAsia="Calibri"/>
          <w:b/>
          <w:szCs w:val="22"/>
          <w:lang w:val="lv-LV" w:eastAsia="lv-LV"/>
        </w:rPr>
      </w:pPr>
      <w:r w:rsidRPr="00762735">
        <w:rPr>
          <w:b/>
          <w:lang w:val="lv-LV" w:eastAsia="lv-LV"/>
        </w:rPr>
        <w:t>Pierakstiet, kad veicat injekciju</w:t>
      </w:r>
    </w:p>
    <w:p w14:paraId="6BDD2735" w14:textId="19E1DD46" w:rsidR="00F47ADA" w:rsidRPr="00E444FE" w:rsidRDefault="00287ADB">
      <w:pPr>
        <w:pStyle w:val="ListParagraph"/>
        <w:numPr>
          <w:ilvl w:val="0"/>
          <w:numId w:val="63"/>
        </w:numPr>
        <w:suppressAutoHyphens w:val="0"/>
        <w:autoSpaceDE w:val="0"/>
        <w:autoSpaceDN w:val="0"/>
        <w:adjustRightInd w:val="0"/>
        <w:rPr>
          <w:rFonts w:eastAsia="Calibri"/>
          <w:b/>
          <w:szCs w:val="22"/>
          <w:lang w:val="lv-LV" w:eastAsia="lv-LV"/>
        </w:rPr>
        <w:pPrChange w:id="2371" w:author="Author">
          <w:pPr>
            <w:pStyle w:val="ListParagraph"/>
            <w:suppressAutoHyphens w:val="0"/>
            <w:autoSpaceDE w:val="0"/>
            <w:autoSpaceDN w:val="0"/>
            <w:adjustRightInd w:val="0"/>
            <w:ind w:left="567" w:hanging="567"/>
          </w:pPr>
        </w:pPrChange>
      </w:pPr>
      <w:del w:id="2372" w:author="Author">
        <w:r w:rsidDel="002E57E0">
          <w:rPr>
            <w:lang w:val="nb-NO"/>
          </w:rPr>
          <w:sym w:font="Symbol" w:char="F0B7"/>
        </w:r>
        <w:r w:rsidDel="002E57E0">
          <w:rPr>
            <w:lang w:val="nb-NO"/>
          </w:rPr>
          <w:tab/>
        </w:r>
      </w:del>
      <w:r w:rsidR="00F47ADA" w:rsidRPr="00E444FE">
        <w:rPr>
          <w:lang w:val="lv-LV" w:eastAsia="lv-LV"/>
        </w:rPr>
        <w:t>Pierakstiet datumu, laiku un ķermeņa daļu, kur injicējāt zāles. Iespējams, var būt noderīgi pierakstīt arī jebkādus jautājumus vai bažas par injekcijām, lai varētu pavaicāt veselības aprūpes speciālistam.</w:t>
      </w:r>
      <w:bookmarkStart w:id="2373" w:name="_GoBack"/>
      <w:bookmarkEnd w:id="2373"/>
    </w:p>
    <w:p w14:paraId="1E360F32" w14:textId="77777777" w:rsidR="00F47ADA" w:rsidRDefault="00F47ADA" w:rsidP="009826F9">
      <w:pPr>
        <w:suppressAutoHyphens w:val="0"/>
        <w:autoSpaceDE w:val="0"/>
        <w:autoSpaceDN w:val="0"/>
        <w:adjustRightInd w:val="0"/>
        <w:rPr>
          <w:b/>
          <w:lang w:val="lv-LV" w:eastAsia="lv-LV"/>
        </w:rPr>
      </w:pPr>
    </w:p>
    <w:p w14:paraId="1AF1BD38" w14:textId="77777777" w:rsidR="00F47ADA" w:rsidRPr="00762735" w:rsidRDefault="00F47ADA" w:rsidP="00707120">
      <w:pPr>
        <w:suppressAutoHyphens w:val="0"/>
        <w:autoSpaceDE w:val="0"/>
        <w:autoSpaceDN w:val="0"/>
        <w:adjustRightInd w:val="0"/>
        <w:rPr>
          <w:rFonts w:eastAsia="Calibri"/>
          <w:b/>
          <w:szCs w:val="22"/>
          <w:lang w:val="lv-LV" w:eastAsia="lv-LV"/>
        </w:rPr>
      </w:pPr>
      <w:r w:rsidRPr="00762735">
        <w:rPr>
          <w:b/>
          <w:lang w:val="lv-LV" w:eastAsia="lv-LV"/>
        </w:rPr>
        <w:t xml:space="preserve">Ja Jums ir kādi jautājumi vai neskaidrības par </w:t>
      </w:r>
      <w:r>
        <w:rPr>
          <w:b/>
          <w:lang w:val="lv-LV" w:eastAsia="lv-LV"/>
        </w:rPr>
        <w:t>RoActemra</w:t>
      </w:r>
      <w:r w:rsidRPr="00762735">
        <w:rPr>
          <w:b/>
          <w:lang w:val="lv-LV" w:eastAsia="lv-LV"/>
        </w:rPr>
        <w:t xml:space="preserve"> </w:t>
      </w:r>
      <w:r>
        <w:rPr>
          <w:b/>
          <w:lang w:val="lv-LV" w:eastAsia="lv-LV"/>
        </w:rPr>
        <w:t>pildspalvveida pilnšļirci</w:t>
      </w:r>
      <w:r w:rsidRPr="00762735">
        <w:rPr>
          <w:b/>
          <w:lang w:val="lv-LV" w:eastAsia="lv-LV"/>
        </w:rPr>
        <w:t xml:space="preserve">, konsultējieties ar veselības aprūpes speciālistu, kurš ir kompetents jautājumos par </w:t>
      </w:r>
      <w:r>
        <w:rPr>
          <w:b/>
          <w:lang w:val="lv-LV" w:eastAsia="lv-LV"/>
        </w:rPr>
        <w:t>RoActemra</w:t>
      </w:r>
      <w:r w:rsidRPr="00762735">
        <w:rPr>
          <w:b/>
          <w:lang w:val="lv-LV" w:eastAsia="lv-LV"/>
        </w:rPr>
        <w:t>.</w:t>
      </w:r>
    </w:p>
    <w:p w14:paraId="47D7EF19" w14:textId="05911E06" w:rsidR="003E6856" w:rsidRDefault="003E6856">
      <w:pPr>
        <w:suppressAutoHyphens w:val="0"/>
        <w:rPr>
          <w:ins w:id="2374" w:author="Author"/>
          <w:lang w:val="lv-LV"/>
        </w:rPr>
      </w:pPr>
      <w:ins w:id="2375" w:author="Author">
        <w:r>
          <w:rPr>
            <w:lang w:val="lv-LV"/>
          </w:rPr>
          <w:br w:type="page"/>
        </w:r>
      </w:ins>
    </w:p>
    <w:p w14:paraId="70D2EB04" w14:textId="460D9881" w:rsidR="003E6856" w:rsidRPr="00231BF8" w:rsidRDefault="003E6856">
      <w:pPr>
        <w:pBdr>
          <w:top w:val="dashed" w:sz="4" w:space="1" w:color="auto"/>
        </w:pBdr>
        <w:rPr>
          <w:ins w:id="2376" w:author="Author"/>
          <w:szCs w:val="22"/>
        </w:rPr>
        <w:pPrChange w:id="2377" w:author="Author">
          <w:pPr/>
        </w:pPrChange>
      </w:pPr>
      <w:ins w:id="2378" w:author="Author">
        <w:r>
          <w:rPr>
            <w:szCs w:val="22"/>
          </w:rPr>
          <w:t>Šīs piktogrammas ir redzamas drukātās lietošanas instrukcijas kreisajā pusē</w:t>
        </w:r>
      </w:ins>
    </w:p>
    <w:p w14:paraId="668EFAFA" w14:textId="65E1FB33" w:rsidR="003E6856" w:rsidRPr="00231BF8" w:rsidRDefault="00F82186" w:rsidP="003E6856">
      <w:pPr>
        <w:jc w:val="center"/>
        <w:rPr>
          <w:ins w:id="2379" w:author="Author"/>
        </w:rPr>
      </w:pPr>
      <w:ins w:id="2380" w:author="Author">
        <w:r>
          <w:rPr>
            <w:noProof/>
            <w:lang w:eastAsia="en-US"/>
          </w:rPr>
          <mc:AlternateContent>
            <mc:Choice Requires="wps">
              <w:drawing>
                <wp:anchor distT="45720" distB="45720" distL="114300" distR="114300" simplePos="0" relativeHeight="251662336" behindDoc="0" locked="0" layoutInCell="1" allowOverlap="1" wp14:anchorId="163F32D9" wp14:editId="314B79D2">
                  <wp:simplePos x="0" y="0"/>
                  <wp:positionH relativeFrom="column">
                    <wp:posOffset>2129849</wp:posOffset>
                  </wp:positionH>
                  <wp:positionV relativeFrom="paragraph">
                    <wp:posOffset>3831693</wp:posOffset>
                  </wp:positionV>
                  <wp:extent cx="584200" cy="212652"/>
                  <wp:effectExtent l="0" t="0" r="6350" b="0"/>
                  <wp:wrapNone/>
                  <wp:docPr id="1896530966" name="Text Box 18965309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84200" cy="212652"/>
                          </a:xfrm>
                          <a:prstGeom prst="rect">
                            <a:avLst/>
                          </a:prstGeom>
                          <a:solidFill>
                            <a:schemeClr val="bg1"/>
                          </a:solidFill>
                          <a:ln w="9525">
                            <a:noFill/>
                            <a:miter lim="800000"/>
                            <a:headEnd/>
                            <a:tailEnd/>
                          </a:ln>
                        </wps:spPr>
                        <wps:txbx>
                          <w:txbxContent>
                            <w:p w14:paraId="2B1543F3" w14:textId="1ABC43F1" w:rsidR="00CD11B0" w:rsidRPr="00F82186" w:rsidRDefault="00CD11B0">
                              <w:pPr>
                                <w:tabs>
                                  <w:tab w:val="left" w:pos="709"/>
                                </w:tabs>
                                <w:spacing w:line="192" w:lineRule="auto"/>
                                <w:ind w:left="-142" w:right="-166"/>
                                <w:rPr>
                                  <w:rFonts w:asciiTheme="minorHAnsi" w:hAnsiTheme="minorHAnsi" w:cstheme="minorBidi"/>
                                  <w:b/>
                                  <w:bCs/>
                                  <w:sz w:val="18"/>
                                  <w:szCs w:val="18"/>
                                  <w:rPrChange w:id="2381" w:author="Author">
                                    <w:rPr>
                                      <w:sz w:val="44"/>
                                      <w:szCs w:val="44"/>
                                    </w:rPr>
                                  </w:rPrChange>
                                </w:rPr>
                                <w:pPrChange w:id="2382" w:author="Author">
                                  <w:pPr>
                                    <w:spacing w:line="192" w:lineRule="auto"/>
                                  </w:pPr>
                                </w:pPrChange>
                              </w:pPr>
                              <w:ins w:id="2383" w:author="Author">
                                <w:r w:rsidRPr="00F82186">
                                  <w:rPr>
                                    <w:rFonts w:asciiTheme="minorHAnsi" w:hAnsiTheme="minorHAnsi" w:cstheme="minorBidi"/>
                                    <w:b/>
                                    <w:bCs/>
                                    <w:sz w:val="18"/>
                                    <w:szCs w:val="18"/>
                                    <w:rPrChange w:id="2384" w:author="Author">
                                      <w:rPr>
                                        <w:rFonts w:asciiTheme="minorBidi" w:hAnsiTheme="minorBidi" w:cstheme="minorBidi"/>
                                        <w:b/>
                                        <w:bCs/>
                                        <w:sz w:val="24"/>
                                        <w:szCs w:val="24"/>
                                      </w:rPr>
                                    </w:rPrChange>
                                  </w:rPr>
                                  <w:t>"Klikšķis"</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3F32D9" id="_x0000_t202" coordsize="21600,21600" o:spt="202" path="m,l,21600r21600,l21600,xe">
                  <v:stroke joinstyle="miter"/>
                  <v:path gradientshapeok="t" o:connecttype="rect"/>
                </v:shapetype>
                <v:shape id="Text Box 1896530966" o:spid="_x0000_s1026" type="#_x0000_t202" style="position:absolute;left:0;text-align:left;margin-left:167.7pt;margin-top:301.7pt;width:46pt;height:16.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" fillcolor="white [3212]" stroked="f">
                  <o:lock v:ext="edit" aspectratio="t"/>
                  <v:textbox>
                    <w:txbxContent>
                      <w:p w14:paraId="2B1543F3" w14:textId="1ABC43F1" w:rsidR="00CD11B0" w:rsidRPr="00F82186" w:rsidRDefault="00CD11B0">
                        <w:pPr>
                          <w:tabs>
                            <w:tab w:val="left" w:pos="709"/>
                          </w:tabs>
                          <w:spacing w:line="192" w:lineRule="auto"/>
                          <w:ind w:left="-142" w:right="-166"/>
                          <w:rPr>
                            <w:rFonts w:asciiTheme="minorHAnsi" w:hAnsiTheme="minorHAnsi" w:cstheme="minorBidi"/>
                            <w:b/>
                            <w:bCs/>
                            <w:sz w:val="18"/>
                            <w:szCs w:val="18"/>
                            <w:rPrChange w:id="2385" w:author="Author">
                              <w:rPr>
                                <w:sz w:val="44"/>
                                <w:szCs w:val="44"/>
                              </w:rPr>
                            </w:rPrChange>
                          </w:rPr>
                          <w:pPrChange w:id="2386" w:author="Author">
                            <w:pPr>
                              <w:spacing w:line="192" w:lineRule="auto"/>
                            </w:pPr>
                          </w:pPrChange>
                        </w:pPr>
                        <w:ins w:id="2387" w:author="Author">
                          <w:r w:rsidRPr="00F82186">
                            <w:rPr>
                              <w:rFonts w:asciiTheme="minorHAnsi" w:hAnsiTheme="minorHAnsi" w:cstheme="minorBidi"/>
                              <w:b/>
                              <w:bCs/>
                              <w:sz w:val="18"/>
                              <w:szCs w:val="18"/>
                              <w:rPrChange w:id="2388" w:author="Author">
                                <w:rPr>
                                  <w:rFonts w:asciiTheme="minorBidi" w:hAnsiTheme="minorBidi" w:cstheme="minorBidi"/>
                                  <w:b/>
                                  <w:bCs/>
                                  <w:sz w:val="24"/>
                                  <w:szCs w:val="24"/>
                                </w:rPr>
                              </w:rPrChange>
                            </w:rPr>
                            <w:t>"Klikšķis"</w:t>
                          </w:r>
                        </w:ins>
                      </w:p>
                    </w:txbxContent>
                  </v:textbox>
                </v:shape>
              </w:pict>
            </mc:Fallback>
          </mc:AlternateContent>
        </w:r>
        <w:r w:rsidR="0048564E" w:rsidRPr="00F11CDF">
          <w:rPr>
            <w:noProof/>
            <w:highlight w:val="cyan"/>
            <w:lang w:eastAsia="en-US"/>
          </w:rPr>
          <mc:AlternateContent>
            <mc:Choice Requires="wps">
              <w:drawing>
                <wp:anchor distT="45720" distB="45720" distL="114300" distR="114300" simplePos="0" relativeHeight="251659264" behindDoc="0" locked="0" layoutInCell="1" allowOverlap="1" wp14:anchorId="2B75DC1D" wp14:editId="022E1BEC">
                  <wp:simplePos x="0" y="0"/>
                  <wp:positionH relativeFrom="margin">
                    <wp:posOffset>2010259</wp:posOffset>
                  </wp:positionH>
                  <wp:positionV relativeFrom="paragraph">
                    <wp:posOffset>118720</wp:posOffset>
                  </wp:positionV>
                  <wp:extent cx="1797113" cy="5905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113" cy="590550"/>
                          </a:xfrm>
                          <a:prstGeom prst="rect">
                            <a:avLst/>
                          </a:prstGeom>
                          <a:noFill/>
                          <a:ln w="9525">
                            <a:noFill/>
                            <a:miter lim="800000"/>
                            <a:headEnd/>
                            <a:tailEnd/>
                          </a:ln>
                        </wps:spPr>
                        <wps:txbx>
                          <w:txbxContent>
                            <w:p w14:paraId="51C0E9B7" w14:textId="7724DD98" w:rsidR="00CD11B0" w:rsidRPr="00DD58C9" w:rsidRDefault="00CD11B0" w:rsidP="003E6856">
                              <w:pPr>
                                <w:spacing w:line="192" w:lineRule="auto"/>
                                <w:rPr>
                                  <w:rFonts w:asciiTheme="minorHAnsi" w:hAnsiTheme="minorHAnsi" w:cstheme="minorHAnsi"/>
                                  <w:sz w:val="24"/>
                                  <w:szCs w:val="24"/>
                                  <w:rPrChange w:id="2389" w:author="Author">
                                    <w:rPr>
                                      <w:sz w:val="44"/>
                                      <w:szCs w:val="44"/>
                                    </w:rPr>
                                  </w:rPrChange>
                                </w:rPr>
                              </w:pPr>
                              <w:ins w:id="2390" w:author="Author">
                                <w:r>
                                  <w:rPr>
                                    <w:rFonts w:asciiTheme="minorHAnsi" w:hAnsiTheme="minorHAnsi" w:cstheme="minorHAnsi"/>
                                    <w:b/>
                                    <w:sz w:val="24"/>
                                    <w:szCs w:val="24"/>
                                  </w:rPr>
                                  <w:t>Piespiediet</w:t>
                                </w:r>
                                <w:r w:rsidRPr="00DD58C9">
                                  <w:rPr>
                                    <w:rFonts w:asciiTheme="minorHAnsi" w:hAnsiTheme="minorHAnsi" w:cstheme="minorHAnsi"/>
                                    <w:sz w:val="24"/>
                                    <w:szCs w:val="24"/>
                                    <w:rPrChange w:id="2391" w:author="Author">
                                      <w:rPr>
                                        <w:sz w:val="44"/>
                                        <w:szCs w:val="44"/>
                                      </w:rPr>
                                    </w:rPrChange>
                                  </w:rPr>
                                  <w:t xml:space="preserve"> </w:t>
                                </w:r>
                                <w:r>
                                  <w:rPr>
                                    <w:rFonts w:asciiTheme="minorHAnsi" w:hAnsiTheme="minorHAnsi" w:cstheme="minorHAnsi"/>
                                    <w:sz w:val="24"/>
                                    <w:szCs w:val="24"/>
                                  </w:rPr>
                                  <w:t>pie ādas, lai atbloķētu</w:t>
                                </w:r>
                                <w:r w:rsidRPr="00DD58C9">
                                  <w:rPr>
                                    <w:rFonts w:asciiTheme="minorHAnsi" w:hAnsiTheme="minorHAnsi" w:cstheme="minorHAnsi"/>
                                    <w:sz w:val="24"/>
                                    <w:szCs w:val="24"/>
                                    <w:rPrChange w:id="2392" w:author="Author">
                                      <w:rPr>
                                        <w:sz w:val="44"/>
                                        <w:szCs w:val="44"/>
                                      </w:rPr>
                                    </w:rPrChange>
                                  </w:rPr>
                                  <w:t xml:space="preserve">. </w:t>
                                </w:r>
                                <w:r>
                                  <w:rPr>
                                    <w:rFonts w:asciiTheme="minorHAnsi" w:hAnsiTheme="minorHAnsi" w:cstheme="minorHAnsi"/>
                                    <w:sz w:val="24"/>
                                    <w:szCs w:val="24"/>
                                  </w:rPr>
                                  <w:t xml:space="preserve">Vēl </w:t>
                                </w:r>
                                <w:r>
                                  <w:rPr>
                                    <w:rFonts w:asciiTheme="minorHAnsi" w:hAnsiTheme="minorHAnsi" w:cstheme="minorHAnsi"/>
                                    <w:b/>
                                    <w:sz w:val="24"/>
                                    <w:szCs w:val="24"/>
                                  </w:rPr>
                                  <w:t>nespiediet</w:t>
                                </w:r>
                                <w:r w:rsidRPr="00DD58C9">
                                  <w:rPr>
                                    <w:rFonts w:asciiTheme="minorHAnsi" w:hAnsiTheme="minorHAnsi" w:cstheme="minorHAnsi"/>
                                    <w:b/>
                                    <w:sz w:val="24"/>
                                    <w:szCs w:val="24"/>
                                    <w:rPrChange w:id="2393" w:author="Author">
                                      <w:rPr>
                                        <w:b/>
                                        <w:sz w:val="44"/>
                                        <w:szCs w:val="44"/>
                                      </w:rPr>
                                    </w:rPrChange>
                                  </w:rPr>
                                  <w:t xml:space="preserve"> </w:t>
                                </w:r>
                                <w:r>
                                  <w:rPr>
                                    <w:rFonts w:asciiTheme="minorHAnsi" w:hAnsiTheme="minorHAnsi" w:cstheme="minorHAnsi"/>
                                    <w:sz w:val="24"/>
                                    <w:szCs w:val="24"/>
                                  </w:rPr>
                                  <w:t>zaļo</w:t>
                                </w:r>
                                <w:r w:rsidRPr="00DD58C9">
                                  <w:rPr>
                                    <w:rFonts w:asciiTheme="minorHAnsi" w:hAnsiTheme="minorHAnsi" w:cstheme="minorHAnsi"/>
                                    <w:sz w:val="24"/>
                                    <w:szCs w:val="24"/>
                                    <w:rPrChange w:id="2394" w:author="Author">
                                      <w:rPr>
                                        <w:sz w:val="44"/>
                                        <w:szCs w:val="44"/>
                                      </w:rPr>
                                    </w:rPrChange>
                                  </w:rPr>
                                  <w:t xml:space="preserve"> </w:t>
                                </w:r>
                                <w:r>
                                  <w:rPr>
                                    <w:rFonts w:asciiTheme="minorHAnsi" w:hAnsiTheme="minorHAnsi" w:cstheme="minorHAnsi"/>
                                    <w:sz w:val="24"/>
                                    <w:szCs w:val="24"/>
                                  </w:rPr>
                                  <w:t>pogu</w:t>
                                </w:r>
                                <w:r w:rsidRPr="00DD58C9">
                                  <w:rPr>
                                    <w:rFonts w:asciiTheme="minorHAnsi" w:hAnsiTheme="minorHAnsi" w:cstheme="minorHAnsi"/>
                                    <w:sz w:val="24"/>
                                    <w:szCs w:val="24"/>
                                    <w:rPrChange w:id="2395" w:author="Author">
                                      <w:rPr>
                                        <w:sz w:val="44"/>
                                        <w:szCs w:val="44"/>
                                      </w:rPr>
                                    </w:rPrChange>
                                  </w:rPr>
                                  <w:t>.</w:t>
                                </w:r>
                              </w:ins>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2B75DC1D" id="Text Box 2" o:spid="_x0000_s1027" type="#_x0000_t202" style="position:absolute;left:0;text-align:left;margin-left:158.3pt;margin-top:9.35pt;width:141.5pt;height:46.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" filled="f" stroked="f">
                  <v:textbox>
                    <w:txbxContent>
                      <w:p w14:paraId="51C0E9B7" w14:textId="7724DD98" w:rsidR="00CD11B0" w:rsidRPr="00DD58C9" w:rsidRDefault="00CD11B0" w:rsidP="003E6856">
                        <w:pPr>
                          <w:spacing w:line="192" w:lineRule="auto"/>
                          <w:rPr>
                            <w:rFonts w:asciiTheme="minorHAnsi" w:hAnsiTheme="minorHAnsi" w:cstheme="minorHAnsi"/>
                            <w:sz w:val="24"/>
                            <w:szCs w:val="24"/>
                            <w:rPrChange w:id="2396" w:author="Author">
                              <w:rPr>
                                <w:sz w:val="44"/>
                                <w:szCs w:val="44"/>
                              </w:rPr>
                            </w:rPrChange>
                          </w:rPr>
                        </w:pPr>
                        <w:ins w:id="2397" w:author="Author">
                          <w:r>
                            <w:rPr>
                              <w:rFonts w:asciiTheme="minorHAnsi" w:hAnsiTheme="minorHAnsi" w:cstheme="minorHAnsi"/>
                              <w:b/>
                              <w:sz w:val="24"/>
                              <w:szCs w:val="24"/>
                            </w:rPr>
                            <w:t>Piespiediet</w:t>
                          </w:r>
                          <w:r w:rsidRPr="00DD58C9">
                            <w:rPr>
                              <w:rFonts w:asciiTheme="minorHAnsi" w:hAnsiTheme="minorHAnsi" w:cstheme="minorHAnsi"/>
                              <w:sz w:val="24"/>
                              <w:szCs w:val="24"/>
                              <w:rPrChange w:id="2398" w:author="Author">
                                <w:rPr>
                                  <w:sz w:val="44"/>
                                  <w:szCs w:val="44"/>
                                </w:rPr>
                              </w:rPrChange>
                            </w:rPr>
                            <w:t xml:space="preserve"> </w:t>
                          </w:r>
                          <w:r>
                            <w:rPr>
                              <w:rFonts w:asciiTheme="minorHAnsi" w:hAnsiTheme="minorHAnsi" w:cstheme="minorHAnsi"/>
                              <w:sz w:val="24"/>
                              <w:szCs w:val="24"/>
                            </w:rPr>
                            <w:t>pie ādas, lai atbloķētu</w:t>
                          </w:r>
                          <w:r w:rsidRPr="00DD58C9">
                            <w:rPr>
                              <w:rFonts w:asciiTheme="minorHAnsi" w:hAnsiTheme="minorHAnsi" w:cstheme="minorHAnsi"/>
                              <w:sz w:val="24"/>
                              <w:szCs w:val="24"/>
                              <w:rPrChange w:id="2399" w:author="Author">
                                <w:rPr>
                                  <w:sz w:val="44"/>
                                  <w:szCs w:val="44"/>
                                </w:rPr>
                              </w:rPrChange>
                            </w:rPr>
                            <w:t xml:space="preserve">. </w:t>
                          </w:r>
                          <w:r>
                            <w:rPr>
                              <w:rFonts w:asciiTheme="minorHAnsi" w:hAnsiTheme="minorHAnsi" w:cstheme="minorHAnsi"/>
                              <w:sz w:val="24"/>
                              <w:szCs w:val="24"/>
                            </w:rPr>
                            <w:t xml:space="preserve">Vēl </w:t>
                          </w:r>
                          <w:r>
                            <w:rPr>
                              <w:rFonts w:asciiTheme="minorHAnsi" w:hAnsiTheme="minorHAnsi" w:cstheme="minorHAnsi"/>
                              <w:b/>
                              <w:sz w:val="24"/>
                              <w:szCs w:val="24"/>
                            </w:rPr>
                            <w:t>nespiediet</w:t>
                          </w:r>
                          <w:r w:rsidRPr="00DD58C9">
                            <w:rPr>
                              <w:rFonts w:asciiTheme="minorHAnsi" w:hAnsiTheme="minorHAnsi" w:cstheme="minorHAnsi"/>
                              <w:b/>
                              <w:sz w:val="24"/>
                              <w:szCs w:val="24"/>
                              <w:rPrChange w:id="2400" w:author="Author">
                                <w:rPr>
                                  <w:b/>
                                  <w:sz w:val="44"/>
                                  <w:szCs w:val="44"/>
                                </w:rPr>
                              </w:rPrChange>
                            </w:rPr>
                            <w:t xml:space="preserve"> </w:t>
                          </w:r>
                          <w:r>
                            <w:rPr>
                              <w:rFonts w:asciiTheme="minorHAnsi" w:hAnsiTheme="minorHAnsi" w:cstheme="minorHAnsi"/>
                              <w:sz w:val="24"/>
                              <w:szCs w:val="24"/>
                            </w:rPr>
                            <w:t>zaļo</w:t>
                          </w:r>
                          <w:r w:rsidRPr="00DD58C9">
                            <w:rPr>
                              <w:rFonts w:asciiTheme="minorHAnsi" w:hAnsiTheme="minorHAnsi" w:cstheme="minorHAnsi"/>
                              <w:sz w:val="24"/>
                              <w:szCs w:val="24"/>
                              <w:rPrChange w:id="2401" w:author="Author">
                                <w:rPr>
                                  <w:sz w:val="44"/>
                                  <w:szCs w:val="44"/>
                                </w:rPr>
                              </w:rPrChange>
                            </w:rPr>
                            <w:t xml:space="preserve"> </w:t>
                          </w:r>
                          <w:r>
                            <w:rPr>
                              <w:rFonts w:asciiTheme="minorHAnsi" w:hAnsiTheme="minorHAnsi" w:cstheme="minorHAnsi"/>
                              <w:sz w:val="24"/>
                              <w:szCs w:val="24"/>
                            </w:rPr>
                            <w:t>pogu</w:t>
                          </w:r>
                          <w:r w:rsidRPr="00DD58C9">
                            <w:rPr>
                              <w:rFonts w:asciiTheme="minorHAnsi" w:hAnsiTheme="minorHAnsi" w:cstheme="minorHAnsi"/>
                              <w:sz w:val="24"/>
                              <w:szCs w:val="24"/>
                              <w:rPrChange w:id="2402" w:author="Author">
                                <w:rPr>
                                  <w:sz w:val="44"/>
                                  <w:szCs w:val="44"/>
                                </w:rPr>
                              </w:rPrChange>
                            </w:rPr>
                            <w:t>.</w:t>
                          </w:r>
                        </w:ins>
                      </w:p>
                    </w:txbxContent>
                  </v:textbox>
                  <w10:wrap anchorx="margin"/>
                </v:shape>
              </w:pict>
            </mc:Fallback>
          </mc:AlternateContent>
        </w:r>
        <w:r w:rsidR="0066030C" w:rsidRPr="00F11CDF">
          <w:rPr>
            <w:noProof/>
            <w:highlight w:val="cyan"/>
            <w:lang w:eastAsia="en-US"/>
          </w:rPr>
          <mc:AlternateContent>
            <mc:Choice Requires="wps">
              <w:drawing>
                <wp:anchor distT="45720" distB="45720" distL="114300" distR="114300" simplePos="0" relativeHeight="251661312" behindDoc="0" locked="0" layoutInCell="1" allowOverlap="1" wp14:anchorId="1E7DE0F3" wp14:editId="296EB875">
                  <wp:simplePos x="0" y="0"/>
                  <wp:positionH relativeFrom="margin">
                    <wp:posOffset>1897361</wp:posOffset>
                  </wp:positionH>
                  <wp:positionV relativeFrom="paragraph">
                    <wp:posOffset>4538838</wp:posOffset>
                  </wp:positionV>
                  <wp:extent cx="2183642" cy="470848"/>
                  <wp:effectExtent l="0" t="0" r="0" b="5715"/>
                  <wp:wrapNone/>
                  <wp:docPr id="1928504212" name="Text Box 1928504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642" cy="470848"/>
                          </a:xfrm>
                          <a:prstGeom prst="rect">
                            <a:avLst/>
                          </a:prstGeom>
                          <a:noFill/>
                          <a:ln w="9525">
                            <a:noFill/>
                            <a:miter lim="800000"/>
                            <a:headEnd/>
                            <a:tailEnd/>
                          </a:ln>
                        </wps:spPr>
                        <wps:txbx>
                          <w:txbxContent>
                            <w:p w14:paraId="69DC865C" w14:textId="4C696993" w:rsidR="00CD11B0" w:rsidRPr="00DD58C9" w:rsidRDefault="00CD11B0" w:rsidP="003E6856">
                              <w:pPr>
                                <w:spacing w:line="192" w:lineRule="auto"/>
                                <w:rPr>
                                  <w:rFonts w:asciiTheme="minorHAnsi" w:hAnsiTheme="minorHAnsi" w:cstheme="minorHAnsi"/>
                                  <w:sz w:val="24"/>
                                  <w:szCs w:val="24"/>
                                  <w:rPrChange w:id="2403" w:author="Author">
                                    <w:rPr>
                                      <w:sz w:val="44"/>
                                      <w:szCs w:val="44"/>
                                    </w:rPr>
                                  </w:rPrChange>
                                </w:rPr>
                              </w:pPr>
                              <w:ins w:id="2404" w:author="Author">
                                <w:r>
                                  <w:rPr>
                                    <w:rFonts w:asciiTheme="minorHAnsi" w:hAnsiTheme="minorHAnsi" w:cstheme="minorHAnsi"/>
                                    <w:sz w:val="24"/>
                                    <w:szCs w:val="24"/>
                                  </w:rPr>
                                  <w:t>Skatīt lietošanas norādījumus</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DE0F3" id="Text Box 1928504212" o:spid="_x0000_s1028" type="#_x0000_t202" style="position:absolute;left:0;text-align:left;margin-left:149.4pt;margin-top:357.4pt;width:171.95pt;height:37.0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" filled="f" stroked="f">
                  <v:textbox>
                    <w:txbxContent>
                      <w:p w14:paraId="69DC865C" w14:textId="4C696993" w:rsidR="00CD11B0" w:rsidRPr="00DD58C9" w:rsidRDefault="00CD11B0" w:rsidP="003E6856">
                        <w:pPr>
                          <w:spacing w:line="192" w:lineRule="auto"/>
                          <w:rPr>
                            <w:rFonts w:asciiTheme="minorHAnsi" w:hAnsiTheme="minorHAnsi" w:cstheme="minorHAnsi"/>
                            <w:sz w:val="24"/>
                            <w:szCs w:val="24"/>
                            <w:rPrChange w:id="2405" w:author="Author">
                              <w:rPr>
                                <w:sz w:val="44"/>
                                <w:szCs w:val="44"/>
                              </w:rPr>
                            </w:rPrChange>
                          </w:rPr>
                        </w:pPr>
                        <w:ins w:id="2406" w:author="Author">
                          <w:r>
                            <w:rPr>
                              <w:rFonts w:asciiTheme="minorHAnsi" w:hAnsiTheme="minorHAnsi" w:cstheme="minorHAnsi"/>
                              <w:sz w:val="24"/>
                              <w:szCs w:val="24"/>
                            </w:rPr>
                            <w:t>Skatīt lietošanas norādījumus</w:t>
                          </w:r>
                        </w:ins>
                      </w:p>
                    </w:txbxContent>
                  </v:textbox>
                  <w10:wrap anchorx="margin"/>
                </v:shape>
              </w:pict>
            </mc:Fallback>
          </mc:AlternateContent>
        </w:r>
        <w:r w:rsidR="003E6856" w:rsidRPr="00F11CDF">
          <w:rPr>
            <w:noProof/>
            <w:highlight w:val="cyan"/>
            <w:lang w:eastAsia="en-US"/>
          </w:rPr>
          <mc:AlternateContent>
            <mc:Choice Requires="wps">
              <w:drawing>
                <wp:anchor distT="45720" distB="45720" distL="114300" distR="114300" simplePos="0" relativeHeight="251660288" behindDoc="0" locked="0" layoutInCell="1" allowOverlap="1" wp14:anchorId="4A275160" wp14:editId="290D8B4A">
                  <wp:simplePos x="0" y="0"/>
                  <wp:positionH relativeFrom="column">
                    <wp:posOffset>2043430</wp:posOffset>
                  </wp:positionH>
                  <wp:positionV relativeFrom="paragraph">
                    <wp:posOffset>2405380</wp:posOffset>
                  </wp:positionV>
                  <wp:extent cx="1828800" cy="428625"/>
                  <wp:effectExtent l="0" t="0" r="0" b="0"/>
                  <wp:wrapNone/>
                  <wp:docPr id="1492092514" name="Text Box 14920925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828800" cy="428625"/>
                          </a:xfrm>
                          <a:prstGeom prst="rect">
                            <a:avLst/>
                          </a:prstGeom>
                          <a:noFill/>
                          <a:ln w="9525">
                            <a:noFill/>
                            <a:miter lim="800000"/>
                            <a:headEnd/>
                            <a:tailEnd/>
                          </a:ln>
                        </wps:spPr>
                        <wps:txbx>
                          <w:txbxContent>
                            <w:p w14:paraId="4C1B6365" w14:textId="00D14A7A" w:rsidR="00CD11B0" w:rsidRPr="00DD58C9" w:rsidRDefault="00CD11B0" w:rsidP="003E6856">
                              <w:pPr>
                                <w:spacing w:line="192" w:lineRule="auto"/>
                                <w:rPr>
                                  <w:rFonts w:asciiTheme="minorHAnsi" w:hAnsiTheme="minorHAnsi" w:cstheme="minorHAnsi"/>
                                  <w:sz w:val="24"/>
                                  <w:szCs w:val="24"/>
                                  <w:rPrChange w:id="2407" w:author="Author">
                                    <w:rPr>
                                      <w:sz w:val="44"/>
                                      <w:szCs w:val="44"/>
                                    </w:rPr>
                                  </w:rPrChange>
                                </w:rPr>
                              </w:pPr>
                              <w:ins w:id="2408" w:author="Author">
                                <w:r>
                                  <w:rPr>
                                    <w:rFonts w:asciiTheme="minorHAnsi" w:hAnsiTheme="minorHAnsi" w:cstheme="minorHAnsi"/>
                                    <w:b/>
                                    <w:sz w:val="24"/>
                                    <w:szCs w:val="24"/>
                                  </w:rPr>
                                  <w:t>Pēc tam</w:t>
                                </w:r>
                                <w:r w:rsidRPr="00DD58C9">
                                  <w:rPr>
                                    <w:rFonts w:asciiTheme="minorHAnsi" w:hAnsiTheme="minorHAnsi" w:cstheme="minorHAnsi"/>
                                    <w:b/>
                                    <w:sz w:val="24"/>
                                    <w:szCs w:val="24"/>
                                    <w:rPrChange w:id="2409" w:author="Author">
                                      <w:rPr>
                                        <w:b/>
                                        <w:sz w:val="44"/>
                                        <w:szCs w:val="44"/>
                                      </w:rPr>
                                    </w:rPrChange>
                                  </w:rPr>
                                  <w:t xml:space="preserve"> </w:t>
                                </w:r>
                                <w:r>
                                  <w:rPr>
                                    <w:rFonts w:asciiTheme="minorHAnsi" w:hAnsiTheme="minorHAnsi" w:cstheme="minorHAnsi"/>
                                    <w:sz w:val="24"/>
                                    <w:szCs w:val="24"/>
                                  </w:rPr>
                                  <w:t>nospiediet zaļo pogu, lai injicētu</w:t>
                                </w:r>
                                <w:r w:rsidRPr="00DD58C9">
                                  <w:rPr>
                                    <w:rFonts w:asciiTheme="minorHAnsi" w:hAnsiTheme="minorHAnsi" w:cstheme="minorHAnsi"/>
                                    <w:sz w:val="24"/>
                                    <w:szCs w:val="24"/>
                                    <w:rPrChange w:id="2410" w:author="Author">
                                      <w:rPr>
                                        <w:sz w:val="44"/>
                                        <w:szCs w:val="44"/>
                                      </w:rPr>
                                    </w:rPrChange>
                                  </w:rPr>
                                  <w:t>.</w:t>
                                </w:r>
                              </w:ins>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4A275160" id="Text Box 1492092514" o:spid="_x0000_s1029" type="#_x0000_t202" style="position:absolute;left:0;text-align:left;margin-left:160.9pt;margin-top:189.4pt;width:2in;height:33.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" filled="f" stroked="f">
                  <o:lock v:ext="edit" aspectratio="t"/>
                  <v:textbox>
                    <w:txbxContent>
                      <w:p w14:paraId="4C1B6365" w14:textId="00D14A7A" w:rsidR="00CD11B0" w:rsidRPr="00DD58C9" w:rsidRDefault="00CD11B0" w:rsidP="003E6856">
                        <w:pPr>
                          <w:spacing w:line="192" w:lineRule="auto"/>
                          <w:rPr>
                            <w:rFonts w:asciiTheme="minorHAnsi" w:hAnsiTheme="minorHAnsi" w:cstheme="minorHAnsi"/>
                            <w:sz w:val="24"/>
                            <w:szCs w:val="24"/>
                            <w:rPrChange w:id="2411" w:author="Author">
                              <w:rPr>
                                <w:sz w:val="44"/>
                                <w:szCs w:val="44"/>
                              </w:rPr>
                            </w:rPrChange>
                          </w:rPr>
                        </w:pPr>
                        <w:ins w:id="2412" w:author="Author">
                          <w:r>
                            <w:rPr>
                              <w:rFonts w:asciiTheme="minorHAnsi" w:hAnsiTheme="minorHAnsi" w:cstheme="minorHAnsi"/>
                              <w:b/>
                              <w:sz w:val="24"/>
                              <w:szCs w:val="24"/>
                            </w:rPr>
                            <w:t>Pēc tam</w:t>
                          </w:r>
                          <w:r w:rsidRPr="00DD58C9">
                            <w:rPr>
                              <w:rFonts w:asciiTheme="minorHAnsi" w:hAnsiTheme="minorHAnsi" w:cstheme="minorHAnsi"/>
                              <w:b/>
                              <w:sz w:val="24"/>
                              <w:szCs w:val="24"/>
                              <w:rPrChange w:id="2413" w:author="Author">
                                <w:rPr>
                                  <w:b/>
                                  <w:sz w:val="44"/>
                                  <w:szCs w:val="44"/>
                                </w:rPr>
                              </w:rPrChange>
                            </w:rPr>
                            <w:t xml:space="preserve"> </w:t>
                          </w:r>
                          <w:r>
                            <w:rPr>
                              <w:rFonts w:asciiTheme="minorHAnsi" w:hAnsiTheme="minorHAnsi" w:cstheme="minorHAnsi"/>
                              <w:sz w:val="24"/>
                              <w:szCs w:val="24"/>
                            </w:rPr>
                            <w:t>nospiediet zaļo pogu, lai injicētu</w:t>
                          </w:r>
                          <w:r w:rsidRPr="00DD58C9">
                            <w:rPr>
                              <w:rFonts w:asciiTheme="minorHAnsi" w:hAnsiTheme="minorHAnsi" w:cstheme="minorHAnsi"/>
                              <w:sz w:val="24"/>
                              <w:szCs w:val="24"/>
                              <w:rPrChange w:id="2414" w:author="Author">
                                <w:rPr>
                                  <w:sz w:val="44"/>
                                  <w:szCs w:val="44"/>
                                </w:rPr>
                              </w:rPrChange>
                            </w:rPr>
                            <w:t>.</w:t>
                          </w:r>
                        </w:ins>
                      </w:p>
                    </w:txbxContent>
                  </v:textbox>
                </v:shape>
              </w:pict>
            </mc:Fallback>
          </mc:AlternateContent>
        </w:r>
        <w:r w:rsidR="003E6856" w:rsidRPr="00231BF8">
          <w:rPr>
            <w:noProof/>
            <w:lang w:eastAsia="en-US"/>
          </w:rPr>
          <w:drawing>
            <wp:inline distT="0" distB="0" distL="0" distR="0" wp14:anchorId="43210D0A" wp14:editId="65FE1FE2">
              <wp:extent cx="2295525" cy="4972160"/>
              <wp:effectExtent l="0" t="0" r="0" b="0"/>
              <wp:docPr id="1550659247" name="Picture 155065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659247" name="Actemra_Hand+Autoinjector+code_Pantone376C-01.png"/>
                      <pic:cNvPicPr/>
                    </pic:nvPicPr>
                    <pic:blipFill>
                      <a:blip r:embed="rId33">
                        <a:extLst>
                          <a:ext uri="{28A0092B-C50C-407E-A947-70E740481C1C}">
                            <a14:useLocalDpi xmlns:a14="http://schemas.microsoft.com/office/drawing/2010/main" val="0"/>
                          </a:ext>
                        </a:extLst>
                      </a:blip>
                      <a:stretch>
                        <a:fillRect/>
                      </a:stretch>
                    </pic:blipFill>
                    <pic:spPr>
                      <a:xfrm>
                        <a:off x="0" y="0"/>
                        <a:ext cx="2302853" cy="4988033"/>
                      </a:xfrm>
                      <a:prstGeom prst="rect">
                        <a:avLst/>
                      </a:prstGeom>
                    </pic:spPr>
                  </pic:pic>
                </a:graphicData>
              </a:graphic>
            </wp:inline>
          </w:drawing>
        </w:r>
      </w:ins>
    </w:p>
    <w:p w14:paraId="2B397338" w14:textId="77777777" w:rsidR="00A453C3" w:rsidRDefault="00A453C3" w:rsidP="00A453C3">
      <w:pPr>
        <w:rPr>
          <w:lang w:val="lv-LV"/>
        </w:rPr>
      </w:pPr>
    </w:p>
    <w:sectPr w:rsidR="00A453C3" w:rsidSect="00EB7BDB">
      <w:footerReference w:type="default" r:id="rId34"/>
      <w:pgSz w:w="11906" w:h="16838" w:code="9"/>
      <w:pgMar w:top="1134" w:right="1418" w:bottom="1134" w:left="1418"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CD5CCD" w14:textId="77777777" w:rsidR="00156F64" w:rsidRDefault="00156F64">
      <w:r>
        <w:separator/>
      </w:r>
    </w:p>
  </w:endnote>
  <w:endnote w:type="continuationSeparator" w:id="0">
    <w:p w14:paraId="588280A2" w14:textId="77777777" w:rsidR="00156F64" w:rsidRDefault="00156F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ndnya">
    <w:panose1 w:val="00000400000000000000"/>
    <w:charset w:val="01"/>
    <w:family w:val="roman"/>
    <w:notTrueType/>
    <w:pitch w:val="variable"/>
  </w:font>
  <w:font w:name="MS PGothic">
    <w:panose1 w:val="020B0600070205080204"/>
    <w:charset w:val="80"/>
    <w:family w:val="swiss"/>
    <w:pitch w:val="variable"/>
    <w:sig w:usb0="E00002FF" w:usb1="6AC7FDFB" w:usb2="08000012" w:usb3="00000000" w:csb0="0002009F" w:csb1="00000000"/>
  </w:font>
  <w:font w:name="TimesNewRomanPSMT">
    <w:altName w:val="Yu Gothic UI"/>
    <w:panose1 w:val="00000000000000000000"/>
    <w:charset w:val="00"/>
    <w:family w:val="swiss"/>
    <w:notTrueType/>
    <w:pitch w:val="default"/>
    <w:sig w:usb0="00000003" w:usb1="08070000" w:usb2="00000010" w:usb3="00000000" w:csb0="00020001" w:csb1="00000000"/>
  </w:font>
  <w:font w:name="HelveticaNeueLTPro-Bd">
    <w:altName w:val="Arial"/>
    <w:panose1 w:val="00000000000000000000"/>
    <w:charset w:val="00"/>
    <w:family w:val="swiss"/>
    <w:notTrueType/>
    <w:pitch w:val="default"/>
    <w:sig w:usb0="00000003" w:usb1="00000000" w:usb2="00000000" w:usb3="00000000" w:csb0="00000001" w:csb1="00000000"/>
  </w:font>
  <w:font w:name="HelveticaNeueLTPro-Roman">
    <w:altName w:val="Arial"/>
    <w:panose1 w:val="00000000000000000000"/>
    <w:charset w:val="00"/>
    <w:family w:val="swiss"/>
    <w:notTrueType/>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55489" w14:textId="3A9EA23E" w:rsidR="00CD11B0" w:rsidRDefault="00CD11B0">
    <w:pPr>
      <w:pStyle w:val="Footer"/>
      <w:tabs>
        <w:tab w:val="right" w:pos="8931"/>
      </w:tabs>
      <w:ind w:right="96"/>
      <w:jc w:val="center"/>
    </w:pPr>
    <w:r>
      <w:rPr>
        <w:rStyle w:val="PageNumber"/>
      </w:rPr>
      <w:fldChar w:fldCharType="begin"/>
    </w:r>
    <w:r>
      <w:rPr>
        <w:rStyle w:val="PageNumber"/>
      </w:rPr>
      <w:instrText xml:space="preserve"> PAGE </w:instrText>
    </w:r>
    <w:r>
      <w:rPr>
        <w:rStyle w:val="PageNumber"/>
      </w:rPr>
      <w:fldChar w:fldCharType="separate"/>
    </w:r>
    <w:r w:rsidR="00BE4A8D">
      <w:rPr>
        <w:rStyle w:val="PageNumber"/>
        <w:noProof/>
      </w:rPr>
      <w:t>172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1B9F3C" w14:textId="77777777" w:rsidR="00156F64" w:rsidRDefault="00156F64">
      <w:r>
        <w:separator/>
      </w:r>
    </w:p>
  </w:footnote>
  <w:footnote w:type="continuationSeparator" w:id="0">
    <w:p w14:paraId="0B8482BD" w14:textId="77777777" w:rsidR="00156F64" w:rsidRDefault="00156F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977A92D8"/>
    <w:lvl w:ilvl="0">
      <w:start w:val="1"/>
      <w:numFmt w:val="bullet"/>
      <w:pStyle w:val="Aufzhlungszeichen2"/>
      <w:lvlText w:val=""/>
      <w:lvlJc w:val="left"/>
      <w:pPr>
        <w:tabs>
          <w:tab w:val="num" w:pos="720"/>
        </w:tabs>
        <w:ind w:left="720" w:hanging="360"/>
      </w:pPr>
      <w:rPr>
        <w:rFonts w:ascii="Symbol" w:hAnsi="Symbol" w:hint="default"/>
      </w:rPr>
    </w:lvl>
  </w:abstractNum>
  <w:abstractNum w:abstractNumId="1"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2" w15:restartNumberingAfterBreak="0">
    <w:nsid w:val="00000002"/>
    <w:multiLevelType w:val="singleLevel"/>
    <w:tmpl w:val="00000002"/>
    <w:name w:val="WW8Num2"/>
    <w:lvl w:ilvl="0">
      <w:start w:val="1"/>
      <w:numFmt w:val="decimal"/>
      <w:pStyle w:val="ListNumber5"/>
      <w:lvlText w:val="%1."/>
      <w:lvlJc w:val="left"/>
      <w:pPr>
        <w:tabs>
          <w:tab w:val="num" w:pos="1492"/>
        </w:tabs>
        <w:ind w:left="1492" w:hanging="360"/>
      </w:pPr>
    </w:lvl>
  </w:abstractNum>
  <w:abstractNum w:abstractNumId="3" w15:restartNumberingAfterBreak="0">
    <w:nsid w:val="00000003"/>
    <w:multiLevelType w:val="singleLevel"/>
    <w:tmpl w:val="00000003"/>
    <w:name w:val="WW8Num3"/>
    <w:lvl w:ilvl="0">
      <w:start w:val="1"/>
      <w:numFmt w:val="decimal"/>
      <w:pStyle w:val="ListNumber4"/>
      <w:lvlText w:val="%1."/>
      <w:lvlJc w:val="left"/>
      <w:pPr>
        <w:tabs>
          <w:tab w:val="num" w:pos="1209"/>
        </w:tabs>
        <w:ind w:left="1209" w:hanging="360"/>
      </w:pPr>
    </w:lvl>
  </w:abstractNum>
  <w:abstractNum w:abstractNumId="4" w15:restartNumberingAfterBreak="0">
    <w:nsid w:val="00000004"/>
    <w:multiLevelType w:val="singleLevel"/>
    <w:tmpl w:val="00000004"/>
    <w:name w:val="WW8Num4"/>
    <w:lvl w:ilvl="0">
      <w:start w:val="1"/>
      <w:numFmt w:val="decimal"/>
      <w:pStyle w:val="ListNumber3"/>
      <w:lvlText w:val="%1."/>
      <w:lvlJc w:val="left"/>
      <w:pPr>
        <w:tabs>
          <w:tab w:val="num" w:pos="926"/>
        </w:tabs>
        <w:ind w:left="926" w:hanging="360"/>
      </w:pPr>
    </w:lvl>
  </w:abstractNum>
  <w:abstractNum w:abstractNumId="5" w15:restartNumberingAfterBreak="0">
    <w:nsid w:val="00000005"/>
    <w:multiLevelType w:val="singleLevel"/>
    <w:tmpl w:val="00000005"/>
    <w:name w:val="WW8Num5"/>
    <w:lvl w:ilvl="0">
      <w:start w:val="1"/>
      <w:numFmt w:val="decimal"/>
      <w:pStyle w:val="ListNumber2"/>
      <w:lvlText w:val="%1."/>
      <w:lvlJc w:val="left"/>
      <w:pPr>
        <w:tabs>
          <w:tab w:val="num" w:pos="643"/>
        </w:tabs>
        <w:ind w:left="643" w:hanging="360"/>
      </w:pPr>
    </w:lvl>
  </w:abstractNum>
  <w:abstractNum w:abstractNumId="6" w15:restartNumberingAfterBreak="0">
    <w:nsid w:val="00000006"/>
    <w:multiLevelType w:val="singleLevel"/>
    <w:tmpl w:val="00000006"/>
    <w:name w:val="WW8Num6"/>
    <w:lvl w:ilvl="0">
      <w:start w:val="1"/>
      <w:numFmt w:val="bullet"/>
      <w:pStyle w:val="ListBullet5"/>
      <w:lvlText w:val=""/>
      <w:lvlJc w:val="left"/>
      <w:pPr>
        <w:tabs>
          <w:tab w:val="num" w:pos="1492"/>
        </w:tabs>
        <w:ind w:left="1492" w:hanging="360"/>
      </w:pPr>
      <w:rPr>
        <w:rFonts w:ascii="Symbol" w:hAnsi="Symbol" w:cs="Symbol"/>
      </w:rPr>
    </w:lvl>
  </w:abstractNum>
  <w:abstractNum w:abstractNumId="7" w15:restartNumberingAfterBreak="0">
    <w:nsid w:val="00000007"/>
    <w:multiLevelType w:val="singleLevel"/>
    <w:tmpl w:val="00000007"/>
    <w:name w:val="WW8Num7"/>
    <w:lvl w:ilvl="0">
      <w:start w:val="1"/>
      <w:numFmt w:val="bullet"/>
      <w:pStyle w:val="ListBullet4"/>
      <w:lvlText w:val=""/>
      <w:lvlJc w:val="left"/>
      <w:pPr>
        <w:tabs>
          <w:tab w:val="num" w:pos="1209"/>
        </w:tabs>
        <w:ind w:left="1209" w:hanging="360"/>
      </w:pPr>
      <w:rPr>
        <w:rFonts w:ascii="Symbol" w:hAnsi="Symbol" w:cs="Symbol"/>
      </w:rPr>
    </w:lvl>
  </w:abstractNum>
  <w:abstractNum w:abstractNumId="8" w15:restartNumberingAfterBreak="0">
    <w:nsid w:val="00000008"/>
    <w:multiLevelType w:val="singleLevel"/>
    <w:tmpl w:val="00000008"/>
    <w:name w:val="WW8Num8"/>
    <w:lvl w:ilvl="0">
      <w:start w:val="1"/>
      <w:numFmt w:val="bullet"/>
      <w:pStyle w:val="ListBullet3"/>
      <w:lvlText w:val=""/>
      <w:lvlJc w:val="left"/>
      <w:pPr>
        <w:tabs>
          <w:tab w:val="num" w:pos="926"/>
        </w:tabs>
        <w:ind w:left="926" w:hanging="360"/>
      </w:pPr>
      <w:rPr>
        <w:rFonts w:ascii="Symbol" w:hAnsi="Symbol" w:cs="Symbol"/>
      </w:rPr>
    </w:lvl>
  </w:abstractNum>
  <w:abstractNum w:abstractNumId="9" w15:restartNumberingAfterBreak="0">
    <w:nsid w:val="00000009"/>
    <w:multiLevelType w:val="singleLevel"/>
    <w:tmpl w:val="00000009"/>
    <w:name w:val="WW8Num9"/>
    <w:lvl w:ilvl="0">
      <w:start w:val="1"/>
      <w:numFmt w:val="bullet"/>
      <w:pStyle w:val="ListBullet2"/>
      <w:lvlText w:val=""/>
      <w:lvlJc w:val="left"/>
      <w:pPr>
        <w:tabs>
          <w:tab w:val="num" w:pos="643"/>
        </w:tabs>
        <w:ind w:left="643" w:hanging="360"/>
      </w:pPr>
      <w:rPr>
        <w:rFonts w:ascii="Symbol" w:hAnsi="Symbol" w:cs="Symbol"/>
      </w:rPr>
    </w:lvl>
  </w:abstractNum>
  <w:abstractNum w:abstractNumId="10" w15:restartNumberingAfterBreak="0">
    <w:nsid w:val="0000000A"/>
    <w:multiLevelType w:val="singleLevel"/>
    <w:tmpl w:val="0000000A"/>
    <w:name w:val="WW8Num10"/>
    <w:lvl w:ilvl="0">
      <w:start w:val="1"/>
      <w:numFmt w:val="decimal"/>
      <w:pStyle w:val="ListNumber"/>
      <w:lvlText w:val="%1."/>
      <w:lvlJc w:val="left"/>
      <w:pPr>
        <w:tabs>
          <w:tab w:val="num" w:pos="360"/>
        </w:tabs>
        <w:ind w:left="360" w:hanging="360"/>
      </w:pPr>
    </w:lvl>
  </w:abstractNum>
  <w:abstractNum w:abstractNumId="11" w15:restartNumberingAfterBreak="0">
    <w:nsid w:val="0000000B"/>
    <w:multiLevelType w:val="singleLevel"/>
    <w:tmpl w:val="0000000B"/>
    <w:name w:val="WW8Num11"/>
    <w:lvl w:ilvl="0">
      <w:start w:val="1"/>
      <w:numFmt w:val="bullet"/>
      <w:pStyle w:val="ListBullet"/>
      <w:lvlText w:val=""/>
      <w:lvlJc w:val="left"/>
      <w:pPr>
        <w:tabs>
          <w:tab w:val="num" w:pos="360"/>
        </w:tabs>
        <w:ind w:left="360" w:hanging="360"/>
      </w:pPr>
      <w:rPr>
        <w:rFonts w:ascii="Symbol" w:hAnsi="Symbol" w:cs="Symbol"/>
      </w:rPr>
    </w:lvl>
  </w:abstractNum>
  <w:abstractNum w:abstractNumId="12" w15:restartNumberingAfterBreak="0">
    <w:nsid w:val="0000000C"/>
    <w:multiLevelType w:val="singleLevel"/>
    <w:tmpl w:val="0000000C"/>
    <w:name w:val="WW8Num12"/>
    <w:lvl w:ilvl="0">
      <w:start w:val="1"/>
      <w:numFmt w:val="bullet"/>
      <w:pStyle w:val="Bulletstyle"/>
      <w:lvlText w:val=""/>
      <w:lvlJc w:val="left"/>
      <w:pPr>
        <w:tabs>
          <w:tab w:val="num" w:pos="0"/>
        </w:tabs>
        <w:ind w:left="720" w:hanging="360"/>
      </w:pPr>
      <w:rPr>
        <w:rFonts w:ascii="Symbol" w:hAnsi="Symbol" w:cs="Symbol"/>
      </w:rPr>
    </w:lvl>
  </w:abstractNum>
  <w:abstractNum w:abstractNumId="13" w15:restartNumberingAfterBreak="0">
    <w:nsid w:val="02B500FD"/>
    <w:multiLevelType w:val="hybridMultilevel"/>
    <w:tmpl w:val="11DA1C1C"/>
    <w:lvl w:ilvl="0" w:tplc="575490A2">
      <w:numFmt w:val="bullet"/>
      <w:lvlText w:val=""/>
      <w:lvlJc w:val="left"/>
      <w:pPr>
        <w:ind w:left="930" w:hanging="570"/>
      </w:pPr>
      <w:rPr>
        <w:rFonts w:ascii="Symbol" w:eastAsia="Times New Roman" w:hAnsi="Symbol" w:cs="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52E7599"/>
    <w:multiLevelType w:val="hybridMultilevel"/>
    <w:tmpl w:val="8C3EA9C4"/>
    <w:lvl w:ilvl="0" w:tplc="575490A2">
      <w:numFmt w:val="bullet"/>
      <w:lvlText w:val=""/>
      <w:lvlJc w:val="left"/>
      <w:pPr>
        <w:ind w:left="1290" w:hanging="570"/>
      </w:pPr>
      <w:rPr>
        <w:rFonts w:ascii="Symbol" w:eastAsia="Times New Roman" w:hAnsi="Symbol" w:cs="Symbol"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072E28AE"/>
    <w:multiLevelType w:val="hybridMultilevel"/>
    <w:tmpl w:val="B4EE97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09280751"/>
    <w:multiLevelType w:val="hybridMultilevel"/>
    <w:tmpl w:val="BE4AC2E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0A701DBA"/>
    <w:multiLevelType w:val="hybridMultilevel"/>
    <w:tmpl w:val="2CEC9D7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0BF44D76"/>
    <w:multiLevelType w:val="hybridMultilevel"/>
    <w:tmpl w:val="F1C01426"/>
    <w:lvl w:ilvl="0" w:tplc="575490A2">
      <w:numFmt w:val="bullet"/>
      <w:lvlText w:val=""/>
      <w:lvlJc w:val="left"/>
      <w:pPr>
        <w:ind w:left="930" w:hanging="570"/>
      </w:pPr>
      <w:rPr>
        <w:rFonts w:ascii="Symbol" w:eastAsia="Times New Roman" w:hAnsi="Symbol" w:cs="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FEA4830"/>
    <w:multiLevelType w:val="hybridMultilevel"/>
    <w:tmpl w:val="2EC8FF74"/>
    <w:lvl w:ilvl="0" w:tplc="575490A2">
      <w:numFmt w:val="bullet"/>
      <w:lvlText w:val=""/>
      <w:lvlJc w:val="left"/>
      <w:pPr>
        <w:ind w:left="930" w:hanging="570"/>
      </w:pPr>
      <w:rPr>
        <w:rFonts w:ascii="Symbol" w:eastAsia="Times New Roman" w:hAnsi="Symbol" w:cs="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0D57D4E"/>
    <w:multiLevelType w:val="hybridMultilevel"/>
    <w:tmpl w:val="DF3E10F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11215D64"/>
    <w:multiLevelType w:val="hybridMultilevel"/>
    <w:tmpl w:val="50008D3C"/>
    <w:lvl w:ilvl="0" w:tplc="0C0A0001">
      <w:start w:val="6"/>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15E814D2"/>
    <w:multiLevelType w:val="hybridMultilevel"/>
    <w:tmpl w:val="D2EADA2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16BD7752"/>
    <w:multiLevelType w:val="hybridMultilevel"/>
    <w:tmpl w:val="B6EE39C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171823B4"/>
    <w:multiLevelType w:val="hybridMultilevel"/>
    <w:tmpl w:val="F71C8A0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198E12F8"/>
    <w:multiLevelType w:val="hybridMultilevel"/>
    <w:tmpl w:val="EB1AFE8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1F802B9E"/>
    <w:multiLevelType w:val="hybridMultilevel"/>
    <w:tmpl w:val="F0BCE98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21DE7F66"/>
    <w:multiLevelType w:val="hybridMultilevel"/>
    <w:tmpl w:val="9924711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224F63BE"/>
    <w:multiLevelType w:val="hybridMultilevel"/>
    <w:tmpl w:val="7A3EFCA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2B1D4014"/>
    <w:multiLevelType w:val="hybridMultilevel"/>
    <w:tmpl w:val="09A69F36"/>
    <w:lvl w:ilvl="0" w:tplc="575490A2">
      <w:numFmt w:val="bullet"/>
      <w:lvlText w:val=""/>
      <w:lvlJc w:val="left"/>
      <w:pPr>
        <w:ind w:left="1290" w:hanging="570"/>
      </w:pPr>
      <w:rPr>
        <w:rFonts w:ascii="Symbol" w:eastAsia="Times New Roman" w:hAnsi="Symbol" w:cs="Symbol"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2D0E3986"/>
    <w:multiLevelType w:val="hybridMultilevel"/>
    <w:tmpl w:val="34201408"/>
    <w:lvl w:ilvl="0" w:tplc="575490A2">
      <w:numFmt w:val="bullet"/>
      <w:lvlText w:val=""/>
      <w:lvlJc w:val="left"/>
      <w:pPr>
        <w:ind w:left="930" w:hanging="570"/>
      </w:pPr>
      <w:rPr>
        <w:rFonts w:ascii="Symbol" w:eastAsia="Times New Roman" w:hAnsi="Symbol" w:cs="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E510BED"/>
    <w:multiLevelType w:val="hybridMultilevel"/>
    <w:tmpl w:val="6778E8C6"/>
    <w:lvl w:ilvl="0" w:tplc="575490A2">
      <w:numFmt w:val="bullet"/>
      <w:lvlText w:val=""/>
      <w:lvlJc w:val="left"/>
      <w:pPr>
        <w:ind w:left="930" w:hanging="570"/>
      </w:pPr>
      <w:rPr>
        <w:rFonts w:ascii="Symbol" w:eastAsia="Times New Roman" w:hAnsi="Symbol" w:cs="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F0E646C"/>
    <w:multiLevelType w:val="hybridMultilevel"/>
    <w:tmpl w:val="804A1DBC"/>
    <w:lvl w:ilvl="0" w:tplc="575490A2">
      <w:numFmt w:val="bullet"/>
      <w:lvlText w:val=""/>
      <w:lvlJc w:val="left"/>
      <w:pPr>
        <w:ind w:left="930" w:hanging="570"/>
      </w:pPr>
      <w:rPr>
        <w:rFonts w:ascii="Symbol" w:eastAsia="Times New Roman" w:hAnsi="Symbol" w:cs="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F691A38"/>
    <w:multiLevelType w:val="hybridMultilevel"/>
    <w:tmpl w:val="FFD086F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2FA62267"/>
    <w:multiLevelType w:val="hybridMultilevel"/>
    <w:tmpl w:val="F5625DF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5" w15:restartNumberingAfterBreak="0">
    <w:nsid w:val="2FA63B48"/>
    <w:multiLevelType w:val="hybridMultilevel"/>
    <w:tmpl w:val="FCCCCA8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325A651C"/>
    <w:multiLevelType w:val="hybridMultilevel"/>
    <w:tmpl w:val="54B0625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328B4316"/>
    <w:multiLevelType w:val="hybridMultilevel"/>
    <w:tmpl w:val="C99C0600"/>
    <w:lvl w:ilvl="0" w:tplc="575490A2">
      <w:numFmt w:val="bullet"/>
      <w:lvlText w:val=""/>
      <w:lvlJc w:val="left"/>
      <w:pPr>
        <w:ind w:left="930" w:hanging="570"/>
      </w:pPr>
      <w:rPr>
        <w:rFonts w:ascii="Symbol" w:eastAsia="Times New Roman" w:hAnsi="Symbol" w:cs="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30756E0"/>
    <w:multiLevelType w:val="hybridMultilevel"/>
    <w:tmpl w:val="4868313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358165FB"/>
    <w:multiLevelType w:val="hybridMultilevel"/>
    <w:tmpl w:val="5922FE84"/>
    <w:lvl w:ilvl="0" w:tplc="575490A2">
      <w:numFmt w:val="bullet"/>
      <w:lvlText w:val=""/>
      <w:lvlJc w:val="left"/>
      <w:pPr>
        <w:ind w:left="930" w:hanging="570"/>
      </w:pPr>
      <w:rPr>
        <w:rFonts w:ascii="Symbol" w:eastAsia="Times New Roman" w:hAnsi="Symbol" w:cs="Symbol" w:hint="default"/>
        <w:b w:val="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3601128F"/>
    <w:multiLevelType w:val="hybridMultilevel"/>
    <w:tmpl w:val="32E4CD60"/>
    <w:lvl w:ilvl="0" w:tplc="575490A2">
      <w:numFmt w:val="bullet"/>
      <w:lvlText w:val=""/>
      <w:lvlJc w:val="left"/>
      <w:pPr>
        <w:ind w:left="1287" w:hanging="570"/>
      </w:pPr>
      <w:rPr>
        <w:rFonts w:ascii="Symbol" w:eastAsia="Times New Roman" w:hAnsi="Symbol" w:cs="Symbol" w:hint="default"/>
        <w:b w:val="0"/>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1" w15:restartNumberingAfterBreak="0">
    <w:nsid w:val="38293564"/>
    <w:multiLevelType w:val="hybridMultilevel"/>
    <w:tmpl w:val="E154E70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39443315"/>
    <w:multiLevelType w:val="hybridMultilevel"/>
    <w:tmpl w:val="D81C3B1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3A7267CB"/>
    <w:multiLevelType w:val="hybridMultilevel"/>
    <w:tmpl w:val="35206C5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3A922511"/>
    <w:multiLevelType w:val="hybridMultilevel"/>
    <w:tmpl w:val="7CFC7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CEF6098"/>
    <w:multiLevelType w:val="hybridMultilevel"/>
    <w:tmpl w:val="FE92EA7A"/>
    <w:lvl w:ilvl="0" w:tplc="44FCF5CA">
      <w:numFmt w:val="bullet"/>
      <w:lvlText w:val=""/>
      <w:lvlJc w:val="left"/>
      <w:pPr>
        <w:ind w:left="388" w:hanging="360"/>
      </w:pPr>
      <w:rPr>
        <w:rFonts w:ascii="Symbol" w:eastAsia="Times New Roman"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DBA376D"/>
    <w:multiLevelType w:val="hybridMultilevel"/>
    <w:tmpl w:val="4120F9B2"/>
    <w:lvl w:ilvl="0" w:tplc="575490A2">
      <w:numFmt w:val="bullet"/>
      <w:lvlText w:val=""/>
      <w:lvlJc w:val="left"/>
      <w:pPr>
        <w:ind w:left="1290" w:hanging="570"/>
      </w:pPr>
      <w:rPr>
        <w:rFonts w:ascii="Symbol" w:eastAsia="Times New Roman" w:hAnsi="Symbol" w:cs="Symbol"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3EE9308E"/>
    <w:multiLevelType w:val="hybridMultilevel"/>
    <w:tmpl w:val="201C56D8"/>
    <w:lvl w:ilvl="0" w:tplc="575490A2">
      <w:numFmt w:val="bullet"/>
      <w:lvlText w:val=""/>
      <w:lvlJc w:val="left"/>
      <w:pPr>
        <w:ind w:left="930" w:hanging="570"/>
      </w:pPr>
      <w:rPr>
        <w:rFonts w:ascii="Symbol" w:eastAsia="Times New Roman" w:hAnsi="Symbol" w:cs="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0106706"/>
    <w:multiLevelType w:val="hybridMultilevel"/>
    <w:tmpl w:val="29E8FEA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403D29E5"/>
    <w:multiLevelType w:val="hybridMultilevel"/>
    <w:tmpl w:val="AFDC0F88"/>
    <w:lvl w:ilvl="0" w:tplc="44FCF5CA">
      <w:numFmt w:val="bullet"/>
      <w:lvlText w:val=""/>
      <w:lvlJc w:val="left"/>
      <w:pPr>
        <w:ind w:left="360" w:hanging="360"/>
      </w:pPr>
      <w:rPr>
        <w:rFonts w:ascii="Symbol" w:eastAsia="Times New Roman"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413B2386"/>
    <w:multiLevelType w:val="hybridMultilevel"/>
    <w:tmpl w:val="285469B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1" w15:restartNumberingAfterBreak="0">
    <w:nsid w:val="419C3FB5"/>
    <w:multiLevelType w:val="hybridMultilevel"/>
    <w:tmpl w:val="6292EEBE"/>
    <w:lvl w:ilvl="0" w:tplc="575490A2">
      <w:numFmt w:val="bullet"/>
      <w:lvlText w:val=""/>
      <w:lvlJc w:val="left"/>
      <w:pPr>
        <w:ind w:left="1290" w:hanging="570"/>
      </w:pPr>
      <w:rPr>
        <w:rFonts w:ascii="Symbol" w:eastAsia="Times New Roman" w:hAnsi="Symbol" w:cs="Symbol"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45254C3D"/>
    <w:multiLevelType w:val="hybridMultilevel"/>
    <w:tmpl w:val="2642195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3" w15:restartNumberingAfterBreak="0">
    <w:nsid w:val="45EE0B39"/>
    <w:multiLevelType w:val="hybridMultilevel"/>
    <w:tmpl w:val="9A367D98"/>
    <w:lvl w:ilvl="0" w:tplc="575490A2">
      <w:numFmt w:val="bullet"/>
      <w:lvlText w:val=""/>
      <w:lvlJc w:val="left"/>
      <w:pPr>
        <w:ind w:left="1356" w:hanging="570"/>
      </w:pPr>
      <w:rPr>
        <w:rFonts w:ascii="Symbol" w:eastAsia="Times New Roman" w:hAnsi="Symbol" w:cs="Symbol" w:hint="default"/>
        <w:b w:val="0"/>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4" w15:restartNumberingAfterBreak="0">
    <w:nsid w:val="47A018AB"/>
    <w:multiLevelType w:val="hybridMultilevel"/>
    <w:tmpl w:val="3A40FC9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5" w15:restartNumberingAfterBreak="0">
    <w:nsid w:val="481D5280"/>
    <w:multiLevelType w:val="hybridMultilevel"/>
    <w:tmpl w:val="A4F619B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15:restartNumberingAfterBreak="0">
    <w:nsid w:val="4A3759BE"/>
    <w:multiLevelType w:val="hybridMultilevel"/>
    <w:tmpl w:val="0B5C1F2E"/>
    <w:lvl w:ilvl="0" w:tplc="575490A2">
      <w:numFmt w:val="bullet"/>
      <w:lvlText w:val=""/>
      <w:lvlJc w:val="left"/>
      <w:pPr>
        <w:ind w:left="1287" w:hanging="570"/>
      </w:pPr>
      <w:rPr>
        <w:rFonts w:ascii="Symbol" w:eastAsia="Times New Roman" w:hAnsi="Symbol" w:cs="Symbol" w:hint="default"/>
        <w:b w:val="0"/>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57" w15:restartNumberingAfterBreak="0">
    <w:nsid w:val="4A8F1429"/>
    <w:multiLevelType w:val="hybridMultilevel"/>
    <w:tmpl w:val="557273E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8" w15:restartNumberingAfterBreak="0">
    <w:nsid w:val="4C367067"/>
    <w:multiLevelType w:val="hybridMultilevel"/>
    <w:tmpl w:val="E5B0143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9" w15:restartNumberingAfterBreak="0">
    <w:nsid w:val="4DB67FED"/>
    <w:multiLevelType w:val="hybridMultilevel"/>
    <w:tmpl w:val="EA0EB8F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15:restartNumberingAfterBreak="0">
    <w:nsid w:val="4F8A2457"/>
    <w:multiLevelType w:val="hybridMultilevel"/>
    <w:tmpl w:val="D0D63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046642B"/>
    <w:multiLevelType w:val="hybridMultilevel"/>
    <w:tmpl w:val="181EBF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15:restartNumberingAfterBreak="0">
    <w:nsid w:val="52152B46"/>
    <w:multiLevelType w:val="hybridMultilevel"/>
    <w:tmpl w:val="A948B954"/>
    <w:lvl w:ilvl="0" w:tplc="575490A2">
      <w:numFmt w:val="bullet"/>
      <w:lvlText w:val=""/>
      <w:lvlJc w:val="left"/>
      <w:pPr>
        <w:ind w:left="930" w:hanging="570"/>
      </w:pPr>
      <w:rPr>
        <w:rFonts w:ascii="Symbol" w:eastAsia="Times New Roman" w:hAnsi="Symbol" w:cs="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23177CB"/>
    <w:multiLevelType w:val="hybridMultilevel"/>
    <w:tmpl w:val="2DBE4182"/>
    <w:lvl w:ilvl="0" w:tplc="575490A2">
      <w:numFmt w:val="bullet"/>
      <w:lvlText w:val=""/>
      <w:lvlJc w:val="left"/>
      <w:pPr>
        <w:ind w:left="930" w:hanging="570"/>
      </w:pPr>
      <w:rPr>
        <w:rFonts w:ascii="Symbol" w:eastAsia="Times New Roman" w:hAnsi="Symbol" w:cs="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4F44D1C"/>
    <w:multiLevelType w:val="hybridMultilevel"/>
    <w:tmpl w:val="FB3A6E64"/>
    <w:lvl w:ilvl="0" w:tplc="44FCF5CA">
      <w:numFmt w:val="bullet"/>
      <w:lvlText w:val=""/>
      <w:lvlJc w:val="left"/>
      <w:pPr>
        <w:ind w:left="360" w:hanging="360"/>
      </w:pPr>
      <w:rPr>
        <w:rFonts w:ascii="Symbol" w:eastAsia="Times New Roman"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8201564"/>
    <w:multiLevelType w:val="hybridMultilevel"/>
    <w:tmpl w:val="9E0E2E3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6" w15:restartNumberingAfterBreak="0">
    <w:nsid w:val="590A2B92"/>
    <w:multiLevelType w:val="hybridMultilevel"/>
    <w:tmpl w:val="81A037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7" w15:restartNumberingAfterBreak="0">
    <w:nsid w:val="598B767F"/>
    <w:multiLevelType w:val="hybridMultilevel"/>
    <w:tmpl w:val="8A3C8FC6"/>
    <w:lvl w:ilvl="0" w:tplc="575490A2">
      <w:numFmt w:val="bullet"/>
      <w:lvlText w:val=""/>
      <w:lvlJc w:val="left"/>
      <w:pPr>
        <w:ind w:left="930" w:hanging="570"/>
      </w:pPr>
      <w:rPr>
        <w:rFonts w:ascii="Symbol" w:eastAsia="Times New Roman" w:hAnsi="Symbol" w:cs="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AA817B0"/>
    <w:multiLevelType w:val="hybridMultilevel"/>
    <w:tmpl w:val="CD082BAA"/>
    <w:lvl w:ilvl="0" w:tplc="44FCF5CA">
      <w:numFmt w:val="bullet"/>
      <w:lvlText w:val=""/>
      <w:lvlJc w:val="left"/>
      <w:pPr>
        <w:ind w:left="388" w:hanging="360"/>
      </w:pPr>
      <w:rPr>
        <w:rFonts w:ascii="Symbol" w:eastAsia="Times New Roman" w:hAnsi="Symbol" w:cs="Symbol" w:hint="default"/>
      </w:rPr>
    </w:lvl>
    <w:lvl w:ilvl="1" w:tplc="08090003" w:tentative="1">
      <w:start w:val="1"/>
      <w:numFmt w:val="bullet"/>
      <w:lvlText w:val="o"/>
      <w:lvlJc w:val="left"/>
      <w:pPr>
        <w:ind w:left="1108" w:hanging="360"/>
      </w:pPr>
      <w:rPr>
        <w:rFonts w:ascii="Courier New" w:hAnsi="Courier New" w:cs="Courier New" w:hint="default"/>
      </w:rPr>
    </w:lvl>
    <w:lvl w:ilvl="2" w:tplc="08090005" w:tentative="1">
      <w:start w:val="1"/>
      <w:numFmt w:val="bullet"/>
      <w:lvlText w:val=""/>
      <w:lvlJc w:val="left"/>
      <w:pPr>
        <w:ind w:left="1828" w:hanging="360"/>
      </w:pPr>
      <w:rPr>
        <w:rFonts w:ascii="Wingdings" w:hAnsi="Wingdings" w:hint="default"/>
      </w:rPr>
    </w:lvl>
    <w:lvl w:ilvl="3" w:tplc="08090001" w:tentative="1">
      <w:start w:val="1"/>
      <w:numFmt w:val="bullet"/>
      <w:lvlText w:val=""/>
      <w:lvlJc w:val="left"/>
      <w:pPr>
        <w:ind w:left="2548" w:hanging="360"/>
      </w:pPr>
      <w:rPr>
        <w:rFonts w:ascii="Symbol" w:hAnsi="Symbol" w:hint="default"/>
      </w:rPr>
    </w:lvl>
    <w:lvl w:ilvl="4" w:tplc="08090003" w:tentative="1">
      <w:start w:val="1"/>
      <w:numFmt w:val="bullet"/>
      <w:lvlText w:val="o"/>
      <w:lvlJc w:val="left"/>
      <w:pPr>
        <w:ind w:left="3268" w:hanging="360"/>
      </w:pPr>
      <w:rPr>
        <w:rFonts w:ascii="Courier New" w:hAnsi="Courier New" w:cs="Courier New" w:hint="default"/>
      </w:rPr>
    </w:lvl>
    <w:lvl w:ilvl="5" w:tplc="08090005" w:tentative="1">
      <w:start w:val="1"/>
      <w:numFmt w:val="bullet"/>
      <w:lvlText w:val=""/>
      <w:lvlJc w:val="left"/>
      <w:pPr>
        <w:ind w:left="3988" w:hanging="360"/>
      </w:pPr>
      <w:rPr>
        <w:rFonts w:ascii="Wingdings" w:hAnsi="Wingdings" w:hint="default"/>
      </w:rPr>
    </w:lvl>
    <w:lvl w:ilvl="6" w:tplc="08090001" w:tentative="1">
      <w:start w:val="1"/>
      <w:numFmt w:val="bullet"/>
      <w:lvlText w:val=""/>
      <w:lvlJc w:val="left"/>
      <w:pPr>
        <w:ind w:left="4708" w:hanging="360"/>
      </w:pPr>
      <w:rPr>
        <w:rFonts w:ascii="Symbol" w:hAnsi="Symbol" w:hint="default"/>
      </w:rPr>
    </w:lvl>
    <w:lvl w:ilvl="7" w:tplc="08090003" w:tentative="1">
      <w:start w:val="1"/>
      <w:numFmt w:val="bullet"/>
      <w:lvlText w:val="o"/>
      <w:lvlJc w:val="left"/>
      <w:pPr>
        <w:ind w:left="5428" w:hanging="360"/>
      </w:pPr>
      <w:rPr>
        <w:rFonts w:ascii="Courier New" w:hAnsi="Courier New" w:cs="Courier New" w:hint="default"/>
      </w:rPr>
    </w:lvl>
    <w:lvl w:ilvl="8" w:tplc="08090005" w:tentative="1">
      <w:start w:val="1"/>
      <w:numFmt w:val="bullet"/>
      <w:lvlText w:val=""/>
      <w:lvlJc w:val="left"/>
      <w:pPr>
        <w:ind w:left="6148" w:hanging="360"/>
      </w:pPr>
      <w:rPr>
        <w:rFonts w:ascii="Wingdings" w:hAnsi="Wingdings" w:hint="default"/>
      </w:rPr>
    </w:lvl>
  </w:abstractNum>
  <w:abstractNum w:abstractNumId="69" w15:restartNumberingAfterBreak="0">
    <w:nsid w:val="5E385785"/>
    <w:multiLevelType w:val="hybridMultilevel"/>
    <w:tmpl w:val="9DCAFF6A"/>
    <w:lvl w:ilvl="0" w:tplc="575490A2">
      <w:numFmt w:val="bullet"/>
      <w:lvlText w:val=""/>
      <w:lvlJc w:val="left"/>
      <w:pPr>
        <w:ind w:left="930" w:hanging="570"/>
      </w:pPr>
      <w:rPr>
        <w:rFonts w:ascii="Symbol" w:eastAsia="Times New Roman" w:hAnsi="Symbol" w:cs="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EA94D06"/>
    <w:multiLevelType w:val="hybridMultilevel"/>
    <w:tmpl w:val="2CA2B722"/>
    <w:lvl w:ilvl="0" w:tplc="77B258E2">
      <w:numFmt w:val="bullet"/>
      <w:lvlText w:val=""/>
      <w:lvlJc w:val="left"/>
      <w:pPr>
        <w:ind w:left="786" w:hanging="360"/>
      </w:pPr>
      <w:rPr>
        <w:rFonts w:ascii="Symbol" w:eastAsia="Times New Roman" w:hAnsi="Symbol" w:cs="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71" w15:restartNumberingAfterBreak="0">
    <w:nsid w:val="608E615C"/>
    <w:multiLevelType w:val="hybridMultilevel"/>
    <w:tmpl w:val="92AEA8E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2" w15:restartNumberingAfterBreak="0">
    <w:nsid w:val="62866777"/>
    <w:multiLevelType w:val="hybridMultilevel"/>
    <w:tmpl w:val="38F69D9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3" w15:restartNumberingAfterBreak="0">
    <w:nsid w:val="65401CB9"/>
    <w:multiLevelType w:val="hybridMultilevel"/>
    <w:tmpl w:val="1CB4AFB0"/>
    <w:lvl w:ilvl="0" w:tplc="575490A2">
      <w:numFmt w:val="bullet"/>
      <w:lvlText w:val=""/>
      <w:lvlJc w:val="left"/>
      <w:pPr>
        <w:ind w:left="930" w:hanging="570"/>
      </w:pPr>
      <w:rPr>
        <w:rFonts w:ascii="Symbol" w:eastAsia="Times New Roman" w:hAnsi="Symbol" w:cs="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5E25417"/>
    <w:multiLevelType w:val="hybridMultilevel"/>
    <w:tmpl w:val="6C182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630032E"/>
    <w:multiLevelType w:val="hybridMultilevel"/>
    <w:tmpl w:val="564C07D8"/>
    <w:lvl w:ilvl="0" w:tplc="04260001">
      <w:start w:val="1"/>
      <w:numFmt w:val="bullet"/>
      <w:lvlText w:val=""/>
      <w:lvlJc w:val="left"/>
      <w:pPr>
        <w:ind w:left="1077" w:hanging="360"/>
      </w:pPr>
      <w:rPr>
        <w:rFonts w:ascii="Symbol" w:hAnsi="Symbol" w:hint="default"/>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abstractNum w:abstractNumId="76" w15:restartNumberingAfterBreak="0">
    <w:nsid w:val="66C9083F"/>
    <w:multiLevelType w:val="hybridMultilevel"/>
    <w:tmpl w:val="F9DE42A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7" w15:restartNumberingAfterBreak="0">
    <w:nsid w:val="674D3BCA"/>
    <w:multiLevelType w:val="hybridMultilevel"/>
    <w:tmpl w:val="05BAF9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8" w15:restartNumberingAfterBreak="0">
    <w:nsid w:val="67B83D7E"/>
    <w:multiLevelType w:val="hybridMultilevel"/>
    <w:tmpl w:val="9DA89F5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9" w15:restartNumberingAfterBreak="0">
    <w:nsid w:val="693D07B9"/>
    <w:multiLevelType w:val="hybridMultilevel"/>
    <w:tmpl w:val="067640B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0" w15:restartNumberingAfterBreak="0">
    <w:nsid w:val="6AE77F12"/>
    <w:multiLevelType w:val="hybridMultilevel"/>
    <w:tmpl w:val="6568ADB0"/>
    <w:lvl w:ilvl="0" w:tplc="575490A2">
      <w:numFmt w:val="bullet"/>
      <w:lvlText w:val=""/>
      <w:lvlJc w:val="left"/>
      <w:pPr>
        <w:ind w:left="2007" w:hanging="570"/>
      </w:pPr>
      <w:rPr>
        <w:rFonts w:ascii="Symbol" w:eastAsia="Times New Roman" w:hAnsi="Symbol" w:cs="Symbol" w:hint="default"/>
        <w:b w:val="0"/>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81" w15:restartNumberingAfterBreak="0">
    <w:nsid w:val="6B5603C1"/>
    <w:multiLevelType w:val="hybridMultilevel"/>
    <w:tmpl w:val="5DE8200C"/>
    <w:lvl w:ilvl="0" w:tplc="77B258E2">
      <w:numFmt w:val="bullet"/>
      <w:lvlText w:val=""/>
      <w:lvlJc w:val="left"/>
      <w:pPr>
        <w:ind w:left="786" w:hanging="360"/>
      </w:pPr>
      <w:rPr>
        <w:rFonts w:ascii="Symbol" w:eastAsia="Times New Roman"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C9854DD"/>
    <w:multiLevelType w:val="hybridMultilevel"/>
    <w:tmpl w:val="B644F8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3" w15:restartNumberingAfterBreak="0">
    <w:nsid w:val="6EE768E3"/>
    <w:multiLevelType w:val="hybridMultilevel"/>
    <w:tmpl w:val="2464886E"/>
    <w:lvl w:ilvl="0" w:tplc="575490A2">
      <w:numFmt w:val="bullet"/>
      <w:lvlText w:val=""/>
      <w:lvlJc w:val="left"/>
      <w:pPr>
        <w:ind w:left="1356" w:hanging="570"/>
      </w:pPr>
      <w:rPr>
        <w:rFonts w:ascii="Symbol" w:eastAsia="Times New Roman" w:hAnsi="Symbol" w:cs="Symbol" w:hint="default"/>
        <w:b w:val="0"/>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84" w15:restartNumberingAfterBreak="0">
    <w:nsid w:val="7156522C"/>
    <w:multiLevelType w:val="hybridMultilevel"/>
    <w:tmpl w:val="9A8A06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71726CEC"/>
    <w:multiLevelType w:val="hybridMultilevel"/>
    <w:tmpl w:val="E21CEE6A"/>
    <w:lvl w:ilvl="0" w:tplc="575490A2">
      <w:numFmt w:val="bullet"/>
      <w:lvlText w:val=""/>
      <w:lvlJc w:val="left"/>
      <w:pPr>
        <w:ind w:left="1287" w:hanging="570"/>
      </w:pPr>
      <w:rPr>
        <w:rFonts w:ascii="Symbol" w:eastAsia="Times New Roman" w:hAnsi="Symbol" w:cs="Symbol" w:hint="default"/>
        <w:b w:val="0"/>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86" w15:restartNumberingAfterBreak="0">
    <w:nsid w:val="71E409F6"/>
    <w:multiLevelType w:val="hybridMultilevel"/>
    <w:tmpl w:val="8E26AB0C"/>
    <w:lvl w:ilvl="0" w:tplc="575490A2">
      <w:numFmt w:val="bullet"/>
      <w:lvlText w:val=""/>
      <w:lvlJc w:val="left"/>
      <w:pPr>
        <w:ind w:left="930" w:hanging="570"/>
      </w:pPr>
      <w:rPr>
        <w:rFonts w:ascii="Symbol" w:eastAsia="Times New Roman" w:hAnsi="Symbol" w:cs="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38460F8"/>
    <w:multiLevelType w:val="hybridMultilevel"/>
    <w:tmpl w:val="89FE7A9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8" w15:restartNumberingAfterBreak="0">
    <w:nsid w:val="746051CE"/>
    <w:multiLevelType w:val="hybridMultilevel"/>
    <w:tmpl w:val="12943DB4"/>
    <w:lvl w:ilvl="0" w:tplc="575490A2">
      <w:numFmt w:val="bullet"/>
      <w:lvlText w:val=""/>
      <w:lvlJc w:val="left"/>
      <w:pPr>
        <w:ind w:left="1290" w:hanging="570"/>
      </w:pPr>
      <w:rPr>
        <w:rFonts w:ascii="Symbol" w:eastAsia="Times New Roman" w:hAnsi="Symbol" w:cs="Symbol"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9" w15:restartNumberingAfterBreak="0">
    <w:nsid w:val="746A5215"/>
    <w:multiLevelType w:val="hybridMultilevel"/>
    <w:tmpl w:val="565EDDA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0" w15:restartNumberingAfterBreak="0">
    <w:nsid w:val="75022EAF"/>
    <w:multiLevelType w:val="hybridMultilevel"/>
    <w:tmpl w:val="4E489310"/>
    <w:lvl w:ilvl="0" w:tplc="575490A2">
      <w:numFmt w:val="bullet"/>
      <w:lvlText w:val=""/>
      <w:lvlJc w:val="left"/>
      <w:pPr>
        <w:ind w:left="1290" w:hanging="570"/>
      </w:pPr>
      <w:rPr>
        <w:rFonts w:ascii="Symbol" w:eastAsia="Times New Roman" w:hAnsi="Symbol" w:cs="Symbol"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1" w15:restartNumberingAfterBreak="0">
    <w:nsid w:val="77596DC3"/>
    <w:multiLevelType w:val="hybridMultilevel"/>
    <w:tmpl w:val="21F883FC"/>
    <w:lvl w:ilvl="0" w:tplc="575490A2">
      <w:numFmt w:val="bullet"/>
      <w:lvlText w:val=""/>
      <w:lvlJc w:val="left"/>
      <w:pPr>
        <w:ind w:left="1290" w:hanging="570"/>
      </w:pPr>
      <w:rPr>
        <w:rFonts w:ascii="Symbol" w:eastAsia="Times New Roman" w:hAnsi="Symbol" w:cs="Symbol"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2" w15:restartNumberingAfterBreak="0">
    <w:nsid w:val="78854C93"/>
    <w:multiLevelType w:val="hybridMultilevel"/>
    <w:tmpl w:val="BA4C9E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3" w15:restartNumberingAfterBreak="0">
    <w:nsid w:val="79730FE2"/>
    <w:multiLevelType w:val="hybridMultilevel"/>
    <w:tmpl w:val="03007C1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4" w15:restartNumberingAfterBreak="0">
    <w:nsid w:val="7A29393D"/>
    <w:multiLevelType w:val="hybridMultilevel"/>
    <w:tmpl w:val="2D1A8E86"/>
    <w:lvl w:ilvl="0" w:tplc="575490A2">
      <w:numFmt w:val="bullet"/>
      <w:lvlText w:val=""/>
      <w:lvlJc w:val="left"/>
      <w:pPr>
        <w:ind w:left="930" w:hanging="570"/>
      </w:pPr>
      <w:rPr>
        <w:rFonts w:ascii="Symbol" w:eastAsia="Times New Roman" w:hAnsi="Symbol" w:cs="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A6952BC"/>
    <w:multiLevelType w:val="hybridMultilevel"/>
    <w:tmpl w:val="8FE850DE"/>
    <w:lvl w:ilvl="0" w:tplc="575490A2">
      <w:numFmt w:val="bullet"/>
      <w:lvlText w:val=""/>
      <w:lvlJc w:val="left"/>
      <w:pPr>
        <w:ind w:left="930" w:hanging="570"/>
      </w:pPr>
      <w:rPr>
        <w:rFonts w:ascii="Symbol" w:eastAsia="Times New Roman" w:hAnsi="Symbol" w:cs="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C8F50E0"/>
    <w:multiLevelType w:val="hybridMultilevel"/>
    <w:tmpl w:val="ABCAE05E"/>
    <w:lvl w:ilvl="0" w:tplc="575490A2">
      <w:numFmt w:val="bullet"/>
      <w:lvlText w:val=""/>
      <w:lvlJc w:val="left"/>
      <w:pPr>
        <w:ind w:left="930" w:hanging="570"/>
      </w:pPr>
      <w:rPr>
        <w:rFonts w:ascii="Symbol" w:eastAsia="Times New Roman" w:hAnsi="Symbol" w:cs="Symbol" w:hint="default"/>
        <w:b w:val="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7" w15:restartNumberingAfterBreak="0">
    <w:nsid w:val="7CCD0E52"/>
    <w:multiLevelType w:val="hybridMultilevel"/>
    <w:tmpl w:val="2AB0EAF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8" w15:restartNumberingAfterBreak="0">
    <w:nsid w:val="7DB01694"/>
    <w:multiLevelType w:val="hybridMultilevel"/>
    <w:tmpl w:val="AA6EABB2"/>
    <w:lvl w:ilvl="0" w:tplc="575490A2">
      <w:numFmt w:val="bullet"/>
      <w:lvlText w:val=""/>
      <w:lvlJc w:val="left"/>
      <w:pPr>
        <w:ind w:left="1290" w:hanging="570"/>
      </w:pPr>
      <w:rPr>
        <w:rFonts w:ascii="Symbol" w:eastAsia="Times New Roman" w:hAnsi="Symbol" w:cs="Symbol"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9" w15:restartNumberingAfterBreak="0">
    <w:nsid w:val="7DFC6F07"/>
    <w:multiLevelType w:val="hybridMultilevel"/>
    <w:tmpl w:val="67767DA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74"/>
  </w:num>
  <w:num w:numId="14">
    <w:abstractNumId w:val="44"/>
  </w:num>
  <w:num w:numId="15">
    <w:abstractNumId w:val="0"/>
  </w:num>
  <w:num w:numId="16">
    <w:abstractNumId w:val="77"/>
  </w:num>
  <w:num w:numId="17">
    <w:abstractNumId w:val="25"/>
  </w:num>
  <w:num w:numId="18">
    <w:abstractNumId w:val="84"/>
  </w:num>
  <w:num w:numId="19">
    <w:abstractNumId w:val="68"/>
  </w:num>
  <w:num w:numId="20">
    <w:abstractNumId w:val="45"/>
  </w:num>
  <w:num w:numId="21">
    <w:abstractNumId w:val="49"/>
  </w:num>
  <w:num w:numId="22">
    <w:abstractNumId w:val="64"/>
  </w:num>
  <w:num w:numId="23">
    <w:abstractNumId w:val="34"/>
  </w:num>
  <w:num w:numId="24">
    <w:abstractNumId w:val="70"/>
  </w:num>
  <w:num w:numId="25">
    <w:abstractNumId w:val="81"/>
  </w:num>
  <w:num w:numId="26">
    <w:abstractNumId w:val="60"/>
  </w:num>
  <w:num w:numId="27">
    <w:abstractNumId w:val="63"/>
  </w:num>
  <w:num w:numId="28">
    <w:abstractNumId w:val="19"/>
  </w:num>
  <w:num w:numId="29">
    <w:abstractNumId w:val="29"/>
  </w:num>
  <w:num w:numId="30">
    <w:abstractNumId w:val="51"/>
  </w:num>
  <w:num w:numId="31">
    <w:abstractNumId w:val="30"/>
  </w:num>
  <w:num w:numId="32">
    <w:abstractNumId w:val="46"/>
  </w:num>
  <w:num w:numId="33">
    <w:abstractNumId w:val="14"/>
  </w:num>
  <w:num w:numId="34">
    <w:abstractNumId w:val="67"/>
  </w:num>
  <w:num w:numId="35">
    <w:abstractNumId w:val="98"/>
  </w:num>
  <w:num w:numId="36">
    <w:abstractNumId w:val="83"/>
  </w:num>
  <w:num w:numId="37">
    <w:abstractNumId w:val="53"/>
  </w:num>
  <w:num w:numId="38">
    <w:abstractNumId w:val="86"/>
  </w:num>
  <w:num w:numId="39">
    <w:abstractNumId w:val="90"/>
  </w:num>
  <w:num w:numId="40">
    <w:abstractNumId w:val="73"/>
  </w:num>
  <w:num w:numId="41">
    <w:abstractNumId w:val="47"/>
  </w:num>
  <w:num w:numId="42">
    <w:abstractNumId w:val="13"/>
  </w:num>
  <w:num w:numId="43">
    <w:abstractNumId w:val="88"/>
  </w:num>
  <w:num w:numId="44">
    <w:abstractNumId w:val="37"/>
  </w:num>
  <w:num w:numId="45">
    <w:abstractNumId w:val="94"/>
  </w:num>
  <w:num w:numId="46">
    <w:abstractNumId w:val="69"/>
  </w:num>
  <w:num w:numId="47">
    <w:abstractNumId w:val="32"/>
  </w:num>
  <w:num w:numId="48">
    <w:abstractNumId w:val="31"/>
  </w:num>
  <w:num w:numId="49">
    <w:abstractNumId w:val="18"/>
  </w:num>
  <w:num w:numId="50">
    <w:abstractNumId w:val="91"/>
  </w:num>
  <w:num w:numId="51">
    <w:abstractNumId w:val="95"/>
  </w:num>
  <w:num w:numId="52">
    <w:abstractNumId w:val="62"/>
  </w:num>
  <w:num w:numId="53">
    <w:abstractNumId w:val="85"/>
  </w:num>
  <w:num w:numId="54">
    <w:abstractNumId w:val="40"/>
  </w:num>
  <w:num w:numId="55">
    <w:abstractNumId w:val="56"/>
  </w:num>
  <w:num w:numId="56">
    <w:abstractNumId w:val="80"/>
  </w:num>
  <w:num w:numId="57">
    <w:abstractNumId w:val="96"/>
  </w:num>
  <w:num w:numId="58">
    <w:abstractNumId w:val="39"/>
  </w:num>
  <w:num w:numId="59">
    <w:abstractNumId w:val="76"/>
  </w:num>
  <w:num w:numId="60">
    <w:abstractNumId w:val="33"/>
  </w:num>
  <w:num w:numId="61">
    <w:abstractNumId w:val="24"/>
  </w:num>
  <w:num w:numId="62">
    <w:abstractNumId w:val="75"/>
  </w:num>
  <w:num w:numId="63">
    <w:abstractNumId w:val="42"/>
  </w:num>
  <w:num w:numId="64">
    <w:abstractNumId w:val="87"/>
  </w:num>
  <w:num w:numId="65">
    <w:abstractNumId w:val="65"/>
  </w:num>
  <w:num w:numId="66">
    <w:abstractNumId w:val="82"/>
  </w:num>
  <w:num w:numId="67">
    <w:abstractNumId w:val="41"/>
  </w:num>
  <w:num w:numId="68">
    <w:abstractNumId w:val="92"/>
  </w:num>
  <w:num w:numId="69">
    <w:abstractNumId w:val="36"/>
  </w:num>
  <w:num w:numId="70">
    <w:abstractNumId w:val="16"/>
  </w:num>
  <w:num w:numId="71">
    <w:abstractNumId w:val="48"/>
  </w:num>
  <w:num w:numId="72">
    <w:abstractNumId w:val="61"/>
  </w:num>
  <w:num w:numId="73">
    <w:abstractNumId w:val="58"/>
  </w:num>
  <w:num w:numId="74">
    <w:abstractNumId w:val="78"/>
  </w:num>
  <w:num w:numId="75">
    <w:abstractNumId w:val="52"/>
  </w:num>
  <w:num w:numId="76">
    <w:abstractNumId w:val="22"/>
  </w:num>
  <w:num w:numId="77">
    <w:abstractNumId w:val="97"/>
  </w:num>
  <w:num w:numId="78">
    <w:abstractNumId w:val="43"/>
  </w:num>
  <w:num w:numId="79">
    <w:abstractNumId w:val="28"/>
  </w:num>
  <w:num w:numId="80">
    <w:abstractNumId w:val="99"/>
  </w:num>
  <w:num w:numId="81">
    <w:abstractNumId w:val="27"/>
  </w:num>
  <w:num w:numId="82">
    <w:abstractNumId w:val="59"/>
  </w:num>
  <w:num w:numId="83">
    <w:abstractNumId w:val="26"/>
  </w:num>
  <w:num w:numId="84">
    <w:abstractNumId w:val="35"/>
  </w:num>
  <w:num w:numId="85">
    <w:abstractNumId w:val="50"/>
  </w:num>
  <w:num w:numId="86">
    <w:abstractNumId w:val="38"/>
  </w:num>
  <w:num w:numId="87">
    <w:abstractNumId w:val="93"/>
  </w:num>
  <w:num w:numId="88">
    <w:abstractNumId w:val="66"/>
  </w:num>
  <w:num w:numId="89">
    <w:abstractNumId w:val="79"/>
  </w:num>
  <w:num w:numId="90">
    <w:abstractNumId w:val="72"/>
  </w:num>
  <w:num w:numId="91">
    <w:abstractNumId w:val="54"/>
  </w:num>
  <w:num w:numId="92">
    <w:abstractNumId w:val="20"/>
  </w:num>
  <w:num w:numId="93">
    <w:abstractNumId w:val="57"/>
  </w:num>
  <w:num w:numId="94">
    <w:abstractNumId w:val="15"/>
  </w:num>
  <w:num w:numId="95">
    <w:abstractNumId w:val="23"/>
  </w:num>
  <w:num w:numId="96">
    <w:abstractNumId w:val="55"/>
  </w:num>
  <w:num w:numId="97">
    <w:abstractNumId w:val="71"/>
  </w:num>
  <w:num w:numId="98">
    <w:abstractNumId w:val="17"/>
  </w:num>
  <w:num w:numId="99">
    <w:abstractNumId w:val="21"/>
  </w:num>
  <w:num w:numId="100">
    <w:abstractNumId w:val="89"/>
  </w:num>
  <w:numIdMacAtCleanup w:val="9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egulatory LV">
    <w15:presenceInfo w15:providerId="None" w15:userId="Regulatory LV"/>
  </w15:person>
  <w15:person w15:author="TCS">
    <w15:presenceInfo w15:providerId="None" w15:userId="T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hideSpellingErrors/>
  <w:hideGrammaticalErrors/>
  <w:activeWritingStyle w:appName="MSWord" w:lang="en-GB" w:vendorID="64" w:dllVersion="6" w:nlCheck="1" w:checkStyle="1"/>
  <w:activeWritingStyle w:appName="MSWord" w:lang="en-US" w:vendorID="64" w:dllVersion="6" w:nlCheck="1" w:checkStyle="1"/>
  <w:activeWritingStyle w:appName="MSWord" w:lang="pt-BR" w:vendorID="64" w:dllVersion="6" w:nlCheck="1" w:checkStyle="0"/>
  <w:activeWritingStyle w:appName="MSWord" w:lang="de-DE" w:vendorID="64" w:dllVersion="6" w:nlCheck="1" w:checkStyle="0"/>
  <w:activeWritingStyle w:appName="MSWord" w:lang="fr-FR" w:vendorID="64" w:dllVersion="6" w:nlCheck="1" w:checkStyle="0"/>
  <w:activeWritingStyle w:appName="MSWord" w:lang="de-CH" w:vendorID="64" w:dllVersion="6" w:nlCheck="1" w:checkStyle="0"/>
  <w:activeWritingStyle w:appName="MSWord" w:lang="it-IT"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de-CH" w:vendorID="64" w:dllVersion="0" w:nlCheck="1" w:checkStyle="0"/>
  <w:activeWritingStyle w:appName="MSWord" w:lang="de-CH" w:vendorID="64" w:dllVersion="4096" w:nlCheck="1" w:checkStyle="0"/>
  <w:activeWritingStyle w:appName="MSWord" w:lang="fr-FR" w:vendorID="64" w:dllVersion="4096" w:nlCheck="1" w:checkStyle="0"/>
  <w:activeWritingStyle w:appName="MSWord" w:lang="de-AT" w:vendorID="64" w:dllVersion="4096" w:nlCheck="1" w:checkStyle="0"/>
  <w:activeWritingStyle w:appName="MSWord" w:lang="ru-RU" w:vendorID="64" w:dllVersion="4096" w:nlCheck="1" w:checkStyle="0"/>
  <w:activeWritingStyle w:appName="MSWord" w:lang="de-DE" w:vendorID="64" w:dllVersion="4096" w:nlCheck="1" w:checkStyle="0"/>
  <w:activeWritingStyle w:appName="MSWord" w:lang="ru-RU" w:vendorID="64" w:dllVersion="6" w:nlCheck="1" w:checkStyle="0"/>
  <w:activeWritingStyle w:appName="MSWord" w:lang="de-AT" w:vendorID="64" w:dllVersion="6" w:nlCheck="1" w:checkStyle="0"/>
  <w:activeWritingStyle w:appName="MSWord" w:lang="fi-FI" w:vendorID="64" w:dllVersion="6" w:nlCheck="1" w:checkStyle="0"/>
  <w:activeWritingStyle w:appName="MSWord" w:lang="es-ES" w:vendorID="64" w:dllVersion="4096" w:nlCheck="1" w:checkStyle="0"/>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en-US" w:vendorID="64" w:dllVersion="131078" w:nlCheck="1" w:checkStyle="1"/>
  <w:activeWritingStyle w:appName="MSWord" w:lang="lv-LV" w:vendorID="71" w:dllVersion="512" w:checkStyle="1"/>
  <w:activeWritingStyle w:appName="MSWord" w:lang="pt-BR" w:vendorID="1" w:dllVersion="513" w:checkStyle="1"/>
  <w:activeWritingStyle w:appName="MSWord" w:lang="pt-PT" w:vendorID="1" w:dllVersion="513" w:checkStyle="1"/>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revisionView w:markup="0"/>
  <w:trackRevisions/>
  <w:defaultTabStop w:val="561"/>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ldViewShowStyleArea" w:val="3"/>
  </w:docVars>
  <w:rsids>
    <w:rsidRoot w:val="00B3003B"/>
    <w:rsid w:val="000007DA"/>
    <w:rsid w:val="00001C11"/>
    <w:rsid w:val="000038EB"/>
    <w:rsid w:val="00005113"/>
    <w:rsid w:val="00005DDE"/>
    <w:rsid w:val="000072F2"/>
    <w:rsid w:val="000100C4"/>
    <w:rsid w:val="0001182F"/>
    <w:rsid w:val="00015969"/>
    <w:rsid w:val="000159E7"/>
    <w:rsid w:val="00016D5A"/>
    <w:rsid w:val="00017BEC"/>
    <w:rsid w:val="000200A3"/>
    <w:rsid w:val="0002138B"/>
    <w:rsid w:val="00022968"/>
    <w:rsid w:val="00022FEA"/>
    <w:rsid w:val="00023641"/>
    <w:rsid w:val="00026178"/>
    <w:rsid w:val="00026F10"/>
    <w:rsid w:val="000302B2"/>
    <w:rsid w:val="00032690"/>
    <w:rsid w:val="000330FD"/>
    <w:rsid w:val="000347F3"/>
    <w:rsid w:val="00034F9D"/>
    <w:rsid w:val="00036F71"/>
    <w:rsid w:val="00037F5C"/>
    <w:rsid w:val="00042092"/>
    <w:rsid w:val="00043C3D"/>
    <w:rsid w:val="00044391"/>
    <w:rsid w:val="000454BA"/>
    <w:rsid w:val="00046C21"/>
    <w:rsid w:val="000474C2"/>
    <w:rsid w:val="0005019B"/>
    <w:rsid w:val="000513B4"/>
    <w:rsid w:val="0005145B"/>
    <w:rsid w:val="00053280"/>
    <w:rsid w:val="00055FD3"/>
    <w:rsid w:val="00057926"/>
    <w:rsid w:val="00057997"/>
    <w:rsid w:val="00060F22"/>
    <w:rsid w:val="000615D7"/>
    <w:rsid w:val="000655B9"/>
    <w:rsid w:val="00065CD4"/>
    <w:rsid w:val="00066C7F"/>
    <w:rsid w:val="000723B5"/>
    <w:rsid w:val="00072AAD"/>
    <w:rsid w:val="00072BC5"/>
    <w:rsid w:val="00073206"/>
    <w:rsid w:val="0007361E"/>
    <w:rsid w:val="00074825"/>
    <w:rsid w:val="00074D3B"/>
    <w:rsid w:val="000763BF"/>
    <w:rsid w:val="000809F8"/>
    <w:rsid w:val="00081957"/>
    <w:rsid w:val="00082C60"/>
    <w:rsid w:val="00082E8C"/>
    <w:rsid w:val="00082FB5"/>
    <w:rsid w:val="00085422"/>
    <w:rsid w:val="00085937"/>
    <w:rsid w:val="00087F09"/>
    <w:rsid w:val="00092A89"/>
    <w:rsid w:val="00093023"/>
    <w:rsid w:val="00094258"/>
    <w:rsid w:val="00096020"/>
    <w:rsid w:val="000965C1"/>
    <w:rsid w:val="00096C94"/>
    <w:rsid w:val="000A0D71"/>
    <w:rsid w:val="000A1111"/>
    <w:rsid w:val="000A23F4"/>
    <w:rsid w:val="000A3DE0"/>
    <w:rsid w:val="000A5650"/>
    <w:rsid w:val="000A5F7C"/>
    <w:rsid w:val="000A6044"/>
    <w:rsid w:val="000A7EB0"/>
    <w:rsid w:val="000B0F88"/>
    <w:rsid w:val="000B238A"/>
    <w:rsid w:val="000B2F09"/>
    <w:rsid w:val="000B4967"/>
    <w:rsid w:val="000B5191"/>
    <w:rsid w:val="000B68D9"/>
    <w:rsid w:val="000C1793"/>
    <w:rsid w:val="000C1845"/>
    <w:rsid w:val="000C3260"/>
    <w:rsid w:val="000C3591"/>
    <w:rsid w:val="000C4575"/>
    <w:rsid w:val="000C4D90"/>
    <w:rsid w:val="000C6C88"/>
    <w:rsid w:val="000C7288"/>
    <w:rsid w:val="000C7FC8"/>
    <w:rsid w:val="000D12BE"/>
    <w:rsid w:val="000D1A42"/>
    <w:rsid w:val="000D3469"/>
    <w:rsid w:val="000D633D"/>
    <w:rsid w:val="000D7099"/>
    <w:rsid w:val="000E05CD"/>
    <w:rsid w:val="000E1D9C"/>
    <w:rsid w:val="000E4A74"/>
    <w:rsid w:val="000E4AF1"/>
    <w:rsid w:val="000E5007"/>
    <w:rsid w:val="000E748B"/>
    <w:rsid w:val="000F0498"/>
    <w:rsid w:val="000F1CFA"/>
    <w:rsid w:val="000F24AE"/>
    <w:rsid w:val="000F3A80"/>
    <w:rsid w:val="000F53BB"/>
    <w:rsid w:val="000F5957"/>
    <w:rsid w:val="000F59DB"/>
    <w:rsid w:val="001003A2"/>
    <w:rsid w:val="0010047C"/>
    <w:rsid w:val="00100BD2"/>
    <w:rsid w:val="00101D5E"/>
    <w:rsid w:val="001036DD"/>
    <w:rsid w:val="00103B1D"/>
    <w:rsid w:val="001041FF"/>
    <w:rsid w:val="001046CF"/>
    <w:rsid w:val="00105F3E"/>
    <w:rsid w:val="0010632A"/>
    <w:rsid w:val="001068FF"/>
    <w:rsid w:val="00106A05"/>
    <w:rsid w:val="00106C67"/>
    <w:rsid w:val="001101DD"/>
    <w:rsid w:val="00110DCF"/>
    <w:rsid w:val="0011175C"/>
    <w:rsid w:val="0011235E"/>
    <w:rsid w:val="00113A34"/>
    <w:rsid w:val="001169E7"/>
    <w:rsid w:val="00122916"/>
    <w:rsid w:val="0012306B"/>
    <w:rsid w:val="001238C9"/>
    <w:rsid w:val="0012660D"/>
    <w:rsid w:val="001269BB"/>
    <w:rsid w:val="00127358"/>
    <w:rsid w:val="0012757C"/>
    <w:rsid w:val="00127E5B"/>
    <w:rsid w:val="001301ED"/>
    <w:rsid w:val="0013103D"/>
    <w:rsid w:val="00131FE3"/>
    <w:rsid w:val="00134F1B"/>
    <w:rsid w:val="00136871"/>
    <w:rsid w:val="001376FE"/>
    <w:rsid w:val="00140BD2"/>
    <w:rsid w:val="00141255"/>
    <w:rsid w:val="00144EC0"/>
    <w:rsid w:val="00146451"/>
    <w:rsid w:val="0014691B"/>
    <w:rsid w:val="00151FC2"/>
    <w:rsid w:val="0015293C"/>
    <w:rsid w:val="00152A33"/>
    <w:rsid w:val="001536CB"/>
    <w:rsid w:val="00154049"/>
    <w:rsid w:val="0015473C"/>
    <w:rsid w:val="0015487E"/>
    <w:rsid w:val="00156267"/>
    <w:rsid w:val="001564C3"/>
    <w:rsid w:val="00156F64"/>
    <w:rsid w:val="00162584"/>
    <w:rsid w:val="001641FF"/>
    <w:rsid w:val="001702A0"/>
    <w:rsid w:val="0017030A"/>
    <w:rsid w:val="00171A33"/>
    <w:rsid w:val="00171B0B"/>
    <w:rsid w:val="001730EB"/>
    <w:rsid w:val="001741EE"/>
    <w:rsid w:val="0017465E"/>
    <w:rsid w:val="00174872"/>
    <w:rsid w:val="001767C8"/>
    <w:rsid w:val="00176F88"/>
    <w:rsid w:val="00177F38"/>
    <w:rsid w:val="00183216"/>
    <w:rsid w:val="00183FC8"/>
    <w:rsid w:val="00185DCA"/>
    <w:rsid w:val="00186475"/>
    <w:rsid w:val="00186F23"/>
    <w:rsid w:val="0019113C"/>
    <w:rsid w:val="001919AA"/>
    <w:rsid w:val="001929B8"/>
    <w:rsid w:val="0019315C"/>
    <w:rsid w:val="00195183"/>
    <w:rsid w:val="00195504"/>
    <w:rsid w:val="001970BF"/>
    <w:rsid w:val="001977AE"/>
    <w:rsid w:val="001A4B8F"/>
    <w:rsid w:val="001A5A53"/>
    <w:rsid w:val="001A7322"/>
    <w:rsid w:val="001B0C9F"/>
    <w:rsid w:val="001B1AF6"/>
    <w:rsid w:val="001B1B56"/>
    <w:rsid w:val="001B4C4F"/>
    <w:rsid w:val="001B506E"/>
    <w:rsid w:val="001B5B5D"/>
    <w:rsid w:val="001B7737"/>
    <w:rsid w:val="001C013B"/>
    <w:rsid w:val="001C0E94"/>
    <w:rsid w:val="001C24D3"/>
    <w:rsid w:val="001C2949"/>
    <w:rsid w:val="001C2C46"/>
    <w:rsid w:val="001C2D2A"/>
    <w:rsid w:val="001C49C7"/>
    <w:rsid w:val="001C540D"/>
    <w:rsid w:val="001C6950"/>
    <w:rsid w:val="001C7740"/>
    <w:rsid w:val="001C7F4C"/>
    <w:rsid w:val="001D028A"/>
    <w:rsid w:val="001D0A34"/>
    <w:rsid w:val="001D1242"/>
    <w:rsid w:val="001D2514"/>
    <w:rsid w:val="001D4075"/>
    <w:rsid w:val="001D40D0"/>
    <w:rsid w:val="001D4271"/>
    <w:rsid w:val="001D4BC9"/>
    <w:rsid w:val="001D6485"/>
    <w:rsid w:val="001E0513"/>
    <w:rsid w:val="001E11F4"/>
    <w:rsid w:val="001E17F4"/>
    <w:rsid w:val="001E221D"/>
    <w:rsid w:val="001E44D1"/>
    <w:rsid w:val="001E48BC"/>
    <w:rsid w:val="001E4A02"/>
    <w:rsid w:val="001E630F"/>
    <w:rsid w:val="001E636D"/>
    <w:rsid w:val="001F1867"/>
    <w:rsid w:val="001F1F19"/>
    <w:rsid w:val="001F4198"/>
    <w:rsid w:val="001F43DD"/>
    <w:rsid w:val="001F6D14"/>
    <w:rsid w:val="002007A3"/>
    <w:rsid w:val="00200F8F"/>
    <w:rsid w:val="00201B41"/>
    <w:rsid w:val="00202CBB"/>
    <w:rsid w:val="00202FA1"/>
    <w:rsid w:val="002036BE"/>
    <w:rsid w:val="002040EA"/>
    <w:rsid w:val="00204789"/>
    <w:rsid w:val="002061E6"/>
    <w:rsid w:val="00206A3C"/>
    <w:rsid w:val="00206AE3"/>
    <w:rsid w:val="0021770E"/>
    <w:rsid w:val="00220063"/>
    <w:rsid w:val="00220517"/>
    <w:rsid w:val="00220EFD"/>
    <w:rsid w:val="00223078"/>
    <w:rsid w:val="002240A8"/>
    <w:rsid w:val="002240CB"/>
    <w:rsid w:val="0022418D"/>
    <w:rsid w:val="002255F0"/>
    <w:rsid w:val="00226BE3"/>
    <w:rsid w:val="00227628"/>
    <w:rsid w:val="00231EC9"/>
    <w:rsid w:val="002337E4"/>
    <w:rsid w:val="00235E48"/>
    <w:rsid w:val="00236CD1"/>
    <w:rsid w:val="00241E77"/>
    <w:rsid w:val="00242D42"/>
    <w:rsid w:val="002474BC"/>
    <w:rsid w:val="00250748"/>
    <w:rsid w:val="002511FB"/>
    <w:rsid w:val="002514F0"/>
    <w:rsid w:val="00251F77"/>
    <w:rsid w:val="00254169"/>
    <w:rsid w:val="00254E8A"/>
    <w:rsid w:val="00256E58"/>
    <w:rsid w:val="00257ACF"/>
    <w:rsid w:val="002607ED"/>
    <w:rsid w:val="00260CAB"/>
    <w:rsid w:val="002633EE"/>
    <w:rsid w:val="00264B4B"/>
    <w:rsid w:val="00264DA3"/>
    <w:rsid w:val="0026662E"/>
    <w:rsid w:val="0026788D"/>
    <w:rsid w:val="002708E5"/>
    <w:rsid w:val="00270A92"/>
    <w:rsid w:val="00270BDB"/>
    <w:rsid w:val="00270F12"/>
    <w:rsid w:val="00272296"/>
    <w:rsid w:val="0027276D"/>
    <w:rsid w:val="00272878"/>
    <w:rsid w:val="00275B74"/>
    <w:rsid w:val="00280F70"/>
    <w:rsid w:val="00281B86"/>
    <w:rsid w:val="00284880"/>
    <w:rsid w:val="00285349"/>
    <w:rsid w:val="00285DE4"/>
    <w:rsid w:val="002861CB"/>
    <w:rsid w:val="00287ADB"/>
    <w:rsid w:val="002917DC"/>
    <w:rsid w:val="00293564"/>
    <w:rsid w:val="00293A42"/>
    <w:rsid w:val="00293AE5"/>
    <w:rsid w:val="0029427C"/>
    <w:rsid w:val="00295C89"/>
    <w:rsid w:val="00297E99"/>
    <w:rsid w:val="002A00FE"/>
    <w:rsid w:val="002A038C"/>
    <w:rsid w:val="002A04FF"/>
    <w:rsid w:val="002A1107"/>
    <w:rsid w:val="002A231E"/>
    <w:rsid w:val="002A3C92"/>
    <w:rsid w:val="002A40D1"/>
    <w:rsid w:val="002A7FC9"/>
    <w:rsid w:val="002B0ECD"/>
    <w:rsid w:val="002B123B"/>
    <w:rsid w:val="002B2DFF"/>
    <w:rsid w:val="002B2ECB"/>
    <w:rsid w:val="002B392A"/>
    <w:rsid w:val="002B3C8D"/>
    <w:rsid w:val="002C147D"/>
    <w:rsid w:val="002C4A78"/>
    <w:rsid w:val="002C56AA"/>
    <w:rsid w:val="002C69B9"/>
    <w:rsid w:val="002C6B57"/>
    <w:rsid w:val="002C6D2D"/>
    <w:rsid w:val="002C79D2"/>
    <w:rsid w:val="002D0F5F"/>
    <w:rsid w:val="002D12CD"/>
    <w:rsid w:val="002D217C"/>
    <w:rsid w:val="002D5F44"/>
    <w:rsid w:val="002D66BF"/>
    <w:rsid w:val="002D6CF8"/>
    <w:rsid w:val="002E1F4B"/>
    <w:rsid w:val="002E494B"/>
    <w:rsid w:val="002E57E0"/>
    <w:rsid w:val="002E65B1"/>
    <w:rsid w:val="002E6B8D"/>
    <w:rsid w:val="002E7485"/>
    <w:rsid w:val="002F244D"/>
    <w:rsid w:val="002F52F6"/>
    <w:rsid w:val="003012DD"/>
    <w:rsid w:val="0030288A"/>
    <w:rsid w:val="00302C1E"/>
    <w:rsid w:val="00304F0B"/>
    <w:rsid w:val="003063C7"/>
    <w:rsid w:val="0030663D"/>
    <w:rsid w:val="00310B65"/>
    <w:rsid w:val="003114B9"/>
    <w:rsid w:val="003126F3"/>
    <w:rsid w:val="00313653"/>
    <w:rsid w:val="00316FF3"/>
    <w:rsid w:val="0032041E"/>
    <w:rsid w:val="00321274"/>
    <w:rsid w:val="003215C8"/>
    <w:rsid w:val="00322016"/>
    <w:rsid w:val="003259A0"/>
    <w:rsid w:val="003261F6"/>
    <w:rsid w:val="00326478"/>
    <w:rsid w:val="003267E7"/>
    <w:rsid w:val="00330AEF"/>
    <w:rsid w:val="00330B63"/>
    <w:rsid w:val="00330DD9"/>
    <w:rsid w:val="00334D4B"/>
    <w:rsid w:val="00336DA4"/>
    <w:rsid w:val="00337317"/>
    <w:rsid w:val="003416BC"/>
    <w:rsid w:val="003428EC"/>
    <w:rsid w:val="003454C0"/>
    <w:rsid w:val="00345B07"/>
    <w:rsid w:val="003469DD"/>
    <w:rsid w:val="00347293"/>
    <w:rsid w:val="00350014"/>
    <w:rsid w:val="00352072"/>
    <w:rsid w:val="003530F8"/>
    <w:rsid w:val="003538C8"/>
    <w:rsid w:val="00355940"/>
    <w:rsid w:val="00357607"/>
    <w:rsid w:val="00366022"/>
    <w:rsid w:val="0036793E"/>
    <w:rsid w:val="003735DE"/>
    <w:rsid w:val="003739AF"/>
    <w:rsid w:val="00375AB6"/>
    <w:rsid w:val="00375DF7"/>
    <w:rsid w:val="0037644F"/>
    <w:rsid w:val="003803DF"/>
    <w:rsid w:val="003827D5"/>
    <w:rsid w:val="00382C63"/>
    <w:rsid w:val="00382E83"/>
    <w:rsid w:val="00383EA4"/>
    <w:rsid w:val="00384FE4"/>
    <w:rsid w:val="0038504D"/>
    <w:rsid w:val="00385B1F"/>
    <w:rsid w:val="00390652"/>
    <w:rsid w:val="00390A69"/>
    <w:rsid w:val="00392F29"/>
    <w:rsid w:val="00393468"/>
    <w:rsid w:val="00393F18"/>
    <w:rsid w:val="0039419C"/>
    <w:rsid w:val="00395DC3"/>
    <w:rsid w:val="0039674B"/>
    <w:rsid w:val="00397269"/>
    <w:rsid w:val="003A0847"/>
    <w:rsid w:val="003A1CBA"/>
    <w:rsid w:val="003A1EF2"/>
    <w:rsid w:val="003A5335"/>
    <w:rsid w:val="003A5352"/>
    <w:rsid w:val="003A5771"/>
    <w:rsid w:val="003A7FE8"/>
    <w:rsid w:val="003B02E0"/>
    <w:rsid w:val="003B051A"/>
    <w:rsid w:val="003B0BA6"/>
    <w:rsid w:val="003B0FA0"/>
    <w:rsid w:val="003B1EB3"/>
    <w:rsid w:val="003B1F78"/>
    <w:rsid w:val="003B264B"/>
    <w:rsid w:val="003B2D4B"/>
    <w:rsid w:val="003B3144"/>
    <w:rsid w:val="003B459E"/>
    <w:rsid w:val="003B4CF5"/>
    <w:rsid w:val="003B5C85"/>
    <w:rsid w:val="003B6006"/>
    <w:rsid w:val="003B6701"/>
    <w:rsid w:val="003B700B"/>
    <w:rsid w:val="003C040E"/>
    <w:rsid w:val="003C0702"/>
    <w:rsid w:val="003C331D"/>
    <w:rsid w:val="003C3D6F"/>
    <w:rsid w:val="003C3ED2"/>
    <w:rsid w:val="003C632F"/>
    <w:rsid w:val="003D1B01"/>
    <w:rsid w:val="003D1D2E"/>
    <w:rsid w:val="003D60B9"/>
    <w:rsid w:val="003D7348"/>
    <w:rsid w:val="003D74A8"/>
    <w:rsid w:val="003E3544"/>
    <w:rsid w:val="003E3A2A"/>
    <w:rsid w:val="003E4136"/>
    <w:rsid w:val="003E47F8"/>
    <w:rsid w:val="003E48B5"/>
    <w:rsid w:val="003E54C2"/>
    <w:rsid w:val="003E6856"/>
    <w:rsid w:val="003F0196"/>
    <w:rsid w:val="003F19D5"/>
    <w:rsid w:val="003F36B4"/>
    <w:rsid w:val="003F3819"/>
    <w:rsid w:val="003F6616"/>
    <w:rsid w:val="003F77CF"/>
    <w:rsid w:val="00401C4F"/>
    <w:rsid w:val="0040756E"/>
    <w:rsid w:val="0041030B"/>
    <w:rsid w:val="004110D9"/>
    <w:rsid w:val="004114EC"/>
    <w:rsid w:val="00411EF2"/>
    <w:rsid w:val="00414CE7"/>
    <w:rsid w:val="00415A6C"/>
    <w:rsid w:val="00415BAA"/>
    <w:rsid w:val="00420A87"/>
    <w:rsid w:val="004210AA"/>
    <w:rsid w:val="00430C9C"/>
    <w:rsid w:val="0043103B"/>
    <w:rsid w:val="00434103"/>
    <w:rsid w:val="004345A5"/>
    <w:rsid w:val="004351B7"/>
    <w:rsid w:val="00435777"/>
    <w:rsid w:val="0043619A"/>
    <w:rsid w:val="004364AF"/>
    <w:rsid w:val="004365A6"/>
    <w:rsid w:val="00437785"/>
    <w:rsid w:val="0044037B"/>
    <w:rsid w:val="004407CD"/>
    <w:rsid w:val="00440C40"/>
    <w:rsid w:val="004414A4"/>
    <w:rsid w:val="00445645"/>
    <w:rsid w:val="004464CC"/>
    <w:rsid w:val="004510AA"/>
    <w:rsid w:val="0045242F"/>
    <w:rsid w:val="00452701"/>
    <w:rsid w:val="00452796"/>
    <w:rsid w:val="00453D77"/>
    <w:rsid w:val="004558AD"/>
    <w:rsid w:val="0045765F"/>
    <w:rsid w:val="0046093A"/>
    <w:rsid w:val="00461112"/>
    <w:rsid w:val="004623C3"/>
    <w:rsid w:val="00463924"/>
    <w:rsid w:val="0046611C"/>
    <w:rsid w:val="00466156"/>
    <w:rsid w:val="0046761D"/>
    <w:rsid w:val="0047340E"/>
    <w:rsid w:val="004767EF"/>
    <w:rsid w:val="004776B7"/>
    <w:rsid w:val="00477C5B"/>
    <w:rsid w:val="00480E68"/>
    <w:rsid w:val="00482243"/>
    <w:rsid w:val="0048246B"/>
    <w:rsid w:val="00484884"/>
    <w:rsid w:val="0048564E"/>
    <w:rsid w:val="00486287"/>
    <w:rsid w:val="0049044B"/>
    <w:rsid w:val="00490A6C"/>
    <w:rsid w:val="00492701"/>
    <w:rsid w:val="004966F0"/>
    <w:rsid w:val="004967B5"/>
    <w:rsid w:val="004969FE"/>
    <w:rsid w:val="0049731E"/>
    <w:rsid w:val="004976C8"/>
    <w:rsid w:val="004A1881"/>
    <w:rsid w:val="004A3B13"/>
    <w:rsid w:val="004A3C44"/>
    <w:rsid w:val="004A4237"/>
    <w:rsid w:val="004A4270"/>
    <w:rsid w:val="004A43B2"/>
    <w:rsid w:val="004A6026"/>
    <w:rsid w:val="004A7EB9"/>
    <w:rsid w:val="004B0749"/>
    <w:rsid w:val="004B153A"/>
    <w:rsid w:val="004B21E1"/>
    <w:rsid w:val="004B5177"/>
    <w:rsid w:val="004B76BC"/>
    <w:rsid w:val="004C0084"/>
    <w:rsid w:val="004C163B"/>
    <w:rsid w:val="004C17E9"/>
    <w:rsid w:val="004C22E2"/>
    <w:rsid w:val="004C2D23"/>
    <w:rsid w:val="004C3D75"/>
    <w:rsid w:val="004C4721"/>
    <w:rsid w:val="004C4DBD"/>
    <w:rsid w:val="004C565A"/>
    <w:rsid w:val="004C5DE8"/>
    <w:rsid w:val="004C667E"/>
    <w:rsid w:val="004D000F"/>
    <w:rsid w:val="004D2EDA"/>
    <w:rsid w:val="004D349F"/>
    <w:rsid w:val="004D3830"/>
    <w:rsid w:val="004D4C2D"/>
    <w:rsid w:val="004D531A"/>
    <w:rsid w:val="004E26CD"/>
    <w:rsid w:val="004E2814"/>
    <w:rsid w:val="004E4CD7"/>
    <w:rsid w:val="004E5BAA"/>
    <w:rsid w:val="004F088D"/>
    <w:rsid w:val="004F0E22"/>
    <w:rsid w:val="004F13BD"/>
    <w:rsid w:val="004F15A7"/>
    <w:rsid w:val="004F16EC"/>
    <w:rsid w:val="004F2B98"/>
    <w:rsid w:val="004F462F"/>
    <w:rsid w:val="004F7102"/>
    <w:rsid w:val="004F76A0"/>
    <w:rsid w:val="005014A7"/>
    <w:rsid w:val="00501784"/>
    <w:rsid w:val="00501FAE"/>
    <w:rsid w:val="00503155"/>
    <w:rsid w:val="00503479"/>
    <w:rsid w:val="005043A0"/>
    <w:rsid w:val="0050546F"/>
    <w:rsid w:val="0050621C"/>
    <w:rsid w:val="005066A1"/>
    <w:rsid w:val="005077EE"/>
    <w:rsid w:val="00507A55"/>
    <w:rsid w:val="005113E5"/>
    <w:rsid w:val="0051221F"/>
    <w:rsid w:val="00514795"/>
    <w:rsid w:val="00514E28"/>
    <w:rsid w:val="00515E07"/>
    <w:rsid w:val="00523566"/>
    <w:rsid w:val="00523E7B"/>
    <w:rsid w:val="00524807"/>
    <w:rsid w:val="00524825"/>
    <w:rsid w:val="005266F5"/>
    <w:rsid w:val="00527481"/>
    <w:rsid w:val="0053000F"/>
    <w:rsid w:val="00531DCC"/>
    <w:rsid w:val="00532882"/>
    <w:rsid w:val="00534127"/>
    <w:rsid w:val="005342EF"/>
    <w:rsid w:val="0053653F"/>
    <w:rsid w:val="00537A34"/>
    <w:rsid w:val="005419C0"/>
    <w:rsid w:val="00541BEF"/>
    <w:rsid w:val="005426AD"/>
    <w:rsid w:val="00543089"/>
    <w:rsid w:val="00550954"/>
    <w:rsid w:val="0055238F"/>
    <w:rsid w:val="005526A7"/>
    <w:rsid w:val="00552EF9"/>
    <w:rsid w:val="005531FC"/>
    <w:rsid w:val="0055424E"/>
    <w:rsid w:val="0055452D"/>
    <w:rsid w:val="0056215A"/>
    <w:rsid w:val="00564842"/>
    <w:rsid w:val="00564BAD"/>
    <w:rsid w:val="00565B39"/>
    <w:rsid w:val="00566829"/>
    <w:rsid w:val="00566BCE"/>
    <w:rsid w:val="005670F3"/>
    <w:rsid w:val="00567124"/>
    <w:rsid w:val="0057126B"/>
    <w:rsid w:val="00574205"/>
    <w:rsid w:val="00575D91"/>
    <w:rsid w:val="005770FB"/>
    <w:rsid w:val="0057782B"/>
    <w:rsid w:val="00580DDE"/>
    <w:rsid w:val="0058380A"/>
    <w:rsid w:val="00584DF7"/>
    <w:rsid w:val="00586087"/>
    <w:rsid w:val="005862E1"/>
    <w:rsid w:val="005879B5"/>
    <w:rsid w:val="005908BF"/>
    <w:rsid w:val="00590B03"/>
    <w:rsid w:val="00590D74"/>
    <w:rsid w:val="00591F93"/>
    <w:rsid w:val="00592DB1"/>
    <w:rsid w:val="00592EE0"/>
    <w:rsid w:val="00593555"/>
    <w:rsid w:val="00593A52"/>
    <w:rsid w:val="0059465B"/>
    <w:rsid w:val="005951A7"/>
    <w:rsid w:val="005954A0"/>
    <w:rsid w:val="00595874"/>
    <w:rsid w:val="00595F16"/>
    <w:rsid w:val="005960AB"/>
    <w:rsid w:val="0059658D"/>
    <w:rsid w:val="00597159"/>
    <w:rsid w:val="005971C7"/>
    <w:rsid w:val="005A0DB4"/>
    <w:rsid w:val="005A305D"/>
    <w:rsid w:val="005A3E1A"/>
    <w:rsid w:val="005A7CC1"/>
    <w:rsid w:val="005A7F0A"/>
    <w:rsid w:val="005B2C64"/>
    <w:rsid w:val="005B6474"/>
    <w:rsid w:val="005B676A"/>
    <w:rsid w:val="005B7D36"/>
    <w:rsid w:val="005C19FE"/>
    <w:rsid w:val="005C1E58"/>
    <w:rsid w:val="005C2DB8"/>
    <w:rsid w:val="005C4EC1"/>
    <w:rsid w:val="005C62C1"/>
    <w:rsid w:val="005D34DC"/>
    <w:rsid w:val="005D3E3C"/>
    <w:rsid w:val="005E01B8"/>
    <w:rsid w:val="005E0BB7"/>
    <w:rsid w:val="005E2E21"/>
    <w:rsid w:val="005E3700"/>
    <w:rsid w:val="005E4E3F"/>
    <w:rsid w:val="005E5394"/>
    <w:rsid w:val="005E7C80"/>
    <w:rsid w:val="005F038E"/>
    <w:rsid w:val="005F0B26"/>
    <w:rsid w:val="005F0E2F"/>
    <w:rsid w:val="005F3B70"/>
    <w:rsid w:val="00604168"/>
    <w:rsid w:val="00604177"/>
    <w:rsid w:val="006067EA"/>
    <w:rsid w:val="00607429"/>
    <w:rsid w:val="0061138C"/>
    <w:rsid w:val="006124B4"/>
    <w:rsid w:val="00614FC2"/>
    <w:rsid w:val="006153EE"/>
    <w:rsid w:val="006156CF"/>
    <w:rsid w:val="00615FAF"/>
    <w:rsid w:val="0061623F"/>
    <w:rsid w:val="006175E5"/>
    <w:rsid w:val="006178B2"/>
    <w:rsid w:val="00620C69"/>
    <w:rsid w:val="00623419"/>
    <w:rsid w:val="00627187"/>
    <w:rsid w:val="00627497"/>
    <w:rsid w:val="00627EBB"/>
    <w:rsid w:val="00627FAF"/>
    <w:rsid w:val="00630521"/>
    <w:rsid w:val="0063054D"/>
    <w:rsid w:val="00631304"/>
    <w:rsid w:val="00631398"/>
    <w:rsid w:val="00631757"/>
    <w:rsid w:val="006326BD"/>
    <w:rsid w:val="00632A62"/>
    <w:rsid w:val="006334B7"/>
    <w:rsid w:val="006338D4"/>
    <w:rsid w:val="00634EDA"/>
    <w:rsid w:val="00634FB7"/>
    <w:rsid w:val="006409C9"/>
    <w:rsid w:val="006417C3"/>
    <w:rsid w:val="0064183A"/>
    <w:rsid w:val="00641B94"/>
    <w:rsid w:val="0064212A"/>
    <w:rsid w:val="00642229"/>
    <w:rsid w:val="00642893"/>
    <w:rsid w:val="00643B88"/>
    <w:rsid w:val="00644A53"/>
    <w:rsid w:val="006457ED"/>
    <w:rsid w:val="006472D9"/>
    <w:rsid w:val="00647B41"/>
    <w:rsid w:val="00650C1F"/>
    <w:rsid w:val="0065234A"/>
    <w:rsid w:val="00653633"/>
    <w:rsid w:val="00657BD7"/>
    <w:rsid w:val="0066030C"/>
    <w:rsid w:val="0066041C"/>
    <w:rsid w:val="00660B25"/>
    <w:rsid w:val="00661FAD"/>
    <w:rsid w:val="00662898"/>
    <w:rsid w:val="0066410C"/>
    <w:rsid w:val="00664AE0"/>
    <w:rsid w:val="00664EBA"/>
    <w:rsid w:val="00666EED"/>
    <w:rsid w:val="00667B8A"/>
    <w:rsid w:val="006727AE"/>
    <w:rsid w:val="00672A23"/>
    <w:rsid w:val="00673B39"/>
    <w:rsid w:val="00674053"/>
    <w:rsid w:val="00675AA4"/>
    <w:rsid w:val="0067693D"/>
    <w:rsid w:val="00677B84"/>
    <w:rsid w:val="00677DD8"/>
    <w:rsid w:val="00681FE1"/>
    <w:rsid w:val="00682726"/>
    <w:rsid w:val="006903BA"/>
    <w:rsid w:val="00692B94"/>
    <w:rsid w:val="00692BF7"/>
    <w:rsid w:val="00692FBA"/>
    <w:rsid w:val="006952A3"/>
    <w:rsid w:val="00695F1D"/>
    <w:rsid w:val="00696627"/>
    <w:rsid w:val="006969D8"/>
    <w:rsid w:val="006970C7"/>
    <w:rsid w:val="00697213"/>
    <w:rsid w:val="006A028F"/>
    <w:rsid w:val="006A292C"/>
    <w:rsid w:val="006A34AA"/>
    <w:rsid w:val="006A615F"/>
    <w:rsid w:val="006B11EB"/>
    <w:rsid w:val="006B2B07"/>
    <w:rsid w:val="006B36A3"/>
    <w:rsid w:val="006B3767"/>
    <w:rsid w:val="006B44B6"/>
    <w:rsid w:val="006B62E6"/>
    <w:rsid w:val="006B6F32"/>
    <w:rsid w:val="006B7D45"/>
    <w:rsid w:val="006C1FF8"/>
    <w:rsid w:val="006C250F"/>
    <w:rsid w:val="006C3D40"/>
    <w:rsid w:val="006C45DC"/>
    <w:rsid w:val="006C495F"/>
    <w:rsid w:val="006C4A03"/>
    <w:rsid w:val="006C64EB"/>
    <w:rsid w:val="006C7883"/>
    <w:rsid w:val="006D06D9"/>
    <w:rsid w:val="006D2CB0"/>
    <w:rsid w:val="006D3582"/>
    <w:rsid w:val="006D437D"/>
    <w:rsid w:val="006D6564"/>
    <w:rsid w:val="006D6DB5"/>
    <w:rsid w:val="006D78BB"/>
    <w:rsid w:val="006E0599"/>
    <w:rsid w:val="006E090D"/>
    <w:rsid w:val="006E0E28"/>
    <w:rsid w:val="006E2CA9"/>
    <w:rsid w:val="006E3736"/>
    <w:rsid w:val="006E46FF"/>
    <w:rsid w:val="006E5E0D"/>
    <w:rsid w:val="006E6F8A"/>
    <w:rsid w:val="006E74AF"/>
    <w:rsid w:val="006E7513"/>
    <w:rsid w:val="006F2DEA"/>
    <w:rsid w:val="006F3534"/>
    <w:rsid w:val="006F36F6"/>
    <w:rsid w:val="00700950"/>
    <w:rsid w:val="00700C92"/>
    <w:rsid w:val="00702E0A"/>
    <w:rsid w:val="007033E6"/>
    <w:rsid w:val="00703411"/>
    <w:rsid w:val="00703C80"/>
    <w:rsid w:val="00703D3C"/>
    <w:rsid w:val="00705C3D"/>
    <w:rsid w:val="00705E88"/>
    <w:rsid w:val="00707120"/>
    <w:rsid w:val="00707510"/>
    <w:rsid w:val="0070769E"/>
    <w:rsid w:val="00710DCA"/>
    <w:rsid w:val="00711599"/>
    <w:rsid w:val="0071189E"/>
    <w:rsid w:val="0071276F"/>
    <w:rsid w:val="007133A1"/>
    <w:rsid w:val="00713F09"/>
    <w:rsid w:val="00714231"/>
    <w:rsid w:val="00714A3E"/>
    <w:rsid w:val="00717152"/>
    <w:rsid w:val="007202C4"/>
    <w:rsid w:val="00720884"/>
    <w:rsid w:val="00723655"/>
    <w:rsid w:val="00723FC3"/>
    <w:rsid w:val="00724B8A"/>
    <w:rsid w:val="00725446"/>
    <w:rsid w:val="0072559B"/>
    <w:rsid w:val="00725942"/>
    <w:rsid w:val="00726BA6"/>
    <w:rsid w:val="00727752"/>
    <w:rsid w:val="00727B1C"/>
    <w:rsid w:val="007308EE"/>
    <w:rsid w:val="00732183"/>
    <w:rsid w:val="007337B2"/>
    <w:rsid w:val="0073674F"/>
    <w:rsid w:val="007417D2"/>
    <w:rsid w:val="00741FD9"/>
    <w:rsid w:val="0074366F"/>
    <w:rsid w:val="00745DDC"/>
    <w:rsid w:val="0074635A"/>
    <w:rsid w:val="00747C81"/>
    <w:rsid w:val="00747D66"/>
    <w:rsid w:val="0075079D"/>
    <w:rsid w:val="007509C9"/>
    <w:rsid w:val="00751BAB"/>
    <w:rsid w:val="00752B46"/>
    <w:rsid w:val="0075336D"/>
    <w:rsid w:val="00754ABD"/>
    <w:rsid w:val="007554DC"/>
    <w:rsid w:val="00756E7F"/>
    <w:rsid w:val="00761FEA"/>
    <w:rsid w:val="00762373"/>
    <w:rsid w:val="00763BCB"/>
    <w:rsid w:val="007645C8"/>
    <w:rsid w:val="00765260"/>
    <w:rsid w:val="007668E5"/>
    <w:rsid w:val="0077151F"/>
    <w:rsid w:val="00771C6F"/>
    <w:rsid w:val="00773177"/>
    <w:rsid w:val="007733FE"/>
    <w:rsid w:val="00774870"/>
    <w:rsid w:val="007749EE"/>
    <w:rsid w:val="00774A69"/>
    <w:rsid w:val="00776036"/>
    <w:rsid w:val="007762B8"/>
    <w:rsid w:val="00776B71"/>
    <w:rsid w:val="00777E01"/>
    <w:rsid w:val="00780573"/>
    <w:rsid w:val="00782240"/>
    <w:rsid w:val="007826B0"/>
    <w:rsid w:val="007826ED"/>
    <w:rsid w:val="0078272D"/>
    <w:rsid w:val="007828B1"/>
    <w:rsid w:val="00783455"/>
    <w:rsid w:val="00784A30"/>
    <w:rsid w:val="00784D05"/>
    <w:rsid w:val="007853A9"/>
    <w:rsid w:val="00786B32"/>
    <w:rsid w:val="0079091E"/>
    <w:rsid w:val="0079195E"/>
    <w:rsid w:val="00797C76"/>
    <w:rsid w:val="007A0F83"/>
    <w:rsid w:val="007A2E56"/>
    <w:rsid w:val="007A58D1"/>
    <w:rsid w:val="007A7B29"/>
    <w:rsid w:val="007B02D0"/>
    <w:rsid w:val="007B05E8"/>
    <w:rsid w:val="007B0FBC"/>
    <w:rsid w:val="007B1F99"/>
    <w:rsid w:val="007B3790"/>
    <w:rsid w:val="007B3872"/>
    <w:rsid w:val="007B4685"/>
    <w:rsid w:val="007B4BAD"/>
    <w:rsid w:val="007B53B6"/>
    <w:rsid w:val="007B7F95"/>
    <w:rsid w:val="007C39B7"/>
    <w:rsid w:val="007C44CF"/>
    <w:rsid w:val="007C468F"/>
    <w:rsid w:val="007C4F4D"/>
    <w:rsid w:val="007C5773"/>
    <w:rsid w:val="007C6FF0"/>
    <w:rsid w:val="007C75C7"/>
    <w:rsid w:val="007D2AA3"/>
    <w:rsid w:val="007D6CFA"/>
    <w:rsid w:val="007E0196"/>
    <w:rsid w:val="007E06B3"/>
    <w:rsid w:val="007E17F8"/>
    <w:rsid w:val="007E1C86"/>
    <w:rsid w:val="007E2824"/>
    <w:rsid w:val="007E4B33"/>
    <w:rsid w:val="007E7E53"/>
    <w:rsid w:val="007F1349"/>
    <w:rsid w:val="007F2353"/>
    <w:rsid w:val="007F450A"/>
    <w:rsid w:val="007F4D23"/>
    <w:rsid w:val="007F4E27"/>
    <w:rsid w:val="007F4FFA"/>
    <w:rsid w:val="007F5728"/>
    <w:rsid w:val="007F6374"/>
    <w:rsid w:val="007F7850"/>
    <w:rsid w:val="00800843"/>
    <w:rsid w:val="008049BA"/>
    <w:rsid w:val="008051BC"/>
    <w:rsid w:val="00806788"/>
    <w:rsid w:val="008067C8"/>
    <w:rsid w:val="00810AEB"/>
    <w:rsid w:val="00810B45"/>
    <w:rsid w:val="0081178F"/>
    <w:rsid w:val="00811E35"/>
    <w:rsid w:val="00812F61"/>
    <w:rsid w:val="008141CB"/>
    <w:rsid w:val="00814335"/>
    <w:rsid w:val="0081501B"/>
    <w:rsid w:val="00815B93"/>
    <w:rsid w:val="0081701C"/>
    <w:rsid w:val="00817ED6"/>
    <w:rsid w:val="00820693"/>
    <w:rsid w:val="00821C77"/>
    <w:rsid w:val="008225F8"/>
    <w:rsid w:val="00823301"/>
    <w:rsid w:val="00825A07"/>
    <w:rsid w:val="00825C8A"/>
    <w:rsid w:val="00827469"/>
    <w:rsid w:val="00827544"/>
    <w:rsid w:val="00827E0F"/>
    <w:rsid w:val="008310EE"/>
    <w:rsid w:val="00833FA0"/>
    <w:rsid w:val="00834022"/>
    <w:rsid w:val="00834D02"/>
    <w:rsid w:val="00836208"/>
    <w:rsid w:val="008364C5"/>
    <w:rsid w:val="008368AF"/>
    <w:rsid w:val="008405D8"/>
    <w:rsid w:val="00840CA8"/>
    <w:rsid w:val="00843B6A"/>
    <w:rsid w:val="00843C5A"/>
    <w:rsid w:val="00846FA5"/>
    <w:rsid w:val="0084707D"/>
    <w:rsid w:val="00852CC0"/>
    <w:rsid w:val="00853350"/>
    <w:rsid w:val="00853843"/>
    <w:rsid w:val="008551EB"/>
    <w:rsid w:val="00857640"/>
    <w:rsid w:val="008605D0"/>
    <w:rsid w:val="00860DAD"/>
    <w:rsid w:val="00862FB3"/>
    <w:rsid w:val="00863F5B"/>
    <w:rsid w:val="0086469C"/>
    <w:rsid w:val="0086570F"/>
    <w:rsid w:val="00866648"/>
    <w:rsid w:val="0087139B"/>
    <w:rsid w:val="008713BA"/>
    <w:rsid w:val="00872AB7"/>
    <w:rsid w:val="0087392A"/>
    <w:rsid w:val="00876BAB"/>
    <w:rsid w:val="00876FC3"/>
    <w:rsid w:val="00880BBF"/>
    <w:rsid w:val="0088128F"/>
    <w:rsid w:val="008819C9"/>
    <w:rsid w:val="00882E98"/>
    <w:rsid w:val="00884024"/>
    <w:rsid w:val="0088426B"/>
    <w:rsid w:val="00884395"/>
    <w:rsid w:val="0088469A"/>
    <w:rsid w:val="00884D9E"/>
    <w:rsid w:val="0089110E"/>
    <w:rsid w:val="008918E8"/>
    <w:rsid w:val="00894C23"/>
    <w:rsid w:val="0089529D"/>
    <w:rsid w:val="00896EE1"/>
    <w:rsid w:val="008977CB"/>
    <w:rsid w:val="00897934"/>
    <w:rsid w:val="00897A49"/>
    <w:rsid w:val="00897E9C"/>
    <w:rsid w:val="008A0E53"/>
    <w:rsid w:val="008A3745"/>
    <w:rsid w:val="008A375D"/>
    <w:rsid w:val="008A3ED9"/>
    <w:rsid w:val="008A589E"/>
    <w:rsid w:val="008A5EB0"/>
    <w:rsid w:val="008A660A"/>
    <w:rsid w:val="008A70F3"/>
    <w:rsid w:val="008B0892"/>
    <w:rsid w:val="008B656B"/>
    <w:rsid w:val="008B6EA4"/>
    <w:rsid w:val="008B768A"/>
    <w:rsid w:val="008C0BE6"/>
    <w:rsid w:val="008C2200"/>
    <w:rsid w:val="008C698A"/>
    <w:rsid w:val="008C75D1"/>
    <w:rsid w:val="008D01CE"/>
    <w:rsid w:val="008D0793"/>
    <w:rsid w:val="008D36C4"/>
    <w:rsid w:val="008D3DA9"/>
    <w:rsid w:val="008D4DBF"/>
    <w:rsid w:val="008D5D8C"/>
    <w:rsid w:val="008D5E2F"/>
    <w:rsid w:val="008D5EEC"/>
    <w:rsid w:val="008D77DD"/>
    <w:rsid w:val="008D7916"/>
    <w:rsid w:val="008E07B2"/>
    <w:rsid w:val="008E0B2A"/>
    <w:rsid w:val="008E1C2C"/>
    <w:rsid w:val="008E39D5"/>
    <w:rsid w:val="008E6801"/>
    <w:rsid w:val="008E6E96"/>
    <w:rsid w:val="008E6F10"/>
    <w:rsid w:val="008E711A"/>
    <w:rsid w:val="008F0C24"/>
    <w:rsid w:val="008F139F"/>
    <w:rsid w:val="008F3616"/>
    <w:rsid w:val="00900EB9"/>
    <w:rsid w:val="00901197"/>
    <w:rsid w:val="00902095"/>
    <w:rsid w:val="00902944"/>
    <w:rsid w:val="009037A9"/>
    <w:rsid w:val="00903A29"/>
    <w:rsid w:val="009046FC"/>
    <w:rsid w:val="00906CDD"/>
    <w:rsid w:val="00907854"/>
    <w:rsid w:val="00912206"/>
    <w:rsid w:val="00912ECA"/>
    <w:rsid w:val="00913344"/>
    <w:rsid w:val="009136E0"/>
    <w:rsid w:val="00913AE8"/>
    <w:rsid w:val="009156C0"/>
    <w:rsid w:val="00916FA6"/>
    <w:rsid w:val="009175DD"/>
    <w:rsid w:val="00921F30"/>
    <w:rsid w:val="00923DB4"/>
    <w:rsid w:val="00925E27"/>
    <w:rsid w:val="00926B36"/>
    <w:rsid w:val="00931720"/>
    <w:rsid w:val="00931F25"/>
    <w:rsid w:val="009346DB"/>
    <w:rsid w:val="009360E1"/>
    <w:rsid w:val="00941170"/>
    <w:rsid w:val="00942878"/>
    <w:rsid w:val="00944F9F"/>
    <w:rsid w:val="0094534A"/>
    <w:rsid w:val="0094580A"/>
    <w:rsid w:val="00946AF3"/>
    <w:rsid w:val="00946E02"/>
    <w:rsid w:val="00947716"/>
    <w:rsid w:val="00951E05"/>
    <w:rsid w:val="009532A4"/>
    <w:rsid w:val="0095677F"/>
    <w:rsid w:val="00956B77"/>
    <w:rsid w:val="00956BF3"/>
    <w:rsid w:val="00962815"/>
    <w:rsid w:val="009636E1"/>
    <w:rsid w:val="00963B19"/>
    <w:rsid w:val="009649FC"/>
    <w:rsid w:val="00964A57"/>
    <w:rsid w:val="0096557E"/>
    <w:rsid w:val="009664A6"/>
    <w:rsid w:val="009664DF"/>
    <w:rsid w:val="00971205"/>
    <w:rsid w:val="00971B34"/>
    <w:rsid w:val="00971FEE"/>
    <w:rsid w:val="009750F5"/>
    <w:rsid w:val="00976ACD"/>
    <w:rsid w:val="00977B56"/>
    <w:rsid w:val="009801B9"/>
    <w:rsid w:val="00980DD8"/>
    <w:rsid w:val="00981022"/>
    <w:rsid w:val="009826F9"/>
    <w:rsid w:val="00985D1B"/>
    <w:rsid w:val="00986B7C"/>
    <w:rsid w:val="009902F9"/>
    <w:rsid w:val="00991B3A"/>
    <w:rsid w:val="00994D69"/>
    <w:rsid w:val="009954BF"/>
    <w:rsid w:val="00996A2D"/>
    <w:rsid w:val="00997A74"/>
    <w:rsid w:val="009A15C1"/>
    <w:rsid w:val="009A2974"/>
    <w:rsid w:val="009A3CF8"/>
    <w:rsid w:val="009A49BF"/>
    <w:rsid w:val="009A4EB4"/>
    <w:rsid w:val="009A55B9"/>
    <w:rsid w:val="009A5D44"/>
    <w:rsid w:val="009A6A4B"/>
    <w:rsid w:val="009B0345"/>
    <w:rsid w:val="009B0C55"/>
    <w:rsid w:val="009B3C97"/>
    <w:rsid w:val="009B3FD4"/>
    <w:rsid w:val="009B6B64"/>
    <w:rsid w:val="009B7590"/>
    <w:rsid w:val="009C023A"/>
    <w:rsid w:val="009C0FEB"/>
    <w:rsid w:val="009C3B84"/>
    <w:rsid w:val="009C4421"/>
    <w:rsid w:val="009C4693"/>
    <w:rsid w:val="009C5994"/>
    <w:rsid w:val="009C5CFE"/>
    <w:rsid w:val="009D2FBC"/>
    <w:rsid w:val="009D6F89"/>
    <w:rsid w:val="009E2DCB"/>
    <w:rsid w:val="009E628F"/>
    <w:rsid w:val="009E6E7C"/>
    <w:rsid w:val="009E72AE"/>
    <w:rsid w:val="009F1190"/>
    <w:rsid w:val="009F1AC5"/>
    <w:rsid w:val="009F1B56"/>
    <w:rsid w:val="009F38C5"/>
    <w:rsid w:val="009F3EF0"/>
    <w:rsid w:val="009F4345"/>
    <w:rsid w:val="009F510D"/>
    <w:rsid w:val="009F68CC"/>
    <w:rsid w:val="00A00F90"/>
    <w:rsid w:val="00A02E40"/>
    <w:rsid w:val="00A02F72"/>
    <w:rsid w:val="00A03C5B"/>
    <w:rsid w:val="00A04F98"/>
    <w:rsid w:val="00A0666E"/>
    <w:rsid w:val="00A10D4F"/>
    <w:rsid w:val="00A15005"/>
    <w:rsid w:val="00A15DE1"/>
    <w:rsid w:val="00A203E4"/>
    <w:rsid w:val="00A22563"/>
    <w:rsid w:val="00A2445C"/>
    <w:rsid w:val="00A24D50"/>
    <w:rsid w:val="00A24F77"/>
    <w:rsid w:val="00A26B59"/>
    <w:rsid w:val="00A278DB"/>
    <w:rsid w:val="00A27BEC"/>
    <w:rsid w:val="00A30A58"/>
    <w:rsid w:val="00A30F49"/>
    <w:rsid w:val="00A33658"/>
    <w:rsid w:val="00A346D8"/>
    <w:rsid w:val="00A34D5C"/>
    <w:rsid w:val="00A3607C"/>
    <w:rsid w:val="00A37C93"/>
    <w:rsid w:val="00A409BE"/>
    <w:rsid w:val="00A439C3"/>
    <w:rsid w:val="00A43EF6"/>
    <w:rsid w:val="00A452F9"/>
    <w:rsid w:val="00A453C3"/>
    <w:rsid w:val="00A45DEA"/>
    <w:rsid w:val="00A46320"/>
    <w:rsid w:val="00A46EDD"/>
    <w:rsid w:val="00A504DF"/>
    <w:rsid w:val="00A50CC1"/>
    <w:rsid w:val="00A5575A"/>
    <w:rsid w:val="00A605F2"/>
    <w:rsid w:val="00A611EB"/>
    <w:rsid w:val="00A631C3"/>
    <w:rsid w:val="00A65FF0"/>
    <w:rsid w:val="00A67DC2"/>
    <w:rsid w:val="00A71126"/>
    <w:rsid w:val="00A722D3"/>
    <w:rsid w:val="00A73176"/>
    <w:rsid w:val="00A7637F"/>
    <w:rsid w:val="00A800AF"/>
    <w:rsid w:val="00A80C5E"/>
    <w:rsid w:val="00A81C1E"/>
    <w:rsid w:val="00A81E78"/>
    <w:rsid w:val="00A81F10"/>
    <w:rsid w:val="00A829AB"/>
    <w:rsid w:val="00A83F23"/>
    <w:rsid w:val="00A84BA7"/>
    <w:rsid w:val="00A9017A"/>
    <w:rsid w:val="00A910A4"/>
    <w:rsid w:val="00A9142C"/>
    <w:rsid w:val="00A93319"/>
    <w:rsid w:val="00A961E2"/>
    <w:rsid w:val="00A96B75"/>
    <w:rsid w:val="00A97FC1"/>
    <w:rsid w:val="00AA3C59"/>
    <w:rsid w:val="00AA41DA"/>
    <w:rsid w:val="00AA43E6"/>
    <w:rsid w:val="00AA5113"/>
    <w:rsid w:val="00AA64AB"/>
    <w:rsid w:val="00AA68D7"/>
    <w:rsid w:val="00AA76F9"/>
    <w:rsid w:val="00AB00FA"/>
    <w:rsid w:val="00AB498B"/>
    <w:rsid w:val="00AB4A8D"/>
    <w:rsid w:val="00AB5D07"/>
    <w:rsid w:val="00AB676F"/>
    <w:rsid w:val="00AB698B"/>
    <w:rsid w:val="00AC1BF0"/>
    <w:rsid w:val="00AC21FB"/>
    <w:rsid w:val="00AC3574"/>
    <w:rsid w:val="00AC601E"/>
    <w:rsid w:val="00AC658F"/>
    <w:rsid w:val="00AC7F9D"/>
    <w:rsid w:val="00AD0136"/>
    <w:rsid w:val="00AD26D7"/>
    <w:rsid w:val="00AD2889"/>
    <w:rsid w:val="00AD2C29"/>
    <w:rsid w:val="00AD3BDD"/>
    <w:rsid w:val="00AD4E27"/>
    <w:rsid w:val="00AE03D8"/>
    <w:rsid w:val="00AE111F"/>
    <w:rsid w:val="00AE2B55"/>
    <w:rsid w:val="00AE3F4C"/>
    <w:rsid w:val="00AE56E9"/>
    <w:rsid w:val="00AE7D7C"/>
    <w:rsid w:val="00AF0BB2"/>
    <w:rsid w:val="00AF0FBD"/>
    <w:rsid w:val="00AF281E"/>
    <w:rsid w:val="00AF2D5F"/>
    <w:rsid w:val="00AF3E6B"/>
    <w:rsid w:val="00AF483B"/>
    <w:rsid w:val="00AF7109"/>
    <w:rsid w:val="00AF755D"/>
    <w:rsid w:val="00B00D37"/>
    <w:rsid w:val="00B0496F"/>
    <w:rsid w:val="00B061C9"/>
    <w:rsid w:val="00B10D6A"/>
    <w:rsid w:val="00B1121A"/>
    <w:rsid w:val="00B123CC"/>
    <w:rsid w:val="00B12791"/>
    <w:rsid w:val="00B1344B"/>
    <w:rsid w:val="00B211C4"/>
    <w:rsid w:val="00B23DFB"/>
    <w:rsid w:val="00B250D0"/>
    <w:rsid w:val="00B257E2"/>
    <w:rsid w:val="00B26B77"/>
    <w:rsid w:val="00B27003"/>
    <w:rsid w:val="00B3003B"/>
    <w:rsid w:val="00B30754"/>
    <w:rsid w:val="00B31047"/>
    <w:rsid w:val="00B32B29"/>
    <w:rsid w:val="00B35160"/>
    <w:rsid w:val="00B35DFB"/>
    <w:rsid w:val="00B35EF2"/>
    <w:rsid w:val="00B36D56"/>
    <w:rsid w:val="00B36DA7"/>
    <w:rsid w:val="00B4378F"/>
    <w:rsid w:val="00B4671F"/>
    <w:rsid w:val="00B4689A"/>
    <w:rsid w:val="00B4707C"/>
    <w:rsid w:val="00B4787E"/>
    <w:rsid w:val="00B47B7D"/>
    <w:rsid w:val="00B50DD8"/>
    <w:rsid w:val="00B52866"/>
    <w:rsid w:val="00B579E1"/>
    <w:rsid w:val="00B60692"/>
    <w:rsid w:val="00B6346F"/>
    <w:rsid w:val="00B65175"/>
    <w:rsid w:val="00B66311"/>
    <w:rsid w:val="00B66FA3"/>
    <w:rsid w:val="00B718B2"/>
    <w:rsid w:val="00B71932"/>
    <w:rsid w:val="00B753E1"/>
    <w:rsid w:val="00B76FE7"/>
    <w:rsid w:val="00B80F18"/>
    <w:rsid w:val="00B8169C"/>
    <w:rsid w:val="00B81704"/>
    <w:rsid w:val="00B83247"/>
    <w:rsid w:val="00B86173"/>
    <w:rsid w:val="00B864FF"/>
    <w:rsid w:val="00B872CE"/>
    <w:rsid w:val="00B9137F"/>
    <w:rsid w:val="00B915B1"/>
    <w:rsid w:val="00B92E62"/>
    <w:rsid w:val="00B939B6"/>
    <w:rsid w:val="00B96F57"/>
    <w:rsid w:val="00B97BA2"/>
    <w:rsid w:val="00B97BBF"/>
    <w:rsid w:val="00BA32C5"/>
    <w:rsid w:val="00BA3E49"/>
    <w:rsid w:val="00BA52B0"/>
    <w:rsid w:val="00BA77A3"/>
    <w:rsid w:val="00BB0320"/>
    <w:rsid w:val="00BB1145"/>
    <w:rsid w:val="00BB168D"/>
    <w:rsid w:val="00BB405D"/>
    <w:rsid w:val="00BB4769"/>
    <w:rsid w:val="00BB5558"/>
    <w:rsid w:val="00BB6D26"/>
    <w:rsid w:val="00BC367E"/>
    <w:rsid w:val="00BC4ABB"/>
    <w:rsid w:val="00BC5A5F"/>
    <w:rsid w:val="00BC6328"/>
    <w:rsid w:val="00BC66E2"/>
    <w:rsid w:val="00BC6E26"/>
    <w:rsid w:val="00BC6E83"/>
    <w:rsid w:val="00BD246C"/>
    <w:rsid w:val="00BD3D09"/>
    <w:rsid w:val="00BD498F"/>
    <w:rsid w:val="00BD5E36"/>
    <w:rsid w:val="00BD775B"/>
    <w:rsid w:val="00BE04BC"/>
    <w:rsid w:val="00BE0958"/>
    <w:rsid w:val="00BE0F53"/>
    <w:rsid w:val="00BE123D"/>
    <w:rsid w:val="00BE24DF"/>
    <w:rsid w:val="00BE3723"/>
    <w:rsid w:val="00BE4A8D"/>
    <w:rsid w:val="00BE745D"/>
    <w:rsid w:val="00BF171F"/>
    <w:rsid w:val="00BF1A0E"/>
    <w:rsid w:val="00BF1DAF"/>
    <w:rsid w:val="00BF2FCB"/>
    <w:rsid w:val="00BF4DAF"/>
    <w:rsid w:val="00BF5B5A"/>
    <w:rsid w:val="00C004E4"/>
    <w:rsid w:val="00C0107C"/>
    <w:rsid w:val="00C01AC9"/>
    <w:rsid w:val="00C03031"/>
    <w:rsid w:val="00C054D3"/>
    <w:rsid w:val="00C05EC4"/>
    <w:rsid w:val="00C05EDC"/>
    <w:rsid w:val="00C10825"/>
    <w:rsid w:val="00C11690"/>
    <w:rsid w:val="00C11CD8"/>
    <w:rsid w:val="00C11D62"/>
    <w:rsid w:val="00C14222"/>
    <w:rsid w:val="00C15796"/>
    <w:rsid w:val="00C158A6"/>
    <w:rsid w:val="00C165D1"/>
    <w:rsid w:val="00C211B2"/>
    <w:rsid w:val="00C2155B"/>
    <w:rsid w:val="00C239D4"/>
    <w:rsid w:val="00C26140"/>
    <w:rsid w:val="00C27095"/>
    <w:rsid w:val="00C34369"/>
    <w:rsid w:val="00C350A1"/>
    <w:rsid w:val="00C37AAB"/>
    <w:rsid w:val="00C4099C"/>
    <w:rsid w:val="00C40B9A"/>
    <w:rsid w:val="00C41CB5"/>
    <w:rsid w:val="00C4474A"/>
    <w:rsid w:val="00C4507B"/>
    <w:rsid w:val="00C46531"/>
    <w:rsid w:val="00C46C86"/>
    <w:rsid w:val="00C46D5A"/>
    <w:rsid w:val="00C47E5B"/>
    <w:rsid w:val="00C51473"/>
    <w:rsid w:val="00C52275"/>
    <w:rsid w:val="00C52497"/>
    <w:rsid w:val="00C52768"/>
    <w:rsid w:val="00C53AA6"/>
    <w:rsid w:val="00C54D12"/>
    <w:rsid w:val="00C55A88"/>
    <w:rsid w:val="00C607A7"/>
    <w:rsid w:val="00C60E3D"/>
    <w:rsid w:val="00C61FD9"/>
    <w:rsid w:val="00C624BD"/>
    <w:rsid w:val="00C63D33"/>
    <w:rsid w:val="00C64149"/>
    <w:rsid w:val="00C6458E"/>
    <w:rsid w:val="00C66430"/>
    <w:rsid w:val="00C66E04"/>
    <w:rsid w:val="00C67D0D"/>
    <w:rsid w:val="00C70259"/>
    <w:rsid w:val="00C70D4C"/>
    <w:rsid w:val="00C73866"/>
    <w:rsid w:val="00C74080"/>
    <w:rsid w:val="00C74673"/>
    <w:rsid w:val="00C74A3B"/>
    <w:rsid w:val="00C74D1A"/>
    <w:rsid w:val="00C7522D"/>
    <w:rsid w:val="00C757A1"/>
    <w:rsid w:val="00C7704F"/>
    <w:rsid w:val="00C804F5"/>
    <w:rsid w:val="00C80DC8"/>
    <w:rsid w:val="00C82464"/>
    <w:rsid w:val="00C82D7C"/>
    <w:rsid w:val="00C84520"/>
    <w:rsid w:val="00C84D6B"/>
    <w:rsid w:val="00C90263"/>
    <w:rsid w:val="00C90839"/>
    <w:rsid w:val="00C91811"/>
    <w:rsid w:val="00C929EA"/>
    <w:rsid w:val="00C92BB4"/>
    <w:rsid w:val="00C94AF4"/>
    <w:rsid w:val="00C9706A"/>
    <w:rsid w:val="00CA0CC7"/>
    <w:rsid w:val="00CA24BD"/>
    <w:rsid w:val="00CA29F1"/>
    <w:rsid w:val="00CA547A"/>
    <w:rsid w:val="00CA5BBD"/>
    <w:rsid w:val="00CA5C15"/>
    <w:rsid w:val="00CA79C5"/>
    <w:rsid w:val="00CB0477"/>
    <w:rsid w:val="00CB0976"/>
    <w:rsid w:val="00CB2671"/>
    <w:rsid w:val="00CB2CE4"/>
    <w:rsid w:val="00CB319F"/>
    <w:rsid w:val="00CB3EED"/>
    <w:rsid w:val="00CB4480"/>
    <w:rsid w:val="00CB48E5"/>
    <w:rsid w:val="00CB5275"/>
    <w:rsid w:val="00CB6110"/>
    <w:rsid w:val="00CB70FB"/>
    <w:rsid w:val="00CB7391"/>
    <w:rsid w:val="00CC079D"/>
    <w:rsid w:val="00CC1CC2"/>
    <w:rsid w:val="00CC468E"/>
    <w:rsid w:val="00CD0250"/>
    <w:rsid w:val="00CD09E6"/>
    <w:rsid w:val="00CD11B0"/>
    <w:rsid w:val="00CD1462"/>
    <w:rsid w:val="00CD1F19"/>
    <w:rsid w:val="00CD3294"/>
    <w:rsid w:val="00CD5D22"/>
    <w:rsid w:val="00CD6042"/>
    <w:rsid w:val="00CD68FA"/>
    <w:rsid w:val="00CE2355"/>
    <w:rsid w:val="00CE2E67"/>
    <w:rsid w:val="00CE3728"/>
    <w:rsid w:val="00CE3CA8"/>
    <w:rsid w:val="00CE5590"/>
    <w:rsid w:val="00CE653F"/>
    <w:rsid w:val="00CE6B8D"/>
    <w:rsid w:val="00CE702D"/>
    <w:rsid w:val="00CF0AE3"/>
    <w:rsid w:val="00CF30FF"/>
    <w:rsid w:val="00CF3252"/>
    <w:rsid w:val="00CF5458"/>
    <w:rsid w:val="00CF630C"/>
    <w:rsid w:val="00CF7742"/>
    <w:rsid w:val="00CF7E40"/>
    <w:rsid w:val="00D00438"/>
    <w:rsid w:val="00D00586"/>
    <w:rsid w:val="00D006F4"/>
    <w:rsid w:val="00D0432B"/>
    <w:rsid w:val="00D045B5"/>
    <w:rsid w:val="00D04A11"/>
    <w:rsid w:val="00D05073"/>
    <w:rsid w:val="00D069EB"/>
    <w:rsid w:val="00D0778A"/>
    <w:rsid w:val="00D13FC1"/>
    <w:rsid w:val="00D1424B"/>
    <w:rsid w:val="00D15CC4"/>
    <w:rsid w:val="00D17A67"/>
    <w:rsid w:val="00D20F5A"/>
    <w:rsid w:val="00D22889"/>
    <w:rsid w:val="00D228A8"/>
    <w:rsid w:val="00D23023"/>
    <w:rsid w:val="00D25E2F"/>
    <w:rsid w:val="00D26367"/>
    <w:rsid w:val="00D26ACC"/>
    <w:rsid w:val="00D301A3"/>
    <w:rsid w:val="00D3064E"/>
    <w:rsid w:val="00D30677"/>
    <w:rsid w:val="00D30C7D"/>
    <w:rsid w:val="00D339CD"/>
    <w:rsid w:val="00D3463B"/>
    <w:rsid w:val="00D34BC3"/>
    <w:rsid w:val="00D34F0C"/>
    <w:rsid w:val="00D35179"/>
    <w:rsid w:val="00D35B28"/>
    <w:rsid w:val="00D4160B"/>
    <w:rsid w:val="00D422D0"/>
    <w:rsid w:val="00D42B4E"/>
    <w:rsid w:val="00D43734"/>
    <w:rsid w:val="00D44176"/>
    <w:rsid w:val="00D44374"/>
    <w:rsid w:val="00D444D3"/>
    <w:rsid w:val="00D44660"/>
    <w:rsid w:val="00D447E7"/>
    <w:rsid w:val="00D45F83"/>
    <w:rsid w:val="00D47FF6"/>
    <w:rsid w:val="00D530BB"/>
    <w:rsid w:val="00D545BA"/>
    <w:rsid w:val="00D5572F"/>
    <w:rsid w:val="00D55AFA"/>
    <w:rsid w:val="00D55C02"/>
    <w:rsid w:val="00D57AC2"/>
    <w:rsid w:val="00D61436"/>
    <w:rsid w:val="00D61ECD"/>
    <w:rsid w:val="00D64177"/>
    <w:rsid w:val="00D64D62"/>
    <w:rsid w:val="00D64F0F"/>
    <w:rsid w:val="00D65908"/>
    <w:rsid w:val="00D6623A"/>
    <w:rsid w:val="00D71D87"/>
    <w:rsid w:val="00D72BC5"/>
    <w:rsid w:val="00D82396"/>
    <w:rsid w:val="00D83903"/>
    <w:rsid w:val="00D84CF6"/>
    <w:rsid w:val="00D84DFB"/>
    <w:rsid w:val="00D8560A"/>
    <w:rsid w:val="00D871BE"/>
    <w:rsid w:val="00D90D48"/>
    <w:rsid w:val="00D91220"/>
    <w:rsid w:val="00D91DAF"/>
    <w:rsid w:val="00D922E1"/>
    <w:rsid w:val="00D9264D"/>
    <w:rsid w:val="00D92A7A"/>
    <w:rsid w:val="00D93DE9"/>
    <w:rsid w:val="00D93FF6"/>
    <w:rsid w:val="00DA0FA3"/>
    <w:rsid w:val="00DA30FC"/>
    <w:rsid w:val="00DA4C48"/>
    <w:rsid w:val="00DA5583"/>
    <w:rsid w:val="00DA56D6"/>
    <w:rsid w:val="00DA5869"/>
    <w:rsid w:val="00DA587A"/>
    <w:rsid w:val="00DA5FF2"/>
    <w:rsid w:val="00DA6949"/>
    <w:rsid w:val="00DA7BF2"/>
    <w:rsid w:val="00DB1F67"/>
    <w:rsid w:val="00DB3106"/>
    <w:rsid w:val="00DB483F"/>
    <w:rsid w:val="00DC26FC"/>
    <w:rsid w:val="00DC304E"/>
    <w:rsid w:val="00DC31CB"/>
    <w:rsid w:val="00DC526F"/>
    <w:rsid w:val="00DC5F97"/>
    <w:rsid w:val="00DC61A7"/>
    <w:rsid w:val="00DC7918"/>
    <w:rsid w:val="00DD0641"/>
    <w:rsid w:val="00DD134D"/>
    <w:rsid w:val="00DD1CEF"/>
    <w:rsid w:val="00DD1F90"/>
    <w:rsid w:val="00DD3709"/>
    <w:rsid w:val="00DD4106"/>
    <w:rsid w:val="00DD4140"/>
    <w:rsid w:val="00DD58C9"/>
    <w:rsid w:val="00DD5ED8"/>
    <w:rsid w:val="00DD6AB0"/>
    <w:rsid w:val="00DD7611"/>
    <w:rsid w:val="00DD7A4F"/>
    <w:rsid w:val="00DD7C19"/>
    <w:rsid w:val="00DE0974"/>
    <w:rsid w:val="00DE0AE2"/>
    <w:rsid w:val="00DE0B96"/>
    <w:rsid w:val="00DE0FA6"/>
    <w:rsid w:val="00DE17DA"/>
    <w:rsid w:val="00DE1B1D"/>
    <w:rsid w:val="00DE1EFE"/>
    <w:rsid w:val="00DE2896"/>
    <w:rsid w:val="00DE2B76"/>
    <w:rsid w:val="00DE3FE3"/>
    <w:rsid w:val="00DE4236"/>
    <w:rsid w:val="00DE5579"/>
    <w:rsid w:val="00DE685D"/>
    <w:rsid w:val="00DE704F"/>
    <w:rsid w:val="00DE73E9"/>
    <w:rsid w:val="00DF21F4"/>
    <w:rsid w:val="00DF22AB"/>
    <w:rsid w:val="00DF68AA"/>
    <w:rsid w:val="00E00FE6"/>
    <w:rsid w:val="00E029D9"/>
    <w:rsid w:val="00E03CB0"/>
    <w:rsid w:val="00E04002"/>
    <w:rsid w:val="00E043D6"/>
    <w:rsid w:val="00E04441"/>
    <w:rsid w:val="00E05F83"/>
    <w:rsid w:val="00E06C9A"/>
    <w:rsid w:val="00E07551"/>
    <w:rsid w:val="00E1027B"/>
    <w:rsid w:val="00E1075D"/>
    <w:rsid w:val="00E10ADE"/>
    <w:rsid w:val="00E13D51"/>
    <w:rsid w:val="00E149E8"/>
    <w:rsid w:val="00E14FE6"/>
    <w:rsid w:val="00E20A68"/>
    <w:rsid w:val="00E2273F"/>
    <w:rsid w:val="00E2360C"/>
    <w:rsid w:val="00E23C24"/>
    <w:rsid w:val="00E243C8"/>
    <w:rsid w:val="00E24D05"/>
    <w:rsid w:val="00E273EB"/>
    <w:rsid w:val="00E277E9"/>
    <w:rsid w:val="00E325B2"/>
    <w:rsid w:val="00E33073"/>
    <w:rsid w:val="00E350F8"/>
    <w:rsid w:val="00E3600C"/>
    <w:rsid w:val="00E455F5"/>
    <w:rsid w:val="00E45E04"/>
    <w:rsid w:val="00E503B2"/>
    <w:rsid w:val="00E50CF4"/>
    <w:rsid w:val="00E5248A"/>
    <w:rsid w:val="00E52E8C"/>
    <w:rsid w:val="00E54717"/>
    <w:rsid w:val="00E54E93"/>
    <w:rsid w:val="00E5622B"/>
    <w:rsid w:val="00E57AAD"/>
    <w:rsid w:val="00E602A9"/>
    <w:rsid w:val="00E61A00"/>
    <w:rsid w:val="00E62FAB"/>
    <w:rsid w:val="00E65D88"/>
    <w:rsid w:val="00E66459"/>
    <w:rsid w:val="00E67316"/>
    <w:rsid w:val="00E70410"/>
    <w:rsid w:val="00E709BB"/>
    <w:rsid w:val="00E737DE"/>
    <w:rsid w:val="00E75DA0"/>
    <w:rsid w:val="00E76FC7"/>
    <w:rsid w:val="00E7717F"/>
    <w:rsid w:val="00E77D61"/>
    <w:rsid w:val="00E81468"/>
    <w:rsid w:val="00E82924"/>
    <w:rsid w:val="00E8340A"/>
    <w:rsid w:val="00E83E49"/>
    <w:rsid w:val="00E845CB"/>
    <w:rsid w:val="00E865D9"/>
    <w:rsid w:val="00E91B62"/>
    <w:rsid w:val="00E91E93"/>
    <w:rsid w:val="00E93536"/>
    <w:rsid w:val="00E94AE7"/>
    <w:rsid w:val="00EA0907"/>
    <w:rsid w:val="00EA0D23"/>
    <w:rsid w:val="00EA4620"/>
    <w:rsid w:val="00EA4D4A"/>
    <w:rsid w:val="00EA5238"/>
    <w:rsid w:val="00EA7663"/>
    <w:rsid w:val="00EB0887"/>
    <w:rsid w:val="00EB1243"/>
    <w:rsid w:val="00EB2448"/>
    <w:rsid w:val="00EB3681"/>
    <w:rsid w:val="00EB4FDD"/>
    <w:rsid w:val="00EB7BDB"/>
    <w:rsid w:val="00EC0B9D"/>
    <w:rsid w:val="00EC2F43"/>
    <w:rsid w:val="00EC7CFA"/>
    <w:rsid w:val="00EC7FFE"/>
    <w:rsid w:val="00ED563A"/>
    <w:rsid w:val="00EE1251"/>
    <w:rsid w:val="00EE34C1"/>
    <w:rsid w:val="00EE3516"/>
    <w:rsid w:val="00EE414B"/>
    <w:rsid w:val="00EE4392"/>
    <w:rsid w:val="00EE5371"/>
    <w:rsid w:val="00EE57DA"/>
    <w:rsid w:val="00EE68CA"/>
    <w:rsid w:val="00EF10D1"/>
    <w:rsid w:val="00EF357A"/>
    <w:rsid w:val="00EF3B16"/>
    <w:rsid w:val="00EF3F05"/>
    <w:rsid w:val="00EF3F62"/>
    <w:rsid w:val="00EF4752"/>
    <w:rsid w:val="00EF5504"/>
    <w:rsid w:val="00EF6576"/>
    <w:rsid w:val="00EF75CC"/>
    <w:rsid w:val="00F0009E"/>
    <w:rsid w:val="00F016D6"/>
    <w:rsid w:val="00F01896"/>
    <w:rsid w:val="00F020A5"/>
    <w:rsid w:val="00F02135"/>
    <w:rsid w:val="00F02927"/>
    <w:rsid w:val="00F0525C"/>
    <w:rsid w:val="00F05A2B"/>
    <w:rsid w:val="00F05B5D"/>
    <w:rsid w:val="00F106B4"/>
    <w:rsid w:val="00F10BC2"/>
    <w:rsid w:val="00F10C7B"/>
    <w:rsid w:val="00F10FD4"/>
    <w:rsid w:val="00F11060"/>
    <w:rsid w:val="00F1131A"/>
    <w:rsid w:val="00F11FA7"/>
    <w:rsid w:val="00F1247C"/>
    <w:rsid w:val="00F126B2"/>
    <w:rsid w:val="00F16EBD"/>
    <w:rsid w:val="00F176D4"/>
    <w:rsid w:val="00F2038C"/>
    <w:rsid w:val="00F228E7"/>
    <w:rsid w:val="00F2514A"/>
    <w:rsid w:val="00F2562A"/>
    <w:rsid w:val="00F25903"/>
    <w:rsid w:val="00F26B1F"/>
    <w:rsid w:val="00F27371"/>
    <w:rsid w:val="00F3056A"/>
    <w:rsid w:val="00F30F83"/>
    <w:rsid w:val="00F3115B"/>
    <w:rsid w:val="00F3372A"/>
    <w:rsid w:val="00F358CF"/>
    <w:rsid w:val="00F35E21"/>
    <w:rsid w:val="00F3629B"/>
    <w:rsid w:val="00F376A6"/>
    <w:rsid w:val="00F40912"/>
    <w:rsid w:val="00F423CF"/>
    <w:rsid w:val="00F429A8"/>
    <w:rsid w:val="00F44488"/>
    <w:rsid w:val="00F44604"/>
    <w:rsid w:val="00F454E0"/>
    <w:rsid w:val="00F477C0"/>
    <w:rsid w:val="00F47ADA"/>
    <w:rsid w:val="00F504CD"/>
    <w:rsid w:val="00F53806"/>
    <w:rsid w:val="00F53E35"/>
    <w:rsid w:val="00F550E8"/>
    <w:rsid w:val="00F560E5"/>
    <w:rsid w:val="00F57763"/>
    <w:rsid w:val="00F6333D"/>
    <w:rsid w:val="00F63762"/>
    <w:rsid w:val="00F63B6B"/>
    <w:rsid w:val="00F656AC"/>
    <w:rsid w:val="00F66270"/>
    <w:rsid w:val="00F66CA1"/>
    <w:rsid w:val="00F7289C"/>
    <w:rsid w:val="00F74A24"/>
    <w:rsid w:val="00F74ADA"/>
    <w:rsid w:val="00F751B0"/>
    <w:rsid w:val="00F75E7C"/>
    <w:rsid w:val="00F7607D"/>
    <w:rsid w:val="00F769E3"/>
    <w:rsid w:val="00F77A9A"/>
    <w:rsid w:val="00F77D38"/>
    <w:rsid w:val="00F80DA5"/>
    <w:rsid w:val="00F82073"/>
    <w:rsid w:val="00F82186"/>
    <w:rsid w:val="00F82FAE"/>
    <w:rsid w:val="00F855CA"/>
    <w:rsid w:val="00F9009A"/>
    <w:rsid w:val="00F92C37"/>
    <w:rsid w:val="00F93534"/>
    <w:rsid w:val="00F939AB"/>
    <w:rsid w:val="00F945CB"/>
    <w:rsid w:val="00F94927"/>
    <w:rsid w:val="00F94FB4"/>
    <w:rsid w:val="00F972FF"/>
    <w:rsid w:val="00FA0A49"/>
    <w:rsid w:val="00FA2078"/>
    <w:rsid w:val="00FA3E71"/>
    <w:rsid w:val="00FA5179"/>
    <w:rsid w:val="00FA53CF"/>
    <w:rsid w:val="00FA6885"/>
    <w:rsid w:val="00FA6F5D"/>
    <w:rsid w:val="00FA7AC7"/>
    <w:rsid w:val="00FB00E4"/>
    <w:rsid w:val="00FB0EE9"/>
    <w:rsid w:val="00FB280D"/>
    <w:rsid w:val="00FB3076"/>
    <w:rsid w:val="00FC0482"/>
    <w:rsid w:val="00FC17F5"/>
    <w:rsid w:val="00FC595F"/>
    <w:rsid w:val="00FC6A83"/>
    <w:rsid w:val="00FD0EC5"/>
    <w:rsid w:val="00FD10AF"/>
    <w:rsid w:val="00FD15F5"/>
    <w:rsid w:val="00FD2342"/>
    <w:rsid w:val="00FD2853"/>
    <w:rsid w:val="00FD3EDE"/>
    <w:rsid w:val="00FD3F40"/>
    <w:rsid w:val="00FD55AF"/>
    <w:rsid w:val="00FD6669"/>
    <w:rsid w:val="00FD6996"/>
    <w:rsid w:val="00FD6B87"/>
    <w:rsid w:val="00FD7721"/>
    <w:rsid w:val="00FD7E12"/>
    <w:rsid w:val="00FE051B"/>
    <w:rsid w:val="00FE06D0"/>
    <w:rsid w:val="00FE0846"/>
    <w:rsid w:val="00FE098B"/>
    <w:rsid w:val="00FE214A"/>
    <w:rsid w:val="00FE23EF"/>
    <w:rsid w:val="00FE24AE"/>
    <w:rsid w:val="00FE4325"/>
    <w:rsid w:val="00FE49C6"/>
    <w:rsid w:val="00FE671F"/>
    <w:rsid w:val="00FE72F2"/>
    <w:rsid w:val="00FF02E8"/>
    <w:rsid w:val="00FF2125"/>
    <w:rsid w:val="00FF2A81"/>
    <w:rsid w:val="00FF33E8"/>
    <w:rsid w:val="00FF401A"/>
    <w:rsid w:val="00FF66DC"/>
  </w:rsids>
  <m:mathPr>
    <m:mathFont m:val="Cambria Math"/>
    <m:brkBin m:val="before"/>
    <m:brkBinSub m:val="--"/>
    <m:smallFrac m:val="0"/>
    <m:dispDef/>
    <m:lMargin m:val="0"/>
    <m:rMargin m:val="0"/>
    <m:defJc m:val="centerGroup"/>
    <m:wrapIndent m:val="1440"/>
    <m:intLim m:val="subSup"/>
    <m:naryLim m:val="undOvr"/>
  </m:mathPr>
  <w:themeFontLang w:val="lv-LV"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1D82F7"/>
  <w14:defaultImageDpi w14:val="330"/>
  <w15:docId w15:val="{87F05CF2-52EE-453A-9B46-7CF223001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0320"/>
    <w:pPr>
      <w:suppressAutoHyphens/>
    </w:pPr>
    <w:rPr>
      <w:sz w:val="22"/>
      <w:lang w:val="en-US" w:eastAsia="ar-SA"/>
    </w:rPr>
  </w:style>
  <w:style w:type="paragraph" w:styleId="Heading1">
    <w:name w:val="heading 1"/>
    <w:basedOn w:val="Normal"/>
    <w:next w:val="Normal"/>
    <w:link w:val="Heading1Char"/>
    <w:qFormat/>
    <w:rsid w:val="005A305D"/>
    <w:pPr>
      <w:numPr>
        <w:numId w:val="1"/>
      </w:numPr>
      <w:ind w:left="567" w:hanging="567"/>
      <w:outlineLvl w:val="0"/>
    </w:pPr>
    <w:rPr>
      <w:b/>
      <w:caps/>
    </w:rPr>
  </w:style>
  <w:style w:type="paragraph" w:styleId="Heading2">
    <w:name w:val="heading 2"/>
    <w:basedOn w:val="Heading1"/>
    <w:next w:val="Normal"/>
    <w:link w:val="Heading2Char"/>
    <w:qFormat/>
    <w:rsid w:val="005A305D"/>
    <w:pPr>
      <w:numPr>
        <w:ilvl w:val="1"/>
      </w:numPr>
      <w:outlineLvl w:val="1"/>
    </w:pPr>
    <w:rPr>
      <w:caps w:val="0"/>
    </w:rPr>
  </w:style>
  <w:style w:type="paragraph" w:styleId="Heading3">
    <w:name w:val="heading 3"/>
    <w:basedOn w:val="Normal"/>
    <w:next w:val="Normal"/>
    <w:link w:val="Heading3Char"/>
    <w:qFormat/>
    <w:rsid w:val="005A305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A305D"/>
    <w:pPr>
      <w:keepNext/>
      <w:numPr>
        <w:ilvl w:val="3"/>
        <w:numId w:val="1"/>
      </w:numPr>
      <w:jc w:val="both"/>
      <w:outlineLvl w:val="3"/>
    </w:pPr>
    <w:rPr>
      <w:b/>
      <w:lang w:val="lv-LV"/>
    </w:rPr>
  </w:style>
  <w:style w:type="paragraph" w:styleId="Heading5">
    <w:name w:val="heading 5"/>
    <w:basedOn w:val="Normal"/>
    <w:next w:val="Normal"/>
    <w:link w:val="Heading5Char"/>
    <w:qFormat/>
    <w:rsid w:val="005A305D"/>
    <w:pPr>
      <w:keepNext/>
      <w:numPr>
        <w:ilvl w:val="4"/>
        <w:numId w:val="1"/>
      </w:numPr>
      <w:jc w:val="both"/>
      <w:outlineLvl w:val="4"/>
    </w:pPr>
    <w:rPr>
      <w:lang w:val="lv-LV"/>
    </w:rPr>
  </w:style>
  <w:style w:type="paragraph" w:styleId="Heading6">
    <w:name w:val="heading 6"/>
    <w:basedOn w:val="Normal"/>
    <w:next w:val="Normal"/>
    <w:link w:val="Heading6Char"/>
    <w:qFormat/>
    <w:rsid w:val="005A305D"/>
    <w:pPr>
      <w:keepNext/>
      <w:numPr>
        <w:ilvl w:val="5"/>
        <w:numId w:val="1"/>
      </w:numPr>
      <w:tabs>
        <w:tab w:val="left" w:pos="-720"/>
        <w:tab w:val="left" w:pos="4536"/>
      </w:tabs>
      <w:outlineLvl w:val="5"/>
    </w:pPr>
    <w:rPr>
      <w:i/>
    </w:rPr>
  </w:style>
  <w:style w:type="paragraph" w:styleId="Heading7">
    <w:name w:val="heading 7"/>
    <w:basedOn w:val="Normal"/>
    <w:next w:val="Normal"/>
    <w:link w:val="Heading7Char"/>
    <w:qFormat/>
    <w:rsid w:val="005A305D"/>
    <w:pPr>
      <w:keepNext/>
      <w:numPr>
        <w:ilvl w:val="6"/>
        <w:numId w:val="1"/>
      </w:numPr>
      <w:tabs>
        <w:tab w:val="left" w:pos="-720"/>
        <w:tab w:val="left" w:pos="4536"/>
      </w:tabs>
      <w:jc w:val="both"/>
      <w:outlineLvl w:val="6"/>
    </w:pPr>
    <w:rPr>
      <w:i/>
    </w:rPr>
  </w:style>
  <w:style w:type="paragraph" w:styleId="Heading8">
    <w:name w:val="heading 8"/>
    <w:basedOn w:val="Normal"/>
    <w:next w:val="Normal"/>
    <w:link w:val="Heading8Char"/>
    <w:qFormat/>
    <w:rsid w:val="005A305D"/>
    <w:pPr>
      <w:keepNext/>
      <w:numPr>
        <w:ilvl w:val="7"/>
        <w:numId w:val="1"/>
      </w:numPr>
      <w:ind w:left="567" w:hanging="567"/>
      <w:jc w:val="both"/>
      <w:outlineLvl w:val="7"/>
    </w:pPr>
    <w:rPr>
      <w:b/>
      <w:i/>
    </w:rPr>
  </w:style>
  <w:style w:type="paragraph" w:styleId="Heading9">
    <w:name w:val="heading 9"/>
    <w:basedOn w:val="Normal"/>
    <w:next w:val="Normal"/>
    <w:link w:val="Heading9Char"/>
    <w:qFormat/>
    <w:rsid w:val="005A305D"/>
    <w:pPr>
      <w:keepNext/>
      <w:numPr>
        <w:ilvl w:val="8"/>
        <w:numId w:val="1"/>
      </w:numPr>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6z0">
    <w:name w:val="WW8Num6z0"/>
    <w:rsid w:val="005A305D"/>
    <w:rPr>
      <w:rFonts w:ascii="Symbol" w:hAnsi="Symbol" w:cs="Symbol"/>
    </w:rPr>
  </w:style>
  <w:style w:type="character" w:customStyle="1" w:styleId="WW8Num7z0">
    <w:name w:val="WW8Num7z0"/>
    <w:rsid w:val="005A305D"/>
    <w:rPr>
      <w:rFonts w:ascii="Symbol" w:hAnsi="Symbol" w:cs="Symbol"/>
    </w:rPr>
  </w:style>
  <w:style w:type="character" w:customStyle="1" w:styleId="WW8Num8z0">
    <w:name w:val="WW8Num8z0"/>
    <w:rsid w:val="005A305D"/>
    <w:rPr>
      <w:rFonts w:ascii="Symbol" w:hAnsi="Symbol" w:cs="Symbol"/>
    </w:rPr>
  </w:style>
  <w:style w:type="character" w:customStyle="1" w:styleId="WW8Num9z0">
    <w:name w:val="WW8Num9z0"/>
    <w:rsid w:val="005A305D"/>
    <w:rPr>
      <w:rFonts w:ascii="Symbol" w:hAnsi="Symbol" w:cs="Symbol"/>
    </w:rPr>
  </w:style>
  <w:style w:type="character" w:customStyle="1" w:styleId="WW8Num11z0">
    <w:name w:val="WW8Num11z0"/>
    <w:rsid w:val="005A305D"/>
    <w:rPr>
      <w:rFonts w:ascii="Symbol" w:hAnsi="Symbol" w:cs="Symbol"/>
    </w:rPr>
  </w:style>
  <w:style w:type="character" w:customStyle="1" w:styleId="WW8Num12z0">
    <w:name w:val="WW8Num12z0"/>
    <w:rsid w:val="005A305D"/>
    <w:rPr>
      <w:rFonts w:ascii="Symbol" w:hAnsi="Symbol" w:cs="Symbol"/>
    </w:rPr>
  </w:style>
  <w:style w:type="character" w:customStyle="1" w:styleId="WW8Num5z0">
    <w:name w:val="WW8Num5z0"/>
    <w:rsid w:val="005A305D"/>
    <w:rPr>
      <w:rFonts w:ascii="Symbol" w:hAnsi="Symbol" w:cs="Symbol"/>
    </w:rPr>
  </w:style>
  <w:style w:type="character" w:customStyle="1" w:styleId="WW8Num10z0">
    <w:name w:val="WW8Num10z0"/>
    <w:rsid w:val="005A305D"/>
    <w:rPr>
      <w:rFonts w:ascii="Symbol" w:hAnsi="Symbol" w:cs="Symbol"/>
    </w:rPr>
  </w:style>
  <w:style w:type="character" w:customStyle="1" w:styleId="WW8Num11z1">
    <w:name w:val="WW8Num11z1"/>
    <w:rsid w:val="005A305D"/>
    <w:rPr>
      <w:rFonts w:ascii="Courier New" w:hAnsi="Courier New" w:cs="Courier New"/>
    </w:rPr>
  </w:style>
  <w:style w:type="character" w:customStyle="1" w:styleId="WW8Num11z2">
    <w:name w:val="WW8Num11z2"/>
    <w:rsid w:val="005A305D"/>
    <w:rPr>
      <w:rFonts w:ascii="Wingdings" w:hAnsi="Wingdings" w:cs="Wingdings"/>
    </w:rPr>
  </w:style>
  <w:style w:type="character" w:customStyle="1" w:styleId="WW8Num12z1">
    <w:name w:val="WW8Num12z1"/>
    <w:rsid w:val="005A305D"/>
    <w:rPr>
      <w:rFonts w:ascii="Courier New" w:hAnsi="Courier New" w:cs="Courier New"/>
    </w:rPr>
  </w:style>
  <w:style w:type="character" w:customStyle="1" w:styleId="WW8Num12z2">
    <w:name w:val="WW8Num12z2"/>
    <w:rsid w:val="005A305D"/>
    <w:rPr>
      <w:rFonts w:ascii="Wingdings" w:hAnsi="Wingdings" w:cs="Wingdings"/>
    </w:rPr>
  </w:style>
  <w:style w:type="character" w:customStyle="1" w:styleId="WW8Num13z0">
    <w:name w:val="WW8Num13z0"/>
    <w:rsid w:val="005A305D"/>
    <w:rPr>
      <w:rFonts w:ascii="Symbol" w:hAnsi="Symbol" w:cs="Symbol"/>
    </w:rPr>
  </w:style>
  <w:style w:type="character" w:customStyle="1" w:styleId="WW8Num13z1">
    <w:name w:val="WW8Num13z1"/>
    <w:rsid w:val="005A305D"/>
    <w:rPr>
      <w:rFonts w:ascii="Courier New" w:hAnsi="Courier New" w:cs="Courier New"/>
    </w:rPr>
  </w:style>
  <w:style w:type="character" w:customStyle="1" w:styleId="WW8Num13z2">
    <w:name w:val="WW8Num13z2"/>
    <w:rsid w:val="005A305D"/>
    <w:rPr>
      <w:rFonts w:ascii="Wingdings" w:hAnsi="Wingdings" w:cs="Wingdings"/>
    </w:rPr>
  </w:style>
  <w:style w:type="character" w:customStyle="1" w:styleId="WW8Num14z0">
    <w:name w:val="WW8Num14z0"/>
    <w:rsid w:val="005A305D"/>
    <w:rPr>
      <w:rFonts w:ascii="Times New Roman" w:eastAsia="Times New Roman" w:hAnsi="Times New Roman" w:cs="Times New Roman"/>
    </w:rPr>
  </w:style>
  <w:style w:type="character" w:customStyle="1" w:styleId="WW8Num14z1">
    <w:name w:val="WW8Num14z1"/>
    <w:rsid w:val="005A305D"/>
    <w:rPr>
      <w:rFonts w:ascii="Courier New" w:hAnsi="Courier New" w:cs="Courier New"/>
    </w:rPr>
  </w:style>
  <w:style w:type="character" w:customStyle="1" w:styleId="WW8Num14z2">
    <w:name w:val="WW8Num14z2"/>
    <w:rsid w:val="005A305D"/>
    <w:rPr>
      <w:rFonts w:ascii="Wingdings" w:hAnsi="Wingdings" w:cs="Wingdings"/>
    </w:rPr>
  </w:style>
  <w:style w:type="character" w:customStyle="1" w:styleId="WW8Num14z3">
    <w:name w:val="WW8Num14z3"/>
    <w:rsid w:val="005A305D"/>
    <w:rPr>
      <w:rFonts w:ascii="Symbol" w:hAnsi="Symbol" w:cs="Symbol"/>
    </w:rPr>
  </w:style>
  <w:style w:type="character" w:customStyle="1" w:styleId="WW8Num15z0">
    <w:name w:val="WW8Num15z0"/>
    <w:rsid w:val="005A305D"/>
    <w:rPr>
      <w:rFonts w:ascii="Symbol" w:hAnsi="Symbol" w:cs="Symbol"/>
    </w:rPr>
  </w:style>
  <w:style w:type="character" w:customStyle="1" w:styleId="WW8Num15z1">
    <w:name w:val="WW8Num15z1"/>
    <w:rsid w:val="005A305D"/>
    <w:rPr>
      <w:rFonts w:ascii="Courier New" w:hAnsi="Courier New" w:cs="Courier New"/>
    </w:rPr>
  </w:style>
  <w:style w:type="character" w:customStyle="1" w:styleId="WW8Num15z2">
    <w:name w:val="WW8Num15z2"/>
    <w:rsid w:val="005A305D"/>
    <w:rPr>
      <w:rFonts w:ascii="Wingdings" w:hAnsi="Wingdings" w:cs="Wingdings"/>
    </w:rPr>
  </w:style>
  <w:style w:type="character" w:customStyle="1" w:styleId="WW8Num16z0">
    <w:name w:val="WW8Num16z0"/>
    <w:rsid w:val="005A305D"/>
    <w:rPr>
      <w:rFonts w:ascii="Symbol" w:hAnsi="Symbol" w:cs="Symbol"/>
    </w:rPr>
  </w:style>
  <w:style w:type="character" w:customStyle="1" w:styleId="WW8Num16z1">
    <w:name w:val="WW8Num16z1"/>
    <w:rsid w:val="005A305D"/>
    <w:rPr>
      <w:rFonts w:ascii="Courier New" w:hAnsi="Courier New" w:cs="Courier New"/>
    </w:rPr>
  </w:style>
  <w:style w:type="character" w:customStyle="1" w:styleId="WW8Num16z2">
    <w:name w:val="WW8Num16z2"/>
    <w:rsid w:val="005A305D"/>
    <w:rPr>
      <w:rFonts w:ascii="Wingdings" w:hAnsi="Wingdings" w:cs="Wingdings"/>
    </w:rPr>
  </w:style>
  <w:style w:type="character" w:customStyle="1" w:styleId="WW8Num17z0">
    <w:name w:val="WW8Num17z0"/>
    <w:rsid w:val="005A305D"/>
    <w:rPr>
      <w:rFonts w:ascii="Times New Roman" w:eastAsia="Times New Roman" w:hAnsi="Times New Roman" w:cs="Times New Roman"/>
      <w:b w:val="0"/>
    </w:rPr>
  </w:style>
  <w:style w:type="character" w:customStyle="1" w:styleId="WW8Num17z1">
    <w:name w:val="WW8Num17z1"/>
    <w:rsid w:val="005A305D"/>
    <w:rPr>
      <w:rFonts w:ascii="Courier New" w:hAnsi="Courier New" w:cs="Courier New"/>
    </w:rPr>
  </w:style>
  <w:style w:type="character" w:customStyle="1" w:styleId="WW8Num17z2">
    <w:name w:val="WW8Num17z2"/>
    <w:rsid w:val="005A305D"/>
    <w:rPr>
      <w:rFonts w:ascii="Wingdings" w:hAnsi="Wingdings" w:cs="Wingdings"/>
    </w:rPr>
  </w:style>
  <w:style w:type="character" w:customStyle="1" w:styleId="WW8Num17z3">
    <w:name w:val="WW8Num17z3"/>
    <w:rsid w:val="005A305D"/>
    <w:rPr>
      <w:rFonts w:ascii="Symbol" w:hAnsi="Symbol" w:cs="Symbol"/>
    </w:rPr>
  </w:style>
  <w:style w:type="character" w:customStyle="1" w:styleId="WW8Num18z0">
    <w:name w:val="WW8Num18z0"/>
    <w:rsid w:val="005A305D"/>
    <w:rPr>
      <w:rFonts w:ascii="Symbol" w:hAnsi="Symbol" w:cs="Symbol"/>
    </w:rPr>
  </w:style>
  <w:style w:type="character" w:customStyle="1" w:styleId="WW8Num18z1">
    <w:name w:val="WW8Num18z1"/>
    <w:rsid w:val="005A305D"/>
    <w:rPr>
      <w:rFonts w:ascii="Courier New" w:hAnsi="Courier New" w:cs="Courier New"/>
    </w:rPr>
  </w:style>
  <w:style w:type="character" w:customStyle="1" w:styleId="WW8Num18z2">
    <w:name w:val="WW8Num18z2"/>
    <w:rsid w:val="005A305D"/>
    <w:rPr>
      <w:rFonts w:ascii="Wingdings" w:hAnsi="Wingdings" w:cs="Wingdings"/>
    </w:rPr>
  </w:style>
  <w:style w:type="character" w:customStyle="1" w:styleId="WW8Num20z0">
    <w:name w:val="WW8Num20z0"/>
    <w:rsid w:val="005A305D"/>
    <w:rPr>
      <w:rFonts w:ascii="Symbol" w:hAnsi="Symbol" w:cs="Symbol"/>
    </w:rPr>
  </w:style>
  <w:style w:type="character" w:customStyle="1" w:styleId="WW8Num20z1">
    <w:name w:val="WW8Num20z1"/>
    <w:rsid w:val="005A305D"/>
    <w:rPr>
      <w:rFonts w:ascii="Courier New" w:hAnsi="Courier New" w:cs="Courier New"/>
    </w:rPr>
  </w:style>
  <w:style w:type="character" w:customStyle="1" w:styleId="WW8Num20z2">
    <w:name w:val="WW8Num20z2"/>
    <w:rsid w:val="005A305D"/>
    <w:rPr>
      <w:rFonts w:ascii="Wingdings" w:hAnsi="Wingdings" w:cs="Wingdings"/>
    </w:rPr>
  </w:style>
  <w:style w:type="character" w:customStyle="1" w:styleId="WW8Num21z0">
    <w:name w:val="WW8Num21z0"/>
    <w:rsid w:val="005A305D"/>
    <w:rPr>
      <w:rFonts w:ascii="Symbol" w:hAnsi="Symbol" w:cs="Symbol"/>
      <w:lang w:val="lv-LV"/>
    </w:rPr>
  </w:style>
  <w:style w:type="character" w:customStyle="1" w:styleId="WW8Num21z1">
    <w:name w:val="WW8Num21z1"/>
    <w:rsid w:val="005A305D"/>
    <w:rPr>
      <w:rFonts w:ascii="Courier New" w:hAnsi="Courier New" w:cs="Courier New"/>
    </w:rPr>
  </w:style>
  <w:style w:type="character" w:customStyle="1" w:styleId="WW8Num21z2">
    <w:name w:val="WW8Num21z2"/>
    <w:rsid w:val="005A305D"/>
    <w:rPr>
      <w:rFonts w:ascii="Wingdings" w:hAnsi="Wingdings" w:cs="Wingdings"/>
    </w:rPr>
  </w:style>
  <w:style w:type="character" w:customStyle="1" w:styleId="WW8Num21z3">
    <w:name w:val="WW8Num21z3"/>
    <w:rsid w:val="005A305D"/>
    <w:rPr>
      <w:rFonts w:ascii="Symbol" w:hAnsi="Symbol" w:cs="Symbol"/>
    </w:rPr>
  </w:style>
  <w:style w:type="character" w:customStyle="1" w:styleId="WW8Num22z0">
    <w:name w:val="WW8Num22z0"/>
    <w:rsid w:val="005A305D"/>
    <w:rPr>
      <w:rFonts w:ascii="Symbol" w:hAnsi="Symbol" w:cs="Symbol"/>
    </w:rPr>
  </w:style>
  <w:style w:type="character" w:customStyle="1" w:styleId="WW8Num22z1">
    <w:name w:val="WW8Num22z1"/>
    <w:rsid w:val="005A305D"/>
    <w:rPr>
      <w:rFonts w:ascii="Courier New" w:hAnsi="Courier New" w:cs="Courier New"/>
    </w:rPr>
  </w:style>
  <w:style w:type="character" w:customStyle="1" w:styleId="WW8Num22z2">
    <w:name w:val="WW8Num22z2"/>
    <w:rsid w:val="005A305D"/>
    <w:rPr>
      <w:rFonts w:ascii="Wingdings" w:hAnsi="Wingdings" w:cs="Wingdings"/>
    </w:rPr>
  </w:style>
  <w:style w:type="character" w:customStyle="1" w:styleId="WW8Num23z0">
    <w:name w:val="WW8Num23z0"/>
    <w:rsid w:val="005A305D"/>
    <w:rPr>
      <w:rFonts w:ascii="Times New Roman" w:eastAsia="Times New Roman" w:hAnsi="Times New Roman" w:cs="Times New Roman"/>
    </w:rPr>
  </w:style>
  <w:style w:type="character" w:customStyle="1" w:styleId="WW8Num23z1">
    <w:name w:val="WW8Num23z1"/>
    <w:rsid w:val="005A305D"/>
    <w:rPr>
      <w:rFonts w:ascii="Courier New" w:hAnsi="Courier New" w:cs="Courier New"/>
    </w:rPr>
  </w:style>
  <w:style w:type="character" w:customStyle="1" w:styleId="WW8Num23z2">
    <w:name w:val="WW8Num23z2"/>
    <w:rsid w:val="005A305D"/>
    <w:rPr>
      <w:rFonts w:ascii="Wingdings" w:hAnsi="Wingdings" w:cs="Wingdings"/>
    </w:rPr>
  </w:style>
  <w:style w:type="character" w:customStyle="1" w:styleId="WW8Num23z3">
    <w:name w:val="WW8Num23z3"/>
    <w:rsid w:val="005A305D"/>
    <w:rPr>
      <w:rFonts w:ascii="Symbol" w:hAnsi="Symbol" w:cs="Symbol"/>
    </w:rPr>
  </w:style>
  <w:style w:type="character" w:customStyle="1" w:styleId="WW8Num24z0">
    <w:name w:val="WW8Num24z0"/>
    <w:rsid w:val="005A305D"/>
    <w:rPr>
      <w:rFonts w:ascii="Symbol" w:hAnsi="Symbol" w:cs="Symbol"/>
    </w:rPr>
  </w:style>
  <w:style w:type="character" w:customStyle="1" w:styleId="WW8Num24z1">
    <w:name w:val="WW8Num24z1"/>
    <w:rsid w:val="005A305D"/>
    <w:rPr>
      <w:rFonts w:ascii="Courier New" w:hAnsi="Courier New" w:cs="Courier New"/>
    </w:rPr>
  </w:style>
  <w:style w:type="character" w:customStyle="1" w:styleId="WW8Num24z2">
    <w:name w:val="WW8Num24z2"/>
    <w:rsid w:val="005A305D"/>
    <w:rPr>
      <w:rFonts w:ascii="Wingdings" w:hAnsi="Wingdings" w:cs="Wingdings"/>
    </w:rPr>
  </w:style>
  <w:style w:type="character" w:customStyle="1" w:styleId="WW8Num25z0">
    <w:name w:val="WW8Num25z0"/>
    <w:rsid w:val="005A305D"/>
    <w:rPr>
      <w:rFonts w:ascii="Symbol" w:hAnsi="Symbol" w:cs="Symbol"/>
    </w:rPr>
  </w:style>
  <w:style w:type="character" w:customStyle="1" w:styleId="WW8Num25z1">
    <w:name w:val="WW8Num25z1"/>
    <w:rsid w:val="005A305D"/>
    <w:rPr>
      <w:rFonts w:ascii="Courier New" w:hAnsi="Courier New" w:cs="Courier New"/>
    </w:rPr>
  </w:style>
  <w:style w:type="character" w:customStyle="1" w:styleId="WW8Num25z2">
    <w:name w:val="WW8Num25z2"/>
    <w:rsid w:val="005A305D"/>
    <w:rPr>
      <w:rFonts w:ascii="Wingdings" w:hAnsi="Wingdings" w:cs="Wingdings"/>
    </w:rPr>
  </w:style>
  <w:style w:type="character" w:customStyle="1" w:styleId="WW8Num26z0">
    <w:name w:val="WW8Num26z0"/>
    <w:rsid w:val="005A305D"/>
    <w:rPr>
      <w:rFonts w:ascii="Symbol" w:hAnsi="Symbol" w:cs="Symbol"/>
    </w:rPr>
  </w:style>
  <w:style w:type="character" w:customStyle="1" w:styleId="WW8Num27z0">
    <w:name w:val="WW8Num27z0"/>
    <w:rsid w:val="005A305D"/>
    <w:rPr>
      <w:rFonts w:ascii="Symbol" w:hAnsi="Symbol" w:cs="Symbol"/>
    </w:rPr>
  </w:style>
  <w:style w:type="character" w:customStyle="1" w:styleId="WW8Num27z1">
    <w:name w:val="WW8Num27z1"/>
    <w:rsid w:val="005A305D"/>
    <w:rPr>
      <w:rFonts w:ascii="Courier New" w:hAnsi="Courier New" w:cs="Courier New"/>
    </w:rPr>
  </w:style>
  <w:style w:type="character" w:customStyle="1" w:styleId="WW8Num27z2">
    <w:name w:val="WW8Num27z2"/>
    <w:rsid w:val="005A305D"/>
    <w:rPr>
      <w:rFonts w:ascii="Wingdings" w:hAnsi="Wingdings" w:cs="Wingdings"/>
    </w:rPr>
  </w:style>
  <w:style w:type="character" w:styleId="PageNumber">
    <w:name w:val="page number"/>
    <w:semiHidden/>
    <w:rsid w:val="005A305D"/>
    <w:rPr>
      <w:rFonts w:ascii="Arial" w:hAnsi="Arial" w:cs="Arial"/>
      <w:sz w:val="16"/>
      <w:lang w:val="lv-LV"/>
    </w:rPr>
  </w:style>
  <w:style w:type="character" w:customStyle="1" w:styleId="EndnoteCharacters">
    <w:name w:val="Endnote Characters"/>
    <w:rsid w:val="005A305D"/>
    <w:rPr>
      <w:vertAlign w:val="superscript"/>
      <w:lang w:val="lv-LV"/>
    </w:rPr>
  </w:style>
  <w:style w:type="character" w:styleId="CommentReference">
    <w:name w:val="annotation reference"/>
    <w:uiPriority w:val="99"/>
    <w:semiHidden/>
    <w:rsid w:val="005A305D"/>
    <w:rPr>
      <w:sz w:val="16"/>
      <w:lang w:val="lv-LV"/>
    </w:rPr>
  </w:style>
  <w:style w:type="character" w:customStyle="1" w:styleId="FootnoteCharacters">
    <w:name w:val="Footnote Characters"/>
    <w:rsid w:val="005A305D"/>
    <w:rPr>
      <w:vertAlign w:val="superscript"/>
      <w:lang w:val="lv-LV"/>
    </w:rPr>
  </w:style>
  <w:style w:type="character" w:styleId="Hyperlink">
    <w:name w:val="Hyperlink"/>
    <w:semiHidden/>
    <w:rsid w:val="005A305D"/>
    <w:rPr>
      <w:color w:val="0000FF"/>
      <w:u w:val="single"/>
      <w:lang w:val="lv-LV"/>
    </w:rPr>
  </w:style>
  <w:style w:type="character" w:styleId="FollowedHyperlink">
    <w:name w:val="FollowedHyperlink"/>
    <w:semiHidden/>
    <w:rsid w:val="005A305D"/>
    <w:rPr>
      <w:color w:val="800080"/>
      <w:u w:val="single"/>
      <w:lang w:val="lv-LV"/>
    </w:rPr>
  </w:style>
  <w:style w:type="character" w:customStyle="1" w:styleId="TextTi12Char">
    <w:name w:val="Text:Ti12 Char"/>
    <w:rsid w:val="005A305D"/>
    <w:rPr>
      <w:sz w:val="24"/>
      <w:szCs w:val="24"/>
      <w:lang w:val="en-US" w:eastAsia="ar-SA" w:bidi="ar-SA"/>
    </w:rPr>
  </w:style>
  <w:style w:type="character" w:customStyle="1" w:styleId="TextTi10Char">
    <w:name w:val="Text:Ti10 Char"/>
    <w:rsid w:val="005A305D"/>
    <w:rPr>
      <w:lang w:val="en-US" w:eastAsia="ar-SA" w:bidi="ar-SA"/>
    </w:rPr>
  </w:style>
  <w:style w:type="character" w:customStyle="1" w:styleId="HiddenChar">
    <w:name w:val="Hidden:Char"/>
    <w:rsid w:val="005A305D"/>
    <w:rPr>
      <w:rFonts w:ascii="Arial" w:hAnsi="Arial" w:cs="Arial"/>
      <w:b/>
      <w:vanish/>
      <w:color w:val="008000"/>
      <w:sz w:val="20"/>
      <w:szCs w:val="20"/>
      <w:u w:val="dotted"/>
      <w:lang w:val="lv-LV"/>
    </w:rPr>
  </w:style>
  <w:style w:type="character" w:customStyle="1" w:styleId="CharChar">
    <w:name w:val="Char Char"/>
    <w:rsid w:val="005A305D"/>
    <w:rPr>
      <w:lang w:val="en-US" w:eastAsia="ar-SA" w:bidi="ar-SA"/>
    </w:rPr>
  </w:style>
  <w:style w:type="character" w:styleId="Strong">
    <w:name w:val="Strong"/>
    <w:qFormat/>
    <w:rsid w:val="005A305D"/>
    <w:rPr>
      <w:b/>
      <w:bCs/>
      <w:lang w:val="lv-LV"/>
    </w:rPr>
  </w:style>
  <w:style w:type="paragraph" w:customStyle="1" w:styleId="Heading">
    <w:name w:val="Heading"/>
    <w:basedOn w:val="Normal"/>
    <w:next w:val="BodyText"/>
    <w:rsid w:val="005A305D"/>
    <w:pPr>
      <w:keepNext/>
      <w:spacing w:before="240" w:after="120"/>
    </w:pPr>
    <w:rPr>
      <w:rFonts w:ascii="Arial" w:eastAsia="Arial Unicode MS" w:hAnsi="Arial" w:cs="Arial Unicode MS"/>
      <w:sz w:val="28"/>
      <w:szCs w:val="28"/>
    </w:rPr>
  </w:style>
  <w:style w:type="paragraph" w:styleId="BodyText">
    <w:name w:val="Body Text"/>
    <w:basedOn w:val="Normal"/>
    <w:link w:val="BodyTextChar"/>
    <w:semiHidden/>
    <w:rsid w:val="005A305D"/>
    <w:rPr>
      <w:b/>
      <w:i/>
    </w:rPr>
  </w:style>
  <w:style w:type="paragraph" w:styleId="List">
    <w:name w:val="List"/>
    <w:basedOn w:val="Normal"/>
    <w:semiHidden/>
    <w:rsid w:val="005A305D"/>
    <w:pPr>
      <w:ind w:left="283" w:hanging="283"/>
    </w:pPr>
  </w:style>
  <w:style w:type="paragraph" w:styleId="Caption">
    <w:name w:val="caption"/>
    <w:basedOn w:val="Normal"/>
    <w:next w:val="Normal"/>
    <w:qFormat/>
    <w:rsid w:val="005A305D"/>
    <w:pPr>
      <w:spacing w:before="113" w:after="57" w:line="280" w:lineRule="atLeast"/>
      <w:ind w:left="1701" w:hanging="1701"/>
    </w:pPr>
    <w:rPr>
      <w:rFonts w:ascii="Arial" w:hAnsi="Arial" w:cs="Arial"/>
      <w:b/>
      <w:bCs/>
      <w:sz w:val="24"/>
      <w:szCs w:val="24"/>
    </w:rPr>
  </w:style>
  <w:style w:type="paragraph" w:customStyle="1" w:styleId="Index">
    <w:name w:val="Index"/>
    <w:basedOn w:val="Normal"/>
    <w:rsid w:val="005A305D"/>
    <w:pPr>
      <w:suppressLineNumbers/>
    </w:pPr>
  </w:style>
  <w:style w:type="paragraph" w:styleId="Header">
    <w:name w:val="header"/>
    <w:basedOn w:val="Normal"/>
    <w:link w:val="HeaderChar"/>
    <w:semiHidden/>
    <w:rsid w:val="005A305D"/>
    <w:pPr>
      <w:tabs>
        <w:tab w:val="center" w:pos="4536"/>
        <w:tab w:val="right" w:pos="9072"/>
      </w:tabs>
    </w:pPr>
  </w:style>
  <w:style w:type="paragraph" w:styleId="Footer">
    <w:name w:val="footer"/>
    <w:basedOn w:val="Normal"/>
    <w:link w:val="FooterChar"/>
    <w:semiHidden/>
    <w:rsid w:val="005A305D"/>
    <w:rPr>
      <w:rFonts w:ascii="Arial" w:hAnsi="Arial" w:cs="Arial"/>
      <w:sz w:val="16"/>
    </w:rPr>
  </w:style>
  <w:style w:type="paragraph" w:styleId="EndnoteText">
    <w:name w:val="endnote text"/>
    <w:basedOn w:val="Normal"/>
    <w:next w:val="Normal"/>
    <w:link w:val="EndnoteTextChar"/>
    <w:semiHidden/>
    <w:rsid w:val="005A305D"/>
  </w:style>
  <w:style w:type="paragraph" w:styleId="CommentText">
    <w:name w:val="annotation text"/>
    <w:basedOn w:val="Normal"/>
    <w:link w:val="CommentTextChar"/>
    <w:semiHidden/>
    <w:rsid w:val="005A305D"/>
    <w:rPr>
      <w:sz w:val="20"/>
    </w:rPr>
  </w:style>
  <w:style w:type="paragraph" w:styleId="BodyText2">
    <w:name w:val="Body Text 2"/>
    <w:basedOn w:val="Normal"/>
    <w:link w:val="BodyText2Char"/>
    <w:semiHidden/>
    <w:rsid w:val="005A305D"/>
    <w:pPr>
      <w:tabs>
        <w:tab w:val="left" w:pos="4536"/>
      </w:tabs>
      <w:jc w:val="both"/>
    </w:pPr>
    <w:rPr>
      <w:b/>
    </w:rPr>
  </w:style>
  <w:style w:type="paragraph" w:styleId="BodyText3">
    <w:name w:val="Body Text 3"/>
    <w:basedOn w:val="Normal"/>
    <w:link w:val="BodyText3Char"/>
    <w:semiHidden/>
    <w:rsid w:val="005A305D"/>
    <w:pPr>
      <w:jc w:val="both"/>
    </w:pPr>
    <w:rPr>
      <w:b/>
      <w:i/>
    </w:rPr>
  </w:style>
  <w:style w:type="paragraph" w:styleId="BodyTextIndent2">
    <w:name w:val="Body Text Indent 2"/>
    <w:basedOn w:val="Normal"/>
    <w:link w:val="BodyTextIndent2Char"/>
    <w:semiHidden/>
    <w:rsid w:val="005A305D"/>
    <w:pPr>
      <w:ind w:left="567" w:hanging="567"/>
      <w:jc w:val="both"/>
    </w:pPr>
    <w:rPr>
      <w:b/>
    </w:rPr>
  </w:style>
  <w:style w:type="paragraph" w:customStyle="1" w:styleId="WW-BodyText2">
    <w:name w:val="WW-Body Text 2"/>
    <w:basedOn w:val="Normal"/>
    <w:rsid w:val="005A305D"/>
    <w:pPr>
      <w:tabs>
        <w:tab w:val="left" w:pos="4536"/>
      </w:tabs>
      <w:jc w:val="both"/>
    </w:pPr>
    <w:rPr>
      <w:b/>
    </w:rPr>
  </w:style>
  <w:style w:type="paragraph" w:styleId="FootnoteText">
    <w:name w:val="footnote text"/>
    <w:basedOn w:val="Normal"/>
    <w:link w:val="FootnoteTextChar"/>
    <w:semiHidden/>
    <w:rsid w:val="005A305D"/>
    <w:rPr>
      <w:sz w:val="20"/>
    </w:rPr>
  </w:style>
  <w:style w:type="paragraph" w:styleId="BodyTextIndent3">
    <w:name w:val="Body Text Indent 3"/>
    <w:basedOn w:val="Normal"/>
    <w:link w:val="BodyTextIndent3Char"/>
    <w:semiHidden/>
    <w:rsid w:val="005A305D"/>
    <w:pPr>
      <w:ind w:left="567" w:hanging="567"/>
    </w:pPr>
    <w:rPr>
      <w:i/>
      <w:color w:val="008000"/>
    </w:rPr>
  </w:style>
  <w:style w:type="paragraph" w:customStyle="1" w:styleId="WW-BodyText21">
    <w:name w:val="WW-Body Text 21"/>
    <w:basedOn w:val="Normal"/>
    <w:rsid w:val="005A305D"/>
    <w:pPr>
      <w:ind w:left="567" w:hanging="567"/>
    </w:pPr>
    <w:rPr>
      <w:b/>
    </w:rPr>
  </w:style>
  <w:style w:type="paragraph" w:styleId="BlockText">
    <w:name w:val="Block Text"/>
    <w:basedOn w:val="Normal"/>
    <w:semiHidden/>
    <w:rsid w:val="005A305D"/>
    <w:pPr>
      <w:tabs>
        <w:tab w:val="left" w:pos="2657"/>
      </w:tabs>
      <w:spacing w:before="120"/>
      <w:ind w:left="-37" w:right="-28"/>
    </w:pPr>
  </w:style>
  <w:style w:type="paragraph" w:styleId="BodyTextIndent">
    <w:name w:val="Body Text Indent"/>
    <w:basedOn w:val="Normal"/>
    <w:link w:val="BodyTextIndentChar"/>
    <w:semiHidden/>
    <w:rsid w:val="005A305D"/>
    <w:pPr>
      <w:ind w:left="567" w:hanging="567"/>
    </w:pPr>
    <w:rPr>
      <w:b/>
      <w:color w:val="808080"/>
    </w:rPr>
  </w:style>
  <w:style w:type="paragraph" w:styleId="DocumentMap">
    <w:name w:val="Document Map"/>
    <w:basedOn w:val="Normal"/>
    <w:link w:val="DocumentMapChar"/>
    <w:semiHidden/>
    <w:rsid w:val="005A305D"/>
    <w:pPr>
      <w:shd w:val="clear" w:color="auto" w:fill="000080"/>
    </w:pPr>
    <w:rPr>
      <w:rFonts w:ascii="Tahoma" w:hAnsi="Tahoma" w:cs="Tahoma"/>
    </w:rPr>
  </w:style>
  <w:style w:type="paragraph" w:customStyle="1" w:styleId="Annex">
    <w:name w:val="Annex"/>
    <w:basedOn w:val="Normal"/>
    <w:next w:val="Normal"/>
    <w:rsid w:val="005A305D"/>
    <w:pPr>
      <w:jc w:val="center"/>
    </w:pPr>
    <w:rPr>
      <w:b/>
    </w:rPr>
  </w:style>
  <w:style w:type="paragraph" w:customStyle="1" w:styleId="Description">
    <w:name w:val="Description"/>
    <w:basedOn w:val="Normal"/>
    <w:next w:val="Normal"/>
    <w:rsid w:val="005A305D"/>
  </w:style>
  <w:style w:type="paragraph" w:customStyle="1" w:styleId="HangingIndent">
    <w:name w:val="HangingIndent"/>
    <w:basedOn w:val="Normal"/>
    <w:rsid w:val="005A305D"/>
    <w:pPr>
      <w:ind w:left="567" w:hanging="567"/>
    </w:pPr>
  </w:style>
  <w:style w:type="paragraph" w:styleId="BalloonText">
    <w:name w:val="Balloon Text"/>
    <w:basedOn w:val="Normal"/>
    <w:link w:val="BalloonTextChar"/>
    <w:rsid w:val="005A305D"/>
    <w:rPr>
      <w:rFonts w:ascii="Tahoma" w:hAnsi="Tahoma" w:cs="Tahoma"/>
      <w:sz w:val="16"/>
      <w:szCs w:val="16"/>
    </w:rPr>
  </w:style>
  <w:style w:type="paragraph" w:customStyle="1" w:styleId="EMEAEnBodyText">
    <w:name w:val="EMEA En Body Text"/>
    <w:basedOn w:val="Normal"/>
    <w:rsid w:val="005A305D"/>
    <w:pPr>
      <w:spacing w:before="120" w:after="120"/>
      <w:jc w:val="both"/>
    </w:pPr>
  </w:style>
  <w:style w:type="paragraph" w:customStyle="1" w:styleId="TextTi12">
    <w:name w:val="Text:Ti12"/>
    <w:basedOn w:val="Normal"/>
    <w:rsid w:val="005A305D"/>
    <w:pPr>
      <w:spacing w:after="170" w:line="280" w:lineRule="atLeast"/>
      <w:jc w:val="both"/>
    </w:pPr>
    <w:rPr>
      <w:sz w:val="24"/>
      <w:szCs w:val="24"/>
    </w:rPr>
  </w:style>
  <w:style w:type="paragraph" w:customStyle="1" w:styleId="TextTi10">
    <w:name w:val="Text:Ti10"/>
    <w:basedOn w:val="Normal"/>
    <w:rsid w:val="005A305D"/>
    <w:rPr>
      <w:sz w:val="20"/>
    </w:rPr>
  </w:style>
  <w:style w:type="paragraph" w:styleId="BodyTextFirstIndent">
    <w:name w:val="Body Text First Indent"/>
    <w:basedOn w:val="BodyText"/>
    <w:link w:val="BodyTextFirstIndentChar"/>
    <w:semiHidden/>
    <w:rsid w:val="005A305D"/>
    <w:pPr>
      <w:spacing w:after="120"/>
      <w:ind w:firstLine="210"/>
    </w:pPr>
    <w:rPr>
      <w:b w:val="0"/>
      <w:i w:val="0"/>
    </w:rPr>
  </w:style>
  <w:style w:type="paragraph" w:styleId="NormalWeb">
    <w:name w:val="Normal (Web)"/>
    <w:basedOn w:val="Normal"/>
    <w:semiHidden/>
    <w:rsid w:val="005A305D"/>
    <w:pPr>
      <w:spacing w:before="280" w:after="280"/>
    </w:pPr>
    <w:rPr>
      <w:sz w:val="24"/>
      <w:szCs w:val="24"/>
    </w:rPr>
  </w:style>
  <w:style w:type="paragraph" w:customStyle="1" w:styleId="textti120">
    <w:name w:val="textti12"/>
    <w:basedOn w:val="Normal"/>
    <w:rsid w:val="005A305D"/>
    <w:pPr>
      <w:spacing w:after="170" w:line="280" w:lineRule="atLeast"/>
      <w:jc w:val="both"/>
    </w:pPr>
    <w:rPr>
      <w:rFonts w:eastAsia="SimSun"/>
      <w:sz w:val="24"/>
      <w:szCs w:val="24"/>
    </w:rPr>
  </w:style>
  <w:style w:type="paragraph" w:customStyle="1" w:styleId="HdTab1">
    <w:name w:val="Hd:Tab:1"/>
    <w:basedOn w:val="Caption"/>
    <w:next w:val="Normal"/>
    <w:link w:val="HdTab1Char"/>
    <w:rsid w:val="005A305D"/>
    <w:pPr>
      <w:keepNext/>
    </w:pPr>
    <w:rPr>
      <w:rFonts w:cs="Times New Roman"/>
      <w:bCs w:val="0"/>
      <w:szCs w:val="20"/>
    </w:rPr>
  </w:style>
  <w:style w:type="paragraph" w:styleId="CommentSubject">
    <w:name w:val="annotation subject"/>
    <w:basedOn w:val="CommentText"/>
    <w:next w:val="CommentText"/>
    <w:link w:val="CommentSubjectChar"/>
    <w:rsid w:val="005A305D"/>
    <w:rPr>
      <w:b/>
      <w:bCs/>
    </w:rPr>
  </w:style>
  <w:style w:type="paragraph" w:styleId="Date">
    <w:name w:val="Date"/>
    <w:basedOn w:val="Normal"/>
    <w:next w:val="Normal"/>
    <w:link w:val="DateChar"/>
    <w:semiHidden/>
    <w:rsid w:val="005A305D"/>
    <w:rPr>
      <w:szCs w:val="22"/>
      <w:lang w:val="en-GB"/>
    </w:rPr>
  </w:style>
  <w:style w:type="paragraph" w:customStyle="1" w:styleId="AnnexHeading">
    <w:name w:val="Annex Heading"/>
    <w:basedOn w:val="Normal"/>
    <w:next w:val="Normal"/>
    <w:rsid w:val="005A305D"/>
    <w:pPr>
      <w:ind w:left="567" w:hanging="567"/>
    </w:pPr>
    <w:rPr>
      <w:b/>
    </w:rPr>
  </w:style>
  <w:style w:type="paragraph" w:styleId="BodyTextFirstIndent2">
    <w:name w:val="Body Text First Indent 2"/>
    <w:basedOn w:val="BodyTextIndent"/>
    <w:link w:val="BodyTextFirstIndent2Char"/>
    <w:semiHidden/>
    <w:rsid w:val="005A305D"/>
    <w:pPr>
      <w:spacing w:after="120"/>
      <w:ind w:left="283" w:firstLine="210"/>
    </w:pPr>
    <w:rPr>
      <w:b w:val="0"/>
      <w:color w:val="auto"/>
    </w:rPr>
  </w:style>
  <w:style w:type="paragraph" w:styleId="Closing">
    <w:name w:val="Closing"/>
    <w:basedOn w:val="Normal"/>
    <w:link w:val="ClosingChar"/>
    <w:semiHidden/>
    <w:rsid w:val="005A305D"/>
    <w:pPr>
      <w:ind w:left="4252"/>
    </w:pPr>
  </w:style>
  <w:style w:type="paragraph" w:styleId="E-mailSignature">
    <w:name w:val="E-mail Signature"/>
    <w:basedOn w:val="Normal"/>
    <w:link w:val="E-mailSignatureChar"/>
    <w:semiHidden/>
    <w:rsid w:val="005A305D"/>
  </w:style>
  <w:style w:type="paragraph" w:styleId="EnvelopeAddress">
    <w:name w:val="envelope address"/>
    <w:basedOn w:val="Normal"/>
    <w:semiHidden/>
    <w:rsid w:val="005A305D"/>
    <w:pPr>
      <w:ind w:left="2880"/>
    </w:pPr>
    <w:rPr>
      <w:rFonts w:ascii="Arial" w:hAnsi="Arial" w:cs="Arial"/>
      <w:sz w:val="24"/>
      <w:szCs w:val="24"/>
    </w:rPr>
  </w:style>
  <w:style w:type="paragraph" w:styleId="EnvelopeReturn">
    <w:name w:val="envelope return"/>
    <w:basedOn w:val="Normal"/>
    <w:semiHidden/>
    <w:rsid w:val="005A305D"/>
    <w:rPr>
      <w:rFonts w:ascii="Arial" w:hAnsi="Arial" w:cs="Arial"/>
      <w:sz w:val="20"/>
    </w:rPr>
  </w:style>
  <w:style w:type="paragraph" w:styleId="HTMLAddress">
    <w:name w:val="HTML Address"/>
    <w:basedOn w:val="Normal"/>
    <w:link w:val="HTMLAddressChar"/>
    <w:semiHidden/>
    <w:rsid w:val="005A305D"/>
    <w:rPr>
      <w:i/>
      <w:iCs/>
    </w:rPr>
  </w:style>
  <w:style w:type="paragraph" w:styleId="HTMLPreformatted">
    <w:name w:val="HTML Preformatted"/>
    <w:basedOn w:val="Normal"/>
    <w:link w:val="HTMLPreformattedChar"/>
    <w:semiHidden/>
    <w:rsid w:val="005A305D"/>
    <w:rPr>
      <w:rFonts w:ascii="Courier New" w:hAnsi="Courier New" w:cs="Courier New"/>
      <w:sz w:val="20"/>
    </w:rPr>
  </w:style>
  <w:style w:type="paragraph" w:styleId="Index1">
    <w:name w:val="index 1"/>
    <w:basedOn w:val="Normal"/>
    <w:next w:val="Normal"/>
    <w:semiHidden/>
    <w:rsid w:val="005A305D"/>
    <w:pPr>
      <w:ind w:left="220" w:hanging="220"/>
    </w:pPr>
  </w:style>
  <w:style w:type="paragraph" w:styleId="Index2">
    <w:name w:val="index 2"/>
    <w:basedOn w:val="Normal"/>
    <w:next w:val="Normal"/>
    <w:semiHidden/>
    <w:rsid w:val="005A305D"/>
    <w:pPr>
      <w:ind w:left="440" w:hanging="220"/>
    </w:pPr>
  </w:style>
  <w:style w:type="paragraph" w:styleId="Index3">
    <w:name w:val="index 3"/>
    <w:basedOn w:val="Normal"/>
    <w:next w:val="Normal"/>
    <w:semiHidden/>
    <w:rsid w:val="005A305D"/>
    <w:pPr>
      <w:ind w:left="660" w:hanging="220"/>
    </w:pPr>
  </w:style>
  <w:style w:type="paragraph" w:styleId="Index4">
    <w:name w:val="index 4"/>
    <w:basedOn w:val="Normal"/>
    <w:next w:val="Normal"/>
    <w:semiHidden/>
    <w:rsid w:val="005A305D"/>
    <w:pPr>
      <w:ind w:left="880" w:hanging="220"/>
    </w:pPr>
  </w:style>
  <w:style w:type="paragraph" w:styleId="Index5">
    <w:name w:val="index 5"/>
    <w:basedOn w:val="Normal"/>
    <w:next w:val="Normal"/>
    <w:semiHidden/>
    <w:rsid w:val="005A305D"/>
    <w:pPr>
      <w:ind w:left="1100" w:hanging="220"/>
    </w:pPr>
  </w:style>
  <w:style w:type="paragraph" w:styleId="Index6">
    <w:name w:val="index 6"/>
    <w:basedOn w:val="Normal"/>
    <w:next w:val="Normal"/>
    <w:semiHidden/>
    <w:rsid w:val="005A305D"/>
    <w:pPr>
      <w:ind w:left="1320" w:hanging="220"/>
    </w:pPr>
  </w:style>
  <w:style w:type="paragraph" w:styleId="Index7">
    <w:name w:val="index 7"/>
    <w:basedOn w:val="Normal"/>
    <w:next w:val="Normal"/>
    <w:semiHidden/>
    <w:rsid w:val="005A305D"/>
    <w:pPr>
      <w:ind w:left="1540" w:hanging="220"/>
    </w:pPr>
  </w:style>
  <w:style w:type="paragraph" w:styleId="Index8">
    <w:name w:val="index 8"/>
    <w:basedOn w:val="Normal"/>
    <w:next w:val="Normal"/>
    <w:semiHidden/>
    <w:rsid w:val="005A305D"/>
    <w:pPr>
      <w:ind w:left="1760" w:hanging="220"/>
    </w:pPr>
  </w:style>
  <w:style w:type="paragraph" w:styleId="Index9">
    <w:name w:val="index 9"/>
    <w:basedOn w:val="Normal"/>
    <w:next w:val="Normal"/>
    <w:semiHidden/>
    <w:rsid w:val="005A305D"/>
    <w:pPr>
      <w:ind w:left="1980" w:hanging="220"/>
    </w:pPr>
  </w:style>
  <w:style w:type="paragraph" w:styleId="IndexHeading">
    <w:name w:val="index heading"/>
    <w:basedOn w:val="Normal"/>
    <w:next w:val="Index1"/>
    <w:semiHidden/>
    <w:rsid w:val="005A305D"/>
    <w:rPr>
      <w:rFonts w:ascii="Arial" w:hAnsi="Arial" w:cs="Arial"/>
      <w:b/>
      <w:bCs/>
    </w:rPr>
  </w:style>
  <w:style w:type="paragraph" w:styleId="List2">
    <w:name w:val="List 2"/>
    <w:basedOn w:val="Normal"/>
    <w:semiHidden/>
    <w:rsid w:val="005A305D"/>
    <w:pPr>
      <w:ind w:left="566" w:hanging="283"/>
    </w:pPr>
  </w:style>
  <w:style w:type="paragraph" w:styleId="List3">
    <w:name w:val="List 3"/>
    <w:basedOn w:val="Normal"/>
    <w:semiHidden/>
    <w:rsid w:val="005A305D"/>
    <w:pPr>
      <w:ind w:left="849" w:hanging="283"/>
    </w:pPr>
  </w:style>
  <w:style w:type="paragraph" w:styleId="List4">
    <w:name w:val="List 4"/>
    <w:basedOn w:val="Normal"/>
    <w:semiHidden/>
    <w:rsid w:val="005A305D"/>
    <w:pPr>
      <w:ind w:left="1132" w:hanging="283"/>
    </w:pPr>
  </w:style>
  <w:style w:type="paragraph" w:styleId="List5">
    <w:name w:val="List 5"/>
    <w:basedOn w:val="Normal"/>
    <w:semiHidden/>
    <w:rsid w:val="005A305D"/>
    <w:pPr>
      <w:ind w:left="1415" w:hanging="283"/>
    </w:pPr>
  </w:style>
  <w:style w:type="paragraph" w:styleId="ListBullet">
    <w:name w:val="List Bullet"/>
    <w:basedOn w:val="Normal"/>
    <w:semiHidden/>
    <w:rsid w:val="005A305D"/>
    <w:pPr>
      <w:numPr>
        <w:numId w:val="11"/>
      </w:numPr>
    </w:pPr>
  </w:style>
  <w:style w:type="paragraph" w:styleId="ListBullet2">
    <w:name w:val="List Bullet 2"/>
    <w:basedOn w:val="Normal"/>
    <w:semiHidden/>
    <w:rsid w:val="005A305D"/>
    <w:pPr>
      <w:numPr>
        <w:numId w:val="9"/>
      </w:numPr>
    </w:pPr>
  </w:style>
  <w:style w:type="paragraph" w:styleId="ListBullet3">
    <w:name w:val="List Bullet 3"/>
    <w:basedOn w:val="Normal"/>
    <w:semiHidden/>
    <w:rsid w:val="005A305D"/>
    <w:pPr>
      <w:numPr>
        <w:numId w:val="8"/>
      </w:numPr>
    </w:pPr>
  </w:style>
  <w:style w:type="paragraph" w:styleId="ListBullet4">
    <w:name w:val="List Bullet 4"/>
    <w:basedOn w:val="Normal"/>
    <w:semiHidden/>
    <w:rsid w:val="005A305D"/>
    <w:pPr>
      <w:numPr>
        <w:numId w:val="7"/>
      </w:numPr>
    </w:pPr>
  </w:style>
  <w:style w:type="paragraph" w:styleId="ListBullet5">
    <w:name w:val="List Bullet 5"/>
    <w:basedOn w:val="Normal"/>
    <w:semiHidden/>
    <w:rsid w:val="005A305D"/>
    <w:pPr>
      <w:numPr>
        <w:numId w:val="6"/>
      </w:numPr>
    </w:pPr>
  </w:style>
  <w:style w:type="paragraph" w:styleId="ListContinue">
    <w:name w:val="List Continue"/>
    <w:basedOn w:val="Normal"/>
    <w:semiHidden/>
    <w:rsid w:val="005A305D"/>
    <w:pPr>
      <w:spacing w:after="120"/>
      <w:ind w:left="283"/>
    </w:pPr>
  </w:style>
  <w:style w:type="paragraph" w:styleId="ListContinue2">
    <w:name w:val="List Continue 2"/>
    <w:basedOn w:val="Normal"/>
    <w:semiHidden/>
    <w:rsid w:val="005A305D"/>
    <w:pPr>
      <w:spacing w:after="120"/>
      <w:ind w:left="566"/>
    </w:pPr>
  </w:style>
  <w:style w:type="paragraph" w:styleId="ListContinue3">
    <w:name w:val="List Continue 3"/>
    <w:basedOn w:val="Normal"/>
    <w:semiHidden/>
    <w:rsid w:val="005A305D"/>
    <w:pPr>
      <w:spacing w:after="120"/>
      <w:ind w:left="849"/>
    </w:pPr>
  </w:style>
  <w:style w:type="paragraph" w:styleId="ListContinue4">
    <w:name w:val="List Continue 4"/>
    <w:basedOn w:val="Normal"/>
    <w:semiHidden/>
    <w:rsid w:val="005A305D"/>
    <w:pPr>
      <w:spacing w:after="120"/>
      <w:ind w:left="1132"/>
    </w:pPr>
  </w:style>
  <w:style w:type="paragraph" w:styleId="ListContinue5">
    <w:name w:val="List Continue 5"/>
    <w:basedOn w:val="Normal"/>
    <w:semiHidden/>
    <w:rsid w:val="005A305D"/>
    <w:pPr>
      <w:spacing w:after="120"/>
      <w:ind w:left="1415"/>
    </w:pPr>
  </w:style>
  <w:style w:type="paragraph" w:styleId="ListNumber">
    <w:name w:val="List Number"/>
    <w:basedOn w:val="Normal"/>
    <w:semiHidden/>
    <w:rsid w:val="005A305D"/>
    <w:pPr>
      <w:numPr>
        <w:numId w:val="10"/>
      </w:numPr>
    </w:pPr>
  </w:style>
  <w:style w:type="paragraph" w:styleId="ListNumber2">
    <w:name w:val="List Number 2"/>
    <w:basedOn w:val="Normal"/>
    <w:semiHidden/>
    <w:rsid w:val="005A305D"/>
    <w:pPr>
      <w:numPr>
        <w:numId w:val="5"/>
      </w:numPr>
    </w:pPr>
  </w:style>
  <w:style w:type="paragraph" w:styleId="ListNumber3">
    <w:name w:val="List Number 3"/>
    <w:basedOn w:val="Normal"/>
    <w:semiHidden/>
    <w:rsid w:val="005A305D"/>
    <w:pPr>
      <w:numPr>
        <w:numId w:val="4"/>
      </w:numPr>
    </w:pPr>
  </w:style>
  <w:style w:type="paragraph" w:styleId="ListNumber4">
    <w:name w:val="List Number 4"/>
    <w:basedOn w:val="Normal"/>
    <w:semiHidden/>
    <w:rsid w:val="005A305D"/>
    <w:pPr>
      <w:numPr>
        <w:numId w:val="3"/>
      </w:numPr>
    </w:pPr>
  </w:style>
  <w:style w:type="paragraph" w:styleId="ListNumber5">
    <w:name w:val="List Number 5"/>
    <w:basedOn w:val="Normal"/>
    <w:semiHidden/>
    <w:rsid w:val="005A305D"/>
    <w:pPr>
      <w:numPr>
        <w:numId w:val="2"/>
      </w:numPr>
    </w:pPr>
  </w:style>
  <w:style w:type="paragraph" w:styleId="MacroText">
    <w:name w:val="macro"/>
    <w:link w:val="MacroTextChar"/>
    <w:semiHidden/>
    <w:rsid w:val="005A305D"/>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cs="Courier New"/>
      <w:lang w:val="en-US" w:eastAsia="ar-SA"/>
    </w:rPr>
  </w:style>
  <w:style w:type="paragraph" w:styleId="MessageHeader">
    <w:name w:val="Message Header"/>
    <w:basedOn w:val="Normal"/>
    <w:link w:val="MessageHeaderChar"/>
    <w:semiHidden/>
    <w:rsid w:val="005A305D"/>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hAnsi="Arial" w:cs="Arial"/>
      <w:sz w:val="24"/>
      <w:szCs w:val="24"/>
    </w:rPr>
  </w:style>
  <w:style w:type="paragraph" w:styleId="NormalIndent">
    <w:name w:val="Normal Indent"/>
    <w:basedOn w:val="Normal"/>
    <w:semiHidden/>
    <w:rsid w:val="005A305D"/>
    <w:pPr>
      <w:ind w:left="720"/>
    </w:pPr>
  </w:style>
  <w:style w:type="paragraph" w:styleId="NoteHeading">
    <w:name w:val="Note Heading"/>
    <w:basedOn w:val="Normal"/>
    <w:next w:val="Normal"/>
    <w:link w:val="NoteHeadingChar"/>
    <w:semiHidden/>
    <w:rsid w:val="005A305D"/>
  </w:style>
  <w:style w:type="paragraph" w:styleId="PlainText">
    <w:name w:val="Plain Text"/>
    <w:basedOn w:val="Normal"/>
    <w:link w:val="PlainTextChar"/>
    <w:semiHidden/>
    <w:rsid w:val="005A305D"/>
    <w:rPr>
      <w:rFonts w:ascii="Courier New" w:hAnsi="Courier New" w:cs="Courier New"/>
      <w:sz w:val="20"/>
    </w:rPr>
  </w:style>
  <w:style w:type="paragraph" w:styleId="Salutation">
    <w:name w:val="Salutation"/>
    <w:basedOn w:val="Normal"/>
    <w:next w:val="Normal"/>
    <w:link w:val="SalutationChar"/>
    <w:semiHidden/>
    <w:rsid w:val="005A305D"/>
  </w:style>
  <w:style w:type="paragraph" w:styleId="Signature">
    <w:name w:val="Signature"/>
    <w:basedOn w:val="Normal"/>
    <w:link w:val="SignatureChar"/>
    <w:semiHidden/>
    <w:rsid w:val="005A305D"/>
    <w:pPr>
      <w:ind w:left="4252"/>
    </w:pPr>
  </w:style>
  <w:style w:type="paragraph" w:styleId="Subtitle">
    <w:name w:val="Subtitle"/>
    <w:basedOn w:val="Normal"/>
    <w:next w:val="BodyText"/>
    <w:link w:val="SubtitleChar"/>
    <w:qFormat/>
    <w:rsid w:val="005A305D"/>
    <w:pPr>
      <w:spacing w:after="60"/>
      <w:jc w:val="center"/>
    </w:pPr>
    <w:rPr>
      <w:rFonts w:ascii="Arial" w:hAnsi="Arial" w:cs="Arial"/>
      <w:sz w:val="24"/>
      <w:szCs w:val="24"/>
    </w:rPr>
  </w:style>
  <w:style w:type="paragraph" w:styleId="TableofAuthorities">
    <w:name w:val="table of authorities"/>
    <w:basedOn w:val="Normal"/>
    <w:next w:val="Normal"/>
    <w:semiHidden/>
    <w:rsid w:val="005A305D"/>
    <w:pPr>
      <w:ind w:left="220" w:hanging="220"/>
    </w:pPr>
  </w:style>
  <w:style w:type="paragraph" w:styleId="TableofFigures">
    <w:name w:val="table of figures"/>
    <w:basedOn w:val="Normal"/>
    <w:next w:val="Normal"/>
    <w:semiHidden/>
    <w:rsid w:val="005A305D"/>
  </w:style>
  <w:style w:type="paragraph" w:styleId="Title">
    <w:name w:val="Title"/>
    <w:basedOn w:val="Normal"/>
    <w:next w:val="Subtitle"/>
    <w:link w:val="TitleChar"/>
    <w:qFormat/>
    <w:rsid w:val="005A305D"/>
    <w:pPr>
      <w:spacing w:before="240" w:after="60"/>
      <w:jc w:val="center"/>
    </w:pPr>
    <w:rPr>
      <w:rFonts w:ascii="Arial" w:hAnsi="Arial" w:cs="Arial"/>
      <w:b/>
      <w:bCs/>
      <w:kern w:val="1"/>
      <w:sz w:val="32"/>
      <w:szCs w:val="32"/>
    </w:rPr>
  </w:style>
  <w:style w:type="paragraph" w:styleId="TOAHeading">
    <w:name w:val="toa heading"/>
    <w:basedOn w:val="Normal"/>
    <w:next w:val="Normal"/>
    <w:semiHidden/>
    <w:rsid w:val="005A305D"/>
    <w:pPr>
      <w:spacing w:before="120"/>
    </w:pPr>
    <w:rPr>
      <w:rFonts w:ascii="Arial" w:hAnsi="Arial" w:cs="Arial"/>
      <w:b/>
      <w:bCs/>
      <w:sz w:val="24"/>
      <w:szCs w:val="24"/>
    </w:rPr>
  </w:style>
  <w:style w:type="paragraph" w:styleId="TOC1">
    <w:name w:val="toc 1"/>
    <w:basedOn w:val="Normal"/>
    <w:next w:val="Normal"/>
    <w:semiHidden/>
    <w:rsid w:val="005A305D"/>
  </w:style>
  <w:style w:type="paragraph" w:styleId="TOC2">
    <w:name w:val="toc 2"/>
    <w:basedOn w:val="Normal"/>
    <w:next w:val="Normal"/>
    <w:semiHidden/>
    <w:rsid w:val="005A305D"/>
    <w:pPr>
      <w:ind w:left="220"/>
    </w:pPr>
  </w:style>
  <w:style w:type="paragraph" w:styleId="TOC3">
    <w:name w:val="toc 3"/>
    <w:basedOn w:val="Normal"/>
    <w:next w:val="Normal"/>
    <w:semiHidden/>
    <w:rsid w:val="005A305D"/>
    <w:pPr>
      <w:ind w:left="440"/>
    </w:pPr>
  </w:style>
  <w:style w:type="paragraph" w:styleId="TOC4">
    <w:name w:val="toc 4"/>
    <w:basedOn w:val="Normal"/>
    <w:next w:val="Normal"/>
    <w:semiHidden/>
    <w:rsid w:val="005A305D"/>
    <w:pPr>
      <w:ind w:left="660"/>
    </w:pPr>
  </w:style>
  <w:style w:type="paragraph" w:styleId="TOC5">
    <w:name w:val="toc 5"/>
    <w:basedOn w:val="Normal"/>
    <w:next w:val="Normal"/>
    <w:semiHidden/>
    <w:rsid w:val="005A305D"/>
    <w:pPr>
      <w:ind w:left="880"/>
    </w:pPr>
  </w:style>
  <w:style w:type="paragraph" w:styleId="TOC6">
    <w:name w:val="toc 6"/>
    <w:basedOn w:val="Normal"/>
    <w:next w:val="Normal"/>
    <w:semiHidden/>
    <w:rsid w:val="005A305D"/>
    <w:pPr>
      <w:ind w:left="1100"/>
    </w:pPr>
  </w:style>
  <w:style w:type="paragraph" w:styleId="TOC7">
    <w:name w:val="toc 7"/>
    <w:basedOn w:val="Normal"/>
    <w:next w:val="Normal"/>
    <w:semiHidden/>
    <w:rsid w:val="005A305D"/>
    <w:pPr>
      <w:ind w:left="1320"/>
    </w:pPr>
  </w:style>
  <w:style w:type="paragraph" w:styleId="TOC8">
    <w:name w:val="toc 8"/>
    <w:basedOn w:val="Normal"/>
    <w:next w:val="Normal"/>
    <w:semiHidden/>
    <w:rsid w:val="005A305D"/>
    <w:pPr>
      <w:ind w:left="1540"/>
    </w:pPr>
  </w:style>
  <w:style w:type="paragraph" w:styleId="TOC9">
    <w:name w:val="toc 9"/>
    <w:basedOn w:val="Normal"/>
    <w:next w:val="Normal"/>
    <w:semiHidden/>
    <w:rsid w:val="005A305D"/>
    <w:pPr>
      <w:ind w:left="1760"/>
    </w:pPr>
  </w:style>
  <w:style w:type="paragraph" w:customStyle="1" w:styleId="HangingIndent0">
    <w:name w:val="Hanging Indent"/>
    <w:basedOn w:val="Normal"/>
    <w:rsid w:val="005A305D"/>
    <w:pPr>
      <w:ind w:left="567" w:hanging="567"/>
    </w:pPr>
  </w:style>
  <w:style w:type="paragraph" w:customStyle="1" w:styleId="Bulletstyle">
    <w:name w:val="Bullet style"/>
    <w:basedOn w:val="Normal"/>
    <w:rsid w:val="005A305D"/>
    <w:pPr>
      <w:numPr>
        <w:numId w:val="12"/>
      </w:numPr>
    </w:pPr>
    <w:rPr>
      <w:lang w:val="en-GB"/>
    </w:rPr>
  </w:style>
  <w:style w:type="paragraph" w:customStyle="1" w:styleId="Paragraph">
    <w:name w:val="Paragraph"/>
    <w:basedOn w:val="Normal"/>
    <w:link w:val="ParagraphChar"/>
    <w:qFormat/>
    <w:rsid w:val="005A305D"/>
    <w:pPr>
      <w:spacing w:after="170" w:line="280" w:lineRule="exact"/>
    </w:pPr>
    <w:rPr>
      <w:rFonts w:ascii="Arial" w:eastAsia="SimSun" w:hAnsi="Arial" w:cs="Arial"/>
      <w:sz w:val="24"/>
      <w:szCs w:val="24"/>
    </w:rPr>
  </w:style>
  <w:style w:type="paragraph" w:customStyle="1" w:styleId="TableContents">
    <w:name w:val="Table Contents"/>
    <w:basedOn w:val="Normal"/>
    <w:rsid w:val="005A305D"/>
    <w:pPr>
      <w:suppressLineNumbers/>
    </w:pPr>
  </w:style>
  <w:style w:type="paragraph" w:customStyle="1" w:styleId="TableHeading">
    <w:name w:val="Table Heading"/>
    <w:basedOn w:val="TableContents"/>
    <w:rsid w:val="005A305D"/>
    <w:pPr>
      <w:jc w:val="center"/>
    </w:pPr>
    <w:rPr>
      <w:b/>
      <w:bCs/>
    </w:rPr>
  </w:style>
  <w:style w:type="paragraph" w:styleId="ListParagraph">
    <w:name w:val="List Paragraph"/>
    <w:basedOn w:val="Normal"/>
    <w:qFormat/>
    <w:rsid w:val="005A305D"/>
    <w:pPr>
      <w:ind w:left="720"/>
      <w:contextualSpacing/>
    </w:pPr>
  </w:style>
  <w:style w:type="paragraph" w:styleId="Revision">
    <w:name w:val="Revision"/>
    <w:hidden/>
    <w:semiHidden/>
    <w:rsid w:val="005A305D"/>
    <w:rPr>
      <w:sz w:val="22"/>
      <w:lang w:val="en-US" w:eastAsia="ar-SA"/>
    </w:rPr>
  </w:style>
  <w:style w:type="character" w:customStyle="1" w:styleId="CommentTextChar">
    <w:name w:val="Comment Text Char"/>
    <w:link w:val="CommentText"/>
    <w:semiHidden/>
    <w:rsid w:val="003E54C2"/>
    <w:rPr>
      <w:lang w:val="en-US" w:eastAsia="ar-SA"/>
    </w:rPr>
  </w:style>
  <w:style w:type="paragraph" w:styleId="Bibliography">
    <w:name w:val="Bibliography"/>
    <w:basedOn w:val="Normal"/>
    <w:next w:val="Normal"/>
    <w:uiPriority w:val="37"/>
    <w:semiHidden/>
    <w:unhideWhenUsed/>
    <w:rsid w:val="00C2155B"/>
  </w:style>
  <w:style w:type="paragraph" w:styleId="IntenseQuote">
    <w:name w:val="Intense Quote"/>
    <w:basedOn w:val="Normal"/>
    <w:next w:val="Normal"/>
    <w:link w:val="IntenseQuoteChar"/>
    <w:uiPriority w:val="30"/>
    <w:qFormat/>
    <w:rsid w:val="00C2155B"/>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2155B"/>
    <w:rPr>
      <w:b/>
      <w:bCs/>
      <w:i/>
      <w:iCs/>
      <w:color w:val="4F81BD"/>
      <w:sz w:val="22"/>
      <w:lang w:eastAsia="ar-SA"/>
    </w:rPr>
  </w:style>
  <w:style w:type="paragraph" w:styleId="NoSpacing">
    <w:name w:val="No Spacing"/>
    <w:uiPriority w:val="1"/>
    <w:qFormat/>
    <w:rsid w:val="00C2155B"/>
    <w:pPr>
      <w:suppressAutoHyphens/>
    </w:pPr>
    <w:rPr>
      <w:sz w:val="22"/>
      <w:lang w:val="en-US" w:eastAsia="ar-SA"/>
    </w:rPr>
  </w:style>
  <w:style w:type="paragraph" w:styleId="Quote">
    <w:name w:val="Quote"/>
    <w:basedOn w:val="Normal"/>
    <w:next w:val="Normal"/>
    <w:link w:val="QuoteChar"/>
    <w:uiPriority w:val="29"/>
    <w:qFormat/>
    <w:rsid w:val="00C2155B"/>
    <w:rPr>
      <w:i/>
      <w:iCs/>
      <w:color w:val="000000"/>
    </w:rPr>
  </w:style>
  <w:style w:type="character" w:customStyle="1" w:styleId="QuoteChar">
    <w:name w:val="Quote Char"/>
    <w:link w:val="Quote"/>
    <w:uiPriority w:val="29"/>
    <w:rsid w:val="00C2155B"/>
    <w:rPr>
      <w:i/>
      <w:iCs/>
      <w:color w:val="000000"/>
      <w:sz w:val="22"/>
      <w:lang w:eastAsia="ar-SA"/>
    </w:rPr>
  </w:style>
  <w:style w:type="paragraph" w:styleId="TOCHeading">
    <w:name w:val="TOC Heading"/>
    <w:basedOn w:val="Heading1"/>
    <w:next w:val="Normal"/>
    <w:uiPriority w:val="39"/>
    <w:semiHidden/>
    <w:unhideWhenUsed/>
    <w:qFormat/>
    <w:rsid w:val="00C2155B"/>
    <w:pPr>
      <w:keepNext/>
      <w:numPr>
        <w:numId w:val="0"/>
      </w:numPr>
      <w:spacing w:before="240" w:after="60"/>
      <w:outlineLvl w:val="9"/>
    </w:pPr>
    <w:rPr>
      <w:rFonts w:ascii="Cambria" w:hAnsi="Cambria"/>
      <w:bCs/>
      <w:caps w:val="0"/>
      <w:kern w:val="32"/>
      <w:sz w:val="32"/>
      <w:szCs w:val="32"/>
    </w:rPr>
  </w:style>
  <w:style w:type="character" w:customStyle="1" w:styleId="HdTab1Char">
    <w:name w:val="Hd:Tab:1 Char"/>
    <w:link w:val="HdTab1"/>
    <w:rsid w:val="00440C40"/>
    <w:rPr>
      <w:rFonts w:ascii="Arial" w:hAnsi="Arial" w:cs="Arial"/>
      <w:b/>
      <w:sz w:val="24"/>
      <w:lang w:val="en-US" w:eastAsia="ar-SA"/>
    </w:rPr>
  </w:style>
  <w:style w:type="paragraph" w:customStyle="1" w:styleId="TextTi9">
    <w:name w:val="Text:Ti9"/>
    <w:basedOn w:val="Normal"/>
    <w:rsid w:val="00440C40"/>
    <w:pPr>
      <w:suppressAutoHyphens w:val="0"/>
      <w:spacing w:after="200"/>
    </w:pPr>
    <w:rPr>
      <w:rFonts w:ascii="Calibri" w:eastAsia="PMingLiU" w:hAnsi="Calibri"/>
      <w:sz w:val="18"/>
      <w:szCs w:val="22"/>
      <w:lang w:eastAsia="zh-TW"/>
    </w:rPr>
  </w:style>
  <w:style w:type="paragraph" w:customStyle="1" w:styleId="No-numheading3Agency">
    <w:name w:val="No-num heading 3 (Agency)"/>
    <w:basedOn w:val="Normal"/>
    <w:next w:val="Normal"/>
    <w:link w:val="No-numheading3AgencyChar"/>
    <w:rsid w:val="0079195E"/>
    <w:pPr>
      <w:keepNext/>
      <w:suppressAutoHyphens w:val="0"/>
      <w:spacing w:before="280" w:after="220"/>
    </w:pPr>
    <w:rPr>
      <w:rFonts w:ascii="Verdana" w:eastAsia="SimSun" w:hAnsi="Verdana" w:cs="Arial"/>
      <w:b/>
      <w:bCs/>
      <w:kern w:val="1"/>
      <w:szCs w:val="22"/>
      <w:lang w:val="en-GB" w:eastAsia="ja-JP"/>
    </w:rPr>
  </w:style>
  <w:style w:type="character" w:customStyle="1" w:styleId="No-numheading3AgencyChar">
    <w:name w:val="No-num heading 3 (Agency) Char"/>
    <w:link w:val="No-numheading3Agency"/>
    <w:rsid w:val="0079195E"/>
    <w:rPr>
      <w:rFonts w:ascii="Verdana" w:eastAsia="SimSun" w:hAnsi="Verdana" w:cs="Arial"/>
      <w:b/>
      <w:bCs/>
      <w:kern w:val="1"/>
      <w:sz w:val="22"/>
      <w:szCs w:val="22"/>
      <w:lang w:val="en-GB" w:eastAsia="ja-JP"/>
    </w:rPr>
  </w:style>
  <w:style w:type="character" w:styleId="Emphasis">
    <w:name w:val="Emphasis"/>
    <w:uiPriority w:val="20"/>
    <w:qFormat/>
    <w:rsid w:val="00366022"/>
    <w:rPr>
      <w:b/>
      <w:bCs/>
      <w:i w:val="0"/>
      <w:iCs w:val="0"/>
    </w:rPr>
  </w:style>
  <w:style w:type="character" w:customStyle="1" w:styleId="st1">
    <w:name w:val="st1"/>
    <w:rsid w:val="00366022"/>
  </w:style>
  <w:style w:type="paragraph" w:customStyle="1" w:styleId="Standard">
    <w:name w:val="Standard"/>
    <w:qFormat/>
    <w:rsid w:val="00BB405D"/>
    <w:rPr>
      <w:sz w:val="22"/>
      <w:lang w:val="en-US" w:eastAsia="ja-JP"/>
    </w:rPr>
  </w:style>
  <w:style w:type="paragraph" w:customStyle="1" w:styleId="Aufzhlungszeichen2">
    <w:name w:val="Aufzählungszeichen 2"/>
    <w:basedOn w:val="Standard"/>
    <w:rsid w:val="00675AA4"/>
    <w:pPr>
      <w:numPr>
        <w:numId w:val="15"/>
      </w:numPr>
    </w:pPr>
  </w:style>
  <w:style w:type="paragraph" w:customStyle="1" w:styleId="Standard1">
    <w:name w:val="Standard1"/>
    <w:link w:val="Standard1Char"/>
    <w:qFormat/>
    <w:rsid w:val="00B1121A"/>
    <w:rPr>
      <w:sz w:val="22"/>
      <w:lang w:eastAsia="ja-JP"/>
    </w:rPr>
  </w:style>
  <w:style w:type="table" w:styleId="TableGrid">
    <w:name w:val="Table Grid"/>
    <w:basedOn w:val="TableNormal"/>
    <w:rsid w:val="00B1121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Char">
    <w:name w:val="Paragraph Char"/>
    <w:link w:val="Paragraph"/>
    <w:rsid w:val="008364C5"/>
    <w:rPr>
      <w:rFonts w:ascii="Arial" w:eastAsia="SimSun" w:hAnsi="Arial" w:cs="Arial"/>
      <w:sz w:val="24"/>
      <w:szCs w:val="24"/>
      <w:lang w:val="en-US" w:eastAsia="ar-SA"/>
    </w:rPr>
  </w:style>
  <w:style w:type="paragraph" w:customStyle="1" w:styleId="TableCell10Left">
    <w:name w:val="Table Cell 10 Left"/>
    <w:basedOn w:val="Normal"/>
    <w:link w:val="TableCell10LeftChar"/>
    <w:rsid w:val="00727752"/>
    <w:pPr>
      <w:keepNext/>
      <w:keepLines/>
      <w:suppressAutoHyphens w:val="0"/>
      <w:spacing w:before="50" w:after="50" w:line="240" w:lineRule="exact"/>
    </w:pPr>
    <w:rPr>
      <w:rFonts w:ascii="Arial" w:eastAsia="SimSun" w:hAnsi="Arial"/>
      <w:sz w:val="20"/>
      <w:szCs w:val="24"/>
      <w:lang w:val="lv-LV" w:eastAsia="zh-CN"/>
    </w:rPr>
  </w:style>
  <w:style w:type="paragraph" w:customStyle="1" w:styleId="TableCell10Center">
    <w:name w:val="Table Cell 10 Center"/>
    <w:basedOn w:val="TableCell10Left"/>
    <w:link w:val="TableCell10CenterChar"/>
    <w:rsid w:val="00727752"/>
    <w:pPr>
      <w:jc w:val="center"/>
    </w:pPr>
  </w:style>
  <w:style w:type="character" w:customStyle="1" w:styleId="TableCell10LeftChar">
    <w:name w:val="Table Cell 10 Left Char"/>
    <w:link w:val="TableCell10Left"/>
    <w:rsid w:val="00727752"/>
    <w:rPr>
      <w:rFonts w:ascii="Arial" w:eastAsia="SimSun" w:hAnsi="Arial"/>
      <w:szCs w:val="24"/>
      <w:lang w:eastAsia="zh-CN"/>
    </w:rPr>
  </w:style>
  <w:style w:type="character" w:customStyle="1" w:styleId="TableCell10CenterChar">
    <w:name w:val="Table Cell 10 Center Char"/>
    <w:link w:val="TableCell10Center"/>
    <w:rsid w:val="00727752"/>
    <w:rPr>
      <w:rFonts w:ascii="Arial" w:eastAsia="SimSun" w:hAnsi="Arial"/>
      <w:szCs w:val="24"/>
      <w:lang w:eastAsia="zh-CN"/>
    </w:rPr>
  </w:style>
  <w:style w:type="paragraph" w:customStyle="1" w:styleId="ParagraphList">
    <w:name w:val="Paragraph List"/>
    <w:basedOn w:val="Normal"/>
    <w:next w:val="Normal"/>
    <w:link w:val="ParagraphListChar"/>
    <w:rsid w:val="00727752"/>
    <w:pPr>
      <w:keepNext/>
      <w:suppressAutoHyphens w:val="0"/>
      <w:spacing w:after="100" w:line="300" w:lineRule="atLeast"/>
    </w:pPr>
    <w:rPr>
      <w:rFonts w:ascii="Arial" w:eastAsia="SimSun" w:hAnsi="Arial"/>
      <w:szCs w:val="24"/>
      <w:lang w:val="lv-LV" w:eastAsia="zh-CN"/>
    </w:rPr>
  </w:style>
  <w:style w:type="character" w:customStyle="1" w:styleId="ParagraphListChar">
    <w:name w:val="Paragraph List Char"/>
    <w:link w:val="ParagraphList"/>
    <w:rsid w:val="00727752"/>
    <w:rPr>
      <w:rFonts w:ascii="Arial" w:eastAsia="SimSun" w:hAnsi="Arial"/>
      <w:sz w:val="22"/>
      <w:szCs w:val="24"/>
      <w:lang w:eastAsia="zh-CN"/>
    </w:rPr>
  </w:style>
  <w:style w:type="character" w:customStyle="1" w:styleId="UnresolvedMention1">
    <w:name w:val="Unresolved Mention1"/>
    <w:basedOn w:val="DefaultParagraphFont"/>
    <w:uiPriority w:val="99"/>
    <w:semiHidden/>
    <w:unhideWhenUsed/>
    <w:rsid w:val="00AC21FB"/>
    <w:rPr>
      <w:color w:val="605E5C"/>
      <w:shd w:val="clear" w:color="auto" w:fill="E1DFDD"/>
    </w:rPr>
  </w:style>
  <w:style w:type="character" w:customStyle="1" w:styleId="Heading1Char">
    <w:name w:val="Heading 1 Char"/>
    <w:basedOn w:val="DefaultParagraphFont"/>
    <w:link w:val="Heading1"/>
    <w:rsid w:val="00A453C3"/>
    <w:rPr>
      <w:b/>
      <w:caps/>
      <w:sz w:val="22"/>
      <w:lang w:val="en-US" w:eastAsia="ar-SA"/>
    </w:rPr>
  </w:style>
  <w:style w:type="character" w:customStyle="1" w:styleId="Heading2Char">
    <w:name w:val="Heading 2 Char"/>
    <w:basedOn w:val="DefaultParagraphFont"/>
    <w:link w:val="Heading2"/>
    <w:rsid w:val="00A453C3"/>
    <w:rPr>
      <w:b/>
      <w:sz w:val="22"/>
      <w:lang w:val="en-US" w:eastAsia="ar-SA"/>
    </w:rPr>
  </w:style>
  <w:style w:type="character" w:customStyle="1" w:styleId="Heading3Char">
    <w:name w:val="Heading 3 Char"/>
    <w:basedOn w:val="DefaultParagraphFont"/>
    <w:link w:val="Heading3"/>
    <w:rsid w:val="00A453C3"/>
    <w:rPr>
      <w:rFonts w:ascii="Arial" w:hAnsi="Arial" w:cs="Arial"/>
      <w:b/>
      <w:bCs/>
      <w:sz w:val="26"/>
      <w:szCs w:val="26"/>
      <w:lang w:val="en-US" w:eastAsia="ar-SA"/>
    </w:rPr>
  </w:style>
  <w:style w:type="character" w:customStyle="1" w:styleId="Heading4Char">
    <w:name w:val="Heading 4 Char"/>
    <w:basedOn w:val="DefaultParagraphFont"/>
    <w:link w:val="Heading4"/>
    <w:rsid w:val="00A453C3"/>
    <w:rPr>
      <w:b/>
      <w:sz w:val="22"/>
      <w:lang w:eastAsia="ar-SA"/>
    </w:rPr>
  </w:style>
  <w:style w:type="character" w:customStyle="1" w:styleId="Heading5Char">
    <w:name w:val="Heading 5 Char"/>
    <w:basedOn w:val="DefaultParagraphFont"/>
    <w:link w:val="Heading5"/>
    <w:rsid w:val="00A453C3"/>
    <w:rPr>
      <w:sz w:val="22"/>
      <w:lang w:eastAsia="ar-SA"/>
    </w:rPr>
  </w:style>
  <w:style w:type="character" w:customStyle="1" w:styleId="Heading6Char">
    <w:name w:val="Heading 6 Char"/>
    <w:basedOn w:val="DefaultParagraphFont"/>
    <w:link w:val="Heading6"/>
    <w:rsid w:val="00A453C3"/>
    <w:rPr>
      <w:i/>
      <w:sz w:val="22"/>
      <w:lang w:val="en-US" w:eastAsia="ar-SA"/>
    </w:rPr>
  </w:style>
  <w:style w:type="character" w:customStyle="1" w:styleId="Heading7Char">
    <w:name w:val="Heading 7 Char"/>
    <w:basedOn w:val="DefaultParagraphFont"/>
    <w:link w:val="Heading7"/>
    <w:rsid w:val="00A453C3"/>
    <w:rPr>
      <w:i/>
      <w:sz w:val="22"/>
      <w:lang w:val="en-US" w:eastAsia="ar-SA"/>
    </w:rPr>
  </w:style>
  <w:style w:type="character" w:customStyle="1" w:styleId="Heading8Char">
    <w:name w:val="Heading 8 Char"/>
    <w:basedOn w:val="DefaultParagraphFont"/>
    <w:link w:val="Heading8"/>
    <w:rsid w:val="00A453C3"/>
    <w:rPr>
      <w:b/>
      <w:i/>
      <w:sz w:val="22"/>
      <w:lang w:val="en-US" w:eastAsia="ar-SA"/>
    </w:rPr>
  </w:style>
  <w:style w:type="character" w:customStyle="1" w:styleId="Heading9Char">
    <w:name w:val="Heading 9 Char"/>
    <w:basedOn w:val="DefaultParagraphFont"/>
    <w:link w:val="Heading9"/>
    <w:rsid w:val="00A453C3"/>
    <w:rPr>
      <w:b/>
      <w:i/>
      <w:sz w:val="22"/>
      <w:lang w:val="en-US" w:eastAsia="ar-SA"/>
    </w:rPr>
  </w:style>
  <w:style w:type="character" w:customStyle="1" w:styleId="BodyTextChar">
    <w:name w:val="Body Text Char"/>
    <w:basedOn w:val="DefaultParagraphFont"/>
    <w:link w:val="BodyText"/>
    <w:semiHidden/>
    <w:rsid w:val="00A453C3"/>
    <w:rPr>
      <w:b/>
      <w:i/>
      <w:sz w:val="22"/>
      <w:lang w:val="en-US" w:eastAsia="ar-SA"/>
    </w:rPr>
  </w:style>
  <w:style w:type="character" w:customStyle="1" w:styleId="HeaderChar">
    <w:name w:val="Header Char"/>
    <w:basedOn w:val="DefaultParagraphFont"/>
    <w:link w:val="Header"/>
    <w:semiHidden/>
    <w:rsid w:val="00A453C3"/>
    <w:rPr>
      <w:sz w:val="22"/>
      <w:lang w:val="en-US" w:eastAsia="ar-SA"/>
    </w:rPr>
  </w:style>
  <w:style w:type="character" w:customStyle="1" w:styleId="FooterChar">
    <w:name w:val="Footer Char"/>
    <w:basedOn w:val="DefaultParagraphFont"/>
    <w:link w:val="Footer"/>
    <w:semiHidden/>
    <w:rsid w:val="00A453C3"/>
    <w:rPr>
      <w:rFonts w:ascii="Arial" w:hAnsi="Arial" w:cs="Arial"/>
      <w:sz w:val="16"/>
      <w:lang w:val="en-US" w:eastAsia="ar-SA"/>
    </w:rPr>
  </w:style>
  <w:style w:type="character" w:customStyle="1" w:styleId="EndnoteTextChar">
    <w:name w:val="Endnote Text Char"/>
    <w:basedOn w:val="DefaultParagraphFont"/>
    <w:link w:val="EndnoteText"/>
    <w:semiHidden/>
    <w:rsid w:val="00A453C3"/>
    <w:rPr>
      <w:sz w:val="22"/>
      <w:lang w:val="en-US" w:eastAsia="ar-SA"/>
    </w:rPr>
  </w:style>
  <w:style w:type="character" w:customStyle="1" w:styleId="BodyText2Char">
    <w:name w:val="Body Text 2 Char"/>
    <w:basedOn w:val="DefaultParagraphFont"/>
    <w:link w:val="BodyText2"/>
    <w:semiHidden/>
    <w:rsid w:val="00A453C3"/>
    <w:rPr>
      <w:b/>
      <w:sz w:val="22"/>
      <w:lang w:val="en-US" w:eastAsia="ar-SA"/>
    </w:rPr>
  </w:style>
  <w:style w:type="character" w:customStyle="1" w:styleId="BodyText3Char">
    <w:name w:val="Body Text 3 Char"/>
    <w:basedOn w:val="DefaultParagraphFont"/>
    <w:link w:val="BodyText3"/>
    <w:semiHidden/>
    <w:rsid w:val="00A453C3"/>
    <w:rPr>
      <w:b/>
      <w:i/>
      <w:sz w:val="22"/>
      <w:lang w:val="en-US" w:eastAsia="ar-SA"/>
    </w:rPr>
  </w:style>
  <w:style w:type="character" w:customStyle="1" w:styleId="BodyTextIndent2Char">
    <w:name w:val="Body Text Indent 2 Char"/>
    <w:basedOn w:val="DefaultParagraphFont"/>
    <w:link w:val="BodyTextIndent2"/>
    <w:semiHidden/>
    <w:rsid w:val="00A453C3"/>
    <w:rPr>
      <w:b/>
      <w:sz w:val="22"/>
      <w:lang w:val="en-US" w:eastAsia="ar-SA"/>
    </w:rPr>
  </w:style>
  <w:style w:type="character" w:customStyle="1" w:styleId="FootnoteTextChar">
    <w:name w:val="Footnote Text Char"/>
    <w:basedOn w:val="DefaultParagraphFont"/>
    <w:link w:val="FootnoteText"/>
    <w:semiHidden/>
    <w:rsid w:val="00A453C3"/>
    <w:rPr>
      <w:lang w:val="en-US" w:eastAsia="ar-SA"/>
    </w:rPr>
  </w:style>
  <w:style w:type="character" w:customStyle="1" w:styleId="BodyTextIndent3Char">
    <w:name w:val="Body Text Indent 3 Char"/>
    <w:basedOn w:val="DefaultParagraphFont"/>
    <w:link w:val="BodyTextIndent3"/>
    <w:semiHidden/>
    <w:rsid w:val="00A453C3"/>
    <w:rPr>
      <w:i/>
      <w:color w:val="008000"/>
      <w:sz w:val="22"/>
      <w:lang w:val="en-US" w:eastAsia="ar-SA"/>
    </w:rPr>
  </w:style>
  <w:style w:type="character" w:customStyle="1" w:styleId="BodyTextIndentChar">
    <w:name w:val="Body Text Indent Char"/>
    <w:basedOn w:val="DefaultParagraphFont"/>
    <w:link w:val="BodyTextIndent"/>
    <w:semiHidden/>
    <w:rsid w:val="00A453C3"/>
    <w:rPr>
      <w:b/>
      <w:color w:val="808080"/>
      <w:sz w:val="22"/>
      <w:lang w:val="en-US" w:eastAsia="ar-SA"/>
    </w:rPr>
  </w:style>
  <w:style w:type="character" w:customStyle="1" w:styleId="DocumentMapChar">
    <w:name w:val="Document Map Char"/>
    <w:basedOn w:val="DefaultParagraphFont"/>
    <w:link w:val="DocumentMap"/>
    <w:semiHidden/>
    <w:rsid w:val="00A453C3"/>
    <w:rPr>
      <w:rFonts w:ascii="Tahoma" w:hAnsi="Tahoma" w:cs="Tahoma"/>
      <w:sz w:val="22"/>
      <w:shd w:val="clear" w:color="auto" w:fill="000080"/>
      <w:lang w:val="en-US" w:eastAsia="ar-SA"/>
    </w:rPr>
  </w:style>
  <w:style w:type="character" w:customStyle="1" w:styleId="BalloonTextChar">
    <w:name w:val="Balloon Text Char"/>
    <w:basedOn w:val="DefaultParagraphFont"/>
    <w:link w:val="BalloonText"/>
    <w:rsid w:val="00A453C3"/>
    <w:rPr>
      <w:rFonts w:ascii="Tahoma" w:hAnsi="Tahoma" w:cs="Tahoma"/>
      <w:sz w:val="16"/>
      <w:szCs w:val="16"/>
      <w:lang w:val="en-US" w:eastAsia="ar-SA"/>
    </w:rPr>
  </w:style>
  <w:style w:type="character" w:customStyle="1" w:styleId="BodyTextFirstIndentChar">
    <w:name w:val="Body Text First Indent Char"/>
    <w:basedOn w:val="BodyTextChar"/>
    <w:link w:val="BodyTextFirstIndent"/>
    <w:semiHidden/>
    <w:rsid w:val="00A453C3"/>
    <w:rPr>
      <w:b w:val="0"/>
      <w:i w:val="0"/>
      <w:sz w:val="22"/>
      <w:lang w:val="en-US" w:eastAsia="ar-SA"/>
    </w:rPr>
  </w:style>
  <w:style w:type="character" w:customStyle="1" w:styleId="CommentSubjectChar">
    <w:name w:val="Comment Subject Char"/>
    <w:basedOn w:val="CommentTextChar"/>
    <w:link w:val="CommentSubject"/>
    <w:rsid w:val="00A453C3"/>
    <w:rPr>
      <w:b/>
      <w:bCs/>
      <w:lang w:val="en-US" w:eastAsia="ar-SA"/>
    </w:rPr>
  </w:style>
  <w:style w:type="character" w:customStyle="1" w:styleId="DateChar">
    <w:name w:val="Date Char"/>
    <w:basedOn w:val="DefaultParagraphFont"/>
    <w:link w:val="Date"/>
    <w:semiHidden/>
    <w:rsid w:val="00A453C3"/>
    <w:rPr>
      <w:sz w:val="22"/>
      <w:szCs w:val="22"/>
      <w:lang w:val="en-GB" w:eastAsia="ar-SA"/>
    </w:rPr>
  </w:style>
  <w:style w:type="character" w:customStyle="1" w:styleId="BodyTextFirstIndent2Char">
    <w:name w:val="Body Text First Indent 2 Char"/>
    <w:basedOn w:val="BodyTextIndentChar"/>
    <w:link w:val="BodyTextFirstIndent2"/>
    <w:semiHidden/>
    <w:rsid w:val="00A453C3"/>
    <w:rPr>
      <w:b w:val="0"/>
      <w:color w:val="808080"/>
      <w:sz w:val="22"/>
      <w:lang w:val="en-US" w:eastAsia="ar-SA"/>
    </w:rPr>
  </w:style>
  <w:style w:type="character" w:customStyle="1" w:styleId="ClosingChar">
    <w:name w:val="Closing Char"/>
    <w:basedOn w:val="DefaultParagraphFont"/>
    <w:link w:val="Closing"/>
    <w:semiHidden/>
    <w:rsid w:val="00A453C3"/>
    <w:rPr>
      <w:sz w:val="22"/>
      <w:lang w:val="en-US" w:eastAsia="ar-SA"/>
    </w:rPr>
  </w:style>
  <w:style w:type="character" w:customStyle="1" w:styleId="E-mailSignatureChar">
    <w:name w:val="E-mail Signature Char"/>
    <w:basedOn w:val="DefaultParagraphFont"/>
    <w:link w:val="E-mailSignature"/>
    <w:semiHidden/>
    <w:rsid w:val="00A453C3"/>
    <w:rPr>
      <w:sz w:val="22"/>
      <w:lang w:val="en-US" w:eastAsia="ar-SA"/>
    </w:rPr>
  </w:style>
  <w:style w:type="character" w:customStyle="1" w:styleId="HTMLAddressChar">
    <w:name w:val="HTML Address Char"/>
    <w:basedOn w:val="DefaultParagraphFont"/>
    <w:link w:val="HTMLAddress"/>
    <w:semiHidden/>
    <w:rsid w:val="00A453C3"/>
    <w:rPr>
      <w:i/>
      <w:iCs/>
      <w:sz w:val="22"/>
      <w:lang w:val="en-US" w:eastAsia="ar-SA"/>
    </w:rPr>
  </w:style>
  <w:style w:type="character" w:customStyle="1" w:styleId="HTMLPreformattedChar">
    <w:name w:val="HTML Preformatted Char"/>
    <w:basedOn w:val="DefaultParagraphFont"/>
    <w:link w:val="HTMLPreformatted"/>
    <w:semiHidden/>
    <w:rsid w:val="00A453C3"/>
    <w:rPr>
      <w:rFonts w:ascii="Courier New" w:hAnsi="Courier New" w:cs="Courier New"/>
      <w:lang w:val="en-US" w:eastAsia="ar-SA"/>
    </w:rPr>
  </w:style>
  <w:style w:type="character" w:customStyle="1" w:styleId="MacroTextChar">
    <w:name w:val="Macro Text Char"/>
    <w:basedOn w:val="DefaultParagraphFont"/>
    <w:link w:val="MacroText"/>
    <w:semiHidden/>
    <w:rsid w:val="00A453C3"/>
    <w:rPr>
      <w:rFonts w:ascii="Courier New" w:hAnsi="Courier New" w:cs="Courier New"/>
      <w:lang w:val="en-US" w:eastAsia="ar-SA"/>
    </w:rPr>
  </w:style>
  <w:style w:type="character" w:customStyle="1" w:styleId="MessageHeaderChar">
    <w:name w:val="Message Header Char"/>
    <w:basedOn w:val="DefaultParagraphFont"/>
    <w:link w:val="MessageHeader"/>
    <w:semiHidden/>
    <w:rsid w:val="00A453C3"/>
    <w:rPr>
      <w:rFonts w:ascii="Arial" w:hAnsi="Arial" w:cs="Arial"/>
      <w:sz w:val="24"/>
      <w:szCs w:val="24"/>
      <w:shd w:val="clear" w:color="auto" w:fill="CCCCCC"/>
      <w:lang w:val="en-US" w:eastAsia="ar-SA"/>
    </w:rPr>
  </w:style>
  <w:style w:type="character" w:customStyle="1" w:styleId="NoteHeadingChar">
    <w:name w:val="Note Heading Char"/>
    <w:basedOn w:val="DefaultParagraphFont"/>
    <w:link w:val="NoteHeading"/>
    <w:semiHidden/>
    <w:rsid w:val="00A453C3"/>
    <w:rPr>
      <w:sz w:val="22"/>
      <w:lang w:val="en-US" w:eastAsia="ar-SA"/>
    </w:rPr>
  </w:style>
  <w:style w:type="character" w:customStyle="1" w:styleId="PlainTextChar">
    <w:name w:val="Plain Text Char"/>
    <w:basedOn w:val="DefaultParagraphFont"/>
    <w:link w:val="PlainText"/>
    <w:semiHidden/>
    <w:rsid w:val="00A453C3"/>
    <w:rPr>
      <w:rFonts w:ascii="Courier New" w:hAnsi="Courier New" w:cs="Courier New"/>
      <w:lang w:val="en-US" w:eastAsia="ar-SA"/>
    </w:rPr>
  </w:style>
  <w:style w:type="character" w:customStyle="1" w:styleId="SalutationChar">
    <w:name w:val="Salutation Char"/>
    <w:basedOn w:val="DefaultParagraphFont"/>
    <w:link w:val="Salutation"/>
    <w:semiHidden/>
    <w:rsid w:val="00A453C3"/>
    <w:rPr>
      <w:sz w:val="22"/>
      <w:lang w:val="en-US" w:eastAsia="ar-SA"/>
    </w:rPr>
  </w:style>
  <w:style w:type="character" w:customStyle="1" w:styleId="SignatureChar">
    <w:name w:val="Signature Char"/>
    <w:basedOn w:val="DefaultParagraphFont"/>
    <w:link w:val="Signature"/>
    <w:semiHidden/>
    <w:rsid w:val="00A453C3"/>
    <w:rPr>
      <w:sz w:val="22"/>
      <w:lang w:val="en-US" w:eastAsia="ar-SA"/>
    </w:rPr>
  </w:style>
  <w:style w:type="character" w:customStyle="1" w:styleId="SubtitleChar">
    <w:name w:val="Subtitle Char"/>
    <w:basedOn w:val="DefaultParagraphFont"/>
    <w:link w:val="Subtitle"/>
    <w:rsid w:val="00A453C3"/>
    <w:rPr>
      <w:rFonts w:ascii="Arial" w:hAnsi="Arial" w:cs="Arial"/>
      <w:sz w:val="24"/>
      <w:szCs w:val="24"/>
      <w:lang w:val="en-US" w:eastAsia="ar-SA"/>
    </w:rPr>
  </w:style>
  <w:style w:type="character" w:customStyle="1" w:styleId="TitleChar">
    <w:name w:val="Title Char"/>
    <w:basedOn w:val="DefaultParagraphFont"/>
    <w:link w:val="Title"/>
    <w:rsid w:val="00A453C3"/>
    <w:rPr>
      <w:rFonts w:ascii="Arial" w:hAnsi="Arial" w:cs="Arial"/>
      <w:b/>
      <w:bCs/>
      <w:kern w:val="1"/>
      <w:sz w:val="32"/>
      <w:szCs w:val="32"/>
      <w:lang w:val="en-US" w:eastAsia="ar-SA"/>
    </w:rPr>
  </w:style>
  <w:style w:type="character" w:styleId="PlaceholderText">
    <w:name w:val="Placeholder Text"/>
    <w:basedOn w:val="DefaultParagraphFont"/>
    <w:uiPriority w:val="99"/>
    <w:semiHidden/>
    <w:rsid w:val="00A453C3"/>
    <w:rPr>
      <w:color w:val="666666"/>
    </w:rPr>
  </w:style>
  <w:style w:type="character" w:customStyle="1" w:styleId="Standard1Char">
    <w:name w:val="Standard1 Char"/>
    <w:basedOn w:val="DefaultParagraphFont"/>
    <w:link w:val="Standard1"/>
    <w:rsid w:val="006B2B07"/>
    <w:rPr>
      <w:sz w:val="22"/>
      <w:lang w:eastAsia="ja-JP"/>
    </w:rPr>
  </w:style>
  <w:style w:type="table" w:customStyle="1" w:styleId="TableGrid1">
    <w:name w:val="Table Grid1"/>
    <w:basedOn w:val="TableNormal"/>
    <w:next w:val="TableGrid"/>
    <w:rsid w:val="00065CD4"/>
    <w:rPr>
      <w:rFonts w:eastAsia="SimSun"/>
      <w:lang w:val="bg-B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065CD4"/>
    <w:rPr>
      <w:color w:val="605E5C"/>
      <w:shd w:val="clear" w:color="auto" w:fill="E1DFDD"/>
    </w:rPr>
  </w:style>
  <w:style w:type="character" w:customStyle="1" w:styleId="UnresolvedMention3">
    <w:name w:val="Unresolved Mention3"/>
    <w:basedOn w:val="DefaultParagraphFont"/>
    <w:uiPriority w:val="99"/>
    <w:semiHidden/>
    <w:unhideWhenUsed/>
    <w:rsid w:val="002C6D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978538">
      <w:bodyDiv w:val="1"/>
      <w:marLeft w:val="0"/>
      <w:marRight w:val="0"/>
      <w:marTop w:val="0"/>
      <w:marBottom w:val="0"/>
      <w:divBdr>
        <w:top w:val="none" w:sz="0" w:space="0" w:color="auto"/>
        <w:left w:val="none" w:sz="0" w:space="0" w:color="auto"/>
        <w:bottom w:val="none" w:sz="0" w:space="0" w:color="auto"/>
        <w:right w:val="none" w:sz="0" w:space="0" w:color="auto"/>
      </w:divBdr>
    </w:div>
    <w:div w:id="450713625">
      <w:bodyDiv w:val="1"/>
      <w:marLeft w:val="0"/>
      <w:marRight w:val="0"/>
      <w:marTop w:val="0"/>
      <w:marBottom w:val="0"/>
      <w:divBdr>
        <w:top w:val="none" w:sz="0" w:space="0" w:color="auto"/>
        <w:left w:val="none" w:sz="0" w:space="0" w:color="auto"/>
        <w:bottom w:val="none" w:sz="0" w:space="0" w:color="auto"/>
        <w:right w:val="none" w:sz="0" w:space="0" w:color="auto"/>
      </w:divBdr>
    </w:div>
    <w:div w:id="927346890">
      <w:bodyDiv w:val="1"/>
      <w:marLeft w:val="0"/>
      <w:marRight w:val="0"/>
      <w:marTop w:val="0"/>
      <w:marBottom w:val="0"/>
      <w:divBdr>
        <w:top w:val="none" w:sz="0" w:space="0" w:color="auto"/>
        <w:left w:val="none" w:sz="0" w:space="0" w:color="auto"/>
        <w:bottom w:val="none" w:sz="0" w:space="0" w:color="auto"/>
        <w:right w:val="none" w:sz="0" w:space="0" w:color="auto"/>
      </w:divBdr>
    </w:div>
    <w:div w:id="1134713665">
      <w:bodyDiv w:val="1"/>
      <w:marLeft w:val="0"/>
      <w:marRight w:val="0"/>
      <w:marTop w:val="0"/>
      <w:marBottom w:val="0"/>
      <w:divBdr>
        <w:top w:val="none" w:sz="0" w:space="0" w:color="auto"/>
        <w:left w:val="none" w:sz="0" w:space="0" w:color="auto"/>
        <w:bottom w:val="none" w:sz="0" w:space="0" w:color="auto"/>
        <w:right w:val="none" w:sz="0" w:space="0" w:color="auto"/>
      </w:divBdr>
    </w:div>
    <w:div w:id="1294872106">
      <w:bodyDiv w:val="1"/>
      <w:marLeft w:val="0"/>
      <w:marRight w:val="0"/>
      <w:marTop w:val="0"/>
      <w:marBottom w:val="0"/>
      <w:divBdr>
        <w:top w:val="none" w:sz="0" w:space="0" w:color="auto"/>
        <w:left w:val="none" w:sz="0" w:space="0" w:color="auto"/>
        <w:bottom w:val="none" w:sz="0" w:space="0" w:color="auto"/>
        <w:right w:val="none" w:sz="0" w:space="0" w:color="auto"/>
      </w:divBdr>
    </w:div>
    <w:div w:id="1579750463">
      <w:bodyDiv w:val="1"/>
      <w:marLeft w:val="0"/>
      <w:marRight w:val="0"/>
      <w:marTop w:val="0"/>
      <w:marBottom w:val="0"/>
      <w:divBdr>
        <w:top w:val="none" w:sz="0" w:space="0" w:color="auto"/>
        <w:left w:val="none" w:sz="0" w:space="0" w:color="auto"/>
        <w:bottom w:val="none" w:sz="0" w:space="0" w:color="auto"/>
        <w:right w:val="none" w:sz="0" w:space="0" w:color="auto"/>
      </w:divBdr>
    </w:div>
    <w:div w:id="1674146527">
      <w:bodyDiv w:val="1"/>
      <w:marLeft w:val="0"/>
      <w:marRight w:val="0"/>
      <w:marTop w:val="0"/>
      <w:marBottom w:val="0"/>
      <w:divBdr>
        <w:top w:val="none" w:sz="0" w:space="0" w:color="auto"/>
        <w:left w:val="none" w:sz="0" w:space="0" w:color="auto"/>
        <w:bottom w:val="none" w:sz="0" w:space="0" w:color="auto"/>
        <w:right w:val="none" w:sz="0" w:space="0" w:color="auto"/>
      </w:divBdr>
    </w:div>
    <w:div w:id="1674336210">
      <w:bodyDiv w:val="1"/>
      <w:marLeft w:val="0"/>
      <w:marRight w:val="0"/>
      <w:marTop w:val="0"/>
      <w:marBottom w:val="0"/>
      <w:divBdr>
        <w:top w:val="none" w:sz="0" w:space="0" w:color="auto"/>
        <w:left w:val="none" w:sz="0" w:space="0" w:color="auto"/>
        <w:bottom w:val="none" w:sz="0" w:space="0" w:color="auto"/>
        <w:right w:val="none" w:sz="0" w:space="0" w:color="auto"/>
      </w:divBdr>
    </w:div>
    <w:div w:id="1859125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customXml" Target="../customXml/item4.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theme" Target="theme/theme1.xml"/><Relationship Id="rId40"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microsoft.com/office/2011/relationships/people" Target="peop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hyperlink" Target="https://www.ema.europa.eu/en/medicines/human/EPAR/roactemra"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EMADOC-1700519818-3047620</_dlc_DocId>
    <_dlc_DocIdUrl xmlns="a034c160-bfb7-45f5-8632-2eb7e0508071">
      <Url>https://euema.sharepoint.com/sites/CRM/_layouts/15/DocIdRedir.aspx?ID=EMADOC-1700519818-3047620</Url>
      <Description>EMADOC-1700519818-3047620</Description>
    </_dlc_DocIdUrl>
  </documentManagement>
</p:properties>
</file>

<file path=customXml/itemProps1.xml><?xml version="1.0" encoding="utf-8"?>
<ds:datastoreItem xmlns:ds="http://schemas.openxmlformats.org/officeDocument/2006/customXml" ds:itemID="{450E36E3-029B-4203-9061-E2EEFB609ABF}">
  <ds:schemaRefs>
    <ds:schemaRef ds:uri="http://schemas.microsoft.com/office/2006/metadata/longProperties"/>
  </ds:schemaRefs>
</ds:datastoreItem>
</file>

<file path=customXml/itemProps2.xml><?xml version="1.0" encoding="utf-8"?>
<ds:datastoreItem xmlns:ds="http://schemas.openxmlformats.org/officeDocument/2006/customXml" ds:itemID="{E7BF8476-D396-4CAB-AA01-61A43475857D}">
  <ds:schemaRefs>
    <ds:schemaRef ds:uri="http://schemas.openxmlformats.org/officeDocument/2006/bibliography"/>
  </ds:schemaRefs>
</ds:datastoreItem>
</file>

<file path=customXml/itemProps3.xml><?xml version="1.0" encoding="utf-8"?>
<ds:datastoreItem xmlns:ds="http://schemas.openxmlformats.org/officeDocument/2006/customXml" ds:itemID="{0FF84BBA-AC38-4BD2-B2A4-CE3F4DD87B4B}"/>
</file>

<file path=customXml/itemProps4.xml><?xml version="1.0" encoding="utf-8"?>
<ds:datastoreItem xmlns:ds="http://schemas.openxmlformats.org/officeDocument/2006/customXml" ds:itemID="{8A3296E2-1DE8-4BBB-9428-13AD9E96ECD9}"/>
</file>

<file path=customXml/itemProps5.xml><?xml version="1.0" encoding="utf-8"?>
<ds:datastoreItem xmlns:ds="http://schemas.openxmlformats.org/officeDocument/2006/customXml" ds:itemID="{77E83F6B-D3FC-4708-B530-5B53EFE73CC0}"/>
</file>

<file path=customXml/itemProps6.xml><?xml version="1.0" encoding="utf-8"?>
<ds:datastoreItem xmlns:ds="http://schemas.openxmlformats.org/officeDocument/2006/customXml" ds:itemID="{74067DA2-084A-49C2-8C5A-1255824CBE44}"/>
</file>

<file path=docProps/app.xml><?xml version="1.0" encoding="utf-8"?>
<Properties xmlns="http://schemas.openxmlformats.org/officeDocument/2006/extended-properties" xmlns:vt="http://schemas.openxmlformats.org/officeDocument/2006/docPropsVTypes">
  <Template>SPC_10H</Template>
  <TotalTime>58</TotalTime>
  <Pages>172</Pages>
  <Words>57201</Words>
  <Characters>370093</Characters>
  <Application>Microsoft Office Word</Application>
  <DocSecurity>0</DocSecurity>
  <Lines>10574</Lines>
  <Paragraphs>5086</Paragraphs>
  <ScaleCrop>false</ScaleCrop>
  <HeadingPairs>
    <vt:vector size="2" baseType="variant">
      <vt:variant>
        <vt:lpstr>Title</vt:lpstr>
      </vt:variant>
      <vt:variant>
        <vt:i4>1</vt:i4>
      </vt:variant>
    </vt:vector>
  </HeadingPairs>
  <TitlesOfParts>
    <vt:vector size="1" baseType="lpstr">
      <vt:lpstr>RoActemra: EPAR – Product information - tracked changes</vt:lpstr>
    </vt:vector>
  </TitlesOfParts>
  <Manager/>
  <Company>EMEA</Company>
  <LinksUpToDate>false</LinksUpToDate>
  <CharactersWithSpaces>422208</CharactersWithSpaces>
  <SharedDoc>false</SharedDoc>
  <HLinks>
    <vt:vector size="72" baseType="variant">
      <vt:variant>
        <vt:i4>1245197</vt:i4>
      </vt:variant>
      <vt:variant>
        <vt:i4>33</vt:i4>
      </vt:variant>
      <vt:variant>
        <vt:i4>0</vt:i4>
      </vt:variant>
      <vt:variant>
        <vt:i4>5</vt:i4>
      </vt:variant>
      <vt:variant>
        <vt:lpwstr>http://www.ema.europa.eu/</vt:lpwstr>
      </vt:variant>
      <vt:variant>
        <vt:lpwstr/>
      </vt:variant>
      <vt:variant>
        <vt:i4>2490456</vt:i4>
      </vt:variant>
      <vt:variant>
        <vt:i4>30</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27</vt:i4>
      </vt:variant>
      <vt:variant>
        <vt:i4>0</vt:i4>
      </vt:variant>
      <vt:variant>
        <vt:i4>5</vt:i4>
      </vt:variant>
      <vt:variant>
        <vt:lpwstr>http://www.ema.europa.eu/</vt:lpwstr>
      </vt:variant>
      <vt:variant>
        <vt:lpwstr/>
      </vt:variant>
      <vt:variant>
        <vt:i4>2490456</vt:i4>
      </vt:variant>
      <vt:variant>
        <vt:i4>24</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21</vt:i4>
      </vt:variant>
      <vt:variant>
        <vt:i4>0</vt:i4>
      </vt:variant>
      <vt:variant>
        <vt:i4>5</vt:i4>
      </vt:variant>
      <vt:variant>
        <vt:lpwstr>http://www.ema.europa.eu/</vt:lpwstr>
      </vt:variant>
      <vt:variant>
        <vt:lpwstr/>
      </vt:variant>
      <vt:variant>
        <vt:i4>2490456</vt:i4>
      </vt:variant>
      <vt:variant>
        <vt:i4>18</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15</vt:i4>
      </vt:variant>
      <vt:variant>
        <vt:i4>0</vt:i4>
      </vt:variant>
      <vt:variant>
        <vt:i4>5</vt:i4>
      </vt:variant>
      <vt:variant>
        <vt:lpwstr>http://www.ema.europa.eu/</vt:lpwstr>
      </vt:variant>
      <vt:variant>
        <vt:lpwstr/>
      </vt:variant>
      <vt:variant>
        <vt:i4>2490456</vt:i4>
      </vt:variant>
      <vt:variant>
        <vt:i4>12</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9</vt:i4>
      </vt:variant>
      <vt:variant>
        <vt:i4>0</vt:i4>
      </vt:variant>
      <vt:variant>
        <vt:i4>5</vt:i4>
      </vt:variant>
      <vt:variant>
        <vt:lpwstr>http://www.ema.europa.eu/</vt:lpwstr>
      </vt:variant>
      <vt:variant>
        <vt:lpwstr/>
      </vt:variant>
      <vt:variant>
        <vt:i4>2490456</vt:i4>
      </vt:variant>
      <vt:variant>
        <vt:i4>6</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3</vt:i4>
      </vt:variant>
      <vt:variant>
        <vt:i4>0</vt:i4>
      </vt:variant>
      <vt:variant>
        <vt:i4>5</vt:i4>
      </vt:variant>
      <vt:variant>
        <vt:lpwstr>http://www.ema.europa.eu/</vt:lpwstr>
      </vt:variant>
      <vt:variant>
        <vt:lpwstr/>
      </vt:variant>
      <vt:variant>
        <vt:i4>2490456</vt:i4>
      </vt:variant>
      <vt:variant>
        <vt:i4>0</vt:i4>
      </vt:variant>
      <vt:variant>
        <vt:i4>0</vt:i4>
      </vt:variant>
      <vt:variant>
        <vt:i4>5</vt:i4>
      </vt:variant>
      <vt:variant>
        <vt:lpwstr>https://www.ema.europa.eu/documents/template-form/appendix-v-adverse-drug-reaction-reporting-details_en.doc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RoActemra: EPAR – Product information - tracked changes</dc:title>
  <dc:subject>EPAR</dc:subject>
  <dc:creator>CHMP</dc:creator>
  <cp:keywords>RoActemra: EPAR – Product information - tracked changes</cp:keywords>
  <dc:description>Version 10.0 02/2016_x000d_
Downloaded 110516 (lv)</dc:description>
  <cp:lastModifiedBy>TCS</cp:lastModifiedBy>
  <cp:revision>18</cp:revision>
  <dcterms:created xsi:type="dcterms:W3CDTF">2026-02-13T08:16:00Z</dcterms:created>
  <dcterms:modified xsi:type="dcterms:W3CDTF">2026-03-20T05:51:00Z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1.4</vt:lpwstr>
  </property>
  <property fmtid="{D5CDD505-2E9C-101B-9397-08002B2CF9AE}" pid="3" name="ContentTypeId">
    <vt:lpwstr>0x0101000DA6AD19014FF648A49316945EE786F90200176DED4FF78CD74995F64A0F46B59E48</vt:lpwstr>
  </property>
  <property fmtid="{D5CDD505-2E9C-101B-9397-08002B2CF9AE}" pid="4" name="_dlc_DocIdItemGuid">
    <vt:lpwstr>31416d91-937a-4a1a-9739-695aff4551de</vt:lpwstr>
  </property>
</Properties>
</file>